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22D37" w14:textId="39B843DC" w:rsidR="009C36E3" w:rsidRDefault="00E023DE" w:rsidP="006E65D2">
      <w:pPr>
        <w:pStyle w:val="Heading5"/>
        <w:spacing w:after="600"/>
        <w:ind w:left="987"/>
      </w:pPr>
      <w:r>
        <w:rPr>
          <w:noProof/>
        </w:rPr>
        <w:drawing>
          <wp:anchor distT="0" distB="0" distL="114300" distR="114300" simplePos="0" relativeHeight="251691008" behindDoc="1" locked="0" layoutInCell="1" allowOverlap="1" wp14:anchorId="1A9D9679" wp14:editId="2186AF28">
            <wp:simplePos x="0" y="0"/>
            <wp:positionH relativeFrom="page">
              <wp:align>right</wp:align>
            </wp:positionH>
            <wp:positionV relativeFrom="paragraph">
              <wp:posOffset>-860425</wp:posOffset>
            </wp:positionV>
            <wp:extent cx="7559040" cy="1285875"/>
            <wp:effectExtent l="0" t="0" r="0" b="0"/>
            <wp:wrapNone/>
            <wp:docPr id="111" name="Picture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pic:nvPicPr>
                  <pic:blipFill rotWithShape="1">
                    <a:blip r:embed="rId8" cstate="print"/>
                    <a:srcRect b="71949"/>
                    <a:stretch/>
                  </pic:blipFill>
                  <pic:spPr bwMode="auto">
                    <a:xfrm>
                      <a:off x="0" y="0"/>
                      <a:ext cx="7559040" cy="1285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E7207">
        <w:rPr>
          <w:noProof/>
        </w:rPr>
        <mc:AlternateContent>
          <mc:Choice Requires="wps">
            <w:drawing>
              <wp:anchor distT="0" distB="0" distL="0" distR="0" simplePos="0" relativeHeight="251661312" behindDoc="1" locked="0" layoutInCell="1" allowOverlap="1" wp14:anchorId="0570AF4B" wp14:editId="0AF23AF9">
                <wp:simplePos x="0" y="0"/>
                <wp:positionH relativeFrom="page">
                  <wp:posOffset>6961631</wp:posOffset>
                </wp:positionH>
                <wp:positionV relativeFrom="page">
                  <wp:posOffset>10211905</wp:posOffset>
                </wp:positionV>
                <wp:extent cx="60325" cy="121285"/>
                <wp:effectExtent l="0" t="0" r="0" b="0"/>
                <wp:wrapNone/>
                <wp:docPr id="1" name="Text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 cy="121285"/>
                        </a:xfrm>
                        <a:prstGeom prst="rect">
                          <a:avLst/>
                        </a:prstGeom>
                      </wps:spPr>
                      <wps:txbx>
                        <w:txbxContent>
                          <w:p w14:paraId="60A4530B" w14:textId="77777777" w:rsidR="009C36E3" w:rsidRDefault="000E7207">
                            <w:pPr>
                              <w:spacing w:line="190" w:lineRule="exact"/>
                              <w:rPr>
                                <w:sz w:val="17"/>
                              </w:rPr>
                            </w:pPr>
                            <w:r>
                              <w:rPr>
                                <w:spacing w:val="-10"/>
                                <w:sz w:val="17"/>
                              </w:rPr>
                              <w:t>1</w:t>
                            </w:r>
                          </w:p>
                        </w:txbxContent>
                      </wps:txbx>
                      <wps:bodyPr wrap="square" lIns="0" tIns="0" rIns="0" bIns="0" rtlCol="0">
                        <a:noAutofit/>
                      </wps:bodyPr>
                    </wps:wsp>
                  </a:graphicData>
                </a:graphic>
              </wp:anchor>
            </w:drawing>
          </mc:Choice>
          <mc:Fallback>
            <w:pict>
              <v:shapetype w14:anchorId="0570AF4B" id="_x0000_t202" coordsize="21600,21600" o:spt="202" path="m,l,21600r21600,l21600,xe">
                <v:stroke joinstyle="miter"/>
                <v:path gradientshapeok="t" o:connecttype="rect"/>
              </v:shapetype>
              <v:shape id="Textbox 1" o:spid="_x0000_s1026" type="#_x0000_t202" alt="&quot;&quot;" style="position:absolute;left:0;text-align:left;margin-left:548.15pt;margin-top:804.1pt;width:4.75pt;height:9.5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" filled="f" stroked="f">
                <v:textbox inset="0,0,0,0">
                  <w:txbxContent>
                    <w:p w14:paraId="60A4530B" w14:textId="77777777" w:rsidR="009C36E3" w:rsidRDefault="000E7207">
                      <w:pPr>
                        <w:spacing w:line="190" w:lineRule="exact"/>
                        <w:rPr>
                          <w:sz w:val="17"/>
                        </w:rPr>
                      </w:pPr>
                      <w:r>
                        <w:rPr>
                          <w:spacing w:val="-10"/>
                          <w:sz w:val="17"/>
                        </w:rPr>
                        <w:t>1</w:t>
                      </w:r>
                    </w:p>
                  </w:txbxContent>
                </v:textbox>
                <w10:wrap anchorx="page" anchory="page"/>
              </v:shape>
            </w:pict>
          </mc:Fallback>
        </mc:AlternateContent>
      </w:r>
      <w:r w:rsidR="000E7207">
        <w:rPr>
          <w:color w:val="D01039"/>
          <w:spacing w:val="-2"/>
        </w:rPr>
        <w:t>OFFICIA</w:t>
      </w:r>
      <w:r w:rsidR="006203EB">
        <w:rPr>
          <w:color w:val="D01039"/>
          <w:spacing w:val="-2"/>
        </w:rPr>
        <w:t>L</w:t>
      </w:r>
    </w:p>
    <w:p w14:paraId="597148B0" w14:textId="77777777" w:rsidR="009C36E3" w:rsidRPr="00E84525" w:rsidRDefault="000E7207" w:rsidP="006E65D2">
      <w:pPr>
        <w:pStyle w:val="Title"/>
        <w:spacing w:before="360"/>
        <w:ind w:left="919"/>
      </w:pPr>
      <w:r w:rsidRPr="00E84525">
        <w:t>Mid-Term Review</w:t>
      </w:r>
    </w:p>
    <w:p w14:paraId="5E9B053B" w14:textId="4D9FDF14" w:rsidR="009C36E3" w:rsidRPr="00E84525" w:rsidRDefault="000E7207" w:rsidP="00F24A1D">
      <w:pPr>
        <w:pStyle w:val="Subtitle"/>
        <w:spacing w:before="720"/>
        <w:ind w:left="919" w:right="4060"/>
      </w:pPr>
      <w:r w:rsidRPr="00E84525">
        <w:t>Vanuatu Australia Policing and Justice Program</w:t>
      </w:r>
    </w:p>
    <w:p w14:paraId="22B745CC" w14:textId="0FDE6200" w:rsidR="009C36E3" w:rsidRDefault="006E65D2" w:rsidP="0074360D">
      <w:pPr>
        <w:pStyle w:val="Heading3"/>
        <w:sectPr w:rsidR="009C36E3">
          <w:type w:val="continuous"/>
          <w:pgSz w:w="11910" w:h="16850"/>
          <w:pgMar w:top="1360" w:right="740" w:bottom="280" w:left="80" w:header="720" w:footer="720" w:gutter="0"/>
          <w:cols w:space="720"/>
        </w:sectPr>
      </w:pPr>
      <w:r>
        <w:rPr>
          <w:noProof/>
        </w:rPr>
        <w:drawing>
          <wp:anchor distT="0" distB="0" distL="114300" distR="114300" simplePos="0" relativeHeight="251662336" behindDoc="1" locked="0" layoutInCell="1" allowOverlap="1" wp14:anchorId="14A8B656" wp14:editId="46FA4A2D">
            <wp:simplePos x="0" y="0"/>
            <wp:positionH relativeFrom="margin">
              <wp:posOffset>-47625</wp:posOffset>
            </wp:positionH>
            <wp:positionV relativeFrom="paragraph">
              <wp:posOffset>836930</wp:posOffset>
            </wp:positionV>
            <wp:extent cx="7560945" cy="7158990"/>
            <wp:effectExtent l="0" t="0" r="1905" b="3810"/>
            <wp:wrapNone/>
            <wp:docPr id="3" name="Imag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7560945" cy="7158990"/>
                    </a:xfrm>
                    <a:prstGeom prst="rect">
                      <a:avLst/>
                    </a:prstGeom>
                  </pic:spPr>
                </pic:pic>
              </a:graphicData>
            </a:graphic>
          </wp:anchor>
        </w:drawing>
      </w:r>
      <w:r>
        <w:rPr>
          <w:noProof/>
        </w:rPr>
        <w:drawing>
          <wp:anchor distT="0" distB="0" distL="114300" distR="114300" simplePos="0" relativeHeight="251663360" behindDoc="0" locked="0" layoutInCell="1" allowOverlap="1" wp14:anchorId="306657E5" wp14:editId="0AFC867A">
            <wp:simplePos x="0" y="0"/>
            <wp:positionH relativeFrom="page">
              <wp:posOffset>0</wp:posOffset>
            </wp:positionH>
            <wp:positionV relativeFrom="paragraph">
              <wp:posOffset>5415280</wp:posOffset>
            </wp:positionV>
            <wp:extent cx="7558405" cy="2673985"/>
            <wp:effectExtent l="0" t="0" r="4445" b="0"/>
            <wp:wrapNone/>
            <wp:docPr id="5" name="Imag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7558405" cy="2673985"/>
                    </a:xfrm>
                    <a:prstGeom prst="rect">
                      <a:avLst/>
                    </a:prstGeom>
                  </pic:spPr>
                </pic:pic>
              </a:graphicData>
            </a:graphic>
          </wp:anchor>
        </w:drawing>
      </w:r>
      <w:r w:rsidR="000E7207" w:rsidRPr="00A33D64">
        <w:t>4</w:t>
      </w:r>
      <w:r w:rsidR="000E7207" w:rsidRPr="00A33D64">
        <w:rPr>
          <w:spacing w:val="-6"/>
        </w:rPr>
        <w:t xml:space="preserve"> </w:t>
      </w:r>
      <w:r w:rsidR="000E7207" w:rsidRPr="00A33D64">
        <w:t>March</w:t>
      </w:r>
      <w:r w:rsidR="000E7207" w:rsidRPr="00A33D64">
        <w:rPr>
          <w:spacing w:val="-5"/>
        </w:rPr>
        <w:t xml:space="preserve"> </w:t>
      </w:r>
      <w:r w:rsidR="000E7207" w:rsidRPr="00A33D64">
        <w:rPr>
          <w:spacing w:val="-4"/>
        </w:rPr>
        <w:t>2024</w:t>
      </w:r>
      <w:r w:rsidR="00A33D64">
        <w:tab/>
      </w:r>
    </w:p>
    <w:p w14:paraId="6BFD700F" w14:textId="5C90F336" w:rsidR="009C36E3" w:rsidRDefault="000E7207" w:rsidP="00E84525">
      <w:pPr>
        <w:pStyle w:val="Heading1"/>
      </w:pPr>
      <w:r w:rsidRPr="00E84525">
        <w:lastRenderedPageBreak/>
        <w:t>Contents</w:t>
      </w:r>
    </w:p>
    <w:sdt>
      <w:sdtPr>
        <w:rPr>
          <w:b w:val="0"/>
          <w:bCs w:val="0"/>
          <w:sz w:val="22"/>
          <w:szCs w:val="22"/>
        </w:rPr>
        <w:id w:val="-706641160"/>
        <w:docPartObj>
          <w:docPartGallery w:val="Table of Contents"/>
          <w:docPartUnique/>
        </w:docPartObj>
      </w:sdtPr>
      <w:sdtEndPr>
        <w:rPr>
          <w:sz w:val="20"/>
          <w:szCs w:val="20"/>
        </w:rPr>
      </w:sdtEndPr>
      <w:sdtContent>
        <w:p w14:paraId="74C0DE31" w14:textId="77777777" w:rsidR="009C36E3" w:rsidRDefault="000E7207">
          <w:pPr>
            <w:pStyle w:val="TOC1"/>
            <w:numPr>
              <w:ilvl w:val="0"/>
              <w:numId w:val="35"/>
            </w:numPr>
            <w:tabs>
              <w:tab w:val="left" w:pos="1338"/>
              <w:tab w:val="right" w:leader="dot" w:pos="10967"/>
            </w:tabs>
            <w:spacing w:before="301"/>
            <w:ind w:hanging="566"/>
          </w:pPr>
          <w:r>
            <w:fldChar w:fldCharType="begin"/>
          </w:r>
          <w:r>
            <w:instrText xml:space="preserve">TOC \o "1-2" \h \z \u </w:instrText>
          </w:r>
          <w:r>
            <w:fldChar w:fldCharType="separate"/>
          </w:r>
          <w:hyperlink w:anchor="_bookmark4" w:history="1">
            <w:r>
              <w:rPr>
                <w:spacing w:val="-2"/>
              </w:rPr>
              <w:t>Introduction</w:t>
            </w:r>
            <w:r>
              <w:tab/>
            </w:r>
            <w:r>
              <w:rPr>
                <w:spacing w:val="-10"/>
              </w:rPr>
              <w:t>6</w:t>
            </w:r>
          </w:hyperlink>
        </w:p>
        <w:p w14:paraId="2618E9A0" w14:textId="77777777" w:rsidR="009C36E3" w:rsidRDefault="00BE49B5">
          <w:pPr>
            <w:pStyle w:val="TOC2"/>
            <w:numPr>
              <w:ilvl w:val="1"/>
              <w:numId w:val="35"/>
            </w:numPr>
            <w:tabs>
              <w:tab w:val="left" w:pos="1904"/>
              <w:tab w:val="right" w:leader="dot" w:pos="10967"/>
            </w:tabs>
            <w:ind w:hanging="566"/>
          </w:pPr>
          <w:hyperlink w:anchor="_bookmark5" w:history="1">
            <w:r w:rsidR="000E7207">
              <w:t>Background</w:t>
            </w:r>
            <w:r w:rsidR="000E7207">
              <w:rPr>
                <w:spacing w:val="-7"/>
              </w:rPr>
              <w:t xml:space="preserve"> </w:t>
            </w:r>
            <w:r w:rsidR="000E7207">
              <w:t>and</w:t>
            </w:r>
            <w:r w:rsidR="000E7207">
              <w:rPr>
                <w:spacing w:val="-6"/>
              </w:rPr>
              <w:t xml:space="preserve"> </w:t>
            </w:r>
            <w:r w:rsidR="000E7207">
              <w:t>overview</w:t>
            </w:r>
            <w:r w:rsidR="000E7207">
              <w:rPr>
                <w:spacing w:val="-4"/>
              </w:rPr>
              <w:t xml:space="preserve"> </w:t>
            </w:r>
            <w:r w:rsidR="000E7207">
              <w:t>of</w:t>
            </w:r>
            <w:r w:rsidR="000E7207">
              <w:rPr>
                <w:spacing w:val="-6"/>
              </w:rPr>
              <w:t xml:space="preserve"> </w:t>
            </w:r>
            <w:r w:rsidR="000E7207">
              <w:t>the</w:t>
            </w:r>
            <w:r w:rsidR="000E7207">
              <w:rPr>
                <w:spacing w:val="-7"/>
              </w:rPr>
              <w:t xml:space="preserve"> </w:t>
            </w:r>
            <w:r w:rsidR="000E7207">
              <w:rPr>
                <w:spacing w:val="-2"/>
              </w:rPr>
              <w:t>Program</w:t>
            </w:r>
            <w:r w:rsidR="000E7207">
              <w:tab/>
            </w:r>
            <w:r w:rsidR="000E7207">
              <w:rPr>
                <w:spacing w:val="-10"/>
              </w:rPr>
              <w:t>6</w:t>
            </w:r>
          </w:hyperlink>
        </w:p>
        <w:p w14:paraId="24C7614A" w14:textId="77777777" w:rsidR="009C36E3" w:rsidRDefault="00BE49B5">
          <w:pPr>
            <w:pStyle w:val="TOC2"/>
            <w:numPr>
              <w:ilvl w:val="1"/>
              <w:numId w:val="35"/>
            </w:numPr>
            <w:tabs>
              <w:tab w:val="left" w:pos="1904"/>
              <w:tab w:val="right" w:leader="dot" w:pos="10967"/>
            </w:tabs>
            <w:spacing w:before="121"/>
            <w:ind w:hanging="566"/>
          </w:pPr>
          <w:hyperlink w:anchor="_bookmark8" w:history="1">
            <w:r w:rsidR="000E7207">
              <w:t>Mid-Term</w:t>
            </w:r>
            <w:r w:rsidR="000E7207">
              <w:rPr>
                <w:spacing w:val="-8"/>
              </w:rPr>
              <w:t xml:space="preserve"> </w:t>
            </w:r>
            <w:r w:rsidR="000E7207">
              <w:t>Review</w:t>
            </w:r>
            <w:r w:rsidR="000E7207">
              <w:rPr>
                <w:spacing w:val="-9"/>
              </w:rPr>
              <w:t xml:space="preserve"> </w:t>
            </w:r>
            <w:r w:rsidR="000E7207">
              <w:t>purpose</w:t>
            </w:r>
            <w:r w:rsidR="000E7207">
              <w:rPr>
                <w:spacing w:val="-7"/>
              </w:rPr>
              <w:t xml:space="preserve"> </w:t>
            </w:r>
            <w:r w:rsidR="000E7207">
              <w:t>and</w:t>
            </w:r>
            <w:r w:rsidR="000E7207">
              <w:rPr>
                <w:spacing w:val="-7"/>
              </w:rPr>
              <w:t xml:space="preserve"> </w:t>
            </w:r>
            <w:r w:rsidR="000E7207">
              <w:rPr>
                <w:spacing w:val="-2"/>
              </w:rPr>
              <w:t>objectives</w:t>
            </w:r>
            <w:r w:rsidR="000E7207">
              <w:tab/>
            </w:r>
            <w:r w:rsidR="000E7207">
              <w:rPr>
                <w:spacing w:val="-10"/>
              </w:rPr>
              <w:t>7</w:t>
            </w:r>
          </w:hyperlink>
        </w:p>
        <w:p w14:paraId="0FEC1646" w14:textId="77777777" w:rsidR="009C36E3" w:rsidRDefault="00BE49B5">
          <w:pPr>
            <w:pStyle w:val="TOC2"/>
            <w:numPr>
              <w:ilvl w:val="1"/>
              <w:numId w:val="35"/>
            </w:numPr>
            <w:tabs>
              <w:tab w:val="left" w:pos="1904"/>
              <w:tab w:val="right" w:leader="dot" w:pos="10967"/>
            </w:tabs>
            <w:spacing w:before="118"/>
            <w:ind w:hanging="566"/>
          </w:pPr>
          <w:hyperlink w:anchor="_bookmark9" w:history="1">
            <w:r w:rsidR="000E7207">
              <w:t>Key</w:t>
            </w:r>
            <w:r w:rsidR="000E7207">
              <w:rPr>
                <w:spacing w:val="-9"/>
              </w:rPr>
              <w:t xml:space="preserve"> </w:t>
            </w:r>
            <w:r w:rsidR="000E7207">
              <w:t>Review</w:t>
            </w:r>
            <w:r w:rsidR="000E7207">
              <w:rPr>
                <w:spacing w:val="-8"/>
              </w:rPr>
              <w:t xml:space="preserve"> </w:t>
            </w:r>
            <w:r w:rsidR="000E7207">
              <w:t>Questions</w:t>
            </w:r>
            <w:r w:rsidR="000E7207">
              <w:rPr>
                <w:spacing w:val="-6"/>
              </w:rPr>
              <w:t xml:space="preserve"> </w:t>
            </w:r>
            <w:r w:rsidR="000E7207">
              <w:rPr>
                <w:spacing w:val="-4"/>
              </w:rPr>
              <w:t>(KRQ)</w:t>
            </w:r>
            <w:r w:rsidR="000E7207">
              <w:tab/>
            </w:r>
            <w:r w:rsidR="000E7207">
              <w:rPr>
                <w:spacing w:val="-10"/>
              </w:rPr>
              <w:t>7</w:t>
            </w:r>
          </w:hyperlink>
        </w:p>
        <w:p w14:paraId="6F1F2C5B" w14:textId="77777777" w:rsidR="009C36E3" w:rsidRDefault="00BE49B5">
          <w:pPr>
            <w:pStyle w:val="TOC1"/>
            <w:numPr>
              <w:ilvl w:val="0"/>
              <w:numId w:val="35"/>
            </w:numPr>
            <w:tabs>
              <w:tab w:val="left" w:pos="1338"/>
              <w:tab w:val="right" w:leader="dot" w:pos="10964"/>
            </w:tabs>
            <w:ind w:hanging="566"/>
          </w:pPr>
          <w:hyperlink w:anchor="_bookmark12" w:history="1">
            <w:r w:rsidR="000E7207">
              <w:rPr>
                <w:spacing w:val="-2"/>
              </w:rPr>
              <w:t>Methodology</w:t>
            </w:r>
            <w:r w:rsidR="000E7207">
              <w:tab/>
            </w:r>
            <w:r w:rsidR="000E7207">
              <w:rPr>
                <w:spacing w:val="-5"/>
              </w:rPr>
              <w:t>10</w:t>
            </w:r>
          </w:hyperlink>
        </w:p>
        <w:p w14:paraId="19F5905A" w14:textId="77777777" w:rsidR="009C36E3" w:rsidRDefault="00BE49B5">
          <w:pPr>
            <w:pStyle w:val="TOC2"/>
            <w:numPr>
              <w:ilvl w:val="1"/>
              <w:numId w:val="35"/>
            </w:numPr>
            <w:tabs>
              <w:tab w:val="left" w:pos="1904"/>
              <w:tab w:val="right" w:leader="dot" w:pos="10964"/>
            </w:tabs>
            <w:ind w:hanging="566"/>
          </w:pPr>
          <w:hyperlink w:anchor="_bookmark13" w:history="1">
            <w:r w:rsidR="000E7207">
              <w:t>Method</w:t>
            </w:r>
            <w:r w:rsidR="000E7207">
              <w:rPr>
                <w:spacing w:val="-9"/>
              </w:rPr>
              <w:t xml:space="preserve"> </w:t>
            </w:r>
            <w:r w:rsidR="000E7207">
              <w:t>and</w:t>
            </w:r>
            <w:r w:rsidR="000E7207">
              <w:rPr>
                <w:spacing w:val="-4"/>
              </w:rPr>
              <w:t xml:space="preserve"> </w:t>
            </w:r>
            <w:r w:rsidR="000E7207">
              <w:rPr>
                <w:spacing w:val="-2"/>
              </w:rPr>
              <w:t>approach</w:t>
            </w:r>
            <w:r w:rsidR="000E7207">
              <w:tab/>
            </w:r>
            <w:r w:rsidR="000E7207">
              <w:rPr>
                <w:spacing w:val="-7"/>
              </w:rPr>
              <w:t>10</w:t>
            </w:r>
          </w:hyperlink>
        </w:p>
        <w:p w14:paraId="7CAF98BF" w14:textId="77777777" w:rsidR="009C36E3" w:rsidRDefault="00BE49B5">
          <w:pPr>
            <w:pStyle w:val="TOC2"/>
            <w:numPr>
              <w:ilvl w:val="1"/>
              <w:numId w:val="35"/>
            </w:numPr>
            <w:tabs>
              <w:tab w:val="left" w:pos="1904"/>
              <w:tab w:val="right" w:leader="dot" w:pos="10964"/>
            </w:tabs>
            <w:spacing w:before="121"/>
            <w:ind w:hanging="566"/>
          </w:pPr>
          <w:hyperlink w:anchor="_bookmark15" w:history="1">
            <w:r w:rsidR="000E7207">
              <w:t>Challenges</w:t>
            </w:r>
            <w:r w:rsidR="000E7207">
              <w:rPr>
                <w:spacing w:val="-9"/>
              </w:rPr>
              <w:t xml:space="preserve"> </w:t>
            </w:r>
            <w:r w:rsidR="000E7207">
              <w:t>and</w:t>
            </w:r>
            <w:r w:rsidR="000E7207">
              <w:rPr>
                <w:spacing w:val="-7"/>
              </w:rPr>
              <w:t xml:space="preserve"> </w:t>
            </w:r>
            <w:r w:rsidR="000E7207">
              <w:rPr>
                <w:spacing w:val="-2"/>
              </w:rPr>
              <w:t>limitations</w:t>
            </w:r>
            <w:r w:rsidR="000E7207">
              <w:tab/>
            </w:r>
            <w:r w:rsidR="000E7207">
              <w:rPr>
                <w:spacing w:val="-7"/>
              </w:rPr>
              <w:t>11</w:t>
            </w:r>
          </w:hyperlink>
        </w:p>
        <w:p w14:paraId="7783BF3C" w14:textId="77777777" w:rsidR="009C36E3" w:rsidRDefault="00BE49B5">
          <w:pPr>
            <w:pStyle w:val="TOC1"/>
            <w:numPr>
              <w:ilvl w:val="0"/>
              <w:numId w:val="35"/>
            </w:numPr>
            <w:tabs>
              <w:tab w:val="left" w:pos="1338"/>
              <w:tab w:val="right" w:leader="dot" w:pos="10964"/>
            </w:tabs>
            <w:ind w:hanging="566"/>
          </w:pPr>
          <w:hyperlink w:anchor="_bookmark17" w:history="1">
            <w:r w:rsidR="000E7207">
              <w:rPr>
                <w:spacing w:val="-2"/>
              </w:rPr>
              <w:t>Findings</w:t>
            </w:r>
            <w:r w:rsidR="000E7207">
              <w:tab/>
            </w:r>
            <w:r w:rsidR="000E7207">
              <w:rPr>
                <w:spacing w:val="-5"/>
              </w:rPr>
              <w:t>12</w:t>
            </w:r>
          </w:hyperlink>
        </w:p>
        <w:p w14:paraId="144C57B6" w14:textId="77777777" w:rsidR="009C36E3" w:rsidRDefault="00BE49B5">
          <w:pPr>
            <w:pStyle w:val="TOC2"/>
            <w:numPr>
              <w:ilvl w:val="1"/>
              <w:numId w:val="35"/>
            </w:numPr>
            <w:tabs>
              <w:tab w:val="left" w:pos="1904"/>
              <w:tab w:val="right" w:leader="dot" w:pos="10964"/>
            </w:tabs>
            <w:spacing w:before="121"/>
            <w:ind w:hanging="566"/>
          </w:pPr>
          <w:hyperlink w:anchor="_bookmark18" w:history="1">
            <w:r w:rsidR="000E7207">
              <w:rPr>
                <w:spacing w:val="-2"/>
              </w:rPr>
              <w:t>Effectiveness</w:t>
            </w:r>
            <w:r w:rsidR="000E7207">
              <w:tab/>
            </w:r>
            <w:r w:rsidR="000E7207">
              <w:rPr>
                <w:spacing w:val="-5"/>
              </w:rPr>
              <w:t>12</w:t>
            </w:r>
          </w:hyperlink>
        </w:p>
        <w:p w14:paraId="4FCD9EC8" w14:textId="77777777" w:rsidR="009C36E3" w:rsidRDefault="00BE49B5">
          <w:pPr>
            <w:pStyle w:val="TOC2"/>
            <w:numPr>
              <w:ilvl w:val="1"/>
              <w:numId w:val="35"/>
            </w:numPr>
            <w:tabs>
              <w:tab w:val="left" w:pos="1904"/>
              <w:tab w:val="right" w:leader="dot" w:pos="10964"/>
            </w:tabs>
            <w:spacing w:before="118"/>
            <w:ind w:hanging="566"/>
          </w:pPr>
          <w:hyperlink w:anchor="_bookmark34" w:history="1">
            <w:r w:rsidR="000E7207">
              <w:rPr>
                <w:spacing w:val="-2"/>
              </w:rPr>
              <w:t>Efficiency</w:t>
            </w:r>
            <w:r w:rsidR="000E7207">
              <w:tab/>
            </w:r>
            <w:r w:rsidR="000E7207">
              <w:rPr>
                <w:spacing w:val="-5"/>
              </w:rPr>
              <w:t>27</w:t>
            </w:r>
          </w:hyperlink>
        </w:p>
        <w:p w14:paraId="1E514B4E" w14:textId="77777777" w:rsidR="009C36E3" w:rsidRDefault="00BE49B5">
          <w:pPr>
            <w:pStyle w:val="TOC2"/>
            <w:numPr>
              <w:ilvl w:val="1"/>
              <w:numId w:val="35"/>
            </w:numPr>
            <w:tabs>
              <w:tab w:val="left" w:pos="1904"/>
              <w:tab w:val="right" w:leader="dot" w:pos="10964"/>
            </w:tabs>
            <w:ind w:hanging="566"/>
          </w:pPr>
          <w:hyperlink w:anchor="_bookmark39" w:history="1">
            <w:r w:rsidR="000E7207">
              <w:t>Relevance,</w:t>
            </w:r>
            <w:r w:rsidR="000E7207">
              <w:rPr>
                <w:spacing w:val="-12"/>
              </w:rPr>
              <w:t xml:space="preserve"> </w:t>
            </w:r>
            <w:r w:rsidR="000E7207">
              <w:t>appropriateness,</w:t>
            </w:r>
            <w:r w:rsidR="000E7207">
              <w:rPr>
                <w:spacing w:val="-11"/>
              </w:rPr>
              <w:t xml:space="preserve"> </w:t>
            </w:r>
            <w:r w:rsidR="000E7207">
              <w:t>and</w:t>
            </w:r>
            <w:r w:rsidR="000E7207">
              <w:rPr>
                <w:spacing w:val="-12"/>
              </w:rPr>
              <w:t xml:space="preserve"> </w:t>
            </w:r>
            <w:r w:rsidR="000E7207">
              <w:rPr>
                <w:spacing w:val="-2"/>
              </w:rPr>
              <w:t>sustainability</w:t>
            </w:r>
            <w:r w:rsidR="000E7207">
              <w:tab/>
            </w:r>
            <w:r w:rsidR="000E7207">
              <w:rPr>
                <w:spacing w:val="-5"/>
              </w:rPr>
              <w:t>32</w:t>
            </w:r>
          </w:hyperlink>
        </w:p>
        <w:p w14:paraId="2FC2B159" w14:textId="77777777" w:rsidR="009C36E3" w:rsidRDefault="00BE49B5">
          <w:pPr>
            <w:pStyle w:val="TOC1"/>
            <w:numPr>
              <w:ilvl w:val="0"/>
              <w:numId w:val="35"/>
            </w:numPr>
            <w:tabs>
              <w:tab w:val="left" w:pos="1338"/>
              <w:tab w:val="right" w:leader="dot" w:pos="10964"/>
            </w:tabs>
            <w:spacing w:before="241"/>
            <w:ind w:hanging="566"/>
          </w:pPr>
          <w:hyperlink w:anchor="_bookmark43" w:history="1">
            <w:r w:rsidR="000E7207">
              <w:t>Future</w:t>
            </w:r>
            <w:r w:rsidR="000E7207">
              <w:rPr>
                <w:spacing w:val="-9"/>
              </w:rPr>
              <w:t xml:space="preserve"> </w:t>
            </w:r>
            <w:r w:rsidR="000E7207">
              <w:rPr>
                <w:spacing w:val="-2"/>
              </w:rPr>
              <w:t>focus</w:t>
            </w:r>
            <w:r w:rsidR="000E7207">
              <w:tab/>
            </w:r>
            <w:r w:rsidR="000E7207">
              <w:rPr>
                <w:spacing w:val="-5"/>
              </w:rPr>
              <w:t>37</w:t>
            </w:r>
          </w:hyperlink>
        </w:p>
        <w:p w14:paraId="226630FA" w14:textId="0B784F47" w:rsidR="009C36E3" w:rsidRPr="00F55CD1" w:rsidRDefault="00BE49B5" w:rsidP="00F55CD1">
          <w:pPr>
            <w:pStyle w:val="TOC2"/>
            <w:numPr>
              <w:ilvl w:val="1"/>
              <w:numId w:val="35"/>
            </w:numPr>
            <w:tabs>
              <w:tab w:val="left" w:pos="1904"/>
              <w:tab w:val="right" w:leader="dot" w:pos="10964"/>
            </w:tabs>
            <w:ind w:hanging="566"/>
          </w:pPr>
          <w:hyperlink w:anchor="_bookmark44" w:history="1">
            <w:r w:rsidR="000E7207">
              <w:t>Adaptations</w:t>
            </w:r>
            <w:r w:rsidR="000E7207" w:rsidRPr="00F55CD1">
              <w:rPr>
                <w:spacing w:val="-6"/>
              </w:rPr>
              <w:t xml:space="preserve"> </w:t>
            </w:r>
            <w:r w:rsidR="000E7207">
              <w:t>and</w:t>
            </w:r>
            <w:r w:rsidR="000E7207" w:rsidRPr="00F55CD1">
              <w:rPr>
                <w:spacing w:val="-5"/>
              </w:rPr>
              <w:t xml:space="preserve"> </w:t>
            </w:r>
            <w:r w:rsidR="000E7207">
              <w:t>recommendations</w:t>
            </w:r>
            <w:r w:rsidR="000E7207" w:rsidRPr="00F55CD1">
              <w:rPr>
                <w:spacing w:val="-6"/>
              </w:rPr>
              <w:t xml:space="preserve"> </w:t>
            </w:r>
            <w:r w:rsidR="000E7207">
              <w:t>until</w:t>
            </w:r>
            <w:r w:rsidR="000E7207" w:rsidRPr="00F55CD1">
              <w:rPr>
                <w:spacing w:val="-7"/>
              </w:rPr>
              <w:t xml:space="preserve"> </w:t>
            </w:r>
            <w:r w:rsidR="000E7207">
              <w:t>the</w:t>
            </w:r>
            <w:r w:rsidR="000E7207" w:rsidRPr="00F55CD1">
              <w:rPr>
                <w:spacing w:val="-7"/>
              </w:rPr>
              <w:t xml:space="preserve"> </w:t>
            </w:r>
            <w:r w:rsidR="000E7207">
              <w:t>end</w:t>
            </w:r>
            <w:r w:rsidR="000E7207" w:rsidRPr="00F55CD1">
              <w:rPr>
                <w:spacing w:val="-7"/>
              </w:rPr>
              <w:t xml:space="preserve"> </w:t>
            </w:r>
            <w:r w:rsidR="000E7207">
              <w:t>of</w:t>
            </w:r>
            <w:r w:rsidR="000E7207" w:rsidRPr="00F55CD1">
              <w:rPr>
                <w:spacing w:val="-6"/>
              </w:rPr>
              <w:t xml:space="preserve"> </w:t>
            </w:r>
            <w:r w:rsidR="000E7207">
              <w:t>this</w:t>
            </w:r>
            <w:r w:rsidR="000E7207" w:rsidRPr="00F55CD1">
              <w:rPr>
                <w:spacing w:val="-3"/>
              </w:rPr>
              <w:t xml:space="preserve"> </w:t>
            </w:r>
            <w:r w:rsidR="000E7207">
              <w:t>phase</w:t>
            </w:r>
            <w:r w:rsidR="000E7207" w:rsidRPr="00F55CD1">
              <w:rPr>
                <w:spacing w:val="-5"/>
              </w:rPr>
              <w:t xml:space="preserve"> </w:t>
            </w:r>
            <w:r w:rsidR="000E7207">
              <w:t>of</w:t>
            </w:r>
            <w:r w:rsidR="000E7207" w:rsidRPr="00F55CD1">
              <w:rPr>
                <w:spacing w:val="-7"/>
              </w:rPr>
              <w:t xml:space="preserve"> </w:t>
            </w:r>
            <w:r w:rsidR="000E7207" w:rsidRPr="00F55CD1">
              <w:rPr>
                <w:spacing w:val="-2"/>
              </w:rPr>
              <w:t>VAPJP</w:t>
            </w:r>
            <w:r w:rsidR="000E7207">
              <w:tab/>
            </w:r>
            <w:r w:rsidR="000E7207" w:rsidRPr="00F55CD1">
              <w:rPr>
                <w:spacing w:val="-5"/>
              </w:rPr>
              <w:t>37</w:t>
            </w:r>
          </w:hyperlink>
          <w:r w:rsidR="000E7207">
            <w:fldChar w:fldCharType="end"/>
          </w:r>
        </w:p>
      </w:sdtContent>
    </w:sdt>
    <w:p w14:paraId="35A02019" w14:textId="77777777" w:rsidR="009C36E3" w:rsidRDefault="000E7207" w:rsidP="000F6E15">
      <w:pPr>
        <w:pStyle w:val="Heading1"/>
        <w:spacing w:before="360"/>
        <w:ind w:left="771"/>
      </w:pPr>
      <w:r>
        <w:t>Annexes</w:t>
      </w:r>
    </w:p>
    <w:p w14:paraId="5AFC236A" w14:textId="77777777" w:rsidR="009C36E3" w:rsidRDefault="000E7207">
      <w:pPr>
        <w:pStyle w:val="BodyText"/>
        <w:tabs>
          <w:tab w:val="left" w:pos="2211"/>
        </w:tabs>
        <w:spacing w:before="299"/>
        <w:ind w:left="772"/>
      </w:pPr>
      <w:r>
        <w:t>Annex</w:t>
      </w:r>
      <w:r>
        <w:rPr>
          <w:spacing w:val="-7"/>
        </w:rPr>
        <w:t xml:space="preserve"> </w:t>
      </w:r>
      <w:r>
        <w:rPr>
          <w:spacing w:val="-10"/>
        </w:rPr>
        <w:t>1</w:t>
      </w:r>
      <w:r>
        <w:tab/>
      </w:r>
      <w:r>
        <w:rPr>
          <w:spacing w:val="-2"/>
        </w:rPr>
        <w:t>Consultation</w:t>
      </w:r>
      <w:r>
        <w:rPr>
          <w:spacing w:val="9"/>
        </w:rPr>
        <w:t xml:space="preserve"> </w:t>
      </w:r>
      <w:r>
        <w:rPr>
          <w:spacing w:val="-4"/>
        </w:rPr>
        <w:t>List</w:t>
      </w:r>
    </w:p>
    <w:p w14:paraId="15E78C87" w14:textId="77777777" w:rsidR="009C36E3" w:rsidRDefault="000E7207">
      <w:pPr>
        <w:pStyle w:val="BodyText"/>
        <w:tabs>
          <w:tab w:val="left" w:pos="2211"/>
        </w:tabs>
        <w:spacing w:before="120"/>
      </w:pPr>
      <w:r>
        <w:t>Annex</w:t>
      </w:r>
      <w:r>
        <w:rPr>
          <w:spacing w:val="-7"/>
        </w:rPr>
        <w:t xml:space="preserve"> </w:t>
      </w:r>
      <w:r>
        <w:rPr>
          <w:spacing w:val="-10"/>
        </w:rPr>
        <w:t>2</w:t>
      </w:r>
      <w:r>
        <w:tab/>
      </w:r>
      <w:r>
        <w:rPr>
          <w:spacing w:val="-2"/>
        </w:rPr>
        <w:t>Bibliography</w:t>
      </w:r>
    </w:p>
    <w:p w14:paraId="6F06C38C" w14:textId="77777777" w:rsidR="009C36E3" w:rsidRDefault="000E7207">
      <w:pPr>
        <w:pStyle w:val="BodyText"/>
        <w:tabs>
          <w:tab w:val="left" w:pos="2211"/>
        </w:tabs>
        <w:spacing w:before="121" w:line="362" w:lineRule="auto"/>
        <w:ind w:left="772" w:right="4061" w:hanging="1"/>
      </w:pPr>
      <w:r>
        <w:t>Annex 3</w:t>
      </w:r>
      <w:r>
        <w:tab/>
        <w:t>Evidence Matrix Against Key Review Questions</w:t>
      </w:r>
      <w:r>
        <w:rPr>
          <w:spacing w:val="40"/>
        </w:rPr>
        <w:t xml:space="preserve"> </w:t>
      </w:r>
      <w:r>
        <w:t>Annex 4</w:t>
      </w:r>
      <w:r>
        <w:tab/>
      </w:r>
      <w:r>
        <w:rPr>
          <w:spacing w:val="-56"/>
        </w:rPr>
        <w:t xml:space="preserve"> </w:t>
      </w:r>
      <w:r>
        <w:t>VAPJP</w:t>
      </w:r>
      <w:r>
        <w:rPr>
          <w:spacing w:val="-7"/>
        </w:rPr>
        <w:t xml:space="preserve"> </w:t>
      </w:r>
      <w:r>
        <w:t>Design</w:t>
      </w:r>
      <w:r>
        <w:rPr>
          <w:spacing w:val="-6"/>
        </w:rPr>
        <w:t xml:space="preserve"> </w:t>
      </w:r>
      <w:r>
        <w:t>Update</w:t>
      </w:r>
      <w:r>
        <w:rPr>
          <w:spacing w:val="-4"/>
        </w:rPr>
        <w:t xml:space="preserve"> </w:t>
      </w:r>
      <w:r>
        <w:t>Annex</w:t>
      </w:r>
      <w:r>
        <w:rPr>
          <w:spacing w:val="-5"/>
        </w:rPr>
        <w:t xml:space="preserve"> </w:t>
      </w:r>
      <w:r>
        <w:t>10:</w:t>
      </w:r>
      <w:r>
        <w:rPr>
          <w:spacing w:val="-6"/>
        </w:rPr>
        <w:t xml:space="preserve"> </w:t>
      </w:r>
      <w:r>
        <w:t>One</w:t>
      </w:r>
      <w:r>
        <w:rPr>
          <w:spacing w:val="-6"/>
        </w:rPr>
        <w:t xml:space="preserve"> </w:t>
      </w:r>
      <w:r>
        <w:t>Page</w:t>
      </w:r>
      <w:r>
        <w:rPr>
          <w:spacing w:val="-4"/>
        </w:rPr>
        <w:t xml:space="preserve"> </w:t>
      </w:r>
      <w:r>
        <w:t>Overview</w:t>
      </w:r>
    </w:p>
    <w:p w14:paraId="2854488B" w14:textId="77777777" w:rsidR="009C36E3" w:rsidRDefault="000E7207" w:rsidP="000F6E15">
      <w:pPr>
        <w:pStyle w:val="Heading1"/>
        <w:spacing w:before="360"/>
        <w:ind w:left="771"/>
      </w:pPr>
      <w:r>
        <w:t>List</w:t>
      </w:r>
      <w:r>
        <w:rPr>
          <w:spacing w:val="9"/>
        </w:rPr>
        <w:t xml:space="preserve"> </w:t>
      </w:r>
      <w:r>
        <w:t>of</w:t>
      </w:r>
      <w:r>
        <w:rPr>
          <w:spacing w:val="10"/>
        </w:rPr>
        <w:t xml:space="preserve"> </w:t>
      </w:r>
      <w:r>
        <w:t>Tables</w:t>
      </w:r>
    </w:p>
    <w:p w14:paraId="446FD549" w14:textId="77777777" w:rsidR="009C36E3" w:rsidRDefault="00BE49B5">
      <w:pPr>
        <w:pStyle w:val="BodyText"/>
        <w:tabs>
          <w:tab w:val="right" w:leader="dot" w:pos="10967"/>
        </w:tabs>
        <w:spacing w:before="299"/>
        <w:ind w:left="772"/>
      </w:pPr>
      <w:hyperlink w:anchor="_bookmark10" w:history="1">
        <w:r w:rsidR="000E7207">
          <w:t>Table</w:t>
        </w:r>
        <w:r w:rsidR="000E7207">
          <w:rPr>
            <w:spacing w:val="-6"/>
          </w:rPr>
          <w:t xml:space="preserve"> </w:t>
        </w:r>
        <w:r w:rsidR="000E7207">
          <w:t>1:</w:t>
        </w:r>
        <w:r w:rsidR="000E7207">
          <w:rPr>
            <w:spacing w:val="-5"/>
          </w:rPr>
          <w:t xml:space="preserve"> </w:t>
        </w:r>
        <w:r w:rsidR="000E7207">
          <w:t>Key</w:t>
        </w:r>
        <w:r w:rsidR="000E7207">
          <w:rPr>
            <w:spacing w:val="-6"/>
          </w:rPr>
          <w:t xml:space="preserve"> </w:t>
        </w:r>
        <w:r w:rsidR="000E7207">
          <w:t>Review</w:t>
        </w:r>
        <w:r w:rsidR="000E7207">
          <w:rPr>
            <w:spacing w:val="-7"/>
          </w:rPr>
          <w:t xml:space="preserve"> </w:t>
        </w:r>
        <w:r w:rsidR="000E7207">
          <w:rPr>
            <w:spacing w:val="-2"/>
          </w:rPr>
          <w:t>Questions</w:t>
        </w:r>
        <w:r w:rsidR="000E7207">
          <w:tab/>
        </w:r>
        <w:r w:rsidR="000E7207">
          <w:rPr>
            <w:spacing w:val="-10"/>
          </w:rPr>
          <w:t>7</w:t>
        </w:r>
      </w:hyperlink>
    </w:p>
    <w:p w14:paraId="115634BA" w14:textId="77777777" w:rsidR="009C36E3" w:rsidRDefault="00BE49B5">
      <w:pPr>
        <w:pStyle w:val="BodyText"/>
        <w:tabs>
          <w:tab w:val="right" w:leader="dot" w:pos="10964"/>
        </w:tabs>
        <w:spacing w:before="121"/>
        <w:ind w:left="772"/>
      </w:pPr>
      <w:hyperlink w:anchor="_bookmark16" w:history="1">
        <w:r w:rsidR="000E7207">
          <w:t>Table</w:t>
        </w:r>
        <w:r w:rsidR="000E7207">
          <w:rPr>
            <w:spacing w:val="-6"/>
          </w:rPr>
          <w:t xml:space="preserve"> </w:t>
        </w:r>
        <w:r w:rsidR="000E7207">
          <w:t>2:</w:t>
        </w:r>
        <w:r w:rsidR="000E7207">
          <w:rPr>
            <w:spacing w:val="-5"/>
          </w:rPr>
          <w:t xml:space="preserve"> </w:t>
        </w:r>
        <w:r w:rsidR="000E7207">
          <w:t>MTR</w:t>
        </w:r>
        <w:r w:rsidR="000E7207">
          <w:rPr>
            <w:spacing w:val="-7"/>
          </w:rPr>
          <w:t xml:space="preserve"> </w:t>
        </w:r>
        <w:r w:rsidR="000E7207">
          <w:t>limitations</w:t>
        </w:r>
        <w:r w:rsidR="000E7207">
          <w:rPr>
            <w:spacing w:val="-6"/>
          </w:rPr>
          <w:t xml:space="preserve"> </w:t>
        </w:r>
        <w:r w:rsidR="000E7207">
          <w:t>and</w:t>
        </w:r>
        <w:r w:rsidR="000E7207">
          <w:rPr>
            <w:spacing w:val="-7"/>
          </w:rPr>
          <w:t xml:space="preserve"> </w:t>
        </w:r>
        <w:r w:rsidR="000E7207">
          <w:rPr>
            <w:spacing w:val="-2"/>
          </w:rPr>
          <w:t>management</w:t>
        </w:r>
        <w:r w:rsidR="000E7207">
          <w:tab/>
        </w:r>
        <w:r w:rsidR="000E7207">
          <w:rPr>
            <w:spacing w:val="-5"/>
          </w:rPr>
          <w:t>11</w:t>
        </w:r>
      </w:hyperlink>
    </w:p>
    <w:p w14:paraId="333189EE" w14:textId="77777777" w:rsidR="009C36E3" w:rsidRDefault="00BE49B5">
      <w:pPr>
        <w:pStyle w:val="BodyText"/>
        <w:tabs>
          <w:tab w:val="right" w:leader="dot" w:pos="10964"/>
        </w:tabs>
        <w:spacing w:before="120"/>
        <w:ind w:left="772"/>
      </w:pPr>
      <w:hyperlink w:anchor="_bookmark38" w:history="1">
        <w:r w:rsidR="000E7207">
          <w:t>Table</w:t>
        </w:r>
        <w:r w:rsidR="000E7207">
          <w:rPr>
            <w:spacing w:val="-8"/>
          </w:rPr>
          <w:t xml:space="preserve"> </w:t>
        </w:r>
        <w:r w:rsidR="000E7207">
          <w:t>3:</w:t>
        </w:r>
        <w:r w:rsidR="000E7207">
          <w:rPr>
            <w:spacing w:val="-7"/>
          </w:rPr>
          <w:t xml:space="preserve"> </w:t>
        </w:r>
        <w:r w:rsidR="000E7207">
          <w:t>Percentage</w:t>
        </w:r>
        <w:r w:rsidR="000E7207">
          <w:rPr>
            <w:spacing w:val="-9"/>
          </w:rPr>
          <w:t xml:space="preserve"> </w:t>
        </w:r>
        <w:r w:rsidR="000E7207">
          <w:t>expenditure</w:t>
        </w:r>
        <w:r w:rsidR="000E7207">
          <w:rPr>
            <w:spacing w:val="-7"/>
          </w:rPr>
          <w:t xml:space="preserve"> </w:t>
        </w:r>
        <w:r w:rsidR="000E7207">
          <w:t>across</w:t>
        </w:r>
        <w:r w:rsidR="000E7207">
          <w:rPr>
            <w:spacing w:val="-8"/>
          </w:rPr>
          <w:t xml:space="preserve"> </w:t>
        </w:r>
        <w:r w:rsidR="000E7207">
          <w:rPr>
            <w:spacing w:val="-2"/>
          </w:rPr>
          <w:t>sectors</w:t>
        </w:r>
        <w:r w:rsidR="000E7207">
          <w:tab/>
        </w:r>
        <w:r w:rsidR="000E7207">
          <w:rPr>
            <w:spacing w:val="-5"/>
          </w:rPr>
          <w:t>32</w:t>
        </w:r>
      </w:hyperlink>
    </w:p>
    <w:p w14:paraId="0E853872" w14:textId="77777777" w:rsidR="009C36E3" w:rsidRDefault="000E7207" w:rsidP="000F6E15">
      <w:pPr>
        <w:pStyle w:val="Heading1"/>
        <w:spacing w:before="360"/>
        <w:ind w:left="771"/>
      </w:pPr>
      <w:r>
        <w:t>List</w:t>
      </w:r>
      <w:r>
        <w:rPr>
          <w:spacing w:val="9"/>
        </w:rPr>
        <w:t xml:space="preserve"> </w:t>
      </w:r>
      <w:r>
        <w:t>of</w:t>
      </w:r>
      <w:r>
        <w:rPr>
          <w:spacing w:val="10"/>
        </w:rPr>
        <w:t xml:space="preserve"> </w:t>
      </w:r>
      <w:r>
        <w:t>Figures</w:t>
      </w:r>
    </w:p>
    <w:p w14:paraId="27D31DBF" w14:textId="77777777" w:rsidR="009C36E3" w:rsidRDefault="00BE49B5">
      <w:pPr>
        <w:pStyle w:val="BodyText"/>
        <w:tabs>
          <w:tab w:val="right" w:leader="dot" w:pos="10964"/>
        </w:tabs>
        <w:spacing w:before="299"/>
        <w:ind w:left="772"/>
      </w:pPr>
      <w:hyperlink w:anchor="_bookmark21" w:history="1">
        <w:r w:rsidR="000E7207">
          <w:t>Figure</w:t>
        </w:r>
        <w:r w:rsidR="000E7207">
          <w:rPr>
            <w:spacing w:val="-5"/>
          </w:rPr>
          <w:t xml:space="preserve"> </w:t>
        </w:r>
        <w:r w:rsidR="000E7207">
          <w:t>1:</w:t>
        </w:r>
        <w:r w:rsidR="000E7207">
          <w:rPr>
            <w:spacing w:val="-4"/>
          </w:rPr>
          <w:t xml:space="preserve"> </w:t>
        </w:r>
        <w:r w:rsidR="000E7207">
          <w:t>A</w:t>
        </w:r>
        <w:r w:rsidR="000E7207">
          <w:rPr>
            <w:spacing w:val="-6"/>
          </w:rPr>
          <w:t xml:space="preserve"> </w:t>
        </w:r>
        <w:r w:rsidR="000E7207">
          <w:t>snapshot</w:t>
        </w:r>
        <w:r w:rsidR="000E7207">
          <w:rPr>
            <w:spacing w:val="-5"/>
          </w:rPr>
          <w:t xml:space="preserve"> </w:t>
        </w:r>
        <w:r w:rsidR="000E7207">
          <w:t>of</w:t>
        </w:r>
        <w:r w:rsidR="000E7207">
          <w:rPr>
            <w:spacing w:val="-5"/>
          </w:rPr>
          <w:t xml:space="preserve"> </w:t>
        </w:r>
        <w:r w:rsidR="000E7207">
          <w:t>VAPJP</w:t>
        </w:r>
        <w:r w:rsidR="000E7207">
          <w:rPr>
            <w:spacing w:val="-7"/>
          </w:rPr>
          <w:t xml:space="preserve"> </w:t>
        </w:r>
        <w:r w:rsidR="000E7207">
          <w:rPr>
            <w:spacing w:val="-2"/>
          </w:rPr>
          <w:t>achievements</w:t>
        </w:r>
        <w:r w:rsidR="000E7207">
          <w:tab/>
        </w:r>
        <w:r w:rsidR="000E7207">
          <w:rPr>
            <w:spacing w:val="-5"/>
          </w:rPr>
          <w:t>14</w:t>
        </w:r>
      </w:hyperlink>
    </w:p>
    <w:p w14:paraId="6928E1EE" w14:textId="77777777" w:rsidR="009C36E3" w:rsidRDefault="00BE49B5">
      <w:pPr>
        <w:pStyle w:val="BodyText"/>
        <w:tabs>
          <w:tab w:val="right" w:leader="dot" w:pos="10964"/>
        </w:tabs>
        <w:spacing w:before="121"/>
        <w:ind w:left="772"/>
      </w:pPr>
      <w:hyperlink w:anchor="_bookmark36" w:history="1">
        <w:r w:rsidR="000E7207">
          <w:t>Figure</w:t>
        </w:r>
        <w:r w:rsidR="000E7207">
          <w:rPr>
            <w:spacing w:val="-7"/>
          </w:rPr>
          <w:t xml:space="preserve"> </w:t>
        </w:r>
        <w:r w:rsidR="000E7207">
          <w:t>2:</w:t>
        </w:r>
        <w:r w:rsidR="000E7207">
          <w:rPr>
            <w:spacing w:val="-9"/>
          </w:rPr>
          <w:t xml:space="preserve"> </w:t>
        </w:r>
        <w:r w:rsidR="000E7207">
          <w:t>The</w:t>
        </w:r>
        <w:r w:rsidR="000E7207">
          <w:rPr>
            <w:spacing w:val="-8"/>
          </w:rPr>
          <w:t xml:space="preserve"> </w:t>
        </w:r>
        <w:r w:rsidR="000E7207">
          <w:t>Program’s</w:t>
        </w:r>
        <w:r w:rsidR="000E7207">
          <w:rPr>
            <w:spacing w:val="-8"/>
          </w:rPr>
          <w:t xml:space="preserve"> </w:t>
        </w:r>
        <w:r w:rsidR="000E7207">
          <w:t>Governance</w:t>
        </w:r>
        <w:r w:rsidR="000E7207">
          <w:rPr>
            <w:spacing w:val="-7"/>
          </w:rPr>
          <w:t xml:space="preserve"> </w:t>
        </w:r>
        <w:r w:rsidR="000E7207">
          <w:t>Structure</w:t>
        </w:r>
        <w:r w:rsidR="000E7207">
          <w:rPr>
            <w:spacing w:val="-6"/>
          </w:rPr>
          <w:t xml:space="preserve"> </w:t>
        </w:r>
        <w:r w:rsidR="000E7207">
          <w:t>(2020</w:t>
        </w:r>
        <w:r w:rsidR="000E7207">
          <w:rPr>
            <w:spacing w:val="-7"/>
          </w:rPr>
          <w:t xml:space="preserve"> </w:t>
        </w:r>
        <w:r w:rsidR="000E7207">
          <w:t>Design</w:t>
        </w:r>
        <w:r w:rsidR="000E7207">
          <w:rPr>
            <w:spacing w:val="-7"/>
          </w:rPr>
          <w:t xml:space="preserve"> </w:t>
        </w:r>
        <w:r w:rsidR="000E7207">
          <w:rPr>
            <w:spacing w:val="-2"/>
          </w:rPr>
          <w:t>Update)</w:t>
        </w:r>
        <w:r w:rsidR="000E7207">
          <w:tab/>
        </w:r>
        <w:r w:rsidR="000E7207">
          <w:rPr>
            <w:spacing w:val="-5"/>
          </w:rPr>
          <w:t>29</w:t>
        </w:r>
      </w:hyperlink>
    </w:p>
    <w:p w14:paraId="6070547B" w14:textId="77777777" w:rsidR="009C36E3" w:rsidRDefault="00BE49B5">
      <w:pPr>
        <w:pStyle w:val="BodyText"/>
        <w:tabs>
          <w:tab w:val="right" w:leader="dot" w:pos="10964"/>
        </w:tabs>
        <w:spacing w:before="120"/>
        <w:ind w:left="772"/>
      </w:pPr>
      <w:hyperlink w:anchor="_bookmark37" w:history="1">
        <w:r w:rsidR="000E7207">
          <w:t>Figure</w:t>
        </w:r>
        <w:r w:rsidR="000E7207">
          <w:rPr>
            <w:spacing w:val="-7"/>
          </w:rPr>
          <w:t xml:space="preserve"> </w:t>
        </w:r>
        <w:r w:rsidR="000E7207">
          <w:t>3:</w:t>
        </w:r>
        <w:r w:rsidR="000E7207">
          <w:rPr>
            <w:spacing w:val="-6"/>
          </w:rPr>
          <w:t xml:space="preserve"> </w:t>
        </w:r>
        <w:r w:rsidR="000E7207">
          <w:t>VAPJP</w:t>
        </w:r>
        <w:r w:rsidR="000E7207">
          <w:rPr>
            <w:spacing w:val="-7"/>
          </w:rPr>
          <w:t xml:space="preserve"> </w:t>
        </w:r>
        <w:r w:rsidR="000E7207">
          <w:t>management</w:t>
        </w:r>
        <w:r w:rsidR="000E7207">
          <w:rPr>
            <w:spacing w:val="-9"/>
          </w:rPr>
          <w:t xml:space="preserve"> </w:t>
        </w:r>
        <w:r w:rsidR="000E7207">
          <w:t>arrangements</w:t>
        </w:r>
        <w:r w:rsidR="000E7207">
          <w:rPr>
            <w:spacing w:val="-7"/>
          </w:rPr>
          <w:t xml:space="preserve"> </w:t>
        </w:r>
        <w:r w:rsidR="000E7207">
          <w:t>(2020</w:t>
        </w:r>
        <w:r w:rsidR="000E7207">
          <w:rPr>
            <w:spacing w:val="-9"/>
          </w:rPr>
          <w:t xml:space="preserve"> </w:t>
        </w:r>
        <w:r w:rsidR="000E7207">
          <w:t>Design</w:t>
        </w:r>
        <w:r w:rsidR="000E7207">
          <w:rPr>
            <w:spacing w:val="-9"/>
          </w:rPr>
          <w:t xml:space="preserve"> </w:t>
        </w:r>
        <w:r w:rsidR="000E7207">
          <w:rPr>
            <w:spacing w:val="-2"/>
          </w:rPr>
          <w:t>Update)</w:t>
        </w:r>
        <w:r w:rsidR="000E7207">
          <w:tab/>
        </w:r>
        <w:r w:rsidR="000E7207">
          <w:rPr>
            <w:spacing w:val="-5"/>
          </w:rPr>
          <w:t>29</w:t>
        </w:r>
      </w:hyperlink>
    </w:p>
    <w:p w14:paraId="5065D789" w14:textId="77777777" w:rsidR="009C36E3" w:rsidRDefault="009C36E3">
      <w:pPr>
        <w:sectPr w:rsidR="009C36E3">
          <w:headerReference w:type="default" r:id="rId11"/>
          <w:footerReference w:type="default" r:id="rId12"/>
          <w:pgSz w:w="11910" w:h="16850"/>
          <w:pgMar w:top="1040" w:right="740" w:bottom="740" w:left="80" w:header="552" w:footer="559" w:gutter="0"/>
          <w:pgNumType w:start="1"/>
          <w:cols w:space="720"/>
        </w:sectPr>
      </w:pPr>
    </w:p>
    <w:p w14:paraId="6E0A8F57" w14:textId="77777777" w:rsidR="009C36E3" w:rsidRDefault="000E7207" w:rsidP="0074360D">
      <w:pPr>
        <w:pStyle w:val="Heading1"/>
        <w:spacing w:after="240"/>
        <w:ind w:left="771"/>
      </w:pPr>
      <w:r>
        <w:lastRenderedPageBreak/>
        <w:t>Abbreviations</w:t>
      </w:r>
    </w:p>
    <w:p w14:paraId="05E6215F" w14:textId="77777777" w:rsidR="00B52505" w:rsidRDefault="00B52505">
      <w:pPr>
        <w:pStyle w:val="TableParagraph"/>
        <w:tabs>
          <w:tab w:val="left" w:pos="1929"/>
        </w:tabs>
        <w:spacing w:before="0" w:line="223" w:lineRule="exact"/>
        <w:ind w:left="725"/>
        <w:rPr>
          <w:sz w:val="20"/>
        </w:rPr>
      </w:pPr>
      <w:r>
        <w:rPr>
          <w:spacing w:val="-5"/>
          <w:sz w:val="20"/>
        </w:rPr>
        <w:t>ADB</w:t>
      </w:r>
      <w:r>
        <w:rPr>
          <w:sz w:val="20"/>
        </w:rPr>
        <w:tab/>
        <w:t>Asian</w:t>
      </w:r>
      <w:r>
        <w:rPr>
          <w:spacing w:val="-9"/>
          <w:sz w:val="20"/>
        </w:rPr>
        <w:t xml:space="preserve"> </w:t>
      </w:r>
      <w:r>
        <w:rPr>
          <w:sz w:val="20"/>
        </w:rPr>
        <w:t>Development</w:t>
      </w:r>
      <w:r>
        <w:rPr>
          <w:spacing w:val="-10"/>
          <w:sz w:val="20"/>
        </w:rPr>
        <w:t xml:space="preserve"> </w:t>
      </w:r>
      <w:r>
        <w:rPr>
          <w:spacing w:val="-4"/>
          <w:sz w:val="20"/>
        </w:rPr>
        <w:t>Bank</w:t>
      </w:r>
    </w:p>
    <w:p w14:paraId="689AE0B2" w14:textId="77777777" w:rsidR="00B52505" w:rsidRDefault="00B52505">
      <w:pPr>
        <w:pStyle w:val="TableParagraph"/>
        <w:tabs>
          <w:tab w:val="left" w:pos="1929"/>
        </w:tabs>
        <w:spacing w:before="56"/>
        <w:ind w:left="725"/>
        <w:rPr>
          <w:sz w:val="20"/>
        </w:rPr>
      </w:pPr>
      <w:r>
        <w:rPr>
          <w:spacing w:val="-5"/>
          <w:sz w:val="20"/>
        </w:rPr>
        <w:t>ADG</w:t>
      </w:r>
      <w:r>
        <w:rPr>
          <w:sz w:val="20"/>
        </w:rPr>
        <w:tab/>
        <w:t>Acting</w:t>
      </w:r>
      <w:r>
        <w:rPr>
          <w:spacing w:val="-9"/>
          <w:sz w:val="20"/>
        </w:rPr>
        <w:t xml:space="preserve"> </w:t>
      </w:r>
      <w:r>
        <w:rPr>
          <w:sz w:val="20"/>
        </w:rPr>
        <w:t>Director</w:t>
      </w:r>
      <w:r>
        <w:rPr>
          <w:spacing w:val="-7"/>
          <w:sz w:val="20"/>
        </w:rPr>
        <w:t xml:space="preserve"> </w:t>
      </w:r>
      <w:r>
        <w:rPr>
          <w:spacing w:val="-2"/>
          <w:sz w:val="20"/>
        </w:rPr>
        <w:t>General</w:t>
      </w:r>
    </w:p>
    <w:p w14:paraId="18AB0CCB" w14:textId="77777777" w:rsidR="00B52505" w:rsidRDefault="00B52505">
      <w:pPr>
        <w:pStyle w:val="TableParagraph"/>
        <w:tabs>
          <w:tab w:val="left" w:pos="1929"/>
        </w:tabs>
        <w:spacing w:before="55"/>
        <w:ind w:left="725"/>
        <w:rPr>
          <w:sz w:val="20"/>
        </w:rPr>
      </w:pPr>
      <w:r>
        <w:rPr>
          <w:spacing w:val="-5"/>
          <w:sz w:val="20"/>
        </w:rPr>
        <w:t>AES</w:t>
      </w:r>
      <w:r>
        <w:rPr>
          <w:sz w:val="20"/>
        </w:rPr>
        <w:tab/>
        <w:t>Australian</w:t>
      </w:r>
      <w:r>
        <w:rPr>
          <w:spacing w:val="-11"/>
          <w:sz w:val="20"/>
        </w:rPr>
        <w:t xml:space="preserve"> </w:t>
      </w:r>
      <w:r>
        <w:rPr>
          <w:sz w:val="20"/>
        </w:rPr>
        <w:t>Evaluation</w:t>
      </w:r>
      <w:r>
        <w:rPr>
          <w:spacing w:val="-10"/>
          <w:sz w:val="20"/>
        </w:rPr>
        <w:t xml:space="preserve"> </w:t>
      </w:r>
      <w:r>
        <w:rPr>
          <w:spacing w:val="-2"/>
          <w:sz w:val="20"/>
        </w:rPr>
        <w:t>Society</w:t>
      </w:r>
    </w:p>
    <w:p w14:paraId="75169272" w14:textId="77777777" w:rsidR="00B52505" w:rsidRDefault="00B52505">
      <w:pPr>
        <w:pStyle w:val="TableParagraph"/>
        <w:tabs>
          <w:tab w:val="left" w:pos="1929"/>
        </w:tabs>
        <w:spacing w:before="56"/>
        <w:ind w:left="725"/>
        <w:rPr>
          <w:sz w:val="20"/>
        </w:rPr>
      </w:pPr>
      <w:r>
        <w:rPr>
          <w:spacing w:val="-5"/>
          <w:sz w:val="20"/>
        </w:rPr>
        <w:t>AFP</w:t>
      </w:r>
      <w:r>
        <w:rPr>
          <w:sz w:val="20"/>
        </w:rPr>
        <w:tab/>
        <w:t>Australian</w:t>
      </w:r>
      <w:r>
        <w:rPr>
          <w:spacing w:val="-11"/>
          <w:sz w:val="20"/>
        </w:rPr>
        <w:t xml:space="preserve"> </w:t>
      </w:r>
      <w:r>
        <w:rPr>
          <w:sz w:val="20"/>
        </w:rPr>
        <w:t>Federal</w:t>
      </w:r>
      <w:r>
        <w:rPr>
          <w:spacing w:val="-9"/>
          <w:sz w:val="20"/>
        </w:rPr>
        <w:t xml:space="preserve"> </w:t>
      </w:r>
      <w:r>
        <w:rPr>
          <w:spacing w:val="-2"/>
          <w:sz w:val="20"/>
        </w:rPr>
        <w:t>Police</w:t>
      </w:r>
    </w:p>
    <w:p w14:paraId="7DFD2349" w14:textId="77777777" w:rsidR="00B52505" w:rsidRDefault="00B52505">
      <w:pPr>
        <w:pStyle w:val="TableParagraph"/>
        <w:tabs>
          <w:tab w:val="left" w:pos="1929"/>
        </w:tabs>
        <w:spacing w:before="56"/>
        <w:ind w:left="725"/>
        <w:rPr>
          <w:sz w:val="20"/>
        </w:rPr>
      </w:pPr>
      <w:r>
        <w:rPr>
          <w:spacing w:val="-5"/>
          <w:sz w:val="20"/>
        </w:rPr>
        <w:t>AHC</w:t>
      </w:r>
      <w:r>
        <w:rPr>
          <w:sz w:val="20"/>
        </w:rPr>
        <w:tab/>
        <w:t>Australian</w:t>
      </w:r>
      <w:r>
        <w:rPr>
          <w:spacing w:val="-11"/>
          <w:sz w:val="20"/>
        </w:rPr>
        <w:t xml:space="preserve"> </w:t>
      </w:r>
      <w:r>
        <w:rPr>
          <w:sz w:val="20"/>
        </w:rPr>
        <w:t>High</w:t>
      </w:r>
      <w:r>
        <w:rPr>
          <w:spacing w:val="-8"/>
          <w:sz w:val="20"/>
        </w:rPr>
        <w:t xml:space="preserve"> </w:t>
      </w:r>
      <w:r>
        <w:rPr>
          <w:spacing w:val="-2"/>
          <w:sz w:val="20"/>
        </w:rPr>
        <w:t>Commission</w:t>
      </w:r>
    </w:p>
    <w:p w14:paraId="733F9BBB" w14:textId="77777777" w:rsidR="00B52505" w:rsidRDefault="00B52505">
      <w:pPr>
        <w:pStyle w:val="TableParagraph"/>
        <w:tabs>
          <w:tab w:val="left" w:pos="1929"/>
        </w:tabs>
        <w:spacing w:before="56"/>
        <w:ind w:left="725"/>
        <w:rPr>
          <w:sz w:val="20"/>
        </w:rPr>
      </w:pPr>
      <w:r>
        <w:rPr>
          <w:spacing w:val="-5"/>
          <w:sz w:val="20"/>
        </w:rPr>
        <w:t>AP</w:t>
      </w:r>
      <w:r>
        <w:rPr>
          <w:sz w:val="20"/>
        </w:rPr>
        <w:tab/>
      </w:r>
      <w:proofErr w:type="spellStart"/>
      <w:r>
        <w:rPr>
          <w:sz w:val="20"/>
        </w:rPr>
        <w:t>Authorised</w:t>
      </w:r>
      <w:proofErr w:type="spellEnd"/>
      <w:r>
        <w:rPr>
          <w:spacing w:val="-13"/>
          <w:sz w:val="20"/>
        </w:rPr>
        <w:t xml:space="preserve"> </w:t>
      </w:r>
      <w:r>
        <w:rPr>
          <w:spacing w:val="-2"/>
          <w:sz w:val="20"/>
        </w:rPr>
        <w:t>Persons</w:t>
      </w:r>
    </w:p>
    <w:p w14:paraId="6A464AA5" w14:textId="77777777" w:rsidR="00B52505" w:rsidRDefault="00B52505">
      <w:pPr>
        <w:pStyle w:val="TableParagraph"/>
        <w:tabs>
          <w:tab w:val="left" w:pos="1929"/>
        </w:tabs>
        <w:spacing w:before="56"/>
        <w:ind w:left="725"/>
        <w:rPr>
          <w:sz w:val="20"/>
        </w:rPr>
      </w:pPr>
      <w:r>
        <w:rPr>
          <w:spacing w:val="-5"/>
          <w:sz w:val="20"/>
        </w:rPr>
        <w:t>AUD</w:t>
      </w:r>
      <w:r>
        <w:rPr>
          <w:sz w:val="20"/>
        </w:rPr>
        <w:tab/>
        <w:t>Australian</w:t>
      </w:r>
      <w:r>
        <w:rPr>
          <w:spacing w:val="-12"/>
          <w:sz w:val="20"/>
        </w:rPr>
        <w:t xml:space="preserve"> </w:t>
      </w:r>
      <w:r>
        <w:rPr>
          <w:spacing w:val="-2"/>
          <w:sz w:val="20"/>
        </w:rPr>
        <w:t>Dollar</w:t>
      </w:r>
    </w:p>
    <w:p w14:paraId="25AA8392" w14:textId="77777777" w:rsidR="00B52505" w:rsidRDefault="00B52505">
      <w:pPr>
        <w:pStyle w:val="TableParagraph"/>
        <w:tabs>
          <w:tab w:val="left" w:pos="1929"/>
        </w:tabs>
        <w:spacing w:before="56"/>
        <w:ind w:left="725"/>
        <w:rPr>
          <w:sz w:val="20"/>
        </w:rPr>
      </w:pPr>
      <w:r>
        <w:rPr>
          <w:spacing w:val="-5"/>
          <w:sz w:val="20"/>
        </w:rPr>
        <w:t>AWP</w:t>
      </w:r>
      <w:r>
        <w:rPr>
          <w:sz w:val="20"/>
        </w:rPr>
        <w:tab/>
        <w:t>Annual</w:t>
      </w:r>
      <w:r>
        <w:rPr>
          <w:spacing w:val="-7"/>
          <w:sz w:val="20"/>
        </w:rPr>
        <w:t xml:space="preserve"> </w:t>
      </w:r>
      <w:r>
        <w:rPr>
          <w:sz w:val="20"/>
        </w:rPr>
        <w:t>Work</w:t>
      </w:r>
      <w:r>
        <w:rPr>
          <w:spacing w:val="-5"/>
          <w:sz w:val="20"/>
        </w:rPr>
        <w:t xml:space="preserve"> </w:t>
      </w:r>
      <w:r>
        <w:rPr>
          <w:spacing w:val="-4"/>
          <w:sz w:val="20"/>
        </w:rPr>
        <w:t>Plan</w:t>
      </w:r>
    </w:p>
    <w:p w14:paraId="19863389" w14:textId="77777777" w:rsidR="00B52505" w:rsidRDefault="00B52505">
      <w:pPr>
        <w:pStyle w:val="TableParagraph"/>
        <w:tabs>
          <w:tab w:val="left" w:pos="1929"/>
        </w:tabs>
        <w:spacing w:before="55"/>
        <w:ind w:left="725"/>
        <w:rPr>
          <w:sz w:val="20"/>
        </w:rPr>
      </w:pPr>
      <w:r>
        <w:rPr>
          <w:spacing w:val="-4"/>
          <w:sz w:val="20"/>
        </w:rPr>
        <w:t>CA2J</w:t>
      </w:r>
      <w:r>
        <w:rPr>
          <w:sz w:val="20"/>
        </w:rPr>
        <w:tab/>
        <w:t>Community</w:t>
      </w:r>
      <w:r>
        <w:rPr>
          <w:spacing w:val="-7"/>
          <w:sz w:val="20"/>
        </w:rPr>
        <w:t xml:space="preserve"> </w:t>
      </w:r>
      <w:r>
        <w:rPr>
          <w:sz w:val="20"/>
        </w:rPr>
        <w:t>Access</w:t>
      </w:r>
      <w:r>
        <w:rPr>
          <w:spacing w:val="-6"/>
          <w:sz w:val="20"/>
        </w:rPr>
        <w:t xml:space="preserve"> </w:t>
      </w:r>
      <w:r>
        <w:rPr>
          <w:sz w:val="20"/>
        </w:rPr>
        <w:t>to</w:t>
      </w:r>
      <w:r>
        <w:rPr>
          <w:spacing w:val="-7"/>
          <w:sz w:val="20"/>
        </w:rPr>
        <w:t xml:space="preserve"> </w:t>
      </w:r>
      <w:r>
        <w:rPr>
          <w:sz w:val="20"/>
        </w:rPr>
        <w:t>Justice</w:t>
      </w:r>
      <w:r>
        <w:rPr>
          <w:spacing w:val="-7"/>
          <w:sz w:val="20"/>
        </w:rPr>
        <w:t xml:space="preserve"> </w:t>
      </w:r>
      <w:r>
        <w:rPr>
          <w:spacing w:val="-2"/>
          <w:sz w:val="20"/>
        </w:rPr>
        <w:t>[VAPJP]</w:t>
      </w:r>
    </w:p>
    <w:p w14:paraId="4C73CAC9" w14:textId="77777777" w:rsidR="00B52505" w:rsidRDefault="00B52505">
      <w:pPr>
        <w:pStyle w:val="TableParagraph"/>
        <w:tabs>
          <w:tab w:val="left" w:pos="1929"/>
        </w:tabs>
        <w:spacing w:before="56"/>
        <w:ind w:left="725"/>
        <w:rPr>
          <w:sz w:val="20"/>
        </w:rPr>
      </w:pPr>
      <w:r>
        <w:rPr>
          <w:spacing w:val="-5"/>
          <w:sz w:val="20"/>
        </w:rPr>
        <w:t>CBO</w:t>
      </w:r>
      <w:r>
        <w:rPr>
          <w:sz w:val="20"/>
        </w:rPr>
        <w:tab/>
        <w:t>Community</w:t>
      </w:r>
      <w:r>
        <w:rPr>
          <w:spacing w:val="-9"/>
          <w:sz w:val="20"/>
        </w:rPr>
        <w:t xml:space="preserve"> </w:t>
      </w:r>
      <w:r>
        <w:rPr>
          <w:sz w:val="20"/>
        </w:rPr>
        <w:t>Based</w:t>
      </w:r>
      <w:r>
        <w:rPr>
          <w:spacing w:val="-10"/>
          <w:sz w:val="20"/>
        </w:rPr>
        <w:t xml:space="preserve"> </w:t>
      </w:r>
      <w:proofErr w:type="spellStart"/>
      <w:r>
        <w:rPr>
          <w:spacing w:val="-2"/>
          <w:sz w:val="20"/>
        </w:rPr>
        <w:t>Organisation</w:t>
      </w:r>
      <w:proofErr w:type="spellEnd"/>
    </w:p>
    <w:p w14:paraId="11376DD2" w14:textId="77777777" w:rsidR="00B52505" w:rsidRDefault="00B52505">
      <w:pPr>
        <w:pStyle w:val="TableParagraph"/>
        <w:tabs>
          <w:tab w:val="left" w:pos="1929"/>
        </w:tabs>
        <w:spacing w:before="56"/>
        <w:ind w:left="725"/>
        <w:rPr>
          <w:sz w:val="20"/>
        </w:rPr>
      </w:pPr>
      <w:r>
        <w:rPr>
          <w:spacing w:val="-5"/>
          <w:sz w:val="20"/>
        </w:rPr>
        <w:t>CID</w:t>
      </w:r>
      <w:r>
        <w:rPr>
          <w:sz w:val="20"/>
        </w:rPr>
        <w:tab/>
        <w:t>Criminal</w:t>
      </w:r>
      <w:r>
        <w:rPr>
          <w:spacing w:val="-14"/>
          <w:sz w:val="20"/>
        </w:rPr>
        <w:t xml:space="preserve"> </w:t>
      </w:r>
      <w:r>
        <w:rPr>
          <w:sz w:val="20"/>
        </w:rPr>
        <w:t>Investigations</w:t>
      </w:r>
      <w:r>
        <w:rPr>
          <w:spacing w:val="-11"/>
          <w:sz w:val="20"/>
        </w:rPr>
        <w:t xml:space="preserve"> </w:t>
      </w:r>
      <w:r>
        <w:rPr>
          <w:sz w:val="20"/>
        </w:rPr>
        <w:t>Department</w:t>
      </w:r>
      <w:r>
        <w:rPr>
          <w:spacing w:val="-13"/>
          <w:sz w:val="20"/>
        </w:rPr>
        <w:t xml:space="preserve"> </w:t>
      </w:r>
      <w:r>
        <w:rPr>
          <w:spacing w:val="-4"/>
          <w:sz w:val="20"/>
        </w:rPr>
        <w:t>[VPF]</w:t>
      </w:r>
    </w:p>
    <w:p w14:paraId="167CBAE1" w14:textId="77777777" w:rsidR="00B52505" w:rsidRDefault="00B52505">
      <w:pPr>
        <w:pStyle w:val="TableParagraph"/>
        <w:tabs>
          <w:tab w:val="left" w:pos="1929"/>
        </w:tabs>
        <w:spacing w:before="56"/>
        <w:ind w:left="725"/>
        <w:rPr>
          <w:sz w:val="20"/>
        </w:rPr>
      </w:pPr>
      <w:r>
        <w:rPr>
          <w:spacing w:val="-5"/>
          <w:sz w:val="20"/>
        </w:rPr>
        <w:t>CMS</w:t>
      </w:r>
      <w:r>
        <w:rPr>
          <w:sz w:val="20"/>
        </w:rPr>
        <w:tab/>
        <w:t>Case</w:t>
      </w:r>
      <w:r>
        <w:rPr>
          <w:spacing w:val="-10"/>
          <w:sz w:val="20"/>
        </w:rPr>
        <w:t xml:space="preserve"> </w:t>
      </w:r>
      <w:r>
        <w:rPr>
          <w:sz w:val="20"/>
        </w:rPr>
        <w:t>Management</w:t>
      </w:r>
      <w:r>
        <w:rPr>
          <w:spacing w:val="-7"/>
          <w:sz w:val="20"/>
        </w:rPr>
        <w:t xml:space="preserve"> </w:t>
      </w:r>
      <w:r>
        <w:rPr>
          <w:spacing w:val="-2"/>
          <w:sz w:val="20"/>
        </w:rPr>
        <w:t>System</w:t>
      </w:r>
    </w:p>
    <w:p w14:paraId="4A19F5F2" w14:textId="77777777" w:rsidR="00B52505" w:rsidRDefault="00B52505">
      <w:pPr>
        <w:pStyle w:val="TableParagraph"/>
        <w:tabs>
          <w:tab w:val="left" w:pos="1929"/>
        </w:tabs>
        <w:spacing w:before="56"/>
        <w:ind w:left="725"/>
        <w:rPr>
          <w:sz w:val="20"/>
        </w:rPr>
      </w:pPr>
      <w:r>
        <w:rPr>
          <w:spacing w:val="-2"/>
          <w:sz w:val="20"/>
        </w:rPr>
        <w:t>COMPOL</w:t>
      </w:r>
      <w:r>
        <w:rPr>
          <w:sz w:val="20"/>
        </w:rPr>
        <w:tab/>
        <w:t>Commissioner</w:t>
      </w:r>
      <w:r>
        <w:rPr>
          <w:spacing w:val="-9"/>
          <w:sz w:val="20"/>
        </w:rPr>
        <w:t xml:space="preserve"> </w:t>
      </w:r>
      <w:r>
        <w:rPr>
          <w:sz w:val="20"/>
        </w:rPr>
        <w:t>of</w:t>
      </w:r>
      <w:r>
        <w:rPr>
          <w:spacing w:val="-7"/>
          <w:sz w:val="20"/>
        </w:rPr>
        <w:t xml:space="preserve"> </w:t>
      </w:r>
      <w:r>
        <w:rPr>
          <w:sz w:val="20"/>
        </w:rPr>
        <w:t>Police</w:t>
      </w:r>
      <w:r>
        <w:rPr>
          <w:spacing w:val="-7"/>
          <w:sz w:val="20"/>
        </w:rPr>
        <w:t xml:space="preserve"> </w:t>
      </w:r>
      <w:r>
        <w:rPr>
          <w:spacing w:val="-4"/>
          <w:sz w:val="20"/>
        </w:rPr>
        <w:t>[VPF]</w:t>
      </w:r>
    </w:p>
    <w:p w14:paraId="60FD2532" w14:textId="77777777" w:rsidR="00B52505" w:rsidRDefault="00B52505">
      <w:pPr>
        <w:pStyle w:val="TableParagraph"/>
        <w:tabs>
          <w:tab w:val="left" w:pos="1929"/>
        </w:tabs>
        <w:spacing w:before="56"/>
        <w:ind w:left="725"/>
        <w:rPr>
          <w:sz w:val="20"/>
        </w:rPr>
      </w:pPr>
      <w:r>
        <w:rPr>
          <w:spacing w:val="-5"/>
          <w:sz w:val="20"/>
        </w:rPr>
        <w:t>CRB</w:t>
      </w:r>
      <w:r>
        <w:rPr>
          <w:sz w:val="20"/>
        </w:rPr>
        <w:tab/>
        <w:t>Coconut</w:t>
      </w:r>
      <w:r>
        <w:rPr>
          <w:spacing w:val="-11"/>
          <w:sz w:val="20"/>
        </w:rPr>
        <w:t xml:space="preserve"> </w:t>
      </w:r>
      <w:r>
        <w:rPr>
          <w:sz w:val="20"/>
        </w:rPr>
        <w:t>Rhinoceros</w:t>
      </w:r>
      <w:r>
        <w:rPr>
          <w:spacing w:val="-9"/>
          <w:sz w:val="20"/>
        </w:rPr>
        <w:t xml:space="preserve"> </w:t>
      </w:r>
      <w:r>
        <w:rPr>
          <w:spacing w:val="-2"/>
          <w:sz w:val="20"/>
        </w:rPr>
        <w:t>Beetle</w:t>
      </w:r>
    </w:p>
    <w:p w14:paraId="6A88D8A9" w14:textId="77777777" w:rsidR="00B52505" w:rsidRDefault="00B52505">
      <w:pPr>
        <w:pStyle w:val="TableParagraph"/>
        <w:tabs>
          <w:tab w:val="left" w:pos="1929"/>
        </w:tabs>
        <w:spacing w:before="55"/>
        <w:ind w:left="725"/>
        <w:rPr>
          <w:sz w:val="20"/>
        </w:rPr>
      </w:pPr>
      <w:r>
        <w:rPr>
          <w:spacing w:val="-5"/>
          <w:sz w:val="20"/>
        </w:rPr>
        <w:t>CSO</w:t>
      </w:r>
      <w:r>
        <w:rPr>
          <w:sz w:val="20"/>
        </w:rPr>
        <w:tab/>
        <w:t>Civil</w:t>
      </w:r>
      <w:r>
        <w:rPr>
          <w:spacing w:val="-8"/>
          <w:sz w:val="20"/>
        </w:rPr>
        <w:t xml:space="preserve"> </w:t>
      </w:r>
      <w:r>
        <w:rPr>
          <w:sz w:val="20"/>
        </w:rPr>
        <w:t>Service</w:t>
      </w:r>
      <w:r>
        <w:rPr>
          <w:spacing w:val="-7"/>
          <w:sz w:val="20"/>
        </w:rPr>
        <w:t xml:space="preserve"> </w:t>
      </w:r>
      <w:proofErr w:type="spellStart"/>
      <w:r>
        <w:rPr>
          <w:spacing w:val="-2"/>
          <w:sz w:val="20"/>
        </w:rPr>
        <w:t>Organisation</w:t>
      </w:r>
      <w:proofErr w:type="spellEnd"/>
    </w:p>
    <w:p w14:paraId="1EECC202" w14:textId="77777777" w:rsidR="00B52505" w:rsidRDefault="00B52505">
      <w:pPr>
        <w:pStyle w:val="TableParagraph"/>
        <w:tabs>
          <w:tab w:val="left" w:pos="1929"/>
        </w:tabs>
        <w:spacing w:before="56"/>
        <w:ind w:left="725"/>
        <w:rPr>
          <w:sz w:val="20"/>
        </w:rPr>
      </w:pPr>
      <w:r>
        <w:rPr>
          <w:spacing w:val="-5"/>
          <w:sz w:val="20"/>
        </w:rPr>
        <w:t>CST</w:t>
      </w:r>
      <w:r>
        <w:rPr>
          <w:sz w:val="20"/>
        </w:rPr>
        <w:tab/>
        <w:t>Community</w:t>
      </w:r>
      <w:r>
        <w:rPr>
          <w:spacing w:val="-9"/>
          <w:sz w:val="20"/>
        </w:rPr>
        <w:t xml:space="preserve"> </w:t>
      </w:r>
      <w:r>
        <w:rPr>
          <w:sz w:val="20"/>
        </w:rPr>
        <w:t>Safety</w:t>
      </w:r>
      <w:r>
        <w:rPr>
          <w:spacing w:val="-8"/>
          <w:sz w:val="20"/>
        </w:rPr>
        <w:t xml:space="preserve"> </w:t>
      </w:r>
      <w:r>
        <w:rPr>
          <w:sz w:val="20"/>
        </w:rPr>
        <w:t>Team</w:t>
      </w:r>
      <w:r>
        <w:rPr>
          <w:spacing w:val="-9"/>
          <w:sz w:val="20"/>
        </w:rPr>
        <w:t xml:space="preserve"> </w:t>
      </w:r>
      <w:r>
        <w:rPr>
          <w:spacing w:val="-2"/>
          <w:sz w:val="20"/>
        </w:rPr>
        <w:t>[VPF]</w:t>
      </w:r>
    </w:p>
    <w:p w14:paraId="7BDB8ECE" w14:textId="77777777" w:rsidR="00B52505" w:rsidRDefault="00B52505">
      <w:pPr>
        <w:pStyle w:val="TableParagraph"/>
        <w:tabs>
          <w:tab w:val="left" w:pos="1929"/>
        </w:tabs>
        <w:spacing w:before="56"/>
        <w:ind w:left="725"/>
        <w:rPr>
          <w:sz w:val="20"/>
        </w:rPr>
      </w:pPr>
      <w:r>
        <w:rPr>
          <w:spacing w:val="-5"/>
          <w:sz w:val="20"/>
        </w:rPr>
        <w:t>CSS</w:t>
      </w:r>
      <w:r>
        <w:rPr>
          <w:sz w:val="20"/>
        </w:rPr>
        <w:tab/>
        <w:t>Corporate</w:t>
      </w:r>
      <w:r>
        <w:rPr>
          <w:spacing w:val="-9"/>
          <w:sz w:val="20"/>
        </w:rPr>
        <w:t xml:space="preserve"> </w:t>
      </w:r>
      <w:r>
        <w:rPr>
          <w:sz w:val="20"/>
        </w:rPr>
        <w:t>System</w:t>
      </w:r>
      <w:r>
        <w:rPr>
          <w:spacing w:val="-9"/>
          <w:sz w:val="20"/>
        </w:rPr>
        <w:t xml:space="preserve"> </w:t>
      </w:r>
      <w:r>
        <w:rPr>
          <w:spacing w:val="-2"/>
          <w:sz w:val="20"/>
        </w:rPr>
        <w:t>Strengthening [VAPJP]</w:t>
      </w:r>
    </w:p>
    <w:p w14:paraId="31026B00" w14:textId="77777777" w:rsidR="00B52505" w:rsidRDefault="00B52505">
      <w:pPr>
        <w:pStyle w:val="TableParagraph"/>
        <w:tabs>
          <w:tab w:val="left" w:pos="1929"/>
        </w:tabs>
        <w:spacing w:before="56"/>
        <w:ind w:left="725"/>
        <w:rPr>
          <w:sz w:val="20"/>
        </w:rPr>
      </w:pPr>
      <w:r>
        <w:rPr>
          <w:spacing w:val="-5"/>
          <w:sz w:val="20"/>
        </w:rPr>
        <w:t>DG</w:t>
      </w:r>
      <w:r>
        <w:rPr>
          <w:sz w:val="20"/>
        </w:rPr>
        <w:tab/>
        <w:t>Director</w:t>
      </w:r>
      <w:r>
        <w:rPr>
          <w:spacing w:val="-13"/>
          <w:sz w:val="20"/>
        </w:rPr>
        <w:t xml:space="preserve"> </w:t>
      </w:r>
      <w:r>
        <w:rPr>
          <w:spacing w:val="-2"/>
          <w:sz w:val="20"/>
        </w:rPr>
        <w:t>General</w:t>
      </w:r>
    </w:p>
    <w:p w14:paraId="44CFA3B6" w14:textId="77777777" w:rsidR="00B52505" w:rsidRDefault="00B52505">
      <w:pPr>
        <w:pStyle w:val="TableParagraph"/>
        <w:tabs>
          <w:tab w:val="left" w:pos="1929"/>
        </w:tabs>
        <w:spacing w:before="56"/>
        <w:ind w:left="725"/>
        <w:rPr>
          <w:sz w:val="20"/>
        </w:rPr>
      </w:pPr>
      <w:r>
        <w:rPr>
          <w:spacing w:val="-4"/>
          <w:sz w:val="20"/>
        </w:rPr>
        <w:t>DFAT</w:t>
      </w:r>
      <w:r>
        <w:rPr>
          <w:sz w:val="20"/>
        </w:rPr>
        <w:tab/>
        <w:t>Department</w:t>
      </w:r>
      <w:r>
        <w:rPr>
          <w:spacing w:val="-6"/>
          <w:sz w:val="20"/>
        </w:rPr>
        <w:t xml:space="preserve"> </w:t>
      </w:r>
      <w:r>
        <w:rPr>
          <w:sz w:val="20"/>
        </w:rPr>
        <w:t>of</w:t>
      </w:r>
      <w:r>
        <w:rPr>
          <w:spacing w:val="-8"/>
          <w:sz w:val="20"/>
        </w:rPr>
        <w:t xml:space="preserve"> </w:t>
      </w:r>
      <w:r>
        <w:rPr>
          <w:sz w:val="20"/>
        </w:rPr>
        <w:t>Foreign</w:t>
      </w:r>
      <w:r>
        <w:rPr>
          <w:spacing w:val="-6"/>
          <w:sz w:val="20"/>
        </w:rPr>
        <w:t xml:space="preserve"> </w:t>
      </w:r>
      <w:r>
        <w:rPr>
          <w:sz w:val="20"/>
        </w:rPr>
        <w:t>Affairs</w:t>
      </w:r>
      <w:r>
        <w:rPr>
          <w:spacing w:val="-7"/>
          <w:sz w:val="20"/>
        </w:rPr>
        <w:t xml:space="preserve"> </w:t>
      </w:r>
      <w:r>
        <w:rPr>
          <w:sz w:val="20"/>
        </w:rPr>
        <w:t>and</w:t>
      </w:r>
      <w:r>
        <w:rPr>
          <w:spacing w:val="-8"/>
          <w:sz w:val="20"/>
        </w:rPr>
        <w:t xml:space="preserve"> </w:t>
      </w:r>
      <w:r>
        <w:rPr>
          <w:sz w:val="20"/>
        </w:rPr>
        <w:t>Trade</w:t>
      </w:r>
      <w:r>
        <w:rPr>
          <w:spacing w:val="-8"/>
          <w:sz w:val="20"/>
        </w:rPr>
        <w:t xml:space="preserve"> </w:t>
      </w:r>
      <w:r>
        <w:rPr>
          <w:spacing w:val="-4"/>
          <w:sz w:val="20"/>
        </w:rPr>
        <w:t>[GoA]</w:t>
      </w:r>
    </w:p>
    <w:p w14:paraId="6CC8463F" w14:textId="77777777" w:rsidR="00B52505" w:rsidRDefault="00B52505">
      <w:pPr>
        <w:pStyle w:val="TableParagraph"/>
        <w:tabs>
          <w:tab w:val="left" w:pos="1929"/>
        </w:tabs>
        <w:spacing w:before="56"/>
        <w:ind w:left="725"/>
        <w:rPr>
          <w:sz w:val="20"/>
        </w:rPr>
      </w:pPr>
      <w:r>
        <w:rPr>
          <w:spacing w:val="-4"/>
          <w:sz w:val="20"/>
        </w:rPr>
        <w:t>DKBS</w:t>
      </w:r>
      <w:r>
        <w:rPr>
          <w:sz w:val="20"/>
        </w:rPr>
        <w:tab/>
        <w:t>Department</w:t>
      </w:r>
      <w:r>
        <w:rPr>
          <w:spacing w:val="-9"/>
          <w:sz w:val="20"/>
        </w:rPr>
        <w:t xml:space="preserve"> </w:t>
      </w:r>
      <w:r>
        <w:rPr>
          <w:sz w:val="20"/>
        </w:rPr>
        <w:t>of</w:t>
      </w:r>
      <w:r>
        <w:rPr>
          <w:spacing w:val="-10"/>
          <w:sz w:val="20"/>
        </w:rPr>
        <w:t xml:space="preserve"> </w:t>
      </w:r>
      <w:r>
        <w:rPr>
          <w:sz w:val="20"/>
        </w:rPr>
        <w:t>Corrections</w:t>
      </w:r>
      <w:r>
        <w:rPr>
          <w:spacing w:val="-10"/>
          <w:sz w:val="20"/>
        </w:rPr>
        <w:t xml:space="preserve"> </w:t>
      </w:r>
      <w:r>
        <w:rPr>
          <w:spacing w:val="-4"/>
          <w:sz w:val="20"/>
        </w:rPr>
        <w:t>[GoV]</w:t>
      </w:r>
    </w:p>
    <w:p w14:paraId="5A3BC384" w14:textId="77777777" w:rsidR="00B52505" w:rsidRDefault="00B52505">
      <w:pPr>
        <w:pStyle w:val="TableParagraph"/>
        <w:tabs>
          <w:tab w:val="left" w:pos="1929"/>
        </w:tabs>
        <w:spacing w:before="55"/>
        <w:ind w:left="725"/>
        <w:rPr>
          <w:sz w:val="20"/>
        </w:rPr>
      </w:pPr>
      <w:r>
        <w:rPr>
          <w:spacing w:val="-5"/>
          <w:sz w:val="20"/>
        </w:rPr>
        <w:t>DWA</w:t>
      </w:r>
      <w:r>
        <w:rPr>
          <w:sz w:val="20"/>
        </w:rPr>
        <w:tab/>
        <w:t>Department</w:t>
      </w:r>
      <w:r>
        <w:rPr>
          <w:spacing w:val="-8"/>
          <w:sz w:val="20"/>
        </w:rPr>
        <w:t xml:space="preserve"> </w:t>
      </w:r>
      <w:r>
        <w:rPr>
          <w:sz w:val="20"/>
        </w:rPr>
        <w:t>of</w:t>
      </w:r>
      <w:r>
        <w:rPr>
          <w:spacing w:val="-7"/>
          <w:sz w:val="20"/>
        </w:rPr>
        <w:t xml:space="preserve"> </w:t>
      </w:r>
      <w:r>
        <w:rPr>
          <w:sz w:val="20"/>
        </w:rPr>
        <w:t>Women’s</w:t>
      </w:r>
      <w:r>
        <w:rPr>
          <w:spacing w:val="-9"/>
          <w:sz w:val="20"/>
        </w:rPr>
        <w:t xml:space="preserve"> </w:t>
      </w:r>
      <w:r>
        <w:rPr>
          <w:sz w:val="20"/>
        </w:rPr>
        <w:t>Affairs</w:t>
      </w:r>
      <w:r>
        <w:rPr>
          <w:spacing w:val="-9"/>
          <w:sz w:val="20"/>
        </w:rPr>
        <w:t xml:space="preserve"> </w:t>
      </w:r>
      <w:r>
        <w:rPr>
          <w:spacing w:val="-4"/>
          <w:sz w:val="20"/>
        </w:rPr>
        <w:t>[GoV]</w:t>
      </w:r>
    </w:p>
    <w:p w14:paraId="41C876B2" w14:textId="77777777" w:rsidR="00B52505" w:rsidRDefault="00B52505">
      <w:pPr>
        <w:pStyle w:val="TableParagraph"/>
        <w:tabs>
          <w:tab w:val="left" w:pos="1929"/>
        </w:tabs>
        <w:spacing w:before="56"/>
        <w:ind w:left="725"/>
        <w:rPr>
          <w:sz w:val="20"/>
        </w:rPr>
      </w:pPr>
      <w:r>
        <w:rPr>
          <w:spacing w:val="-4"/>
          <w:sz w:val="20"/>
        </w:rPr>
        <w:t>EOPO</w:t>
      </w:r>
      <w:r>
        <w:rPr>
          <w:sz w:val="20"/>
        </w:rPr>
        <w:tab/>
        <w:t>End</w:t>
      </w:r>
      <w:r>
        <w:rPr>
          <w:spacing w:val="-5"/>
          <w:sz w:val="20"/>
        </w:rPr>
        <w:t xml:space="preserve"> </w:t>
      </w:r>
      <w:r>
        <w:rPr>
          <w:sz w:val="20"/>
        </w:rPr>
        <w:t>of</w:t>
      </w:r>
      <w:r>
        <w:rPr>
          <w:spacing w:val="-5"/>
          <w:sz w:val="20"/>
        </w:rPr>
        <w:t xml:space="preserve"> </w:t>
      </w:r>
      <w:r>
        <w:rPr>
          <w:sz w:val="20"/>
        </w:rPr>
        <w:t>Program</w:t>
      </w:r>
      <w:r>
        <w:rPr>
          <w:spacing w:val="-6"/>
          <w:sz w:val="20"/>
        </w:rPr>
        <w:t xml:space="preserve"> </w:t>
      </w:r>
      <w:r>
        <w:rPr>
          <w:spacing w:val="-2"/>
          <w:sz w:val="20"/>
        </w:rPr>
        <w:t>Outcomes</w:t>
      </w:r>
    </w:p>
    <w:p w14:paraId="427E590A" w14:textId="77777777" w:rsidR="00B52505" w:rsidRDefault="00B52505">
      <w:pPr>
        <w:pStyle w:val="TableParagraph"/>
        <w:tabs>
          <w:tab w:val="left" w:pos="1929"/>
        </w:tabs>
        <w:spacing w:before="56"/>
        <w:ind w:left="725"/>
        <w:rPr>
          <w:sz w:val="20"/>
        </w:rPr>
      </w:pPr>
      <w:r>
        <w:rPr>
          <w:spacing w:val="-5"/>
          <w:sz w:val="20"/>
        </w:rPr>
        <w:t>FGD</w:t>
      </w:r>
      <w:r>
        <w:rPr>
          <w:sz w:val="20"/>
        </w:rPr>
        <w:tab/>
        <w:t>Focus</w:t>
      </w:r>
      <w:r>
        <w:rPr>
          <w:spacing w:val="-9"/>
          <w:sz w:val="20"/>
        </w:rPr>
        <w:t xml:space="preserve"> </w:t>
      </w:r>
      <w:r>
        <w:rPr>
          <w:sz w:val="20"/>
        </w:rPr>
        <w:t>Group</w:t>
      </w:r>
      <w:r>
        <w:rPr>
          <w:spacing w:val="-7"/>
          <w:sz w:val="20"/>
        </w:rPr>
        <w:t xml:space="preserve"> </w:t>
      </w:r>
      <w:r>
        <w:rPr>
          <w:spacing w:val="-2"/>
          <w:sz w:val="20"/>
        </w:rPr>
        <w:t>Discussion</w:t>
      </w:r>
    </w:p>
    <w:p w14:paraId="042AAE53" w14:textId="77777777" w:rsidR="00B52505" w:rsidRDefault="00B52505">
      <w:pPr>
        <w:pStyle w:val="TableParagraph"/>
        <w:tabs>
          <w:tab w:val="left" w:pos="1929"/>
        </w:tabs>
        <w:spacing w:before="56"/>
        <w:ind w:left="725"/>
        <w:rPr>
          <w:sz w:val="20"/>
        </w:rPr>
      </w:pPr>
      <w:r>
        <w:rPr>
          <w:spacing w:val="-4"/>
          <w:sz w:val="20"/>
        </w:rPr>
        <w:t>FIMR</w:t>
      </w:r>
      <w:r>
        <w:rPr>
          <w:sz w:val="20"/>
        </w:rPr>
        <w:tab/>
        <w:t>Final</w:t>
      </w:r>
      <w:r>
        <w:rPr>
          <w:spacing w:val="-11"/>
          <w:sz w:val="20"/>
        </w:rPr>
        <w:t xml:space="preserve"> </w:t>
      </w:r>
      <w:r>
        <w:rPr>
          <w:sz w:val="20"/>
        </w:rPr>
        <w:t>Investment</w:t>
      </w:r>
      <w:r>
        <w:rPr>
          <w:spacing w:val="-7"/>
          <w:sz w:val="20"/>
        </w:rPr>
        <w:t xml:space="preserve"> </w:t>
      </w:r>
      <w:r>
        <w:rPr>
          <w:sz w:val="20"/>
        </w:rPr>
        <w:t>Monitoring</w:t>
      </w:r>
      <w:r>
        <w:rPr>
          <w:spacing w:val="-10"/>
          <w:sz w:val="20"/>
        </w:rPr>
        <w:t xml:space="preserve"> </w:t>
      </w:r>
      <w:r>
        <w:rPr>
          <w:sz w:val="20"/>
        </w:rPr>
        <w:t>Report</w:t>
      </w:r>
      <w:r>
        <w:rPr>
          <w:spacing w:val="-9"/>
          <w:sz w:val="20"/>
        </w:rPr>
        <w:t xml:space="preserve"> </w:t>
      </w:r>
      <w:r>
        <w:rPr>
          <w:spacing w:val="-2"/>
          <w:sz w:val="20"/>
        </w:rPr>
        <w:t>[DFAT]</w:t>
      </w:r>
    </w:p>
    <w:p w14:paraId="746E69E2" w14:textId="77777777" w:rsidR="00B52505" w:rsidRDefault="00B52505">
      <w:pPr>
        <w:pStyle w:val="TableParagraph"/>
        <w:tabs>
          <w:tab w:val="left" w:pos="1929"/>
        </w:tabs>
        <w:spacing w:before="56"/>
        <w:ind w:left="725"/>
        <w:rPr>
          <w:sz w:val="20"/>
        </w:rPr>
      </w:pPr>
      <w:r>
        <w:rPr>
          <w:spacing w:val="-5"/>
          <w:sz w:val="20"/>
        </w:rPr>
        <w:t>FPU</w:t>
      </w:r>
      <w:r>
        <w:rPr>
          <w:sz w:val="20"/>
        </w:rPr>
        <w:tab/>
        <w:t>Family</w:t>
      </w:r>
      <w:r>
        <w:rPr>
          <w:spacing w:val="-8"/>
          <w:sz w:val="20"/>
        </w:rPr>
        <w:t xml:space="preserve"> </w:t>
      </w:r>
      <w:r>
        <w:rPr>
          <w:sz w:val="20"/>
        </w:rPr>
        <w:t>Protection</w:t>
      </w:r>
      <w:r>
        <w:rPr>
          <w:spacing w:val="-9"/>
          <w:sz w:val="20"/>
        </w:rPr>
        <w:t xml:space="preserve"> </w:t>
      </w:r>
      <w:r>
        <w:rPr>
          <w:sz w:val="20"/>
        </w:rPr>
        <w:t>Unit</w:t>
      </w:r>
      <w:r>
        <w:rPr>
          <w:spacing w:val="-8"/>
          <w:sz w:val="20"/>
        </w:rPr>
        <w:t xml:space="preserve"> </w:t>
      </w:r>
      <w:r>
        <w:rPr>
          <w:spacing w:val="-2"/>
          <w:sz w:val="20"/>
        </w:rPr>
        <w:t>[VPF]</w:t>
      </w:r>
    </w:p>
    <w:p w14:paraId="4AE10B19" w14:textId="77777777" w:rsidR="00B52505" w:rsidRDefault="00B52505">
      <w:pPr>
        <w:pStyle w:val="TableParagraph"/>
        <w:tabs>
          <w:tab w:val="left" w:pos="1929"/>
        </w:tabs>
        <w:spacing w:before="55"/>
        <w:ind w:left="725"/>
        <w:rPr>
          <w:sz w:val="20"/>
        </w:rPr>
      </w:pPr>
      <w:r>
        <w:rPr>
          <w:spacing w:val="-5"/>
          <w:sz w:val="20"/>
        </w:rPr>
        <w:t>GAP</w:t>
      </w:r>
      <w:r>
        <w:rPr>
          <w:sz w:val="20"/>
        </w:rPr>
        <w:tab/>
        <w:t>Gender</w:t>
      </w:r>
      <w:r>
        <w:rPr>
          <w:spacing w:val="-7"/>
          <w:sz w:val="20"/>
        </w:rPr>
        <w:t xml:space="preserve"> </w:t>
      </w:r>
      <w:r>
        <w:rPr>
          <w:sz w:val="20"/>
        </w:rPr>
        <w:t>Action</w:t>
      </w:r>
      <w:r>
        <w:rPr>
          <w:spacing w:val="-9"/>
          <w:sz w:val="20"/>
        </w:rPr>
        <w:t xml:space="preserve"> </w:t>
      </w:r>
      <w:r>
        <w:rPr>
          <w:spacing w:val="-4"/>
          <w:sz w:val="20"/>
        </w:rPr>
        <w:t>Plan</w:t>
      </w:r>
    </w:p>
    <w:p w14:paraId="36738BA2" w14:textId="77777777" w:rsidR="00B52505" w:rsidRDefault="00B52505">
      <w:pPr>
        <w:pStyle w:val="TableParagraph"/>
        <w:tabs>
          <w:tab w:val="left" w:pos="1929"/>
        </w:tabs>
        <w:spacing w:before="56"/>
        <w:ind w:left="725"/>
        <w:rPr>
          <w:sz w:val="20"/>
        </w:rPr>
      </w:pPr>
      <w:r>
        <w:rPr>
          <w:spacing w:val="-4"/>
          <w:sz w:val="20"/>
        </w:rPr>
        <w:t>GEDSI</w:t>
      </w:r>
      <w:r>
        <w:rPr>
          <w:sz w:val="20"/>
        </w:rPr>
        <w:tab/>
        <w:t>Gender</w:t>
      </w:r>
      <w:r>
        <w:rPr>
          <w:spacing w:val="-7"/>
          <w:sz w:val="20"/>
        </w:rPr>
        <w:t xml:space="preserve"> </w:t>
      </w:r>
      <w:r>
        <w:rPr>
          <w:sz w:val="20"/>
        </w:rPr>
        <w:t>Equality,</w:t>
      </w:r>
      <w:r>
        <w:rPr>
          <w:spacing w:val="-9"/>
          <w:sz w:val="20"/>
        </w:rPr>
        <w:t xml:space="preserve"> </w:t>
      </w:r>
      <w:r>
        <w:rPr>
          <w:sz w:val="20"/>
        </w:rPr>
        <w:t>Disability</w:t>
      </w:r>
      <w:r>
        <w:rPr>
          <w:spacing w:val="-5"/>
          <w:sz w:val="20"/>
        </w:rPr>
        <w:t xml:space="preserve"> </w:t>
      </w:r>
      <w:r>
        <w:rPr>
          <w:sz w:val="20"/>
        </w:rPr>
        <w:t>and</w:t>
      </w:r>
      <w:r>
        <w:rPr>
          <w:spacing w:val="-8"/>
          <w:sz w:val="20"/>
        </w:rPr>
        <w:t xml:space="preserve"> </w:t>
      </w:r>
      <w:r>
        <w:rPr>
          <w:sz w:val="20"/>
        </w:rPr>
        <w:t>Social</w:t>
      </w:r>
      <w:r>
        <w:rPr>
          <w:spacing w:val="-10"/>
          <w:sz w:val="20"/>
        </w:rPr>
        <w:t xml:space="preserve"> </w:t>
      </w:r>
      <w:r>
        <w:rPr>
          <w:spacing w:val="-2"/>
          <w:sz w:val="20"/>
        </w:rPr>
        <w:t>Inclusion</w:t>
      </w:r>
    </w:p>
    <w:p w14:paraId="09C09F9F" w14:textId="77777777" w:rsidR="00B52505" w:rsidRDefault="00B52505">
      <w:pPr>
        <w:pStyle w:val="TableParagraph"/>
        <w:tabs>
          <w:tab w:val="left" w:pos="1929"/>
        </w:tabs>
        <w:spacing w:before="56"/>
        <w:ind w:left="725"/>
        <w:rPr>
          <w:sz w:val="20"/>
        </w:rPr>
      </w:pPr>
      <w:proofErr w:type="spellStart"/>
      <w:r>
        <w:rPr>
          <w:spacing w:val="-5"/>
          <w:sz w:val="20"/>
        </w:rPr>
        <w:t>GoA</w:t>
      </w:r>
      <w:proofErr w:type="spellEnd"/>
      <w:r>
        <w:rPr>
          <w:sz w:val="20"/>
        </w:rPr>
        <w:tab/>
        <w:t>Government</w:t>
      </w:r>
      <w:r>
        <w:rPr>
          <w:spacing w:val="-9"/>
          <w:sz w:val="20"/>
        </w:rPr>
        <w:t xml:space="preserve"> </w:t>
      </w:r>
      <w:r>
        <w:rPr>
          <w:sz w:val="20"/>
        </w:rPr>
        <w:t>of</w:t>
      </w:r>
      <w:r>
        <w:rPr>
          <w:spacing w:val="-6"/>
          <w:sz w:val="20"/>
        </w:rPr>
        <w:t xml:space="preserve"> </w:t>
      </w:r>
      <w:r>
        <w:rPr>
          <w:spacing w:val="-2"/>
          <w:sz w:val="20"/>
        </w:rPr>
        <w:t>Australia</w:t>
      </w:r>
    </w:p>
    <w:p w14:paraId="3DB83B1A" w14:textId="77777777" w:rsidR="00B52505" w:rsidRDefault="00B52505">
      <w:pPr>
        <w:pStyle w:val="TableParagraph"/>
        <w:tabs>
          <w:tab w:val="left" w:pos="1929"/>
        </w:tabs>
        <w:spacing w:before="56"/>
        <w:ind w:left="725"/>
        <w:rPr>
          <w:sz w:val="20"/>
        </w:rPr>
      </w:pPr>
      <w:proofErr w:type="spellStart"/>
      <w:r>
        <w:rPr>
          <w:spacing w:val="-5"/>
          <w:sz w:val="20"/>
        </w:rPr>
        <w:t>GoV</w:t>
      </w:r>
      <w:proofErr w:type="spellEnd"/>
      <w:r>
        <w:rPr>
          <w:sz w:val="20"/>
        </w:rPr>
        <w:tab/>
        <w:t>Government</w:t>
      </w:r>
      <w:r>
        <w:rPr>
          <w:spacing w:val="-9"/>
          <w:sz w:val="20"/>
        </w:rPr>
        <w:t xml:space="preserve"> </w:t>
      </w:r>
      <w:r>
        <w:rPr>
          <w:sz w:val="20"/>
        </w:rPr>
        <w:t>of</w:t>
      </w:r>
      <w:r>
        <w:rPr>
          <w:spacing w:val="-6"/>
          <w:sz w:val="20"/>
        </w:rPr>
        <w:t xml:space="preserve"> </w:t>
      </w:r>
      <w:r>
        <w:rPr>
          <w:spacing w:val="-2"/>
          <w:sz w:val="20"/>
        </w:rPr>
        <w:t>Vanuatu</w:t>
      </w:r>
    </w:p>
    <w:p w14:paraId="5FC031F4" w14:textId="77777777" w:rsidR="00B52505" w:rsidRDefault="00B52505">
      <w:pPr>
        <w:pStyle w:val="TableParagraph"/>
        <w:tabs>
          <w:tab w:val="left" w:pos="1929"/>
        </w:tabs>
        <w:spacing w:before="56"/>
        <w:ind w:left="725"/>
        <w:rPr>
          <w:sz w:val="20"/>
        </w:rPr>
      </w:pPr>
      <w:r>
        <w:rPr>
          <w:spacing w:val="-4"/>
          <w:sz w:val="20"/>
        </w:rPr>
        <w:t>ICAG</w:t>
      </w:r>
      <w:r>
        <w:rPr>
          <w:sz w:val="20"/>
        </w:rPr>
        <w:tab/>
        <w:t>Institutional</w:t>
      </w:r>
      <w:r>
        <w:rPr>
          <w:spacing w:val="-14"/>
          <w:sz w:val="20"/>
        </w:rPr>
        <w:t xml:space="preserve"> </w:t>
      </w:r>
      <w:r>
        <w:rPr>
          <w:sz w:val="20"/>
        </w:rPr>
        <w:t>Capacity</w:t>
      </w:r>
      <w:r>
        <w:rPr>
          <w:spacing w:val="-9"/>
          <w:sz w:val="20"/>
        </w:rPr>
        <w:t xml:space="preserve"> </w:t>
      </w:r>
      <w:r>
        <w:rPr>
          <w:sz w:val="20"/>
        </w:rPr>
        <w:t>Assessment</w:t>
      </w:r>
      <w:r>
        <w:rPr>
          <w:spacing w:val="-12"/>
          <w:sz w:val="20"/>
        </w:rPr>
        <w:t xml:space="preserve"> </w:t>
      </w:r>
      <w:r>
        <w:rPr>
          <w:spacing w:val="-4"/>
          <w:sz w:val="20"/>
        </w:rPr>
        <w:t>Grid</w:t>
      </w:r>
    </w:p>
    <w:p w14:paraId="6B4951DA" w14:textId="77777777" w:rsidR="00B52505" w:rsidRDefault="00B52505">
      <w:pPr>
        <w:pStyle w:val="TableParagraph"/>
        <w:tabs>
          <w:tab w:val="left" w:pos="1929"/>
        </w:tabs>
        <w:spacing w:before="56"/>
        <w:ind w:left="725"/>
        <w:rPr>
          <w:sz w:val="20"/>
        </w:rPr>
      </w:pPr>
      <w:r>
        <w:rPr>
          <w:spacing w:val="-5"/>
          <w:sz w:val="20"/>
        </w:rPr>
        <w:t>IMR</w:t>
      </w:r>
      <w:r>
        <w:rPr>
          <w:sz w:val="20"/>
        </w:rPr>
        <w:tab/>
        <w:t>Investment</w:t>
      </w:r>
      <w:r>
        <w:rPr>
          <w:spacing w:val="-10"/>
          <w:sz w:val="20"/>
        </w:rPr>
        <w:t xml:space="preserve"> </w:t>
      </w:r>
      <w:r>
        <w:rPr>
          <w:sz w:val="20"/>
        </w:rPr>
        <w:t>Monitoring</w:t>
      </w:r>
      <w:r>
        <w:rPr>
          <w:spacing w:val="-10"/>
          <w:sz w:val="20"/>
        </w:rPr>
        <w:t xml:space="preserve"> </w:t>
      </w:r>
      <w:r>
        <w:rPr>
          <w:sz w:val="20"/>
        </w:rPr>
        <w:t>Report</w:t>
      </w:r>
      <w:r>
        <w:rPr>
          <w:spacing w:val="-10"/>
          <w:sz w:val="20"/>
        </w:rPr>
        <w:t xml:space="preserve"> </w:t>
      </w:r>
      <w:r>
        <w:rPr>
          <w:spacing w:val="-2"/>
          <w:sz w:val="20"/>
        </w:rPr>
        <w:t>[DFAT]</w:t>
      </w:r>
    </w:p>
    <w:p w14:paraId="76D60DD4" w14:textId="77777777" w:rsidR="00B52505" w:rsidRDefault="00B52505">
      <w:pPr>
        <w:pStyle w:val="TableParagraph"/>
        <w:tabs>
          <w:tab w:val="left" w:pos="1929"/>
        </w:tabs>
        <w:spacing w:before="55"/>
        <w:ind w:left="725"/>
        <w:rPr>
          <w:sz w:val="20"/>
        </w:rPr>
      </w:pPr>
      <w:r>
        <w:rPr>
          <w:spacing w:val="-5"/>
          <w:sz w:val="20"/>
        </w:rPr>
        <w:t>IO</w:t>
      </w:r>
      <w:r>
        <w:rPr>
          <w:sz w:val="20"/>
        </w:rPr>
        <w:tab/>
      </w:r>
      <w:r>
        <w:rPr>
          <w:spacing w:val="-2"/>
          <w:sz w:val="20"/>
        </w:rPr>
        <w:t>Intermediate</w:t>
      </w:r>
      <w:r>
        <w:rPr>
          <w:spacing w:val="6"/>
          <w:sz w:val="20"/>
        </w:rPr>
        <w:t xml:space="preserve"> </w:t>
      </w:r>
      <w:r>
        <w:rPr>
          <w:spacing w:val="-2"/>
          <w:sz w:val="20"/>
        </w:rPr>
        <w:t>Outcomes</w:t>
      </w:r>
    </w:p>
    <w:p w14:paraId="0CDD851D" w14:textId="77777777" w:rsidR="00B52505" w:rsidRDefault="00B52505">
      <w:pPr>
        <w:pStyle w:val="TableParagraph"/>
        <w:tabs>
          <w:tab w:val="left" w:pos="1929"/>
        </w:tabs>
        <w:spacing w:before="56"/>
        <w:ind w:left="725"/>
        <w:rPr>
          <w:sz w:val="20"/>
        </w:rPr>
      </w:pPr>
      <w:r>
        <w:rPr>
          <w:spacing w:val="-5"/>
          <w:sz w:val="20"/>
        </w:rPr>
        <w:t>KRQ</w:t>
      </w:r>
      <w:r>
        <w:rPr>
          <w:sz w:val="20"/>
        </w:rPr>
        <w:tab/>
        <w:t>Key</w:t>
      </w:r>
      <w:r>
        <w:rPr>
          <w:spacing w:val="-9"/>
          <w:sz w:val="20"/>
        </w:rPr>
        <w:t xml:space="preserve"> </w:t>
      </w:r>
      <w:r>
        <w:rPr>
          <w:sz w:val="20"/>
        </w:rPr>
        <w:t>Review</w:t>
      </w:r>
      <w:r>
        <w:rPr>
          <w:spacing w:val="-6"/>
          <w:sz w:val="20"/>
        </w:rPr>
        <w:t xml:space="preserve"> </w:t>
      </w:r>
      <w:r>
        <w:rPr>
          <w:spacing w:val="-2"/>
          <w:sz w:val="20"/>
        </w:rPr>
        <w:t>Question</w:t>
      </w:r>
    </w:p>
    <w:p w14:paraId="29487032" w14:textId="77777777" w:rsidR="00B52505" w:rsidRDefault="00B52505">
      <w:pPr>
        <w:pStyle w:val="TableParagraph"/>
        <w:tabs>
          <w:tab w:val="left" w:pos="1929"/>
        </w:tabs>
        <w:spacing w:before="56"/>
        <w:ind w:left="725"/>
        <w:rPr>
          <w:sz w:val="20"/>
        </w:rPr>
      </w:pPr>
      <w:r>
        <w:rPr>
          <w:spacing w:val="-2"/>
          <w:sz w:val="20"/>
        </w:rPr>
        <w:t>LGBQTI+</w:t>
      </w:r>
      <w:r>
        <w:rPr>
          <w:sz w:val="20"/>
        </w:rPr>
        <w:tab/>
        <w:t>Lesbian,</w:t>
      </w:r>
      <w:r>
        <w:rPr>
          <w:spacing w:val="-9"/>
          <w:sz w:val="20"/>
        </w:rPr>
        <w:t xml:space="preserve"> </w:t>
      </w:r>
      <w:r>
        <w:rPr>
          <w:sz w:val="20"/>
        </w:rPr>
        <w:t>Gay,</w:t>
      </w:r>
      <w:r>
        <w:rPr>
          <w:spacing w:val="-6"/>
          <w:sz w:val="20"/>
        </w:rPr>
        <w:t xml:space="preserve"> </w:t>
      </w:r>
      <w:r>
        <w:rPr>
          <w:sz w:val="20"/>
        </w:rPr>
        <w:t>Bisexual,</w:t>
      </w:r>
      <w:r>
        <w:rPr>
          <w:spacing w:val="-8"/>
          <w:sz w:val="20"/>
        </w:rPr>
        <w:t xml:space="preserve"> </w:t>
      </w:r>
      <w:r>
        <w:rPr>
          <w:sz w:val="20"/>
        </w:rPr>
        <w:t>Queer,</w:t>
      </w:r>
      <w:r>
        <w:rPr>
          <w:spacing w:val="-8"/>
          <w:sz w:val="20"/>
        </w:rPr>
        <w:t xml:space="preserve"> </w:t>
      </w:r>
      <w:r>
        <w:rPr>
          <w:sz w:val="20"/>
        </w:rPr>
        <w:t>Transexual</w:t>
      </w:r>
      <w:r>
        <w:rPr>
          <w:spacing w:val="-7"/>
          <w:sz w:val="20"/>
        </w:rPr>
        <w:t xml:space="preserve"> </w:t>
      </w:r>
      <w:r>
        <w:rPr>
          <w:sz w:val="20"/>
        </w:rPr>
        <w:t>and</w:t>
      </w:r>
      <w:r>
        <w:rPr>
          <w:spacing w:val="-7"/>
          <w:sz w:val="20"/>
        </w:rPr>
        <w:t xml:space="preserve"> </w:t>
      </w:r>
      <w:r>
        <w:rPr>
          <w:spacing w:val="-2"/>
          <w:sz w:val="20"/>
        </w:rPr>
        <w:t>Intersex</w:t>
      </w:r>
    </w:p>
    <w:p w14:paraId="5B04ECA7" w14:textId="77777777" w:rsidR="00B52505" w:rsidRDefault="00B52505">
      <w:pPr>
        <w:pStyle w:val="TableParagraph"/>
        <w:tabs>
          <w:tab w:val="left" w:pos="1929"/>
        </w:tabs>
        <w:spacing w:before="56"/>
        <w:ind w:left="725"/>
        <w:rPr>
          <w:sz w:val="20"/>
        </w:rPr>
      </w:pPr>
      <w:r>
        <w:rPr>
          <w:spacing w:val="-5"/>
          <w:sz w:val="20"/>
        </w:rPr>
        <w:t>LTA</w:t>
      </w:r>
      <w:r>
        <w:rPr>
          <w:sz w:val="20"/>
        </w:rPr>
        <w:tab/>
        <w:t>Long-term</w:t>
      </w:r>
      <w:r>
        <w:rPr>
          <w:spacing w:val="-11"/>
          <w:sz w:val="20"/>
        </w:rPr>
        <w:t xml:space="preserve"> </w:t>
      </w:r>
      <w:r>
        <w:rPr>
          <w:spacing w:val="-2"/>
          <w:sz w:val="20"/>
        </w:rPr>
        <w:t>Adviser</w:t>
      </w:r>
    </w:p>
    <w:p w14:paraId="66F7AF3D" w14:textId="77777777" w:rsidR="00B52505" w:rsidRDefault="00B52505">
      <w:pPr>
        <w:pStyle w:val="TableParagraph"/>
        <w:tabs>
          <w:tab w:val="left" w:pos="1929"/>
        </w:tabs>
        <w:spacing w:before="56"/>
        <w:ind w:left="725"/>
        <w:rPr>
          <w:sz w:val="20"/>
        </w:rPr>
      </w:pPr>
      <w:r>
        <w:rPr>
          <w:spacing w:val="-5"/>
          <w:sz w:val="20"/>
        </w:rPr>
        <w:t>M&amp;E</w:t>
      </w:r>
      <w:r>
        <w:rPr>
          <w:sz w:val="20"/>
        </w:rPr>
        <w:tab/>
        <w:t>Monitoring</w:t>
      </w:r>
      <w:r>
        <w:rPr>
          <w:spacing w:val="-7"/>
          <w:sz w:val="20"/>
        </w:rPr>
        <w:t xml:space="preserve"> </w:t>
      </w:r>
      <w:r>
        <w:rPr>
          <w:sz w:val="20"/>
        </w:rPr>
        <w:t>&amp;</w:t>
      </w:r>
      <w:r>
        <w:rPr>
          <w:spacing w:val="-6"/>
          <w:sz w:val="20"/>
        </w:rPr>
        <w:t xml:space="preserve"> </w:t>
      </w:r>
      <w:r>
        <w:rPr>
          <w:spacing w:val="-2"/>
          <w:sz w:val="20"/>
        </w:rPr>
        <w:t>Evaluation</w:t>
      </w:r>
    </w:p>
    <w:p w14:paraId="470A9891" w14:textId="77777777" w:rsidR="00B52505" w:rsidRDefault="00B52505">
      <w:pPr>
        <w:pStyle w:val="TableParagraph"/>
        <w:tabs>
          <w:tab w:val="left" w:pos="1929"/>
        </w:tabs>
        <w:spacing w:before="56"/>
        <w:ind w:left="725"/>
        <w:rPr>
          <w:sz w:val="20"/>
        </w:rPr>
      </w:pPr>
      <w:r>
        <w:rPr>
          <w:spacing w:val="-5"/>
          <w:sz w:val="20"/>
        </w:rPr>
        <w:t>MEL</w:t>
      </w:r>
      <w:r>
        <w:rPr>
          <w:sz w:val="20"/>
        </w:rPr>
        <w:tab/>
        <w:t>Monitoring,</w:t>
      </w:r>
      <w:r>
        <w:rPr>
          <w:spacing w:val="-8"/>
          <w:sz w:val="20"/>
        </w:rPr>
        <w:t xml:space="preserve"> </w:t>
      </w:r>
      <w:r>
        <w:rPr>
          <w:sz w:val="20"/>
        </w:rPr>
        <w:t>Evaluation</w:t>
      </w:r>
      <w:r>
        <w:rPr>
          <w:spacing w:val="-9"/>
          <w:sz w:val="20"/>
        </w:rPr>
        <w:t xml:space="preserve"> </w:t>
      </w:r>
      <w:r>
        <w:rPr>
          <w:sz w:val="20"/>
        </w:rPr>
        <w:t>&amp;</w:t>
      </w:r>
      <w:r>
        <w:rPr>
          <w:spacing w:val="-8"/>
          <w:sz w:val="20"/>
        </w:rPr>
        <w:t xml:space="preserve"> </w:t>
      </w:r>
      <w:r>
        <w:rPr>
          <w:spacing w:val="-2"/>
          <w:sz w:val="20"/>
        </w:rPr>
        <w:t>Learning</w:t>
      </w:r>
    </w:p>
    <w:p w14:paraId="7C8BD19B" w14:textId="77777777" w:rsidR="00B52505" w:rsidRDefault="00B52505">
      <w:pPr>
        <w:pStyle w:val="TableParagraph"/>
        <w:tabs>
          <w:tab w:val="left" w:pos="1929"/>
        </w:tabs>
        <w:spacing w:before="55"/>
        <w:ind w:left="725"/>
        <w:rPr>
          <w:sz w:val="20"/>
        </w:rPr>
      </w:pPr>
      <w:r>
        <w:rPr>
          <w:spacing w:val="-4"/>
          <w:sz w:val="20"/>
        </w:rPr>
        <w:t>MERL</w:t>
      </w:r>
      <w:r>
        <w:rPr>
          <w:sz w:val="20"/>
        </w:rPr>
        <w:tab/>
        <w:t>Monitoring,</w:t>
      </w:r>
      <w:r>
        <w:rPr>
          <w:spacing w:val="-8"/>
          <w:sz w:val="20"/>
        </w:rPr>
        <w:t xml:space="preserve"> </w:t>
      </w:r>
      <w:r>
        <w:rPr>
          <w:sz w:val="20"/>
        </w:rPr>
        <w:t>Evaluation,</w:t>
      </w:r>
      <w:r>
        <w:rPr>
          <w:spacing w:val="-10"/>
          <w:sz w:val="20"/>
        </w:rPr>
        <w:t xml:space="preserve"> </w:t>
      </w:r>
      <w:r>
        <w:rPr>
          <w:sz w:val="20"/>
        </w:rPr>
        <w:t>Research</w:t>
      </w:r>
      <w:r>
        <w:rPr>
          <w:spacing w:val="-9"/>
          <w:sz w:val="20"/>
        </w:rPr>
        <w:t xml:space="preserve"> </w:t>
      </w:r>
      <w:r>
        <w:rPr>
          <w:sz w:val="20"/>
        </w:rPr>
        <w:t>&amp;</w:t>
      </w:r>
      <w:r>
        <w:rPr>
          <w:spacing w:val="-8"/>
          <w:sz w:val="20"/>
        </w:rPr>
        <w:t xml:space="preserve"> </w:t>
      </w:r>
      <w:r>
        <w:rPr>
          <w:spacing w:val="-2"/>
          <w:sz w:val="20"/>
        </w:rPr>
        <w:t>Learning</w:t>
      </w:r>
    </w:p>
    <w:p w14:paraId="1AF52CD5" w14:textId="77777777" w:rsidR="00B52505" w:rsidRDefault="00B52505">
      <w:pPr>
        <w:pStyle w:val="TableParagraph"/>
        <w:tabs>
          <w:tab w:val="left" w:pos="1929"/>
        </w:tabs>
        <w:spacing w:before="56" w:line="210" w:lineRule="exact"/>
        <w:ind w:left="725"/>
        <w:rPr>
          <w:sz w:val="20"/>
        </w:rPr>
      </w:pPr>
      <w:r>
        <w:rPr>
          <w:spacing w:val="-4"/>
          <w:sz w:val="20"/>
        </w:rPr>
        <w:t>MJCS</w:t>
      </w:r>
      <w:r>
        <w:rPr>
          <w:sz w:val="20"/>
        </w:rPr>
        <w:tab/>
        <w:t>Ministry</w:t>
      </w:r>
      <w:r>
        <w:rPr>
          <w:spacing w:val="-8"/>
          <w:sz w:val="20"/>
        </w:rPr>
        <w:t xml:space="preserve"> </w:t>
      </w:r>
      <w:r>
        <w:rPr>
          <w:sz w:val="20"/>
        </w:rPr>
        <w:t>of</w:t>
      </w:r>
      <w:r>
        <w:rPr>
          <w:spacing w:val="-9"/>
          <w:sz w:val="20"/>
        </w:rPr>
        <w:t xml:space="preserve"> </w:t>
      </w:r>
      <w:r>
        <w:rPr>
          <w:sz w:val="20"/>
        </w:rPr>
        <w:t>Justice</w:t>
      </w:r>
      <w:r>
        <w:rPr>
          <w:spacing w:val="-7"/>
          <w:sz w:val="20"/>
        </w:rPr>
        <w:t xml:space="preserve"> </w:t>
      </w:r>
      <w:r>
        <w:rPr>
          <w:sz w:val="20"/>
        </w:rPr>
        <w:t>and</w:t>
      </w:r>
      <w:r>
        <w:rPr>
          <w:spacing w:val="-7"/>
          <w:sz w:val="20"/>
        </w:rPr>
        <w:t xml:space="preserve"> </w:t>
      </w:r>
      <w:r>
        <w:rPr>
          <w:sz w:val="20"/>
        </w:rPr>
        <w:t>Community</w:t>
      </w:r>
      <w:r>
        <w:rPr>
          <w:spacing w:val="-6"/>
          <w:sz w:val="20"/>
        </w:rPr>
        <w:t xml:space="preserve"> </w:t>
      </w:r>
      <w:r>
        <w:rPr>
          <w:sz w:val="20"/>
        </w:rPr>
        <w:t>Services</w:t>
      </w:r>
      <w:r>
        <w:rPr>
          <w:spacing w:val="-7"/>
          <w:sz w:val="20"/>
        </w:rPr>
        <w:t xml:space="preserve"> </w:t>
      </w:r>
      <w:r>
        <w:rPr>
          <w:spacing w:val="-4"/>
          <w:sz w:val="20"/>
        </w:rPr>
        <w:t>[GoV]</w:t>
      </w:r>
    </w:p>
    <w:p w14:paraId="718608D6" w14:textId="77777777" w:rsidR="009C36E3" w:rsidRDefault="009C36E3">
      <w:pPr>
        <w:spacing w:line="210" w:lineRule="exact"/>
        <w:rPr>
          <w:sz w:val="20"/>
        </w:rPr>
        <w:sectPr w:rsidR="009C36E3">
          <w:pgSz w:w="11910" w:h="16850"/>
          <w:pgMar w:top="1040" w:right="740" w:bottom="740" w:left="80" w:header="552" w:footer="559" w:gutter="0"/>
          <w:cols w:space="720"/>
        </w:sectPr>
      </w:pPr>
    </w:p>
    <w:p w14:paraId="7560E0ED" w14:textId="77777777" w:rsidR="00BE49B5" w:rsidRDefault="00BE49B5">
      <w:pPr>
        <w:pStyle w:val="TableParagraph"/>
        <w:tabs>
          <w:tab w:val="left" w:pos="1894"/>
        </w:tabs>
        <w:spacing w:before="0" w:line="223" w:lineRule="exact"/>
        <w:ind w:left="725"/>
        <w:rPr>
          <w:sz w:val="20"/>
        </w:rPr>
      </w:pPr>
      <w:r>
        <w:rPr>
          <w:spacing w:val="-4"/>
          <w:sz w:val="20"/>
        </w:rPr>
        <w:t>MNCC</w:t>
      </w:r>
      <w:r>
        <w:rPr>
          <w:sz w:val="20"/>
        </w:rPr>
        <w:tab/>
      </w:r>
      <w:proofErr w:type="spellStart"/>
      <w:r>
        <w:rPr>
          <w:sz w:val="20"/>
        </w:rPr>
        <w:t>Malvatamauri</w:t>
      </w:r>
      <w:proofErr w:type="spellEnd"/>
      <w:r>
        <w:rPr>
          <w:spacing w:val="-9"/>
          <w:sz w:val="20"/>
        </w:rPr>
        <w:t xml:space="preserve"> </w:t>
      </w:r>
      <w:r>
        <w:rPr>
          <w:sz w:val="20"/>
        </w:rPr>
        <w:t>National</w:t>
      </w:r>
      <w:r>
        <w:rPr>
          <w:spacing w:val="-9"/>
          <w:sz w:val="20"/>
        </w:rPr>
        <w:t xml:space="preserve"> </w:t>
      </w:r>
      <w:r>
        <w:rPr>
          <w:sz w:val="20"/>
        </w:rPr>
        <w:t>Council</w:t>
      </w:r>
      <w:r>
        <w:rPr>
          <w:spacing w:val="-8"/>
          <w:sz w:val="20"/>
        </w:rPr>
        <w:t xml:space="preserve"> </w:t>
      </w:r>
      <w:r>
        <w:rPr>
          <w:sz w:val="20"/>
        </w:rPr>
        <w:t>of</w:t>
      </w:r>
      <w:r>
        <w:rPr>
          <w:spacing w:val="-9"/>
          <w:sz w:val="20"/>
        </w:rPr>
        <w:t xml:space="preserve"> </w:t>
      </w:r>
      <w:r>
        <w:rPr>
          <w:spacing w:val="-2"/>
          <w:sz w:val="20"/>
        </w:rPr>
        <w:t>Chiefs</w:t>
      </w:r>
    </w:p>
    <w:p w14:paraId="20A1D7DD" w14:textId="77777777" w:rsidR="00BE49B5" w:rsidRDefault="00BE49B5">
      <w:pPr>
        <w:pStyle w:val="TableParagraph"/>
        <w:tabs>
          <w:tab w:val="left" w:pos="1894"/>
        </w:tabs>
        <w:spacing w:before="56"/>
        <w:ind w:left="725"/>
        <w:rPr>
          <w:sz w:val="20"/>
        </w:rPr>
      </w:pPr>
      <w:proofErr w:type="spellStart"/>
      <w:r>
        <w:rPr>
          <w:spacing w:val="-4"/>
          <w:sz w:val="20"/>
        </w:rPr>
        <w:t>MoIA</w:t>
      </w:r>
      <w:proofErr w:type="spellEnd"/>
      <w:r>
        <w:rPr>
          <w:sz w:val="20"/>
        </w:rPr>
        <w:tab/>
        <w:t>Ministry</w:t>
      </w:r>
      <w:r>
        <w:rPr>
          <w:spacing w:val="-7"/>
          <w:sz w:val="20"/>
        </w:rPr>
        <w:t xml:space="preserve"> </w:t>
      </w:r>
      <w:r>
        <w:rPr>
          <w:sz w:val="20"/>
        </w:rPr>
        <w:t>of</w:t>
      </w:r>
      <w:r>
        <w:rPr>
          <w:spacing w:val="-8"/>
          <w:sz w:val="20"/>
        </w:rPr>
        <w:t xml:space="preserve"> </w:t>
      </w:r>
      <w:r>
        <w:rPr>
          <w:sz w:val="20"/>
        </w:rPr>
        <w:t>Internal</w:t>
      </w:r>
      <w:r>
        <w:rPr>
          <w:spacing w:val="-7"/>
          <w:sz w:val="20"/>
        </w:rPr>
        <w:t xml:space="preserve"> </w:t>
      </w:r>
      <w:r>
        <w:rPr>
          <w:sz w:val="20"/>
        </w:rPr>
        <w:t>Affairs</w:t>
      </w:r>
      <w:r>
        <w:rPr>
          <w:spacing w:val="-6"/>
          <w:sz w:val="20"/>
        </w:rPr>
        <w:t xml:space="preserve"> </w:t>
      </w:r>
      <w:r>
        <w:rPr>
          <w:spacing w:val="-2"/>
          <w:sz w:val="20"/>
        </w:rPr>
        <w:t>[GoV]</w:t>
      </w:r>
    </w:p>
    <w:p w14:paraId="7BE3052F" w14:textId="77777777" w:rsidR="00BE49B5" w:rsidRDefault="00BE49B5">
      <w:pPr>
        <w:pStyle w:val="TableParagraph"/>
        <w:tabs>
          <w:tab w:val="left" w:pos="1894"/>
        </w:tabs>
        <w:spacing w:before="56"/>
        <w:ind w:left="725"/>
        <w:rPr>
          <w:sz w:val="20"/>
        </w:rPr>
      </w:pPr>
      <w:r>
        <w:rPr>
          <w:spacing w:val="-5"/>
          <w:sz w:val="20"/>
        </w:rPr>
        <w:t>MTR</w:t>
      </w:r>
      <w:r>
        <w:rPr>
          <w:sz w:val="20"/>
        </w:rPr>
        <w:tab/>
        <w:t>Mid-Term</w:t>
      </w:r>
      <w:r>
        <w:rPr>
          <w:spacing w:val="-13"/>
          <w:sz w:val="20"/>
        </w:rPr>
        <w:t xml:space="preserve"> </w:t>
      </w:r>
      <w:r>
        <w:rPr>
          <w:spacing w:val="-2"/>
          <w:sz w:val="20"/>
        </w:rPr>
        <w:t>Review</w:t>
      </w:r>
    </w:p>
    <w:p w14:paraId="4F4ADC5A" w14:textId="77777777" w:rsidR="00BE49B5" w:rsidRDefault="00BE49B5">
      <w:pPr>
        <w:pStyle w:val="TableParagraph"/>
        <w:tabs>
          <w:tab w:val="left" w:pos="1894"/>
        </w:tabs>
        <w:spacing w:before="56"/>
        <w:ind w:left="725"/>
        <w:rPr>
          <w:sz w:val="20"/>
        </w:rPr>
      </w:pPr>
      <w:r>
        <w:rPr>
          <w:spacing w:val="-5"/>
          <w:sz w:val="20"/>
        </w:rPr>
        <w:t>NGO</w:t>
      </w:r>
      <w:r>
        <w:rPr>
          <w:sz w:val="20"/>
        </w:rPr>
        <w:tab/>
      </w:r>
      <w:r>
        <w:rPr>
          <w:spacing w:val="-2"/>
          <w:sz w:val="20"/>
        </w:rPr>
        <w:t>Non-government</w:t>
      </w:r>
      <w:r>
        <w:rPr>
          <w:spacing w:val="11"/>
          <w:sz w:val="20"/>
        </w:rPr>
        <w:t xml:space="preserve"> </w:t>
      </w:r>
      <w:proofErr w:type="spellStart"/>
      <w:r>
        <w:rPr>
          <w:spacing w:val="-2"/>
          <w:sz w:val="20"/>
        </w:rPr>
        <w:t>Organisation</w:t>
      </w:r>
      <w:proofErr w:type="spellEnd"/>
    </w:p>
    <w:p w14:paraId="05F44157" w14:textId="77777777" w:rsidR="00BE49B5" w:rsidRDefault="00BE49B5">
      <w:pPr>
        <w:pStyle w:val="TableParagraph"/>
        <w:tabs>
          <w:tab w:val="left" w:pos="1894"/>
        </w:tabs>
        <w:spacing w:before="56"/>
        <w:ind w:left="725"/>
        <w:rPr>
          <w:sz w:val="20"/>
        </w:rPr>
      </w:pPr>
      <w:r>
        <w:rPr>
          <w:spacing w:val="-5"/>
          <w:sz w:val="20"/>
        </w:rPr>
        <w:t>NPP</w:t>
      </w:r>
      <w:r>
        <w:rPr>
          <w:sz w:val="20"/>
        </w:rPr>
        <w:tab/>
        <w:t>New</w:t>
      </w:r>
      <w:r>
        <w:rPr>
          <w:spacing w:val="-7"/>
          <w:sz w:val="20"/>
        </w:rPr>
        <w:t xml:space="preserve"> </w:t>
      </w:r>
      <w:r>
        <w:rPr>
          <w:sz w:val="20"/>
        </w:rPr>
        <w:t>Policy</w:t>
      </w:r>
      <w:r>
        <w:rPr>
          <w:spacing w:val="-5"/>
          <w:sz w:val="20"/>
        </w:rPr>
        <w:t xml:space="preserve"> </w:t>
      </w:r>
      <w:r>
        <w:rPr>
          <w:spacing w:val="-2"/>
          <w:sz w:val="20"/>
        </w:rPr>
        <w:t>Proposal</w:t>
      </w:r>
    </w:p>
    <w:p w14:paraId="067B5584" w14:textId="77777777" w:rsidR="00BE49B5" w:rsidRDefault="00BE49B5">
      <w:pPr>
        <w:pStyle w:val="TableParagraph"/>
        <w:tabs>
          <w:tab w:val="left" w:pos="1894"/>
        </w:tabs>
        <w:spacing w:before="56"/>
        <w:ind w:left="725"/>
        <w:rPr>
          <w:sz w:val="20"/>
        </w:rPr>
      </w:pPr>
      <w:r>
        <w:rPr>
          <w:spacing w:val="-4"/>
          <w:sz w:val="20"/>
        </w:rPr>
        <w:t>NSDP</w:t>
      </w:r>
      <w:r>
        <w:rPr>
          <w:sz w:val="20"/>
        </w:rPr>
        <w:tab/>
        <w:t>National</w:t>
      </w:r>
      <w:r>
        <w:rPr>
          <w:spacing w:val="-12"/>
          <w:sz w:val="20"/>
        </w:rPr>
        <w:t xml:space="preserve"> </w:t>
      </w:r>
      <w:r>
        <w:rPr>
          <w:sz w:val="20"/>
        </w:rPr>
        <w:t>Sustainable</w:t>
      </w:r>
      <w:r>
        <w:rPr>
          <w:spacing w:val="-10"/>
          <w:sz w:val="20"/>
        </w:rPr>
        <w:t xml:space="preserve"> </w:t>
      </w:r>
      <w:r>
        <w:rPr>
          <w:sz w:val="20"/>
        </w:rPr>
        <w:t>Development</w:t>
      </w:r>
      <w:r>
        <w:rPr>
          <w:spacing w:val="-10"/>
          <w:sz w:val="20"/>
        </w:rPr>
        <w:t xml:space="preserve"> </w:t>
      </w:r>
      <w:r>
        <w:rPr>
          <w:spacing w:val="-4"/>
          <w:sz w:val="20"/>
        </w:rPr>
        <w:t>Plan</w:t>
      </w:r>
    </w:p>
    <w:p w14:paraId="448C5131" w14:textId="77777777" w:rsidR="00BE49B5" w:rsidRDefault="00BE49B5">
      <w:pPr>
        <w:pStyle w:val="TableParagraph"/>
        <w:tabs>
          <w:tab w:val="left" w:pos="1894"/>
        </w:tabs>
        <w:spacing w:before="55"/>
        <w:ind w:left="725"/>
        <w:rPr>
          <w:sz w:val="20"/>
        </w:rPr>
      </w:pPr>
      <w:r>
        <w:rPr>
          <w:spacing w:val="-5"/>
          <w:sz w:val="20"/>
        </w:rPr>
        <w:t>OPP</w:t>
      </w:r>
      <w:r>
        <w:rPr>
          <w:sz w:val="20"/>
        </w:rPr>
        <w:tab/>
        <w:t>Office</w:t>
      </w:r>
      <w:r>
        <w:rPr>
          <w:spacing w:val="-7"/>
          <w:sz w:val="20"/>
        </w:rPr>
        <w:t xml:space="preserve"> </w:t>
      </w:r>
      <w:r>
        <w:rPr>
          <w:sz w:val="20"/>
        </w:rPr>
        <w:t>of</w:t>
      </w:r>
      <w:r>
        <w:rPr>
          <w:spacing w:val="-4"/>
          <w:sz w:val="20"/>
        </w:rPr>
        <w:t xml:space="preserve"> </w:t>
      </w:r>
      <w:r>
        <w:rPr>
          <w:sz w:val="20"/>
        </w:rPr>
        <w:t>the</w:t>
      </w:r>
      <w:r>
        <w:rPr>
          <w:spacing w:val="-4"/>
          <w:sz w:val="20"/>
        </w:rPr>
        <w:t xml:space="preserve"> </w:t>
      </w:r>
      <w:r>
        <w:rPr>
          <w:sz w:val="20"/>
        </w:rPr>
        <w:t>Public</w:t>
      </w:r>
      <w:r>
        <w:rPr>
          <w:spacing w:val="-6"/>
          <w:sz w:val="20"/>
        </w:rPr>
        <w:t xml:space="preserve"> </w:t>
      </w:r>
      <w:r>
        <w:rPr>
          <w:spacing w:val="-2"/>
          <w:sz w:val="20"/>
        </w:rPr>
        <w:t>Prosecutor</w:t>
      </w:r>
    </w:p>
    <w:p w14:paraId="56138D08" w14:textId="77777777" w:rsidR="00BE49B5" w:rsidRDefault="00BE49B5">
      <w:pPr>
        <w:pStyle w:val="TableParagraph"/>
        <w:tabs>
          <w:tab w:val="left" w:pos="1894"/>
        </w:tabs>
        <w:spacing w:before="56"/>
        <w:ind w:left="725"/>
        <w:rPr>
          <w:sz w:val="20"/>
        </w:rPr>
      </w:pPr>
      <w:r>
        <w:rPr>
          <w:spacing w:val="-5"/>
          <w:sz w:val="20"/>
        </w:rPr>
        <w:t>OPS</w:t>
      </w:r>
      <w:r>
        <w:rPr>
          <w:sz w:val="20"/>
        </w:rPr>
        <w:tab/>
      </w:r>
      <w:proofErr w:type="spellStart"/>
      <w:r>
        <w:rPr>
          <w:sz w:val="20"/>
        </w:rPr>
        <w:t>Organisational</w:t>
      </w:r>
      <w:proofErr w:type="spellEnd"/>
      <w:r>
        <w:rPr>
          <w:spacing w:val="-12"/>
          <w:sz w:val="20"/>
        </w:rPr>
        <w:t xml:space="preserve"> </w:t>
      </w:r>
      <w:r>
        <w:rPr>
          <w:sz w:val="20"/>
        </w:rPr>
        <w:t>Performance</w:t>
      </w:r>
      <w:r>
        <w:rPr>
          <w:spacing w:val="-12"/>
          <w:sz w:val="20"/>
        </w:rPr>
        <w:t xml:space="preserve"> </w:t>
      </w:r>
      <w:r>
        <w:rPr>
          <w:sz w:val="20"/>
        </w:rPr>
        <w:t>Study</w:t>
      </w:r>
      <w:r>
        <w:rPr>
          <w:spacing w:val="-12"/>
          <w:sz w:val="20"/>
        </w:rPr>
        <w:t xml:space="preserve"> </w:t>
      </w:r>
      <w:r>
        <w:rPr>
          <w:spacing w:val="-4"/>
          <w:sz w:val="20"/>
        </w:rPr>
        <w:t>[VPF]</w:t>
      </w:r>
    </w:p>
    <w:p w14:paraId="471649A4" w14:textId="77777777" w:rsidR="00BE49B5" w:rsidRDefault="00BE49B5">
      <w:pPr>
        <w:pStyle w:val="TableParagraph"/>
        <w:tabs>
          <w:tab w:val="left" w:pos="1894"/>
        </w:tabs>
        <w:spacing w:before="56"/>
        <w:ind w:left="725"/>
        <w:rPr>
          <w:sz w:val="20"/>
        </w:rPr>
      </w:pPr>
      <w:r>
        <w:rPr>
          <w:spacing w:val="-2"/>
          <w:sz w:val="20"/>
        </w:rPr>
        <w:t>PC-</w:t>
      </w:r>
      <w:r>
        <w:rPr>
          <w:spacing w:val="-10"/>
          <w:sz w:val="20"/>
        </w:rPr>
        <w:t>J</w:t>
      </w:r>
      <w:r>
        <w:rPr>
          <w:sz w:val="20"/>
        </w:rPr>
        <w:tab/>
        <w:t>Program</w:t>
      </w:r>
      <w:r>
        <w:rPr>
          <w:spacing w:val="-12"/>
          <w:sz w:val="20"/>
        </w:rPr>
        <w:t xml:space="preserve"> </w:t>
      </w:r>
      <w:r>
        <w:rPr>
          <w:sz w:val="20"/>
        </w:rPr>
        <w:t>Coordinator-</w:t>
      </w:r>
      <w:r>
        <w:rPr>
          <w:spacing w:val="-10"/>
          <w:sz w:val="20"/>
        </w:rPr>
        <w:t xml:space="preserve"> </w:t>
      </w:r>
      <w:r>
        <w:rPr>
          <w:sz w:val="20"/>
        </w:rPr>
        <w:t>Justice</w:t>
      </w:r>
      <w:r>
        <w:rPr>
          <w:spacing w:val="-9"/>
          <w:sz w:val="20"/>
        </w:rPr>
        <w:t xml:space="preserve"> </w:t>
      </w:r>
      <w:r>
        <w:rPr>
          <w:spacing w:val="-2"/>
          <w:sz w:val="20"/>
        </w:rPr>
        <w:t>[VAPJP]</w:t>
      </w:r>
    </w:p>
    <w:p w14:paraId="3D13FB56" w14:textId="77777777" w:rsidR="00BE49B5" w:rsidRDefault="00BE49B5">
      <w:pPr>
        <w:pStyle w:val="TableParagraph"/>
        <w:tabs>
          <w:tab w:val="left" w:pos="1894"/>
        </w:tabs>
        <w:spacing w:before="56"/>
        <w:ind w:left="725"/>
        <w:rPr>
          <w:sz w:val="20"/>
        </w:rPr>
      </w:pPr>
      <w:r>
        <w:rPr>
          <w:spacing w:val="-2"/>
          <w:sz w:val="20"/>
        </w:rPr>
        <w:t>PC-</w:t>
      </w:r>
      <w:r>
        <w:rPr>
          <w:spacing w:val="-10"/>
          <w:sz w:val="20"/>
        </w:rPr>
        <w:t>P</w:t>
      </w:r>
      <w:r>
        <w:rPr>
          <w:sz w:val="20"/>
        </w:rPr>
        <w:tab/>
      </w:r>
      <w:r>
        <w:rPr>
          <w:spacing w:val="-2"/>
          <w:sz w:val="20"/>
        </w:rPr>
        <w:t>Program</w:t>
      </w:r>
      <w:r>
        <w:rPr>
          <w:spacing w:val="11"/>
          <w:sz w:val="20"/>
        </w:rPr>
        <w:t xml:space="preserve"> </w:t>
      </w:r>
      <w:r>
        <w:rPr>
          <w:spacing w:val="-2"/>
          <w:sz w:val="20"/>
        </w:rPr>
        <w:t>Coordinator-Policing</w:t>
      </w:r>
      <w:r>
        <w:rPr>
          <w:spacing w:val="12"/>
          <w:sz w:val="20"/>
        </w:rPr>
        <w:t xml:space="preserve"> </w:t>
      </w:r>
      <w:r>
        <w:rPr>
          <w:spacing w:val="-2"/>
          <w:sz w:val="20"/>
        </w:rPr>
        <w:t>[VAPJP]</w:t>
      </w:r>
    </w:p>
    <w:p w14:paraId="429DD527" w14:textId="77777777" w:rsidR="00BE49B5" w:rsidRDefault="00BE49B5">
      <w:pPr>
        <w:pStyle w:val="TableParagraph"/>
        <w:tabs>
          <w:tab w:val="left" w:pos="1894"/>
        </w:tabs>
        <w:spacing w:before="56"/>
        <w:ind w:left="725"/>
        <w:rPr>
          <w:sz w:val="20"/>
        </w:rPr>
      </w:pPr>
      <w:r>
        <w:rPr>
          <w:spacing w:val="-5"/>
          <w:sz w:val="20"/>
        </w:rPr>
        <w:t>PFM</w:t>
      </w:r>
      <w:r>
        <w:rPr>
          <w:sz w:val="20"/>
        </w:rPr>
        <w:tab/>
        <w:t>Public</w:t>
      </w:r>
      <w:r>
        <w:rPr>
          <w:spacing w:val="-8"/>
          <w:sz w:val="20"/>
        </w:rPr>
        <w:t xml:space="preserve"> </w:t>
      </w:r>
      <w:r>
        <w:rPr>
          <w:sz w:val="20"/>
        </w:rPr>
        <w:t>Financial</w:t>
      </w:r>
      <w:r>
        <w:rPr>
          <w:spacing w:val="-10"/>
          <w:sz w:val="20"/>
        </w:rPr>
        <w:t xml:space="preserve"> </w:t>
      </w:r>
      <w:r>
        <w:rPr>
          <w:spacing w:val="-2"/>
          <w:sz w:val="20"/>
        </w:rPr>
        <w:t>Management</w:t>
      </w:r>
    </w:p>
    <w:p w14:paraId="3C071AE0" w14:textId="77777777" w:rsidR="00BE49B5" w:rsidRDefault="00BE49B5">
      <w:pPr>
        <w:pStyle w:val="TableParagraph"/>
        <w:tabs>
          <w:tab w:val="left" w:pos="1894"/>
        </w:tabs>
        <w:spacing w:before="56"/>
        <w:ind w:left="725"/>
        <w:rPr>
          <w:sz w:val="20"/>
        </w:rPr>
      </w:pPr>
      <w:r>
        <w:rPr>
          <w:spacing w:val="-4"/>
          <w:sz w:val="20"/>
        </w:rPr>
        <w:t>PIMS</w:t>
      </w:r>
      <w:r>
        <w:rPr>
          <w:sz w:val="20"/>
        </w:rPr>
        <w:tab/>
        <w:t>Police</w:t>
      </w:r>
      <w:r>
        <w:rPr>
          <w:spacing w:val="-11"/>
          <w:sz w:val="20"/>
        </w:rPr>
        <w:t xml:space="preserve"> </w:t>
      </w:r>
      <w:r>
        <w:rPr>
          <w:sz w:val="20"/>
        </w:rPr>
        <w:t>Information</w:t>
      </w:r>
      <w:r>
        <w:rPr>
          <w:spacing w:val="-10"/>
          <w:sz w:val="20"/>
        </w:rPr>
        <w:t xml:space="preserve"> </w:t>
      </w:r>
      <w:r>
        <w:rPr>
          <w:sz w:val="20"/>
        </w:rPr>
        <w:t>Management</w:t>
      </w:r>
      <w:r>
        <w:rPr>
          <w:spacing w:val="-9"/>
          <w:sz w:val="20"/>
        </w:rPr>
        <w:t xml:space="preserve"> </w:t>
      </w:r>
      <w:r>
        <w:rPr>
          <w:sz w:val="20"/>
        </w:rPr>
        <w:t>System</w:t>
      </w:r>
      <w:r>
        <w:rPr>
          <w:spacing w:val="-9"/>
          <w:sz w:val="20"/>
        </w:rPr>
        <w:t xml:space="preserve"> </w:t>
      </w:r>
      <w:r>
        <w:rPr>
          <w:spacing w:val="-4"/>
          <w:sz w:val="20"/>
        </w:rPr>
        <w:t>[VPF]</w:t>
      </w:r>
    </w:p>
    <w:p w14:paraId="779ED7D1" w14:textId="77777777" w:rsidR="00BE49B5" w:rsidRDefault="00BE49B5">
      <w:pPr>
        <w:pStyle w:val="TableParagraph"/>
        <w:tabs>
          <w:tab w:val="left" w:pos="1894"/>
        </w:tabs>
        <w:spacing w:before="55"/>
        <w:ind w:left="725"/>
        <w:rPr>
          <w:sz w:val="20"/>
        </w:rPr>
      </w:pPr>
      <w:r>
        <w:rPr>
          <w:spacing w:val="-4"/>
          <w:sz w:val="20"/>
        </w:rPr>
        <w:t>PJSS</w:t>
      </w:r>
      <w:r>
        <w:rPr>
          <w:sz w:val="20"/>
        </w:rPr>
        <w:tab/>
        <w:t>Policing</w:t>
      </w:r>
      <w:r>
        <w:rPr>
          <w:spacing w:val="-8"/>
          <w:sz w:val="20"/>
        </w:rPr>
        <w:t xml:space="preserve"> </w:t>
      </w:r>
      <w:r>
        <w:rPr>
          <w:sz w:val="20"/>
        </w:rPr>
        <w:t>and</w:t>
      </w:r>
      <w:r>
        <w:rPr>
          <w:spacing w:val="-7"/>
          <w:sz w:val="20"/>
        </w:rPr>
        <w:t xml:space="preserve"> </w:t>
      </w:r>
      <w:r>
        <w:rPr>
          <w:sz w:val="20"/>
        </w:rPr>
        <w:t>Justice</w:t>
      </w:r>
      <w:r>
        <w:rPr>
          <w:spacing w:val="-7"/>
          <w:sz w:val="20"/>
        </w:rPr>
        <w:t xml:space="preserve"> </w:t>
      </w:r>
      <w:r>
        <w:rPr>
          <w:sz w:val="20"/>
        </w:rPr>
        <w:t>Services</w:t>
      </w:r>
      <w:r>
        <w:rPr>
          <w:spacing w:val="-6"/>
          <w:sz w:val="20"/>
        </w:rPr>
        <w:t xml:space="preserve"> </w:t>
      </w:r>
      <w:r>
        <w:rPr>
          <w:spacing w:val="-4"/>
          <w:sz w:val="20"/>
        </w:rPr>
        <w:t>Study</w:t>
      </w:r>
    </w:p>
    <w:p w14:paraId="23CA61F7" w14:textId="77777777" w:rsidR="00BE49B5" w:rsidRDefault="00BE49B5">
      <w:pPr>
        <w:pStyle w:val="TableParagraph"/>
        <w:tabs>
          <w:tab w:val="left" w:pos="1894"/>
        </w:tabs>
        <w:spacing w:before="56"/>
        <w:ind w:left="725"/>
        <w:rPr>
          <w:sz w:val="20"/>
        </w:rPr>
      </w:pPr>
      <w:r>
        <w:rPr>
          <w:spacing w:val="-5"/>
          <w:sz w:val="20"/>
        </w:rPr>
        <w:t>PMG</w:t>
      </w:r>
      <w:r>
        <w:rPr>
          <w:sz w:val="20"/>
        </w:rPr>
        <w:tab/>
        <w:t>Program</w:t>
      </w:r>
      <w:r>
        <w:rPr>
          <w:spacing w:val="-9"/>
          <w:sz w:val="20"/>
        </w:rPr>
        <w:t xml:space="preserve"> </w:t>
      </w:r>
      <w:r>
        <w:rPr>
          <w:sz w:val="20"/>
        </w:rPr>
        <w:t>Management</w:t>
      </w:r>
      <w:r>
        <w:rPr>
          <w:spacing w:val="-9"/>
          <w:sz w:val="20"/>
        </w:rPr>
        <w:t xml:space="preserve"> </w:t>
      </w:r>
      <w:r>
        <w:rPr>
          <w:sz w:val="20"/>
        </w:rPr>
        <w:t>Group</w:t>
      </w:r>
      <w:r>
        <w:rPr>
          <w:spacing w:val="-9"/>
          <w:sz w:val="20"/>
        </w:rPr>
        <w:t xml:space="preserve"> </w:t>
      </w:r>
      <w:r>
        <w:rPr>
          <w:spacing w:val="-2"/>
          <w:sz w:val="20"/>
        </w:rPr>
        <w:t>[VAPJP]</w:t>
      </w:r>
    </w:p>
    <w:p w14:paraId="261D1015" w14:textId="77777777" w:rsidR="00BE49B5" w:rsidRDefault="00BE49B5">
      <w:pPr>
        <w:pStyle w:val="TableParagraph"/>
        <w:tabs>
          <w:tab w:val="left" w:pos="1894"/>
        </w:tabs>
        <w:spacing w:before="56"/>
        <w:ind w:left="725"/>
        <w:rPr>
          <w:sz w:val="20"/>
        </w:rPr>
      </w:pPr>
      <w:r>
        <w:rPr>
          <w:spacing w:val="-5"/>
          <w:sz w:val="20"/>
        </w:rPr>
        <w:t>PMO</w:t>
      </w:r>
      <w:r>
        <w:rPr>
          <w:sz w:val="20"/>
        </w:rPr>
        <w:tab/>
        <w:t>Prime</w:t>
      </w:r>
      <w:r>
        <w:rPr>
          <w:spacing w:val="-8"/>
          <w:sz w:val="20"/>
        </w:rPr>
        <w:t xml:space="preserve"> </w:t>
      </w:r>
      <w:r>
        <w:rPr>
          <w:sz w:val="20"/>
        </w:rPr>
        <w:t>Minister’s</w:t>
      </w:r>
      <w:r>
        <w:rPr>
          <w:spacing w:val="-6"/>
          <w:sz w:val="20"/>
        </w:rPr>
        <w:t xml:space="preserve"> </w:t>
      </w:r>
      <w:r>
        <w:rPr>
          <w:sz w:val="20"/>
        </w:rPr>
        <w:t>Office</w:t>
      </w:r>
      <w:r>
        <w:rPr>
          <w:spacing w:val="-7"/>
          <w:sz w:val="20"/>
        </w:rPr>
        <w:t xml:space="preserve"> </w:t>
      </w:r>
      <w:r>
        <w:rPr>
          <w:spacing w:val="-4"/>
          <w:sz w:val="20"/>
        </w:rPr>
        <w:t>[GoV]</w:t>
      </w:r>
    </w:p>
    <w:p w14:paraId="43FEB6D1" w14:textId="77777777" w:rsidR="00BE49B5" w:rsidRDefault="00BE49B5">
      <w:pPr>
        <w:pStyle w:val="TableParagraph"/>
        <w:tabs>
          <w:tab w:val="left" w:pos="1894"/>
        </w:tabs>
        <w:spacing w:before="56"/>
        <w:ind w:left="725"/>
        <w:rPr>
          <w:sz w:val="20"/>
        </w:rPr>
      </w:pPr>
      <w:r>
        <w:rPr>
          <w:spacing w:val="-5"/>
          <w:sz w:val="20"/>
        </w:rPr>
        <w:t>PSC</w:t>
      </w:r>
      <w:r>
        <w:rPr>
          <w:sz w:val="20"/>
        </w:rPr>
        <w:tab/>
        <w:t>Police</w:t>
      </w:r>
      <w:r>
        <w:rPr>
          <w:spacing w:val="-8"/>
          <w:sz w:val="20"/>
        </w:rPr>
        <w:t xml:space="preserve"> </w:t>
      </w:r>
      <w:r>
        <w:rPr>
          <w:sz w:val="20"/>
        </w:rPr>
        <w:t>Services</w:t>
      </w:r>
      <w:r>
        <w:rPr>
          <w:spacing w:val="-9"/>
          <w:sz w:val="20"/>
        </w:rPr>
        <w:t xml:space="preserve"> </w:t>
      </w:r>
      <w:r>
        <w:rPr>
          <w:sz w:val="20"/>
        </w:rPr>
        <w:t>Commission</w:t>
      </w:r>
      <w:r>
        <w:rPr>
          <w:spacing w:val="-10"/>
          <w:sz w:val="20"/>
        </w:rPr>
        <w:t xml:space="preserve"> </w:t>
      </w:r>
      <w:r>
        <w:rPr>
          <w:spacing w:val="-4"/>
          <w:sz w:val="20"/>
        </w:rPr>
        <w:t>[GoV]</w:t>
      </w:r>
    </w:p>
    <w:p w14:paraId="1DB84AD1" w14:textId="77777777" w:rsidR="00BE49B5" w:rsidRDefault="00BE49B5">
      <w:pPr>
        <w:pStyle w:val="TableParagraph"/>
        <w:tabs>
          <w:tab w:val="left" w:pos="1894"/>
        </w:tabs>
        <w:spacing w:before="56"/>
        <w:ind w:left="725"/>
        <w:rPr>
          <w:sz w:val="20"/>
        </w:rPr>
      </w:pPr>
      <w:r>
        <w:rPr>
          <w:spacing w:val="-5"/>
          <w:sz w:val="20"/>
        </w:rPr>
        <w:t>PSO</w:t>
      </w:r>
      <w:r>
        <w:rPr>
          <w:sz w:val="20"/>
        </w:rPr>
        <w:tab/>
        <w:t>Public</w:t>
      </w:r>
      <w:r>
        <w:rPr>
          <w:spacing w:val="-5"/>
          <w:sz w:val="20"/>
        </w:rPr>
        <w:t xml:space="preserve"> </w:t>
      </w:r>
      <w:r>
        <w:rPr>
          <w:sz w:val="20"/>
        </w:rPr>
        <w:t>Solicitor’s</w:t>
      </w:r>
      <w:r>
        <w:rPr>
          <w:spacing w:val="-6"/>
          <w:sz w:val="20"/>
        </w:rPr>
        <w:t xml:space="preserve"> </w:t>
      </w:r>
      <w:r>
        <w:rPr>
          <w:sz w:val="20"/>
        </w:rPr>
        <w:t>Office</w:t>
      </w:r>
      <w:r>
        <w:rPr>
          <w:spacing w:val="-8"/>
          <w:sz w:val="20"/>
        </w:rPr>
        <w:t xml:space="preserve"> </w:t>
      </w:r>
      <w:r>
        <w:rPr>
          <w:spacing w:val="-4"/>
          <w:sz w:val="20"/>
        </w:rPr>
        <w:t>[GoV]</w:t>
      </w:r>
    </w:p>
    <w:p w14:paraId="421AF411" w14:textId="77777777" w:rsidR="00BE49B5" w:rsidRDefault="00BE49B5">
      <w:pPr>
        <w:pStyle w:val="TableParagraph"/>
        <w:tabs>
          <w:tab w:val="left" w:pos="1894"/>
        </w:tabs>
        <w:spacing w:before="56"/>
        <w:ind w:left="725"/>
        <w:rPr>
          <w:sz w:val="20"/>
        </w:rPr>
      </w:pPr>
      <w:r>
        <w:rPr>
          <w:spacing w:val="-5"/>
          <w:sz w:val="20"/>
        </w:rPr>
        <w:t>PSU</w:t>
      </w:r>
      <w:r>
        <w:rPr>
          <w:sz w:val="20"/>
        </w:rPr>
        <w:tab/>
        <w:t>Professional</w:t>
      </w:r>
      <w:r>
        <w:rPr>
          <w:spacing w:val="-10"/>
          <w:sz w:val="20"/>
        </w:rPr>
        <w:t xml:space="preserve"> </w:t>
      </w:r>
      <w:r>
        <w:rPr>
          <w:sz w:val="20"/>
        </w:rPr>
        <w:t>Standards</w:t>
      </w:r>
      <w:r>
        <w:rPr>
          <w:spacing w:val="-8"/>
          <w:sz w:val="20"/>
        </w:rPr>
        <w:t xml:space="preserve"> </w:t>
      </w:r>
      <w:r>
        <w:rPr>
          <w:sz w:val="20"/>
        </w:rPr>
        <w:t>Unit</w:t>
      </w:r>
      <w:r>
        <w:rPr>
          <w:spacing w:val="-9"/>
          <w:sz w:val="20"/>
        </w:rPr>
        <w:t xml:space="preserve"> </w:t>
      </w:r>
      <w:r>
        <w:rPr>
          <w:spacing w:val="-2"/>
          <w:sz w:val="20"/>
        </w:rPr>
        <w:t>[VPF]</w:t>
      </w:r>
    </w:p>
    <w:p w14:paraId="1F11F63C" w14:textId="77777777" w:rsidR="00BE49B5" w:rsidRDefault="00BE49B5">
      <w:pPr>
        <w:pStyle w:val="TableParagraph"/>
        <w:tabs>
          <w:tab w:val="left" w:pos="1894"/>
        </w:tabs>
        <w:spacing w:before="55"/>
        <w:ind w:left="725"/>
        <w:rPr>
          <w:sz w:val="20"/>
        </w:rPr>
      </w:pPr>
      <w:r>
        <w:rPr>
          <w:spacing w:val="-5"/>
          <w:sz w:val="20"/>
        </w:rPr>
        <w:t>PTC</w:t>
      </w:r>
      <w:r>
        <w:rPr>
          <w:sz w:val="20"/>
        </w:rPr>
        <w:tab/>
        <w:t>Police</w:t>
      </w:r>
      <w:r>
        <w:rPr>
          <w:spacing w:val="-9"/>
          <w:sz w:val="20"/>
        </w:rPr>
        <w:t xml:space="preserve"> </w:t>
      </w:r>
      <w:r>
        <w:rPr>
          <w:sz w:val="20"/>
        </w:rPr>
        <w:t>Training</w:t>
      </w:r>
      <w:r>
        <w:rPr>
          <w:spacing w:val="-7"/>
          <w:sz w:val="20"/>
        </w:rPr>
        <w:t xml:space="preserve"> </w:t>
      </w:r>
      <w:r>
        <w:rPr>
          <w:sz w:val="20"/>
        </w:rPr>
        <w:t>College</w:t>
      </w:r>
      <w:r>
        <w:rPr>
          <w:spacing w:val="-9"/>
          <w:sz w:val="20"/>
        </w:rPr>
        <w:t xml:space="preserve"> </w:t>
      </w:r>
      <w:r>
        <w:rPr>
          <w:spacing w:val="-2"/>
          <w:sz w:val="20"/>
        </w:rPr>
        <w:t>[PTC]</w:t>
      </w:r>
    </w:p>
    <w:p w14:paraId="0F202F45" w14:textId="77777777" w:rsidR="00BE49B5" w:rsidRDefault="00BE49B5">
      <w:pPr>
        <w:pStyle w:val="TableParagraph"/>
        <w:tabs>
          <w:tab w:val="left" w:pos="1894"/>
        </w:tabs>
        <w:spacing w:before="56"/>
        <w:ind w:left="725"/>
        <w:rPr>
          <w:sz w:val="20"/>
        </w:rPr>
      </w:pPr>
      <w:r>
        <w:rPr>
          <w:spacing w:val="-5"/>
          <w:sz w:val="20"/>
        </w:rPr>
        <w:t>SLG</w:t>
      </w:r>
      <w:r>
        <w:rPr>
          <w:sz w:val="20"/>
        </w:rPr>
        <w:tab/>
        <w:t>Senior</w:t>
      </w:r>
      <w:r>
        <w:rPr>
          <w:spacing w:val="-10"/>
          <w:sz w:val="20"/>
        </w:rPr>
        <w:t xml:space="preserve"> </w:t>
      </w:r>
      <w:r>
        <w:rPr>
          <w:sz w:val="20"/>
        </w:rPr>
        <w:t>Leadership</w:t>
      </w:r>
      <w:r>
        <w:rPr>
          <w:spacing w:val="-9"/>
          <w:sz w:val="20"/>
        </w:rPr>
        <w:t xml:space="preserve"> </w:t>
      </w:r>
      <w:r>
        <w:rPr>
          <w:spacing w:val="-4"/>
          <w:sz w:val="20"/>
        </w:rPr>
        <w:t>Group</w:t>
      </w:r>
    </w:p>
    <w:p w14:paraId="60C22AE1" w14:textId="77777777" w:rsidR="00BE49B5" w:rsidRDefault="00BE49B5">
      <w:pPr>
        <w:pStyle w:val="TableParagraph"/>
        <w:tabs>
          <w:tab w:val="left" w:pos="1894"/>
        </w:tabs>
        <w:spacing w:before="56"/>
        <w:ind w:left="725"/>
        <w:rPr>
          <w:sz w:val="20"/>
        </w:rPr>
      </w:pPr>
      <w:r>
        <w:rPr>
          <w:spacing w:val="-4"/>
          <w:sz w:val="20"/>
        </w:rPr>
        <w:t>SMPR</w:t>
      </w:r>
      <w:r>
        <w:rPr>
          <w:sz w:val="20"/>
        </w:rPr>
        <w:tab/>
        <w:t>Six-month</w:t>
      </w:r>
      <w:r>
        <w:rPr>
          <w:spacing w:val="-13"/>
          <w:sz w:val="20"/>
        </w:rPr>
        <w:t xml:space="preserve"> </w:t>
      </w:r>
      <w:r>
        <w:rPr>
          <w:sz w:val="20"/>
        </w:rPr>
        <w:t>Progress</w:t>
      </w:r>
      <w:r>
        <w:rPr>
          <w:spacing w:val="-10"/>
          <w:sz w:val="20"/>
        </w:rPr>
        <w:t xml:space="preserve"> </w:t>
      </w:r>
      <w:r>
        <w:rPr>
          <w:spacing w:val="-2"/>
          <w:sz w:val="20"/>
        </w:rPr>
        <w:t>Report</w:t>
      </w:r>
    </w:p>
    <w:p w14:paraId="13F3D827" w14:textId="77777777" w:rsidR="00BE49B5" w:rsidRDefault="00BE49B5">
      <w:pPr>
        <w:pStyle w:val="TableParagraph"/>
        <w:tabs>
          <w:tab w:val="left" w:pos="1894"/>
        </w:tabs>
        <w:spacing w:before="56"/>
        <w:ind w:left="725"/>
        <w:rPr>
          <w:sz w:val="20"/>
        </w:rPr>
      </w:pPr>
      <w:r>
        <w:rPr>
          <w:spacing w:val="-5"/>
          <w:sz w:val="20"/>
        </w:rPr>
        <w:t>STA</w:t>
      </w:r>
      <w:r>
        <w:rPr>
          <w:sz w:val="20"/>
        </w:rPr>
        <w:tab/>
        <w:t>Short-term</w:t>
      </w:r>
      <w:r>
        <w:rPr>
          <w:spacing w:val="-13"/>
          <w:sz w:val="20"/>
        </w:rPr>
        <w:t xml:space="preserve"> </w:t>
      </w:r>
      <w:r>
        <w:rPr>
          <w:spacing w:val="-2"/>
          <w:sz w:val="20"/>
        </w:rPr>
        <w:t>Adviser</w:t>
      </w:r>
    </w:p>
    <w:p w14:paraId="0CB7FE8D" w14:textId="77777777" w:rsidR="00BE49B5" w:rsidRDefault="00BE49B5">
      <w:pPr>
        <w:pStyle w:val="TableParagraph"/>
        <w:tabs>
          <w:tab w:val="left" w:pos="1894"/>
        </w:tabs>
        <w:spacing w:before="56"/>
        <w:ind w:left="725"/>
        <w:rPr>
          <w:sz w:val="20"/>
        </w:rPr>
      </w:pPr>
      <w:r>
        <w:rPr>
          <w:spacing w:val="-5"/>
          <w:sz w:val="20"/>
        </w:rPr>
        <w:t>TC</w:t>
      </w:r>
      <w:r>
        <w:rPr>
          <w:sz w:val="20"/>
        </w:rPr>
        <w:tab/>
        <w:t>Tropical</w:t>
      </w:r>
      <w:r>
        <w:rPr>
          <w:spacing w:val="-12"/>
          <w:sz w:val="20"/>
        </w:rPr>
        <w:t xml:space="preserve"> </w:t>
      </w:r>
      <w:r>
        <w:rPr>
          <w:spacing w:val="-2"/>
          <w:sz w:val="20"/>
        </w:rPr>
        <w:t>Cyclone</w:t>
      </w:r>
    </w:p>
    <w:p w14:paraId="09AD2B69" w14:textId="77777777" w:rsidR="00BE49B5" w:rsidRDefault="00BE49B5">
      <w:pPr>
        <w:pStyle w:val="TableParagraph"/>
        <w:tabs>
          <w:tab w:val="left" w:pos="1894"/>
        </w:tabs>
        <w:spacing w:before="55"/>
        <w:ind w:left="725"/>
        <w:rPr>
          <w:sz w:val="20"/>
        </w:rPr>
      </w:pPr>
      <w:proofErr w:type="spellStart"/>
      <w:r>
        <w:rPr>
          <w:spacing w:val="-5"/>
          <w:sz w:val="20"/>
        </w:rPr>
        <w:t>ToC</w:t>
      </w:r>
      <w:proofErr w:type="spellEnd"/>
      <w:r>
        <w:rPr>
          <w:sz w:val="20"/>
        </w:rPr>
        <w:tab/>
        <w:t>Theory</w:t>
      </w:r>
      <w:r>
        <w:rPr>
          <w:spacing w:val="-6"/>
          <w:sz w:val="20"/>
        </w:rPr>
        <w:t xml:space="preserve"> </w:t>
      </w:r>
      <w:r>
        <w:rPr>
          <w:sz w:val="20"/>
        </w:rPr>
        <w:t>of</w:t>
      </w:r>
      <w:r>
        <w:rPr>
          <w:spacing w:val="-7"/>
          <w:sz w:val="20"/>
        </w:rPr>
        <w:t xml:space="preserve"> </w:t>
      </w:r>
      <w:r>
        <w:rPr>
          <w:spacing w:val="-2"/>
          <w:sz w:val="20"/>
        </w:rPr>
        <w:t>Change</w:t>
      </w:r>
    </w:p>
    <w:p w14:paraId="536719DC" w14:textId="77777777" w:rsidR="00BE49B5" w:rsidRDefault="00BE49B5">
      <w:pPr>
        <w:pStyle w:val="TableParagraph"/>
        <w:tabs>
          <w:tab w:val="left" w:pos="1894"/>
        </w:tabs>
        <w:spacing w:before="56"/>
        <w:ind w:left="725"/>
        <w:rPr>
          <w:sz w:val="20"/>
        </w:rPr>
      </w:pPr>
      <w:r>
        <w:rPr>
          <w:spacing w:val="-2"/>
          <w:sz w:val="20"/>
        </w:rPr>
        <w:t>VAPJP</w:t>
      </w:r>
      <w:r>
        <w:rPr>
          <w:sz w:val="20"/>
        </w:rPr>
        <w:tab/>
        <w:t>Vanuatu</w:t>
      </w:r>
      <w:r>
        <w:rPr>
          <w:spacing w:val="-7"/>
          <w:sz w:val="20"/>
        </w:rPr>
        <w:t xml:space="preserve"> </w:t>
      </w:r>
      <w:r>
        <w:rPr>
          <w:sz w:val="20"/>
        </w:rPr>
        <w:t>Australia</w:t>
      </w:r>
      <w:r>
        <w:rPr>
          <w:spacing w:val="-7"/>
          <w:sz w:val="20"/>
        </w:rPr>
        <w:t xml:space="preserve"> </w:t>
      </w:r>
      <w:r>
        <w:rPr>
          <w:sz w:val="20"/>
        </w:rPr>
        <w:t>Policing</w:t>
      </w:r>
      <w:r>
        <w:rPr>
          <w:spacing w:val="-7"/>
          <w:sz w:val="20"/>
        </w:rPr>
        <w:t xml:space="preserve"> </w:t>
      </w:r>
      <w:r>
        <w:rPr>
          <w:sz w:val="20"/>
        </w:rPr>
        <w:t>and</w:t>
      </w:r>
      <w:r>
        <w:rPr>
          <w:spacing w:val="-9"/>
          <w:sz w:val="20"/>
        </w:rPr>
        <w:t xml:space="preserve"> </w:t>
      </w:r>
      <w:r>
        <w:rPr>
          <w:sz w:val="20"/>
        </w:rPr>
        <w:t>Justice</w:t>
      </w:r>
      <w:r>
        <w:rPr>
          <w:spacing w:val="-8"/>
          <w:sz w:val="20"/>
        </w:rPr>
        <w:t xml:space="preserve"> </w:t>
      </w:r>
      <w:r>
        <w:rPr>
          <w:spacing w:val="-2"/>
          <w:sz w:val="20"/>
        </w:rPr>
        <w:t>Program</w:t>
      </w:r>
    </w:p>
    <w:p w14:paraId="3557E809" w14:textId="77777777" w:rsidR="00BE49B5" w:rsidRDefault="00BE49B5">
      <w:pPr>
        <w:pStyle w:val="TableParagraph"/>
        <w:tabs>
          <w:tab w:val="left" w:pos="1894"/>
        </w:tabs>
        <w:spacing w:before="56"/>
        <w:ind w:left="725"/>
        <w:rPr>
          <w:sz w:val="20"/>
        </w:rPr>
      </w:pPr>
      <w:r>
        <w:rPr>
          <w:spacing w:val="-4"/>
          <w:sz w:val="20"/>
        </w:rPr>
        <w:t>VAPP</w:t>
      </w:r>
      <w:r>
        <w:rPr>
          <w:sz w:val="20"/>
        </w:rPr>
        <w:tab/>
        <w:t>Vanuatu</w:t>
      </w:r>
      <w:r>
        <w:rPr>
          <w:spacing w:val="-9"/>
          <w:sz w:val="20"/>
        </w:rPr>
        <w:t xml:space="preserve"> </w:t>
      </w:r>
      <w:r>
        <w:rPr>
          <w:sz w:val="20"/>
        </w:rPr>
        <w:t>Australia</w:t>
      </w:r>
      <w:r>
        <w:rPr>
          <w:spacing w:val="-9"/>
          <w:sz w:val="20"/>
        </w:rPr>
        <w:t xml:space="preserve"> </w:t>
      </w:r>
      <w:r>
        <w:rPr>
          <w:sz w:val="20"/>
        </w:rPr>
        <w:t>Policing</w:t>
      </w:r>
      <w:r>
        <w:rPr>
          <w:spacing w:val="-9"/>
          <w:sz w:val="20"/>
        </w:rPr>
        <w:t xml:space="preserve"> </w:t>
      </w:r>
      <w:r>
        <w:rPr>
          <w:spacing w:val="-2"/>
          <w:sz w:val="20"/>
        </w:rPr>
        <w:t>Program</w:t>
      </w:r>
    </w:p>
    <w:p w14:paraId="086D7651" w14:textId="77777777" w:rsidR="00BE49B5" w:rsidRDefault="00BE49B5">
      <w:pPr>
        <w:pStyle w:val="TableParagraph"/>
        <w:tabs>
          <w:tab w:val="left" w:pos="1894"/>
        </w:tabs>
        <w:spacing w:before="56"/>
        <w:ind w:left="725"/>
        <w:rPr>
          <w:sz w:val="20"/>
        </w:rPr>
      </w:pPr>
      <w:r>
        <w:rPr>
          <w:spacing w:val="-4"/>
          <w:sz w:val="20"/>
        </w:rPr>
        <w:t>VAWC</w:t>
      </w:r>
      <w:r>
        <w:rPr>
          <w:sz w:val="20"/>
        </w:rPr>
        <w:tab/>
        <w:t>Violence</w:t>
      </w:r>
      <w:r>
        <w:rPr>
          <w:spacing w:val="-8"/>
          <w:sz w:val="20"/>
        </w:rPr>
        <w:t xml:space="preserve"> </w:t>
      </w:r>
      <w:r>
        <w:rPr>
          <w:sz w:val="20"/>
        </w:rPr>
        <w:t>Against</w:t>
      </w:r>
      <w:r>
        <w:rPr>
          <w:spacing w:val="-5"/>
          <w:sz w:val="20"/>
        </w:rPr>
        <w:t xml:space="preserve"> </w:t>
      </w:r>
      <w:r>
        <w:rPr>
          <w:sz w:val="20"/>
        </w:rPr>
        <w:t>Women</w:t>
      </w:r>
      <w:r>
        <w:rPr>
          <w:spacing w:val="-6"/>
          <w:sz w:val="20"/>
        </w:rPr>
        <w:t xml:space="preserve"> </w:t>
      </w:r>
      <w:r>
        <w:rPr>
          <w:sz w:val="20"/>
        </w:rPr>
        <w:t>and</w:t>
      </w:r>
      <w:r>
        <w:rPr>
          <w:spacing w:val="-7"/>
          <w:sz w:val="20"/>
        </w:rPr>
        <w:t xml:space="preserve"> </w:t>
      </w:r>
      <w:r>
        <w:rPr>
          <w:spacing w:val="-2"/>
          <w:sz w:val="20"/>
        </w:rPr>
        <w:t>Children</w:t>
      </w:r>
    </w:p>
    <w:p w14:paraId="6A60BB1E" w14:textId="77777777" w:rsidR="00BE49B5" w:rsidRDefault="00BE49B5">
      <w:pPr>
        <w:pStyle w:val="TableParagraph"/>
        <w:tabs>
          <w:tab w:val="left" w:pos="1894"/>
        </w:tabs>
        <w:spacing w:before="56"/>
        <w:ind w:left="725"/>
        <w:rPr>
          <w:sz w:val="20"/>
        </w:rPr>
      </w:pPr>
      <w:r>
        <w:rPr>
          <w:spacing w:val="-4"/>
          <w:sz w:val="20"/>
        </w:rPr>
        <w:t>VLRC</w:t>
      </w:r>
      <w:r>
        <w:rPr>
          <w:sz w:val="20"/>
        </w:rPr>
        <w:tab/>
        <w:t>Vanuatu</w:t>
      </w:r>
      <w:r>
        <w:rPr>
          <w:spacing w:val="-6"/>
          <w:sz w:val="20"/>
        </w:rPr>
        <w:t xml:space="preserve"> </w:t>
      </w:r>
      <w:r>
        <w:rPr>
          <w:sz w:val="20"/>
        </w:rPr>
        <w:t>Law</w:t>
      </w:r>
      <w:r>
        <w:rPr>
          <w:spacing w:val="-8"/>
          <w:sz w:val="20"/>
        </w:rPr>
        <w:t xml:space="preserve"> </w:t>
      </w:r>
      <w:r>
        <w:rPr>
          <w:sz w:val="20"/>
        </w:rPr>
        <w:t>Reform</w:t>
      </w:r>
      <w:r>
        <w:rPr>
          <w:spacing w:val="-7"/>
          <w:sz w:val="20"/>
        </w:rPr>
        <w:t xml:space="preserve"> </w:t>
      </w:r>
      <w:r>
        <w:rPr>
          <w:spacing w:val="-2"/>
          <w:sz w:val="20"/>
        </w:rPr>
        <w:t>Commission</w:t>
      </w:r>
    </w:p>
    <w:p w14:paraId="1BF768DC" w14:textId="77777777" w:rsidR="00BE49B5" w:rsidRDefault="00BE49B5">
      <w:pPr>
        <w:pStyle w:val="TableParagraph"/>
        <w:tabs>
          <w:tab w:val="left" w:pos="1894"/>
        </w:tabs>
        <w:spacing w:before="56"/>
        <w:ind w:left="725"/>
        <w:rPr>
          <w:sz w:val="20"/>
        </w:rPr>
      </w:pPr>
      <w:r>
        <w:rPr>
          <w:spacing w:val="-5"/>
          <w:sz w:val="20"/>
        </w:rPr>
        <w:t>VMF</w:t>
      </w:r>
      <w:r>
        <w:rPr>
          <w:sz w:val="20"/>
        </w:rPr>
        <w:tab/>
        <w:t>Vanuatu</w:t>
      </w:r>
      <w:r>
        <w:rPr>
          <w:spacing w:val="-5"/>
          <w:sz w:val="20"/>
        </w:rPr>
        <w:t xml:space="preserve"> </w:t>
      </w:r>
      <w:r>
        <w:rPr>
          <w:sz w:val="20"/>
        </w:rPr>
        <w:t>Mobile</w:t>
      </w:r>
      <w:r>
        <w:rPr>
          <w:spacing w:val="-7"/>
          <w:sz w:val="20"/>
        </w:rPr>
        <w:t xml:space="preserve"> </w:t>
      </w:r>
      <w:r>
        <w:rPr>
          <w:sz w:val="20"/>
        </w:rPr>
        <w:t>Force</w:t>
      </w:r>
      <w:r>
        <w:rPr>
          <w:spacing w:val="-7"/>
          <w:sz w:val="20"/>
        </w:rPr>
        <w:t xml:space="preserve"> </w:t>
      </w:r>
      <w:r>
        <w:rPr>
          <w:sz w:val="20"/>
        </w:rPr>
        <w:t>[part</w:t>
      </w:r>
      <w:r>
        <w:rPr>
          <w:spacing w:val="-5"/>
          <w:sz w:val="20"/>
        </w:rPr>
        <w:t xml:space="preserve"> </w:t>
      </w:r>
      <w:r>
        <w:rPr>
          <w:sz w:val="20"/>
        </w:rPr>
        <w:t>of</w:t>
      </w:r>
      <w:r>
        <w:rPr>
          <w:spacing w:val="-7"/>
          <w:sz w:val="20"/>
        </w:rPr>
        <w:t xml:space="preserve"> </w:t>
      </w:r>
      <w:r>
        <w:rPr>
          <w:spacing w:val="-4"/>
          <w:sz w:val="20"/>
        </w:rPr>
        <w:t>VPF]</w:t>
      </w:r>
    </w:p>
    <w:p w14:paraId="7D7E762B" w14:textId="77777777" w:rsidR="00BE49B5" w:rsidRDefault="00BE49B5">
      <w:pPr>
        <w:pStyle w:val="TableParagraph"/>
        <w:tabs>
          <w:tab w:val="left" w:pos="1894"/>
        </w:tabs>
        <w:spacing w:before="55"/>
        <w:ind w:left="725"/>
        <w:rPr>
          <w:sz w:val="20"/>
        </w:rPr>
      </w:pPr>
      <w:r>
        <w:rPr>
          <w:spacing w:val="-4"/>
          <w:sz w:val="20"/>
        </w:rPr>
        <w:t>VPDA</w:t>
      </w:r>
      <w:r>
        <w:rPr>
          <w:sz w:val="20"/>
        </w:rPr>
        <w:tab/>
        <w:t>Vanuatu</w:t>
      </w:r>
      <w:r>
        <w:rPr>
          <w:spacing w:val="-10"/>
          <w:sz w:val="20"/>
        </w:rPr>
        <w:t xml:space="preserve"> </w:t>
      </w:r>
      <w:r>
        <w:rPr>
          <w:sz w:val="20"/>
        </w:rPr>
        <w:t>People’s</w:t>
      </w:r>
      <w:r>
        <w:rPr>
          <w:spacing w:val="-10"/>
          <w:sz w:val="20"/>
        </w:rPr>
        <w:t xml:space="preserve"> </w:t>
      </w:r>
      <w:r>
        <w:rPr>
          <w:sz w:val="20"/>
        </w:rPr>
        <w:t>Disability</w:t>
      </w:r>
      <w:r>
        <w:rPr>
          <w:spacing w:val="-8"/>
          <w:sz w:val="20"/>
        </w:rPr>
        <w:t xml:space="preserve"> </w:t>
      </w:r>
      <w:r>
        <w:rPr>
          <w:spacing w:val="-2"/>
          <w:sz w:val="20"/>
        </w:rPr>
        <w:t>Advocacy</w:t>
      </w:r>
    </w:p>
    <w:p w14:paraId="77883CF0" w14:textId="77777777" w:rsidR="00BE49B5" w:rsidRDefault="00BE49B5">
      <w:pPr>
        <w:pStyle w:val="TableParagraph"/>
        <w:tabs>
          <w:tab w:val="left" w:pos="1894"/>
        </w:tabs>
        <w:spacing w:before="56"/>
        <w:ind w:left="725"/>
        <w:rPr>
          <w:sz w:val="20"/>
        </w:rPr>
      </w:pPr>
      <w:r>
        <w:rPr>
          <w:spacing w:val="-5"/>
          <w:sz w:val="20"/>
        </w:rPr>
        <w:t>VPF</w:t>
      </w:r>
      <w:r>
        <w:rPr>
          <w:sz w:val="20"/>
        </w:rPr>
        <w:tab/>
        <w:t>Vanuatu</w:t>
      </w:r>
      <w:r>
        <w:rPr>
          <w:spacing w:val="-7"/>
          <w:sz w:val="20"/>
        </w:rPr>
        <w:t xml:space="preserve"> </w:t>
      </w:r>
      <w:r>
        <w:rPr>
          <w:sz w:val="20"/>
        </w:rPr>
        <w:t>Police</w:t>
      </w:r>
      <w:r>
        <w:rPr>
          <w:spacing w:val="-8"/>
          <w:sz w:val="20"/>
        </w:rPr>
        <w:t xml:space="preserve"> </w:t>
      </w:r>
      <w:r>
        <w:rPr>
          <w:sz w:val="20"/>
        </w:rPr>
        <w:t>Force</w:t>
      </w:r>
      <w:r>
        <w:rPr>
          <w:spacing w:val="-8"/>
          <w:sz w:val="20"/>
        </w:rPr>
        <w:t xml:space="preserve"> </w:t>
      </w:r>
      <w:r>
        <w:rPr>
          <w:spacing w:val="-4"/>
          <w:sz w:val="20"/>
        </w:rPr>
        <w:t>[GoV]</w:t>
      </w:r>
    </w:p>
    <w:p w14:paraId="4096C3FD" w14:textId="77777777" w:rsidR="00BE49B5" w:rsidRDefault="00BE49B5">
      <w:pPr>
        <w:pStyle w:val="TableParagraph"/>
        <w:tabs>
          <w:tab w:val="left" w:pos="1894"/>
        </w:tabs>
        <w:spacing w:before="56"/>
        <w:ind w:left="725"/>
        <w:rPr>
          <w:sz w:val="20"/>
        </w:rPr>
      </w:pPr>
      <w:r>
        <w:rPr>
          <w:spacing w:val="-2"/>
          <w:sz w:val="20"/>
        </w:rPr>
        <w:t>VPFCPB</w:t>
      </w:r>
      <w:r>
        <w:rPr>
          <w:sz w:val="20"/>
        </w:rPr>
        <w:tab/>
        <w:t>Vanuatu</w:t>
      </w:r>
      <w:r>
        <w:rPr>
          <w:spacing w:val="-7"/>
          <w:sz w:val="20"/>
        </w:rPr>
        <w:t xml:space="preserve"> </w:t>
      </w:r>
      <w:r>
        <w:rPr>
          <w:sz w:val="20"/>
        </w:rPr>
        <w:t>Police</w:t>
      </w:r>
      <w:r>
        <w:rPr>
          <w:spacing w:val="-8"/>
          <w:sz w:val="20"/>
        </w:rPr>
        <w:t xml:space="preserve"> </w:t>
      </w:r>
      <w:r>
        <w:rPr>
          <w:sz w:val="20"/>
        </w:rPr>
        <w:t>Force</w:t>
      </w:r>
      <w:r>
        <w:rPr>
          <w:spacing w:val="-9"/>
          <w:sz w:val="20"/>
        </w:rPr>
        <w:t xml:space="preserve"> </w:t>
      </w:r>
      <w:r>
        <w:rPr>
          <w:sz w:val="20"/>
        </w:rPr>
        <w:t>Capacity</w:t>
      </w:r>
      <w:r>
        <w:rPr>
          <w:spacing w:val="-7"/>
          <w:sz w:val="20"/>
        </w:rPr>
        <w:t xml:space="preserve"> </w:t>
      </w:r>
      <w:r>
        <w:rPr>
          <w:sz w:val="20"/>
        </w:rPr>
        <w:t>Building</w:t>
      </w:r>
      <w:r>
        <w:rPr>
          <w:spacing w:val="-8"/>
          <w:sz w:val="20"/>
        </w:rPr>
        <w:t xml:space="preserve"> </w:t>
      </w:r>
      <w:r>
        <w:rPr>
          <w:spacing w:val="-2"/>
          <w:sz w:val="20"/>
        </w:rPr>
        <w:t>Program</w:t>
      </w:r>
    </w:p>
    <w:p w14:paraId="72E9A40A" w14:textId="77777777" w:rsidR="00BE49B5" w:rsidRDefault="00BE49B5">
      <w:pPr>
        <w:pStyle w:val="TableParagraph"/>
        <w:tabs>
          <w:tab w:val="left" w:pos="1894"/>
        </w:tabs>
        <w:spacing w:before="56"/>
        <w:ind w:left="725"/>
        <w:rPr>
          <w:sz w:val="20"/>
        </w:rPr>
      </w:pPr>
      <w:r>
        <w:rPr>
          <w:spacing w:val="-5"/>
          <w:sz w:val="20"/>
        </w:rPr>
        <w:t>VSO</w:t>
      </w:r>
      <w:r>
        <w:rPr>
          <w:sz w:val="20"/>
        </w:rPr>
        <w:tab/>
        <w:t>Victim</w:t>
      </w:r>
      <w:r>
        <w:rPr>
          <w:spacing w:val="-8"/>
          <w:sz w:val="20"/>
        </w:rPr>
        <w:t xml:space="preserve"> </w:t>
      </w:r>
      <w:r>
        <w:rPr>
          <w:sz w:val="20"/>
        </w:rPr>
        <w:t>Support</w:t>
      </w:r>
      <w:r>
        <w:rPr>
          <w:spacing w:val="-9"/>
          <w:sz w:val="20"/>
        </w:rPr>
        <w:t xml:space="preserve"> </w:t>
      </w:r>
      <w:r>
        <w:rPr>
          <w:spacing w:val="-2"/>
          <w:sz w:val="20"/>
        </w:rPr>
        <w:t>Officer</w:t>
      </w:r>
    </w:p>
    <w:p w14:paraId="0846F964" w14:textId="77777777" w:rsidR="00BE49B5" w:rsidRDefault="00BE49B5">
      <w:pPr>
        <w:pStyle w:val="TableParagraph"/>
        <w:tabs>
          <w:tab w:val="left" w:pos="1894"/>
        </w:tabs>
        <w:spacing w:before="56"/>
        <w:ind w:left="725"/>
        <w:rPr>
          <w:sz w:val="20"/>
        </w:rPr>
      </w:pPr>
      <w:r>
        <w:rPr>
          <w:spacing w:val="-4"/>
          <w:sz w:val="20"/>
        </w:rPr>
        <w:t>VSPD</w:t>
      </w:r>
      <w:r>
        <w:rPr>
          <w:sz w:val="20"/>
        </w:rPr>
        <w:tab/>
        <w:t>Vanuatu</w:t>
      </w:r>
      <w:r>
        <w:rPr>
          <w:spacing w:val="-6"/>
          <w:sz w:val="20"/>
        </w:rPr>
        <w:t xml:space="preserve"> </w:t>
      </w:r>
      <w:r>
        <w:rPr>
          <w:sz w:val="20"/>
        </w:rPr>
        <w:t>Society</w:t>
      </w:r>
      <w:r>
        <w:rPr>
          <w:spacing w:val="-7"/>
          <w:sz w:val="20"/>
        </w:rPr>
        <w:t xml:space="preserve"> </w:t>
      </w:r>
      <w:r>
        <w:rPr>
          <w:sz w:val="20"/>
        </w:rPr>
        <w:t>for</w:t>
      </w:r>
      <w:r>
        <w:rPr>
          <w:spacing w:val="-7"/>
          <w:sz w:val="20"/>
        </w:rPr>
        <w:t xml:space="preserve"> </w:t>
      </w:r>
      <w:r>
        <w:rPr>
          <w:sz w:val="20"/>
        </w:rPr>
        <w:t>People</w:t>
      </w:r>
      <w:r>
        <w:rPr>
          <w:spacing w:val="-6"/>
          <w:sz w:val="20"/>
        </w:rPr>
        <w:t xml:space="preserve"> </w:t>
      </w:r>
      <w:r>
        <w:rPr>
          <w:sz w:val="20"/>
        </w:rPr>
        <w:t>with</w:t>
      </w:r>
      <w:r>
        <w:rPr>
          <w:spacing w:val="-6"/>
          <w:sz w:val="20"/>
        </w:rPr>
        <w:t xml:space="preserve"> </w:t>
      </w:r>
      <w:r>
        <w:rPr>
          <w:spacing w:val="-2"/>
          <w:sz w:val="20"/>
        </w:rPr>
        <w:t>Disabilities</w:t>
      </w:r>
    </w:p>
    <w:p w14:paraId="25DA1838" w14:textId="77777777" w:rsidR="00BE49B5" w:rsidRDefault="00BE49B5">
      <w:pPr>
        <w:pStyle w:val="TableParagraph"/>
        <w:tabs>
          <w:tab w:val="left" w:pos="1894"/>
        </w:tabs>
        <w:spacing w:before="56"/>
        <w:ind w:left="725"/>
        <w:rPr>
          <w:sz w:val="20"/>
        </w:rPr>
      </w:pPr>
      <w:r>
        <w:rPr>
          <w:spacing w:val="-5"/>
          <w:sz w:val="20"/>
        </w:rPr>
        <w:t>VWC</w:t>
      </w:r>
      <w:r>
        <w:rPr>
          <w:sz w:val="20"/>
        </w:rPr>
        <w:tab/>
        <w:t>Vanuatu</w:t>
      </w:r>
      <w:r>
        <w:rPr>
          <w:spacing w:val="-10"/>
          <w:sz w:val="20"/>
        </w:rPr>
        <w:t xml:space="preserve"> </w:t>
      </w:r>
      <w:r>
        <w:rPr>
          <w:sz w:val="20"/>
        </w:rPr>
        <w:t>Women’s</w:t>
      </w:r>
      <w:r>
        <w:rPr>
          <w:spacing w:val="-10"/>
          <w:sz w:val="20"/>
        </w:rPr>
        <w:t xml:space="preserve"> </w:t>
      </w:r>
      <w:r>
        <w:rPr>
          <w:spacing w:val="-2"/>
          <w:sz w:val="20"/>
        </w:rPr>
        <w:t>Centre</w:t>
      </w:r>
    </w:p>
    <w:p w14:paraId="3ADFDA3C" w14:textId="77777777" w:rsidR="00BE49B5" w:rsidRDefault="00BE49B5">
      <w:pPr>
        <w:pStyle w:val="TableParagraph"/>
        <w:tabs>
          <w:tab w:val="left" w:pos="1894"/>
        </w:tabs>
        <w:spacing w:before="55" w:line="210" w:lineRule="exact"/>
        <w:ind w:left="725"/>
        <w:rPr>
          <w:sz w:val="20"/>
        </w:rPr>
      </w:pPr>
      <w:r>
        <w:rPr>
          <w:spacing w:val="-5"/>
          <w:sz w:val="20"/>
        </w:rPr>
        <w:t>WAN</w:t>
      </w:r>
      <w:r>
        <w:rPr>
          <w:sz w:val="20"/>
        </w:rPr>
        <w:tab/>
        <w:t>Women’s</w:t>
      </w:r>
      <w:r>
        <w:rPr>
          <w:spacing w:val="-9"/>
          <w:sz w:val="20"/>
        </w:rPr>
        <w:t xml:space="preserve"> </w:t>
      </w:r>
      <w:r>
        <w:rPr>
          <w:sz w:val="20"/>
        </w:rPr>
        <w:t>Action</w:t>
      </w:r>
      <w:r>
        <w:rPr>
          <w:spacing w:val="-8"/>
          <w:sz w:val="20"/>
        </w:rPr>
        <w:t xml:space="preserve"> </w:t>
      </w:r>
      <w:r>
        <w:rPr>
          <w:spacing w:val="-2"/>
          <w:sz w:val="20"/>
        </w:rPr>
        <w:t>Network</w:t>
      </w:r>
    </w:p>
    <w:p w14:paraId="16C0FA2A" w14:textId="77777777" w:rsidR="009C36E3" w:rsidRDefault="009C36E3">
      <w:pPr>
        <w:spacing w:line="210" w:lineRule="exact"/>
        <w:rPr>
          <w:sz w:val="20"/>
        </w:rPr>
        <w:sectPr w:rsidR="009C36E3">
          <w:pgSz w:w="11910" w:h="16850"/>
          <w:pgMar w:top="1040" w:right="740" w:bottom="740" w:left="80" w:header="552" w:footer="559" w:gutter="0"/>
          <w:cols w:space="720"/>
        </w:sectPr>
      </w:pPr>
    </w:p>
    <w:p w14:paraId="0449DD53" w14:textId="77777777" w:rsidR="009C36E3" w:rsidRDefault="000E7207" w:rsidP="00E84525">
      <w:pPr>
        <w:pStyle w:val="Heading1"/>
      </w:pPr>
      <w:r>
        <w:t>Acknowledgements</w:t>
      </w:r>
    </w:p>
    <w:p w14:paraId="20BC783F" w14:textId="77777777" w:rsidR="009C36E3" w:rsidRPr="00F20FCF" w:rsidRDefault="000E7207">
      <w:pPr>
        <w:spacing w:before="302"/>
        <w:ind w:left="771" w:right="120"/>
        <w:rPr>
          <w:sz w:val="20"/>
          <w:szCs w:val="20"/>
        </w:rPr>
      </w:pPr>
      <w:r w:rsidRPr="00F20FCF">
        <w:rPr>
          <w:sz w:val="20"/>
          <w:szCs w:val="20"/>
        </w:rPr>
        <w:t>The review team wishes to thank all those who contributed to this Mid-Term review. This includes the representatives and officials of the Government of Vanuatu (GoV), VAPJP program staff and community members in Santo and Port Vila who generously shared their time and insights in interviews and discussions with the review team. Australian Federal Police (AFP) and Department of Foreign Affairs and Trade (DFAT) staff in Canberra and Port Vila supported the evaluation and made informed</w:t>
      </w:r>
      <w:r w:rsidRPr="00F20FCF">
        <w:rPr>
          <w:spacing w:val="-4"/>
          <w:sz w:val="20"/>
          <w:szCs w:val="20"/>
        </w:rPr>
        <w:t xml:space="preserve"> </w:t>
      </w:r>
      <w:r w:rsidRPr="00F20FCF">
        <w:rPr>
          <w:sz w:val="20"/>
          <w:szCs w:val="20"/>
        </w:rPr>
        <w:t>contributions.</w:t>
      </w:r>
      <w:r w:rsidRPr="00F20FCF">
        <w:rPr>
          <w:spacing w:val="-4"/>
          <w:sz w:val="20"/>
          <w:szCs w:val="20"/>
        </w:rPr>
        <w:t xml:space="preserve"> </w:t>
      </w:r>
      <w:r w:rsidRPr="00F20FCF">
        <w:rPr>
          <w:sz w:val="20"/>
          <w:szCs w:val="20"/>
        </w:rPr>
        <w:t>We</w:t>
      </w:r>
      <w:r w:rsidRPr="00F20FCF">
        <w:rPr>
          <w:spacing w:val="-1"/>
          <w:sz w:val="20"/>
          <w:szCs w:val="20"/>
        </w:rPr>
        <w:t xml:space="preserve"> </w:t>
      </w:r>
      <w:r w:rsidRPr="00F20FCF">
        <w:rPr>
          <w:sz w:val="20"/>
          <w:szCs w:val="20"/>
        </w:rPr>
        <w:t>would</w:t>
      </w:r>
      <w:r w:rsidRPr="00F20FCF">
        <w:rPr>
          <w:spacing w:val="-1"/>
          <w:sz w:val="20"/>
          <w:szCs w:val="20"/>
        </w:rPr>
        <w:t xml:space="preserve"> </w:t>
      </w:r>
      <w:r w:rsidRPr="00F20FCF">
        <w:rPr>
          <w:sz w:val="20"/>
          <w:szCs w:val="20"/>
        </w:rPr>
        <w:t>particularly</w:t>
      </w:r>
      <w:r w:rsidRPr="00F20FCF">
        <w:rPr>
          <w:spacing w:val="-3"/>
          <w:sz w:val="20"/>
          <w:szCs w:val="20"/>
        </w:rPr>
        <w:t xml:space="preserve"> </w:t>
      </w:r>
      <w:r w:rsidRPr="00F20FCF">
        <w:rPr>
          <w:sz w:val="20"/>
          <w:szCs w:val="20"/>
        </w:rPr>
        <w:t>like</w:t>
      </w:r>
      <w:r w:rsidRPr="00F20FCF">
        <w:rPr>
          <w:spacing w:val="-1"/>
          <w:sz w:val="20"/>
          <w:szCs w:val="20"/>
        </w:rPr>
        <w:t xml:space="preserve"> </w:t>
      </w:r>
      <w:r w:rsidRPr="00F20FCF">
        <w:rPr>
          <w:sz w:val="20"/>
          <w:szCs w:val="20"/>
        </w:rPr>
        <w:t>to</w:t>
      </w:r>
      <w:r w:rsidRPr="00F20FCF">
        <w:rPr>
          <w:spacing w:val="-1"/>
          <w:sz w:val="20"/>
          <w:szCs w:val="20"/>
        </w:rPr>
        <w:t xml:space="preserve"> </w:t>
      </w:r>
      <w:r w:rsidRPr="00F20FCF">
        <w:rPr>
          <w:sz w:val="20"/>
          <w:szCs w:val="20"/>
        </w:rPr>
        <w:t>acknowledge</w:t>
      </w:r>
      <w:r w:rsidRPr="00F20FCF">
        <w:rPr>
          <w:spacing w:val="-1"/>
          <w:sz w:val="20"/>
          <w:szCs w:val="20"/>
        </w:rPr>
        <w:t xml:space="preserve"> </w:t>
      </w:r>
      <w:r w:rsidRPr="00F20FCF">
        <w:rPr>
          <w:sz w:val="20"/>
          <w:szCs w:val="20"/>
        </w:rPr>
        <w:t>the</w:t>
      </w:r>
      <w:r w:rsidRPr="00F20FCF">
        <w:rPr>
          <w:spacing w:val="-1"/>
          <w:sz w:val="20"/>
          <w:szCs w:val="20"/>
        </w:rPr>
        <w:t xml:space="preserve"> </w:t>
      </w:r>
      <w:r w:rsidRPr="00F20FCF">
        <w:rPr>
          <w:sz w:val="20"/>
          <w:szCs w:val="20"/>
        </w:rPr>
        <w:t>assistance</w:t>
      </w:r>
      <w:r w:rsidRPr="00F20FCF">
        <w:rPr>
          <w:spacing w:val="-2"/>
          <w:sz w:val="20"/>
          <w:szCs w:val="20"/>
        </w:rPr>
        <w:t xml:space="preserve"> </w:t>
      </w:r>
      <w:r w:rsidRPr="00F20FCF">
        <w:rPr>
          <w:sz w:val="20"/>
          <w:szCs w:val="20"/>
        </w:rPr>
        <w:t>provided</w:t>
      </w:r>
      <w:r w:rsidRPr="00F20FCF">
        <w:rPr>
          <w:spacing w:val="-4"/>
          <w:sz w:val="20"/>
          <w:szCs w:val="20"/>
        </w:rPr>
        <w:t xml:space="preserve"> </w:t>
      </w:r>
      <w:r w:rsidRPr="00F20FCF">
        <w:rPr>
          <w:sz w:val="20"/>
          <w:szCs w:val="20"/>
        </w:rPr>
        <w:t>by</w:t>
      </w:r>
      <w:r w:rsidRPr="00F20FCF">
        <w:rPr>
          <w:spacing w:val="-1"/>
          <w:sz w:val="20"/>
          <w:szCs w:val="20"/>
        </w:rPr>
        <w:t xml:space="preserve"> </w:t>
      </w:r>
      <w:r w:rsidRPr="00F20FCF">
        <w:rPr>
          <w:sz w:val="20"/>
          <w:szCs w:val="20"/>
        </w:rPr>
        <w:t>Renie</w:t>
      </w:r>
      <w:r w:rsidRPr="00F20FCF">
        <w:rPr>
          <w:spacing w:val="-1"/>
          <w:sz w:val="20"/>
          <w:szCs w:val="20"/>
        </w:rPr>
        <w:t xml:space="preserve"> </w:t>
      </w:r>
      <w:r w:rsidRPr="00F20FCF">
        <w:rPr>
          <w:sz w:val="20"/>
          <w:szCs w:val="20"/>
        </w:rPr>
        <w:t>Anderson</w:t>
      </w:r>
      <w:r w:rsidRPr="00F20FCF">
        <w:rPr>
          <w:spacing w:val="-1"/>
          <w:sz w:val="20"/>
          <w:szCs w:val="20"/>
        </w:rPr>
        <w:t xml:space="preserve"> </w:t>
      </w:r>
      <w:r w:rsidRPr="00F20FCF">
        <w:rPr>
          <w:sz w:val="20"/>
          <w:szCs w:val="20"/>
        </w:rPr>
        <w:t>and</w:t>
      </w:r>
      <w:r w:rsidRPr="00F20FCF">
        <w:rPr>
          <w:spacing w:val="-4"/>
          <w:sz w:val="20"/>
          <w:szCs w:val="20"/>
        </w:rPr>
        <w:t xml:space="preserve"> </w:t>
      </w:r>
      <w:r w:rsidRPr="00F20FCF">
        <w:rPr>
          <w:sz w:val="20"/>
          <w:szCs w:val="20"/>
        </w:rPr>
        <w:t>Lavinia</w:t>
      </w:r>
      <w:r w:rsidRPr="00F20FCF">
        <w:rPr>
          <w:spacing w:val="-1"/>
          <w:sz w:val="20"/>
          <w:szCs w:val="20"/>
        </w:rPr>
        <w:t xml:space="preserve"> </w:t>
      </w:r>
      <w:r w:rsidRPr="00F20FCF">
        <w:rPr>
          <w:sz w:val="20"/>
          <w:szCs w:val="20"/>
        </w:rPr>
        <w:t>Mahit at the Australian High Commission (AHC), who provided significant support to facilitate data collection in-country, including participating in</w:t>
      </w:r>
      <w:r w:rsidRPr="00F20FCF">
        <w:rPr>
          <w:spacing w:val="-1"/>
          <w:sz w:val="20"/>
          <w:szCs w:val="20"/>
        </w:rPr>
        <w:t xml:space="preserve"> </w:t>
      </w:r>
      <w:r w:rsidRPr="00F20FCF">
        <w:rPr>
          <w:sz w:val="20"/>
          <w:szCs w:val="20"/>
        </w:rPr>
        <w:t>a number of</w:t>
      </w:r>
      <w:r w:rsidRPr="00F20FCF">
        <w:rPr>
          <w:spacing w:val="-1"/>
          <w:sz w:val="20"/>
          <w:szCs w:val="20"/>
        </w:rPr>
        <w:t xml:space="preserve"> </w:t>
      </w:r>
      <w:r w:rsidRPr="00F20FCF">
        <w:rPr>
          <w:sz w:val="20"/>
          <w:szCs w:val="20"/>
        </w:rPr>
        <w:t>consultations. We would</w:t>
      </w:r>
      <w:r w:rsidRPr="00F20FCF">
        <w:rPr>
          <w:spacing w:val="-1"/>
          <w:sz w:val="20"/>
          <w:szCs w:val="20"/>
        </w:rPr>
        <w:t xml:space="preserve"> </w:t>
      </w:r>
      <w:r w:rsidRPr="00F20FCF">
        <w:rPr>
          <w:sz w:val="20"/>
          <w:szCs w:val="20"/>
        </w:rPr>
        <w:t>also like</w:t>
      </w:r>
      <w:r w:rsidRPr="00F20FCF">
        <w:rPr>
          <w:spacing w:val="-1"/>
          <w:sz w:val="20"/>
          <w:szCs w:val="20"/>
        </w:rPr>
        <w:t xml:space="preserve"> </w:t>
      </w:r>
      <w:r w:rsidRPr="00F20FCF">
        <w:rPr>
          <w:sz w:val="20"/>
          <w:szCs w:val="20"/>
        </w:rPr>
        <w:t>to acknowledge the significant</w:t>
      </w:r>
      <w:r w:rsidRPr="00F20FCF">
        <w:rPr>
          <w:spacing w:val="-1"/>
          <w:sz w:val="20"/>
          <w:szCs w:val="20"/>
        </w:rPr>
        <w:t xml:space="preserve"> </w:t>
      </w:r>
      <w:r w:rsidRPr="00F20FCF">
        <w:rPr>
          <w:sz w:val="20"/>
          <w:szCs w:val="20"/>
        </w:rPr>
        <w:t>time</w:t>
      </w:r>
      <w:r w:rsidRPr="00F20FCF">
        <w:rPr>
          <w:spacing w:val="-1"/>
          <w:sz w:val="20"/>
          <w:szCs w:val="20"/>
        </w:rPr>
        <w:t xml:space="preserve"> </w:t>
      </w:r>
      <w:r w:rsidRPr="00F20FCF">
        <w:rPr>
          <w:sz w:val="20"/>
          <w:szCs w:val="20"/>
        </w:rPr>
        <w:t>and</w:t>
      </w:r>
      <w:r w:rsidRPr="00F20FCF">
        <w:rPr>
          <w:spacing w:val="-1"/>
          <w:sz w:val="20"/>
          <w:szCs w:val="20"/>
        </w:rPr>
        <w:t xml:space="preserve"> </w:t>
      </w:r>
      <w:r w:rsidRPr="00F20FCF">
        <w:rPr>
          <w:sz w:val="20"/>
          <w:szCs w:val="20"/>
        </w:rPr>
        <w:t>work that</w:t>
      </w:r>
      <w:r w:rsidRPr="00F20FCF">
        <w:rPr>
          <w:spacing w:val="-1"/>
          <w:sz w:val="20"/>
          <w:szCs w:val="20"/>
        </w:rPr>
        <w:t xml:space="preserve"> </w:t>
      </w:r>
      <w:r w:rsidRPr="00F20FCF">
        <w:rPr>
          <w:sz w:val="20"/>
          <w:szCs w:val="20"/>
        </w:rPr>
        <w:t>members of the VAPJP team provided to ensure the review team received accurate, timely and comprehensive program data.</w:t>
      </w:r>
    </w:p>
    <w:p w14:paraId="795DBA1D" w14:textId="77777777" w:rsidR="009C36E3" w:rsidRPr="00F20FCF" w:rsidRDefault="000E7207">
      <w:pPr>
        <w:spacing w:before="120"/>
        <w:ind w:left="772" w:hanging="1"/>
        <w:rPr>
          <w:sz w:val="20"/>
          <w:szCs w:val="20"/>
        </w:rPr>
      </w:pPr>
      <w:r w:rsidRPr="00F20FCF">
        <w:rPr>
          <w:sz w:val="20"/>
          <w:szCs w:val="20"/>
        </w:rPr>
        <w:t>This report was developed by Dr Bu Wilson, Grace Nicholas, and Dorah Wilson, with support from Paul Lee. Patrick Chan from DFAT’s</w:t>
      </w:r>
      <w:r w:rsidRPr="00F20FCF">
        <w:rPr>
          <w:spacing w:val="-1"/>
          <w:sz w:val="20"/>
          <w:szCs w:val="20"/>
        </w:rPr>
        <w:t xml:space="preserve"> </w:t>
      </w:r>
      <w:r w:rsidRPr="00F20FCF">
        <w:rPr>
          <w:sz w:val="20"/>
          <w:szCs w:val="20"/>
        </w:rPr>
        <w:t>Vanuatu</w:t>
      </w:r>
      <w:r w:rsidRPr="00F20FCF">
        <w:rPr>
          <w:spacing w:val="-1"/>
          <w:sz w:val="20"/>
          <w:szCs w:val="20"/>
        </w:rPr>
        <w:t xml:space="preserve"> </w:t>
      </w:r>
      <w:r w:rsidRPr="00F20FCF">
        <w:rPr>
          <w:sz w:val="20"/>
          <w:szCs w:val="20"/>
        </w:rPr>
        <w:t>Section</w:t>
      </w:r>
      <w:r w:rsidRPr="00F20FCF">
        <w:rPr>
          <w:spacing w:val="-2"/>
          <w:sz w:val="20"/>
          <w:szCs w:val="20"/>
        </w:rPr>
        <w:t xml:space="preserve"> </w:t>
      </w:r>
      <w:r w:rsidRPr="00F20FCF">
        <w:rPr>
          <w:sz w:val="20"/>
          <w:szCs w:val="20"/>
        </w:rPr>
        <w:t>and</w:t>
      </w:r>
      <w:r w:rsidRPr="00F20FCF">
        <w:rPr>
          <w:spacing w:val="-4"/>
          <w:sz w:val="20"/>
          <w:szCs w:val="20"/>
        </w:rPr>
        <w:t xml:space="preserve"> </w:t>
      </w:r>
      <w:r w:rsidRPr="00F20FCF">
        <w:rPr>
          <w:sz w:val="20"/>
          <w:szCs w:val="20"/>
        </w:rPr>
        <w:t>Christopher</w:t>
      </w:r>
      <w:r w:rsidRPr="00F20FCF">
        <w:rPr>
          <w:spacing w:val="-2"/>
          <w:sz w:val="20"/>
          <w:szCs w:val="20"/>
        </w:rPr>
        <w:t xml:space="preserve"> </w:t>
      </w:r>
      <w:r w:rsidRPr="00F20FCF">
        <w:rPr>
          <w:sz w:val="20"/>
          <w:szCs w:val="20"/>
        </w:rPr>
        <w:t>Ely</w:t>
      </w:r>
      <w:r w:rsidRPr="00F20FCF">
        <w:rPr>
          <w:spacing w:val="-3"/>
          <w:sz w:val="20"/>
          <w:szCs w:val="20"/>
        </w:rPr>
        <w:t xml:space="preserve"> </w:t>
      </w:r>
      <w:r w:rsidRPr="00F20FCF">
        <w:rPr>
          <w:sz w:val="20"/>
          <w:szCs w:val="20"/>
        </w:rPr>
        <w:t>from</w:t>
      </w:r>
      <w:r w:rsidRPr="00F20FCF">
        <w:rPr>
          <w:spacing w:val="-3"/>
          <w:sz w:val="20"/>
          <w:szCs w:val="20"/>
        </w:rPr>
        <w:t xml:space="preserve"> </w:t>
      </w:r>
      <w:r w:rsidRPr="00F20FCF">
        <w:rPr>
          <w:sz w:val="20"/>
          <w:szCs w:val="20"/>
        </w:rPr>
        <w:t>AFP’s</w:t>
      </w:r>
      <w:r w:rsidRPr="00F20FCF">
        <w:rPr>
          <w:spacing w:val="-1"/>
          <w:sz w:val="20"/>
          <w:szCs w:val="20"/>
        </w:rPr>
        <w:t xml:space="preserve"> </w:t>
      </w:r>
      <w:r w:rsidRPr="00F20FCF">
        <w:rPr>
          <w:sz w:val="20"/>
          <w:szCs w:val="20"/>
        </w:rPr>
        <w:t>Strategy,</w:t>
      </w:r>
      <w:r w:rsidRPr="00F20FCF">
        <w:rPr>
          <w:spacing w:val="-2"/>
          <w:sz w:val="20"/>
          <w:szCs w:val="20"/>
        </w:rPr>
        <w:t xml:space="preserve"> </w:t>
      </w:r>
      <w:r w:rsidRPr="00F20FCF">
        <w:rPr>
          <w:sz w:val="20"/>
          <w:szCs w:val="20"/>
        </w:rPr>
        <w:t>Design</w:t>
      </w:r>
      <w:r w:rsidRPr="00F20FCF">
        <w:rPr>
          <w:spacing w:val="-4"/>
          <w:sz w:val="20"/>
          <w:szCs w:val="20"/>
        </w:rPr>
        <w:t xml:space="preserve"> </w:t>
      </w:r>
      <w:r w:rsidRPr="00F20FCF">
        <w:rPr>
          <w:sz w:val="20"/>
          <w:szCs w:val="20"/>
        </w:rPr>
        <w:t>and</w:t>
      </w:r>
      <w:r w:rsidRPr="00F20FCF">
        <w:rPr>
          <w:spacing w:val="-4"/>
          <w:sz w:val="20"/>
          <w:szCs w:val="20"/>
        </w:rPr>
        <w:t xml:space="preserve"> </w:t>
      </w:r>
      <w:r w:rsidRPr="00F20FCF">
        <w:rPr>
          <w:sz w:val="20"/>
          <w:szCs w:val="20"/>
        </w:rPr>
        <w:t>Evaluation</w:t>
      </w:r>
      <w:r w:rsidRPr="00F20FCF">
        <w:rPr>
          <w:spacing w:val="-4"/>
          <w:sz w:val="20"/>
          <w:szCs w:val="20"/>
        </w:rPr>
        <w:t xml:space="preserve"> </w:t>
      </w:r>
      <w:r w:rsidRPr="00F20FCF">
        <w:rPr>
          <w:sz w:val="20"/>
          <w:szCs w:val="20"/>
        </w:rPr>
        <w:t>unit</w:t>
      </w:r>
      <w:r w:rsidRPr="00F20FCF">
        <w:rPr>
          <w:spacing w:val="-2"/>
          <w:sz w:val="20"/>
          <w:szCs w:val="20"/>
        </w:rPr>
        <w:t xml:space="preserve"> </w:t>
      </w:r>
      <w:r w:rsidRPr="00F20FCF">
        <w:rPr>
          <w:sz w:val="20"/>
          <w:szCs w:val="20"/>
        </w:rPr>
        <w:t>were</w:t>
      </w:r>
      <w:r w:rsidRPr="00F20FCF">
        <w:rPr>
          <w:spacing w:val="-1"/>
          <w:sz w:val="20"/>
          <w:szCs w:val="20"/>
        </w:rPr>
        <w:t xml:space="preserve"> </w:t>
      </w:r>
      <w:r w:rsidRPr="00F20FCF">
        <w:rPr>
          <w:sz w:val="20"/>
          <w:szCs w:val="20"/>
        </w:rPr>
        <w:t>also</w:t>
      </w:r>
      <w:r w:rsidRPr="00F20FCF">
        <w:rPr>
          <w:spacing w:val="-4"/>
          <w:sz w:val="20"/>
          <w:szCs w:val="20"/>
        </w:rPr>
        <w:t xml:space="preserve"> </w:t>
      </w:r>
      <w:r w:rsidRPr="00F20FCF">
        <w:rPr>
          <w:sz w:val="20"/>
          <w:szCs w:val="20"/>
        </w:rPr>
        <w:t>part</w:t>
      </w:r>
      <w:r w:rsidRPr="00F20FCF">
        <w:rPr>
          <w:spacing w:val="-4"/>
          <w:sz w:val="20"/>
          <w:szCs w:val="20"/>
        </w:rPr>
        <w:t xml:space="preserve"> </w:t>
      </w:r>
      <w:r w:rsidRPr="00F20FCF">
        <w:rPr>
          <w:sz w:val="20"/>
          <w:szCs w:val="20"/>
        </w:rPr>
        <w:t>of</w:t>
      </w:r>
      <w:r w:rsidRPr="00F20FCF">
        <w:rPr>
          <w:spacing w:val="-2"/>
          <w:sz w:val="20"/>
          <w:szCs w:val="20"/>
        </w:rPr>
        <w:t xml:space="preserve"> </w:t>
      </w:r>
      <w:r w:rsidRPr="00F20FCF">
        <w:rPr>
          <w:sz w:val="20"/>
          <w:szCs w:val="20"/>
        </w:rPr>
        <w:t>the</w:t>
      </w:r>
      <w:r w:rsidRPr="00F20FCF">
        <w:rPr>
          <w:spacing w:val="-1"/>
          <w:sz w:val="20"/>
          <w:szCs w:val="20"/>
        </w:rPr>
        <w:t xml:space="preserve"> </w:t>
      </w:r>
      <w:r w:rsidRPr="00F20FCF">
        <w:rPr>
          <w:sz w:val="20"/>
          <w:szCs w:val="20"/>
        </w:rPr>
        <w:t>review</w:t>
      </w:r>
      <w:r w:rsidRPr="00F20FCF">
        <w:rPr>
          <w:spacing w:val="-2"/>
          <w:sz w:val="20"/>
          <w:szCs w:val="20"/>
        </w:rPr>
        <w:t xml:space="preserve"> </w:t>
      </w:r>
      <w:r w:rsidRPr="00F20FCF">
        <w:rPr>
          <w:sz w:val="20"/>
          <w:szCs w:val="20"/>
        </w:rPr>
        <w:t>team and provided valuable assistance with data collection and critical perspectives for the report.</w:t>
      </w:r>
    </w:p>
    <w:p w14:paraId="1BB9D157" w14:textId="77777777" w:rsidR="009C36E3" w:rsidRPr="00F20FCF" w:rsidRDefault="000E7207">
      <w:pPr>
        <w:spacing w:before="121"/>
        <w:ind w:left="772"/>
        <w:rPr>
          <w:b/>
          <w:sz w:val="20"/>
          <w:szCs w:val="20"/>
        </w:rPr>
      </w:pPr>
      <w:r w:rsidRPr="00F20FCF">
        <w:rPr>
          <w:b/>
          <w:sz w:val="20"/>
          <w:szCs w:val="20"/>
        </w:rPr>
        <w:t xml:space="preserve">Note on </w:t>
      </w:r>
      <w:r w:rsidRPr="00F20FCF">
        <w:rPr>
          <w:b/>
          <w:spacing w:val="-2"/>
          <w:sz w:val="20"/>
          <w:szCs w:val="20"/>
        </w:rPr>
        <w:t>terminology</w:t>
      </w:r>
    </w:p>
    <w:p w14:paraId="29E02B56" w14:textId="2A0ADAC8" w:rsidR="009C36E3" w:rsidRPr="00F20FCF" w:rsidRDefault="000E7207" w:rsidP="00026899">
      <w:pPr>
        <w:spacing w:before="119"/>
        <w:ind w:left="772" w:right="315"/>
        <w:jc w:val="both"/>
        <w:rPr>
          <w:sz w:val="20"/>
          <w:szCs w:val="20"/>
        </w:rPr>
        <w:sectPr w:rsidR="009C36E3" w:rsidRPr="00F20FCF">
          <w:pgSz w:w="11910" w:h="16850"/>
          <w:pgMar w:top="1040" w:right="740" w:bottom="740" w:left="80" w:header="552" w:footer="559" w:gutter="0"/>
          <w:cols w:space="720"/>
        </w:sectPr>
      </w:pPr>
      <w:r w:rsidRPr="00F20FCF">
        <w:rPr>
          <w:sz w:val="20"/>
          <w:szCs w:val="20"/>
        </w:rPr>
        <w:t>The MTR team has</w:t>
      </w:r>
      <w:r w:rsidRPr="00F20FCF">
        <w:rPr>
          <w:spacing w:val="-1"/>
          <w:sz w:val="20"/>
          <w:szCs w:val="20"/>
        </w:rPr>
        <w:t xml:space="preserve"> </w:t>
      </w:r>
      <w:r w:rsidRPr="00F20FCF">
        <w:rPr>
          <w:sz w:val="20"/>
          <w:szCs w:val="20"/>
        </w:rPr>
        <w:t>opted for</w:t>
      </w:r>
      <w:r w:rsidRPr="00F20FCF">
        <w:rPr>
          <w:spacing w:val="-2"/>
          <w:sz w:val="20"/>
          <w:szCs w:val="20"/>
        </w:rPr>
        <w:t xml:space="preserve"> </w:t>
      </w:r>
      <w:r w:rsidRPr="00F20FCF">
        <w:rPr>
          <w:sz w:val="20"/>
          <w:szCs w:val="20"/>
        </w:rPr>
        <w:t>the term Violence Against</w:t>
      </w:r>
      <w:r w:rsidRPr="00F20FCF">
        <w:rPr>
          <w:spacing w:val="-2"/>
          <w:sz w:val="20"/>
          <w:szCs w:val="20"/>
        </w:rPr>
        <w:t xml:space="preserve"> </w:t>
      </w:r>
      <w:r w:rsidRPr="00F20FCF">
        <w:rPr>
          <w:sz w:val="20"/>
          <w:szCs w:val="20"/>
        </w:rPr>
        <w:t>Women</w:t>
      </w:r>
      <w:r w:rsidRPr="00F20FCF">
        <w:rPr>
          <w:spacing w:val="-2"/>
          <w:sz w:val="20"/>
          <w:szCs w:val="20"/>
        </w:rPr>
        <w:t xml:space="preserve"> </w:t>
      </w:r>
      <w:r w:rsidRPr="00F20FCF">
        <w:rPr>
          <w:sz w:val="20"/>
          <w:szCs w:val="20"/>
        </w:rPr>
        <w:t>and Children (VAWC) rather than Gender-Based Violence or Family</w:t>
      </w:r>
      <w:r w:rsidRPr="00F20FCF">
        <w:rPr>
          <w:spacing w:val="-1"/>
          <w:sz w:val="20"/>
          <w:szCs w:val="20"/>
        </w:rPr>
        <w:t xml:space="preserve"> </w:t>
      </w:r>
      <w:r w:rsidRPr="00F20FCF">
        <w:rPr>
          <w:sz w:val="20"/>
          <w:szCs w:val="20"/>
        </w:rPr>
        <w:t>Violence</w:t>
      </w:r>
      <w:r w:rsidRPr="00F20FCF">
        <w:rPr>
          <w:spacing w:val="-1"/>
          <w:sz w:val="20"/>
          <w:szCs w:val="20"/>
        </w:rPr>
        <w:t xml:space="preserve"> </w:t>
      </w:r>
      <w:r w:rsidRPr="00F20FCF">
        <w:rPr>
          <w:sz w:val="20"/>
          <w:szCs w:val="20"/>
        </w:rPr>
        <w:t>in</w:t>
      </w:r>
      <w:r w:rsidRPr="00F20FCF">
        <w:rPr>
          <w:spacing w:val="-4"/>
          <w:sz w:val="20"/>
          <w:szCs w:val="20"/>
        </w:rPr>
        <w:t xml:space="preserve"> </w:t>
      </w:r>
      <w:r w:rsidRPr="00F20FCF">
        <w:rPr>
          <w:sz w:val="20"/>
          <w:szCs w:val="20"/>
        </w:rPr>
        <w:t>recognition</w:t>
      </w:r>
      <w:r w:rsidRPr="00F20FCF">
        <w:rPr>
          <w:spacing w:val="-4"/>
          <w:sz w:val="20"/>
          <w:szCs w:val="20"/>
        </w:rPr>
        <w:t xml:space="preserve"> </w:t>
      </w:r>
      <w:r w:rsidRPr="00F20FCF">
        <w:rPr>
          <w:sz w:val="20"/>
          <w:szCs w:val="20"/>
        </w:rPr>
        <w:t>of</w:t>
      </w:r>
      <w:r w:rsidRPr="00F20FCF">
        <w:rPr>
          <w:spacing w:val="-2"/>
          <w:sz w:val="20"/>
          <w:szCs w:val="20"/>
        </w:rPr>
        <w:t xml:space="preserve"> </w:t>
      </w:r>
      <w:r w:rsidRPr="00F20FCF">
        <w:rPr>
          <w:sz w:val="20"/>
          <w:szCs w:val="20"/>
        </w:rPr>
        <w:t>growing</w:t>
      </w:r>
      <w:r w:rsidRPr="00F20FCF">
        <w:rPr>
          <w:spacing w:val="-1"/>
          <w:sz w:val="20"/>
          <w:szCs w:val="20"/>
        </w:rPr>
        <w:t xml:space="preserve"> </w:t>
      </w:r>
      <w:r w:rsidRPr="00F20FCF">
        <w:rPr>
          <w:sz w:val="20"/>
          <w:szCs w:val="20"/>
        </w:rPr>
        <w:t>global</w:t>
      </w:r>
      <w:r w:rsidRPr="00F20FCF">
        <w:rPr>
          <w:spacing w:val="-1"/>
          <w:sz w:val="20"/>
          <w:szCs w:val="20"/>
        </w:rPr>
        <w:t xml:space="preserve"> </w:t>
      </w:r>
      <w:r w:rsidRPr="00F20FCF">
        <w:rPr>
          <w:sz w:val="20"/>
          <w:szCs w:val="20"/>
        </w:rPr>
        <w:t>evidence</w:t>
      </w:r>
      <w:r w:rsidRPr="00F20FCF">
        <w:rPr>
          <w:spacing w:val="-1"/>
          <w:sz w:val="20"/>
          <w:szCs w:val="20"/>
        </w:rPr>
        <w:t xml:space="preserve"> </w:t>
      </w:r>
      <w:r w:rsidRPr="00F20FCF">
        <w:rPr>
          <w:sz w:val="20"/>
          <w:szCs w:val="20"/>
        </w:rPr>
        <w:t>on</w:t>
      </w:r>
      <w:r w:rsidRPr="00F20FCF">
        <w:rPr>
          <w:spacing w:val="-4"/>
          <w:sz w:val="20"/>
          <w:szCs w:val="20"/>
        </w:rPr>
        <w:t xml:space="preserve"> </w:t>
      </w:r>
      <w:r w:rsidRPr="00F20FCF">
        <w:rPr>
          <w:sz w:val="20"/>
          <w:szCs w:val="20"/>
        </w:rPr>
        <w:t>the</w:t>
      </w:r>
      <w:r w:rsidRPr="00F20FCF">
        <w:rPr>
          <w:spacing w:val="-1"/>
          <w:sz w:val="20"/>
          <w:szCs w:val="20"/>
        </w:rPr>
        <w:t xml:space="preserve"> </w:t>
      </w:r>
      <w:r w:rsidRPr="00F20FCF">
        <w:rPr>
          <w:sz w:val="20"/>
          <w:szCs w:val="20"/>
        </w:rPr>
        <w:t>intersections</w:t>
      </w:r>
      <w:r w:rsidRPr="00F20FCF">
        <w:rPr>
          <w:spacing w:val="-1"/>
          <w:sz w:val="20"/>
          <w:szCs w:val="20"/>
        </w:rPr>
        <w:t xml:space="preserve"> </w:t>
      </w:r>
      <w:r w:rsidRPr="00F20FCF">
        <w:rPr>
          <w:sz w:val="20"/>
          <w:szCs w:val="20"/>
        </w:rPr>
        <w:t>of</w:t>
      </w:r>
      <w:r w:rsidRPr="00F20FCF">
        <w:rPr>
          <w:spacing w:val="-4"/>
          <w:sz w:val="20"/>
          <w:szCs w:val="20"/>
        </w:rPr>
        <w:t xml:space="preserve"> </w:t>
      </w:r>
      <w:r w:rsidRPr="00F20FCF">
        <w:rPr>
          <w:sz w:val="20"/>
          <w:szCs w:val="20"/>
        </w:rPr>
        <w:t>VAW</w:t>
      </w:r>
      <w:r w:rsidRPr="00F20FCF">
        <w:rPr>
          <w:spacing w:val="-2"/>
          <w:sz w:val="20"/>
          <w:szCs w:val="20"/>
        </w:rPr>
        <w:t xml:space="preserve"> </w:t>
      </w:r>
      <w:r w:rsidRPr="00F20FCF">
        <w:rPr>
          <w:sz w:val="20"/>
          <w:szCs w:val="20"/>
        </w:rPr>
        <w:t>and</w:t>
      </w:r>
      <w:r w:rsidRPr="00F20FCF">
        <w:rPr>
          <w:spacing w:val="-4"/>
          <w:sz w:val="20"/>
          <w:szCs w:val="20"/>
        </w:rPr>
        <w:t xml:space="preserve"> </w:t>
      </w:r>
      <w:r w:rsidRPr="00F20FCF">
        <w:rPr>
          <w:sz w:val="20"/>
          <w:szCs w:val="20"/>
        </w:rPr>
        <w:t>VAC,</w:t>
      </w:r>
      <w:r w:rsidRPr="00F20FCF">
        <w:rPr>
          <w:spacing w:val="-2"/>
          <w:sz w:val="20"/>
          <w:szCs w:val="20"/>
        </w:rPr>
        <w:t xml:space="preserve"> </w:t>
      </w:r>
      <w:r w:rsidRPr="00F20FCF">
        <w:rPr>
          <w:sz w:val="20"/>
          <w:szCs w:val="20"/>
        </w:rPr>
        <w:t>including</w:t>
      </w:r>
      <w:r w:rsidRPr="00F20FCF">
        <w:rPr>
          <w:spacing w:val="-4"/>
          <w:sz w:val="20"/>
          <w:szCs w:val="20"/>
        </w:rPr>
        <w:t xml:space="preserve"> </w:t>
      </w:r>
      <w:r w:rsidRPr="00F20FCF">
        <w:rPr>
          <w:sz w:val="20"/>
          <w:szCs w:val="20"/>
        </w:rPr>
        <w:t>shared</w:t>
      </w:r>
      <w:r w:rsidRPr="00F20FCF">
        <w:rPr>
          <w:spacing w:val="-1"/>
          <w:sz w:val="20"/>
          <w:szCs w:val="20"/>
        </w:rPr>
        <w:t xml:space="preserve"> </w:t>
      </w:r>
      <w:r w:rsidRPr="00F20FCF">
        <w:rPr>
          <w:sz w:val="20"/>
          <w:szCs w:val="20"/>
        </w:rPr>
        <w:t>risk</w:t>
      </w:r>
      <w:r w:rsidRPr="00F20FCF">
        <w:rPr>
          <w:spacing w:val="-3"/>
          <w:sz w:val="20"/>
          <w:szCs w:val="20"/>
        </w:rPr>
        <w:t xml:space="preserve"> </w:t>
      </w:r>
      <w:r w:rsidRPr="00F20FCF">
        <w:rPr>
          <w:sz w:val="20"/>
          <w:szCs w:val="20"/>
        </w:rPr>
        <w:t>factors, common social norms, co-occurrence, and the intergenerational cycle of abuse (Fulu, E., McCook, S., and Falb, K., 2017.)</w:t>
      </w:r>
    </w:p>
    <w:p w14:paraId="17EB448E" w14:textId="77777777" w:rsidR="009C36E3" w:rsidRDefault="000E7207" w:rsidP="00E84525">
      <w:pPr>
        <w:pStyle w:val="Heading2"/>
      </w:pPr>
      <w:r>
        <w:t>Executive</w:t>
      </w:r>
      <w:r>
        <w:rPr>
          <w:spacing w:val="-9"/>
        </w:rPr>
        <w:t xml:space="preserve"> </w:t>
      </w:r>
      <w:r w:rsidRPr="00E84525">
        <w:t>Summary</w:t>
      </w:r>
    </w:p>
    <w:p w14:paraId="37B1CBE9" w14:textId="77777777" w:rsidR="009C36E3" w:rsidRDefault="000E7207">
      <w:pPr>
        <w:pStyle w:val="BodyText"/>
        <w:spacing w:before="240"/>
        <w:ind w:right="120"/>
      </w:pPr>
      <w:r>
        <w:t>This is the Executive Summary of the Mid-Term Review (MTR) of Phase 2 of the Vanuatu Australia Policing and Justice Program (VAPJP). Phase 2 of the VAPJP (AUD25 million over four years, December 2020 to December 2024) aims to empower Vanuatu Police Force (VPF), justice and community service agencies, and targeted non- state</w:t>
      </w:r>
      <w:r>
        <w:rPr>
          <w:spacing w:val="-3"/>
        </w:rPr>
        <w:t xml:space="preserve"> </w:t>
      </w:r>
      <w:r>
        <w:t>actors</w:t>
      </w:r>
      <w:r>
        <w:rPr>
          <w:spacing w:val="-2"/>
        </w:rPr>
        <w:t xml:space="preserve"> </w:t>
      </w:r>
      <w:r>
        <w:t>to</w:t>
      </w:r>
      <w:r>
        <w:rPr>
          <w:spacing w:val="-1"/>
        </w:rPr>
        <w:t xml:space="preserve"> </w:t>
      </w:r>
      <w:r>
        <w:t>provide</w:t>
      </w:r>
      <w:r>
        <w:rPr>
          <w:spacing w:val="-3"/>
        </w:rPr>
        <w:t xml:space="preserve"> </w:t>
      </w:r>
      <w:r>
        <w:t>fair,</w:t>
      </w:r>
      <w:r>
        <w:rPr>
          <w:spacing w:val="-1"/>
        </w:rPr>
        <w:t xml:space="preserve"> </w:t>
      </w:r>
      <w:r>
        <w:t>equitable,</w:t>
      </w:r>
      <w:r>
        <w:rPr>
          <w:spacing w:val="-1"/>
        </w:rPr>
        <w:t xml:space="preserve"> </w:t>
      </w:r>
      <w:r>
        <w:t>and</w:t>
      </w:r>
      <w:r>
        <w:rPr>
          <w:spacing w:val="-3"/>
        </w:rPr>
        <w:t xml:space="preserve"> </w:t>
      </w:r>
      <w:r>
        <w:t>quality</w:t>
      </w:r>
      <w:r>
        <w:rPr>
          <w:spacing w:val="-2"/>
        </w:rPr>
        <w:t xml:space="preserve"> </w:t>
      </w:r>
      <w:r>
        <w:t>services</w:t>
      </w:r>
      <w:r>
        <w:rPr>
          <w:spacing w:val="-2"/>
        </w:rPr>
        <w:t xml:space="preserve"> </w:t>
      </w:r>
      <w:r>
        <w:t>that</w:t>
      </w:r>
      <w:r>
        <w:rPr>
          <w:spacing w:val="-3"/>
        </w:rPr>
        <w:t xml:space="preserve"> </w:t>
      </w:r>
      <w:r>
        <w:t>meet</w:t>
      </w:r>
      <w:r>
        <w:rPr>
          <w:spacing w:val="-1"/>
        </w:rPr>
        <w:t xml:space="preserve"> </w:t>
      </w:r>
      <w:r>
        <w:t>the</w:t>
      </w:r>
      <w:r>
        <w:rPr>
          <w:spacing w:val="-1"/>
        </w:rPr>
        <w:t xml:space="preserve"> </w:t>
      </w:r>
      <w:r>
        <w:t>needs</w:t>
      </w:r>
      <w:r>
        <w:rPr>
          <w:spacing w:val="-2"/>
        </w:rPr>
        <w:t xml:space="preserve"> </w:t>
      </w:r>
      <w:r>
        <w:t>of</w:t>
      </w:r>
      <w:r>
        <w:rPr>
          <w:spacing w:val="-1"/>
        </w:rPr>
        <w:t xml:space="preserve"> </w:t>
      </w:r>
      <w:r>
        <w:t>the</w:t>
      </w:r>
      <w:r>
        <w:rPr>
          <w:spacing w:val="-3"/>
        </w:rPr>
        <w:t xml:space="preserve"> </w:t>
      </w:r>
      <w:r>
        <w:t>community.</w:t>
      </w:r>
      <w:hyperlink w:anchor="_bookmark0" w:history="1">
        <w:r>
          <w:rPr>
            <w:position w:val="6"/>
            <w:sz w:val="13"/>
          </w:rPr>
          <w:t>1</w:t>
        </w:r>
      </w:hyperlink>
      <w:r>
        <w:rPr>
          <w:spacing w:val="16"/>
          <w:position w:val="6"/>
          <w:sz w:val="13"/>
        </w:rPr>
        <w:t xml:space="preserve"> </w:t>
      </w:r>
      <w:r>
        <w:t>VAPJP</w:t>
      </w:r>
      <w:r>
        <w:rPr>
          <w:spacing w:val="-1"/>
        </w:rPr>
        <w:t xml:space="preserve"> </w:t>
      </w:r>
      <w:r>
        <w:t>is</w:t>
      </w:r>
      <w:r>
        <w:rPr>
          <w:spacing w:val="-2"/>
        </w:rPr>
        <w:t xml:space="preserve"> </w:t>
      </w:r>
      <w:r>
        <w:t>highly relevant to the priorities of both the Government of Australia (GoA) and Government of Vanuatu (GoV). The program supports Vanuatu's police and justice services and broader security and contributes to Vanuatu’s social stability through strengthening the rule of law, improving access to justice and policing services for vulnerable groups, and helping address domestic violence.</w:t>
      </w:r>
    </w:p>
    <w:p w14:paraId="3AE878B2" w14:textId="77777777" w:rsidR="009C36E3" w:rsidRDefault="000E7207">
      <w:pPr>
        <w:pStyle w:val="BodyText"/>
        <w:spacing w:before="119"/>
        <w:ind w:left="772"/>
      </w:pPr>
      <w:r>
        <w:t>VAPJP’s operating context is complex and multifaceted, covering a number of diverse actors including policing, justice</w:t>
      </w:r>
      <w:r>
        <w:rPr>
          <w:spacing w:val="-4"/>
        </w:rPr>
        <w:t xml:space="preserve"> </w:t>
      </w:r>
      <w:r>
        <w:t>and</w:t>
      </w:r>
      <w:r>
        <w:rPr>
          <w:spacing w:val="-2"/>
        </w:rPr>
        <w:t xml:space="preserve"> </w:t>
      </w:r>
      <w:r>
        <w:t>community</w:t>
      </w:r>
      <w:r>
        <w:rPr>
          <w:spacing w:val="-3"/>
        </w:rPr>
        <w:t xml:space="preserve"> </w:t>
      </w:r>
      <w:r>
        <w:t>services</w:t>
      </w:r>
      <w:r>
        <w:rPr>
          <w:spacing w:val="-3"/>
        </w:rPr>
        <w:t xml:space="preserve"> </w:t>
      </w:r>
      <w:r>
        <w:t>agencies</w:t>
      </w:r>
      <w:r>
        <w:rPr>
          <w:spacing w:val="-3"/>
        </w:rPr>
        <w:t xml:space="preserve"> </w:t>
      </w:r>
      <w:r>
        <w:t>as</w:t>
      </w:r>
      <w:r>
        <w:rPr>
          <w:spacing w:val="-3"/>
        </w:rPr>
        <w:t xml:space="preserve"> </w:t>
      </w:r>
      <w:r>
        <w:t>well</w:t>
      </w:r>
      <w:r>
        <w:rPr>
          <w:spacing w:val="-5"/>
        </w:rPr>
        <w:t xml:space="preserve"> </w:t>
      </w:r>
      <w:r>
        <w:t>as non-state</w:t>
      </w:r>
      <w:r>
        <w:rPr>
          <w:spacing w:val="-4"/>
        </w:rPr>
        <w:t xml:space="preserve"> </w:t>
      </w:r>
      <w:r>
        <w:t>actors</w:t>
      </w:r>
      <w:r>
        <w:rPr>
          <w:spacing w:val="-3"/>
        </w:rPr>
        <w:t xml:space="preserve"> </w:t>
      </w:r>
      <w:r>
        <w:t>(for</w:t>
      </w:r>
      <w:r>
        <w:rPr>
          <w:spacing w:val="-1"/>
        </w:rPr>
        <w:t xml:space="preserve"> </w:t>
      </w:r>
      <w:r>
        <w:t>example,</w:t>
      </w:r>
      <w:r>
        <w:rPr>
          <w:spacing w:val="-2"/>
        </w:rPr>
        <w:t xml:space="preserve"> </w:t>
      </w:r>
      <w:r>
        <w:t>churches</w:t>
      </w:r>
      <w:r>
        <w:rPr>
          <w:spacing w:val="-3"/>
        </w:rPr>
        <w:t xml:space="preserve"> </w:t>
      </w:r>
      <w:r>
        <w:t>and</w:t>
      </w:r>
      <w:r>
        <w:rPr>
          <w:spacing w:val="-4"/>
        </w:rPr>
        <w:t xml:space="preserve"> </w:t>
      </w:r>
      <w:r>
        <w:t>chiefly</w:t>
      </w:r>
      <w:r>
        <w:rPr>
          <w:spacing w:val="-3"/>
        </w:rPr>
        <w:t xml:space="preserve"> </w:t>
      </w:r>
      <w:r>
        <w:t>structures), civil</w:t>
      </w:r>
      <w:r>
        <w:rPr>
          <w:spacing w:val="-2"/>
        </w:rPr>
        <w:t xml:space="preserve"> </w:t>
      </w:r>
      <w:r>
        <w:t>society organisations (CSOs),</w:t>
      </w:r>
      <w:r>
        <w:rPr>
          <w:spacing w:val="-1"/>
        </w:rPr>
        <w:t xml:space="preserve"> </w:t>
      </w:r>
      <w:r>
        <w:t>and the people</w:t>
      </w:r>
      <w:r>
        <w:rPr>
          <w:spacing w:val="-1"/>
        </w:rPr>
        <w:t xml:space="preserve"> </w:t>
      </w:r>
      <w:r>
        <w:t>of Vanuatu</w:t>
      </w:r>
      <w:r>
        <w:rPr>
          <w:spacing w:val="-1"/>
        </w:rPr>
        <w:t xml:space="preserve"> </w:t>
      </w:r>
      <w:r>
        <w:t>(as end users or service</w:t>
      </w:r>
      <w:r>
        <w:rPr>
          <w:spacing w:val="-1"/>
        </w:rPr>
        <w:t xml:space="preserve"> </w:t>
      </w:r>
      <w:r>
        <w:t>recipients).</w:t>
      </w:r>
      <w:r>
        <w:rPr>
          <w:spacing w:val="-1"/>
        </w:rPr>
        <w:t xml:space="preserve"> </w:t>
      </w:r>
      <w:r>
        <w:t>Challenges over the</w:t>
      </w:r>
      <w:r>
        <w:rPr>
          <w:spacing w:val="-2"/>
        </w:rPr>
        <w:t xml:space="preserve"> </w:t>
      </w:r>
      <w:r>
        <w:t>review</w:t>
      </w:r>
      <w:r>
        <w:rPr>
          <w:spacing w:val="-2"/>
        </w:rPr>
        <w:t xml:space="preserve"> </w:t>
      </w:r>
      <w:r>
        <w:t>period</w:t>
      </w:r>
      <w:r>
        <w:rPr>
          <w:spacing w:val="-2"/>
        </w:rPr>
        <w:t xml:space="preserve"> </w:t>
      </w:r>
      <w:r>
        <w:t>have</w:t>
      </w:r>
      <w:r>
        <w:rPr>
          <w:spacing w:val="-2"/>
        </w:rPr>
        <w:t xml:space="preserve"> </w:t>
      </w:r>
      <w:r>
        <w:t>included COVID19,</w:t>
      </w:r>
      <w:r>
        <w:rPr>
          <w:spacing w:val="-2"/>
        </w:rPr>
        <w:t xml:space="preserve"> </w:t>
      </w:r>
      <w:r>
        <w:t>Tropical</w:t>
      </w:r>
      <w:r>
        <w:rPr>
          <w:spacing w:val="-3"/>
        </w:rPr>
        <w:t xml:space="preserve"> </w:t>
      </w:r>
      <w:r>
        <w:t>Cyclones</w:t>
      </w:r>
      <w:r>
        <w:rPr>
          <w:spacing w:val="-1"/>
        </w:rPr>
        <w:t xml:space="preserve"> </w:t>
      </w:r>
      <w:r>
        <w:t>Kevin, Judy</w:t>
      </w:r>
      <w:r>
        <w:rPr>
          <w:spacing w:val="-1"/>
        </w:rPr>
        <w:t xml:space="preserve"> </w:t>
      </w:r>
      <w:r>
        <w:t>and</w:t>
      </w:r>
      <w:r>
        <w:rPr>
          <w:spacing w:val="-2"/>
        </w:rPr>
        <w:t xml:space="preserve"> </w:t>
      </w:r>
      <w:r>
        <w:t>Lola,</w:t>
      </w:r>
      <w:r>
        <w:rPr>
          <w:spacing w:val="-2"/>
        </w:rPr>
        <w:t xml:space="preserve"> </w:t>
      </w:r>
      <w:r>
        <w:t>frequent</w:t>
      </w:r>
      <w:r>
        <w:rPr>
          <w:spacing w:val="-2"/>
        </w:rPr>
        <w:t xml:space="preserve"> </w:t>
      </w:r>
      <w:r>
        <w:t>changes</w:t>
      </w:r>
      <w:r>
        <w:rPr>
          <w:spacing w:val="-1"/>
        </w:rPr>
        <w:t xml:space="preserve"> </w:t>
      </w:r>
      <w:r>
        <w:t>in leadership within the Ministry of Justice and Community Services (MJCS), movement of the VPF from the Ministry of Internal Affairs (MoIA) to the Prime Minister’s Office (PMO) portfolio,</w:t>
      </w:r>
      <w:hyperlink w:anchor="_bookmark1" w:history="1">
        <w:r>
          <w:rPr>
            <w:position w:val="6"/>
            <w:sz w:val="13"/>
          </w:rPr>
          <w:t>2</w:t>
        </w:r>
      </w:hyperlink>
      <w:r>
        <w:rPr>
          <w:spacing w:val="25"/>
          <w:position w:val="6"/>
          <w:sz w:val="13"/>
        </w:rPr>
        <w:t xml:space="preserve"> </w:t>
      </w:r>
      <w:r>
        <w:t>and a prolonged period of political instability.</w:t>
      </w:r>
    </w:p>
    <w:p w14:paraId="036B1058" w14:textId="77777777" w:rsidR="009C36E3" w:rsidRDefault="000E7207">
      <w:pPr>
        <w:pStyle w:val="BodyText"/>
        <w:spacing w:before="119"/>
        <w:ind w:right="167"/>
      </w:pPr>
      <w:r>
        <w:t>VAPJP’s overarching long-term objective is that ‘Vanuatu Police Force, justice and community service agencies and targeted non-state actors provide fair, equitable and quality services that meet the needs of the community’. VAPJP</w:t>
      </w:r>
      <w:r>
        <w:rPr>
          <w:spacing w:val="-4"/>
        </w:rPr>
        <w:t xml:space="preserve"> </w:t>
      </w:r>
      <w:r>
        <w:t>takes</w:t>
      </w:r>
      <w:r>
        <w:rPr>
          <w:spacing w:val="-2"/>
        </w:rPr>
        <w:t xml:space="preserve"> </w:t>
      </w:r>
      <w:r>
        <w:t>a</w:t>
      </w:r>
      <w:r>
        <w:rPr>
          <w:spacing w:val="-1"/>
        </w:rPr>
        <w:t xml:space="preserve"> </w:t>
      </w:r>
      <w:r>
        <w:t>‘two-track</w:t>
      </w:r>
      <w:r>
        <w:rPr>
          <w:spacing w:val="-2"/>
        </w:rPr>
        <w:t xml:space="preserve"> </w:t>
      </w:r>
      <w:r>
        <w:t>approach’</w:t>
      </w:r>
      <w:r>
        <w:rPr>
          <w:spacing w:val="-4"/>
        </w:rPr>
        <w:t xml:space="preserve"> </w:t>
      </w:r>
      <w:r>
        <w:t>of</w:t>
      </w:r>
      <w:r>
        <w:rPr>
          <w:spacing w:val="-1"/>
        </w:rPr>
        <w:t xml:space="preserve"> </w:t>
      </w:r>
      <w:r>
        <w:t>maintaining</w:t>
      </w:r>
      <w:r>
        <w:rPr>
          <w:spacing w:val="-3"/>
        </w:rPr>
        <w:t xml:space="preserve"> </w:t>
      </w:r>
      <w:r>
        <w:t>services</w:t>
      </w:r>
      <w:r>
        <w:rPr>
          <w:spacing w:val="-2"/>
        </w:rPr>
        <w:t xml:space="preserve"> </w:t>
      </w:r>
      <w:r>
        <w:t>in</w:t>
      </w:r>
      <w:r>
        <w:rPr>
          <w:spacing w:val="-3"/>
        </w:rPr>
        <w:t xml:space="preserve"> </w:t>
      </w:r>
      <w:r>
        <w:t>the</w:t>
      </w:r>
      <w:r>
        <w:rPr>
          <w:spacing w:val="-3"/>
        </w:rPr>
        <w:t xml:space="preserve"> </w:t>
      </w:r>
      <w:r>
        <w:t>short-term</w:t>
      </w:r>
      <w:r>
        <w:rPr>
          <w:spacing w:val="-3"/>
        </w:rPr>
        <w:t xml:space="preserve"> </w:t>
      </w:r>
      <w:r>
        <w:t>and</w:t>
      </w:r>
      <w:r>
        <w:rPr>
          <w:spacing w:val="-1"/>
        </w:rPr>
        <w:t xml:space="preserve"> </w:t>
      </w:r>
      <w:r>
        <w:t>improving</w:t>
      </w:r>
      <w:r>
        <w:rPr>
          <w:spacing w:val="-3"/>
        </w:rPr>
        <w:t xml:space="preserve"> </w:t>
      </w:r>
      <w:r>
        <w:t>capacity</w:t>
      </w:r>
      <w:r>
        <w:rPr>
          <w:spacing w:val="-2"/>
        </w:rPr>
        <w:t xml:space="preserve"> </w:t>
      </w:r>
      <w:r>
        <w:t>for</w:t>
      </w:r>
      <w:r>
        <w:rPr>
          <w:spacing w:val="-2"/>
        </w:rPr>
        <w:t xml:space="preserve"> </w:t>
      </w:r>
      <w:r>
        <w:t>the</w:t>
      </w:r>
      <w:r>
        <w:rPr>
          <w:spacing w:val="-3"/>
        </w:rPr>
        <w:t xml:space="preserve"> </w:t>
      </w:r>
      <w:r>
        <w:t>long- term. This approach is delivered across three interconnected End of Program Outcomes (EOPO):</w:t>
      </w:r>
    </w:p>
    <w:p w14:paraId="3D5EC4FA" w14:textId="77777777" w:rsidR="009C36E3" w:rsidRDefault="000E7207">
      <w:pPr>
        <w:pStyle w:val="ListParagraph"/>
        <w:numPr>
          <w:ilvl w:val="0"/>
          <w:numId w:val="34"/>
        </w:numPr>
        <w:tabs>
          <w:tab w:val="left" w:pos="1129"/>
        </w:tabs>
        <w:spacing w:before="125" w:line="237" w:lineRule="auto"/>
        <w:ind w:right="929"/>
        <w:rPr>
          <w:sz w:val="20"/>
        </w:rPr>
      </w:pPr>
      <w:r>
        <w:rPr>
          <w:b/>
          <w:sz w:val="20"/>
        </w:rPr>
        <w:t>EOPO1:</w:t>
      </w:r>
      <w:r>
        <w:rPr>
          <w:b/>
          <w:spacing w:val="-3"/>
          <w:sz w:val="20"/>
        </w:rPr>
        <w:t xml:space="preserve"> </w:t>
      </w:r>
      <w:r>
        <w:rPr>
          <w:sz w:val="20"/>
        </w:rPr>
        <w:t>Justice</w:t>
      </w:r>
      <w:r>
        <w:rPr>
          <w:spacing w:val="-2"/>
          <w:sz w:val="20"/>
        </w:rPr>
        <w:t xml:space="preserve"> </w:t>
      </w:r>
      <w:r>
        <w:rPr>
          <w:sz w:val="20"/>
        </w:rPr>
        <w:t>and</w:t>
      </w:r>
      <w:r>
        <w:rPr>
          <w:spacing w:val="-4"/>
          <w:sz w:val="20"/>
        </w:rPr>
        <w:t xml:space="preserve"> </w:t>
      </w:r>
      <w:r>
        <w:rPr>
          <w:sz w:val="20"/>
        </w:rPr>
        <w:t>policing</w:t>
      </w:r>
      <w:r>
        <w:rPr>
          <w:spacing w:val="-4"/>
          <w:sz w:val="20"/>
        </w:rPr>
        <w:t xml:space="preserve"> </w:t>
      </w:r>
      <w:r>
        <w:rPr>
          <w:sz w:val="20"/>
        </w:rPr>
        <w:t>agencies improve</w:t>
      </w:r>
      <w:r>
        <w:rPr>
          <w:spacing w:val="-4"/>
          <w:sz w:val="20"/>
        </w:rPr>
        <w:t xml:space="preserve"> </w:t>
      </w:r>
      <w:r>
        <w:rPr>
          <w:sz w:val="20"/>
        </w:rPr>
        <w:t>quality and</w:t>
      </w:r>
      <w:r>
        <w:rPr>
          <w:spacing w:val="-4"/>
          <w:sz w:val="20"/>
        </w:rPr>
        <w:t xml:space="preserve"> </w:t>
      </w:r>
      <w:r>
        <w:rPr>
          <w:sz w:val="20"/>
        </w:rPr>
        <w:t>reach</w:t>
      </w:r>
      <w:r>
        <w:rPr>
          <w:spacing w:val="-4"/>
          <w:sz w:val="20"/>
        </w:rPr>
        <w:t xml:space="preserve"> </w:t>
      </w:r>
      <w:r>
        <w:rPr>
          <w:sz w:val="20"/>
        </w:rPr>
        <w:t>of</w:t>
      </w:r>
      <w:r>
        <w:rPr>
          <w:spacing w:val="-4"/>
          <w:sz w:val="20"/>
        </w:rPr>
        <w:t xml:space="preserve"> </w:t>
      </w:r>
      <w:r>
        <w:rPr>
          <w:sz w:val="20"/>
        </w:rPr>
        <w:t>services</w:t>
      </w:r>
      <w:r>
        <w:rPr>
          <w:spacing w:val="-3"/>
          <w:sz w:val="20"/>
        </w:rPr>
        <w:t xml:space="preserve"> </w:t>
      </w:r>
      <w:r>
        <w:rPr>
          <w:sz w:val="20"/>
        </w:rPr>
        <w:t>to</w:t>
      </w:r>
      <w:r>
        <w:rPr>
          <w:spacing w:val="-2"/>
          <w:sz w:val="20"/>
        </w:rPr>
        <w:t xml:space="preserve"> </w:t>
      </w:r>
      <w:r>
        <w:rPr>
          <w:sz w:val="20"/>
        </w:rPr>
        <w:t>Vanuatu</w:t>
      </w:r>
      <w:r>
        <w:rPr>
          <w:spacing w:val="-4"/>
          <w:sz w:val="20"/>
        </w:rPr>
        <w:t xml:space="preserve"> </w:t>
      </w:r>
      <w:r>
        <w:rPr>
          <w:sz w:val="20"/>
        </w:rPr>
        <w:t>communities, particularly in their handling of cases involving women, children, and youth;</w:t>
      </w:r>
    </w:p>
    <w:p w14:paraId="77B78FD2" w14:textId="77777777" w:rsidR="009C36E3" w:rsidRDefault="000E7207">
      <w:pPr>
        <w:pStyle w:val="ListParagraph"/>
        <w:numPr>
          <w:ilvl w:val="0"/>
          <w:numId w:val="34"/>
        </w:numPr>
        <w:tabs>
          <w:tab w:val="left" w:pos="1129"/>
        </w:tabs>
        <w:spacing w:before="3" w:line="237" w:lineRule="auto"/>
        <w:ind w:right="944"/>
        <w:rPr>
          <w:sz w:val="20"/>
        </w:rPr>
      </w:pPr>
      <w:r>
        <w:rPr>
          <w:b/>
          <w:sz w:val="20"/>
        </w:rPr>
        <w:t>EOPO2:</w:t>
      </w:r>
      <w:r>
        <w:rPr>
          <w:b/>
          <w:spacing w:val="-2"/>
          <w:sz w:val="20"/>
        </w:rPr>
        <w:t xml:space="preserve"> </w:t>
      </w:r>
      <w:r>
        <w:rPr>
          <w:sz w:val="20"/>
        </w:rPr>
        <w:t>Women,</w:t>
      </w:r>
      <w:r>
        <w:rPr>
          <w:spacing w:val="-3"/>
          <w:sz w:val="20"/>
        </w:rPr>
        <w:t xml:space="preserve"> </w:t>
      </w:r>
      <w:r>
        <w:rPr>
          <w:sz w:val="20"/>
        </w:rPr>
        <w:t>children</w:t>
      </w:r>
      <w:r>
        <w:rPr>
          <w:spacing w:val="-1"/>
          <w:sz w:val="20"/>
        </w:rPr>
        <w:t xml:space="preserve"> </w:t>
      </w:r>
      <w:r>
        <w:rPr>
          <w:sz w:val="20"/>
        </w:rPr>
        <w:t>and</w:t>
      </w:r>
      <w:r>
        <w:rPr>
          <w:spacing w:val="-5"/>
          <w:sz w:val="20"/>
        </w:rPr>
        <w:t xml:space="preserve"> </w:t>
      </w:r>
      <w:r>
        <w:rPr>
          <w:sz w:val="20"/>
        </w:rPr>
        <w:t>youth</w:t>
      </w:r>
      <w:r>
        <w:rPr>
          <w:spacing w:val="-3"/>
          <w:sz w:val="20"/>
        </w:rPr>
        <w:t xml:space="preserve"> </w:t>
      </w:r>
      <w:r>
        <w:rPr>
          <w:sz w:val="20"/>
        </w:rPr>
        <w:t>are</w:t>
      </w:r>
      <w:r>
        <w:rPr>
          <w:spacing w:val="-5"/>
          <w:sz w:val="20"/>
        </w:rPr>
        <w:t xml:space="preserve"> </w:t>
      </w:r>
      <w:r>
        <w:rPr>
          <w:sz w:val="20"/>
        </w:rPr>
        <w:t>increasingly</w:t>
      </w:r>
      <w:r>
        <w:rPr>
          <w:spacing w:val="-2"/>
          <w:sz w:val="20"/>
        </w:rPr>
        <w:t xml:space="preserve"> </w:t>
      </w:r>
      <w:r>
        <w:rPr>
          <w:sz w:val="20"/>
        </w:rPr>
        <w:t>accessing</w:t>
      </w:r>
      <w:r>
        <w:rPr>
          <w:spacing w:val="-5"/>
          <w:sz w:val="20"/>
        </w:rPr>
        <w:t xml:space="preserve"> </w:t>
      </w:r>
      <w:r>
        <w:rPr>
          <w:sz w:val="20"/>
        </w:rPr>
        <w:t>state</w:t>
      </w:r>
      <w:r>
        <w:rPr>
          <w:spacing w:val="-3"/>
          <w:sz w:val="20"/>
        </w:rPr>
        <w:t xml:space="preserve"> </w:t>
      </w:r>
      <w:r>
        <w:rPr>
          <w:sz w:val="20"/>
        </w:rPr>
        <w:t>policing,</w:t>
      </w:r>
      <w:r>
        <w:rPr>
          <w:spacing w:val="-3"/>
          <w:sz w:val="20"/>
        </w:rPr>
        <w:t xml:space="preserve"> </w:t>
      </w:r>
      <w:r>
        <w:rPr>
          <w:sz w:val="20"/>
        </w:rPr>
        <w:t>justice,</w:t>
      </w:r>
      <w:r>
        <w:rPr>
          <w:spacing w:val="-5"/>
          <w:sz w:val="20"/>
        </w:rPr>
        <w:t xml:space="preserve"> </w:t>
      </w:r>
      <w:r>
        <w:rPr>
          <w:sz w:val="20"/>
        </w:rPr>
        <w:t>and</w:t>
      </w:r>
      <w:r>
        <w:rPr>
          <w:spacing w:val="-5"/>
          <w:sz w:val="20"/>
        </w:rPr>
        <w:t xml:space="preserve"> </w:t>
      </w:r>
      <w:r>
        <w:rPr>
          <w:sz w:val="20"/>
        </w:rPr>
        <w:t>community services; and</w:t>
      </w:r>
    </w:p>
    <w:p w14:paraId="581565CC" w14:textId="77777777" w:rsidR="009C36E3" w:rsidRDefault="000E7207">
      <w:pPr>
        <w:pStyle w:val="ListParagraph"/>
        <w:numPr>
          <w:ilvl w:val="0"/>
          <w:numId w:val="34"/>
        </w:numPr>
        <w:tabs>
          <w:tab w:val="left" w:pos="1129"/>
        </w:tabs>
        <w:rPr>
          <w:sz w:val="20"/>
        </w:rPr>
      </w:pPr>
      <w:r>
        <w:rPr>
          <w:b/>
          <w:sz w:val="20"/>
        </w:rPr>
        <w:t>EOPO3:</w:t>
      </w:r>
      <w:r>
        <w:rPr>
          <w:b/>
          <w:spacing w:val="-4"/>
          <w:sz w:val="20"/>
        </w:rPr>
        <w:t xml:space="preserve"> </w:t>
      </w:r>
      <w:r>
        <w:rPr>
          <w:sz w:val="20"/>
        </w:rPr>
        <w:t>Policing</w:t>
      </w:r>
      <w:r>
        <w:rPr>
          <w:spacing w:val="-7"/>
          <w:sz w:val="20"/>
        </w:rPr>
        <w:t xml:space="preserve"> </w:t>
      </w:r>
      <w:r>
        <w:rPr>
          <w:sz w:val="20"/>
        </w:rPr>
        <w:t>and</w:t>
      </w:r>
      <w:r>
        <w:rPr>
          <w:spacing w:val="-6"/>
          <w:sz w:val="20"/>
        </w:rPr>
        <w:t xml:space="preserve"> </w:t>
      </w:r>
      <w:r>
        <w:rPr>
          <w:sz w:val="20"/>
        </w:rPr>
        <w:t>Justice</w:t>
      </w:r>
      <w:r>
        <w:rPr>
          <w:spacing w:val="-6"/>
          <w:sz w:val="20"/>
        </w:rPr>
        <w:t xml:space="preserve"> </w:t>
      </w:r>
      <w:r>
        <w:rPr>
          <w:sz w:val="20"/>
        </w:rPr>
        <w:t>agencies</w:t>
      </w:r>
      <w:r>
        <w:rPr>
          <w:spacing w:val="-6"/>
          <w:sz w:val="20"/>
        </w:rPr>
        <w:t xml:space="preserve"> </w:t>
      </w:r>
      <w:r>
        <w:rPr>
          <w:sz w:val="20"/>
        </w:rPr>
        <w:t>maintain</w:t>
      </w:r>
      <w:r>
        <w:rPr>
          <w:spacing w:val="-6"/>
          <w:sz w:val="20"/>
        </w:rPr>
        <w:t xml:space="preserve"> </w:t>
      </w:r>
      <w:r>
        <w:rPr>
          <w:sz w:val="20"/>
        </w:rPr>
        <w:t>public</w:t>
      </w:r>
      <w:r>
        <w:rPr>
          <w:spacing w:val="-6"/>
          <w:sz w:val="20"/>
        </w:rPr>
        <w:t xml:space="preserve"> </w:t>
      </w:r>
      <w:r>
        <w:rPr>
          <w:sz w:val="20"/>
        </w:rPr>
        <w:t>security</w:t>
      </w:r>
      <w:r>
        <w:rPr>
          <w:spacing w:val="-5"/>
          <w:sz w:val="20"/>
        </w:rPr>
        <w:t xml:space="preserve"> </w:t>
      </w:r>
      <w:r>
        <w:rPr>
          <w:sz w:val="20"/>
        </w:rPr>
        <w:t>and</w:t>
      </w:r>
      <w:r>
        <w:rPr>
          <w:spacing w:val="-7"/>
          <w:sz w:val="20"/>
        </w:rPr>
        <w:t xml:space="preserve"> </w:t>
      </w:r>
      <w:r>
        <w:rPr>
          <w:sz w:val="20"/>
        </w:rPr>
        <w:t>the</w:t>
      </w:r>
      <w:r>
        <w:rPr>
          <w:spacing w:val="-6"/>
          <w:sz w:val="20"/>
        </w:rPr>
        <w:t xml:space="preserve"> </w:t>
      </w:r>
      <w:r>
        <w:rPr>
          <w:sz w:val="20"/>
        </w:rPr>
        <w:t>rule</w:t>
      </w:r>
      <w:r>
        <w:rPr>
          <w:spacing w:val="-5"/>
          <w:sz w:val="20"/>
        </w:rPr>
        <w:t xml:space="preserve"> </w:t>
      </w:r>
      <w:r>
        <w:rPr>
          <w:sz w:val="20"/>
        </w:rPr>
        <w:t>of</w:t>
      </w:r>
      <w:r>
        <w:rPr>
          <w:spacing w:val="-4"/>
          <w:sz w:val="20"/>
        </w:rPr>
        <w:t xml:space="preserve"> law.</w:t>
      </w:r>
    </w:p>
    <w:p w14:paraId="47EF1C59" w14:textId="77777777" w:rsidR="009C36E3" w:rsidRDefault="000E7207">
      <w:pPr>
        <w:pStyle w:val="BodyText"/>
        <w:spacing w:before="119"/>
      </w:pPr>
      <w:r>
        <w:t>VAPJP</w:t>
      </w:r>
      <w:r>
        <w:rPr>
          <w:spacing w:val="-2"/>
        </w:rPr>
        <w:t xml:space="preserve"> </w:t>
      </w:r>
      <w:r>
        <w:t>is</w:t>
      </w:r>
      <w:r>
        <w:rPr>
          <w:spacing w:val="-3"/>
        </w:rPr>
        <w:t xml:space="preserve"> </w:t>
      </w:r>
      <w:r>
        <w:t>delivered</w:t>
      </w:r>
      <w:r>
        <w:rPr>
          <w:spacing w:val="-3"/>
        </w:rPr>
        <w:t xml:space="preserve"> </w:t>
      </w:r>
      <w:r>
        <w:t>under</w:t>
      </w:r>
      <w:r>
        <w:rPr>
          <w:spacing w:val="-3"/>
        </w:rPr>
        <w:t xml:space="preserve"> </w:t>
      </w:r>
      <w:r>
        <w:t>four</w:t>
      </w:r>
      <w:r>
        <w:rPr>
          <w:spacing w:val="-3"/>
        </w:rPr>
        <w:t xml:space="preserve"> </w:t>
      </w:r>
      <w:r>
        <w:t>components,</w:t>
      </w:r>
      <w:r>
        <w:rPr>
          <w:spacing w:val="-3"/>
        </w:rPr>
        <w:t xml:space="preserve"> </w:t>
      </w:r>
      <w:r>
        <w:t>each</w:t>
      </w:r>
      <w:r>
        <w:rPr>
          <w:spacing w:val="-3"/>
        </w:rPr>
        <w:t xml:space="preserve"> </w:t>
      </w:r>
      <w:r>
        <w:t>corresponding</w:t>
      </w:r>
      <w:r>
        <w:rPr>
          <w:spacing w:val="-3"/>
        </w:rPr>
        <w:t xml:space="preserve"> </w:t>
      </w:r>
      <w:r>
        <w:t>to</w:t>
      </w:r>
      <w:r>
        <w:rPr>
          <w:spacing w:val="-2"/>
        </w:rPr>
        <w:t xml:space="preserve"> </w:t>
      </w:r>
      <w:r>
        <w:t>an</w:t>
      </w:r>
      <w:r>
        <w:rPr>
          <w:spacing w:val="-3"/>
        </w:rPr>
        <w:t xml:space="preserve"> </w:t>
      </w:r>
      <w:r>
        <w:t>Intermediate</w:t>
      </w:r>
      <w:r>
        <w:rPr>
          <w:spacing w:val="-3"/>
        </w:rPr>
        <w:t xml:space="preserve"> </w:t>
      </w:r>
      <w:r>
        <w:t>Outcome</w:t>
      </w:r>
      <w:r>
        <w:rPr>
          <w:spacing w:val="-3"/>
        </w:rPr>
        <w:t xml:space="preserve"> </w:t>
      </w:r>
      <w:r>
        <w:t>(IO):</w:t>
      </w:r>
      <w:r>
        <w:rPr>
          <w:spacing w:val="-3"/>
        </w:rPr>
        <w:t xml:space="preserve"> </w:t>
      </w:r>
      <w:r>
        <w:t>Justice</w:t>
      </w:r>
      <w:r>
        <w:rPr>
          <w:spacing w:val="-3"/>
        </w:rPr>
        <w:t xml:space="preserve"> </w:t>
      </w:r>
      <w:r>
        <w:t>(IO1), Policing (IO2), Community (IO3), and Sector Coordination (IO4).</w:t>
      </w:r>
    </w:p>
    <w:p w14:paraId="3B1F68FC" w14:textId="77777777" w:rsidR="009C36E3" w:rsidRDefault="000E7207">
      <w:pPr>
        <w:pStyle w:val="BodyText"/>
        <w:spacing w:before="119"/>
      </w:pPr>
      <w:r>
        <w:t>The objectives of the MTR, as outlined in the Terms of Reference (ToR), include accountability, documentation of lessons learned, and assessment of future opportunities. The review has a broadly strategic focus as indicated by KRQs</w:t>
      </w:r>
      <w:r>
        <w:rPr>
          <w:spacing w:val="-3"/>
        </w:rPr>
        <w:t xml:space="preserve"> </w:t>
      </w:r>
      <w:r>
        <w:t>targeting</w:t>
      </w:r>
      <w:r>
        <w:rPr>
          <w:spacing w:val="-4"/>
        </w:rPr>
        <w:t xml:space="preserve"> </w:t>
      </w:r>
      <w:r>
        <w:t>Effectiveness;</w:t>
      </w:r>
      <w:r>
        <w:rPr>
          <w:spacing w:val="-4"/>
        </w:rPr>
        <w:t xml:space="preserve"> </w:t>
      </w:r>
      <w:r>
        <w:t>Efficiency;</w:t>
      </w:r>
      <w:r>
        <w:rPr>
          <w:spacing w:val="-4"/>
        </w:rPr>
        <w:t xml:space="preserve"> </w:t>
      </w:r>
      <w:r>
        <w:t>Relevance</w:t>
      </w:r>
      <w:r>
        <w:rPr>
          <w:spacing w:val="-2"/>
        </w:rPr>
        <w:t xml:space="preserve"> </w:t>
      </w:r>
      <w:r>
        <w:t>and</w:t>
      </w:r>
      <w:r>
        <w:rPr>
          <w:spacing w:val="-4"/>
        </w:rPr>
        <w:t xml:space="preserve"> </w:t>
      </w:r>
      <w:r>
        <w:t>Sustainability;</w:t>
      </w:r>
      <w:r>
        <w:rPr>
          <w:spacing w:val="-2"/>
        </w:rPr>
        <w:t xml:space="preserve"> </w:t>
      </w:r>
      <w:r>
        <w:t>and</w:t>
      </w:r>
      <w:r>
        <w:rPr>
          <w:spacing w:val="-2"/>
        </w:rPr>
        <w:t xml:space="preserve"> </w:t>
      </w:r>
      <w:r>
        <w:t>future</w:t>
      </w:r>
      <w:r>
        <w:rPr>
          <w:spacing w:val="-4"/>
        </w:rPr>
        <w:t xml:space="preserve"> </w:t>
      </w:r>
      <w:r>
        <w:t>outlook.</w:t>
      </w:r>
      <w:r>
        <w:rPr>
          <w:spacing w:val="-3"/>
        </w:rPr>
        <w:t xml:space="preserve"> </w:t>
      </w:r>
      <w:r>
        <w:t>The</w:t>
      </w:r>
      <w:r>
        <w:rPr>
          <w:spacing w:val="-2"/>
        </w:rPr>
        <w:t xml:space="preserve"> </w:t>
      </w:r>
      <w:r>
        <w:t>MTR</w:t>
      </w:r>
      <w:r>
        <w:rPr>
          <w:spacing w:val="-4"/>
        </w:rPr>
        <w:t xml:space="preserve"> </w:t>
      </w:r>
      <w:r>
        <w:t>drew</w:t>
      </w:r>
      <w:r>
        <w:rPr>
          <w:spacing w:val="-4"/>
        </w:rPr>
        <w:t xml:space="preserve"> </w:t>
      </w:r>
      <w:r>
        <w:t>on</w:t>
      </w:r>
      <w:r>
        <w:rPr>
          <w:spacing w:val="-4"/>
        </w:rPr>
        <w:t xml:space="preserve"> </w:t>
      </w:r>
      <w:r>
        <w:t>data collected through a review of documents related to the project and context, primary data collected through an in- country mission from 8-20 October 2023, and remote interviews prior to and after travel. The team interviewed 92 people and conducted three Focus Group Discussions (FGD). Some team members conducted a two-day visit to Santo. A field visit to Epi had to be cancelled due to concerns about a recent Air Taxi accident and the lack of available aircraft.</w:t>
      </w:r>
    </w:p>
    <w:p w14:paraId="3F0B5F8B" w14:textId="77777777" w:rsidR="009C36E3" w:rsidRDefault="000E7207">
      <w:pPr>
        <w:pStyle w:val="BodyText"/>
        <w:spacing w:before="121"/>
        <w:ind w:right="120"/>
      </w:pPr>
      <w:r>
        <w:t>The Team comprised Dr Bu Wilson (Team Leader), Grace Nicholas (M&amp;E Specialist) and Dorah Wilson (Vanuatu GEDSI Specialist)</w:t>
      </w:r>
      <w:r>
        <w:rPr>
          <w:b/>
        </w:rPr>
        <w:t xml:space="preserve">. </w:t>
      </w:r>
      <w:r>
        <w:t>DFAT officer Patrick Chan and AFP evaluator Chris Ely joined consultations and provided contextual</w:t>
      </w:r>
      <w:r>
        <w:rPr>
          <w:spacing w:val="-3"/>
        </w:rPr>
        <w:t xml:space="preserve"> </w:t>
      </w:r>
      <w:r>
        <w:t>input.</w:t>
      </w:r>
      <w:r>
        <w:rPr>
          <w:spacing w:val="-2"/>
        </w:rPr>
        <w:t xml:space="preserve"> </w:t>
      </w:r>
      <w:r>
        <w:t>Vanuatu</w:t>
      </w:r>
      <w:r>
        <w:rPr>
          <w:spacing w:val="-4"/>
        </w:rPr>
        <w:t xml:space="preserve"> </w:t>
      </w:r>
      <w:r>
        <w:t>post</w:t>
      </w:r>
      <w:r>
        <w:rPr>
          <w:spacing w:val="-4"/>
        </w:rPr>
        <w:t xml:space="preserve"> </w:t>
      </w:r>
      <w:r>
        <w:t>DFAT</w:t>
      </w:r>
      <w:r>
        <w:rPr>
          <w:spacing w:val="-3"/>
        </w:rPr>
        <w:t xml:space="preserve"> </w:t>
      </w:r>
      <w:r>
        <w:t>Officers</w:t>
      </w:r>
      <w:r>
        <w:rPr>
          <w:spacing w:val="-3"/>
        </w:rPr>
        <w:t xml:space="preserve"> </w:t>
      </w:r>
      <w:r>
        <w:t>Renie</w:t>
      </w:r>
      <w:r>
        <w:rPr>
          <w:spacing w:val="-2"/>
        </w:rPr>
        <w:t xml:space="preserve"> </w:t>
      </w:r>
      <w:r>
        <w:t>Anderson</w:t>
      </w:r>
      <w:r>
        <w:rPr>
          <w:spacing w:val="-2"/>
        </w:rPr>
        <w:t xml:space="preserve"> </w:t>
      </w:r>
      <w:r>
        <w:t>and</w:t>
      </w:r>
      <w:r>
        <w:rPr>
          <w:spacing w:val="-2"/>
        </w:rPr>
        <w:t xml:space="preserve"> </w:t>
      </w:r>
      <w:r>
        <w:t>Lavinia</w:t>
      </w:r>
      <w:r>
        <w:rPr>
          <w:spacing w:val="-4"/>
        </w:rPr>
        <w:t xml:space="preserve"> </w:t>
      </w:r>
      <w:r>
        <w:t>Mahit</w:t>
      </w:r>
      <w:r>
        <w:rPr>
          <w:spacing w:val="-4"/>
        </w:rPr>
        <w:t xml:space="preserve"> </w:t>
      </w:r>
      <w:r>
        <w:t>joined</w:t>
      </w:r>
      <w:r>
        <w:rPr>
          <w:spacing w:val="-4"/>
        </w:rPr>
        <w:t xml:space="preserve"> </w:t>
      </w:r>
      <w:r>
        <w:t>relevant</w:t>
      </w:r>
      <w:r>
        <w:rPr>
          <w:spacing w:val="-4"/>
        </w:rPr>
        <w:t xml:space="preserve"> </w:t>
      </w:r>
      <w:r>
        <w:t>consultations</w:t>
      </w:r>
      <w:r>
        <w:rPr>
          <w:spacing w:val="-3"/>
        </w:rPr>
        <w:t xml:space="preserve"> </w:t>
      </w:r>
      <w:r>
        <w:t>and provided the team with extensive support. The Deputy High Commissioner, Suzanne Akila, joined some higher- level consultations. Richard Bell and Paul Lee from Tetra Tech provided additional analytical support remotely.</w:t>
      </w:r>
    </w:p>
    <w:p w14:paraId="325D22BA" w14:textId="1DA68E6E" w:rsidR="009C36E3" w:rsidRDefault="002E17DF" w:rsidP="008D323A">
      <w:pPr>
        <w:pStyle w:val="BodyText"/>
        <w:spacing w:after="2760"/>
      </w:pPr>
      <w:r>
        <w:rPr>
          <w:noProof/>
        </w:rPr>
        <mc:AlternateContent>
          <mc:Choice Requires="wps">
            <w:drawing>
              <wp:anchor distT="0" distB="0" distL="0" distR="0" simplePos="0" relativeHeight="251665408" behindDoc="1" locked="0" layoutInCell="1" allowOverlap="1" wp14:anchorId="3014BD0E" wp14:editId="52697E6A">
                <wp:simplePos x="0" y="0"/>
                <wp:positionH relativeFrom="page">
                  <wp:posOffset>533185</wp:posOffset>
                </wp:positionH>
                <wp:positionV relativeFrom="paragraph">
                  <wp:posOffset>2084565</wp:posOffset>
                </wp:positionV>
                <wp:extent cx="1828800" cy="6350"/>
                <wp:effectExtent l="0" t="0" r="0" b="0"/>
                <wp:wrapTopAndBottom/>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A1756E" id="Graphic 10" o:spid="_x0000_s1026" alt="&quot;&quot;" style="position:absolute;margin-left:42pt;margin-top:164.15pt;width:2in;height:.5pt;z-index:-1572966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" path="m1828800,l,,,6095r1828800,l1828800,xe" fillcolor="black" stroked="f">
                <v:path arrowok="t"/>
                <w10:wrap type="topAndBottom" anchorx="page"/>
              </v:shape>
            </w:pict>
          </mc:Fallback>
        </mc:AlternateContent>
      </w:r>
      <w:r w:rsidR="000E7207">
        <w:t>Bryn Jones, Tetra Tech Director Policing Law &amp; Justice provided team quality assurance of deliverables and guidance.</w:t>
      </w:r>
      <w:r w:rsidR="000E7207">
        <w:rPr>
          <w:spacing w:val="-2"/>
        </w:rPr>
        <w:t xml:space="preserve"> </w:t>
      </w:r>
      <w:r w:rsidR="000E7207">
        <w:t>An</w:t>
      </w:r>
      <w:r w:rsidR="000E7207">
        <w:rPr>
          <w:spacing w:val="-4"/>
        </w:rPr>
        <w:t xml:space="preserve"> </w:t>
      </w:r>
      <w:r w:rsidR="000E7207">
        <w:t>MTR</w:t>
      </w:r>
      <w:r w:rsidR="000E7207">
        <w:rPr>
          <w:spacing w:val="-4"/>
        </w:rPr>
        <w:t xml:space="preserve"> </w:t>
      </w:r>
      <w:r w:rsidR="000E7207">
        <w:t>reference</w:t>
      </w:r>
      <w:r w:rsidR="000E7207">
        <w:rPr>
          <w:spacing w:val="-4"/>
        </w:rPr>
        <w:t xml:space="preserve"> </w:t>
      </w:r>
      <w:r w:rsidR="000E7207">
        <w:t>group</w:t>
      </w:r>
      <w:r w:rsidR="000E7207">
        <w:rPr>
          <w:spacing w:val="-4"/>
        </w:rPr>
        <w:t xml:space="preserve"> </w:t>
      </w:r>
      <w:r w:rsidR="000E7207">
        <w:t>was established</w:t>
      </w:r>
      <w:r w:rsidR="000E7207">
        <w:rPr>
          <w:spacing w:val="-4"/>
        </w:rPr>
        <w:t xml:space="preserve"> </w:t>
      </w:r>
      <w:r w:rsidR="000E7207">
        <w:t>to oversee</w:t>
      </w:r>
      <w:r w:rsidR="000E7207">
        <w:rPr>
          <w:spacing w:val="-4"/>
        </w:rPr>
        <w:t xml:space="preserve"> </w:t>
      </w:r>
      <w:r w:rsidR="000E7207">
        <w:t>and</w:t>
      </w:r>
      <w:r w:rsidR="000E7207">
        <w:rPr>
          <w:spacing w:val="-4"/>
        </w:rPr>
        <w:t xml:space="preserve"> </w:t>
      </w:r>
      <w:r w:rsidR="000E7207">
        <w:t>guide</w:t>
      </w:r>
      <w:r w:rsidR="000E7207">
        <w:rPr>
          <w:spacing w:val="-4"/>
        </w:rPr>
        <w:t xml:space="preserve"> </w:t>
      </w:r>
      <w:r w:rsidR="000E7207">
        <w:t>the</w:t>
      </w:r>
      <w:r w:rsidR="000E7207">
        <w:rPr>
          <w:spacing w:val="-4"/>
        </w:rPr>
        <w:t xml:space="preserve"> </w:t>
      </w:r>
      <w:r w:rsidR="000E7207">
        <w:t>MTR</w:t>
      </w:r>
      <w:r w:rsidR="000E7207">
        <w:rPr>
          <w:spacing w:val="-4"/>
        </w:rPr>
        <w:t xml:space="preserve"> </w:t>
      </w:r>
      <w:r w:rsidR="000E7207">
        <w:t>process,</w:t>
      </w:r>
      <w:r w:rsidR="000E7207">
        <w:rPr>
          <w:spacing w:val="-4"/>
        </w:rPr>
        <w:t xml:space="preserve"> </w:t>
      </w:r>
      <w:r w:rsidR="000E7207">
        <w:t>review</w:t>
      </w:r>
      <w:r w:rsidR="000E7207">
        <w:rPr>
          <w:spacing w:val="-1"/>
        </w:rPr>
        <w:t xml:space="preserve"> </w:t>
      </w:r>
      <w:r w:rsidR="000E7207">
        <w:t>and</w:t>
      </w:r>
      <w:r w:rsidR="000E7207">
        <w:rPr>
          <w:spacing w:val="-2"/>
        </w:rPr>
        <w:t xml:space="preserve"> </w:t>
      </w:r>
      <w:r w:rsidR="000E7207">
        <w:t>provide feedback on deliverables.</w:t>
      </w:r>
    </w:p>
    <w:p w14:paraId="0C30EE2B" w14:textId="5BE5E59D" w:rsidR="009C36E3" w:rsidRDefault="000E7207" w:rsidP="008D323A">
      <w:pPr>
        <w:pStyle w:val="BodyText"/>
        <w:spacing w:before="480"/>
        <w:rPr>
          <w:sz w:val="18"/>
        </w:rPr>
      </w:pPr>
      <w:bookmarkStart w:id="0" w:name="_bookmark0"/>
      <w:bookmarkEnd w:id="0"/>
      <w:r>
        <w:rPr>
          <w:position w:val="6"/>
          <w:sz w:val="13"/>
        </w:rPr>
        <w:t>1</w:t>
      </w:r>
      <w:r>
        <w:rPr>
          <w:spacing w:val="16"/>
          <w:position w:val="6"/>
          <w:sz w:val="13"/>
        </w:rPr>
        <w:t xml:space="preserve"> </w:t>
      </w:r>
      <w:r>
        <w:rPr>
          <w:sz w:val="18"/>
        </w:rPr>
        <w:t>Phase</w:t>
      </w:r>
      <w:r>
        <w:rPr>
          <w:spacing w:val="-4"/>
          <w:sz w:val="18"/>
        </w:rPr>
        <w:t xml:space="preserve"> </w:t>
      </w:r>
      <w:r>
        <w:rPr>
          <w:sz w:val="18"/>
        </w:rPr>
        <w:t>2</w:t>
      </w:r>
      <w:r>
        <w:rPr>
          <w:spacing w:val="-1"/>
          <w:sz w:val="18"/>
        </w:rPr>
        <w:t xml:space="preserve"> </w:t>
      </w:r>
      <w:r>
        <w:rPr>
          <w:sz w:val="18"/>
        </w:rPr>
        <w:t>maintained</w:t>
      </w:r>
      <w:r>
        <w:rPr>
          <w:spacing w:val="-1"/>
          <w:sz w:val="18"/>
        </w:rPr>
        <w:t xml:space="preserve"> </w:t>
      </w:r>
      <w:r>
        <w:rPr>
          <w:sz w:val="18"/>
        </w:rPr>
        <w:t>the</w:t>
      </w:r>
      <w:r>
        <w:rPr>
          <w:spacing w:val="-1"/>
          <w:sz w:val="18"/>
        </w:rPr>
        <w:t xml:space="preserve"> </w:t>
      </w:r>
      <w:r>
        <w:rPr>
          <w:sz w:val="18"/>
        </w:rPr>
        <w:t>goals</w:t>
      </w:r>
      <w:r>
        <w:rPr>
          <w:spacing w:val="-3"/>
          <w:sz w:val="18"/>
        </w:rPr>
        <w:t xml:space="preserve"> </w:t>
      </w:r>
      <w:r>
        <w:rPr>
          <w:sz w:val="18"/>
        </w:rPr>
        <w:t>and</w:t>
      </w:r>
      <w:r>
        <w:rPr>
          <w:spacing w:val="-1"/>
          <w:sz w:val="18"/>
        </w:rPr>
        <w:t xml:space="preserve"> </w:t>
      </w:r>
      <w:r>
        <w:rPr>
          <w:sz w:val="18"/>
        </w:rPr>
        <w:t>objectives</w:t>
      </w:r>
      <w:r>
        <w:rPr>
          <w:spacing w:val="-1"/>
          <w:sz w:val="18"/>
        </w:rPr>
        <w:t xml:space="preserve"> </w:t>
      </w:r>
      <w:r>
        <w:rPr>
          <w:sz w:val="18"/>
        </w:rPr>
        <w:t>of</w:t>
      </w:r>
      <w:r>
        <w:rPr>
          <w:spacing w:val="-2"/>
          <w:sz w:val="18"/>
        </w:rPr>
        <w:t xml:space="preserve"> </w:t>
      </w:r>
      <w:r>
        <w:rPr>
          <w:sz w:val="18"/>
        </w:rPr>
        <w:t>Phase</w:t>
      </w:r>
      <w:r>
        <w:rPr>
          <w:spacing w:val="-1"/>
          <w:sz w:val="18"/>
        </w:rPr>
        <w:t xml:space="preserve"> </w:t>
      </w:r>
      <w:r>
        <w:rPr>
          <w:sz w:val="18"/>
        </w:rPr>
        <w:t>1</w:t>
      </w:r>
      <w:r>
        <w:rPr>
          <w:spacing w:val="-4"/>
          <w:sz w:val="18"/>
        </w:rPr>
        <w:t xml:space="preserve"> </w:t>
      </w:r>
      <w:r>
        <w:rPr>
          <w:sz w:val="18"/>
        </w:rPr>
        <w:t>but</w:t>
      </w:r>
      <w:r>
        <w:rPr>
          <w:spacing w:val="-4"/>
          <w:sz w:val="18"/>
        </w:rPr>
        <w:t xml:space="preserve"> </w:t>
      </w:r>
      <w:r>
        <w:rPr>
          <w:sz w:val="18"/>
        </w:rPr>
        <w:t>with</w:t>
      </w:r>
      <w:r>
        <w:rPr>
          <w:spacing w:val="-1"/>
          <w:sz w:val="18"/>
        </w:rPr>
        <w:t xml:space="preserve"> </w:t>
      </w:r>
      <w:r>
        <w:rPr>
          <w:sz w:val="18"/>
        </w:rPr>
        <w:t>an</w:t>
      </w:r>
      <w:r>
        <w:rPr>
          <w:spacing w:val="-1"/>
          <w:sz w:val="18"/>
        </w:rPr>
        <w:t xml:space="preserve"> </w:t>
      </w:r>
      <w:r>
        <w:rPr>
          <w:sz w:val="18"/>
        </w:rPr>
        <w:t>additional</w:t>
      </w:r>
      <w:r>
        <w:rPr>
          <w:spacing w:val="-1"/>
          <w:sz w:val="18"/>
        </w:rPr>
        <w:t xml:space="preserve"> </w:t>
      </w:r>
      <w:r>
        <w:rPr>
          <w:sz w:val="18"/>
        </w:rPr>
        <w:t>focus</w:t>
      </w:r>
      <w:r>
        <w:rPr>
          <w:spacing w:val="-3"/>
          <w:sz w:val="18"/>
        </w:rPr>
        <w:t xml:space="preserve"> </w:t>
      </w:r>
      <w:r>
        <w:rPr>
          <w:sz w:val="18"/>
        </w:rPr>
        <w:t>on</w:t>
      </w:r>
      <w:r>
        <w:rPr>
          <w:spacing w:val="-1"/>
          <w:sz w:val="18"/>
        </w:rPr>
        <w:t xml:space="preserve"> </w:t>
      </w:r>
      <w:r>
        <w:rPr>
          <w:sz w:val="18"/>
        </w:rPr>
        <w:t>the</w:t>
      </w:r>
      <w:r>
        <w:rPr>
          <w:spacing w:val="-1"/>
          <w:sz w:val="18"/>
        </w:rPr>
        <w:t xml:space="preserve"> </w:t>
      </w:r>
      <w:r>
        <w:rPr>
          <w:sz w:val="18"/>
        </w:rPr>
        <w:t>maintenance</w:t>
      </w:r>
      <w:r>
        <w:rPr>
          <w:spacing w:val="-1"/>
          <w:sz w:val="18"/>
        </w:rPr>
        <w:t xml:space="preserve"> </w:t>
      </w:r>
      <w:r>
        <w:rPr>
          <w:sz w:val="18"/>
        </w:rPr>
        <w:t>of</w:t>
      </w:r>
      <w:r>
        <w:rPr>
          <w:spacing w:val="-2"/>
          <w:sz w:val="18"/>
        </w:rPr>
        <w:t xml:space="preserve"> </w:t>
      </w:r>
      <w:r>
        <w:rPr>
          <w:sz w:val="18"/>
        </w:rPr>
        <w:t>public</w:t>
      </w:r>
      <w:r>
        <w:rPr>
          <w:spacing w:val="-1"/>
          <w:sz w:val="18"/>
        </w:rPr>
        <w:t xml:space="preserve"> </w:t>
      </w:r>
      <w:r>
        <w:rPr>
          <w:sz w:val="18"/>
        </w:rPr>
        <w:t>security</w:t>
      </w:r>
      <w:r>
        <w:rPr>
          <w:spacing w:val="-1"/>
          <w:sz w:val="18"/>
        </w:rPr>
        <w:t xml:space="preserve"> </w:t>
      </w:r>
      <w:r>
        <w:rPr>
          <w:sz w:val="18"/>
        </w:rPr>
        <w:t>and the rule of law.</w:t>
      </w:r>
    </w:p>
    <w:p w14:paraId="4C2DA536" w14:textId="77777777" w:rsidR="009C36E3" w:rsidRDefault="000E7207">
      <w:pPr>
        <w:spacing w:before="121"/>
        <w:ind w:left="772"/>
        <w:rPr>
          <w:sz w:val="18"/>
        </w:rPr>
      </w:pPr>
      <w:bookmarkStart w:id="1" w:name="_bookmark1"/>
      <w:bookmarkEnd w:id="1"/>
      <w:r>
        <w:rPr>
          <w:position w:val="6"/>
          <w:sz w:val="13"/>
        </w:rPr>
        <w:t>2</w:t>
      </w:r>
      <w:r>
        <w:rPr>
          <w:spacing w:val="16"/>
          <w:position w:val="6"/>
          <w:sz w:val="13"/>
        </w:rPr>
        <w:t xml:space="preserve"> </w:t>
      </w:r>
      <w:r>
        <w:rPr>
          <w:sz w:val="18"/>
        </w:rPr>
        <w:t>VPF</w:t>
      </w:r>
      <w:r>
        <w:rPr>
          <w:spacing w:val="-1"/>
          <w:sz w:val="18"/>
        </w:rPr>
        <w:t xml:space="preserve"> </w:t>
      </w:r>
      <w:r>
        <w:rPr>
          <w:sz w:val="18"/>
        </w:rPr>
        <w:t>returned to</w:t>
      </w:r>
      <w:r>
        <w:rPr>
          <w:spacing w:val="-2"/>
          <w:sz w:val="18"/>
        </w:rPr>
        <w:t xml:space="preserve"> </w:t>
      </w:r>
      <w:r>
        <w:rPr>
          <w:sz w:val="18"/>
        </w:rPr>
        <w:t>the</w:t>
      </w:r>
      <w:r>
        <w:rPr>
          <w:spacing w:val="-3"/>
          <w:sz w:val="18"/>
        </w:rPr>
        <w:t xml:space="preserve"> </w:t>
      </w:r>
      <w:r>
        <w:rPr>
          <w:sz w:val="18"/>
        </w:rPr>
        <w:t>MoIA</w:t>
      </w:r>
      <w:r>
        <w:rPr>
          <w:spacing w:val="-3"/>
          <w:sz w:val="18"/>
        </w:rPr>
        <w:t xml:space="preserve"> </w:t>
      </w:r>
      <w:r>
        <w:rPr>
          <w:sz w:val="18"/>
        </w:rPr>
        <w:t>portfolio on</w:t>
      </w:r>
      <w:r>
        <w:rPr>
          <w:spacing w:val="-3"/>
          <w:sz w:val="18"/>
        </w:rPr>
        <w:t xml:space="preserve"> </w:t>
      </w:r>
      <w:r>
        <w:rPr>
          <w:sz w:val="18"/>
        </w:rPr>
        <w:t>24</w:t>
      </w:r>
      <w:r>
        <w:rPr>
          <w:spacing w:val="-3"/>
          <w:sz w:val="18"/>
        </w:rPr>
        <w:t xml:space="preserve"> </w:t>
      </w:r>
      <w:r>
        <w:rPr>
          <w:sz w:val="18"/>
        </w:rPr>
        <w:t>January</w:t>
      </w:r>
      <w:r>
        <w:rPr>
          <w:spacing w:val="-2"/>
          <w:sz w:val="18"/>
        </w:rPr>
        <w:t xml:space="preserve"> </w:t>
      </w:r>
      <w:r>
        <w:rPr>
          <w:spacing w:val="-4"/>
          <w:sz w:val="18"/>
        </w:rPr>
        <w:t>2024</w:t>
      </w:r>
    </w:p>
    <w:p w14:paraId="0E27EE4C" w14:textId="77777777" w:rsidR="009C36E3" w:rsidRDefault="009C36E3">
      <w:pPr>
        <w:rPr>
          <w:sz w:val="18"/>
        </w:rPr>
        <w:sectPr w:rsidR="009C36E3">
          <w:headerReference w:type="default" r:id="rId13"/>
          <w:footerReference w:type="default" r:id="rId14"/>
          <w:pgSz w:w="11910" w:h="16850"/>
          <w:pgMar w:top="1040" w:right="740" w:bottom="740" w:left="80" w:header="552" w:footer="559" w:gutter="0"/>
          <w:pgNumType w:start="1"/>
          <w:cols w:space="720"/>
        </w:sectPr>
      </w:pPr>
    </w:p>
    <w:p w14:paraId="2CED9FBE" w14:textId="0FC43842" w:rsidR="009C36E3" w:rsidRDefault="000E7207" w:rsidP="005B32CE">
      <w:pPr>
        <w:pStyle w:val="Heading7"/>
        <w:tabs>
          <w:tab w:val="left" w:pos="879"/>
        </w:tabs>
        <w:spacing w:before="157"/>
        <w:ind w:left="879"/>
      </w:pPr>
      <w:r>
        <w:t>Highlights</w:t>
      </w:r>
      <w:r>
        <w:rPr>
          <w:spacing w:val="-7"/>
        </w:rPr>
        <w:t xml:space="preserve"> </w:t>
      </w:r>
      <w:r>
        <w:t>–</w:t>
      </w:r>
      <w:r>
        <w:rPr>
          <w:spacing w:val="-6"/>
        </w:rPr>
        <w:t xml:space="preserve"> </w:t>
      </w:r>
      <w:r>
        <w:t>key</w:t>
      </w:r>
      <w:r>
        <w:rPr>
          <w:spacing w:val="-5"/>
        </w:rPr>
        <w:t xml:space="preserve"> </w:t>
      </w:r>
      <w:r>
        <w:rPr>
          <w:spacing w:val="-2"/>
        </w:rPr>
        <w:t>achievements</w:t>
      </w:r>
    </w:p>
    <w:p w14:paraId="33161677" w14:textId="77777777" w:rsidR="009C36E3" w:rsidRDefault="000E7207">
      <w:pPr>
        <w:pStyle w:val="ListParagraph"/>
        <w:numPr>
          <w:ilvl w:val="1"/>
          <w:numId w:val="34"/>
        </w:numPr>
        <w:tabs>
          <w:tab w:val="left" w:pos="1237"/>
        </w:tabs>
        <w:spacing w:before="12"/>
        <w:ind w:right="953"/>
        <w:rPr>
          <w:sz w:val="20"/>
        </w:rPr>
      </w:pPr>
      <w:r>
        <w:rPr>
          <w:sz w:val="20"/>
        </w:rPr>
        <w:t>Flexible,</w:t>
      </w:r>
      <w:r>
        <w:rPr>
          <w:spacing w:val="-4"/>
          <w:sz w:val="20"/>
        </w:rPr>
        <w:t xml:space="preserve"> </w:t>
      </w:r>
      <w:r>
        <w:rPr>
          <w:sz w:val="20"/>
        </w:rPr>
        <w:t>responsive</w:t>
      </w:r>
      <w:r>
        <w:rPr>
          <w:spacing w:val="-4"/>
          <w:sz w:val="20"/>
        </w:rPr>
        <w:t xml:space="preserve"> </w:t>
      </w:r>
      <w:r>
        <w:rPr>
          <w:sz w:val="20"/>
        </w:rPr>
        <w:t>program</w:t>
      </w:r>
      <w:r>
        <w:rPr>
          <w:spacing w:val="-4"/>
          <w:sz w:val="20"/>
        </w:rPr>
        <w:t xml:space="preserve"> </w:t>
      </w:r>
      <w:r>
        <w:rPr>
          <w:sz w:val="20"/>
        </w:rPr>
        <w:t>management</w:t>
      </w:r>
      <w:r>
        <w:rPr>
          <w:spacing w:val="-2"/>
          <w:sz w:val="20"/>
        </w:rPr>
        <w:t xml:space="preserve"> </w:t>
      </w:r>
      <w:r>
        <w:rPr>
          <w:sz w:val="20"/>
        </w:rPr>
        <w:t>enables</w:t>
      </w:r>
      <w:r>
        <w:rPr>
          <w:spacing w:val="-1"/>
          <w:sz w:val="20"/>
        </w:rPr>
        <w:t xml:space="preserve"> </w:t>
      </w:r>
      <w:r>
        <w:rPr>
          <w:sz w:val="20"/>
        </w:rPr>
        <w:t>adaptation</w:t>
      </w:r>
      <w:r>
        <w:rPr>
          <w:spacing w:val="-4"/>
          <w:sz w:val="20"/>
        </w:rPr>
        <w:t xml:space="preserve"> </w:t>
      </w:r>
      <w:r>
        <w:rPr>
          <w:sz w:val="20"/>
        </w:rPr>
        <w:t>and</w:t>
      </w:r>
      <w:r>
        <w:rPr>
          <w:spacing w:val="-4"/>
          <w:sz w:val="20"/>
        </w:rPr>
        <w:t xml:space="preserve"> </w:t>
      </w:r>
      <w:r>
        <w:rPr>
          <w:sz w:val="20"/>
        </w:rPr>
        <w:t>continuity</w:t>
      </w:r>
      <w:r>
        <w:rPr>
          <w:spacing w:val="-1"/>
          <w:sz w:val="20"/>
        </w:rPr>
        <w:t xml:space="preserve"> </w:t>
      </w:r>
      <w:r>
        <w:rPr>
          <w:sz w:val="20"/>
        </w:rPr>
        <w:t>in</w:t>
      </w:r>
      <w:r>
        <w:rPr>
          <w:spacing w:val="-4"/>
          <w:sz w:val="20"/>
        </w:rPr>
        <w:t xml:space="preserve"> </w:t>
      </w:r>
      <w:r>
        <w:rPr>
          <w:sz w:val="20"/>
        </w:rPr>
        <w:t>the</w:t>
      </w:r>
      <w:r>
        <w:rPr>
          <w:spacing w:val="-4"/>
          <w:sz w:val="20"/>
        </w:rPr>
        <w:t xml:space="preserve"> </w:t>
      </w:r>
      <w:r>
        <w:rPr>
          <w:sz w:val="20"/>
        </w:rPr>
        <w:t>face</w:t>
      </w:r>
      <w:r>
        <w:rPr>
          <w:spacing w:val="-2"/>
          <w:sz w:val="20"/>
        </w:rPr>
        <w:t xml:space="preserve"> </w:t>
      </w:r>
      <w:r>
        <w:rPr>
          <w:sz w:val="20"/>
        </w:rPr>
        <w:t>of</w:t>
      </w:r>
      <w:r>
        <w:rPr>
          <w:spacing w:val="-4"/>
          <w:sz w:val="20"/>
        </w:rPr>
        <w:t xml:space="preserve"> </w:t>
      </w:r>
      <w:r>
        <w:rPr>
          <w:sz w:val="20"/>
        </w:rPr>
        <w:t>changing sectoral leadership and emergencies</w:t>
      </w:r>
    </w:p>
    <w:p w14:paraId="71688FEB" w14:textId="77777777" w:rsidR="009C36E3" w:rsidRDefault="000E7207">
      <w:pPr>
        <w:pStyle w:val="ListParagraph"/>
        <w:numPr>
          <w:ilvl w:val="1"/>
          <w:numId w:val="34"/>
        </w:numPr>
        <w:tabs>
          <w:tab w:val="left" w:pos="1237"/>
        </w:tabs>
        <w:spacing w:before="1" w:line="244" w:lineRule="exact"/>
        <w:ind w:hanging="357"/>
        <w:rPr>
          <w:sz w:val="20"/>
        </w:rPr>
      </w:pPr>
      <w:r>
        <w:rPr>
          <w:sz w:val="20"/>
        </w:rPr>
        <w:t>Continuity</w:t>
      </w:r>
      <w:r>
        <w:rPr>
          <w:spacing w:val="-8"/>
          <w:sz w:val="20"/>
        </w:rPr>
        <w:t xml:space="preserve"> </w:t>
      </w:r>
      <w:r>
        <w:rPr>
          <w:sz w:val="20"/>
        </w:rPr>
        <w:t>of</w:t>
      </w:r>
      <w:r>
        <w:rPr>
          <w:spacing w:val="-8"/>
          <w:sz w:val="20"/>
        </w:rPr>
        <w:t xml:space="preserve"> </w:t>
      </w:r>
      <w:r>
        <w:rPr>
          <w:sz w:val="20"/>
        </w:rPr>
        <w:t>justice</w:t>
      </w:r>
      <w:r>
        <w:rPr>
          <w:spacing w:val="-8"/>
          <w:sz w:val="20"/>
        </w:rPr>
        <w:t xml:space="preserve"> </w:t>
      </w:r>
      <w:r>
        <w:rPr>
          <w:sz w:val="20"/>
        </w:rPr>
        <w:t>and</w:t>
      </w:r>
      <w:r>
        <w:rPr>
          <w:spacing w:val="-9"/>
          <w:sz w:val="20"/>
        </w:rPr>
        <w:t xml:space="preserve"> </w:t>
      </w:r>
      <w:r>
        <w:rPr>
          <w:sz w:val="20"/>
        </w:rPr>
        <w:t>policing</w:t>
      </w:r>
      <w:r>
        <w:rPr>
          <w:spacing w:val="-6"/>
          <w:sz w:val="20"/>
        </w:rPr>
        <w:t xml:space="preserve"> </w:t>
      </w:r>
      <w:r>
        <w:rPr>
          <w:sz w:val="20"/>
        </w:rPr>
        <w:t>services</w:t>
      </w:r>
      <w:r>
        <w:rPr>
          <w:spacing w:val="-7"/>
          <w:sz w:val="20"/>
        </w:rPr>
        <w:t xml:space="preserve"> </w:t>
      </w:r>
      <w:r>
        <w:rPr>
          <w:sz w:val="20"/>
        </w:rPr>
        <w:t>through</w:t>
      </w:r>
      <w:r>
        <w:rPr>
          <w:spacing w:val="-7"/>
          <w:sz w:val="20"/>
        </w:rPr>
        <w:t xml:space="preserve"> </w:t>
      </w:r>
      <w:r>
        <w:rPr>
          <w:sz w:val="20"/>
        </w:rPr>
        <w:t>effective</w:t>
      </w:r>
      <w:r>
        <w:rPr>
          <w:spacing w:val="-8"/>
          <w:sz w:val="20"/>
        </w:rPr>
        <w:t xml:space="preserve"> </w:t>
      </w:r>
      <w:r>
        <w:rPr>
          <w:sz w:val="20"/>
        </w:rPr>
        <w:t>disaster</w:t>
      </w:r>
      <w:r>
        <w:rPr>
          <w:spacing w:val="-7"/>
          <w:sz w:val="20"/>
        </w:rPr>
        <w:t xml:space="preserve"> </w:t>
      </w:r>
      <w:r>
        <w:rPr>
          <w:spacing w:val="-2"/>
          <w:sz w:val="20"/>
        </w:rPr>
        <w:t>response</w:t>
      </w:r>
    </w:p>
    <w:p w14:paraId="53662F85" w14:textId="77777777" w:rsidR="009C36E3" w:rsidRDefault="000E7207">
      <w:pPr>
        <w:pStyle w:val="ListParagraph"/>
        <w:numPr>
          <w:ilvl w:val="1"/>
          <w:numId w:val="34"/>
        </w:numPr>
        <w:tabs>
          <w:tab w:val="left" w:pos="1237"/>
        </w:tabs>
        <w:spacing w:before="2" w:line="235" w:lineRule="auto"/>
        <w:ind w:right="1178"/>
        <w:rPr>
          <w:sz w:val="20"/>
        </w:rPr>
      </w:pPr>
      <w:r>
        <w:rPr>
          <w:sz w:val="20"/>
        </w:rPr>
        <w:t>Increased</w:t>
      </w:r>
      <w:r>
        <w:rPr>
          <w:spacing w:val="-5"/>
          <w:sz w:val="20"/>
        </w:rPr>
        <w:t xml:space="preserve"> </w:t>
      </w:r>
      <w:r>
        <w:rPr>
          <w:sz w:val="20"/>
        </w:rPr>
        <w:t>capacity</w:t>
      </w:r>
      <w:r>
        <w:rPr>
          <w:spacing w:val="-4"/>
          <w:sz w:val="20"/>
        </w:rPr>
        <w:t xml:space="preserve"> </w:t>
      </w:r>
      <w:r>
        <w:rPr>
          <w:sz w:val="20"/>
        </w:rPr>
        <w:t>and</w:t>
      </w:r>
      <w:r>
        <w:rPr>
          <w:spacing w:val="-3"/>
          <w:sz w:val="20"/>
        </w:rPr>
        <w:t xml:space="preserve"> </w:t>
      </w:r>
      <w:r>
        <w:rPr>
          <w:sz w:val="20"/>
        </w:rPr>
        <w:t>leadership</w:t>
      </w:r>
      <w:r>
        <w:rPr>
          <w:spacing w:val="-3"/>
          <w:sz w:val="20"/>
        </w:rPr>
        <w:t xml:space="preserve"> </w:t>
      </w:r>
      <w:r>
        <w:rPr>
          <w:sz w:val="20"/>
        </w:rPr>
        <w:t>opportunities</w:t>
      </w:r>
      <w:r>
        <w:rPr>
          <w:spacing w:val="-4"/>
          <w:sz w:val="20"/>
        </w:rPr>
        <w:t xml:space="preserve"> </w:t>
      </w:r>
      <w:r>
        <w:rPr>
          <w:sz w:val="20"/>
        </w:rPr>
        <w:t>for</w:t>
      </w:r>
      <w:r>
        <w:rPr>
          <w:spacing w:val="-4"/>
          <w:sz w:val="20"/>
        </w:rPr>
        <w:t xml:space="preserve"> </w:t>
      </w:r>
      <w:r>
        <w:rPr>
          <w:sz w:val="20"/>
        </w:rPr>
        <w:t>justice</w:t>
      </w:r>
      <w:r>
        <w:rPr>
          <w:spacing w:val="-5"/>
          <w:sz w:val="20"/>
        </w:rPr>
        <w:t xml:space="preserve"> </w:t>
      </w:r>
      <w:r>
        <w:rPr>
          <w:sz w:val="20"/>
        </w:rPr>
        <w:t>agency</w:t>
      </w:r>
      <w:r>
        <w:rPr>
          <w:spacing w:val="-4"/>
          <w:sz w:val="20"/>
        </w:rPr>
        <w:t xml:space="preserve"> </w:t>
      </w:r>
      <w:r>
        <w:rPr>
          <w:sz w:val="20"/>
        </w:rPr>
        <w:t>staff,</w:t>
      </w:r>
      <w:r>
        <w:rPr>
          <w:spacing w:val="-3"/>
          <w:sz w:val="20"/>
        </w:rPr>
        <w:t xml:space="preserve"> </w:t>
      </w:r>
      <w:r>
        <w:rPr>
          <w:sz w:val="20"/>
        </w:rPr>
        <w:t>including</w:t>
      </w:r>
      <w:r>
        <w:rPr>
          <w:spacing w:val="-3"/>
          <w:sz w:val="20"/>
        </w:rPr>
        <w:t xml:space="preserve"> </w:t>
      </w:r>
      <w:r>
        <w:rPr>
          <w:sz w:val="20"/>
        </w:rPr>
        <w:t>women,</w:t>
      </w:r>
      <w:r>
        <w:rPr>
          <w:spacing w:val="-5"/>
          <w:sz w:val="20"/>
        </w:rPr>
        <w:t xml:space="preserve"> </w:t>
      </w:r>
      <w:r>
        <w:rPr>
          <w:sz w:val="20"/>
        </w:rPr>
        <w:t>through mentoring, the Criminal Law Conference and access to opportunities for promotion</w:t>
      </w:r>
    </w:p>
    <w:p w14:paraId="1239D29E" w14:textId="77777777" w:rsidR="009C36E3" w:rsidRDefault="000E7207">
      <w:pPr>
        <w:pStyle w:val="ListParagraph"/>
        <w:numPr>
          <w:ilvl w:val="1"/>
          <w:numId w:val="34"/>
        </w:numPr>
        <w:tabs>
          <w:tab w:val="left" w:pos="1237"/>
        </w:tabs>
        <w:spacing w:before="3"/>
        <w:ind w:right="1036"/>
        <w:rPr>
          <w:sz w:val="20"/>
        </w:rPr>
      </w:pPr>
      <w:r>
        <w:rPr>
          <w:sz w:val="20"/>
        </w:rPr>
        <w:t>Increased</w:t>
      </w:r>
      <w:r>
        <w:rPr>
          <w:spacing w:val="-5"/>
          <w:sz w:val="20"/>
        </w:rPr>
        <w:t xml:space="preserve"> </w:t>
      </w:r>
      <w:r>
        <w:rPr>
          <w:sz w:val="20"/>
        </w:rPr>
        <w:t>recognition</w:t>
      </w:r>
      <w:r>
        <w:rPr>
          <w:spacing w:val="-5"/>
          <w:sz w:val="20"/>
        </w:rPr>
        <w:t xml:space="preserve"> </w:t>
      </w:r>
      <w:r>
        <w:rPr>
          <w:sz w:val="20"/>
        </w:rPr>
        <w:t>and</w:t>
      </w:r>
      <w:r>
        <w:rPr>
          <w:spacing w:val="-3"/>
          <w:sz w:val="20"/>
        </w:rPr>
        <w:t xml:space="preserve"> </w:t>
      </w:r>
      <w:r>
        <w:rPr>
          <w:sz w:val="20"/>
        </w:rPr>
        <w:t>support</w:t>
      </w:r>
      <w:r>
        <w:rPr>
          <w:spacing w:val="-5"/>
          <w:sz w:val="20"/>
        </w:rPr>
        <w:t xml:space="preserve"> </w:t>
      </w:r>
      <w:r>
        <w:rPr>
          <w:sz w:val="20"/>
        </w:rPr>
        <w:t>for</w:t>
      </w:r>
      <w:r>
        <w:rPr>
          <w:spacing w:val="-4"/>
          <w:sz w:val="20"/>
        </w:rPr>
        <w:t xml:space="preserve"> </w:t>
      </w:r>
      <w:r>
        <w:rPr>
          <w:sz w:val="20"/>
        </w:rPr>
        <w:t>women</w:t>
      </w:r>
      <w:r>
        <w:rPr>
          <w:spacing w:val="-3"/>
          <w:sz w:val="20"/>
        </w:rPr>
        <w:t xml:space="preserve"> </w:t>
      </w:r>
      <w:r>
        <w:rPr>
          <w:sz w:val="20"/>
        </w:rPr>
        <w:t>police</w:t>
      </w:r>
      <w:r>
        <w:rPr>
          <w:spacing w:val="-5"/>
          <w:sz w:val="20"/>
        </w:rPr>
        <w:t xml:space="preserve"> </w:t>
      </w:r>
      <w:r>
        <w:rPr>
          <w:sz w:val="20"/>
        </w:rPr>
        <w:t>through</w:t>
      </w:r>
      <w:r>
        <w:rPr>
          <w:spacing w:val="-5"/>
          <w:sz w:val="20"/>
        </w:rPr>
        <w:t xml:space="preserve"> </w:t>
      </w:r>
      <w:r>
        <w:rPr>
          <w:sz w:val="20"/>
        </w:rPr>
        <w:t>the</w:t>
      </w:r>
      <w:r>
        <w:rPr>
          <w:spacing w:val="-5"/>
          <w:sz w:val="20"/>
        </w:rPr>
        <w:t xml:space="preserve"> </w:t>
      </w:r>
      <w:r>
        <w:rPr>
          <w:sz w:val="20"/>
        </w:rPr>
        <w:t>Women’s</w:t>
      </w:r>
      <w:r>
        <w:rPr>
          <w:spacing w:val="-1"/>
          <w:sz w:val="20"/>
        </w:rPr>
        <w:t xml:space="preserve"> </w:t>
      </w:r>
      <w:r>
        <w:rPr>
          <w:sz w:val="20"/>
        </w:rPr>
        <w:t>Advisory</w:t>
      </w:r>
      <w:r>
        <w:rPr>
          <w:spacing w:val="-4"/>
          <w:sz w:val="20"/>
        </w:rPr>
        <w:t xml:space="preserve"> </w:t>
      </w:r>
      <w:r>
        <w:rPr>
          <w:sz w:val="20"/>
        </w:rPr>
        <w:t>Network</w:t>
      </w:r>
      <w:r>
        <w:rPr>
          <w:spacing w:val="-4"/>
          <w:sz w:val="20"/>
        </w:rPr>
        <w:t xml:space="preserve"> </w:t>
      </w:r>
      <w:r>
        <w:rPr>
          <w:sz w:val="20"/>
        </w:rPr>
        <w:t>(WAN) activities and the WAN conference</w:t>
      </w:r>
    </w:p>
    <w:p w14:paraId="4F51ADF2" w14:textId="77777777" w:rsidR="009C36E3" w:rsidRDefault="000E7207">
      <w:pPr>
        <w:pStyle w:val="ListParagraph"/>
        <w:numPr>
          <w:ilvl w:val="1"/>
          <w:numId w:val="34"/>
        </w:numPr>
        <w:tabs>
          <w:tab w:val="left" w:pos="1237"/>
        </w:tabs>
        <w:spacing w:before="1" w:line="244" w:lineRule="exact"/>
        <w:ind w:hanging="357"/>
        <w:rPr>
          <w:sz w:val="20"/>
        </w:rPr>
      </w:pPr>
      <w:r>
        <w:rPr>
          <w:sz w:val="20"/>
        </w:rPr>
        <w:t>Strong</w:t>
      </w:r>
      <w:r>
        <w:rPr>
          <w:spacing w:val="-8"/>
          <w:sz w:val="20"/>
        </w:rPr>
        <w:t xml:space="preserve"> </w:t>
      </w:r>
      <w:r>
        <w:rPr>
          <w:sz w:val="20"/>
        </w:rPr>
        <w:t>relationships</w:t>
      </w:r>
      <w:r>
        <w:rPr>
          <w:spacing w:val="-7"/>
          <w:sz w:val="20"/>
        </w:rPr>
        <w:t xml:space="preserve"> </w:t>
      </w:r>
      <w:r>
        <w:rPr>
          <w:sz w:val="20"/>
        </w:rPr>
        <w:t>between</w:t>
      </w:r>
      <w:r>
        <w:rPr>
          <w:spacing w:val="-7"/>
          <w:sz w:val="20"/>
        </w:rPr>
        <w:t xml:space="preserve"> </w:t>
      </w:r>
      <w:r>
        <w:rPr>
          <w:sz w:val="20"/>
        </w:rPr>
        <w:t>VAPJP</w:t>
      </w:r>
      <w:r>
        <w:rPr>
          <w:spacing w:val="-9"/>
          <w:sz w:val="20"/>
        </w:rPr>
        <w:t xml:space="preserve"> </w:t>
      </w:r>
      <w:r>
        <w:rPr>
          <w:sz w:val="20"/>
        </w:rPr>
        <w:t>advisers</w:t>
      </w:r>
      <w:r>
        <w:rPr>
          <w:spacing w:val="-7"/>
          <w:sz w:val="20"/>
        </w:rPr>
        <w:t xml:space="preserve"> </w:t>
      </w:r>
      <w:r>
        <w:rPr>
          <w:sz w:val="20"/>
        </w:rPr>
        <w:t>and</w:t>
      </w:r>
      <w:r>
        <w:rPr>
          <w:spacing w:val="-7"/>
          <w:sz w:val="20"/>
        </w:rPr>
        <w:t xml:space="preserve"> </w:t>
      </w:r>
      <w:r>
        <w:rPr>
          <w:sz w:val="20"/>
        </w:rPr>
        <w:t>their</w:t>
      </w:r>
      <w:r>
        <w:rPr>
          <w:spacing w:val="-7"/>
          <w:sz w:val="20"/>
        </w:rPr>
        <w:t xml:space="preserve"> </w:t>
      </w:r>
      <w:r>
        <w:rPr>
          <w:sz w:val="20"/>
        </w:rPr>
        <w:t>counterparts,</w:t>
      </w:r>
      <w:r>
        <w:rPr>
          <w:spacing w:val="-8"/>
          <w:sz w:val="20"/>
        </w:rPr>
        <w:t xml:space="preserve"> </w:t>
      </w:r>
      <w:r>
        <w:rPr>
          <w:sz w:val="20"/>
        </w:rPr>
        <w:t>and</w:t>
      </w:r>
      <w:r>
        <w:rPr>
          <w:spacing w:val="-5"/>
          <w:sz w:val="20"/>
        </w:rPr>
        <w:t xml:space="preserve"> </w:t>
      </w:r>
      <w:r>
        <w:rPr>
          <w:sz w:val="20"/>
        </w:rPr>
        <w:t>advisers</w:t>
      </w:r>
      <w:r>
        <w:rPr>
          <w:spacing w:val="-7"/>
          <w:sz w:val="20"/>
        </w:rPr>
        <w:t xml:space="preserve"> </w:t>
      </w:r>
      <w:r>
        <w:rPr>
          <w:sz w:val="20"/>
        </w:rPr>
        <w:t>and</w:t>
      </w:r>
      <w:r>
        <w:rPr>
          <w:spacing w:val="-8"/>
          <w:sz w:val="20"/>
        </w:rPr>
        <w:t xml:space="preserve"> </w:t>
      </w:r>
      <w:r>
        <w:rPr>
          <w:sz w:val="20"/>
        </w:rPr>
        <w:t>other</w:t>
      </w:r>
      <w:r>
        <w:rPr>
          <w:spacing w:val="-7"/>
          <w:sz w:val="20"/>
        </w:rPr>
        <w:t xml:space="preserve"> </w:t>
      </w:r>
      <w:r>
        <w:rPr>
          <w:spacing w:val="-2"/>
          <w:sz w:val="20"/>
        </w:rPr>
        <w:t>stakeholders</w:t>
      </w:r>
    </w:p>
    <w:p w14:paraId="0B8AFFBF" w14:textId="77777777" w:rsidR="009C36E3" w:rsidRDefault="000E7207">
      <w:pPr>
        <w:pStyle w:val="ListParagraph"/>
        <w:numPr>
          <w:ilvl w:val="1"/>
          <w:numId w:val="34"/>
        </w:numPr>
        <w:tabs>
          <w:tab w:val="left" w:pos="1237"/>
        </w:tabs>
        <w:spacing w:before="2" w:line="235" w:lineRule="auto"/>
        <w:ind w:right="343"/>
        <w:rPr>
          <w:sz w:val="20"/>
        </w:rPr>
      </w:pPr>
      <w:r>
        <w:rPr>
          <w:sz w:val="20"/>
        </w:rPr>
        <w:t>Having</w:t>
      </w:r>
      <w:r>
        <w:rPr>
          <w:spacing w:val="-2"/>
          <w:sz w:val="20"/>
        </w:rPr>
        <w:t xml:space="preserve"> </w:t>
      </w:r>
      <w:r>
        <w:rPr>
          <w:sz w:val="20"/>
        </w:rPr>
        <w:t>the</w:t>
      </w:r>
      <w:r>
        <w:rPr>
          <w:spacing w:val="-2"/>
          <w:sz w:val="20"/>
        </w:rPr>
        <w:t xml:space="preserve"> </w:t>
      </w:r>
      <w:r>
        <w:rPr>
          <w:sz w:val="20"/>
        </w:rPr>
        <w:t>first</w:t>
      </w:r>
      <w:r>
        <w:rPr>
          <w:spacing w:val="-4"/>
          <w:sz w:val="20"/>
        </w:rPr>
        <w:t xml:space="preserve"> </w:t>
      </w:r>
      <w:r>
        <w:rPr>
          <w:sz w:val="20"/>
        </w:rPr>
        <w:t>female</w:t>
      </w:r>
      <w:r>
        <w:rPr>
          <w:spacing w:val="-2"/>
          <w:sz w:val="20"/>
        </w:rPr>
        <w:t xml:space="preserve"> </w:t>
      </w:r>
      <w:r>
        <w:rPr>
          <w:sz w:val="20"/>
        </w:rPr>
        <w:t>in</w:t>
      </w:r>
      <w:r>
        <w:rPr>
          <w:spacing w:val="-4"/>
          <w:sz w:val="20"/>
        </w:rPr>
        <w:t xml:space="preserve"> </w:t>
      </w:r>
      <w:r>
        <w:rPr>
          <w:sz w:val="20"/>
        </w:rPr>
        <w:t>the</w:t>
      </w:r>
      <w:r>
        <w:rPr>
          <w:spacing w:val="-4"/>
          <w:sz w:val="20"/>
        </w:rPr>
        <w:t xml:space="preserve"> </w:t>
      </w:r>
      <w:r>
        <w:rPr>
          <w:sz w:val="20"/>
        </w:rPr>
        <w:t>position</w:t>
      </w:r>
      <w:r>
        <w:rPr>
          <w:spacing w:val="-4"/>
          <w:sz w:val="20"/>
        </w:rPr>
        <w:t xml:space="preserve"> </w:t>
      </w:r>
      <w:r>
        <w:rPr>
          <w:sz w:val="20"/>
        </w:rPr>
        <w:t>of</w:t>
      </w:r>
      <w:r>
        <w:rPr>
          <w:spacing w:val="-2"/>
          <w:sz w:val="20"/>
        </w:rPr>
        <w:t xml:space="preserve"> </w:t>
      </w:r>
      <w:r>
        <w:rPr>
          <w:sz w:val="20"/>
        </w:rPr>
        <w:t>PC</w:t>
      </w:r>
      <w:r>
        <w:rPr>
          <w:spacing w:val="-4"/>
          <w:sz w:val="20"/>
        </w:rPr>
        <w:t xml:space="preserve"> </w:t>
      </w:r>
      <w:r>
        <w:rPr>
          <w:sz w:val="20"/>
        </w:rPr>
        <w:t>(Policing)</w:t>
      </w:r>
      <w:r>
        <w:rPr>
          <w:spacing w:val="-1"/>
          <w:sz w:val="20"/>
        </w:rPr>
        <w:t xml:space="preserve"> </w:t>
      </w:r>
      <w:r>
        <w:rPr>
          <w:sz w:val="20"/>
        </w:rPr>
        <w:t>has</w:t>
      </w:r>
      <w:r>
        <w:rPr>
          <w:spacing w:val="-3"/>
          <w:sz w:val="20"/>
        </w:rPr>
        <w:t xml:space="preserve"> </w:t>
      </w:r>
      <w:r>
        <w:rPr>
          <w:sz w:val="20"/>
        </w:rPr>
        <w:t>provided</w:t>
      </w:r>
      <w:r>
        <w:rPr>
          <w:spacing w:val="-2"/>
          <w:sz w:val="20"/>
        </w:rPr>
        <w:t xml:space="preserve"> </w:t>
      </w:r>
      <w:r>
        <w:rPr>
          <w:sz w:val="20"/>
        </w:rPr>
        <w:t>important</w:t>
      </w:r>
      <w:r>
        <w:rPr>
          <w:spacing w:val="-4"/>
          <w:sz w:val="20"/>
        </w:rPr>
        <w:t xml:space="preserve"> </w:t>
      </w:r>
      <w:r>
        <w:rPr>
          <w:sz w:val="20"/>
        </w:rPr>
        <w:t>role</w:t>
      </w:r>
      <w:r>
        <w:rPr>
          <w:spacing w:val="-2"/>
          <w:sz w:val="20"/>
        </w:rPr>
        <w:t xml:space="preserve"> </w:t>
      </w:r>
      <w:r>
        <w:rPr>
          <w:sz w:val="20"/>
        </w:rPr>
        <w:t>modelling</w:t>
      </w:r>
      <w:r>
        <w:rPr>
          <w:spacing w:val="-4"/>
          <w:sz w:val="20"/>
        </w:rPr>
        <w:t xml:space="preserve"> </w:t>
      </w:r>
      <w:r>
        <w:rPr>
          <w:sz w:val="20"/>
        </w:rPr>
        <w:t>for</w:t>
      </w:r>
      <w:r>
        <w:rPr>
          <w:spacing w:val="-3"/>
          <w:sz w:val="20"/>
        </w:rPr>
        <w:t xml:space="preserve"> </w:t>
      </w:r>
      <w:r>
        <w:rPr>
          <w:sz w:val="20"/>
        </w:rPr>
        <w:t>both</w:t>
      </w:r>
      <w:r>
        <w:rPr>
          <w:spacing w:val="-4"/>
          <w:sz w:val="20"/>
        </w:rPr>
        <w:t xml:space="preserve"> </w:t>
      </w:r>
      <w:r>
        <w:rPr>
          <w:sz w:val="20"/>
        </w:rPr>
        <w:t>female and male VPF, with WAN members reporting that seeing her in that role was very empowering</w:t>
      </w:r>
    </w:p>
    <w:p w14:paraId="6E820C43" w14:textId="77777777" w:rsidR="009C36E3" w:rsidRDefault="000E7207">
      <w:pPr>
        <w:pStyle w:val="ListParagraph"/>
        <w:numPr>
          <w:ilvl w:val="1"/>
          <w:numId w:val="34"/>
        </w:numPr>
        <w:tabs>
          <w:tab w:val="left" w:pos="1237"/>
        </w:tabs>
        <w:spacing w:before="4"/>
        <w:ind w:right="931"/>
        <w:rPr>
          <w:sz w:val="20"/>
        </w:rPr>
      </w:pPr>
      <w:r>
        <w:rPr>
          <w:sz w:val="20"/>
        </w:rPr>
        <w:t>Increased</w:t>
      </w:r>
      <w:r>
        <w:rPr>
          <w:spacing w:val="-4"/>
          <w:sz w:val="20"/>
        </w:rPr>
        <w:t xml:space="preserve"> </w:t>
      </w:r>
      <w:r>
        <w:rPr>
          <w:sz w:val="20"/>
        </w:rPr>
        <w:t>capacity</w:t>
      </w:r>
      <w:r>
        <w:rPr>
          <w:spacing w:val="-3"/>
          <w:sz w:val="20"/>
        </w:rPr>
        <w:t xml:space="preserve"> </w:t>
      </w:r>
      <w:r>
        <w:rPr>
          <w:sz w:val="20"/>
        </w:rPr>
        <w:t>of</w:t>
      </w:r>
      <w:r>
        <w:rPr>
          <w:spacing w:val="-4"/>
          <w:sz w:val="20"/>
        </w:rPr>
        <w:t xml:space="preserve"> </w:t>
      </w:r>
      <w:r>
        <w:rPr>
          <w:sz w:val="20"/>
        </w:rPr>
        <w:t>key</w:t>
      </w:r>
      <w:r>
        <w:rPr>
          <w:spacing w:val="-3"/>
          <w:sz w:val="20"/>
        </w:rPr>
        <w:t xml:space="preserve"> </w:t>
      </w:r>
      <w:r>
        <w:rPr>
          <w:sz w:val="20"/>
        </w:rPr>
        <w:t>policing</w:t>
      </w:r>
      <w:r>
        <w:rPr>
          <w:spacing w:val="-2"/>
          <w:sz w:val="20"/>
        </w:rPr>
        <w:t xml:space="preserve"> </w:t>
      </w:r>
      <w:r>
        <w:rPr>
          <w:sz w:val="20"/>
        </w:rPr>
        <w:t>functions</w:t>
      </w:r>
      <w:r>
        <w:rPr>
          <w:spacing w:val="-3"/>
          <w:sz w:val="20"/>
        </w:rPr>
        <w:t xml:space="preserve"> </w:t>
      </w:r>
      <w:r>
        <w:rPr>
          <w:sz w:val="20"/>
        </w:rPr>
        <w:t>through</w:t>
      </w:r>
      <w:r>
        <w:rPr>
          <w:spacing w:val="-4"/>
          <w:sz w:val="20"/>
        </w:rPr>
        <w:t xml:space="preserve"> </w:t>
      </w:r>
      <w:r>
        <w:rPr>
          <w:sz w:val="20"/>
        </w:rPr>
        <w:t>training</w:t>
      </w:r>
      <w:r>
        <w:rPr>
          <w:spacing w:val="-2"/>
          <w:sz w:val="20"/>
        </w:rPr>
        <w:t xml:space="preserve"> </w:t>
      </w:r>
      <w:r>
        <w:rPr>
          <w:sz w:val="20"/>
        </w:rPr>
        <w:t>and</w:t>
      </w:r>
      <w:r>
        <w:rPr>
          <w:spacing w:val="-2"/>
          <w:sz w:val="20"/>
        </w:rPr>
        <w:t xml:space="preserve"> </w:t>
      </w:r>
      <w:r>
        <w:rPr>
          <w:sz w:val="20"/>
        </w:rPr>
        <w:t>mentoring,</w:t>
      </w:r>
      <w:r>
        <w:rPr>
          <w:spacing w:val="-2"/>
          <w:sz w:val="20"/>
        </w:rPr>
        <w:t xml:space="preserve"> </w:t>
      </w:r>
      <w:r>
        <w:rPr>
          <w:sz w:val="20"/>
        </w:rPr>
        <w:t>including</w:t>
      </w:r>
      <w:r>
        <w:rPr>
          <w:spacing w:val="-4"/>
          <w:sz w:val="20"/>
        </w:rPr>
        <w:t xml:space="preserve"> </w:t>
      </w:r>
      <w:r>
        <w:rPr>
          <w:sz w:val="20"/>
        </w:rPr>
        <w:t>detective</w:t>
      </w:r>
      <w:r>
        <w:rPr>
          <w:spacing w:val="-2"/>
          <w:sz w:val="20"/>
        </w:rPr>
        <w:t xml:space="preserve"> </w:t>
      </w:r>
      <w:r>
        <w:rPr>
          <w:sz w:val="20"/>
        </w:rPr>
        <w:t>work, forensics, and family protection</w:t>
      </w:r>
    </w:p>
    <w:p w14:paraId="0E1D6A4B" w14:textId="77777777" w:rsidR="009C36E3" w:rsidRDefault="000E7207">
      <w:pPr>
        <w:pStyle w:val="ListParagraph"/>
        <w:numPr>
          <w:ilvl w:val="1"/>
          <w:numId w:val="34"/>
        </w:numPr>
        <w:tabs>
          <w:tab w:val="left" w:pos="1237"/>
        </w:tabs>
        <w:spacing w:before="4" w:line="235" w:lineRule="auto"/>
        <w:ind w:right="499"/>
        <w:rPr>
          <w:sz w:val="20"/>
        </w:rPr>
      </w:pPr>
      <w:r>
        <w:rPr>
          <w:sz w:val="20"/>
        </w:rPr>
        <w:t>Increased</w:t>
      </w:r>
      <w:r>
        <w:rPr>
          <w:spacing w:val="-4"/>
          <w:sz w:val="20"/>
        </w:rPr>
        <w:t xml:space="preserve"> </w:t>
      </w:r>
      <w:r>
        <w:rPr>
          <w:sz w:val="20"/>
        </w:rPr>
        <w:t>reach</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VPF</w:t>
      </w:r>
      <w:r>
        <w:rPr>
          <w:spacing w:val="-2"/>
          <w:sz w:val="20"/>
        </w:rPr>
        <w:t xml:space="preserve"> </w:t>
      </w:r>
      <w:r>
        <w:rPr>
          <w:sz w:val="20"/>
        </w:rPr>
        <w:t>through</w:t>
      </w:r>
      <w:r>
        <w:rPr>
          <w:spacing w:val="-4"/>
          <w:sz w:val="20"/>
        </w:rPr>
        <w:t xml:space="preserve"> </w:t>
      </w:r>
      <w:r>
        <w:rPr>
          <w:sz w:val="20"/>
        </w:rPr>
        <w:t>provision</w:t>
      </w:r>
      <w:r>
        <w:rPr>
          <w:spacing w:val="-3"/>
          <w:sz w:val="20"/>
        </w:rPr>
        <w:t xml:space="preserve"> </w:t>
      </w:r>
      <w:r>
        <w:rPr>
          <w:sz w:val="20"/>
        </w:rPr>
        <w:t>of</w:t>
      </w:r>
      <w:r>
        <w:rPr>
          <w:spacing w:val="-3"/>
          <w:sz w:val="20"/>
        </w:rPr>
        <w:t xml:space="preserve"> </w:t>
      </w:r>
      <w:r>
        <w:rPr>
          <w:sz w:val="20"/>
        </w:rPr>
        <w:t>equipment</w:t>
      </w:r>
      <w:r>
        <w:rPr>
          <w:spacing w:val="-3"/>
          <w:sz w:val="20"/>
        </w:rPr>
        <w:t xml:space="preserve"> </w:t>
      </w:r>
      <w:r>
        <w:rPr>
          <w:sz w:val="20"/>
        </w:rPr>
        <w:t>and</w:t>
      </w:r>
      <w:r>
        <w:rPr>
          <w:spacing w:val="-3"/>
          <w:sz w:val="20"/>
        </w:rPr>
        <w:t xml:space="preserve"> </w:t>
      </w:r>
      <w:r>
        <w:rPr>
          <w:sz w:val="20"/>
        </w:rPr>
        <w:t>support</w:t>
      </w:r>
      <w:r>
        <w:rPr>
          <w:spacing w:val="-4"/>
          <w:sz w:val="20"/>
        </w:rPr>
        <w:t xml:space="preserve"> </w:t>
      </w:r>
      <w:r>
        <w:rPr>
          <w:sz w:val="20"/>
        </w:rPr>
        <w:t>for</w:t>
      </w:r>
      <w:r>
        <w:rPr>
          <w:spacing w:val="-2"/>
          <w:sz w:val="20"/>
        </w:rPr>
        <w:t xml:space="preserve"> </w:t>
      </w:r>
      <w:r>
        <w:rPr>
          <w:sz w:val="20"/>
        </w:rPr>
        <w:t>deployments</w:t>
      </w:r>
      <w:r>
        <w:rPr>
          <w:spacing w:val="-4"/>
          <w:sz w:val="20"/>
        </w:rPr>
        <w:t xml:space="preserve"> </w:t>
      </w:r>
      <w:r>
        <w:rPr>
          <w:sz w:val="20"/>
        </w:rPr>
        <w:t>to</w:t>
      </w:r>
      <w:r>
        <w:rPr>
          <w:spacing w:val="-3"/>
          <w:sz w:val="20"/>
        </w:rPr>
        <w:t xml:space="preserve"> </w:t>
      </w:r>
      <w:r>
        <w:rPr>
          <w:sz w:val="20"/>
        </w:rPr>
        <w:t>provinces</w:t>
      </w:r>
      <w:r>
        <w:rPr>
          <w:spacing w:val="-1"/>
          <w:sz w:val="20"/>
        </w:rPr>
        <w:t xml:space="preserve"> </w:t>
      </w:r>
      <w:r>
        <w:rPr>
          <w:sz w:val="20"/>
        </w:rPr>
        <w:t xml:space="preserve">and </w:t>
      </w:r>
      <w:r>
        <w:rPr>
          <w:spacing w:val="-2"/>
          <w:sz w:val="20"/>
        </w:rPr>
        <w:t>posts</w:t>
      </w:r>
    </w:p>
    <w:p w14:paraId="19836DC7" w14:textId="77777777" w:rsidR="009C36E3" w:rsidRDefault="000E7207">
      <w:pPr>
        <w:pStyle w:val="ListParagraph"/>
        <w:numPr>
          <w:ilvl w:val="1"/>
          <w:numId w:val="34"/>
        </w:numPr>
        <w:tabs>
          <w:tab w:val="left" w:pos="1237"/>
        </w:tabs>
        <w:spacing w:before="7" w:line="235" w:lineRule="auto"/>
        <w:ind w:right="866"/>
        <w:rPr>
          <w:sz w:val="20"/>
        </w:rPr>
      </w:pPr>
      <w:r>
        <w:rPr>
          <w:sz w:val="20"/>
        </w:rPr>
        <w:t>Increased</w:t>
      </w:r>
      <w:r>
        <w:rPr>
          <w:spacing w:val="-4"/>
          <w:sz w:val="20"/>
        </w:rPr>
        <w:t xml:space="preserve"> </w:t>
      </w:r>
      <w:r>
        <w:rPr>
          <w:sz w:val="20"/>
        </w:rPr>
        <w:t>engagement</w:t>
      </w:r>
      <w:r>
        <w:rPr>
          <w:spacing w:val="-4"/>
          <w:sz w:val="20"/>
        </w:rPr>
        <w:t xml:space="preserve"> </w:t>
      </w:r>
      <w:r>
        <w:rPr>
          <w:sz w:val="20"/>
        </w:rPr>
        <w:t>with</w:t>
      </w:r>
      <w:r>
        <w:rPr>
          <w:spacing w:val="-4"/>
          <w:sz w:val="20"/>
        </w:rPr>
        <w:t xml:space="preserve"> </w:t>
      </w:r>
      <w:r>
        <w:rPr>
          <w:sz w:val="20"/>
        </w:rPr>
        <w:t>and</w:t>
      </w:r>
      <w:r>
        <w:rPr>
          <w:spacing w:val="-4"/>
          <w:sz w:val="20"/>
        </w:rPr>
        <w:t xml:space="preserve"> </w:t>
      </w:r>
      <w:r>
        <w:rPr>
          <w:sz w:val="20"/>
        </w:rPr>
        <w:t>support</w:t>
      </w:r>
      <w:r>
        <w:rPr>
          <w:spacing w:val="-4"/>
          <w:sz w:val="20"/>
        </w:rPr>
        <w:t xml:space="preserve"> </w:t>
      </w:r>
      <w:r>
        <w:rPr>
          <w:sz w:val="20"/>
        </w:rPr>
        <w:t>from</w:t>
      </w:r>
      <w:r>
        <w:rPr>
          <w:spacing w:val="-4"/>
          <w:sz w:val="20"/>
        </w:rPr>
        <w:t xml:space="preserve"> </w:t>
      </w:r>
      <w:r>
        <w:rPr>
          <w:sz w:val="20"/>
        </w:rPr>
        <w:t>Chiefs</w:t>
      </w:r>
      <w:r>
        <w:rPr>
          <w:spacing w:val="-3"/>
          <w:sz w:val="20"/>
        </w:rPr>
        <w:t xml:space="preserve"> </w:t>
      </w:r>
      <w:r>
        <w:rPr>
          <w:sz w:val="20"/>
        </w:rPr>
        <w:t>to</w:t>
      </w:r>
      <w:r>
        <w:rPr>
          <w:spacing w:val="-4"/>
          <w:sz w:val="20"/>
        </w:rPr>
        <w:t xml:space="preserve"> </w:t>
      </w:r>
      <w:r>
        <w:rPr>
          <w:sz w:val="20"/>
        </w:rPr>
        <w:t>facilitate</w:t>
      </w:r>
      <w:r>
        <w:rPr>
          <w:spacing w:val="-2"/>
          <w:sz w:val="20"/>
        </w:rPr>
        <w:t xml:space="preserve"> </w:t>
      </w:r>
      <w:r>
        <w:rPr>
          <w:sz w:val="20"/>
        </w:rPr>
        <w:t>expansion</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Authorised</w:t>
      </w:r>
      <w:r>
        <w:rPr>
          <w:spacing w:val="-4"/>
          <w:sz w:val="20"/>
        </w:rPr>
        <w:t xml:space="preserve"> </w:t>
      </w:r>
      <w:r>
        <w:rPr>
          <w:sz w:val="20"/>
        </w:rPr>
        <w:t xml:space="preserve">Persons </w:t>
      </w:r>
      <w:r>
        <w:rPr>
          <w:spacing w:val="-2"/>
          <w:sz w:val="20"/>
        </w:rPr>
        <w:t>program</w:t>
      </w:r>
    </w:p>
    <w:p w14:paraId="62173D6A" w14:textId="77777777" w:rsidR="009C36E3" w:rsidRDefault="000E7207">
      <w:pPr>
        <w:pStyle w:val="ListParagraph"/>
        <w:numPr>
          <w:ilvl w:val="1"/>
          <w:numId w:val="34"/>
        </w:numPr>
        <w:tabs>
          <w:tab w:val="left" w:pos="1237"/>
        </w:tabs>
        <w:spacing w:before="8" w:line="235" w:lineRule="auto"/>
        <w:ind w:right="598"/>
        <w:rPr>
          <w:sz w:val="20"/>
        </w:rPr>
      </w:pPr>
      <w:r>
        <w:rPr>
          <w:sz w:val="20"/>
        </w:rPr>
        <w:t>Design</w:t>
      </w:r>
      <w:r>
        <w:rPr>
          <w:spacing w:val="-2"/>
          <w:sz w:val="20"/>
        </w:rPr>
        <w:t xml:space="preserve"> </w:t>
      </w:r>
      <w:r>
        <w:rPr>
          <w:sz w:val="20"/>
        </w:rPr>
        <w:t>and</w:t>
      </w:r>
      <w:r>
        <w:rPr>
          <w:spacing w:val="-4"/>
          <w:sz w:val="20"/>
        </w:rPr>
        <w:t xml:space="preserve"> </w:t>
      </w:r>
      <w:r>
        <w:rPr>
          <w:sz w:val="20"/>
        </w:rPr>
        <w:t>delivery</w:t>
      </w:r>
      <w:r>
        <w:rPr>
          <w:spacing w:val="-3"/>
          <w:sz w:val="20"/>
        </w:rPr>
        <w:t xml:space="preserve"> </w:t>
      </w:r>
      <w:r>
        <w:rPr>
          <w:sz w:val="20"/>
        </w:rPr>
        <w:t>of</w:t>
      </w:r>
      <w:r>
        <w:rPr>
          <w:spacing w:val="-4"/>
          <w:sz w:val="20"/>
        </w:rPr>
        <w:t xml:space="preserve"> </w:t>
      </w:r>
      <w:r>
        <w:rPr>
          <w:sz w:val="20"/>
        </w:rPr>
        <w:t>infrastructure</w:t>
      </w:r>
      <w:r>
        <w:rPr>
          <w:spacing w:val="-4"/>
          <w:sz w:val="20"/>
        </w:rPr>
        <w:t xml:space="preserve"> </w:t>
      </w:r>
      <w:r>
        <w:rPr>
          <w:sz w:val="20"/>
        </w:rPr>
        <w:t>projects</w:t>
      </w:r>
      <w:r>
        <w:rPr>
          <w:spacing w:val="-3"/>
          <w:sz w:val="20"/>
        </w:rPr>
        <w:t xml:space="preserve"> </w:t>
      </w:r>
      <w:r>
        <w:rPr>
          <w:sz w:val="20"/>
        </w:rPr>
        <w:t>in</w:t>
      </w:r>
      <w:r>
        <w:rPr>
          <w:spacing w:val="-4"/>
          <w:sz w:val="20"/>
        </w:rPr>
        <w:t xml:space="preserve"> </w:t>
      </w:r>
      <w:r>
        <w:rPr>
          <w:sz w:val="20"/>
        </w:rPr>
        <w:t>response</w:t>
      </w:r>
      <w:r>
        <w:rPr>
          <w:spacing w:val="-4"/>
          <w:sz w:val="20"/>
        </w:rPr>
        <w:t xml:space="preserve"> </w:t>
      </w:r>
      <w:r>
        <w:rPr>
          <w:sz w:val="20"/>
        </w:rPr>
        <w:t>to</w:t>
      </w:r>
      <w:r>
        <w:rPr>
          <w:spacing w:val="-4"/>
          <w:sz w:val="20"/>
        </w:rPr>
        <w:t xml:space="preserve"> </w:t>
      </w:r>
      <w:r>
        <w:rPr>
          <w:sz w:val="20"/>
        </w:rPr>
        <w:t>requests</w:t>
      </w:r>
      <w:r>
        <w:rPr>
          <w:spacing w:val="-3"/>
          <w:sz w:val="20"/>
        </w:rPr>
        <w:t xml:space="preserve"> </w:t>
      </w:r>
      <w:r>
        <w:rPr>
          <w:sz w:val="20"/>
        </w:rPr>
        <w:t>from</w:t>
      </w:r>
      <w:r>
        <w:rPr>
          <w:spacing w:val="-2"/>
          <w:sz w:val="20"/>
        </w:rPr>
        <w:t xml:space="preserve"> </w:t>
      </w:r>
      <w:r>
        <w:rPr>
          <w:sz w:val="20"/>
        </w:rPr>
        <w:t>the</w:t>
      </w:r>
      <w:r>
        <w:rPr>
          <w:spacing w:val="-2"/>
          <w:sz w:val="20"/>
        </w:rPr>
        <w:t xml:space="preserve"> </w:t>
      </w:r>
      <w:r>
        <w:rPr>
          <w:sz w:val="20"/>
        </w:rPr>
        <w:t>VPF</w:t>
      </w:r>
      <w:r>
        <w:rPr>
          <w:spacing w:val="-3"/>
          <w:sz w:val="20"/>
        </w:rPr>
        <w:t xml:space="preserve"> </w:t>
      </w:r>
      <w:r>
        <w:rPr>
          <w:sz w:val="20"/>
        </w:rPr>
        <w:t>and</w:t>
      </w:r>
      <w:r>
        <w:rPr>
          <w:spacing w:val="-4"/>
          <w:sz w:val="20"/>
        </w:rPr>
        <w:t xml:space="preserve"> </w:t>
      </w:r>
      <w:r>
        <w:rPr>
          <w:sz w:val="20"/>
        </w:rPr>
        <w:t>justice</w:t>
      </w:r>
      <w:r>
        <w:rPr>
          <w:spacing w:val="-2"/>
          <w:sz w:val="20"/>
        </w:rPr>
        <w:t xml:space="preserve"> </w:t>
      </w:r>
      <w:r>
        <w:rPr>
          <w:sz w:val="20"/>
        </w:rPr>
        <w:t>agencies, including promoting accessibility standards and co-located Justice and Policing services in Epi</w:t>
      </w:r>
    </w:p>
    <w:p w14:paraId="309BE858" w14:textId="77777777" w:rsidR="009C36E3" w:rsidRDefault="000E7207">
      <w:pPr>
        <w:pStyle w:val="ListParagraph"/>
        <w:numPr>
          <w:ilvl w:val="1"/>
          <w:numId w:val="34"/>
        </w:numPr>
        <w:tabs>
          <w:tab w:val="left" w:pos="1237"/>
        </w:tabs>
        <w:spacing w:before="3"/>
        <w:ind w:right="742"/>
        <w:rPr>
          <w:sz w:val="20"/>
        </w:rPr>
      </w:pPr>
      <w:r>
        <w:rPr>
          <w:sz w:val="20"/>
        </w:rPr>
        <w:t>Data</w:t>
      </w:r>
      <w:r>
        <w:rPr>
          <w:spacing w:val="-4"/>
          <w:sz w:val="20"/>
        </w:rPr>
        <w:t xml:space="preserve"> </w:t>
      </w:r>
      <w:r>
        <w:rPr>
          <w:sz w:val="20"/>
        </w:rPr>
        <w:t>recovery</w:t>
      </w:r>
      <w:r>
        <w:rPr>
          <w:spacing w:val="-3"/>
          <w:sz w:val="20"/>
        </w:rPr>
        <w:t xml:space="preserve"> </w:t>
      </w:r>
      <w:r>
        <w:rPr>
          <w:sz w:val="20"/>
        </w:rPr>
        <w:t>and</w:t>
      </w:r>
      <w:r>
        <w:rPr>
          <w:spacing w:val="-4"/>
          <w:sz w:val="20"/>
        </w:rPr>
        <w:t xml:space="preserve"> </w:t>
      </w:r>
      <w:r>
        <w:rPr>
          <w:sz w:val="20"/>
        </w:rPr>
        <w:t>systems strengthening</w:t>
      </w:r>
      <w:r>
        <w:rPr>
          <w:spacing w:val="-2"/>
          <w:sz w:val="20"/>
        </w:rPr>
        <w:t xml:space="preserve"> </w:t>
      </w:r>
      <w:r>
        <w:rPr>
          <w:sz w:val="20"/>
        </w:rPr>
        <w:t>for</w:t>
      </w:r>
      <w:r>
        <w:rPr>
          <w:spacing w:val="-3"/>
          <w:sz w:val="20"/>
        </w:rPr>
        <w:t xml:space="preserve"> </w:t>
      </w:r>
      <w:r>
        <w:rPr>
          <w:sz w:val="20"/>
        </w:rPr>
        <w:t>GoV</w:t>
      </w:r>
      <w:r>
        <w:rPr>
          <w:spacing w:val="-5"/>
          <w:sz w:val="20"/>
        </w:rPr>
        <w:t xml:space="preserve"> </w:t>
      </w:r>
      <w:r>
        <w:rPr>
          <w:sz w:val="20"/>
        </w:rPr>
        <w:t>Police</w:t>
      </w:r>
      <w:r>
        <w:rPr>
          <w:spacing w:val="-4"/>
          <w:sz w:val="20"/>
        </w:rPr>
        <w:t xml:space="preserve"> </w:t>
      </w:r>
      <w:r>
        <w:rPr>
          <w:sz w:val="20"/>
        </w:rPr>
        <w:t>Information</w:t>
      </w:r>
      <w:r>
        <w:rPr>
          <w:spacing w:val="-2"/>
          <w:sz w:val="20"/>
        </w:rPr>
        <w:t xml:space="preserve"> </w:t>
      </w:r>
      <w:r>
        <w:rPr>
          <w:sz w:val="20"/>
        </w:rPr>
        <w:t>Management</w:t>
      </w:r>
      <w:r>
        <w:rPr>
          <w:spacing w:val="-4"/>
          <w:sz w:val="20"/>
        </w:rPr>
        <w:t xml:space="preserve"> </w:t>
      </w:r>
      <w:r>
        <w:rPr>
          <w:sz w:val="20"/>
        </w:rPr>
        <w:t>System</w:t>
      </w:r>
      <w:r>
        <w:rPr>
          <w:spacing w:val="-4"/>
          <w:sz w:val="20"/>
        </w:rPr>
        <w:t xml:space="preserve"> </w:t>
      </w:r>
      <w:r>
        <w:rPr>
          <w:sz w:val="20"/>
        </w:rPr>
        <w:t>(PIMS)</w:t>
      </w:r>
      <w:r>
        <w:rPr>
          <w:spacing w:val="-3"/>
          <w:sz w:val="20"/>
        </w:rPr>
        <w:t xml:space="preserve"> </w:t>
      </w:r>
      <w:r>
        <w:rPr>
          <w:sz w:val="20"/>
        </w:rPr>
        <w:t>and Case Management System (CMS)</w:t>
      </w:r>
    </w:p>
    <w:p w14:paraId="682D53D4" w14:textId="77777777" w:rsidR="009C36E3" w:rsidRDefault="000E7207">
      <w:pPr>
        <w:pStyle w:val="ListParagraph"/>
        <w:numPr>
          <w:ilvl w:val="1"/>
          <w:numId w:val="34"/>
        </w:numPr>
        <w:tabs>
          <w:tab w:val="left" w:pos="1237"/>
        </w:tabs>
        <w:spacing w:before="4" w:line="235" w:lineRule="auto"/>
        <w:ind w:right="801"/>
        <w:rPr>
          <w:sz w:val="20"/>
        </w:rPr>
      </w:pPr>
      <w:r>
        <w:rPr>
          <w:sz w:val="20"/>
        </w:rPr>
        <w:t>Increased</w:t>
      </w:r>
      <w:r>
        <w:rPr>
          <w:spacing w:val="-4"/>
          <w:sz w:val="20"/>
        </w:rPr>
        <w:t xml:space="preserve"> </w:t>
      </w:r>
      <w:r>
        <w:rPr>
          <w:sz w:val="20"/>
        </w:rPr>
        <w:t>community outreach</w:t>
      </w:r>
      <w:r>
        <w:rPr>
          <w:spacing w:val="-4"/>
          <w:sz w:val="20"/>
        </w:rPr>
        <w:t xml:space="preserve"> </w:t>
      </w:r>
      <w:r>
        <w:rPr>
          <w:sz w:val="20"/>
        </w:rPr>
        <w:t>on</w:t>
      </w:r>
      <w:r>
        <w:rPr>
          <w:spacing w:val="-2"/>
          <w:sz w:val="20"/>
        </w:rPr>
        <w:t xml:space="preserve"> </w:t>
      </w:r>
      <w:r>
        <w:rPr>
          <w:sz w:val="20"/>
        </w:rPr>
        <w:t>policing,</w:t>
      </w:r>
      <w:r>
        <w:rPr>
          <w:spacing w:val="-4"/>
          <w:sz w:val="20"/>
        </w:rPr>
        <w:t xml:space="preserve"> </w:t>
      </w:r>
      <w:r>
        <w:rPr>
          <w:sz w:val="20"/>
        </w:rPr>
        <w:t>justice</w:t>
      </w:r>
      <w:r>
        <w:rPr>
          <w:spacing w:val="-4"/>
          <w:sz w:val="20"/>
        </w:rPr>
        <w:t xml:space="preserve"> </w:t>
      </w:r>
      <w:r>
        <w:rPr>
          <w:sz w:val="20"/>
        </w:rPr>
        <w:t>and</w:t>
      </w:r>
      <w:r>
        <w:rPr>
          <w:spacing w:val="-2"/>
          <w:sz w:val="20"/>
        </w:rPr>
        <w:t xml:space="preserve"> </w:t>
      </w:r>
      <w:r>
        <w:rPr>
          <w:sz w:val="20"/>
        </w:rPr>
        <w:t>laws</w:t>
      </w:r>
      <w:r>
        <w:rPr>
          <w:spacing w:val="-3"/>
          <w:sz w:val="20"/>
        </w:rPr>
        <w:t xml:space="preserve"> </w:t>
      </w:r>
      <w:r>
        <w:rPr>
          <w:sz w:val="20"/>
        </w:rPr>
        <w:t>related</w:t>
      </w:r>
      <w:r>
        <w:rPr>
          <w:spacing w:val="-4"/>
          <w:sz w:val="20"/>
        </w:rPr>
        <w:t xml:space="preserve"> </w:t>
      </w:r>
      <w:r>
        <w:rPr>
          <w:sz w:val="20"/>
        </w:rPr>
        <w:t>to</w:t>
      </w:r>
      <w:r>
        <w:rPr>
          <w:spacing w:val="-4"/>
          <w:sz w:val="20"/>
        </w:rPr>
        <w:t xml:space="preserve"> </w:t>
      </w:r>
      <w:r>
        <w:rPr>
          <w:sz w:val="20"/>
        </w:rPr>
        <w:t>VAWC</w:t>
      </w:r>
      <w:r>
        <w:rPr>
          <w:spacing w:val="-4"/>
          <w:sz w:val="20"/>
        </w:rPr>
        <w:t xml:space="preserve"> </w:t>
      </w:r>
      <w:r>
        <w:rPr>
          <w:sz w:val="20"/>
        </w:rPr>
        <w:t>through</w:t>
      </w:r>
      <w:r>
        <w:rPr>
          <w:spacing w:val="-4"/>
          <w:sz w:val="20"/>
        </w:rPr>
        <w:t xml:space="preserve"> </w:t>
      </w:r>
      <w:r>
        <w:rPr>
          <w:sz w:val="20"/>
        </w:rPr>
        <w:t>joint</w:t>
      </w:r>
      <w:r>
        <w:rPr>
          <w:spacing w:val="-4"/>
          <w:sz w:val="20"/>
        </w:rPr>
        <w:t xml:space="preserve"> </w:t>
      </w:r>
      <w:r>
        <w:rPr>
          <w:sz w:val="20"/>
        </w:rPr>
        <w:t>community, justice and policing rotations.</w:t>
      </w:r>
    </w:p>
    <w:p w14:paraId="2DF5E061" w14:textId="77777777" w:rsidR="009C36E3" w:rsidRDefault="000E7207">
      <w:pPr>
        <w:pStyle w:val="ListParagraph"/>
        <w:numPr>
          <w:ilvl w:val="1"/>
          <w:numId w:val="34"/>
        </w:numPr>
        <w:tabs>
          <w:tab w:val="left" w:pos="1237"/>
        </w:tabs>
        <w:spacing w:before="3"/>
        <w:ind w:hanging="357"/>
        <w:rPr>
          <w:sz w:val="20"/>
        </w:rPr>
      </w:pPr>
      <w:r>
        <w:rPr>
          <w:sz w:val="20"/>
        </w:rPr>
        <w:t>Awareness</w:t>
      </w:r>
      <w:r>
        <w:rPr>
          <w:spacing w:val="-6"/>
          <w:sz w:val="20"/>
        </w:rPr>
        <w:t xml:space="preserve"> </w:t>
      </w:r>
      <w:r>
        <w:rPr>
          <w:sz w:val="20"/>
        </w:rPr>
        <w:t>raising</w:t>
      </w:r>
      <w:r>
        <w:rPr>
          <w:spacing w:val="-6"/>
          <w:sz w:val="20"/>
        </w:rPr>
        <w:t xml:space="preserve"> </w:t>
      </w:r>
      <w:r>
        <w:rPr>
          <w:sz w:val="20"/>
        </w:rPr>
        <w:t>within</w:t>
      </w:r>
      <w:r>
        <w:rPr>
          <w:spacing w:val="-6"/>
          <w:sz w:val="20"/>
        </w:rPr>
        <w:t xml:space="preserve"> </w:t>
      </w:r>
      <w:r>
        <w:rPr>
          <w:sz w:val="20"/>
        </w:rPr>
        <w:t>the</w:t>
      </w:r>
      <w:r>
        <w:rPr>
          <w:spacing w:val="-7"/>
          <w:sz w:val="20"/>
        </w:rPr>
        <w:t xml:space="preserve"> </w:t>
      </w:r>
      <w:r>
        <w:rPr>
          <w:sz w:val="20"/>
        </w:rPr>
        <w:t>sector</w:t>
      </w:r>
      <w:r>
        <w:rPr>
          <w:spacing w:val="-5"/>
          <w:sz w:val="20"/>
        </w:rPr>
        <w:t xml:space="preserve"> </w:t>
      </w:r>
      <w:r>
        <w:rPr>
          <w:sz w:val="20"/>
        </w:rPr>
        <w:t>and</w:t>
      </w:r>
      <w:r>
        <w:rPr>
          <w:spacing w:val="-6"/>
          <w:sz w:val="20"/>
        </w:rPr>
        <w:t xml:space="preserve"> </w:t>
      </w:r>
      <w:r>
        <w:rPr>
          <w:sz w:val="20"/>
        </w:rPr>
        <w:t>communities</w:t>
      </w:r>
      <w:r>
        <w:rPr>
          <w:spacing w:val="-5"/>
          <w:sz w:val="20"/>
        </w:rPr>
        <w:t xml:space="preserve"> </w:t>
      </w:r>
      <w:r>
        <w:rPr>
          <w:sz w:val="20"/>
        </w:rPr>
        <w:t>on</w:t>
      </w:r>
      <w:r>
        <w:rPr>
          <w:spacing w:val="-7"/>
          <w:sz w:val="20"/>
        </w:rPr>
        <w:t xml:space="preserve"> </w:t>
      </w:r>
      <w:r>
        <w:rPr>
          <w:sz w:val="20"/>
        </w:rPr>
        <w:t>the</w:t>
      </w:r>
      <w:r>
        <w:rPr>
          <w:spacing w:val="-4"/>
          <w:sz w:val="20"/>
        </w:rPr>
        <w:t xml:space="preserve"> </w:t>
      </w:r>
      <w:r>
        <w:rPr>
          <w:sz w:val="20"/>
        </w:rPr>
        <w:t>rights</w:t>
      </w:r>
      <w:r>
        <w:rPr>
          <w:spacing w:val="-5"/>
          <w:sz w:val="20"/>
        </w:rPr>
        <w:t xml:space="preserve"> </w:t>
      </w:r>
      <w:r>
        <w:rPr>
          <w:sz w:val="20"/>
        </w:rPr>
        <w:t>of</w:t>
      </w:r>
      <w:r>
        <w:rPr>
          <w:spacing w:val="-7"/>
          <w:sz w:val="20"/>
        </w:rPr>
        <w:t xml:space="preserve"> </w:t>
      </w:r>
      <w:r>
        <w:rPr>
          <w:sz w:val="20"/>
        </w:rPr>
        <w:t>people</w:t>
      </w:r>
      <w:r>
        <w:rPr>
          <w:spacing w:val="-4"/>
          <w:sz w:val="20"/>
        </w:rPr>
        <w:t xml:space="preserve"> </w:t>
      </w:r>
      <w:r>
        <w:rPr>
          <w:sz w:val="20"/>
        </w:rPr>
        <w:t>with</w:t>
      </w:r>
      <w:r>
        <w:rPr>
          <w:spacing w:val="-6"/>
          <w:sz w:val="20"/>
        </w:rPr>
        <w:t xml:space="preserve"> </w:t>
      </w:r>
      <w:r>
        <w:rPr>
          <w:spacing w:val="-2"/>
          <w:sz w:val="20"/>
        </w:rPr>
        <w:t>disabilities</w:t>
      </w:r>
    </w:p>
    <w:p w14:paraId="41A3021E" w14:textId="68C466A6" w:rsidR="009C36E3" w:rsidRDefault="000E7207" w:rsidP="00CF5FA8">
      <w:pPr>
        <w:pStyle w:val="BodyText"/>
        <w:spacing w:before="240"/>
        <w:ind w:right="164"/>
      </w:pPr>
      <w:r>
        <w:rPr>
          <w:b/>
        </w:rPr>
        <w:t xml:space="preserve">Higher level findings: </w:t>
      </w:r>
      <w:r>
        <w:t>VAPJP has some very credible achievements and has done well to keep operating in exceptionally challenging circumstances, responding to the extensive needs of the law and justice and policing sector in Vanuatu, while maintaining a high degree of flexibility. The MTR team appreciates the challenges in demonstrating progress towards EOPOs due to the combined impact of the November 2022 cyber-attack, new baselines for new and amended indicators, and a lack of a ToC. The missing ToC hampers the VAPJP team in reporting against the DFAT M&amp;E standards, and compromises the ability to communicate, both internally and externally, what the program is trying to achieve and how. Despite the 2019 evaluation of VAPJP Phase 1 noting that a ToC would be one of two key ingredients for improved management and oversight of the program, a ToC was</w:t>
      </w:r>
      <w:r>
        <w:rPr>
          <w:spacing w:val="-2"/>
        </w:rPr>
        <w:t xml:space="preserve"> </w:t>
      </w:r>
      <w:r>
        <w:t>not</w:t>
      </w:r>
      <w:r>
        <w:rPr>
          <w:spacing w:val="-1"/>
        </w:rPr>
        <w:t xml:space="preserve"> </w:t>
      </w:r>
      <w:r>
        <w:t>included</w:t>
      </w:r>
      <w:r>
        <w:rPr>
          <w:spacing w:val="-3"/>
        </w:rPr>
        <w:t xml:space="preserve"> </w:t>
      </w:r>
      <w:r>
        <w:t>in</w:t>
      </w:r>
      <w:r>
        <w:rPr>
          <w:spacing w:val="-3"/>
        </w:rPr>
        <w:t xml:space="preserve"> </w:t>
      </w:r>
      <w:r>
        <w:t>the</w:t>
      </w:r>
      <w:r>
        <w:rPr>
          <w:spacing w:val="-3"/>
        </w:rPr>
        <w:t xml:space="preserve"> </w:t>
      </w:r>
      <w:r>
        <w:t>Design</w:t>
      </w:r>
      <w:r>
        <w:rPr>
          <w:spacing w:val="-1"/>
        </w:rPr>
        <w:t xml:space="preserve"> </w:t>
      </w:r>
      <w:r>
        <w:t>Update</w:t>
      </w:r>
      <w:r>
        <w:rPr>
          <w:spacing w:val="-3"/>
        </w:rPr>
        <w:t xml:space="preserve"> </w:t>
      </w:r>
      <w:r>
        <w:t>(as</w:t>
      </w:r>
      <w:r>
        <w:rPr>
          <w:spacing w:val="-2"/>
        </w:rPr>
        <w:t xml:space="preserve"> </w:t>
      </w:r>
      <w:r>
        <w:t>required</w:t>
      </w:r>
      <w:r>
        <w:rPr>
          <w:spacing w:val="-3"/>
        </w:rPr>
        <w:t xml:space="preserve"> </w:t>
      </w:r>
      <w:r>
        <w:t>by DFAT</w:t>
      </w:r>
      <w:r>
        <w:rPr>
          <w:spacing w:val="-2"/>
        </w:rPr>
        <w:t xml:space="preserve"> </w:t>
      </w:r>
      <w:r>
        <w:t>M&amp;E</w:t>
      </w:r>
      <w:r>
        <w:rPr>
          <w:spacing w:val="-4"/>
        </w:rPr>
        <w:t xml:space="preserve"> </w:t>
      </w:r>
      <w:r>
        <w:t>standards).</w:t>
      </w:r>
      <w:r>
        <w:rPr>
          <w:spacing w:val="-2"/>
        </w:rPr>
        <w:t xml:space="preserve"> </w:t>
      </w:r>
      <w:r>
        <w:t>Moving</w:t>
      </w:r>
      <w:r>
        <w:rPr>
          <w:spacing w:val="-3"/>
        </w:rPr>
        <w:t xml:space="preserve"> </w:t>
      </w:r>
      <w:r>
        <w:t>forward</w:t>
      </w:r>
      <w:r>
        <w:rPr>
          <w:spacing w:val="-3"/>
        </w:rPr>
        <w:t xml:space="preserve"> </w:t>
      </w:r>
      <w:r>
        <w:t>a</w:t>
      </w:r>
      <w:r>
        <w:rPr>
          <w:spacing w:val="-1"/>
        </w:rPr>
        <w:t xml:space="preserve"> </w:t>
      </w:r>
      <w:r>
        <w:t>greater</w:t>
      </w:r>
      <w:r>
        <w:rPr>
          <w:spacing w:val="-2"/>
        </w:rPr>
        <w:t xml:space="preserve"> </w:t>
      </w:r>
      <w:r>
        <w:t>focus</w:t>
      </w:r>
      <w:r>
        <w:rPr>
          <w:spacing w:val="-2"/>
        </w:rPr>
        <w:t xml:space="preserve"> </w:t>
      </w:r>
      <w:r>
        <w:t>on qualitative outcomes and their sustainability will be key.</w:t>
      </w:r>
    </w:p>
    <w:p w14:paraId="259518A9" w14:textId="77777777" w:rsidR="009C36E3" w:rsidRDefault="000E7207">
      <w:pPr>
        <w:pStyle w:val="BodyText"/>
        <w:spacing w:before="120"/>
        <w:ind w:right="153"/>
      </w:pPr>
      <w:r>
        <w:rPr>
          <w:b/>
        </w:rPr>
        <w:t xml:space="preserve">EOPO1: </w:t>
      </w:r>
      <w:r>
        <w:t xml:space="preserve">VAPJP has supported an improved reach of justice and policing services to Vanuatu communities, with some indications of improved quality. These improvements in </w:t>
      </w:r>
      <w:r>
        <w:rPr>
          <w:b/>
        </w:rPr>
        <w:t xml:space="preserve">policing </w:t>
      </w:r>
      <w:r>
        <w:t>have been facilitated by an increase in the number of VPF recruited, trained and deployed to outer islands (with a notable increase in women’s participation); deployment</w:t>
      </w:r>
      <w:r>
        <w:rPr>
          <w:spacing w:val="-3"/>
        </w:rPr>
        <w:t xml:space="preserve"> </w:t>
      </w:r>
      <w:r>
        <w:t>of</w:t>
      </w:r>
      <w:r>
        <w:rPr>
          <w:spacing w:val="-3"/>
        </w:rPr>
        <w:t xml:space="preserve"> </w:t>
      </w:r>
      <w:r>
        <w:t>police</w:t>
      </w:r>
      <w:r>
        <w:rPr>
          <w:spacing w:val="-1"/>
        </w:rPr>
        <w:t xml:space="preserve"> </w:t>
      </w:r>
      <w:r>
        <w:t>rotations</w:t>
      </w:r>
      <w:r>
        <w:rPr>
          <w:spacing w:val="-2"/>
        </w:rPr>
        <w:t xml:space="preserve"> </w:t>
      </w:r>
      <w:r>
        <w:t>and</w:t>
      </w:r>
      <w:r>
        <w:rPr>
          <w:spacing w:val="-1"/>
        </w:rPr>
        <w:t xml:space="preserve"> </w:t>
      </w:r>
      <w:r>
        <w:t>the</w:t>
      </w:r>
      <w:r>
        <w:rPr>
          <w:spacing w:val="-1"/>
        </w:rPr>
        <w:t xml:space="preserve"> </w:t>
      </w:r>
      <w:r>
        <w:t>Nasara</w:t>
      </w:r>
      <w:r>
        <w:rPr>
          <w:spacing w:val="-1"/>
        </w:rPr>
        <w:t xml:space="preserve"> </w:t>
      </w:r>
      <w:r>
        <w:t>program</w:t>
      </w:r>
      <w:hyperlink w:anchor="_bookmark2" w:history="1">
        <w:r>
          <w:rPr>
            <w:position w:val="6"/>
            <w:sz w:val="13"/>
          </w:rPr>
          <w:t>3</w:t>
        </w:r>
      </w:hyperlink>
      <w:r>
        <w:rPr>
          <w:spacing w:val="16"/>
          <w:position w:val="6"/>
          <w:sz w:val="13"/>
        </w:rPr>
        <w:t xml:space="preserve"> </w:t>
      </w:r>
      <w:r>
        <w:t>to</w:t>
      </w:r>
      <w:r>
        <w:rPr>
          <w:spacing w:val="-3"/>
        </w:rPr>
        <w:t xml:space="preserve"> </w:t>
      </w:r>
      <w:r>
        <w:t>remote</w:t>
      </w:r>
      <w:r>
        <w:rPr>
          <w:spacing w:val="-1"/>
        </w:rPr>
        <w:t xml:space="preserve"> </w:t>
      </w:r>
      <w:r>
        <w:t>areas;</w:t>
      </w:r>
      <w:r>
        <w:rPr>
          <w:spacing w:val="-3"/>
        </w:rPr>
        <w:t xml:space="preserve"> </w:t>
      </w:r>
      <w:r>
        <w:t>significant</w:t>
      </w:r>
      <w:r>
        <w:rPr>
          <w:spacing w:val="-3"/>
        </w:rPr>
        <w:t xml:space="preserve"> </w:t>
      </w:r>
      <w:r>
        <w:t>infrastructure</w:t>
      </w:r>
      <w:r>
        <w:rPr>
          <w:spacing w:val="-3"/>
        </w:rPr>
        <w:t xml:space="preserve"> </w:t>
      </w:r>
      <w:r>
        <w:t>construction</w:t>
      </w:r>
      <w:r>
        <w:rPr>
          <w:spacing w:val="-1"/>
        </w:rPr>
        <w:t xml:space="preserve"> </w:t>
      </w:r>
      <w:r>
        <w:t>and refurbishment, mobility assets (land cruisers, trucks, quad bikes, banana boats),</w:t>
      </w:r>
      <w:hyperlink w:anchor="_bookmark3" w:history="1">
        <w:r>
          <w:rPr>
            <w:position w:val="6"/>
            <w:sz w:val="13"/>
          </w:rPr>
          <w:t>4</w:t>
        </w:r>
      </w:hyperlink>
      <w:r>
        <w:rPr>
          <w:spacing w:val="27"/>
          <w:position w:val="6"/>
          <w:sz w:val="13"/>
        </w:rPr>
        <w:t xml:space="preserve"> </w:t>
      </w:r>
      <w:r>
        <w:t xml:space="preserve">technical advice and financial support for remote operations, and an improved focus on professional standards. These improvements in </w:t>
      </w:r>
      <w:r>
        <w:rPr>
          <w:b/>
        </w:rPr>
        <w:t xml:space="preserve">justice </w:t>
      </w:r>
      <w:r>
        <w:t>occurred through work undertaken by the justice, community and sector coordination components of VAPJP. The justice component has undertaken well-regarded continuing legal education and mentoring to strengthen the work of legal</w:t>
      </w:r>
      <w:r>
        <w:rPr>
          <w:spacing w:val="-1"/>
        </w:rPr>
        <w:t xml:space="preserve"> </w:t>
      </w:r>
      <w:r>
        <w:t>actors in the sector, and extended the reach of agencies in Port Vila and selected provincial locations. The Authorised Persons (AP) program is also an important activity and is the key contact point for communities to access essential justice services in situations of VAWC. The AP Program is increasingly respected by communities, police, chiefs and the justice sector as a whole. Unfortunately, it has not yet been possible to finalise the planned hand over of management of the AP program with GoV.</w:t>
      </w:r>
    </w:p>
    <w:p w14:paraId="63DFC41D" w14:textId="0E0B9143" w:rsidR="009C36E3" w:rsidRDefault="004D78B7" w:rsidP="000D50D6">
      <w:pPr>
        <w:pStyle w:val="BodyText"/>
        <w:spacing w:before="120" w:after="840"/>
        <w:ind w:right="119"/>
      </w:pPr>
      <w:r>
        <w:rPr>
          <w:noProof/>
        </w:rPr>
        <mc:AlternateContent>
          <mc:Choice Requires="wps">
            <w:drawing>
              <wp:anchor distT="0" distB="0" distL="0" distR="0" simplePos="0" relativeHeight="251666432" behindDoc="1" locked="0" layoutInCell="1" allowOverlap="1" wp14:anchorId="25DF9C68" wp14:editId="129E64F5">
                <wp:simplePos x="0" y="0"/>
                <wp:positionH relativeFrom="page">
                  <wp:posOffset>538695</wp:posOffset>
                </wp:positionH>
                <wp:positionV relativeFrom="paragraph">
                  <wp:posOffset>1193800</wp:posOffset>
                </wp:positionV>
                <wp:extent cx="1828800" cy="6350"/>
                <wp:effectExtent l="0" t="0" r="0" b="0"/>
                <wp:wrapTopAndBottom/>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BC1E91" id="Graphic 13" o:spid="_x0000_s1026" alt="&quot;&quot;" style="position:absolute;margin-left:42.4pt;margin-top:94pt;width:2in;height:.5pt;z-index:-1572915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" path="m1828800,l,,,6096r1828800,l1828800,xe" fillcolor="black" stroked="f">
                <v:path arrowok="t"/>
                <w10:wrap type="topAndBottom" anchorx="page"/>
              </v:shape>
            </w:pict>
          </mc:Fallback>
        </mc:AlternateContent>
      </w:r>
      <w:r w:rsidR="000E7207">
        <w:t>VAPJP is providing a significant level of infrastructure support (police posts, courthouses) as a means of strengthening</w:t>
      </w:r>
      <w:r w:rsidR="000E7207">
        <w:rPr>
          <w:spacing w:val="-4"/>
        </w:rPr>
        <w:t xml:space="preserve"> </w:t>
      </w:r>
      <w:r w:rsidR="000E7207">
        <w:t>reach</w:t>
      </w:r>
      <w:r w:rsidR="000E7207">
        <w:rPr>
          <w:spacing w:val="-4"/>
        </w:rPr>
        <w:t xml:space="preserve"> </w:t>
      </w:r>
      <w:r w:rsidR="000E7207">
        <w:t>and</w:t>
      </w:r>
      <w:r w:rsidR="000E7207">
        <w:rPr>
          <w:spacing w:val="-4"/>
        </w:rPr>
        <w:t xml:space="preserve"> </w:t>
      </w:r>
      <w:r w:rsidR="000E7207">
        <w:t>quality</w:t>
      </w:r>
      <w:r w:rsidR="000E7207">
        <w:rPr>
          <w:spacing w:val="-3"/>
        </w:rPr>
        <w:t xml:space="preserve"> </w:t>
      </w:r>
      <w:r w:rsidR="000E7207">
        <w:t>of</w:t>
      </w:r>
      <w:r w:rsidR="000E7207">
        <w:rPr>
          <w:spacing w:val="-4"/>
        </w:rPr>
        <w:t xml:space="preserve"> </w:t>
      </w:r>
      <w:r w:rsidR="000E7207">
        <w:t>policing</w:t>
      </w:r>
      <w:r w:rsidR="000E7207">
        <w:rPr>
          <w:spacing w:val="-4"/>
        </w:rPr>
        <w:t xml:space="preserve"> </w:t>
      </w:r>
      <w:r w:rsidR="000E7207">
        <w:rPr>
          <w:i/>
        </w:rPr>
        <w:t>and</w:t>
      </w:r>
      <w:r w:rsidR="000E7207">
        <w:rPr>
          <w:i/>
          <w:spacing w:val="-4"/>
        </w:rPr>
        <w:t xml:space="preserve"> </w:t>
      </w:r>
      <w:r w:rsidR="000E7207">
        <w:t>justice</w:t>
      </w:r>
      <w:r w:rsidR="000E7207">
        <w:rPr>
          <w:spacing w:val="-2"/>
        </w:rPr>
        <w:t xml:space="preserve"> </w:t>
      </w:r>
      <w:r w:rsidR="000E7207">
        <w:t>services.</w:t>
      </w:r>
      <w:r w:rsidR="000E7207">
        <w:rPr>
          <w:spacing w:val="-4"/>
        </w:rPr>
        <w:t xml:space="preserve"> </w:t>
      </w:r>
      <w:r w:rsidR="000E7207">
        <w:t>However,</w:t>
      </w:r>
      <w:r w:rsidR="000E7207">
        <w:rPr>
          <w:spacing w:val="-4"/>
        </w:rPr>
        <w:t xml:space="preserve"> </w:t>
      </w:r>
      <w:r w:rsidR="000E7207">
        <w:t>the</w:t>
      </w:r>
      <w:r w:rsidR="000E7207">
        <w:rPr>
          <w:spacing w:val="-4"/>
        </w:rPr>
        <w:t xml:space="preserve"> </w:t>
      </w:r>
      <w:r w:rsidR="000E7207">
        <w:t>contribution</w:t>
      </w:r>
      <w:r w:rsidR="000E7207">
        <w:rPr>
          <w:spacing w:val="-2"/>
        </w:rPr>
        <w:t xml:space="preserve"> </w:t>
      </w:r>
      <w:r w:rsidR="000E7207">
        <w:t>these</w:t>
      </w:r>
      <w:r w:rsidR="000E7207">
        <w:rPr>
          <w:spacing w:val="-4"/>
        </w:rPr>
        <w:t xml:space="preserve"> </w:t>
      </w:r>
      <w:r w:rsidR="000E7207">
        <w:t>inputs are</w:t>
      </w:r>
      <w:r w:rsidR="000E7207">
        <w:rPr>
          <w:spacing w:val="-4"/>
        </w:rPr>
        <w:t xml:space="preserve"> </w:t>
      </w:r>
      <w:r w:rsidR="000E7207">
        <w:t>making to improvements in service delivery and access are not yet clear. The program has identified the need for a more effective and</w:t>
      </w:r>
      <w:r w:rsidR="000E7207">
        <w:rPr>
          <w:spacing w:val="-1"/>
        </w:rPr>
        <w:t xml:space="preserve"> </w:t>
      </w:r>
      <w:r w:rsidR="000E7207">
        <w:t>strategic approach</w:t>
      </w:r>
      <w:r w:rsidR="000E7207">
        <w:rPr>
          <w:spacing w:val="-1"/>
        </w:rPr>
        <w:t xml:space="preserve"> </w:t>
      </w:r>
      <w:r w:rsidR="000E7207">
        <w:t>to infrastructure</w:t>
      </w:r>
      <w:r w:rsidR="000E7207">
        <w:rPr>
          <w:spacing w:val="-1"/>
        </w:rPr>
        <w:t xml:space="preserve"> </w:t>
      </w:r>
      <w:r w:rsidR="000E7207">
        <w:t>but</w:t>
      </w:r>
      <w:r w:rsidR="000E7207">
        <w:rPr>
          <w:spacing w:val="-1"/>
        </w:rPr>
        <w:t xml:space="preserve"> </w:t>
      </w:r>
      <w:r w:rsidR="000E7207">
        <w:t>despite best efforts this has proved</w:t>
      </w:r>
      <w:r w:rsidR="000E7207">
        <w:rPr>
          <w:spacing w:val="-1"/>
        </w:rPr>
        <w:t xml:space="preserve"> </w:t>
      </w:r>
      <w:r w:rsidR="000E7207">
        <w:t>challenging</w:t>
      </w:r>
      <w:r w:rsidR="000E7207">
        <w:rPr>
          <w:spacing w:val="-1"/>
        </w:rPr>
        <w:t xml:space="preserve"> </w:t>
      </w:r>
      <w:r w:rsidR="000E7207">
        <w:t>in</w:t>
      </w:r>
      <w:r w:rsidR="000E7207">
        <w:rPr>
          <w:spacing w:val="-1"/>
        </w:rPr>
        <w:t xml:space="preserve"> </w:t>
      </w:r>
      <w:r w:rsidR="000E7207">
        <w:t>part due</w:t>
      </w:r>
      <w:r w:rsidR="000E7207">
        <w:rPr>
          <w:spacing w:val="-1"/>
        </w:rPr>
        <w:t xml:space="preserve"> </w:t>
      </w:r>
      <w:r w:rsidR="000E7207">
        <w:t>to frequent changes in sector leadership. There are opportunities for a more purposeful Grants program, that could</w:t>
      </w:r>
    </w:p>
    <w:p w14:paraId="43551C26" w14:textId="77777777" w:rsidR="009C36E3" w:rsidRDefault="000E7207" w:rsidP="000D50D6">
      <w:pPr>
        <w:spacing w:before="240" w:line="242" w:lineRule="auto"/>
        <w:ind w:left="771" w:right="119"/>
        <w:rPr>
          <w:sz w:val="18"/>
        </w:rPr>
      </w:pPr>
      <w:bookmarkStart w:id="2" w:name="_bookmark2"/>
      <w:bookmarkEnd w:id="2"/>
      <w:r>
        <w:rPr>
          <w:position w:val="6"/>
          <w:sz w:val="13"/>
        </w:rPr>
        <w:t>3</w:t>
      </w:r>
      <w:r>
        <w:rPr>
          <w:spacing w:val="17"/>
          <w:position w:val="6"/>
          <w:sz w:val="13"/>
        </w:rPr>
        <w:t xml:space="preserve"> </w:t>
      </w:r>
      <w:r>
        <w:rPr>
          <w:sz w:val="18"/>
        </w:rPr>
        <w:t>The VPF</w:t>
      </w:r>
      <w:r>
        <w:rPr>
          <w:spacing w:val="-1"/>
          <w:sz w:val="18"/>
        </w:rPr>
        <w:t xml:space="preserve"> </w:t>
      </w:r>
      <w:r>
        <w:rPr>
          <w:sz w:val="18"/>
        </w:rPr>
        <w:t>Nasara</w:t>
      </w:r>
      <w:r>
        <w:rPr>
          <w:spacing w:val="-3"/>
          <w:sz w:val="18"/>
        </w:rPr>
        <w:t xml:space="preserve"> </w:t>
      </w:r>
      <w:r>
        <w:rPr>
          <w:sz w:val="18"/>
        </w:rPr>
        <w:t>program was initiated</w:t>
      </w:r>
      <w:r>
        <w:rPr>
          <w:spacing w:val="-3"/>
          <w:sz w:val="18"/>
        </w:rPr>
        <w:t xml:space="preserve"> </w:t>
      </w:r>
      <w:r>
        <w:rPr>
          <w:sz w:val="18"/>
        </w:rPr>
        <w:t>by VPF</w:t>
      </w:r>
      <w:r>
        <w:rPr>
          <w:spacing w:val="-3"/>
          <w:sz w:val="18"/>
        </w:rPr>
        <w:t xml:space="preserve"> </w:t>
      </w:r>
      <w:r>
        <w:rPr>
          <w:sz w:val="18"/>
        </w:rPr>
        <w:t>in Santo</w:t>
      </w:r>
      <w:r>
        <w:rPr>
          <w:spacing w:val="-3"/>
          <w:sz w:val="18"/>
        </w:rPr>
        <w:t xml:space="preserve"> </w:t>
      </w:r>
      <w:r>
        <w:rPr>
          <w:sz w:val="18"/>
        </w:rPr>
        <w:t>to</w:t>
      </w:r>
      <w:r>
        <w:rPr>
          <w:spacing w:val="-3"/>
          <w:sz w:val="18"/>
        </w:rPr>
        <w:t xml:space="preserve"> </w:t>
      </w:r>
      <w:r>
        <w:rPr>
          <w:sz w:val="18"/>
        </w:rPr>
        <w:t>carry out</w:t>
      </w:r>
      <w:r>
        <w:rPr>
          <w:spacing w:val="-1"/>
          <w:sz w:val="18"/>
        </w:rPr>
        <w:t xml:space="preserve"> </w:t>
      </w:r>
      <w:r>
        <w:rPr>
          <w:sz w:val="18"/>
        </w:rPr>
        <w:t>a</w:t>
      </w:r>
      <w:r>
        <w:rPr>
          <w:spacing w:val="-3"/>
          <w:sz w:val="18"/>
        </w:rPr>
        <w:t xml:space="preserve"> </w:t>
      </w:r>
      <w:r>
        <w:rPr>
          <w:sz w:val="18"/>
        </w:rPr>
        <w:t>monthly rotation to</w:t>
      </w:r>
      <w:r>
        <w:rPr>
          <w:spacing w:val="-3"/>
          <w:sz w:val="18"/>
        </w:rPr>
        <w:t xml:space="preserve"> </w:t>
      </w:r>
      <w:r>
        <w:rPr>
          <w:sz w:val="18"/>
        </w:rPr>
        <w:t>areas with</w:t>
      </w:r>
      <w:r>
        <w:rPr>
          <w:spacing w:val="-3"/>
          <w:sz w:val="18"/>
        </w:rPr>
        <w:t xml:space="preserve"> </w:t>
      </w:r>
      <w:r>
        <w:rPr>
          <w:sz w:val="18"/>
        </w:rPr>
        <w:t>minimal or</w:t>
      </w:r>
      <w:r>
        <w:rPr>
          <w:spacing w:val="-3"/>
          <w:sz w:val="18"/>
        </w:rPr>
        <w:t xml:space="preserve"> </w:t>
      </w:r>
      <w:r>
        <w:rPr>
          <w:sz w:val="18"/>
        </w:rPr>
        <w:t>absent</w:t>
      </w:r>
      <w:r>
        <w:rPr>
          <w:spacing w:val="-3"/>
          <w:sz w:val="18"/>
        </w:rPr>
        <w:t xml:space="preserve"> </w:t>
      </w:r>
      <w:r>
        <w:rPr>
          <w:sz w:val="18"/>
        </w:rPr>
        <w:t>police, AP or Community Safety Team (CST) presence. Activities include discussions on VAWC, alcohol and drug use, and the law; school visits and conducting investigations into any complaints made.</w:t>
      </w:r>
    </w:p>
    <w:p w14:paraId="3325BF96" w14:textId="77777777" w:rsidR="009C36E3" w:rsidRDefault="000E7207">
      <w:pPr>
        <w:spacing w:before="123" w:line="268" w:lineRule="auto"/>
        <w:ind w:left="771"/>
        <w:rPr>
          <w:sz w:val="18"/>
        </w:rPr>
      </w:pPr>
      <w:bookmarkStart w:id="3" w:name="_bookmark3"/>
      <w:bookmarkEnd w:id="3"/>
      <w:r>
        <w:rPr>
          <w:position w:val="6"/>
          <w:sz w:val="13"/>
        </w:rPr>
        <w:t>4</w:t>
      </w:r>
      <w:r>
        <w:rPr>
          <w:spacing w:val="16"/>
          <w:position w:val="6"/>
          <w:sz w:val="13"/>
        </w:rPr>
        <w:t xml:space="preserve"> </w:t>
      </w:r>
      <w:r>
        <w:rPr>
          <w:sz w:val="18"/>
        </w:rPr>
        <w:t>Mobility</w:t>
      </w:r>
      <w:r>
        <w:rPr>
          <w:spacing w:val="-1"/>
          <w:sz w:val="18"/>
        </w:rPr>
        <w:t xml:space="preserve"> </w:t>
      </w:r>
      <w:r>
        <w:rPr>
          <w:sz w:val="18"/>
        </w:rPr>
        <w:t>assets</w:t>
      </w:r>
      <w:r>
        <w:rPr>
          <w:spacing w:val="-1"/>
          <w:sz w:val="18"/>
        </w:rPr>
        <w:t xml:space="preserve"> </w:t>
      </w:r>
      <w:r>
        <w:rPr>
          <w:sz w:val="18"/>
        </w:rPr>
        <w:t>are</w:t>
      </w:r>
      <w:r>
        <w:rPr>
          <w:spacing w:val="-1"/>
          <w:sz w:val="18"/>
        </w:rPr>
        <w:t xml:space="preserve"> </w:t>
      </w:r>
      <w:r>
        <w:rPr>
          <w:sz w:val="18"/>
        </w:rPr>
        <w:t>a</w:t>
      </w:r>
      <w:r>
        <w:rPr>
          <w:spacing w:val="-4"/>
          <w:sz w:val="18"/>
        </w:rPr>
        <w:t xml:space="preserve"> </w:t>
      </w:r>
      <w:r>
        <w:rPr>
          <w:sz w:val="18"/>
        </w:rPr>
        <w:t>combination</w:t>
      </w:r>
      <w:r>
        <w:rPr>
          <w:spacing w:val="-4"/>
          <w:sz w:val="18"/>
        </w:rPr>
        <w:t xml:space="preserve"> </w:t>
      </w:r>
      <w:r>
        <w:rPr>
          <w:sz w:val="18"/>
        </w:rPr>
        <w:t>of</w:t>
      </w:r>
      <w:r>
        <w:rPr>
          <w:spacing w:val="-2"/>
          <w:sz w:val="18"/>
        </w:rPr>
        <w:t xml:space="preserve"> </w:t>
      </w:r>
      <w:r>
        <w:rPr>
          <w:sz w:val="18"/>
        </w:rPr>
        <w:t>AFP</w:t>
      </w:r>
      <w:r>
        <w:rPr>
          <w:spacing w:val="-2"/>
          <w:sz w:val="18"/>
        </w:rPr>
        <w:t xml:space="preserve"> </w:t>
      </w:r>
      <w:r>
        <w:rPr>
          <w:sz w:val="18"/>
        </w:rPr>
        <w:t>and</w:t>
      </w:r>
      <w:r>
        <w:rPr>
          <w:spacing w:val="-1"/>
          <w:sz w:val="18"/>
        </w:rPr>
        <w:t xml:space="preserve"> </w:t>
      </w:r>
      <w:r>
        <w:rPr>
          <w:sz w:val="18"/>
        </w:rPr>
        <w:t>VAPJP</w:t>
      </w:r>
      <w:r>
        <w:rPr>
          <w:spacing w:val="-2"/>
          <w:sz w:val="18"/>
        </w:rPr>
        <w:t xml:space="preserve"> </w:t>
      </w:r>
      <w:r>
        <w:rPr>
          <w:sz w:val="18"/>
        </w:rPr>
        <w:t>funded.</w:t>
      </w:r>
      <w:r>
        <w:rPr>
          <w:spacing w:val="80"/>
          <w:sz w:val="18"/>
        </w:rPr>
        <w:t xml:space="preserve"> </w:t>
      </w:r>
      <w:r>
        <w:rPr>
          <w:sz w:val="18"/>
        </w:rPr>
        <w:t>VAPJP</w:t>
      </w:r>
      <w:r>
        <w:rPr>
          <w:spacing w:val="-5"/>
          <w:sz w:val="18"/>
        </w:rPr>
        <w:t xml:space="preserve"> </w:t>
      </w:r>
      <w:r>
        <w:rPr>
          <w:sz w:val="18"/>
        </w:rPr>
        <w:t>funded</w:t>
      </w:r>
      <w:r>
        <w:rPr>
          <w:spacing w:val="-1"/>
          <w:sz w:val="18"/>
        </w:rPr>
        <w:t xml:space="preserve"> </w:t>
      </w:r>
      <w:r>
        <w:rPr>
          <w:sz w:val="18"/>
        </w:rPr>
        <w:t>the</w:t>
      </w:r>
      <w:r>
        <w:rPr>
          <w:spacing w:val="-1"/>
          <w:sz w:val="18"/>
        </w:rPr>
        <w:t xml:space="preserve"> </w:t>
      </w:r>
      <w:r>
        <w:rPr>
          <w:sz w:val="18"/>
        </w:rPr>
        <w:t>banana</w:t>
      </w:r>
      <w:r>
        <w:rPr>
          <w:spacing w:val="-4"/>
          <w:sz w:val="18"/>
        </w:rPr>
        <w:t xml:space="preserve"> </w:t>
      </w:r>
      <w:r>
        <w:rPr>
          <w:sz w:val="18"/>
        </w:rPr>
        <w:t>boats,</w:t>
      </w:r>
      <w:r>
        <w:rPr>
          <w:spacing w:val="-2"/>
          <w:sz w:val="18"/>
        </w:rPr>
        <w:t xml:space="preserve"> </w:t>
      </w:r>
      <w:r>
        <w:rPr>
          <w:sz w:val="18"/>
        </w:rPr>
        <w:t>some</w:t>
      </w:r>
      <w:r>
        <w:rPr>
          <w:spacing w:val="-1"/>
          <w:sz w:val="18"/>
        </w:rPr>
        <w:t xml:space="preserve"> </w:t>
      </w:r>
      <w:r>
        <w:rPr>
          <w:sz w:val="18"/>
        </w:rPr>
        <w:t>quad</w:t>
      </w:r>
      <w:r>
        <w:rPr>
          <w:spacing w:val="-1"/>
          <w:sz w:val="18"/>
        </w:rPr>
        <w:t xml:space="preserve"> </w:t>
      </w:r>
      <w:r>
        <w:rPr>
          <w:sz w:val="18"/>
        </w:rPr>
        <w:t>bikes,</w:t>
      </w:r>
      <w:r>
        <w:rPr>
          <w:spacing w:val="-2"/>
          <w:sz w:val="18"/>
        </w:rPr>
        <w:t xml:space="preserve"> </w:t>
      </w:r>
      <w:r>
        <w:rPr>
          <w:sz w:val="18"/>
        </w:rPr>
        <w:t>trucks</w:t>
      </w:r>
      <w:r>
        <w:rPr>
          <w:spacing w:val="-1"/>
          <w:sz w:val="18"/>
        </w:rPr>
        <w:t xml:space="preserve"> </w:t>
      </w:r>
      <w:r>
        <w:rPr>
          <w:sz w:val="18"/>
        </w:rPr>
        <w:t>and two Landcruiser’s.</w:t>
      </w:r>
      <w:r>
        <w:rPr>
          <w:spacing w:val="40"/>
          <w:sz w:val="18"/>
        </w:rPr>
        <w:t xml:space="preserve"> </w:t>
      </w:r>
      <w:r>
        <w:rPr>
          <w:sz w:val="18"/>
        </w:rPr>
        <w:t>AFP through the Pacific Initiatives Funding 2022 provided four Landcruiser’s and four quad bikes.</w:t>
      </w:r>
    </w:p>
    <w:p w14:paraId="4A33B8E8" w14:textId="77777777" w:rsidR="009C36E3" w:rsidRDefault="009C36E3">
      <w:pPr>
        <w:spacing w:line="268" w:lineRule="auto"/>
        <w:rPr>
          <w:sz w:val="18"/>
        </w:rPr>
        <w:sectPr w:rsidR="009C36E3">
          <w:pgSz w:w="11910" w:h="16850"/>
          <w:pgMar w:top="1040" w:right="740" w:bottom="740" w:left="80" w:header="552" w:footer="559" w:gutter="0"/>
          <w:cols w:space="720"/>
        </w:sectPr>
      </w:pPr>
    </w:p>
    <w:p w14:paraId="3D4966D6" w14:textId="77777777" w:rsidR="009C36E3" w:rsidRDefault="000E7207">
      <w:pPr>
        <w:pStyle w:val="BodyText"/>
        <w:spacing w:before="91"/>
      </w:pPr>
      <w:r>
        <w:t>improve</w:t>
      </w:r>
      <w:r>
        <w:rPr>
          <w:spacing w:val="-2"/>
        </w:rPr>
        <w:t xml:space="preserve"> </w:t>
      </w:r>
      <w:r>
        <w:t>the</w:t>
      </w:r>
      <w:r>
        <w:rPr>
          <w:spacing w:val="-2"/>
        </w:rPr>
        <w:t xml:space="preserve"> </w:t>
      </w:r>
      <w:r>
        <w:t>reach,</w:t>
      </w:r>
      <w:r>
        <w:rPr>
          <w:spacing w:val="-2"/>
        </w:rPr>
        <w:t xml:space="preserve"> </w:t>
      </w:r>
      <w:r>
        <w:t>quality</w:t>
      </w:r>
      <w:r>
        <w:rPr>
          <w:spacing w:val="-3"/>
        </w:rPr>
        <w:t xml:space="preserve"> </w:t>
      </w:r>
      <w:r>
        <w:t>and</w:t>
      </w:r>
      <w:r>
        <w:rPr>
          <w:spacing w:val="-4"/>
        </w:rPr>
        <w:t xml:space="preserve"> </w:t>
      </w:r>
      <w:r>
        <w:t>sustainability</w:t>
      </w:r>
      <w:r>
        <w:rPr>
          <w:spacing w:val="-3"/>
        </w:rPr>
        <w:t xml:space="preserve"> </w:t>
      </w:r>
      <w:r>
        <w:t>of</w:t>
      </w:r>
      <w:r>
        <w:rPr>
          <w:spacing w:val="-4"/>
        </w:rPr>
        <w:t xml:space="preserve"> </w:t>
      </w:r>
      <w:r>
        <w:t>the</w:t>
      </w:r>
      <w:r>
        <w:rPr>
          <w:spacing w:val="-2"/>
        </w:rPr>
        <w:t xml:space="preserve"> </w:t>
      </w:r>
      <w:r>
        <w:t>program,</w:t>
      </w:r>
      <w:r>
        <w:rPr>
          <w:spacing w:val="-2"/>
        </w:rPr>
        <w:t xml:space="preserve"> </w:t>
      </w:r>
      <w:r>
        <w:t>although</w:t>
      </w:r>
      <w:r>
        <w:rPr>
          <w:spacing w:val="-2"/>
        </w:rPr>
        <w:t xml:space="preserve"> </w:t>
      </w:r>
      <w:r>
        <w:t>it</w:t>
      </w:r>
      <w:r>
        <w:rPr>
          <w:spacing w:val="-4"/>
        </w:rPr>
        <w:t xml:space="preserve"> </w:t>
      </w:r>
      <w:r>
        <w:t>would</w:t>
      </w:r>
      <w:r>
        <w:rPr>
          <w:spacing w:val="-4"/>
        </w:rPr>
        <w:t xml:space="preserve"> </w:t>
      </w:r>
      <w:r>
        <w:t>need</w:t>
      </w:r>
      <w:r>
        <w:rPr>
          <w:spacing w:val="-4"/>
        </w:rPr>
        <w:t xml:space="preserve"> </w:t>
      </w:r>
      <w:r>
        <w:t>an</w:t>
      </w:r>
      <w:r>
        <w:rPr>
          <w:spacing w:val="-4"/>
        </w:rPr>
        <w:t xml:space="preserve"> </w:t>
      </w:r>
      <w:r>
        <w:t>integrated</w:t>
      </w:r>
      <w:r>
        <w:rPr>
          <w:spacing w:val="-2"/>
        </w:rPr>
        <w:t xml:space="preserve"> </w:t>
      </w:r>
      <w:r>
        <w:t xml:space="preserve">accompaniment approach to strengthen capacity, and adequate resources within the program to provide oversight and quality </w:t>
      </w:r>
      <w:r>
        <w:rPr>
          <w:spacing w:val="-2"/>
        </w:rPr>
        <w:t>assurance.</w:t>
      </w:r>
    </w:p>
    <w:p w14:paraId="43FAEF51" w14:textId="77777777" w:rsidR="009C36E3" w:rsidRDefault="000E7207">
      <w:pPr>
        <w:pStyle w:val="BodyText"/>
        <w:spacing w:before="121"/>
        <w:ind w:right="108"/>
      </w:pPr>
      <w:r>
        <w:t xml:space="preserve">Noting the very high reliance on VAPJP to financially support the VPF to extend their reach and quality, the MTR team considered whether there was more that VAPJP could be doing to support the VPF in securing appropriate levels of budget </w:t>
      </w:r>
      <w:proofErr w:type="gramStart"/>
      <w:r>
        <w:t>support, but</w:t>
      </w:r>
      <w:proofErr w:type="gramEnd"/>
      <w:r>
        <w:t xml:space="preserve"> did not become aware of any additional opportunities that have not already been attempted.</w:t>
      </w:r>
      <w:r>
        <w:rPr>
          <w:spacing w:val="-1"/>
        </w:rPr>
        <w:t xml:space="preserve"> </w:t>
      </w:r>
      <w:r>
        <w:t>While</w:t>
      </w:r>
      <w:r>
        <w:rPr>
          <w:spacing w:val="-3"/>
        </w:rPr>
        <w:t xml:space="preserve"> </w:t>
      </w:r>
      <w:r>
        <w:t>separate</w:t>
      </w:r>
      <w:r>
        <w:rPr>
          <w:spacing w:val="-3"/>
        </w:rPr>
        <w:t xml:space="preserve"> </w:t>
      </w:r>
      <w:r>
        <w:t>from</w:t>
      </w:r>
      <w:r>
        <w:rPr>
          <w:spacing w:val="-3"/>
        </w:rPr>
        <w:t xml:space="preserve"> </w:t>
      </w:r>
      <w:r>
        <w:t>VAPJP,</w:t>
      </w:r>
      <w:r>
        <w:rPr>
          <w:spacing w:val="-3"/>
        </w:rPr>
        <w:t xml:space="preserve"> </w:t>
      </w:r>
      <w:r>
        <w:t>additional</w:t>
      </w:r>
      <w:r>
        <w:rPr>
          <w:spacing w:val="-4"/>
        </w:rPr>
        <w:t xml:space="preserve"> </w:t>
      </w:r>
      <w:r>
        <w:t>inputs</w:t>
      </w:r>
      <w:r>
        <w:rPr>
          <w:spacing w:val="-2"/>
        </w:rPr>
        <w:t xml:space="preserve"> </w:t>
      </w:r>
      <w:r>
        <w:t>of</w:t>
      </w:r>
      <w:r>
        <w:rPr>
          <w:spacing w:val="-3"/>
        </w:rPr>
        <w:t xml:space="preserve"> </w:t>
      </w:r>
      <w:r>
        <w:t>AFP</w:t>
      </w:r>
      <w:r>
        <w:rPr>
          <w:spacing w:val="-4"/>
        </w:rPr>
        <w:t xml:space="preserve"> </w:t>
      </w:r>
      <w:r>
        <w:t>directly</w:t>
      </w:r>
      <w:r>
        <w:rPr>
          <w:spacing w:val="-2"/>
        </w:rPr>
        <w:t xml:space="preserve"> </w:t>
      </w:r>
      <w:r>
        <w:t>to</w:t>
      </w:r>
      <w:r>
        <w:rPr>
          <w:spacing w:val="-3"/>
        </w:rPr>
        <w:t xml:space="preserve"> </w:t>
      </w:r>
      <w:r>
        <w:t>VPF</w:t>
      </w:r>
      <w:r>
        <w:rPr>
          <w:spacing w:val="-2"/>
        </w:rPr>
        <w:t xml:space="preserve"> </w:t>
      </w:r>
      <w:r>
        <w:t>complement</w:t>
      </w:r>
      <w:r>
        <w:rPr>
          <w:spacing w:val="-3"/>
        </w:rPr>
        <w:t xml:space="preserve"> </w:t>
      </w:r>
      <w:r>
        <w:t>the</w:t>
      </w:r>
      <w:r>
        <w:rPr>
          <w:spacing w:val="-1"/>
        </w:rPr>
        <w:t xml:space="preserve"> </w:t>
      </w:r>
      <w:r>
        <w:t>investments being made through the program as guided by the Program Coordinator Policing (PC-P) and align with GoV commitment to decentralisation (VAPJP, 2022a).</w:t>
      </w:r>
    </w:p>
    <w:p w14:paraId="0CBBCC86" w14:textId="77777777" w:rsidR="009C36E3" w:rsidRDefault="000E7207">
      <w:pPr>
        <w:pStyle w:val="BodyText"/>
        <w:spacing w:before="120"/>
        <w:ind w:right="120"/>
      </w:pPr>
      <w:r>
        <w:rPr>
          <w:b/>
        </w:rPr>
        <w:t xml:space="preserve">EOPO2: </w:t>
      </w:r>
      <w:r>
        <w:t>There is some evidence that awareness raising and community engagement by the Program has led to uptake of services by women, children and youth, but VAPJP could better systematise and analyse data on the outcomes of this work, including the extent to which services are being accessed. A broad range of actors both inside and outside VAPJP programming are involved in awareness raising in relation to VAWC, but it was not possible</w:t>
      </w:r>
      <w:r>
        <w:rPr>
          <w:spacing w:val="-4"/>
        </w:rPr>
        <w:t xml:space="preserve"> </w:t>
      </w:r>
      <w:r>
        <w:t>to</w:t>
      </w:r>
      <w:r>
        <w:rPr>
          <w:spacing w:val="-2"/>
        </w:rPr>
        <w:t xml:space="preserve"> </w:t>
      </w:r>
      <w:r>
        <w:t>verify</w:t>
      </w:r>
      <w:r>
        <w:rPr>
          <w:spacing w:val="-3"/>
        </w:rPr>
        <w:t xml:space="preserve"> </w:t>
      </w:r>
      <w:r>
        <w:t>the</w:t>
      </w:r>
      <w:r>
        <w:rPr>
          <w:spacing w:val="-4"/>
        </w:rPr>
        <w:t xml:space="preserve"> </w:t>
      </w:r>
      <w:r>
        <w:t>consistency</w:t>
      </w:r>
      <w:r>
        <w:rPr>
          <w:spacing w:val="-3"/>
        </w:rPr>
        <w:t xml:space="preserve"> </w:t>
      </w:r>
      <w:r>
        <w:t>of</w:t>
      </w:r>
      <w:r>
        <w:rPr>
          <w:spacing w:val="-4"/>
        </w:rPr>
        <w:t xml:space="preserve"> </w:t>
      </w:r>
      <w:r>
        <w:t>messaging</w:t>
      </w:r>
      <w:r>
        <w:rPr>
          <w:spacing w:val="-2"/>
        </w:rPr>
        <w:t xml:space="preserve"> </w:t>
      </w:r>
      <w:r>
        <w:t>and</w:t>
      </w:r>
      <w:r>
        <w:rPr>
          <w:spacing w:val="-2"/>
        </w:rPr>
        <w:t xml:space="preserve"> </w:t>
      </w:r>
      <w:r>
        <w:t>whether</w:t>
      </w:r>
      <w:r>
        <w:rPr>
          <w:spacing w:val="-1"/>
        </w:rPr>
        <w:t xml:space="preserve"> </w:t>
      </w:r>
      <w:r>
        <w:t>it</w:t>
      </w:r>
      <w:r>
        <w:rPr>
          <w:spacing w:val="-4"/>
        </w:rPr>
        <w:t xml:space="preserve"> </w:t>
      </w:r>
      <w:r>
        <w:t>demonstrates</w:t>
      </w:r>
      <w:r>
        <w:rPr>
          <w:spacing w:val="-3"/>
        </w:rPr>
        <w:t xml:space="preserve"> </w:t>
      </w:r>
      <w:r>
        <w:t>best</w:t>
      </w:r>
      <w:r>
        <w:rPr>
          <w:spacing w:val="-2"/>
        </w:rPr>
        <w:t xml:space="preserve"> </w:t>
      </w:r>
      <w:r>
        <w:t>practice</w:t>
      </w:r>
      <w:r>
        <w:rPr>
          <w:spacing w:val="-4"/>
        </w:rPr>
        <w:t xml:space="preserve"> </w:t>
      </w:r>
      <w:r>
        <w:t>in</w:t>
      </w:r>
      <w:r>
        <w:rPr>
          <w:spacing w:val="-4"/>
        </w:rPr>
        <w:t xml:space="preserve"> </w:t>
      </w:r>
      <w:r>
        <w:t>bringing</w:t>
      </w:r>
      <w:r>
        <w:rPr>
          <w:spacing w:val="-4"/>
        </w:rPr>
        <w:t xml:space="preserve"> </w:t>
      </w:r>
      <w:r>
        <w:t>about</w:t>
      </w:r>
      <w:r>
        <w:rPr>
          <w:spacing w:val="-4"/>
        </w:rPr>
        <w:t xml:space="preserve"> </w:t>
      </w:r>
      <w:r>
        <w:t>change in attitudes and practice.</w:t>
      </w:r>
    </w:p>
    <w:p w14:paraId="1BA1D8D8" w14:textId="77777777" w:rsidR="009C36E3" w:rsidRDefault="000E7207">
      <w:pPr>
        <w:pStyle w:val="BodyText"/>
        <w:spacing w:before="121"/>
        <w:ind w:right="149"/>
      </w:pPr>
      <w:r>
        <w:rPr>
          <w:b/>
        </w:rPr>
        <w:t xml:space="preserve">EOPO3: </w:t>
      </w:r>
      <w:r>
        <w:t>VAPJP has provided well-regarded support to policing and justice agencies to maintain public security</w:t>
      </w:r>
      <w:r>
        <w:rPr>
          <w:spacing w:val="40"/>
        </w:rPr>
        <w:t xml:space="preserve"> </w:t>
      </w:r>
      <w:r>
        <w:t>and the rule of law. Confidence in VPF has reportedly increased due to their greater visibility, improved handling of crisis media communications, increased engagement with communities, and improved approach to professional standards. Purposeful development of the VPF has been greatly aided by conducting the VPF Organisational Performance Study</w:t>
      </w:r>
      <w:r>
        <w:rPr>
          <w:spacing w:val="-1"/>
        </w:rPr>
        <w:t xml:space="preserve"> </w:t>
      </w:r>
      <w:r>
        <w:t>(OPS), the</w:t>
      </w:r>
      <w:r>
        <w:rPr>
          <w:spacing w:val="-2"/>
        </w:rPr>
        <w:t xml:space="preserve"> </w:t>
      </w:r>
      <w:r>
        <w:t>acceptance of</w:t>
      </w:r>
      <w:r>
        <w:rPr>
          <w:spacing w:val="-2"/>
        </w:rPr>
        <w:t xml:space="preserve"> </w:t>
      </w:r>
      <w:r>
        <w:t>all</w:t>
      </w:r>
      <w:r>
        <w:rPr>
          <w:spacing w:val="-1"/>
        </w:rPr>
        <w:t xml:space="preserve"> </w:t>
      </w:r>
      <w:r>
        <w:t>its</w:t>
      </w:r>
      <w:r>
        <w:rPr>
          <w:spacing w:val="-1"/>
        </w:rPr>
        <w:t xml:space="preserve"> </w:t>
      </w:r>
      <w:r>
        <w:t>85 recommendations,</w:t>
      </w:r>
      <w:r>
        <w:rPr>
          <w:spacing w:val="-2"/>
        </w:rPr>
        <w:t xml:space="preserve"> </w:t>
      </w:r>
      <w:r>
        <w:t>and</w:t>
      </w:r>
      <w:r>
        <w:rPr>
          <w:spacing w:val="-2"/>
        </w:rPr>
        <w:t xml:space="preserve"> </w:t>
      </w:r>
      <w:r>
        <w:t>their</w:t>
      </w:r>
      <w:r>
        <w:rPr>
          <w:spacing w:val="-1"/>
        </w:rPr>
        <w:t xml:space="preserve"> </w:t>
      </w:r>
      <w:r>
        <w:t>incorporation</w:t>
      </w:r>
      <w:r>
        <w:rPr>
          <w:spacing w:val="-2"/>
        </w:rPr>
        <w:t xml:space="preserve"> </w:t>
      </w:r>
      <w:r>
        <w:t>in</w:t>
      </w:r>
      <w:r>
        <w:rPr>
          <w:spacing w:val="-2"/>
        </w:rPr>
        <w:t xml:space="preserve"> </w:t>
      </w:r>
      <w:r>
        <w:t>VPF’s</w:t>
      </w:r>
      <w:r>
        <w:rPr>
          <w:spacing w:val="-1"/>
        </w:rPr>
        <w:t xml:space="preserve"> </w:t>
      </w:r>
      <w:r>
        <w:t>strategic plan</w:t>
      </w:r>
      <w:r>
        <w:rPr>
          <w:spacing w:val="-3"/>
        </w:rPr>
        <w:t xml:space="preserve"> </w:t>
      </w:r>
      <w:r>
        <w:t>(McLeod,</w:t>
      </w:r>
      <w:r>
        <w:rPr>
          <w:spacing w:val="-1"/>
        </w:rPr>
        <w:t xml:space="preserve"> </w:t>
      </w:r>
      <w:r>
        <w:t>2022).</w:t>
      </w:r>
      <w:r>
        <w:rPr>
          <w:spacing w:val="-3"/>
        </w:rPr>
        <w:t xml:space="preserve"> </w:t>
      </w:r>
      <w:r>
        <w:t>An</w:t>
      </w:r>
      <w:r>
        <w:rPr>
          <w:spacing w:val="-3"/>
        </w:rPr>
        <w:t xml:space="preserve"> </w:t>
      </w:r>
      <w:r>
        <w:t>important</w:t>
      </w:r>
      <w:r>
        <w:rPr>
          <w:spacing w:val="-3"/>
        </w:rPr>
        <w:t xml:space="preserve"> </w:t>
      </w:r>
      <w:r>
        <w:t>next</w:t>
      </w:r>
      <w:r>
        <w:rPr>
          <w:spacing w:val="-3"/>
        </w:rPr>
        <w:t xml:space="preserve"> </w:t>
      </w:r>
      <w:r>
        <w:t>step</w:t>
      </w:r>
      <w:r>
        <w:rPr>
          <w:spacing w:val="-1"/>
        </w:rPr>
        <w:t xml:space="preserve"> </w:t>
      </w:r>
      <w:r>
        <w:t>for</w:t>
      </w:r>
      <w:r>
        <w:rPr>
          <w:spacing w:val="-2"/>
        </w:rPr>
        <w:t xml:space="preserve"> </w:t>
      </w:r>
      <w:r>
        <w:t>discussions</w:t>
      </w:r>
      <w:r>
        <w:rPr>
          <w:spacing w:val="-2"/>
        </w:rPr>
        <w:t xml:space="preserve"> </w:t>
      </w:r>
      <w:r>
        <w:t>about</w:t>
      </w:r>
      <w:r>
        <w:rPr>
          <w:spacing w:val="-1"/>
        </w:rPr>
        <w:t xml:space="preserve"> </w:t>
      </w:r>
      <w:r>
        <w:t>future</w:t>
      </w:r>
      <w:r>
        <w:rPr>
          <w:spacing w:val="-3"/>
        </w:rPr>
        <w:t xml:space="preserve"> </w:t>
      </w:r>
      <w:r>
        <w:t>support</w:t>
      </w:r>
      <w:r>
        <w:rPr>
          <w:spacing w:val="-3"/>
        </w:rPr>
        <w:t xml:space="preserve"> </w:t>
      </w:r>
      <w:r>
        <w:t>would</w:t>
      </w:r>
      <w:r>
        <w:rPr>
          <w:spacing w:val="-3"/>
        </w:rPr>
        <w:t xml:space="preserve"> </w:t>
      </w:r>
      <w:r>
        <w:t>be</w:t>
      </w:r>
      <w:r>
        <w:rPr>
          <w:spacing w:val="-3"/>
        </w:rPr>
        <w:t xml:space="preserve"> </w:t>
      </w:r>
      <w:r>
        <w:t>conducting</w:t>
      </w:r>
      <w:r>
        <w:rPr>
          <w:spacing w:val="-3"/>
        </w:rPr>
        <w:t xml:space="preserve"> </w:t>
      </w:r>
      <w:r>
        <w:t>a</w:t>
      </w:r>
      <w:r>
        <w:rPr>
          <w:spacing w:val="-1"/>
        </w:rPr>
        <w:t xml:space="preserve"> </w:t>
      </w:r>
      <w:r>
        <w:t>Total</w:t>
      </w:r>
      <w:r>
        <w:rPr>
          <w:spacing w:val="-2"/>
        </w:rPr>
        <w:t xml:space="preserve"> </w:t>
      </w:r>
      <w:r>
        <w:t>Cost of Policing Study, noting that the OPS reports that this is not currently known.</w:t>
      </w:r>
    </w:p>
    <w:p w14:paraId="2B0897BC" w14:textId="77777777" w:rsidR="009C36E3" w:rsidRDefault="000E7207">
      <w:pPr>
        <w:pStyle w:val="BodyText"/>
        <w:spacing w:before="119"/>
        <w:ind w:right="128"/>
      </w:pPr>
      <w:r>
        <w:rPr>
          <w:b/>
        </w:rPr>
        <w:t xml:space="preserve">GEDSI: </w:t>
      </w:r>
      <w:r>
        <w:t>VAPJP is making important contributions towards inclusion. This is critical, to ensure that gains are not</w:t>
      </w:r>
      <w:r>
        <w:rPr>
          <w:spacing w:val="40"/>
        </w:rPr>
        <w:t xml:space="preserve"> </w:t>
      </w:r>
      <w:r>
        <w:t>lost. A more targeted inclusion focus could allow for greater visibility and investment in outcomes to strengthen security</w:t>
      </w:r>
      <w:r>
        <w:rPr>
          <w:spacing w:val="-2"/>
        </w:rPr>
        <w:t xml:space="preserve"> </w:t>
      </w:r>
      <w:r>
        <w:t>for</w:t>
      </w:r>
      <w:r>
        <w:rPr>
          <w:spacing w:val="-2"/>
        </w:rPr>
        <w:t xml:space="preserve"> </w:t>
      </w:r>
      <w:r>
        <w:t>women,</w:t>
      </w:r>
      <w:r>
        <w:rPr>
          <w:spacing w:val="-3"/>
        </w:rPr>
        <w:t xml:space="preserve"> </w:t>
      </w:r>
      <w:r>
        <w:t>children</w:t>
      </w:r>
      <w:r>
        <w:rPr>
          <w:spacing w:val="-3"/>
        </w:rPr>
        <w:t xml:space="preserve"> </w:t>
      </w:r>
      <w:r>
        <w:t>and</w:t>
      </w:r>
      <w:r>
        <w:rPr>
          <w:spacing w:val="-3"/>
        </w:rPr>
        <w:t xml:space="preserve"> </w:t>
      </w:r>
      <w:r>
        <w:t>people</w:t>
      </w:r>
      <w:r>
        <w:rPr>
          <w:spacing w:val="-3"/>
        </w:rPr>
        <w:t xml:space="preserve"> </w:t>
      </w:r>
      <w:r>
        <w:t>with</w:t>
      </w:r>
      <w:r>
        <w:rPr>
          <w:spacing w:val="-1"/>
        </w:rPr>
        <w:t xml:space="preserve"> </w:t>
      </w:r>
      <w:r>
        <w:t>disabilities,</w:t>
      </w:r>
      <w:r>
        <w:rPr>
          <w:spacing w:val="-3"/>
        </w:rPr>
        <w:t xml:space="preserve"> </w:t>
      </w:r>
      <w:r>
        <w:t>including</w:t>
      </w:r>
      <w:r>
        <w:rPr>
          <w:spacing w:val="-1"/>
        </w:rPr>
        <w:t xml:space="preserve"> </w:t>
      </w:r>
      <w:r>
        <w:t>in</w:t>
      </w:r>
      <w:r>
        <w:rPr>
          <w:spacing w:val="-3"/>
        </w:rPr>
        <w:t xml:space="preserve"> </w:t>
      </w:r>
      <w:r>
        <w:t>remote</w:t>
      </w:r>
      <w:r>
        <w:rPr>
          <w:spacing w:val="-1"/>
        </w:rPr>
        <w:t xml:space="preserve"> </w:t>
      </w:r>
      <w:r>
        <w:t>areas.</w:t>
      </w:r>
      <w:r>
        <w:rPr>
          <w:spacing w:val="-3"/>
        </w:rPr>
        <w:t xml:space="preserve"> </w:t>
      </w:r>
      <w:r>
        <w:t>The</w:t>
      </w:r>
      <w:r>
        <w:rPr>
          <w:spacing w:val="-1"/>
        </w:rPr>
        <w:t xml:space="preserve"> </w:t>
      </w:r>
      <w:r>
        <w:t>lack</w:t>
      </w:r>
      <w:r>
        <w:rPr>
          <w:spacing w:val="-2"/>
        </w:rPr>
        <w:t xml:space="preserve"> </w:t>
      </w:r>
      <w:r>
        <w:t>of</w:t>
      </w:r>
      <w:r>
        <w:rPr>
          <w:spacing w:val="-3"/>
        </w:rPr>
        <w:t xml:space="preserve"> </w:t>
      </w:r>
      <w:r>
        <w:t>resources</w:t>
      </w:r>
      <w:r>
        <w:rPr>
          <w:spacing w:val="-2"/>
        </w:rPr>
        <w:t xml:space="preserve"> </w:t>
      </w:r>
      <w:r>
        <w:t>and</w:t>
      </w:r>
      <w:r>
        <w:rPr>
          <w:spacing w:val="-1"/>
        </w:rPr>
        <w:t xml:space="preserve"> </w:t>
      </w:r>
      <w:r>
        <w:t>small number of organisations working to provide services for people with disabilities compared to the complexity and extent of the issues faced in communities remains a major challenge. VAPJP’s Disability and Inclusion Officer has</w:t>
      </w:r>
      <w:r>
        <w:rPr>
          <w:spacing w:val="40"/>
        </w:rPr>
        <w:t xml:space="preserve"> </w:t>
      </w:r>
      <w:r>
        <w:t>a key role to play in building capabilities and support for people with disabilities in the justice system. VAPJP’s GEDSI Action Plan (GAP) is a useful tool for monitoring and reporting but could be better used to promote</w:t>
      </w:r>
      <w:r>
        <w:rPr>
          <w:spacing w:val="40"/>
        </w:rPr>
        <w:t xml:space="preserve"> </w:t>
      </w:r>
      <w:r>
        <w:t>improved awareness of VAPJP’s efforts amongst the team and counterparts and encourage stronger communication between agencies and between justice and policing workstreams. Increased resourcing is required for the FPU to respond to cases of VAWC and engage with community-based services, particularly in provinces.</w:t>
      </w:r>
    </w:p>
    <w:p w14:paraId="03B1C2CB" w14:textId="77777777" w:rsidR="009C36E3" w:rsidRDefault="000E7207">
      <w:pPr>
        <w:pStyle w:val="BodyText"/>
        <w:spacing w:before="2"/>
        <w:ind w:hanging="1"/>
      </w:pPr>
      <w:r>
        <w:t>This could include increased capacity to respond to victims, a roll out of private spaces for victims including child- friendly</w:t>
      </w:r>
      <w:r>
        <w:rPr>
          <w:spacing w:val="-3"/>
        </w:rPr>
        <w:t xml:space="preserve"> </w:t>
      </w:r>
      <w:r>
        <w:t>interview</w:t>
      </w:r>
      <w:r>
        <w:rPr>
          <w:spacing w:val="-4"/>
        </w:rPr>
        <w:t xml:space="preserve"> </w:t>
      </w:r>
      <w:r>
        <w:t>rooms</w:t>
      </w:r>
      <w:r>
        <w:rPr>
          <w:spacing w:val="-3"/>
        </w:rPr>
        <w:t xml:space="preserve"> </w:t>
      </w:r>
      <w:r>
        <w:t>beyond</w:t>
      </w:r>
      <w:r>
        <w:rPr>
          <w:spacing w:val="-4"/>
        </w:rPr>
        <w:t xml:space="preserve"> </w:t>
      </w:r>
      <w:r>
        <w:t>Port</w:t>
      </w:r>
      <w:r>
        <w:rPr>
          <w:spacing w:val="-4"/>
        </w:rPr>
        <w:t xml:space="preserve"> </w:t>
      </w:r>
      <w:r>
        <w:t>Vila,</w:t>
      </w:r>
      <w:r>
        <w:rPr>
          <w:spacing w:val="-4"/>
        </w:rPr>
        <w:t xml:space="preserve"> </w:t>
      </w:r>
      <w:r>
        <w:t>the</w:t>
      </w:r>
      <w:r>
        <w:rPr>
          <w:spacing w:val="-2"/>
        </w:rPr>
        <w:t xml:space="preserve"> </w:t>
      </w:r>
      <w:r>
        <w:t>provision</w:t>
      </w:r>
      <w:r>
        <w:rPr>
          <w:spacing w:val="-4"/>
        </w:rPr>
        <w:t xml:space="preserve"> </w:t>
      </w:r>
      <w:r>
        <w:t>of</w:t>
      </w:r>
      <w:r>
        <w:rPr>
          <w:spacing w:val="-2"/>
        </w:rPr>
        <w:t xml:space="preserve"> </w:t>
      </w:r>
      <w:r>
        <w:t>dedicated</w:t>
      </w:r>
      <w:r>
        <w:rPr>
          <w:spacing w:val="-4"/>
        </w:rPr>
        <w:t xml:space="preserve"> </w:t>
      </w:r>
      <w:r>
        <w:t>vehicles,</w:t>
      </w:r>
      <w:r>
        <w:rPr>
          <w:spacing w:val="-1"/>
        </w:rPr>
        <w:t xml:space="preserve"> </w:t>
      </w:r>
      <w:r>
        <w:t>and</w:t>
      </w:r>
      <w:r>
        <w:rPr>
          <w:spacing w:val="-4"/>
        </w:rPr>
        <w:t xml:space="preserve"> </w:t>
      </w:r>
      <w:r>
        <w:t>coordination</w:t>
      </w:r>
      <w:r>
        <w:rPr>
          <w:spacing w:val="-4"/>
        </w:rPr>
        <w:t xml:space="preserve"> </w:t>
      </w:r>
      <w:r>
        <w:t>with</w:t>
      </w:r>
      <w:r>
        <w:rPr>
          <w:spacing w:val="-4"/>
        </w:rPr>
        <w:t xml:space="preserve"> </w:t>
      </w:r>
      <w:r>
        <w:t>Department</w:t>
      </w:r>
      <w:r>
        <w:rPr>
          <w:spacing w:val="-2"/>
        </w:rPr>
        <w:t xml:space="preserve"> </w:t>
      </w:r>
      <w:r>
        <w:t>of Labour &amp; Employment Services regarding an increase in children at risk due to parents away for seasonal work.</w:t>
      </w:r>
    </w:p>
    <w:p w14:paraId="558AA1C3" w14:textId="77777777" w:rsidR="009C36E3" w:rsidRDefault="000E7207">
      <w:pPr>
        <w:pStyle w:val="BodyText"/>
        <w:spacing w:before="119"/>
        <w:ind w:right="167"/>
      </w:pPr>
      <w:r>
        <w:t>Increased resources and expertise are also needed to safely expand the CA2J efforts to build awareness and support</w:t>
      </w:r>
      <w:r>
        <w:rPr>
          <w:spacing w:val="-4"/>
        </w:rPr>
        <w:t xml:space="preserve"> </w:t>
      </w:r>
      <w:r>
        <w:t>to</w:t>
      </w:r>
      <w:r>
        <w:rPr>
          <w:spacing w:val="-4"/>
        </w:rPr>
        <w:t xml:space="preserve"> </w:t>
      </w:r>
      <w:r>
        <w:t>address</w:t>
      </w:r>
      <w:r>
        <w:rPr>
          <w:spacing w:val="-3"/>
        </w:rPr>
        <w:t xml:space="preserve"> </w:t>
      </w:r>
      <w:r>
        <w:t>VAWC and</w:t>
      </w:r>
      <w:r>
        <w:rPr>
          <w:spacing w:val="-2"/>
        </w:rPr>
        <w:t xml:space="preserve"> </w:t>
      </w:r>
      <w:r>
        <w:t>disability</w:t>
      </w:r>
      <w:r>
        <w:rPr>
          <w:spacing w:val="-3"/>
        </w:rPr>
        <w:t xml:space="preserve"> </w:t>
      </w:r>
      <w:r>
        <w:t>inclusion</w:t>
      </w:r>
      <w:r>
        <w:rPr>
          <w:spacing w:val="-2"/>
        </w:rPr>
        <w:t xml:space="preserve"> </w:t>
      </w:r>
      <w:r>
        <w:t>among</w:t>
      </w:r>
      <w:r>
        <w:rPr>
          <w:spacing w:val="-4"/>
        </w:rPr>
        <w:t xml:space="preserve"> </w:t>
      </w:r>
      <w:r>
        <w:t>chiefs</w:t>
      </w:r>
      <w:r>
        <w:rPr>
          <w:spacing w:val="-3"/>
        </w:rPr>
        <w:t xml:space="preserve"> </w:t>
      </w:r>
      <w:r>
        <w:t>and</w:t>
      </w:r>
      <w:r>
        <w:rPr>
          <w:spacing w:val="-4"/>
        </w:rPr>
        <w:t xml:space="preserve"> </w:t>
      </w:r>
      <w:r>
        <w:t>community</w:t>
      </w:r>
      <w:r>
        <w:rPr>
          <w:spacing w:val="-3"/>
        </w:rPr>
        <w:t xml:space="preserve"> </w:t>
      </w:r>
      <w:r>
        <w:t>members,</w:t>
      </w:r>
      <w:r>
        <w:rPr>
          <w:spacing w:val="-2"/>
        </w:rPr>
        <w:t xml:space="preserve"> </w:t>
      </w:r>
      <w:r>
        <w:t>in</w:t>
      </w:r>
      <w:r>
        <w:rPr>
          <w:spacing w:val="-2"/>
        </w:rPr>
        <w:t xml:space="preserve"> </w:t>
      </w:r>
      <w:r>
        <w:t>line</w:t>
      </w:r>
      <w:r>
        <w:rPr>
          <w:spacing w:val="-4"/>
        </w:rPr>
        <w:t xml:space="preserve"> </w:t>
      </w:r>
      <w:r>
        <w:t>with</w:t>
      </w:r>
      <w:r>
        <w:rPr>
          <w:spacing w:val="-2"/>
        </w:rPr>
        <w:t xml:space="preserve"> </w:t>
      </w:r>
      <w:r>
        <w:t>a</w:t>
      </w:r>
      <w:r>
        <w:rPr>
          <w:spacing w:val="-4"/>
        </w:rPr>
        <w:t xml:space="preserve"> </w:t>
      </w:r>
      <w:r>
        <w:t>Do</w:t>
      </w:r>
      <w:r>
        <w:rPr>
          <w:spacing w:val="-4"/>
        </w:rPr>
        <w:t xml:space="preserve"> </w:t>
      </w:r>
      <w:r>
        <w:t>No Harm approach.</w:t>
      </w:r>
    </w:p>
    <w:p w14:paraId="426CA2A3" w14:textId="73F0D4A9" w:rsidR="009C36E3" w:rsidRDefault="000E7207">
      <w:pPr>
        <w:pStyle w:val="BodyText"/>
        <w:spacing w:before="122"/>
        <w:ind w:right="138"/>
      </w:pPr>
      <w:r>
        <w:rPr>
          <w:b/>
        </w:rPr>
        <w:t xml:space="preserve">MERL and Reporting: </w:t>
      </w:r>
      <w:r>
        <w:t>VAPJP’s Monitoring, Evaluation, Research and Learning (MERL) system could be</w:t>
      </w:r>
      <w:r>
        <w:rPr>
          <w:spacing w:val="40"/>
        </w:rPr>
        <w:t xml:space="preserve"> </w:t>
      </w:r>
      <w:r>
        <w:t>improved in order to better meet DFAT, AFP and VAPJPs needs, noting that these are different for each organisation.</w:t>
      </w:r>
      <w:r>
        <w:rPr>
          <w:spacing w:val="-3"/>
        </w:rPr>
        <w:t xml:space="preserve"> </w:t>
      </w:r>
      <w:r>
        <w:t>The</w:t>
      </w:r>
      <w:r>
        <w:rPr>
          <w:spacing w:val="-3"/>
        </w:rPr>
        <w:t xml:space="preserve"> </w:t>
      </w:r>
      <w:r>
        <w:t>program spends</w:t>
      </w:r>
      <w:r>
        <w:rPr>
          <w:spacing w:val="-2"/>
        </w:rPr>
        <w:t xml:space="preserve"> </w:t>
      </w:r>
      <w:r>
        <w:t>much</w:t>
      </w:r>
      <w:r>
        <w:rPr>
          <w:spacing w:val="-3"/>
        </w:rPr>
        <w:t xml:space="preserve"> </w:t>
      </w:r>
      <w:r>
        <w:t>effort</w:t>
      </w:r>
      <w:r>
        <w:rPr>
          <w:spacing w:val="-3"/>
        </w:rPr>
        <w:t xml:space="preserve"> </w:t>
      </w:r>
      <w:r>
        <w:t>and</w:t>
      </w:r>
      <w:r>
        <w:rPr>
          <w:spacing w:val="-3"/>
        </w:rPr>
        <w:t xml:space="preserve"> </w:t>
      </w:r>
      <w:r>
        <w:t>time</w:t>
      </w:r>
      <w:r>
        <w:rPr>
          <w:spacing w:val="-3"/>
        </w:rPr>
        <w:t xml:space="preserve"> </w:t>
      </w:r>
      <w:r>
        <w:t>on</w:t>
      </w:r>
      <w:r>
        <w:rPr>
          <w:spacing w:val="-3"/>
        </w:rPr>
        <w:t xml:space="preserve"> </w:t>
      </w:r>
      <w:r>
        <w:t>reporting</w:t>
      </w:r>
      <w:r>
        <w:rPr>
          <w:spacing w:val="-1"/>
        </w:rPr>
        <w:t xml:space="preserve"> </w:t>
      </w:r>
      <w:r>
        <w:t>and</w:t>
      </w:r>
      <w:r>
        <w:rPr>
          <w:spacing w:val="-2"/>
        </w:rPr>
        <w:t xml:space="preserve"> </w:t>
      </w:r>
      <w:r>
        <w:t>seeks</w:t>
      </w:r>
      <w:r>
        <w:rPr>
          <w:spacing w:val="-2"/>
        </w:rPr>
        <w:t xml:space="preserve"> </w:t>
      </w:r>
      <w:r>
        <w:t>to</w:t>
      </w:r>
      <w:r>
        <w:rPr>
          <w:spacing w:val="-2"/>
        </w:rPr>
        <w:t xml:space="preserve"> </w:t>
      </w:r>
      <w:r>
        <w:t>align</w:t>
      </w:r>
      <w:r>
        <w:rPr>
          <w:spacing w:val="-2"/>
        </w:rPr>
        <w:t xml:space="preserve"> </w:t>
      </w:r>
      <w:r>
        <w:t>with</w:t>
      </w:r>
      <w:r>
        <w:rPr>
          <w:spacing w:val="-3"/>
        </w:rPr>
        <w:t xml:space="preserve"> </w:t>
      </w:r>
      <w:r>
        <w:t>DFAT</w:t>
      </w:r>
      <w:r>
        <w:rPr>
          <w:spacing w:val="-1"/>
        </w:rPr>
        <w:t xml:space="preserve"> </w:t>
      </w:r>
      <w:r>
        <w:t>M&amp;E</w:t>
      </w:r>
      <w:r>
        <w:rPr>
          <w:spacing w:val="-4"/>
        </w:rPr>
        <w:t xml:space="preserve"> </w:t>
      </w:r>
      <w:r>
        <w:t>standards. However, as noted above, the MERL system presents challenges for the program because there is no ToC, outcomes are not measurable, and there is insufficient focus on qualitative data. This is contributing to poor understanding of the justice program’s contribution and results and constrains insights into the depth and sustainability of change, and evaluability of the program. Reports do not systematically reflect the results</w:t>
      </w:r>
      <w:r>
        <w:rPr>
          <w:spacing w:val="40"/>
        </w:rPr>
        <w:t xml:space="preserve"> </w:t>
      </w:r>
      <w:r>
        <w:t>framework</w:t>
      </w:r>
      <w:r w:rsidR="0095324B">
        <w:t xml:space="preserve"> and the MTR team heard they</w:t>
      </w:r>
      <w:r>
        <w:rPr>
          <w:spacing w:val="-3"/>
        </w:rPr>
        <w:t xml:space="preserve"> </w:t>
      </w:r>
      <w:r w:rsidR="0095324B">
        <w:rPr>
          <w:spacing w:val="-2"/>
        </w:rPr>
        <w:t xml:space="preserve">are </w:t>
      </w:r>
      <w:r>
        <w:t>not</w:t>
      </w:r>
      <w:r>
        <w:rPr>
          <w:spacing w:val="-2"/>
        </w:rPr>
        <w:t xml:space="preserve"> </w:t>
      </w:r>
      <w:r>
        <w:t>shared</w:t>
      </w:r>
      <w:r>
        <w:rPr>
          <w:spacing w:val="-2"/>
        </w:rPr>
        <w:t xml:space="preserve"> </w:t>
      </w:r>
      <w:r w:rsidR="0095324B">
        <w:rPr>
          <w:spacing w:val="-2"/>
        </w:rPr>
        <w:t xml:space="preserve">within the team </w:t>
      </w:r>
      <w:r>
        <w:t>for</w:t>
      </w:r>
      <w:r>
        <w:rPr>
          <w:spacing w:val="-3"/>
        </w:rPr>
        <w:t xml:space="preserve"> </w:t>
      </w:r>
      <w:r>
        <w:t>program</w:t>
      </w:r>
      <w:r>
        <w:rPr>
          <w:spacing w:val="-4"/>
        </w:rPr>
        <w:t xml:space="preserve"> </w:t>
      </w:r>
      <w:r>
        <w:t>learning.</w:t>
      </w:r>
      <w:r>
        <w:rPr>
          <w:spacing w:val="-1"/>
        </w:rPr>
        <w:t xml:space="preserve"> </w:t>
      </w:r>
      <w:r>
        <w:t>Although</w:t>
      </w:r>
      <w:r>
        <w:rPr>
          <w:spacing w:val="-4"/>
        </w:rPr>
        <w:t xml:space="preserve"> </w:t>
      </w:r>
      <w:r>
        <w:t>reporting</w:t>
      </w:r>
      <w:r>
        <w:rPr>
          <w:spacing w:val="-4"/>
        </w:rPr>
        <w:t xml:space="preserve"> </w:t>
      </w:r>
      <w:r>
        <w:t>is overly</w:t>
      </w:r>
      <w:r>
        <w:rPr>
          <w:spacing w:val="-3"/>
        </w:rPr>
        <w:t xml:space="preserve"> </w:t>
      </w:r>
      <w:r>
        <w:t>detailed</w:t>
      </w:r>
      <w:r>
        <w:rPr>
          <w:spacing w:val="-4"/>
        </w:rPr>
        <w:t xml:space="preserve"> </w:t>
      </w:r>
      <w:r>
        <w:t>and repetitive, it does include annexes that allow for clear expenditure tracking, and proactively synthesises activity updates in accessible format for government counterparts. As there is less than a year for the program to run, consideration should be given to the utility of investing heavily in a ToC and revised MERL development at this stage, although it may be possible to develop a simplified ToC which could both improve effectiveness of the current program and contribute to the new design process.</w:t>
      </w:r>
    </w:p>
    <w:p w14:paraId="5CA81729" w14:textId="77777777" w:rsidR="009C36E3" w:rsidRDefault="000E7207">
      <w:pPr>
        <w:pStyle w:val="BodyText"/>
        <w:spacing w:before="119"/>
        <w:ind w:right="120"/>
      </w:pPr>
      <w:r>
        <w:rPr>
          <w:b/>
        </w:rPr>
        <w:t xml:space="preserve">Efficiency: </w:t>
      </w:r>
      <w:r>
        <w:t>The delivery and management approach of VAPJP has facilitated program progress and adaptation despite significant contextual challenges, however adjustments are needed to strengthen planning and transparency, and further enhance outcomes. Joint corporate support through the managing contractor generates considerable efficiencies, such as delivering on the increasing requests for infrastructure. Strong relationships between key program staff, their counterparts, and other stakeholders play an important role in the program. There are some key challenges and risks to be addressed at an operational level to support better outcomes. There is a need to review processes within some delivery modalities to strengthen effectiveness, transparency and sustainability within and across the policing and justice streams of work, for distinct and joint outcomes. Within VAPJP,</w:t>
      </w:r>
      <w:r>
        <w:rPr>
          <w:spacing w:val="-2"/>
        </w:rPr>
        <w:t xml:space="preserve"> </w:t>
      </w:r>
      <w:r>
        <w:t>managing</w:t>
      </w:r>
      <w:r>
        <w:rPr>
          <w:spacing w:val="-2"/>
        </w:rPr>
        <w:t xml:space="preserve"> </w:t>
      </w:r>
      <w:r>
        <w:t>the</w:t>
      </w:r>
      <w:r>
        <w:rPr>
          <w:spacing w:val="-2"/>
        </w:rPr>
        <w:t xml:space="preserve"> </w:t>
      </w:r>
      <w:r>
        <w:t>complex</w:t>
      </w:r>
      <w:r>
        <w:rPr>
          <w:spacing w:val="-3"/>
        </w:rPr>
        <w:t xml:space="preserve"> </w:t>
      </w:r>
      <w:r>
        <w:t>area</w:t>
      </w:r>
      <w:r>
        <w:rPr>
          <w:spacing w:val="-4"/>
        </w:rPr>
        <w:t xml:space="preserve"> </w:t>
      </w:r>
      <w:r>
        <w:t>of</w:t>
      </w:r>
      <w:r>
        <w:rPr>
          <w:spacing w:val="-2"/>
        </w:rPr>
        <w:t xml:space="preserve"> </w:t>
      </w:r>
      <w:r>
        <w:t>family</w:t>
      </w:r>
      <w:r>
        <w:rPr>
          <w:spacing w:val="-3"/>
        </w:rPr>
        <w:t xml:space="preserve"> </w:t>
      </w:r>
      <w:r>
        <w:t>protection</w:t>
      </w:r>
      <w:r>
        <w:rPr>
          <w:spacing w:val="-4"/>
        </w:rPr>
        <w:t xml:space="preserve"> </w:t>
      </w:r>
      <w:r>
        <w:t>and</w:t>
      </w:r>
      <w:r>
        <w:rPr>
          <w:spacing w:val="-4"/>
        </w:rPr>
        <w:t xml:space="preserve"> </w:t>
      </w:r>
      <w:r>
        <w:t>VAWC</w:t>
      </w:r>
      <w:r>
        <w:rPr>
          <w:spacing w:val="-3"/>
        </w:rPr>
        <w:t xml:space="preserve"> </w:t>
      </w:r>
      <w:r>
        <w:t>is</w:t>
      </w:r>
      <w:r>
        <w:rPr>
          <w:spacing w:val="-3"/>
        </w:rPr>
        <w:t xml:space="preserve"> </w:t>
      </w:r>
      <w:r>
        <w:t>something</w:t>
      </w:r>
      <w:r>
        <w:rPr>
          <w:spacing w:val="-4"/>
        </w:rPr>
        <w:t xml:space="preserve"> </w:t>
      </w:r>
      <w:r>
        <w:t>that</w:t>
      </w:r>
      <w:r>
        <w:rPr>
          <w:spacing w:val="-4"/>
        </w:rPr>
        <w:t xml:space="preserve"> </w:t>
      </w:r>
      <w:r>
        <w:t>necessarily involves all</w:t>
      </w:r>
      <w:r>
        <w:rPr>
          <w:spacing w:val="-3"/>
        </w:rPr>
        <w:t xml:space="preserve"> </w:t>
      </w:r>
      <w:r>
        <w:t>of</w:t>
      </w:r>
      <w:r>
        <w:rPr>
          <w:spacing w:val="-4"/>
        </w:rPr>
        <w:t xml:space="preserve"> </w:t>
      </w:r>
      <w:r>
        <w:t>the</w:t>
      </w:r>
    </w:p>
    <w:p w14:paraId="378D78D4" w14:textId="77777777" w:rsidR="009C36E3" w:rsidRDefault="009C36E3">
      <w:pPr>
        <w:sectPr w:rsidR="009C36E3">
          <w:pgSz w:w="11910" w:h="16850"/>
          <w:pgMar w:top="1040" w:right="740" w:bottom="740" w:left="80" w:header="552" w:footer="559" w:gutter="0"/>
          <w:cols w:space="720"/>
        </w:sectPr>
      </w:pPr>
    </w:p>
    <w:p w14:paraId="49613D4C" w14:textId="77777777" w:rsidR="009C36E3" w:rsidRDefault="000E7207">
      <w:pPr>
        <w:pStyle w:val="BodyText"/>
        <w:spacing w:before="91"/>
        <w:ind w:right="120"/>
      </w:pPr>
      <w:r>
        <w:t>justice, community and policing streams and attendant advisers. While there are good relationships and communications between</w:t>
      </w:r>
      <w:r>
        <w:rPr>
          <w:spacing w:val="-2"/>
        </w:rPr>
        <w:t xml:space="preserve"> </w:t>
      </w:r>
      <w:r>
        <w:t>the</w:t>
      </w:r>
      <w:r>
        <w:rPr>
          <w:spacing w:val="-3"/>
        </w:rPr>
        <w:t xml:space="preserve"> </w:t>
      </w:r>
      <w:r>
        <w:t>respective</w:t>
      </w:r>
      <w:r>
        <w:rPr>
          <w:spacing w:val="-3"/>
        </w:rPr>
        <w:t xml:space="preserve"> </w:t>
      </w:r>
      <w:r>
        <w:t>advisers,</w:t>
      </w:r>
      <w:r>
        <w:rPr>
          <w:spacing w:val="-3"/>
        </w:rPr>
        <w:t xml:space="preserve"> </w:t>
      </w:r>
      <w:r>
        <w:t>it</w:t>
      </w:r>
      <w:r>
        <w:rPr>
          <w:spacing w:val="-3"/>
        </w:rPr>
        <w:t xml:space="preserve"> </w:t>
      </w:r>
      <w:r>
        <w:t>was</w:t>
      </w:r>
      <w:r>
        <w:rPr>
          <w:spacing w:val="-2"/>
        </w:rPr>
        <w:t xml:space="preserve"> </w:t>
      </w:r>
      <w:r>
        <w:t>apparent</w:t>
      </w:r>
      <w:r>
        <w:rPr>
          <w:spacing w:val="-3"/>
        </w:rPr>
        <w:t xml:space="preserve"> </w:t>
      </w:r>
      <w:r>
        <w:t>that</w:t>
      </w:r>
      <w:r>
        <w:rPr>
          <w:spacing w:val="-2"/>
        </w:rPr>
        <w:t xml:space="preserve"> </w:t>
      </w:r>
      <w:r>
        <w:t>many</w:t>
      </w:r>
      <w:r>
        <w:rPr>
          <w:spacing w:val="-2"/>
        </w:rPr>
        <w:t xml:space="preserve"> </w:t>
      </w:r>
      <w:r>
        <w:t>across</w:t>
      </w:r>
      <w:r>
        <w:rPr>
          <w:spacing w:val="-3"/>
        </w:rPr>
        <w:t xml:space="preserve"> </w:t>
      </w:r>
      <w:r>
        <w:t>the</w:t>
      </w:r>
      <w:r>
        <w:rPr>
          <w:spacing w:val="-3"/>
        </w:rPr>
        <w:t xml:space="preserve"> </w:t>
      </w:r>
      <w:r>
        <w:t>program</w:t>
      </w:r>
      <w:r>
        <w:rPr>
          <w:spacing w:val="-3"/>
        </w:rPr>
        <w:t xml:space="preserve"> </w:t>
      </w:r>
      <w:r>
        <w:t>consider</w:t>
      </w:r>
      <w:r>
        <w:rPr>
          <w:spacing w:val="-2"/>
        </w:rPr>
        <w:t xml:space="preserve"> </w:t>
      </w:r>
      <w:r>
        <w:t>that</w:t>
      </w:r>
      <w:r>
        <w:rPr>
          <w:spacing w:val="-3"/>
        </w:rPr>
        <w:t xml:space="preserve"> </w:t>
      </w:r>
      <w:r>
        <w:t>the arrangements are not yet optimal for ensuring that all parts collaborate toward the multi-faceted approaches required for preventing and responding to violence against women and children.</w:t>
      </w:r>
    </w:p>
    <w:p w14:paraId="3279761C" w14:textId="77777777" w:rsidR="009C36E3" w:rsidRDefault="000E7207">
      <w:pPr>
        <w:pStyle w:val="BodyText"/>
        <w:spacing w:before="121"/>
      </w:pPr>
      <w:r>
        <w:rPr>
          <w:b/>
        </w:rPr>
        <w:t xml:space="preserve">Relevance: </w:t>
      </w:r>
      <w:r>
        <w:t>The program has pivoted to respond to the impact on the policing, law and justice sector of continued serious</w:t>
      </w:r>
      <w:r>
        <w:rPr>
          <w:spacing w:val="-2"/>
        </w:rPr>
        <w:t xml:space="preserve"> </w:t>
      </w:r>
      <w:r>
        <w:t>natural</w:t>
      </w:r>
      <w:r>
        <w:rPr>
          <w:spacing w:val="-4"/>
        </w:rPr>
        <w:t xml:space="preserve"> </w:t>
      </w:r>
      <w:r>
        <w:t>disasters,</w:t>
      </w:r>
      <w:r>
        <w:rPr>
          <w:spacing w:val="-3"/>
        </w:rPr>
        <w:t xml:space="preserve"> </w:t>
      </w:r>
      <w:r>
        <w:t>the</w:t>
      </w:r>
      <w:r>
        <w:rPr>
          <w:spacing w:val="-3"/>
        </w:rPr>
        <w:t xml:space="preserve"> </w:t>
      </w:r>
      <w:r>
        <w:t>COVID-19</w:t>
      </w:r>
      <w:r>
        <w:rPr>
          <w:spacing w:val="-3"/>
        </w:rPr>
        <w:t xml:space="preserve"> </w:t>
      </w:r>
      <w:r>
        <w:t>pandemic,</w:t>
      </w:r>
      <w:r>
        <w:rPr>
          <w:spacing w:val="-3"/>
        </w:rPr>
        <w:t xml:space="preserve"> </w:t>
      </w:r>
      <w:r>
        <w:t>and</w:t>
      </w:r>
      <w:r>
        <w:rPr>
          <w:spacing w:val="-3"/>
        </w:rPr>
        <w:t xml:space="preserve"> </w:t>
      </w:r>
      <w:r>
        <w:t>a</w:t>
      </w:r>
      <w:r>
        <w:rPr>
          <w:spacing w:val="-3"/>
        </w:rPr>
        <w:t xml:space="preserve"> </w:t>
      </w:r>
      <w:r>
        <w:t>whole</w:t>
      </w:r>
      <w:r>
        <w:rPr>
          <w:spacing w:val="-3"/>
        </w:rPr>
        <w:t xml:space="preserve"> </w:t>
      </w:r>
      <w:r>
        <w:t>of</w:t>
      </w:r>
      <w:r>
        <w:rPr>
          <w:spacing w:val="-1"/>
        </w:rPr>
        <w:t xml:space="preserve"> </w:t>
      </w:r>
      <w:r>
        <w:t>Vanuatu</w:t>
      </w:r>
      <w:r>
        <w:rPr>
          <w:spacing w:val="-1"/>
        </w:rPr>
        <w:t xml:space="preserve"> </w:t>
      </w:r>
      <w:r>
        <w:t>government</w:t>
      </w:r>
      <w:r>
        <w:rPr>
          <w:spacing w:val="-3"/>
        </w:rPr>
        <w:t xml:space="preserve"> </w:t>
      </w:r>
      <w:r>
        <w:t>cyber-attack.</w:t>
      </w:r>
      <w:r>
        <w:rPr>
          <w:spacing w:val="-3"/>
        </w:rPr>
        <w:t xml:space="preserve"> </w:t>
      </w:r>
      <w:r>
        <w:t>The</w:t>
      </w:r>
      <w:r>
        <w:rPr>
          <w:spacing w:val="-3"/>
        </w:rPr>
        <w:t xml:space="preserve"> </w:t>
      </w:r>
      <w:r>
        <w:t xml:space="preserve">program has adapted to continuing GoV instability, including in the leadership of the MJCS, although this has been </w:t>
      </w:r>
      <w:r>
        <w:rPr>
          <w:spacing w:val="-2"/>
        </w:rPr>
        <w:t>challenging.</w:t>
      </w:r>
    </w:p>
    <w:p w14:paraId="78B4E06B" w14:textId="77777777" w:rsidR="009C36E3" w:rsidRDefault="000E7207">
      <w:pPr>
        <w:pStyle w:val="BodyText"/>
        <w:spacing w:before="120"/>
        <w:ind w:right="133" w:hanging="1"/>
      </w:pPr>
      <w:r>
        <w:rPr>
          <w:b/>
        </w:rPr>
        <w:t>Strategic</w:t>
      </w:r>
      <w:r>
        <w:rPr>
          <w:b/>
          <w:spacing w:val="-4"/>
        </w:rPr>
        <w:t xml:space="preserve"> </w:t>
      </w:r>
      <w:r>
        <w:rPr>
          <w:b/>
        </w:rPr>
        <w:t>alignment:</w:t>
      </w:r>
      <w:r>
        <w:rPr>
          <w:b/>
          <w:spacing w:val="-3"/>
        </w:rPr>
        <w:t xml:space="preserve"> </w:t>
      </w:r>
      <w:r>
        <w:t>The</w:t>
      </w:r>
      <w:r>
        <w:rPr>
          <w:spacing w:val="-2"/>
        </w:rPr>
        <w:t xml:space="preserve"> </w:t>
      </w:r>
      <w:r>
        <w:t>VAPJP</w:t>
      </w:r>
      <w:r>
        <w:rPr>
          <w:spacing w:val="-5"/>
        </w:rPr>
        <w:t xml:space="preserve"> </w:t>
      </w:r>
      <w:r>
        <w:t>remains</w:t>
      </w:r>
      <w:r>
        <w:rPr>
          <w:spacing w:val="-3"/>
        </w:rPr>
        <w:t xml:space="preserve"> </w:t>
      </w:r>
      <w:r>
        <w:t>strategically</w:t>
      </w:r>
      <w:r>
        <w:rPr>
          <w:spacing w:val="-3"/>
        </w:rPr>
        <w:t xml:space="preserve"> </w:t>
      </w:r>
      <w:r>
        <w:t>aligned</w:t>
      </w:r>
      <w:r>
        <w:rPr>
          <w:spacing w:val="-4"/>
        </w:rPr>
        <w:t xml:space="preserve"> </w:t>
      </w:r>
      <w:r>
        <w:t>to</w:t>
      </w:r>
      <w:r>
        <w:rPr>
          <w:spacing w:val="-2"/>
        </w:rPr>
        <w:t xml:space="preserve"> </w:t>
      </w:r>
      <w:r>
        <w:t>Australia’s</w:t>
      </w:r>
      <w:r>
        <w:rPr>
          <w:spacing w:val="-1"/>
        </w:rPr>
        <w:t xml:space="preserve"> </w:t>
      </w:r>
      <w:r>
        <w:t>interests</w:t>
      </w:r>
      <w:r>
        <w:rPr>
          <w:spacing w:val="-3"/>
        </w:rPr>
        <w:t xml:space="preserve"> </w:t>
      </w:r>
      <w:r>
        <w:t>and</w:t>
      </w:r>
      <w:r>
        <w:rPr>
          <w:spacing w:val="-4"/>
        </w:rPr>
        <w:t xml:space="preserve"> </w:t>
      </w:r>
      <w:r>
        <w:t>comparative</w:t>
      </w:r>
      <w:r>
        <w:rPr>
          <w:spacing w:val="-2"/>
        </w:rPr>
        <w:t xml:space="preserve"> </w:t>
      </w:r>
      <w:r>
        <w:t>advantage. The program is aligned to Australia’s new international development policy (2023), the Australia Vanuatu bilateral security agreement (signed 2022 but not yet ratified) and the expected contents of the forthcoming DFAT gender strategy and DFAT disability equity and rights strategy. VAPJP continues to be aligned with Vanuatu 2030: The People’s Plan, National Sustainable Development Plan 2016—2030, and the GoV National Security Strategy (2019) and National Security Strategy Review (2022).</w:t>
      </w:r>
    </w:p>
    <w:p w14:paraId="4E125751" w14:textId="791B5306" w:rsidR="009C36E3" w:rsidRDefault="000E7207">
      <w:pPr>
        <w:pStyle w:val="BodyText"/>
        <w:spacing w:before="120"/>
        <w:ind w:left="772" w:right="167" w:hanging="1"/>
      </w:pPr>
      <w:r>
        <w:rPr>
          <w:b/>
        </w:rPr>
        <w:t xml:space="preserve">Sustainability: </w:t>
      </w:r>
      <w:r>
        <w:t xml:space="preserve">With </w:t>
      </w:r>
      <w:r w:rsidR="00091435">
        <w:t xml:space="preserve">GoV facing resourcing challenges in </w:t>
      </w:r>
      <w:r>
        <w:t>both the policing and justice sector, determining what might constitute sustainable outcomes is a complex issue. This phase of VAPJP explicitly recognises the contribution that the Program makes towards supporting the GoV to maintain confidence of the public</w:t>
      </w:r>
      <w:r>
        <w:rPr>
          <w:spacing w:val="-2"/>
        </w:rPr>
        <w:t xml:space="preserve"> </w:t>
      </w:r>
      <w:r>
        <w:t>in</w:t>
      </w:r>
      <w:r>
        <w:rPr>
          <w:spacing w:val="-3"/>
        </w:rPr>
        <w:t xml:space="preserve"> </w:t>
      </w:r>
      <w:r>
        <w:t>stability</w:t>
      </w:r>
      <w:r>
        <w:rPr>
          <w:spacing w:val="-2"/>
        </w:rPr>
        <w:t xml:space="preserve"> </w:t>
      </w:r>
      <w:r>
        <w:t>and</w:t>
      </w:r>
      <w:r>
        <w:rPr>
          <w:spacing w:val="-3"/>
        </w:rPr>
        <w:t xml:space="preserve"> </w:t>
      </w:r>
      <w:r>
        <w:t>security.</w:t>
      </w:r>
      <w:r>
        <w:rPr>
          <w:spacing w:val="-3"/>
        </w:rPr>
        <w:t xml:space="preserve"> </w:t>
      </w:r>
      <w:r>
        <w:t>The</w:t>
      </w:r>
      <w:r>
        <w:rPr>
          <w:spacing w:val="-3"/>
        </w:rPr>
        <w:t xml:space="preserve"> </w:t>
      </w:r>
      <w:r>
        <w:t>work</w:t>
      </w:r>
      <w:r>
        <w:rPr>
          <w:spacing w:val="-2"/>
        </w:rPr>
        <w:t xml:space="preserve"> </w:t>
      </w:r>
      <w:r>
        <w:t>of</w:t>
      </w:r>
      <w:r>
        <w:rPr>
          <w:spacing w:val="-3"/>
        </w:rPr>
        <w:t xml:space="preserve"> </w:t>
      </w:r>
      <w:r>
        <w:t>the</w:t>
      </w:r>
      <w:r>
        <w:rPr>
          <w:spacing w:val="-3"/>
        </w:rPr>
        <w:t xml:space="preserve"> </w:t>
      </w:r>
      <w:r>
        <w:t>AFP</w:t>
      </w:r>
      <w:r>
        <w:rPr>
          <w:spacing w:val="-4"/>
        </w:rPr>
        <w:t xml:space="preserve"> </w:t>
      </w:r>
      <w:r>
        <w:t>advisor</w:t>
      </w:r>
      <w:r>
        <w:rPr>
          <w:spacing w:val="-2"/>
        </w:rPr>
        <w:t xml:space="preserve"> </w:t>
      </w:r>
      <w:r>
        <w:t>at</w:t>
      </w:r>
      <w:r>
        <w:rPr>
          <w:spacing w:val="-3"/>
        </w:rPr>
        <w:t xml:space="preserve"> </w:t>
      </w:r>
      <w:r>
        <w:t>the</w:t>
      </w:r>
      <w:r>
        <w:rPr>
          <w:spacing w:val="-3"/>
        </w:rPr>
        <w:t xml:space="preserve"> </w:t>
      </w:r>
      <w:r>
        <w:t>Police</w:t>
      </w:r>
      <w:r>
        <w:rPr>
          <w:spacing w:val="-3"/>
        </w:rPr>
        <w:t xml:space="preserve"> </w:t>
      </w:r>
      <w:r>
        <w:t>College</w:t>
      </w:r>
      <w:r>
        <w:rPr>
          <w:spacing w:val="-3"/>
        </w:rPr>
        <w:t xml:space="preserve"> </w:t>
      </w:r>
      <w:r>
        <w:t>is</w:t>
      </w:r>
      <w:r>
        <w:rPr>
          <w:spacing w:val="-2"/>
        </w:rPr>
        <w:t xml:space="preserve"> </w:t>
      </w:r>
      <w:r>
        <w:t>very</w:t>
      </w:r>
      <w:r>
        <w:rPr>
          <w:spacing w:val="-2"/>
        </w:rPr>
        <w:t xml:space="preserve"> </w:t>
      </w:r>
      <w:r>
        <w:t>much</w:t>
      </w:r>
      <w:r>
        <w:rPr>
          <w:spacing w:val="-3"/>
        </w:rPr>
        <w:t xml:space="preserve"> </w:t>
      </w:r>
      <w:r>
        <w:t>appreciated</w:t>
      </w:r>
      <w:r>
        <w:rPr>
          <w:spacing w:val="-3"/>
        </w:rPr>
        <w:t xml:space="preserve"> </w:t>
      </w:r>
      <w:r>
        <w:t>by VPF. However, there are four key factors that the MTR team were advised by various VPF officers that could make police training more sustainable and improve ownership. These are deploying an AFP adviser with a policing education (rather than community policing) background, a greater emphasis on utilising a Train the Trainer approach and prioritising trainings in Bislama, and where possible decentralising training.</w:t>
      </w:r>
    </w:p>
    <w:p w14:paraId="66DECB72" w14:textId="0AC957FD" w:rsidR="009C36E3" w:rsidRDefault="000E7207" w:rsidP="00E51368">
      <w:pPr>
        <w:pStyle w:val="BodyText"/>
        <w:spacing w:before="120"/>
        <w:ind w:right="167"/>
        <w:sectPr w:rsidR="009C36E3">
          <w:pgSz w:w="11910" w:h="16850"/>
          <w:pgMar w:top="1040" w:right="740" w:bottom="740" w:left="80" w:header="552" w:footer="559" w:gutter="0"/>
          <w:cols w:space="720"/>
        </w:sectPr>
      </w:pPr>
      <w:r>
        <w:rPr>
          <w:b/>
        </w:rPr>
        <w:t xml:space="preserve">Scope: </w:t>
      </w:r>
      <w:r>
        <w:t>Some</w:t>
      </w:r>
      <w:r>
        <w:rPr>
          <w:spacing w:val="-3"/>
        </w:rPr>
        <w:t xml:space="preserve"> </w:t>
      </w:r>
      <w:r>
        <w:t>of</w:t>
      </w:r>
      <w:r>
        <w:rPr>
          <w:spacing w:val="-1"/>
        </w:rPr>
        <w:t xml:space="preserve"> </w:t>
      </w:r>
      <w:r>
        <w:t>the</w:t>
      </w:r>
      <w:r>
        <w:rPr>
          <w:spacing w:val="-1"/>
        </w:rPr>
        <w:t xml:space="preserve"> </w:t>
      </w:r>
      <w:r>
        <w:t>activities</w:t>
      </w:r>
      <w:r>
        <w:rPr>
          <w:spacing w:val="-2"/>
        </w:rPr>
        <w:t xml:space="preserve"> </w:t>
      </w:r>
      <w:r>
        <w:t>supported</w:t>
      </w:r>
      <w:r>
        <w:rPr>
          <w:spacing w:val="-3"/>
        </w:rPr>
        <w:t xml:space="preserve"> </w:t>
      </w:r>
      <w:r>
        <w:t>through</w:t>
      </w:r>
      <w:r>
        <w:rPr>
          <w:spacing w:val="-3"/>
        </w:rPr>
        <w:t xml:space="preserve"> </w:t>
      </w:r>
      <w:r>
        <w:t>the</w:t>
      </w:r>
      <w:r>
        <w:rPr>
          <w:spacing w:val="-3"/>
        </w:rPr>
        <w:t xml:space="preserve"> </w:t>
      </w:r>
      <w:r>
        <w:t>Justice</w:t>
      </w:r>
      <w:r>
        <w:rPr>
          <w:spacing w:val="-3"/>
        </w:rPr>
        <w:t xml:space="preserve"> </w:t>
      </w:r>
      <w:r>
        <w:t>stream</w:t>
      </w:r>
      <w:r>
        <w:rPr>
          <w:spacing w:val="-3"/>
        </w:rPr>
        <w:t xml:space="preserve"> </w:t>
      </w:r>
      <w:r>
        <w:t>of</w:t>
      </w:r>
      <w:r>
        <w:rPr>
          <w:spacing w:val="-1"/>
        </w:rPr>
        <w:t xml:space="preserve"> </w:t>
      </w:r>
      <w:r>
        <w:t>work</w:t>
      </w:r>
      <w:r>
        <w:rPr>
          <w:spacing w:val="-2"/>
        </w:rPr>
        <w:t xml:space="preserve"> </w:t>
      </w:r>
      <w:r>
        <w:t>do</w:t>
      </w:r>
      <w:r>
        <w:rPr>
          <w:spacing w:val="-1"/>
        </w:rPr>
        <w:t xml:space="preserve"> </w:t>
      </w:r>
      <w:r>
        <w:t>not</w:t>
      </w:r>
      <w:r>
        <w:rPr>
          <w:spacing w:val="-3"/>
        </w:rPr>
        <w:t xml:space="preserve"> </w:t>
      </w:r>
      <w:r>
        <w:t>make</w:t>
      </w:r>
      <w:r>
        <w:rPr>
          <w:spacing w:val="-1"/>
        </w:rPr>
        <w:t xml:space="preserve"> </w:t>
      </w:r>
      <w:r>
        <w:t>a</w:t>
      </w:r>
      <w:r>
        <w:rPr>
          <w:spacing w:val="-3"/>
        </w:rPr>
        <w:t xml:space="preserve"> </w:t>
      </w:r>
      <w:r>
        <w:t>clear</w:t>
      </w:r>
      <w:r>
        <w:rPr>
          <w:spacing w:val="-2"/>
        </w:rPr>
        <w:t xml:space="preserve"> </w:t>
      </w:r>
      <w:r>
        <w:t>contribution to</w:t>
      </w:r>
      <w:r>
        <w:rPr>
          <w:spacing w:val="-3"/>
        </w:rPr>
        <w:t xml:space="preserve"> </w:t>
      </w:r>
      <w:r>
        <w:t>the VAPJP EOPOs and IOs, do not appear to be priorities within the scope of the program and stretch the attention of both the program and the absorption capacity of counterparts. The program is currently pursuing a number of regional and global partnerships,</w:t>
      </w:r>
      <w:r>
        <w:rPr>
          <w:spacing w:val="-15"/>
        </w:rPr>
        <w:t xml:space="preserve"> </w:t>
      </w:r>
      <w:r>
        <w:t>global conferences and ad hoc initiatives, which should be reviewed to ensure they are the most relevant and effective way of contributing to VAPJP outcomes. It is the view of the MTR Team that if the number of activities in the justice stream was decreased, focused; and greater emphasis was placed in both streams on ascertaining the quality and outcomes of initiatives, that this would benefit the program. It is understood that VAPJP also needs to remain responsive to changing circumstances. The MTR team heard that GoV is interested in the Program expanding into corrective services. The MTR team arranged meetings on three occasions with the Director, Department of Corrective Services (DKBS), but he was not available to meet with us. This may be something that can be followed up in the Design for a new phase of the program.</w:t>
      </w:r>
    </w:p>
    <w:p w14:paraId="0C2FB4B3" w14:textId="77777777" w:rsidR="009C36E3" w:rsidRDefault="000E7207">
      <w:pPr>
        <w:pStyle w:val="Heading7"/>
        <w:spacing w:before="91"/>
        <w:ind w:left="772"/>
      </w:pPr>
      <w:r>
        <w:rPr>
          <w:spacing w:val="-2"/>
        </w:rPr>
        <w:t>Recommendations</w:t>
      </w:r>
    </w:p>
    <w:p w14:paraId="1D33FA2A" w14:textId="77777777" w:rsidR="009C36E3" w:rsidRDefault="000E7207">
      <w:pPr>
        <w:pStyle w:val="BodyText"/>
        <w:spacing w:before="120"/>
      </w:pPr>
      <w:r>
        <w:rPr>
          <w:b/>
          <w:color w:val="003478"/>
        </w:rPr>
        <w:t xml:space="preserve">Recommendation 1. </w:t>
      </w:r>
      <w:r>
        <w:t>The justice stream of VAPJP should strengthen effectiveness by focusing on the ‘core business’ expressed in EOPO1 of improving the quality and reach of justice services, particularly for vulnerable women,</w:t>
      </w:r>
      <w:r>
        <w:rPr>
          <w:spacing w:val="-3"/>
        </w:rPr>
        <w:t xml:space="preserve"> </w:t>
      </w:r>
      <w:r>
        <w:t>children,</w:t>
      </w:r>
      <w:r>
        <w:rPr>
          <w:spacing w:val="-3"/>
        </w:rPr>
        <w:t xml:space="preserve"> </w:t>
      </w:r>
      <w:r>
        <w:t>youth</w:t>
      </w:r>
      <w:r>
        <w:rPr>
          <w:spacing w:val="-1"/>
        </w:rPr>
        <w:t xml:space="preserve"> </w:t>
      </w:r>
      <w:r>
        <w:t>and</w:t>
      </w:r>
      <w:r>
        <w:rPr>
          <w:spacing w:val="-2"/>
        </w:rPr>
        <w:t xml:space="preserve"> </w:t>
      </w:r>
      <w:r>
        <w:t>people</w:t>
      </w:r>
      <w:r>
        <w:rPr>
          <w:spacing w:val="-1"/>
        </w:rPr>
        <w:t xml:space="preserve"> </w:t>
      </w:r>
      <w:r>
        <w:t>with</w:t>
      </w:r>
      <w:r>
        <w:rPr>
          <w:spacing w:val="-3"/>
        </w:rPr>
        <w:t xml:space="preserve"> </w:t>
      </w:r>
      <w:r>
        <w:t>disability.</w:t>
      </w:r>
      <w:r>
        <w:rPr>
          <w:spacing w:val="-3"/>
        </w:rPr>
        <w:t xml:space="preserve"> </w:t>
      </w:r>
      <w:r>
        <w:t>This</w:t>
      </w:r>
      <w:r>
        <w:rPr>
          <w:spacing w:val="-2"/>
        </w:rPr>
        <w:t xml:space="preserve"> </w:t>
      </w:r>
      <w:r>
        <w:t>will</w:t>
      </w:r>
      <w:r>
        <w:rPr>
          <w:spacing w:val="-4"/>
        </w:rPr>
        <w:t xml:space="preserve"> </w:t>
      </w:r>
      <w:r>
        <w:t>require</w:t>
      </w:r>
      <w:r>
        <w:rPr>
          <w:spacing w:val="-1"/>
        </w:rPr>
        <w:t xml:space="preserve"> </w:t>
      </w:r>
      <w:r>
        <w:t>a</w:t>
      </w:r>
      <w:r>
        <w:rPr>
          <w:spacing w:val="-3"/>
        </w:rPr>
        <w:t xml:space="preserve"> </w:t>
      </w:r>
      <w:r>
        <w:t>concerted</w:t>
      </w:r>
      <w:r>
        <w:rPr>
          <w:spacing w:val="-3"/>
        </w:rPr>
        <w:t xml:space="preserve"> </w:t>
      </w:r>
      <w:r>
        <w:t>effort</w:t>
      </w:r>
      <w:r>
        <w:rPr>
          <w:spacing w:val="-3"/>
        </w:rPr>
        <w:t xml:space="preserve"> </w:t>
      </w:r>
      <w:r>
        <w:t>to</w:t>
      </w:r>
      <w:r>
        <w:rPr>
          <w:spacing w:val="-3"/>
        </w:rPr>
        <w:t xml:space="preserve"> </w:t>
      </w:r>
      <w:r>
        <w:t>strengthen</w:t>
      </w:r>
      <w:r>
        <w:rPr>
          <w:spacing w:val="-3"/>
        </w:rPr>
        <w:t xml:space="preserve"> </w:t>
      </w:r>
      <w:r>
        <w:t>visibility</w:t>
      </w:r>
      <w:r>
        <w:rPr>
          <w:spacing w:val="-2"/>
        </w:rPr>
        <w:t xml:space="preserve"> </w:t>
      </w:r>
      <w:r>
        <w:t>around outcomes and quality of results.</w:t>
      </w:r>
    </w:p>
    <w:p w14:paraId="6E10ED81" w14:textId="77777777" w:rsidR="009C36E3" w:rsidRDefault="000E7207">
      <w:pPr>
        <w:pStyle w:val="BodyText"/>
        <w:spacing w:before="119"/>
        <w:ind w:right="120"/>
      </w:pPr>
      <w:r>
        <w:rPr>
          <w:b/>
          <w:color w:val="003478"/>
        </w:rPr>
        <w:t xml:space="preserve">Recommendation 2. </w:t>
      </w:r>
      <w:r>
        <w:t>The policing stream of VAPJP does not need to significantly change its current focus, although it also requires a concerted effort to strengthen visibility around outcomes and quality of results. The policing</w:t>
      </w:r>
      <w:r>
        <w:rPr>
          <w:spacing w:val="-3"/>
        </w:rPr>
        <w:t xml:space="preserve"> </w:t>
      </w:r>
      <w:r>
        <w:t>stream</w:t>
      </w:r>
      <w:r>
        <w:rPr>
          <w:spacing w:val="-1"/>
        </w:rPr>
        <w:t xml:space="preserve"> </w:t>
      </w:r>
      <w:r>
        <w:t>should</w:t>
      </w:r>
      <w:r>
        <w:rPr>
          <w:spacing w:val="-1"/>
        </w:rPr>
        <w:t xml:space="preserve"> </w:t>
      </w:r>
      <w:r>
        <w:t>maintain</w:t>
      </w:r>
      <w:r>
        <w:rPr>
          <w:spacing w:val="-3"/>
        </w:rPr>
        <w:t xml:space="preserve"> </w:t>
      </w:r>
      <w:r>
        <w:t>its</w:t>
      </w:r>
      <w:r>
        <w:rPr>
          <w:spacing w:val="-2"/>
        </w:rPr>
        <w:t xml:space="preserve"> </w:t>
      </w:r>
      <w:r>
        <w:t>EOPO1</w:t>
      </w:r>
      <w:r>
        <w:rPr>
          <w:spacing w:val="-3"/>
        </w:rPr>
        <w:t xml:space="preserve"> </w:t>
      </w:r>
      <w:r>
        <w:t>focus</w:t>
      </w:r>
      <w:r>
        <w:rPr>
          <w:spacing w:val="-2"/>
        </w:rPr>
        <w:t xml:space="preserve"> </w:t>
      </w:r>
      <w:r>
        <w:t>of</w:t>
      </w:r>
      <w:r>
        <w:rPr>
          <w:spacing w:val="-3"/>
        </w:rPr>
        <w:t xml:space="preserve"> </w:t>
      </w:r>
      <w:r>
        <w:t>improving</w:t>
      </w:r>
      <w:r>
        <w:rPr>
          <w:spacing w:val="-3"/>
        </w:rPr>
        <w:t xml:space="preserve"> </w:t>
      </w:r>
      <w:r>
        <w:t>the</w:t>
      </w:r>
      <w:r>
        <w:rPr>
          <w:spacing w:val="-3"/>
        </w:rPr>
        <w:t xml:space="preserve"> </w:t>
      </w:r>
      <w:r>
        <w:t>quality</w:t>
      </w:r>
      <w:r>
        <w:rPr>
          <w:spacing w:val="-2"/>
        </w:rPr>
        <w:t xml:space="preserve"> </w:t>
      </w:r>
      <w:r>
        <w:t>and</w:t>
      </w:r>
      <w:r>
        <w:rPr>
          <w:spacing w:val="-3"/>
        </w:rPr>
        <w:t xml:space="preserve"> </w:t>
      </w:r>
      <w:r>
        <w:t>reach</w:t>
      </w:r>
      <w:r>
        <w:rPr>
          <w:spacing w:val="-3"/>
        </w:rPr>
        <w:t xml:space="preserve"> </w:t>
      </w:r>
      <w:r>
        <w:t>of</w:t>
      </w:r>
      <w:r>
        <w:rPr>
          <w:spacing w:val="-3"/>
        </w:rPr>
        <w:t xml:space="preserve"> </w:t>
      </w:r>
      <w:r>
        <w:t>justice</w:t>
      </w:r>
      <w:r>
        <w:rPr>
          <w:spacing w:val="-1"/>
        </w:rPr>
        <w:t xml:space="preserve"> </w:t>
      </w:r>
      <w:r>
        <w:t>services,</w:t>
      </w:r>
      <w:r>
        <w:rPr>
          <w:spacing w:val="-3"/>
        </w:rPr>
        <w:t xml:space="preserve"> </w:t>
      </w:r>
      <w:r>
        <w:t>particularly in their handling of cases involving vulnerable women, children, youth and people with disability.</w:t>
      </w:r>
    </w:p>
    <w:p w14:paraId="1A745C4F" w14:textId="77777777" w:rsidR="009C36E3" w:rsidRDefault="000E7207">
      <w:pPr>
        <w:pStyle w:val="BodyText"/>
        <w:spacing w:before="122"/>
      </w:pPr>
      <w:r>
        <w:rPr>
          <w:b/>
          <w:color w:val="003478"/>
        </w:rPr>
        <w:t>Recommendation</w:t>
      </w:r>
      <w:r>
        <w:rPr>
          <w:b/>
          <w:color w:val="003478"/>
          <w:spacing w:val="-3"/>
        </w:rPr>
        <w:t xml:space="preserve"> </w:t>
      </w:r>
      <w:r>
        <w:rPr>
          <w:b/>
          <w:color w:val="003478"/>
        </w:rPr>
        <w:t>3.</w:t>
      </w:r>
      <w:r>
        <w:rPr>
          <w:b/>
          <w:color w:val="003478"/>
          <w:spacing w:val="-2"/>
        </w:rPr>
        <w:t xml:space="preserve"> </w:t>
      </w:r>
      <w:r>
        <w:t>VAPJP</w:t>
      </w:r>
      <w:r>
        <w:rPr>
          <w:spacing w:val="-5"/>
        </w:rPr>
        <w:t xml:space="preserve"> </w:t>
      </w:r>
      <w:r>
        <w:t>should</w:t>
      </w:r>
      <w:r>
        <w:rPr>
          <w:spacing w:val="-4"/>
        </w:rPr>
        <w:t xml:space="preserve"> </w:t>
      </w:r>
      <w:r>
        <w:t>revisit</w:t>
      </w:r>
      <w:r>
        <w:rPr>
          <w:spacing w:val="-2"/>
        </w:rPr>
        <w:t xml:space="preserve"> </w:t>
      </w:r>
      <w:r>
        <w:t>earlier</w:t>
      </w:r>
      <w:r>
        <w:rPr>
          <w:spacing w:val="-3"/>
        </w:rPr>
        <w:t xml:space="preserve"> </w:t>
      </w:r>
      <w:r>
        <w:t>program</w:t>
      </w:r>
      <w:r>
        <w:rPr>
          <w:spacing w:val="-4"/>
        </w:rPr>
        <w:t xml:space="preserve"> </w:t>
      </w:r>
      <w:r>
        <w:t>approaches</w:t>
      </w:r>
      <w:r>
        <w:rPr>
          <w:spacing w:val="-3"/>
        </w:rPr>
        <w:t xml:space="preserve"> </w:t>
      </w:r>
      <w:r>
        <w:t>to</w:t>
      </w:r>
      <w:r>
        <w:rPr>
          <w:spacing w:val="-4"/>
        </w:rPr>
        <w:t xml:space="preserve"> </w:t>
      </w:r>
      <w:r>
        <w:t>capacity</w:t>
      </w:r>
      <w:r>
        <w:rPr>
          <w:spacing w:val="-3"/>
        </w:rPr>
        <w:t xml:space="preserve"> </w:t>
      </w:r>
      <w:r>
        <w:t>building</w:t>
      </w:r>
      <w:r>
        <w:rPr>
          <w:spacing w:val="-2"/>
        </w:rPr>
        <w:t xml:space="preserve"> </w:t>
      </w:r>
      <w:r>
        <w:t>and</w:t>
      </w:r>
      <w:r>
        <w:rPr>
          <w:spacing w:val="-2"/>
        </w:rPr>
        <w:t xml:space="preserve"> </w:t>
      </w:r>
      <w:r>
        <w:t>its</w:t>
      </w:r>
      <w:r>
        <w:rPr>
          <w:spacing w:val="-3"/>
        </w:rPr>
        <w:t xml:space="preserve"> </w:t>
      </w:r>
      <w:r>
        <w:t>measurement, modified to reflect current program circumstances. Consideration should also be given to developing a Theory of Change during the forthcoming design process that may also be of utility to the existing program.</w:t>
      </w:r>
    </w:p>
    <w:p w14:paraId="7D0612A5" w14:textId="77777777" w:rsidR="009C36E3" w:rsidRDefault="000E7207">
      <w:pPr>
        <w:pStyle w:val="BodyText"/>
        <w:spacing w:before="119"/>
        <w:ind w:right="120"/>
      </w:pPr>
      <w:r>
        <w:rPr>
          <w:b/>
          <w:color w:val="003478"/>
        </w:rPr>
        <w:t xml:space="preserve">Recommendation 4. </w:t>
      </w:r>
      <w:r>
        <w:t>Both the justice and policing streams of VAPJP should prioritise sustainability and exit planning</w:t>
      </w:r>
      <w:r>
        <w:rPr>
          <w:spacing w:val="-4"/>
        </w:rPr>
        <w:t xml:space="preserve"> </w:t>
      </w:r>
      <w:r>
        <w:t>for</w:t>
      </w:r>
      <w:r>
        <w:rPr>
          <w:spacing w:val="-3"/>
        </w:rPr>
        <w:t xml:space="preserve"> </w:t>
      </w:r>
      <w:r>
        <w:t>all</w:t>
      </w:r>
      <w:r>
        <w:rPr>
          <w:spacing w:val="-3"/>
        </w:rPr>
        <w:t xml:space="preserve"> </w:t>
      </w:r>
      <w:r>
        <w:t>activities,</w:t>
      </w:r>
      <w:r>
        <w:rPr>
          <w:spacing w:val="-4"/>
        </w:rPr>
        <w:t xml:space="preserve"> </w:t>
      </w:r>
      <w:r>
        <w:t>so</w:t>
      </w:r>
      <w:r>
        <w:rPr>
          <w:spacing w:val="-2"/>
        </w:rPr>
        <w:t xml:space="preserve"> </w:t>
      </w:r>
      <w:r>
        <w:t>that</w:t>
      </w:r>
      <w:r>
        <w:rPr>
          <w:spacing w:val="-2"/>
        </w:rPr>
        <w:t xml:space="preserve"> </w:t>
      </w:r>
      <w:r>
        <w:t>benefits</w:t>
      </w:r>
      <w:r>
        <w:rPr>
          <w:spacing w:val="-3"/>
        </w:rPr>
        <w:t xml:space="preserve"> </w:t>
      </w:r>
      <w:r>
        <w:t>outlast</w:t>
      </w:r>
      <w:r>
        <w:rPr>
          <w:spacing w:val="-4"/>
        </w:rPr>
        <w:t xml:space="preserve"> </w:t>
      </w:r>
      <w:r>
        <w:t>the</w:t>
      </w:r>
      <w:r>
        <w:rPr>
          <w:spacing w:val="-4"/>
        </w:rPr>
        <w:t xml:space="preserve"> </w:t>
      </w:r>
      <w:r>
        <w:t>program.</w:t>
      </w:r>
      <w:r>
        <w:rPr>
          <w:spacing w:val="-2"/>
        </w:rPr>
        <w:t xml:space="preserve"> </w:t>
      </w:r>
      <w:r>
        <w:t>With</w:t>
      </w:r>
      <w:r>
        <w:rPr>
          <w:spacing w:val="-2"/>
        </w:rPr>
        <w:t xml:space="preserve"> </w:t>
      </w:r>
      <w:r>
        <w:t>participation</w:t>
      </w:r>
      <w:r>
        <w:rPr>
          <w:spacing w:val="-4"/>
        </w:rPr>
        <w:t xml:space="preserve"> </w:t>
      </w:r>
      <w:r>
        <w:t>and</w:t>
      </w:r>
      <w:r>
        <w:rPr>
          <w:spacing w:val="-4"/>
        </w:rPr>
        <w:t xml:space="preserve"> </w:t>
      </w:r>
      <w:r>
        <w:t>input</w:t>
      </w:r>
      <w:r>
        <w:rPr>
          <w:spacing w:val="-4"/>
        </w:rPr>
        <w:t xml:space="preserve"> </w:t>
      </w:r>
      <w:r>
        <w:t>from</w:t>
      </w:r>
      <w:r>
        <w:rPr>
          <w:spacing w:val="-2"/>
        </w:rPr>
        <w:t xml:space="preserve"> </w:t>
      </w:r>
      <w:r>
        <w:t>counterparts across the</w:t>
      </w:r>
      <w:r>
        <w:rPr>
          <w:spacing w:val="-2"/>
        </w:rPr>
        <w:t xml:space="preserve"> </w:t>
      </w:r>
      <w:r>
        <w:t>program, VAPJP</w:t>
      </w:r>
      <w:r>
        <w:rPr>
          <w:spacing w:val="-3"/>
        </w:rPr>
        <w:t xml:space="preserve"> </w:t>
      </w:r>
      <w:r>
        <w:t>should</w:t>
      </w:r>
      <w:r>
        <w:rPr>
          <w:spacing w:val="-2"/>
        </w:rPr>
        <w:t xml:space="preserve"> </w:t>
      </w:r>
      <w:r>
        <w:t>develop a</w:t>
      </w:r>
      <w:r>
        <w:rPr>
          <w:spacing w:val="-2"/>
        </w:rPr>
        <w:t xml:space="preserve"> </w:t>
      </w:r>
      <w:r>
        <w:t>sustainability</w:t>
      </w:r>
      <w:r>
        <w:rPr>
          <w:spacing w:val="-1"/>
        </w:rPr>
        <w:t xml:space="preserve"> </w:t>
      </w:r>
      <w:r>
        <w:t>plan</w:t>
      </w:r>
      <w:r>
        <w:rPr>
          <w:spacing w:val="-2"/>
        </w:rPr>
        <w:t xml:space="preserve"> </w:t>
      </w:r>
      <w:r>
        <w:t>that</w:t>
      </w:r>
      <w:r>
        <w:rPr>
          <w:spacing w:val="-2"/>
        </w:rPr>
        <w:t xml:space="preserve"> </w:t>
      </w:r>
      <w:r>
        <w:t>reflects</w:t>
      </w:r>
      <w:r>
        <w:rPr>
          <w:spacing w:val="-1"/>
        </w:rPr>
        <w:t xml:space="preserve"> </w:t>
      </w:r>
      <w:r>
        <w:t>output and</w:t>
      </w:r>
      <w:r>
        <w:rPr>
          <w:spacing w:val="-2"/>
        </w:rPr>
        <w:t xml:space="preserve"> </w:t>
      </w:r>
      <w:r>
        <w:t>IO</w:t>
      </w:r>
      <w:r>
        <w:rPr>
          <w:spacing w:val="-1"/>
        </w:rPr>
        <w:t xml:space="preserve"> </w:t>
      </w:r>
      <w:r>
        <w:t>targets</w:t>
      </w:r>
      <w:r>
        <w:rPr>
          <w:spacing w:val="-1"/>
        </w:rPr>
        <w:t xml:space="preserve"> </w:t>
      </w:r>
      <w:r>
        <w:t>for</w:t>
      </w:r>
      <w:r>
        <w:rPr>
          <w:spacing w:val="-1"/>
        </w:rPr>
        <w:t xml:space="preserve"> </w:t>
      </w:r>
      <w:r>
        <w:t>the end of program, and identifies expected support required to maintain progress or protect changes already achieved.</w:t>
      </w:r>
    </w:p>
    <w:p w14:paraId="6D063CE0" w14:textId="77777777" w:rsidR="009C36E3" w:rsidRDefault="000E7207">
      <w:pPr>
        <w:pStyle w:val="BodyText"/>
        <w:spacing w:before="122"/>
        <w:ind w:right="192"/>
      </w:pPr>
      <w:r>
        <w:rPr>
          <w:b/>
          <w:color w:val="003478"/>
        </w:rPr>
        <w:t xml:space="preserve">Recommendation 5. </w:t>
      </w:r>
      <w:r>
        <w:t>The policing stream of VAPJP should consider four key changes to make police training more sustainable and improve ownership. These are: deploying an AFP adviser with a policing education background</w:t>
      </w:r>
      <w:r>
        <w:rPr>
          <w:spacing w:val="-3"/>
        </w:rPr>
        <w:t xml:space="preserve"> </w:t>
      </w:r>
      <w:r>
        <w:t>(rather</w:t>
      </w:r>
      <w:r>
        <w:rPr>
          <w:spacing w:val="-2"/>
        </w:rPr>
        <w:t xml:space="preserve"> </w:t>
      </w:r>
      <w:r>
        <w:t>than</w:t>
      </w:r>
      <w:r>
        <w:rPr>
          <w:spacing w:val="-3"/>
        </w:rPr>
        <w:t xml:space="preserve"> </w:t>
      </w:r>
      <w:r>
        <w:t>just</w:t>
      </w:r>
      <w:r>
        <w:rPr>
          <w:spacing w:val="-3"/>
        </w:rPr>
        <w:t xml:space="preserve"> </w:t>
      </w:r>
      <w:r>
        <w:t>a</w:t>
      </w:r>
      <w:r>
        <w:rPr>
          <w:spacing w:val="-3"/>
        </w:rPr>
        <w:t xml:space="preserve"> </w:t>
      </w:r>
      <w:r>
        <w:t>community</w:t>
      </w:r>
      <w:r>
        <w:rPr>
          <w:spacing w:val="-2"/>
        </w:rPr>
        <w:t xml:space="preserve"> </w:t>
      </w:r>
      <w:r>
        <w:t>policing</w:t>
      </w:r>
      <w:r>
        <w:rPr>
          <w:spacing w:val="-2"/>
        </w:rPr>
        <w:t xml:space="preserve"> </w:t>
      </w:r>
      <w:r>
        <w:t>background);</w:t>
      </w:r>
      <w:r>
        <w:rPr>
          <w:spacing w:val="-2"/>
        </w:rPr>
        <w:t xml:space="preserve"> </w:t>
      </w:r>
      <w:r>
        <w:t>a</w:t>
      </w:r>
      <w:r>
        <w:rPr>
          <w:spacing w:val="-3"/>
        </w:rPr>
        <w:t xml:space="preserve"> </w:t>
      </w:r>
      <w:r>
        <w:t>greater</w:t>
      </w:r>
      <w:r>
        <w:rPr>
          <w:spacing w:val="-2"/>
        </w:rPr>
        <w:t xml:space="preserve"> </w:t>
      </w:r>
      <w:r>
        <w:t>emphasis</w:t>
      </w:r>
      <w:r>
        <w:rPr>
          <w:spacing w:val="-2"/>
        </w:rPr>
        <w:t xml:space="preserve"> </w:t>
      </w:r>
      <w:r>
        <w:t>on</w:t>
      </w:r>
      <w:r>
        <w:rPr>
          <w:spacing w:val="-3"/>
        </w:rPr>
        <w:t xml:space="preserve"> </w:t>
      </w:r>
      <w:r>
        <w:t>utilising</w:t>
      </w:r>
      <w:r>
        <w:rPr>
          <w:spacing w:val="-3"/>
        </w:rPr>
        <w:t xml:space="preserve"> </w:t>
      </w:r>
      <w:r>
        <w:t>a</w:t>
      </w:r>
      <w:r>
        <w:rPr>
          <w:spacing w:val="-3"/>
        </w:rPr>
        <w:t xml:space="preserve"> </w:t>
      </w:r>
      <w:r>
        <w:t>Train</w:t>
      </w:r>
      <w:r>
        <w:rPr>
          <w:spacing w:val="-2"/>
        </w:rPr>
        <w:t xml:space="preserve"> </w:t>
      </w:r>
      <w:r>
        <w:t>the</w:t>
      </w:r>
      <w:r>
        <w:rPr>
          <w:spacing w:val="-3"/>
        </w:rPr>
        <w:t xml:space="preserve"> </w:t>
      </w:r>
      <w:r>
        <w:t>Trainer approach; prioritising trainings and curriculum development in Bislama; and where possible decentralising training which will encourage more female officers to undertake training.</w:t>
      </w:r>
    </w:p>
    <w:p w14:paraId="235A3DCF" w14:textId="77777777" w:rsidR="009C36E3" w:rsidRDefault="000E7207">
      <w:pPr>
        <w:pStyle w:val="BodyText"/>
        <w:spacing w:before="120"/>
      </w:pPr>
      <w:r>
        <w:rPr>
          <w:b/>
          <w:color w:val="003478"/>
        </w:rPr>
        <w:t>Recommendation</w:t>
      </w:r>
      <w:r>
        <w:rPr>
          <w:b/>
          <w:color w:val="003478"/>
          <w:spacing w:val="-3"/>
        </w:rPr>
        <w:t xml:space="preserve"> </w:t>
      </w:r>
      <w:r>
        <w:rPr>
          <w:b/>
          <w:color w:val="003478"/>
        </w:rPr>
        <w:t>6.</w:t>
      </w:r>
      <w:r>
        <w:rPr>
          <w:b/>
          <w:color w:val="003478"/>
          <w:spacing w:val="-2"/>
        </w:rPr>
        <w:t xml:space="preserve"> </w:t>
      </w:r>
      <w:r>
        <w:t>VAPJP</w:t>
      </w:r>
      <w:r>
        <w:rPr>
          <w:spacing w:val="-5"/>
        </w:rPr>
        <w:t xml:space="preserve"> </w:t>
      </w:r>
      <w:r>
        <w:t>reporting</w:t>
      </w:r>
      <w:r>
        <w:rPr>
          <w:spacing w:val="-4"/>
        </w:rPr>
        <w:t xml:space="preserve"> </w:t>
      </w:r>
      <w:r>
        <w:t>should</w:t>
      </w:r>
      <w:r>
        <w:rPr>
          <w:spacing w:val="-2"/>
        </w:rPr>
        <w:t xml:space="preserve"> </w:t>
      </w:r>
      <w:r>
        <w:t>be</w:t>
      </w:r>
      <w:r>
        <w:rPr>
          <w:spacing w:val="-2"/>
        </w:rPr>
        <w:t xml:space="preserve"> </w:t>
      </w:r>
      <w:r>
        <w:t>improved</w:t>
      </w:r>
      <w:r>
        <w:rPr>
          <w:spacing w:val="-4"/>
        </w:rPr>
        <w:t xml:space="preserve"> </w:t>
      </w:r>
      <w:r>
        <w:t>and</w:t>
      </w:r>
      <w:r>
        <w:rPr>
          <w:spacing w:val="-4"/>
        </w:rPr>
        <w:t xml:space="preserve"> </w:t>
      </w:r>
      <w:r>
        <w:t>rationalised</w:t>
      </w:r>
      <w:r>
        <w:rPr>
          <w:spacing w:val="-2"/>
        </w:rPr>
        <w:t xml:space="preserve"> </w:t>
      </w:r>
      <w:r>
        <w:t>to</w:t>
      </w:r>
      <w:r>
        <w:rPr>
          <w:spacing w:val="-2"/>
        </w:rPr>
        <w:t xml:space="preserve"> </w:t>
      </w:r>
      <w:r>
        <w:t>meet</w:t>
      </w:r>
      <w:r>
        <w:rPr>
          <w:spacing w:val="-4"/>
        </w:rPr>
        <w:t xml:space="preserve"> </w:t>
      </w:r>
      <w:r>
        <w:t>DFAT</w:t>
      </w:r>
      <w:r>
        <w:rPr>
          <w:spacing w:val="-3"/>
        </w:rPr>
        <w:t xml:space="preserve"> </w:t>
      </w:r>
      <w:r>
        <w:t>and</w:t>
      </w:r>
      <w:r>
        <w:rPr>
          <w:spacing w:val="-2"/>
        </w:rPr>
        <w:t xml:space="preserve"> </w:t>
      </w:r>
      <w:r>
        <w:t>AFP</w:t>
      </w:r>
      <w:r>
        <w:rPr>
          <w:spacing w:val="-5"/>
        </w:rPr>
        <w:t xml:space="preserve"> </w:t>
      </w:r>
      <w:r>
        <w:t>strategic requirements, as well as inform adaptive programming across VAPJP.</w:t>
      </w:r>
    </w:p>
    <w:p w14:paraId="5801FF58" w14:textId="77777777" w:rsidR="009C36E3" w:rsidRDefault="000E7207">
      <w:pPr>
        <w:pStyle w:val="BodyText"/>
        <w:spacing w:before="119"/>
      </w:pPr>
      <w:r>
        <w:rPr>
          <w:b/>
          <w:color w:val="003478"/>
        </w:rPr>
        <w:t xml:space="preserve">Recommendation 7. </w:t>
      </w:r>
      <w:r>
        <w:t>VAPJP, DFAT and AFP should support the transition to the new PC-P, with a view to maintaining</w:t>
      </w:r>
      <w:r>
        <w:rPr>
          <w:spacing w:val="-2"/>
        </w:rPr>
        <w:t xml:space="preserve"> </w:t>
      </w:r>
      <w:r>
        <w:t>and</w:t>
      </w:r>
      <w:r>
        <w:rPr>
          <w:spacing w:val="-2"/>
        </w:rPr>
        <w:t xml:space="preserve"> </w:t>
      </w:r>
      <w:r>
        <w:t>enhancing</w:t>
      </w:r>
      <w:r>
        <w:rPr>
          <w:spacing w:val="-2"/>
        </w:rPr>
        <w:t xml:space="preserve"> </w:t>
      </w:r>
      <w:r>
        <w:t>systems</w:t>
      </w:r>
      <w:r>
        <w:rPr>
          <w:spacing w:val="-3"/>
        </w:rPr>
        <w:t xml:space="preserve"> </w:t>
      </w:r>
      <w:r>
        <w:t>and</w:t>
      </w:r>
      <w:r>
        <w:rPr>
          <w:spacing w:val="-4"/>
        </w:rPr>
        <w:t xml:space="preserve"> </w:t>
      </w:r>
      <w:r>
        <w:t>processes</w:t>
      </w:r>
      <w:r>
        <w:rPr>
          <w:spacing w:val="-3"/>
        </w:rPr>
        <w:t xml:space="preserve"> </w:t>
      </w:r>
      <w:r>
        <w:t>for</w:t>
      </w:r>
      <w:r>
        <w:rPr>
          <w:spacing w:val="-1"/>
        </w:rPr>
        <w:t xml:space="preserve"> </w:t>
      </w:r>
      <w:r>
        <w:t>collaboration</w:t>
      </w:r>
      <w:r>
        <w:rPr>
          <w:spacing w:val="-4"/>
        </w:rPr>
        <w:t xml:space="preserve"> </w:t>
      </w:r>
      <w:r>
        <w:t>and</w:t>
      </w:r>
      <w:r>
        <w:rPr>
          <w:spacing w:val="-4"/>
        </w:rPr>
        <w:t xml:space="preserve"> </w:t>
      </w:r>
      <w:r>
        <w:t>joint</w:t>
      </w:r>
      <w:r>
        <w:rPr>
          <w:spacing w:val="-4"/>
        </w:rPr>
        <w:t xml:space="preserve"> </w:t>
      </w:r>
      <w:r>
        <w:t>outcomes</w:t>
      </w:r>
      <w:r>
        <w:rPr>
          <w:spacing w:val="-3"/>
        </w:rPr>
        <w:t xml:space="preserve"> </w:t>
      </w:r>
      <w:r>
        <w:t>across</w:t>
      </w:r>
      <w:r>
        <w:rPr>
          <w:spacing w:val="-3"/>
        </w:rPr>
        <w:t xml:space="preserve"> </w:t>
      </w:r>
      <w:r>
        <w:t>the</w:t>
      </w:r>
      <w:r>
        <w:rPr>
          <w:spacing w:val="-2"/>
        </w:rPr>
        <w:t xml:space="preserve"> </w:t>
      </w:r>
      <w:r>
        <w:t>Justice</w:t>
      </w:r>
      <w:r>
        <w:rPr>
          <w:spacing w:val="-4"/>
        </w:rPr>
        <w:t xml:space="preserve"> </w:t>
      </w:r>
      <w:r>
        <w:t>and Policing sector through strong communications, and recognition of shared goals and mutual accountability.</w:t>
      </w:r>
    </w:p>
    <w:p w14:paraId="5FADC84E" w14:textId="77777777" w:rsidR="009C36E3" w:rsidRDefault="000E7207">
      <w:pPr>
        <w:pStyle w:val="BodyText"/>
        <w:spacing w:before="1"/>
      </w:pPr>
      <w:r>
        <w:t>Consideration</w:t>
      </w:r>
      <w:r>
        <w:rPr>
          <w:spacing w:val="-4"/>
        </w:rPr>
        <w:t xml:space="preserve"> </w:t>
      </w:r>
      <w:r>
        <w:t>could</w:t>
      </w:r>
      <w:r>
        <w:rPr>
          <w:spacing w:val="-4"/>
        </w:rPr>
        <w:t xml:space="preserve"> </w:t>
      </w:r>
      <w:r>
        <w:t>be</w:t>
      </w:r>
      <w:r>
        <w:rPr>
          <w:spacing w:val="-2"/>
        </w:rPr>
        <w:t xml:space="preserve"> </w:t>
      </w:r>
      <w:r>
        <w:t>given</w:t>
      </w:r>
      <w:r>
        <w:rPr>
          <w:spacing w:val="-4"/>
        </w:rPr>
        <w:t xml:space="preserve"> </w:t>
      </w:r>
      <w:r>
        <w:t>to</w:t>
      </w:r>
      <w:r>
        <w:rPr>
          <w:spacing w:val="-2"/>
        </w:rPr>
        <w:t xml:space="preserve"> </w:t>
      </w:r>
      <w:r>
        <w:t>engaging</w:t>
      </w:r>
      <w:r>
        <w:rPr>
          <w:spacing w:val="-2"/>
        </w:rPr>
        <w:t xml:space="preserve"> </w:t>
      </w:r>
      <w:r>
        <w:t>a</w:t>
      </w:r>
      <w:r>
        <w:rPr>
          <w:spacing w:val="-2"/>
        </w:rPr>
        <w:t xml:space="preserve"> </w:t>
      </w:r>
      <w:r>
        <w:t>Partnership</w:t>
      </w:r>
      <w:r>
        <w:rPr>
          <w:spacing w:val="-2"/>
        </w:rPr>
        <w:t xml:space="preserve"> </w:t>
      </w:r>
      <w:r>
        <w:t>Broker</w:t>
      </w:r>
      <w:r>
        <w:rPr>
          <w:spacing w:val="-3"/>
        </w:rPr>
        <w:t xml:space="preserve"> </w:t>
      </w:r>
      <w:r>
        <w:t>to</w:t>
      </w:r>
      <w:r>
        <w:rPr>
          <w:spacing w:val="-2"/>
        </w:rPr>
        <w:t xml:space="preserve"> </w:t>
      </w:r>
      <w:r>
        <w:t>assist</w:t>
      </w:r>
      <w:r>
        <w:rPr>
          <w:spacing w:val="-4"/>
        </w:rPr>
        <w:t xml:space="preserve"> </w:t>
      </w:r>
      <w:r>
        <w:t>with</w:t>
      </w:r>
      <w:r>
        <w:rPr>
          <w:spacing w:val="-4"/>
        </w:rPr>
        <w:t xml:space="preserve"> </w:t>
      </w:r>
      <w:r>
        <w:t>establishing</w:t>
      </w:r>
      <w:r>
        <w:rPr>
          <w:spacing w:val="-4"/>
        </w:rPr>
        <w:t xml:space="preserve"> </w:t>
      </w:r>
      <w:r>
        <w:t>this</w:t>
      </w:r>
      <w:r>
        <w:rPr>
          <w:spacing w:val="-3"/>
        </w:rPr>
        <w:t xml:space="preserve"> </w:t>
      </w:r>
      <w:r>
        <w:t>relationship</w:t>
      </w:r>
      <w:r>
        <w:rPr>
          <w:spacing w:val="-4"/>
        </w:rPr>
        <w:t xml:space="preserve"> </w:t>
      </w:r>
      <w:r>
        <w:t>from</w:t>
      </w:r>
      <w:r>
        <w:rPr>
          <w:spacing w:val="-4"/>
        </w:rPr>
        <w:t xml:space="preserve"> </w:t>
      </w:r>
      <w:r>
        <w:t xml:space="preserve">the </w:t>
      </w:r>
      <w:r>
        <w:rPr>
          <w:spacing w:val="-2"/>
        </w:rPr>
        <w:t>outset.</w:t>
      </w:r>
    </w:p>
    <w:p w14:paraId="28EA4369" w14:textId="78111A64" w:rsidR="009C36E3" w:rsidRDefault="000E7207">
      <w:pPr>
        <w:pStyle w:val="BodyText"/>
        <w:spacing w:before="119"/>
        <w:ind w:right="120"/>
      </w:pPr>
      <w:r>
        <w:rPr>
          <w:b/>
          <w:color w:val="003478"/>
        </w:rPr>
        <w:t xml:space="preserve">Recommendation 8. </w:t>
      </w:r>
      <w:r>
        <w:t>Management</w:t>
      </w:r>
      <w:r w:rsidR="0095324B">
        <w:t xml:space="preserve"> and advisers</w:t>
      </w:r>
      <w:r>
        <w:t xml:space="preserve"> from the justice stream of VAPJP should work collaboratively,</w:t>
      </w:r>
      <w:r>
        <w:rPr>
          <w:spacing w:val="-2"/>
        </w:rPr>
        <w:t xml:space="preserve"> </w:t>
      </w:r>
      <w:r>
        <w:t>to</w:t>
      </w:r>
      <w:r>
        <w:rPr>
          <w:spacing w:val="-4"/>
        </w:rPr>
        <w:t xml:space="preserve"> </w:t>
      </w:r>
      <w:r>
        <w:t>build</w:t>
      </w:r>
      <w:r>
        <w:rPr>
          <w:spacing w:val="-2"/>
        </w:rPr>
        <w:t xml:space="preserve"> </w:t>
      </w:r>
      <w:r>
        <w:t>a</w:t>
      </w:r>
      <w:r>
        <w:rPr>
          <w:spacing w:val="-4"/>
        </w:rPr>
        <w:t xml:space="preserve"> </w:t>
      </w:r>
      <w:r>
        <w:t>positive</w:t>
      </w:r>
      <w:r>
        <w:rPr>
          <w:spacing w:val="-2"/>
        </w:rPr>
        <w:t xml:space="preserve"> </w:t>
      </w:r>
      <w:r>
        <w:t>workplace</w:t>
      </w:r>
      <w:r>
        <w:rPr>
          <w:spacing w:val="-4"/>
        </w:rPr>
        <w:t xml:space="preserve"> </w:t>
      </w:r>
      <w:r>
        <w:t>environment</w:t>
      </w:r>
      <w:r>
        <w:rPr>
          <w:spacing w:val="-4"/>
        </w:rPr>
        <w:t xml:space="preserve"> </w:t>
      </w:r>
      <w:r>
        <w:t>that</w:t>
      </w:r>
      <w:r>
        <w:rPr>
          <w:spacing w:val="-4"/>
        </w:rPr>
        <w:t xml:space="preserve"> </w:t>
      </w:r>
      <w:r>
        <w:t>facilitates</w:t>
      </w:r>
      <w:r>
        <w:rPr>
          <w:spacing w:val="-3"/>
        </w:rPr>
        <w:t xml:space="preserve"> </w:t>
      </w:r>
      <w:r>
        <w:t>understanding</w:t>
      </w:r>
      <w:r>
        <w:rPr>
          <w:spacing w:val="-4"/>
        </w:rPr>
        <w:t xml:space="preserve"> </w:t>
      </w:r>
      <w:r>
        <w:t>and</w:t>
      </w:r>
      <w:r>
        <w:rPr>
          <w:spacing w:val="-4"/>
        </w:rPr>
        <w:t xml:space="preserve"> </w:t>
      </w:r>
      <w:r>
        <w:t>recognition</w:t>
      </w:r>
      <w:r>
        <w:rPr>
          <w:spacing w:val="-4"/>
        </w:rPr>
        <w:t xml:space="preserve"> </w:t>
      </w:r>
      <w:r>
        <w:t>of</w:t>
      </w:r>
      <w:r>
        <w:rPr>
          <w:spacing w:val="-4"/>
        </w:rPr>
        <w:t xml:space="preserve"> </w:t>
      </w:r>
      <w:r>
        <w:t>advisers’ contributions and challenges, and where possible increases connections between agencies.</w:t>
      </w:r>
    </w:p>
    <w:p w14:paraId="3E28DC46" w14:textId="77777777" w:rsidR="009C36E3" w:rsidRDefault="000E7207">
      <w:pPr>
        <w:pStyle w:val="BodyText"/>
        <w:spacing w:before="121"/>
        <w:ind w:right="353"/>
      </w:pPr>
      <w:r>
        <w:rPr>
          <w:b/>
          <w:color w:val="003478"/>
        </w:rPr>
        <w:t xml:space="preserve">Recommendation 9. </w:t>
      </w:r>
      <w:r>
        <w:t>DFAT and VAPJP should review budget allocations to ensure sufficient funding for community-facing activities to strengthen prevention and responsive services to violence against women and children,</w:t>
      </w:r>
      <w:r>
        <w:rPr>
          <w:spacing w:val="-1"/>
        </w:rPr>
        <w:t xml:space="preserve"> </w:t>
      </w:r>
      <w:r>
        <w:t>and</w:t>
      </w:r>
      <w:r>
        <w:rPr>
          <w:spacing w:val="-1"/>
        </w:rPr>
        <w:t xml:space="preserve"> </w:t>
      </w:r>
      <w:r>
        <w:t>people</w:t>
      </w:r>
      <w:r>
        <w:rPr>
          <w:spacing w:val="-3"/>
        </w:rPr>
        <w:t xml:space="preserve"> </w:t>
      </w:r>
      <w:r>
        <w:t>with</w:t>
      </w:r>
      <w:r>
        <w:rPr>
          <w:spacing w:val="-3"/>
        </w:rPr>
        <w:t xml:space="preserve"> </w:t>
      </w:r>
      <w:r>
        <w:t>disabilities</w:t>
      </w:r>
      <w:r>
        <w:rPr>
          <w:spacing w:val="-2"/>
        </w:rPr>
        <w:t xml:space="preserve"> </w:t>
      </w:r>
      <w:r>
        <w:t>that</w:t>
      </w:r>
      <w:r>
        <w:rPr>
          <w:spacing w:val="-3"/>
        </w:rPr>
        <w:t xml:space="preserve"> </w:t>
      </w:r>
      <w:r>
        <w:t>align</w:t>
      </w:r>
      <w:r>
        <w:rPr>
          <w:spacing w:val="-3"/>
        </w:rPr>
        <w:t xml:space="preserve"> </w:t>
      </w:r>
      <w:r>
        <w:t>with</w:t>
      </w:r>
      <w:r>
        <w:rPr>
          <w:spacing w:val="-1"/>
        </w:rPr>
        <w:t xml:space="preserve"> </w:t>
      </w:r>
      <w:r>
        <w:t>best</w:t>
      </w:r>
      <w:r>
        <w:rPr>
          <w:spacing w:val="-3"/>
        </w:rPr>
        <w:t xml:space="preserve"> </w:t>
      </w:r>
      <w:r>
        <w:t>practice</w:t>
      </w:r>
      <w:r>
        <w:rPr>
          <w:spacing w:val="-1"/>
        </w:rPr>
        <w:t xml:space="preserve"> </w:t>
      </w:r>
      <w:r>
        <w:t>and</w:t>
      </w:r>
      <w:r>
        <w:rPr>
          <w:spacing w:val="-1"/>
        </w:rPr>
        <w:t xml:space="preserve"> </w:t>
      </w:r>
      <w:r>
        <w:t>Do</w:t>
      </w:r>
      <w:r>
        <w:rPr>
          <w:spacing w:val="-3"/>
        </w:rPr>
        <w:t xml:space="preserve"> </w:t>
      </w:r>
      <w:r>
        <w:t>No</w:t>
      </w:r>
      <w:r>
        <w:rPr>
          <w:spacing w:val="-3"/>
        </w:rPr>
        <w:t xml:space="preserve"> </w:t>
      </w:r>
      <w:r>
        <w:t>Harm principles.</w:t>
      </w:r>
      <w:r>
        <w:rPr>
          <w:spacing w:val="-3"/>
        </w:rPr>
        <w:t xml:space="preserve"> </w:t>
      </w:r>
      <w:r>
        <w:t>This</w:t>
      </w:r>
      <w:r>
        <w:rPr>
          <w:spacing w:val="-1"/>
        </w:rPr>
        <w:t xml:space="preserve"> </w:t>
      </w:r>
      <w:r>
        <w:t>applies</w:t>
      </w:r>
      <w:r>
        <w:rPr>
          <w:spacing w:val="-2"/>
        </w:rPr>
        <w:t xml:space="preserve"> </w:t>
      </w:r>
      <w:r>
        <w:t>to</w:t>
      </w:r>
      <w:r>
        <w:rPr>
          <w:spacing w:val="-3"/>
        </w:rPr>
        <w:t xml:space="preserve"> </w:t>
      </w:r>
      <w:r>
        <w:t>both the FPU in the policing stream and the CA2J activities in the justice stream.</w:t>
      </w:r>
    </w:p>
    <w:p w14:paraId="40974E0F" w14:textId="77777777" w:rsidR="009C36E3" w:rsidRDefault="000E7207">
      <w:pPr>
        <w:pStyle w:val="BodyText"/>
        <w:spacing w:before="120"/>
      </w:pPr>
      <w:r>
        <w:rPr>
          <w:b/>
          <w:color w:val="003478"/>
        </w:rPr>
        <w:t>Recommendation</w:t>
      </w:r>
      <w:r>
        <w:rPr>
          <w:b/>
          <w:color w:val="003478"/>
          <w:spacing w:val="-3"/>
        </w:rPr>
        <w:t xml:space="preserve"> </w:t>
      </w:r>
      <w:r>
        <w:rPr>
          <w:b/>
          <w:color w:val="003478"/>
        </w:rPr>
        <w:t>10.</w:t>
      </w:r>
      <w:r>
        <w:rPr>
          <w:b/>
          <w:color w:val="003478"/>
          <w:spacing w:val="-2"/>
        </w:rPr>
        <w:t xml:space="preserve"> </w:t>
      </w:r>
      <w:r>
        <w:t>VAPJP</w:t>
      </w:r>
      <w:r>
        <w:rPr>
          <w:spacing w:val="-5"/>
        </w:rPr>
        <w:t xml:space="preserve"> </w:t>
      </w:r>
      <w:r>
        <w:t>and</w:t>
      </w:r>
      <w:r>
        <w:rPr>
          <w:spacing w:val="-4"/>
        </w:rPr>
        <w:t xml:space="preserve"> </w:t>
      </w:r>
      <w:r>
        <w:t>the</w:t>
      </w:r>
      <w:r>
        <w:rPr>
          <w:spacing w:val="-2"/>
        </w:rPr>
        <w:t xml:space="preserve"> </w:t>
      </w:r>
      <w:r>
        <w:t>managing</w:t>
      </w:r>
      <w:r>
        <w:rPr>
          <w:spacing w:val="-4"/>
        </w:rPr>
        <w:t xml:space="preserve"> </w:t>
      </w:r>
      <w:r>
        <w:t>contractor,</w:t>
      </w:r>
      <w:r>
        <w:rPr>
          <w:spacing w:val="-4"/>
        </w:rPr>
        <w:t xml:space="preserve"> </w:t>
      </w:r>
      <w:r>
        <w:t>in</w:t>
      </w:r>
      <w:r>
        <w:rPr>
          <w:spacing w:val="-2"/>
        </w:rPr>
        <w:t xml:space="preserve"> </w:t>
      </w:r>
      <w:r>
        <w:t>close</w:t>
      </w:r>
      <w:r>
        <w:rPr>
          <w:spacing w:val="-4"/>
        </w:rPr>
        <w:t xml:space="preserve"> </w:t>
      </w:r>
      <w:r>
        <w:t>collaboration</w:t>
      </w:r>
      <w:r>
        <w:rPr>
          <w:spacing w:val="-4"/>
        </w:rPr>
        <w:t xml:space="preserve"> </w:t>
      </w:r>
      <w:r>
        <w:t>with</w:t>
      </w:r>
      <w:r>
        <w:rPr>
          <w:spacing w:val="-4"/>
        </w:rPr>
        <w:t xml:space="preserve"> </w:t>
      </w:r>
      <w:r>
        <w:t>the</w:t>
      </w:r>
      <w:r>
        <w:rPr>
          <w:spacing w:val="-4"/>
        </w:rPr>
        <w:t xml:space="preserve"> </w:t>
      </w:r>
      <w:r>
        <w:t>AFP,</w:t>
      </w:r>
      <w:r>
        <w:rPr>
          <w:spacing w:val="-4"/>
        </w:rPr>
        <w:t xml:space="preserve"> </w:t>
      </w:r>
      <w:r>
        <w:t>should</w:t>
      </w:r>
      <w:r>
        <w:rPr>
          <w:spacing w:val="-2"/>
        </w:rPr>
        <w:t xml:space="preserve"> </w:t>
      </w:r>
      <w:r>
        <w:t>increase efficiency by updating logistics and procurement procedures, and improving resourcing for administrative and reporting support for AFP advisers, that currently take time of technical specialists away from delivering expert support and services. Delegations of authority can be reviewed in the new design.</w:t>
      </w:r>
    </w:p>
    <w:p w14:paraId="079A6D1E" w14:textId="77777777" w:rsidR="009C36E3" w:rsidRDefault="000E7207">
      <w:pPr>
        <w:pStyle w:val="BodyText"/>
        <w:spacing w:before="122"/>
      </w:pPr>
      <w:r>
        <w:rPr>
          <w:b/>
          <w:color w:val="003478"/>
        </w:rPr>
        <w:t>Recommendation</w:t>
      </w:r>
      <w:r>
        <w:rPr>
          <w:b/>
          <w:color w:val="003478"/>
          <w:spacing w:val="-3"/>
        </w:rPr>
        <w:t xml:space="preserve"> </w:t>
      </w:r>
      <w:r>
        <w:rPr>
          <w:b/>
          <w:color w:val="003478"/>
        </w:rPr>
        <w:t>11.</w:t>
      </w:r>
      <w:r>
        <w:rPr>
          <w:b/>
          <w:color w:val="003478"/>
          <w:spacing w:val="-2"/>
        </w:rPr>
        <w:t xml:space="preserve"> </w:t>
      </w:r>
      <w:r>
        <w:t>As</w:t>
      </w:r>
      <w:r>
        <w:rPr>
          <w:spacing w:val="-3"/>
        </w:rPr>
        <w:t xml:space="preserve"> </w:t>
      </w:r>
      <w:r>
        <w:t>infrastructure</w:t>
      </w:r>
      <w:r>
        <w:rPr>
          <w:spacing w:val="-4"/>
        </w:rPr>
        <w:t xml:space="preserve"> </w:t>
      </w:r>
      <w:r>
        <w:t>and</w:t>
      </w:r>
      <w:r>
        <w:rPr>
          <w:spacing w:val="-2"/>
        </w:rPr>
        <w:t xml:space="preserve"> </w:t>
      </w:r>
      <w:r>
        <w:t>provision</w:t>
      </w:r>
      <w:r>
        <w:rPr>
          <w:spacing w:val="-2"/>
        </w:rPr>
        <w:t xml:space="preserve"> </w:t>
      </w:r>
      <w:r>
        <w:t>of</w:t>
      </w:r>
      <w:r>
        <w:rPr>
          <w:spacing w:val="-4"/>
        </w:rPr>
        <w:t xml:space="preserve"> </w:t>
      </w:r>
      <w:r>
        <w:t>assets</w:t>
      </w:r>
      <w:r>
        <w:rPr>
          <w:spacing w:val="-3"/>
        </w:rPr>
        <w:t xml:space="preserve"> </w:t>
      </w:r>
      <w:r>
        <w:t>will</w:t>
      </w:r>
      <w:r>
        <w:rPr>
          <w:spacing w:val="-3"/>
        </w:rPr>
        <w:t xml:space="preserve"> </w:t>
      </w:r>
      <w:r>
        <w:t>remain</w:t>
      </w:r>
      <w:r>
        <w:rPr>
          <w:spacing w:val="-2"/>
        </w:rPr>
        <w:t xml:space="preserve"> </w:t>
      </w:r>
      <w:r>
        <w:t>a</w:t>
      </w:r>
      <w:r>
        <w:rPr>
          <w:spacing w:val="-4"/>
        </w:rPr>
        <w:t xml:space="preserve"> </w:t>
      </w:r>
      <w:r>
        <w:t>significant</w:t>
      </w:r>
      <w:r>
        <w:rPr>
          <w:spacing w:val="-2"/>
        </w:rPr>
        <w:t xml:space="preserve"> </w:t>
      </w:r>
      <w:r>
        <w:t>element</w:t>
      </w:r>
      <w:r>
        <w:rPr>
          <w:spacing w:val="-4"/>
        </w:rPr>
        <w:t xml:space="preserve"> </w:t>
      </w:r>
      <w:r>
        <w:t>of</w:t>
      </w:r>
      <w:r>
        <w:rPr>
          <w:spacing w:val="-2"/>
        </w:rPr>
        <w:t xml:space="preserve"> </w:t>
      </w:r>
      <w:r>
        <w:t>VAPJP,</w:t>
      </w:r>
      <w:r>
        <w:rPr>
          <w:spacing w:val="-4"/>
        </w:rPr>
        <w:t xml:space="preserve"> </w:t>
      </w:r>
      <w:r>
        <w:t>the program should continue to promote disability inclusion in designs, and planning for adequate utilisation, management and maintenance of assets and infrastructure developed.</w:t>
      </w:r>
    </w:p>
    <w:p w14:paraId="4A58DF4E" w14:textId="77777777" w:rsidR="009C36E3" w:rsidRDefault="000E7207">
      <w:pPr>
        <w:pStyle w:val="BodyText"/>
        <w:spacing w:before="119"/>
        <w:ind w:right="120"/>
      </w:pPr>
      <w:r>
        <w:rPr>
          <w:b/>
          <w:color w:val="003478"/>
        </w:rPr>
        <w:t>Recommendation</w:t>
      </w:r>
      <w:r>
        <w:rPr>
          <w:b/>
          <w:color w:val="003478"/>
          <w:spacing w:val="-3"/>
        </w:rPr>
        <w:t xml:space="preserve"> </w:t>
      </w:r>
      <w:r>
        <w:rPr>
          <w:b/>
          <w:color w:val="003478"/>
        </w:rPr>
        <w:t>12.</w:t>
      </w:r>
      <w:r>
        <w:rPr>
          <w:b/>
          <w:color w:val="003478"/>
          <w:spacing w:val="-4"/>
        </w:rPr>
        <w:t xml:space="preserve"> </w:t>
      </w:r>
      <w:r>
        <w:t>Given</w:t>
      </w:r>
      <w:r>
        <w:rPr>
          <w:spacing w:val="-4"/>
        </w:rPr>
        <w:t xml:space="preserve"> </w:t>
      </w:r>
      <w:r>
        <w:t>the</w:t>
      </w:r>
      <w:r>
        <w:rPr>
          <w:spacing w:val="-4"/>
        </w:rPr>
        <w:t xml:space="preserve"> </w:t>
      </w:r>
      <w:r>
        <w:t>stated</w:t>
      </w:r>
      <w:r>
        <w:rPr>
          <w:spacing w:val="-4"/>
        </w:rPr>
        <w:t xml:space="preserve"> </w:t>
      </w:r>
      <w:r>
        <w:t>strategic importance</w:t>
      </w:r>
      <w:r>
        <w:rPr>
          <w:spacing w:val="-4"/>
        </w:rPr>
        <w:t xml:space="preserve"> </w:t>
      </w:r>
      <w:r>
        <w:t>of</w:t>
      </w:r>
      <w:r>
        <w:rPr>
          <w:spacing w:val="-4"/>
        </w:rPr>
        <w:t xml:space="preserve"> </w:t>
      </w:r>
      <w:r>
        <w:t>the</w:t>
      </w:r>
      <w:r>
        <w:rPr>
          <w:spacing w:val="-4"/>
        </w:rPr>
        <w:t xml:space="preserve"> </w:t>
      </w:r>
      <w:r>
        <w:t>VAPJP</w:t>
      </w:r>
      <w:r>
        <w:rPr>
          <w:spacing w:val="-5"/>
        </w:rPr>
        <w:t xml:space="preserve"> </w:t>
      </w:r>
      <w:r>
        <w:t>program,</w:t>
      </w:r>
      <w:r>
        <w:rPr>
          <w:spacing w:val="-4"/>
        </w:rPr>
        <w:t xml:space="preserve"> </w:t>
      </w:r>
      <w:r>
        <w:t>DFAT</w:t>
      </w:r>
      <w:r>
        <w:rPr>
          <w:spacing w:val="-3"/>
        </w:rPr>
        <w:t xml:space="preserve"> </w:t>
      </w:r>
      <w:r>
        <w:t>should</w:t>
      </w:r>
      <w:r>
        <w:rPr>
          <w:spacing w:val="-2"/>
        </w:rPr>
        <w:t xml:space="preserve"> </w:t>
      </w:r>
      <w:r>
        <w:t>apply significantly more resourcing at Post to management and oversight of the Program.</w:t>
      </w:r>
    </w:p>
    <w:p w14:paraId="4E7B9125" w14:textId="77777777" w:rsidR="009C36E3" w:rsidRDefault="000E7207">
      <w:pPr>
        <w:pStyle w:val="BodyText"/>
        <w:spacing w:before="121"/>
        <w:ind w:left="770"/>
      </w:pPr>
      <w:r>
        <w:rPr>
          <w:b/>
          <w:color w:val="003478"/>
        </w:rPr>
        <w:t>Recommendation</w:t>
      </w:r>
      <w:r>
        <w:rPr>
          <w:b/>
          <w:color w:val="003478"/>
          <w:spacing w:val="-2"/>
        </w:rPr>
        <w:t xml:space="preserve"> </w:t>
      </w:r>
      <w:r>
        <w:rPr>
          <w:b/>
          <w:color w:val="003478"/>
        </w:rPr>
        <w:t>13.</w:t>
      </w:r>
      <w:r>
        <w:rPr>
          <w:b/>
          <w:color w:val="003478"/>
          <w:spacing w:val="-3"/>
        </w:rPr>
        <w:t xml:space="preserve"> </w:t>
      </w:r>
      <w:r>
        <w:t>Given</w:t>
      </w:r>
      <w:r>
        <w:rPr>
          <w:spacing w:val="-3"/>
        </w:rPr>
        <w:t xml:space="preserve"> </w:t>
      </w:r>
      <w:r>
        <w:t>the</w:t>
      </w:r>
      <w:r>
        <w:rPr>
          <w:spacing w:val="-3"/>
        </w:rPr>
        <w:t xml:space="preserve"> </w:t>
      </w:r>
      <w:r>
        <w:t>frequency</w:t>
      </w:r>
      <w:r>
        <w:rPr>
          <w:spacing w:val="-2"/>
        </w:rPr>
        <w:t xml:space="preserve"> </w:t>
      </w:r>
      <w:r>
        <w:t>and</w:t>
      </w:r>
      <w:r>
        <w:rPr>
          <w:spacing w:val="-3"/>
        </w:rPr>
        <w:t xml:space="preserve"> </w:t>
      </w:r>
      <w:r>
        <w:t>severity</w:t>
      </w:r>
      <w:r>
        <w:rPr>
          <w:spacing w:val="-2"/>
        </w:rPr>
        <w:t xml:space="preserve"> </w:t>
      </w:r>
      <w:r>
        <w:t>of</w:t>
      </w:r>
      <w:r>
        <w:rPr>
          <w:spacing w:val="-1"/>
        </w:rPr>
        <w:t xml:space="preserve"> </w:t>
      </w:r>
      <w:r>
        <w:t>natural</w:t>
      </w:r>
      <w:r>
        <w:rPr>
          <w:spacing w:val="-4"/>
        </w:rPr>
        <w:t xml:space="preserve"> </w:t>
      </w:r>
      <w:r>
        <w:t>disasters,</w:t>
      </w:r>
      <w:r>
        <w:rPr>
          <w:spacing w:val="-1"/>
        </w:rPr>
        <w:t xml:space="preserve"> </w:t>
      </w:r>
      <w:r>
        <w:t>VAPJP</w:t>
      </w:r>
      <w:r>
        <w:rPr>
          <w:spacing w:val="-4"/>
        </w:rPr>
        <w:t xml:space="preserve"> </w:t>
      </w:r>
      <w:r>
        <w:t>should</w:t>
      </w:r>
      <w:r>
        <w:rPr>
          <w:spacing w:val="-3"/>
        </w:rPr>
        <w:t xml:space="preserve"> </w:t>
      </w:r>
      <w:r>
        <w:t>continue</w:t>
      </w:r>
      <w:r>
        <w:rPr>
          <w:spacing w:val="-3"/>
        </w:rPr>
        <w:t xml:space="preserve"> </w:t>
      </w:r>
      <w:r>
        <w:t>to</w:t>
      </w:r>
      <w:r>
        <w:rPr>
          <w:spacing w:val="-1"/>
        </w:rPr>
        <w:t xml:space="preserve"> </w:t>
      </w:r>
      <w:r>
        <w:t>work</w:t>
      </w:r>
      <w:r>
        <w:rPr>
          <w:spacing w:val="-2"/>
        </w:rPr>
        <w:t xml:space="preserve"> </w:t>
      </w:r>
      <w:r>
        <w:t>with partner agencies on practical disaster risk reduction, and ‘chain-of-justice’ preparedness- including response and recovery, as well as responding to disasters in a coordinated fashion with the relevant GoV agencies.</w:t>
      </w:r>
    </w:p>
    <w:p w14:paraId="757C222A" w14:textId="77777777" w:rsidR="009C36E3" w:rsidRDefault="000E7207">
      <w:pPr>
        <w:pStyle w:val="BodyText"/>
        <w:spacing w:before="119"/>
        <w:ind w:left="770" w:right="192"/>
      </w:pPr>
      <w:r>
        <w:rPr>
          <w:b/>
          <w:color w:val="003478"/>
        </w:rPr>
        <w:t xml:space="preserve">Recommendation 14. </w:t>
      </w:r>
      <w:r>
        <w:t>There are a number of areas that warrant further attention at the design stage, which will overlap with the final year of the program. These include the multi-agency work being carried out on Epi to determine</w:t>
      </w:r>
      <w:r>
        <w:rPr>
          <w:spacing w:val="-2"/>
        </w:rPr>
        <w:t xml:space="preserve"> </w:t>
      </w:r>
      <w:r>
        <w:t>its</w:t>
      </w:r>
      <w:r>
        <w:rPr>
          <w:spacing w:val="-1"/>
        </w:rPr>
        <w:t xml:space="preserve"> </w:t>
      </w:r>
      <w:r>
        <w:t>strengths and challenges,</w:t>
      </w:r>
      <w:r>
        <w:rPr>
          <w:spacing w:val="-2"/>
        </w:rPr>
        <w:t xml:space="preserve"> </w:t>
      </w:r>
      <w:r>
        <w:t>and</w:t>
      </w:r>
      <w:r>
        <w:rPr>
          <w:spacing w:val="-2"/>
        </w:rPr>
        <w:t xml:space="preserve"> </w:t>
      </w:r>
      <w:r>
        <w:t>to</w:t>
      </w:r>
      <w:r>
        <w:rPr>
          <w:spacing w:val="-2"/>
        </w:rPr>
        <w:t xml:space="preserve"> </w:t>
      </w:r>
      <w:r>
        <w:t>what</w:t>
      </w:r>
      <w:r>
        <w:rPr>
          <w:spacing w:val="-2"/>
        </w:rPr>
        <w:t xml:space="preserve"> </w:t>
      </w:r>
      <w:r>
        <w:t>extent it</w:t>
      </w:r>
      <w:r>
        <w:rPr>
          <w:spacing w:val="-2"/>
        </w:rPr>
        <w:t xml:space="preserve"> </w:t>
      </w:r>
      <w:r>
        <w:t>can be used as</w:t>
      </w:r>
      <w:r>
        <w:rPr>
          <w:spacing w:val="-1"/>
        </w:rPr>
        <w:t xml:space="preserve"> </w:t>
      </w:r>
      <w:r>
        <w:t>a</w:t>
      </w:r>
      <w:r>
        <w:rPr>
          <w:spacing w:val="-1"/>
        </w:rPr>
        <w:t xml:space="preserve"> </w:t>
      </w:r>
      <w:r>
        <w:t>model</w:t>
      </w:r>
      <w:r>
        <w:rPr>
          <w:spacing w:val="-1"/>
        </w:rPr>
        <w:t xml:space="preserve"> </w:t>
      </w:r>
      <w:r>
        <w:t>in the future.</w:t>
      </w:r>
      <w:r>
        <w:rPr>
          <w:spacing w:val="-2"/>
        </w:rPr>
        <w:t xml:space="preserve"> </w:t>
      </w:r>
      <w:r>
        <w:t>It also includes coordination with other donors, the best model for achieving joined-up outcomes for prevention and response to VAWC, the best mechanism for ensuring responsiveness to natural disasters, the suitability of including Corrections in</w:t>
      </w:r>
      <w:r>
        <w:rPr>
          <w:spacing w:val="-2"/>
        </w:rPr>
        <w:t xml:space="preserve"> </w:t>
      </w:r>
      <w:r>
        <w:t>a</w:t>
      </w:r>
      <w:r>
        <w:rPr>
          <w:spacing w:val="-4"/>
        </w:rPr>
        <w:t xml:space="preserve"> </w:t>
      </w:r>
      <w:r>
        <w:t>future</w:t>
      </w:r>
      <w:r>
        <w:rPr>
          <w:spacing w:val="-2"/>
        </w:rPr>
        <w:t xml:space="preserve"> </w:t>
      </w:r>
      <w:r>
        <w:t>iteration</w:t>
      </w:r>
      <w:r>
        <w:rPr>
          <w:spacing w:val="-2"/>
        </w:rPr>
        <w:t xml:space="preserve"> </w:t>
      </w:r>
      <w:r>
        <w:t>of</w:t>
      </w:r>
      <w:r>
        <w:rPr>
          <w:spacing w:val="-4"/>
        </w:rPr>
        <w:t xml:space="preserve"> </w:t>
      </w:r>
      <w:r>
        <w:t>the</w:t>
      </w:r>
      <w:r>
        <w:rPr>
          <w:spacing w:val="-2"/>
        </w:rPr>
        <w:t xml:space="preserve"> </w:t>
      </w:r>
      <w:r>
        <w:t>program,</w:t>
      </w:r>
      <w:r>
        <w:rPr>
          <w:spacing w:val="-4"/>
        </w:rPr>
        <w:t xml:space="preserve"> </w:t>
      </w:r>
      <w:r>
        <w:t>and</w:t>
      </w:r>
      <w:r>
        <w:rPr>
          <w:spacing w:val="-4"/>
        </w:rPr>
        <w:t xml:space="preserve"> </w:t>
      </w:r>
      <w:r>
        <w:t>whether</w:t>
      </w:r>
      <w:r>
        <w:rPr>
          <w:spacing w:val="-3"/>
        </w:rPr>
        <w:t xml:space="preserve"> </w:t>
      </w:r>
      <w:r>
        <w:t>a</w:t>
      </w:r>
      <w:r>
        <w:rPr>
          <w:spacing w:val="-2"/>
        </w:rPr>
        <w:t xml:space="preserve"> </w:t>
      </w:r>
      <w:r>
        <w:t>six</w:t>
      </w:r>
      <w:r>
        <w:rPr>
          <w:spacing w:val="-3"/>
        </w:rPr>
        <w:t xml:space="preserve"> </w:t>
      </w:r>
      <w:r>
        <w:t>monthly</w:t>
      </w:r>
      <w:r>
        <w:rPr>
          <w:spacing w:val="-3"/>
        </w:rPr>
        <w:t xml:space="preserve"> </w:t>
      </w:r>
      <w:r>
        <w:t>PowerPoint,</w:t>
      </w:r>
      <w:r>
        <w:rPr>
          <w:spacing w:val="-4"/>
        </w:rPr>
        <w:t xml:space="preserve"> </w:t>
      </w:r>
      <w:r>
        <w:t>instead</w:t>
      </w:r>
      <w:r>
        <w:rPr>
          <w:spacing w:val="-2"/>
        </w:rPr>
        <w:t xml:space="preserve"> </w:t>
      </w:r>
      <w:r>
        <w:t>of</w:t>
      </w:r>
      <w:r>
        <w:rPr>
          <w:spacing w:val="-4"/>
        </w:rPr>
        <w:t xml:space="preserve"> </w:t>
      </w:r>
      <w:r>
        <w:t>written</w:t>
      </w:r>
      <w:r>
        <w:rPr>
          <w:spacing w:val="-4"/>
        </w:rPr>
        <w:t xml:space="preserve"> </w:t>
      </w:r>
      <w:r>
        <w:t>reporting would serve the interests of DFAT, AFP and VAPJP.</w:t>
      </w:r>
    </w:p>
    <w:p w14:paraId="36378A69" w14:textId="77777777" w:rsidR="009C36E3" w:rsidRDefault="009C36E3">
      <w:pPr>
        <w:sectPr w:rsidR="009C36E3">
          <w:pgSz w:w="11910" w:h="16850"/>
          <w:pgMar w:top="1040" w:right="740" w:bottom="740" w:left="80" w:header="552" w:footer="559" w:gutter="0"/>
          <w:cols w:space="720"/>
        </w:sectPr>
      </w:pPr>
    </w:p>
    <w:p w14:paraId="0BC5C061" w14:textId="77777777" w:rsidR="009C36E3" w:rsidRDefault="000E7207" w:rsidP="00E84525">
      <w:pPr>
        <w:pStyle w:val="Heading1"/>
        <w:numPr>
          <w:ilvl w:val="0"/>
          <w:numId w:val="33"/>
        </w:numPr>
      </w:pPr>
      <w:bookmarkStart w:id="4" w:name="1_Introduction"/>
      <w:bookmarkStart w:id="5" w:name="_bookmark4"/>
      <w:bookmarkEnd w:id="4"/>
      <w:bookmarkEnd w:id="5"/>
      <w:r>
        <w:t>Introduction</w:t>
      </w:r>
    </w:p>
    <w:p w14:paraId="3C7201BC" w14:textId="77777777" w:rsidR="009C36E3" w:rsidRDefault="000E7207">
      <w:pPr>
        <w:pStyle w:val="BodyText"/>
        <w:spacing w:before="261"/>
        <w:ind w:right="175"/>
        <w:jc w:val="both"/>
      </w:pPr>
      <w:r>
        <w:t>This</w:t>
      </w:r>
      <w:r>
        <w:rPr>
          <w:spacing w:val="-2"/>
        </w:rPr>
        <w:t xml:space="preserve"> </w:t>
      </w:r>
      <w:r>
        <w:t>is</w:t>
      </w:r>
      <w:r>
        <w:rPr>
          <w:spacing w:val="-2"/>
        </w:rPr>
        <w:t xml:space="preserve"> </w:t>
      </w:r>
      <w:r>
        <w:t>the</w:t>
      </w:r>
      <w:r>
        <w:rPr>
          <w:spacing w:val="-3"/>
        </w:rPr>
        <w:t xml:space="preserve"> </w:t>
      </w:r>
      <w:r>
        <w:t>report</w:t>
      </w:r>
      <w:r>
        <w:rPr>
          <w:spacing w:val="-3"/>
        </w:rPr>
        <w:t xml:space="preserve"> </w:t>
      </w:r>
      <w:r>
        <w:t>of</w:t>
      </w:r>
      <w:r>
        <w:rPr>
          <w:spacing w:val="-1"/>
        </w:rPr>
        <w:t xml:space="preserve"> </w:t>
      </w:r>
      <w:r>
        <w:t>the</w:t>
      </w:r>
      <w:r>
        <w:rPr>
          <w:spacing w:val="-1"/>
        </w:rPr>
        <w:t xml:space="preserve"> </w:t>
      </w:r>
      <w:r>
        <w:t>Mid-Term</w:t>
      </w:r>
      <w:r>
        <w:rPr>
          <w:spacing w:val="-3"/>
        </w:rPr>
        <w:t xml:space="preserve"> </w:t>
      </w:r>
      <w:r>
        <w:t>Review</w:t>
      </w:r>
      <w:r>
        <w:rPr>
          <w:spacing w:val="-3"/>
        </w:rPr>
        <w:t xml:space="preserve"> </w:t>
      </w:r>
      <w:r>
        <w:t>(MTR)</w:t>
      </w:r>
      <w:r>
        <w:rPr>
          <w:spacing w:val="-2"/>
        </w:rPr>
        <w:t xml:space="preserve"> </w:t>
      </w:r>
      <w:r>
        <w:t>of</w:t>
      </w:r>
      <w:r>
        <w:rPr>
          <w:spacing w:val="-1"/>
        </w:rPr>
        <w:t xml:space="preserve"> </w:t>
      </w:r>
      <w:r>
        <w:t>Phase</w:t>
      </w:r>
      <w:r>
        <w:rPr>
          <w:spacing w:val="-3"/>
        </w:rPr>
        <w:t xml:space="preserve"> </w:t>
      </w:r>
      <w:r>
        <w:t>2</w:t>
      </w:r>
      <w:r>
        <w:rPr>
          <w:spacing w:val="-3"/>
        </w:rPr>
        <w:t xml:space="preserve"> </w:t>
      </w:r>
      <w:r>
        <w:t>of</w:t>
      </w:r>
      <w:r>
        <w:rPr>
          <w:spacing w:val="-3"/>
        </w:rPr>
        <w:t xml:space="preserve"> </w:t>
      </w:r>
      <w:r>
        <w:t>the</w:t>
      </w:r>
      <w:r>
        <w:rPr>
          <w:spacing w:val="-3"/>
        </w:rPr>
        <w:t xml:space="preserve"> </w:t>
      </w:r>
      <w:r>
        <w:t>Vanuatu</w:t>
      </w:r>
      <w:r>
        <w:rPr>
          <w:spacing w:val="-1"/>
        </w:rPr>
        <w:t xml:space="preserve"> </w:t>
      </w:r>
      <w:r>
        <w:t>Australia</w:t>
      </w:r>
      <w:r>
        <w:rPr>
          <w:spacing w:val="-3"/>
        </w:rPr>
        <w:t xml:space="preserve"> </w:t>
      </w:r>
      <w:r>
        <w:t>Policing</w:t>
      </w:r>
      <w:r>
        <w:rPr>
          <w:spacing w:val="-3"/>
        </w:rPr>
        <w:t xml:space="preserve"> </w:t>
      </w:r>
      <w:r>
        <w:t>and</w:t>
      </w:r>
      <w:r>
        <w:rPr>
          <w:spacing w:val="-3"/>
        </w:rPr>
        <w:t xml:space="preserve"> </w:t>
      </w:r>
      <w:r>
        <w:t>Justice</w:t>
      </w:r>
      <w:r>
        <w:rPr>
          <w:spacing w:val="-1"/>
        </w:rPr>
        <w:t xml:space="preserve"> </w:t>
      </w:r>
      <w:r>
        <w:t>Program (VAPJP). VAPJP is Australia’s primary investment and support to the policing and justice sector in Vanuatu.</w:t>
      </w:r>
    </w:p>
    <w:p w14:paraId="7CB9617C" w14:textId="77777777" w:rsidR="009C36E3" w:rsidRDefault="000E7207">
      <w:pPr>
        <w:pStyle w:val="BodyText"/>
        <w:spacing w:before="1"/>
        <w:ind w:right="352"/>
        <w:jc w:val="both"/>
      </w:pPr>
      <w:r>
        <w:t>Originally</w:t>
      </w:r>
      <w:r>
        <w:rPr>
          <w:spacing w:val="-2"/>
        </w:rPr>
        <w:t xml:space="preserve"> </w:t>
      </w:r>
      <w:r>
        <w:t>established</w:t>
      </w:r>
      <w:r>
        <w:rPr>
          <w:spacing w:val="-1"/>
        </w:rPr>
        <w:t xml:space="preserve"> </w:t>
      </w:r>
      <w:r>
        <w:t>in</w:t>
      </w:r>
      <w:r>
        <w:rPr>
          <w:spacing w:val="-1"/>
        </w:rPr>
        <w:t xml:space="preserve"> </w:t>
      </w:r>
      <w:r>
        <w:t>2017,</w:t>
      </w:r>
      <w:r>
        <w:rPr>
          <w:spacing w:val="-1"/>
        </w:rPr>
        <w:t xml:space="preserve"> </w:t>
      </w:r>
      <w:r>
        <w:t>Phase</w:t>
      </w:r>
      <w:r>
        <w:rPr>
          <w:spacing w:val="-1"/>
        </w:rPr>
        <w:t xml:space="preserve"> </w:t>
      </w:r>
      <w:r>
        <w:t>2</w:t>
      </w:r>
      <w:r>
        <w:rPr>
          <w:spacing w:val="-3"/>
        </w:rPr>
        <w:t xml:space="preserve"> </w:t>
      </w:r>
      <w:r>
        <w:t>of</w:t>
      </w:r>
      <w:r>
        <w:rPr>
          <w:spacing w:val="-1"/>
        </w:rPr>
        <w:t xml:space="preserve"> </w:t>
      </w:r>
      <w:r>
        <w:t>the</w:t>
      </w:r>
      <w:r>
        <w:rPr>
          <w:spacing w:val="-1"/>
        </w:rPr>
        <w:t xml:space="preserve"> </w:t>
      </w:r>
      <w:r>
        <w:t>VAPJP</w:t>
      </w:r>
      <w:r>
        <w:rPr>
          <w:spacing w:val="-4"/>
        </w:rPr>
        <w:t xml:space="preserve"> </w:t>
      </w:r>
      <w:r>
        <w:t>is</w:t>
      </w:r>
      <w:r>
        <w:rPr>
          <w:spacing w:val="-2"/>
        </w:rPr>
        <w:t xml:space="preserve"> </w:t>
      </w:r>
      <w:r>
        <w:t>an</w:t>
      </w:r>
      <w:r>
        <w:rPr>
          <w:spacing w:val="-3"/>
        </w:rPr>
        <w:t xml:space="preserve"> </w:t>
      </w:r>
      <w:r>
        <w:t>AUD25</w:t>
      </w:r>
      <w:r>
        <w:rPr>
          <w:spacing w:val="-1"/>
        </w:rPr>
        <w:t xml:space="preserve"> </w:t>
      </w:r>
      <w:r>
        <w:t>million</w:t>
      </w:r>
      <w:r>
        <w:rPr>
          <w:spacing w:val="-3"/>
        </w:rPr>
        <w:t xml:space="preserve"> </w:t>
      </w:r>
      <w:r>
        <w:t>program</w:t>
      </w:r>
      <w:r>
        <w:rPr>
          <w:spacing w:val="-3"/>
        </w:rPr>
        <w:t xml:space="preserve"> </w:t>
      </w:r>
      <w:r>
        <w:t>over</w:t>
      </w:r>
      <w:r>
        <w:rPr>
          <w:spacing w:val="-2"/>
        </w:rPr>
        <w:t xml:space="preserve"> </w:t>
      </w:r>
      <w:r>
        <w:t>four</w:t>
      </w:r>
      <w:r>
        <w:rPr>
          <w:spacing w:val="-2"/>
        </w:rPr>
        <w:t xml:space="preserve"> </w:t>
      </w:r>
      <w:r>
        <w:t>years</w:t>
      </w:r>
      <w:r>
        <w:rPr>
          <w:spacing w:val="-2"/>
        </w:rPr>
        <w:t xml:space="preserve"> </w:t>
      </w:r>
      <w:r>
        <w:t>which</w:t>
      </w:r>
      <w:r>
        <w:rPr>
          <w:spacing w:val="-3"/>
        </w:rPr>
        <w:t xml:space="preserve"> </w:t>
      </w:r>
      <w:r>
        <w:t>aims</w:t>
      </w:r>
      <w:r>
        <w:rPr>
          <w:spacing w:val="-2"/>
        </w:rPr>
        <w:t xml:space="preserve"> </w:t>
      </w:r>
      <w:r>
        <w:t>to empower Vanuatu</w:t>
      </w:r>
      <w:r>
        <w:rPr>
          <w:spacing w:val="-1"/>
        </w:rPr>
        <w:t xml:space="preserve"> </w:t>
      </w:r>
      <w:r>
        <w:t>Police</w:t>
      </w:r>
      <w:r>
        <w:rPr>
          <w:spacing w:val="-3"/>
        </w:rPr>
        <w:t xml:space="preserve"> </w:t>
      </w:r>
      <w:r>
        <w:t>Force</w:t>
      </w:r>
      <w:r>
        <w:rPr>
          <w:spacing w:val="-3"/>
        </w:rPr>
        <w:t xml:space="preserve"> </w:t>
      </w:r>
      <w:r>
        <w:t>(VPF),</w:t>
      </w:r>
      <w:r>
        <w:rPr>
          <w:spacing w:val="-3"/>
        </w:rPr>
        <w:t xml:space="preserve"> </w:t>
      </w:r>
      <w:r>
        <w:t>justice</w:t>
      </w:r>
      <w:r>
        <w:rPr>
          <w:spacing w:val="-1"/>
        </w:rPr>
        <w:t xml:space="preserve"> </w:t>
      </w:r>
      <w:r>
        <w:t>and</w:t>
      </w:r>
      <w:r>
        <w:rPr>
          <w:spacing w:val="-3"/>
        </w:rPr>
        <w:t xml:space="preserve"> </w:t>
      </w:r>
      <w:r>
        <w:t>community</w:t>
      </w:r>
      <w:r>
        <w:rPr>
          <w:spacing w:val="-2"/>
        </w:rPr>
        <w:t xml:space="preserve"> </w:t>
      </w:r>
      <w:r>
        <w:t>service</w:t>
      </w:r>
      <w:r>
        <w:rPr>
          <w:spacing w:val="-1"/>
        </w:rPr>
        <w:t xml:space="preserve"> </w:t>
      </w:r>
      <w:r>
        <w:t>agencies,</w:t>
      </w:r>
      <w:r>
        <w:rPr>
          <w:spacing w:val="-1"/>
        </w:rPr>
        <w:t xml:space="preserve"> </w:t>
      </w:r>
      <w:r>
        <w:t>and</w:t>
      </w:r>
      <w:r>
        <w:rPr>
          <w:spacing w:val="-3"/>
        </w:rPr>
        <w:t xml:space="preserve"> </w:t>
      </w:r>
      <w:r>
        <w:t>targeted</w:t>
      </w:r>
      <w:r>
        <w:rPr>
          <w:spacing w:val="-1"/>
        </w:rPr>
        <w:t xml:space="preserve"> </w:t>
      </w:r>
      <w:r>
        <w:t>non-state</w:t>
      </w:r>
      <w:r>
        <w:rPr>
          <w:spacing w:val="-3"/>
        </w:rPr>
        <w:t xml:space="preserve"> </w:t>
      </w:r>
      <w:r>
        <w:t>actors</w:t>
      </w:r>
      <w:r>
        <w:rPr>
          <w:spacing w:val="-2"/>
        </w:rPr>
        <w:t xml:space="preserve"> </w:t>
      </w:r>
      <w:r>
        <w:t>to provide fair, equitable, and quality services that meet the needs of the community.</w:t>
      </w:r>
    </w:p>
    <w:p w14:paraId="6EDDCA3B" w14:textId="77777777" w:rsidR="009C36E3" w:rsidRDefault="000E7207">
      <w:pPr>
        <w:pStyle w:val="BodyText"/>
        <w:spacing w:before="119"/>
        <w:ind w:right="300"/>
        <w:jc w:val="both"/>
      </w:pPr>
      <w:r>
        <w:t>The implementation period for Phase 2 is December 2020 to December 2024. The Department of Foreign Affairs and</w:t>
      </w:r>
      <w:r>
        <w:rPr>
          <w:spacing w:val="-4"/>
        </w:rPr>
        <w:t xml:space="preserve"> </w:t>
      </w:r>
      <w:r>
        <w:t>Trade</w:t>
      </w:r>
      <w:r>
        <w:rPr>
          <w:spacing w:val="-4"/>
        </w:rPr>
        <w:t xml:space="preserve"> </w:t>
      </w:r>
      <w:r>
        <w:t>(DFAT)</w:t>
      </w:r>
      <w:r>
        <w:rPr>
          <w:spacing w:val="-1"/>
        </w:rPr>
        <w:t xml:space="preserve"> </w:t>
      </w:r>
      <w:r>
        <w:t>has</w:t>
      </w:r>
      <w:r>
        <w:rPr>
          <w:spacing w:val="-3"/>
        </w:rPr>
        <w:t xml:space="preserve"> </w:t>
      </w:r>
      <w:r>
        <w:t>commissioned</w:t>
      </w:r>
      <w:r>
        <w:rPr>
          <w:spacing w:val="-4"/>
        </w:rPr>
        <w:t xml:space="preserve"> </w:t>
      </w:r>
      <w:r>
        <w:t>Tetra</w:t>
      </w:r>
      <w:r>
        <w:rPr>
          <w:spacing w:val="-4"/>
        </w:rPr>
        <w:t xml:space="preserve"> </w:t>
      </w:r>
      <w:r>
        <w:t>Tech</w:t>
      </w:r>
      <w:r>
        <w:rPr>
          <w:spacing w:val="-2"/>
        </w:rPr>
        <w:t xml:space="preserve"> </w:t>
      </w:r>
      <w:r>
        <w:t>International</w:t>
      </w:r>
      <w:r>
        <w:rPr>
          <w:spacing w:val="-4"/>
        </w:rPr>
        <w:t xml:space="preserve"> </w:t>
      </w:r>
      <w:r>
        <w:t>Development</w:t>
      </w:r>
      <w:r>
        <w:rPr>
          <w:spacing w:val="-4"/>
        </w:rPr>
        <w:t xml:space="preserve"> </w:t>
      </w:r>
      <w:r>
        <w:t>(Tetra</w:t>
      </w:r>
      <w:r>
        <w:rPr>
          <w:spacing w:val="-4"/>
        </w:rPr>
        <w:t xml:space="preserve"> </w:t>
      </w:r>
      <w:r>
        <w:t>Tech)</w:t>
      </w:r>
      <w:r>
        <w:rPr>
          <w:spacing w:val="-3"/>
        </w:rPr>
        <w:t xml:space="preserve"> </w:t>
      </w:r>
      <w:r>
        <w:t>review</w:t>
      </w:r>
      <w:r>
        <w:rPr>
          <w:spacing w:val="-4"/>
        </w:rPr>
        <w:t xml:space="preserve"> </w:t>
      </w:r>
      <w:r>
        <w:t>team</w:t>
      </w:r>
      <w:r>
        <w:rPr>
          <w:spacing w:val="-4"/>
        </w:rPr>
        <w:t xml:space="preserve"> </w:t>
      </w:r>
      <w:r>
        <w:t>to</w:t>
      </w:r>
      <w:r>
        <w:rPr>
          <w:spacing w:val="-4"/>
        </w:rPr>
        <w:t xml:space="preserve"> </w:t>
      </w:r>
      <w:r>
        <w:t>conduct an MTR of the program from December 2020 to the present.</w:t>
      </w:r>
    </w:p>
    <w:p w14:paraId="2C899EE6" w14:textId="77777777" w:rsidR="009C36E3" w:rsidRDefault="000E7207" w:rsidP="00E84525">
      <w:pPr>
        <w:pStyle w:val="Heading2"/>
        <w:numPr>
          <w:ilvl w:val="1"/>
          <w:numId w:val="33"/>
        </w:numPr>
      </w:pPr>
      <w:bookmarkStart w:id="6" w:name="1.1_Background_and_overview_of_the_Progr"/>
      <w:bookmarkStart w:id="7" w:name="_bookmark5"/>
      <w:bookmarkEnd w:id="6"/>
      <w:bookmarkEnd w:id="7"/>
      <w:r>
        <w:t>Background</w:t>
      </w:r>
      <w:r>
        <w:rPr>
          <w:spacing w:val="-5"/>
        </w:rPr>
        <w:t xml:space="preserve"> </w:t>
      </w:r>
      <w:r>
        <w:t>and</w:t>
      </w:r>
      <w:r>
        <w:rPr>
          <w:spacing w:val="-4"/>
        </w:rPr>
        <w:t xml:space="preserve"> </w:t>
      </w:r>
      <w:r>
        <w:t>overview</w:t>
      </w:r>
      <w:r>
        <w:rPr>
          <w:spacing w:val="-4"/>
        </w:rPr>
        <w:t xml:space="preserve"> </w:t>
      </w:r>
      <w:r>
        <w:t>of</w:t>
      </w:r>
      <w:r>
        <w:rPr>
          <w:spacing w:val="-4"/>
        </w:rPr>
        <w:t xml:space="preserve"> </w:t>
      </w:r>
      <w:r>
        <w:t>the</w:t>
      </w:r>
      <w:r>
        <w:rPr>
          <w:spacing w:val="-3"/>
        </w:rPr>
        <w:t xml:space="preserve"> </w:t>
      </w:r>
      <w:r>
        <w:t>Program</w:t>
      </w:r>
    </w:p>
    <w:p w14:paraId="36A1B107" w14:textId="77777777" w:rsidR="009C36E3" w:rsidRDefault="000E7207">
      <w:pPr>
        <w:pStyle w:val="BodyText"/>
        <w:spacing w:before="257"/>
        <w:ind w:right="167"/>
      </w:pPr>
      <w:r>
        <w:t>The</w:t>
      </w:r>
      <w:r>
        <w:rPr>
          <w:spacing w:val="-1"/>
        </w:rPr>
        <w:t xml:space="preserve"> </w:t>
      </w:r>
      <w:r>
        <w:t>Government of Australia</w:t>
      </w:r>
      <w:r>
        <w:rPr>
          <w:spacing w:val="-1"/>
        </w:rPr>
        <w:t xml:space="preserve"> </w:t>
      </w:r>
      <w:r>
        <w:t>(GoA) has provided</w:t>
      </w:r>
      <w:r>
        <w:rPr>
          <w:spacing w:val="-1"/>
        </w:rPr>
        <w:t xml:space="preserve"> </w:t>
      </w:r>
      <w:r>
        <w:t>support</w:t>
      </w:r>
      <w:r>
        <w:rPr>
          <w:spacing w:val="-1"/>
        </w:rPr>
        <w:t xml:space="preserve"> </w:t>
      </w:r>
      <w:r>
        <w:t>to</w:t>
      </w:r>
      <w:r>
        <w:rPr>
          <w:spacing w:val="-1"/>
        </w:rPr>
        <w:t xml:space="preserve"> </w:t>
      </w:r>
      <w:r>
        <w:t>the</w:t>
      </w:r>
      <w:r>
        <w:rPr>
          <w:spacing w:val="-1"/>
        </w:rPr>
        <w:t xml:space="preserve"> </w:t>
      </w:r>
      <w:r>
        <w:t>policing,</w:t>
      </w:r>
      <w:r>
        <w:rPr>
          <w:spacing w:val="-1"/>
        </w:rPr>
        <w:t xml:space="preserve"> </w:t>
      </w:r>
      <w:r>
        <w:t>justice and</w:t>
      </w:r>
      <w:r>
        <w:rPr>
          <w:spacing w:val="-1"/>
        </w:rPr>
        <w:t xml:space="preserve"> </w:t>
      </w:r>
      <w:r>
        <w:t>community sector in</w:t>
      </w:r>
      <w:r>
        <w:rPr>
          <w:spacing w:val="-1"/>
        </w:rPr>
        <w:t xml:space="preserve"> </w:t>
      </w:r>
      <w:r>
        <w:t>various iterations in Vanuatu since 2001. The investment, which supports Vanuatu's policing and justice services and broader security, is highly relevant to Australia's whole-of-government priorities in the region and the security, peace and justice pillar of the Government of Vanuatu's (GoV) National Sustainable Development Plan 2030 (NSDP).</w:t>
      </w:r>
      <w:r>
        <w:rPr>
          <w:spacing w:val="-2"/>
        </w:rPr>
        <w:t xml:space="preserve"> </w:t>
      </w:r>
      <w:r>
        <w:t>VAPJP</w:t>
      </w:r>
      <w:r>
        <w:rPr>
          <w:spacing w:val="-2"/>
        </w:rPr>
        <w:t xml:space="preserve"> </w:t>
      </w:r>
      <w:r>
        <w:t>is</w:t>
      </w:r>
      <w:r>
        <w:rPr>
          <w:spacing w:val="-3"/>
        </w:rPr>
        <w:t xml:space="preserve"> </w:t>
      </w:r>
      <w:r>
        <w:t>helping</w:t>
      </w:r>
      <w:r>
        <w:rPr>
          <w:spacing w:val="-2"/>
        </w:rPr>
        <w:t xml:space="preserve"> </w:t>
      </w:r>
      <w:r>
        <w:t>contribute</w:t>
      </w:r>
      <w:r>
        <w:rPr>
          <w:spacing w:val="-4"/>
        </w:rPr>
        <w:t xml:space="preserve"> </w:t>
      </w:r>
      <w:r>
        <w:t>to</w:t>
      </w:r>
      <w:r>
        <w:rPr>
          <w:spacing w:val="-4"/>
        </w:rPr>
        <w:t xml:space="preserve"> </w:t>
      </w:r>
      <w:r>
        <w:t>Vanuatu’s</w:t>
      </w:r>
      <w:r>
        <w:rPr>
          <w:spacing w:val="-3"/>
        </w:rPr>
        <w:t xml:space="preserve"> </w:t>
      </w:r>
      <w:r>
        <w:t>social</w:t>
      </w:r>
      <w:r>
        <w:rPr>
          <w:spacing w:val="-3"/>
        </w:rPr>
        <w:t xml:space="preserve"> </w:t>
      </w:r>
      <w:r>
        <w:t>stability</w:t>
      </w:r>
      <w:r>
        <w:rPr>
          <w:spacing w:val="-3"/>
        </w:rPr>
        <w:t xml:space="preserve"> </w:t>
      </w:r>
      <w:r>
        <w:t>through</w:t>
      </w:r>
      <w:r>
        <w:rPr>
          <w:spacing w:val="-4"/>
        </w:rPr>
        <w:t xml:space="preserve"> </w:t>
      </w:r>
      <w:r>
        <w:t>strengthening</w:t>
      </w:r>
      <w:r>
        <w:rPr>
          <w:spacing w:val="-4"/>
        </w:rPr>
        <w:t xml:space="preserve"> </w:t>
      </w:r>
      <w:r>
        <w:t>the</w:t>
      </w:r>
      <w:r>
        <w:rPr>
          <w:spacing w:val="-4"/>
        </w:rPr>
        <w:t xml:space="preserve"> </w:t>
      </w:r>
      <w:r>
        <w:t>rule</w:t>
      </w:r>
      <w:r>
        <w:rPr>
          <w:spacing w:val="-2"/>
        </w:rPr>
        <w:t xml:space="preserve"> </w:t>
      </w:r>
      <w:r>
        <w:t>of</w:t>
      </w:r>
      <w:r>
        <w:rPr>
          <w:spacing w:val="-4"/>
        </w:rPr>
        <w:t xml:space="preserve"> </w:t>
      </w:r>
      <w:r>
        <w:t>law,</w:t>
      </w:r>
      <w:r>
        <w:rPr>
          <w:spacing w:val="-2"/>
        </w:rPr>
        <w:t xml:space="preserve"> </w:t>
      </w:r>
      <w:r>
        <w:t>improving access to justice and policing services for vulnerable groups, and helping address domestic violence.</w:t>
      </w:r>
    </w:p>
    <w:p w14:paraId="74111A5A" w14:textId="77777777" w:rsidR="009C36E3" w:rsidRDefault="000E7207">
      <w:pPr>
        <w:pStyle w:val="BodyText"/>
        <w:spacing w:before="120"/>
        <w:ind w:right="120"/>
        <w:rPr>
          <w:sz w:val="13"/>
        </w:rPr>
      </w:pPr>
      <w:r>
        <w:t>In 2014, the previously separate policing and justice programs were combined and since 2017, Australia’s support has continued through VAPJP. VAPJP</w:t>
      </w:r>
      <w:r>
        <w:rPr>
          <w:spacing w:val="-1"/>
        </w:rPr>
        <w:t xml:space="preserve"> </w:t>
      </w:r>
      <w:r>
        <w:t>applies a hybrid implementation modality with a Managing Contractor (MC) contracted to deliver the Program, and funding to support Australian Federal Police (AFP) Advisers to work within the program structure. In 2019, an Independent Evaluation of VAPJP recommended that DFAT continue the Program into a further four-year phase (2020-2024) as an integral part of Australia’s aid investments in Vanuatu, and</w:t>
      </w:r>
      <w:r>
        <w:rPr>
          <w:spacing w:val="-4"/>
        </w:rPr>
        <w:t xml:space="preserve"> </w:t>
      </w:r>
      <w:r>
        <w:t>that</w:t>
      </w:r>
      <w:r>
        <w:rPr>
          <w:spacing w:val="-2"/>
        </w:rPr>
        <w:t xml:space="preserve"> </w:t>
      </w:r>
      <w:r>
        <w:t>the</w:t>
      </w:r>
      <w:r>
        <w:rPr>
          <w:spacing w:val="-4"/>
        </w:rPr>
        <w:t xml:space="preserve"> </w:t>
      </w:r>
      <w:r>
        <w:t>joined-up</w:t>
      </w:r>
      <w:r>
        <w:rPr>
          <w:spacing w:val="-2"/>
        </w:rPr>
        <w:t xml:space="preserve"> </w:t>
      </w:r>
      <w:r>
        <w:t>policing</w:t>
      </w:r>
      <w:r>
        <w:rPr>
          <w:spacing w:val="-4"/>
        </w:rPr>
        <w:t xml:space="preserve"> </w:t>
      </w:r>
      <w:r>
        <w:t>and</w:t>
      </w:r>
      <w:r>
        <w:rPr>
          <w:spacing w:val="-4"/>
        </w:rPr>
        <w:t xml:space="preserve"> </w:t>
      </w:r>
      <w:r>
        <w:t>justice</w:t>
      </w:r>
      <w:r>
        <w:rPr>
          <w:spacing w:val="-4"/>
        </w:rPr>
        <w:t xml:space="preserve"> </w:t>
      </w:r>
      <w:r>
        <w:t>sector</w:t>
      </w:r>
      <w:r>
        <w:rPr>
          <w:spacing w:val="-3"/>
        </w:rPr>
        <w:t xml:space="preserve"> </w:t>
      </w:r>
      <w:r>
        <w:t>support</w:t>
      </w:r>
      <w:r>
        <w:rPr>
          <w:spacing w:val="-4"/>
        </w:rPr>
        <w:t xml:space="preserve"> </w:t>
      </w:r>
      <w:r>
        <w:t>(with</w:t>
      </w:r>
      <w:r>
        <w:rPr>
          <w:spacing w:val="-4"/>
        </w:rPr>
        <w:t xml:space="preserve"> </w:t>
      </w:r>
      <w:r>
        <w:t>the</w:t>
      </w:r>
      <w:r>
        <w:rPr>
          <w:spacing w:val="-2"/>
        </w:rPr>
        <w:t xml:space="preserve"> </w:t>
      </w:r>
      <w:r>
        <w:t>hybrid</w:t>
      </w:r>
      <w:r>
        <w:rPr>
          <w:spacing w:val="-2"/>
        </w:rPr>
        <w:t xml:space="preserve"> </w:t>
      </w:r>
      <w:r>
        <w:t>modality and</w:t>
      </w:r>
      <w:r>
        <w:rPr>
          <w:spacing w:val="-4"/>
        </w:rPr>
        <w:t xml:space="preserve"> </w:t>
      </w:r>
      <w:r>
        <w:t>joint</w:t>
      </w:r>
      <w:r>
        <w:rPr>
          <w:spacing w:val="-2"/>
        </w:rPr>
        <w:t xml:space="preserve"> </w:t>
      </w:r>
      <w:r>
        <w:t>management</w:t>
      </w:r>
      <w:r>
        <w:rPr>
          <w:spacing w:val="-4"/>
        </w:rPr>
        <w:t xml:space="preserve"> </w:t>
      </w:r>
      <w:r>
        <w:t>approach between MC and the AFP on the policing side), should continue.</w:t>
      </w:r>
      <w:hyperlink w:anchor="_bookmark6" w:history="1">
        <w:r>
          <w:rPr>
            <w:position w:val="6"/>
            <w:sz w:val="13"/>
          </w:rPr>
          <w:t>5</w:t>
        </w:r>
      </w:hyperlink>
    </w:p>
    <w:p w14:paraId="4F2CF378" w14:textId="77777777" w:rsidR="009C36E3" w:rsidRDefault="000E7207">
      <w:pPr>
        <w:pStyle w:val="BodyText"/>
        <w:spacing w:before="121"/>
      </w:pPr>
      <w:r>
        <w:t>VAPJP’s operating context is complex and multifaceted, covering a number of diverse actors including policing, justice</w:t>
      </w:r>
      <w:r>
        <w:rPr>
          <w:spacing w:val="-4"/>
        </w:rPr>
        <w:t xml:space="preserve"> </w:t>
      </w:r>
      <w:r>
        <w:t>and</w:t>
      </w:r>
      <w:r>
        <w:rPr>
          <w:spacing w:val="-2"/>
        </w:rPr>
        <w:t xml:space="preserve"> </w:t>
      </w:r>
      <w:r>
        <w:t>community</w:t>
      </w:r>
      <w:r>
        <w:rPr>
          <w:spacing w:val="-3"/>
        </w:rPr>
        <w:t xml:space="preserve"> </w:t>
      </w:r>
      <w:r>
        <w:t>services</w:t>
      </w:r>
      <w:r>
        <w:rPr>
          <w:spacing w:val="-3"/>
        </w:rPr>
        <w:t xml:space="preserve"> </w:t>
      </w:r>
      <w:r>
        <w:t>agencies</w:t>
      </w:r>
      <w:r>
        <w:rPr>
          <w:spacing w:val="-3"/>
        </w:rPr>
        <w:t xml:space="preserve"> </w:t>
      </w:r>
      <w:r>
        <w:t>as</w:t>
      </w:r>
      <w:r>
        <w:rPr>
          <w:spacing w:val="-3"/>
        </w:rPr>
        <w:t xml:space="preserve"> </w:t>
      </w:r>
      <w:r>
        <w:t>well</w:t>
      </w:r>
      <w:r>
        <w:rPr>
          <w:spacing w:val="-5"/>
        </w:rPr>
        <w:t xml:space="preserve"> </w:t>
      </w:r>
      <w:r>
        <w:t>as non-state</w:t>
      </w:r>
      <w:r>
        <w:rPr>
          <w:spacing w:val="-4"/>
        </w:rPr>
        <w:t xml:space="preserve"> </w:t>
      </w:r>
      <w:r>
        <w:t>actors</w:t>
      </w:r>
      <w:r>
        <w:rPr>
          <w:spacing w:val="-3"/>
        </w:rPr>
        <w:t xml:space="preserve"> </w:t>
      </w:r>
      <w:r>
        <w:t>(for</w:t>
      </w:r>
      <w:r>
        <w:rPr>
          <w:spacing w:val="-1"/>
        </w:rPr>
        <w:t xml:space="preserve"> </w:t>
      </w:r>
      <w:r>
        <w:t>example,</w:t>
      </w:r>
      <w:r>
        <w:rPr>
          <w:spacing w:val="-2"/>
        </w:rPr>
        <w:t xml:space="preserve"> </w:t>
      </w:r>
      <w:r>
        <w:t>churches</w:t>
      </w:r>
      <w:r>
        <w:rPr>
          <w:spacing w:val="-3"/>
        </w:rPr>
        <w:t xml:space="preserve"> </w:t>
      </w:r>
      <w:r>
        <w:t>and</w:t>
      </w:r>
      <w:r>
        <w:rPr>
          <w:spacing w:val="-4"/>
        </w:rPr>
        <w:t xml:space="preserve"> </w:t>
      </w:r>
      <w:r>
        <w:t>chiefly</w:t>
      </w:r>
      <w:r>
        <w:rPr>
          <w:spacing w:val="-3"/>
        </w:rPr>
        <w:t xml:space="preserve"> </w:t>
      </w:r>
      <w:r>
        <w:t>structures), civil</w:t>
      </w:r>
      <w:r>
        <w:rPr>
          <w:spacing w:val="-2"/>
        </w:rPr>
        <w:t xml:space="preserve"> </w:t>
      </w:r>
      <w:r>
        <w:t>society organisations (CSOs),</w:t>
      </w:r>
      <w:r>
        <w:rPr>
          <w:spacing w:val="-1"/>
        </w:rPr>
        <w:t xml:space="preserve"> </w:t>
      </w:r>
      <w:r>
        <w:t>and the people</w:t>
      </w:r>
      <w:r>
        <w:rPr>
          <w:spacing w:val="-1"/>
        </w:rPr>
        <w:t xml:space="preserve"> </w:t>
      </w:r>
      <w:r>
        <w:t>of Vanuatu</w:t>
      </w:r>
      <w:r>
        <w:rPr>
          <w:spacing w:val="-1"/>
        </w:rPr>
        <w:t xml:space="preserve"> </w:t>
      </w:r>
      <w:r>
        <w:t>(as end users or service</w:t>
      </w:r>
      <w:r>
        <w:rPr>
          <w:spacing w:val="-1"/>
        </w:rPr>
        <w:t xml:space="preserve"> </w:t>
      </w:r>
      <w:r>
        <w:t>recipients).</w:t>
      </w:r>
      <w:r>
        <w:rPr>
          <w:spacing w:val="-1"/>
        </w:rPr>
        <w:t xml:space="preserve"> </w:t>
      </w:r>
      <w:r>
        <w:t>Challenges over the</w:t>
      </w:r>
      <w:r>
        <w:rPr>
          <w:spacing w:val="-2"/>
        </w:rPr>
        <w:t xml:space="preserve"> </w:t>
      </w:r>
      <w:r>
        <w:t>review</w:t>
      </w:r>
      <w:r>
        <w:rPr>
          <w:spacing w:val="-2"/>
        </w:rPr>
        <w:t xml:space="preserve"> </w:t>
      </w:r>
      <w:r>
        <w:t>period</w:t>
      </w:r>
      <w:r>
        <w:rPr>
          <w:spacing w:val="-2"/>
        </w:rPr>
        <w:t xml:space="preserve"> </w:t>
      </w:r>
      <w:r>
        <w:t>have</w:t>
      </w:r>
      <w:r>
        <w:rPr>
          <w:spacing w:val="-2"/>
        </w:rPr>
        <w:t xml:space="preserve"> </w:t>
      </w:r>
      <w:r>
        <w:t>included COVID19,</w:t>
      </w:r>
      <w:r>
        <w:rPr>
          <w:spacing w:val="-2"/>
        </w:rPr>
        <w:t xml:space="preserve"> </w:t>
      </w:r>
      <w:r>
        <w:t>Tropical</w:t>
      </w:r>
      <w:r>
        <w:rPr>
          <w:spacing w:val="-3"/>
        </w:rPr>
        <w:t xml:space="preserve"> </w:t>
      </w:r>
      <w:r>
        <w:t>Cyclones</w:t>
      </w:r>
      <w:r>
        <w:rPr>
          <w:spacing w:val="-1"/>
        </w:rPr>
        <w:t xml:space="preserve"> </w:t>
      </w:r>
      <w:r>
        <w:t>Kevin, Judy</w:t>
      </w:r>
      <w:r>
        <w:rPr>
          <w:spacing w:val="-1"/>
        </w:rPr>
        <w:t xml:space="preserve"> </w:t>
      </w:r>
      <w:r>
        <w:t>and</w:t>
      </w:r>
      <w:r>
        <w:rPr>
          <w:spacing w:val="-2"/>
        </w:rPr>
        <w:t xml:space="preserve"> </w:t>
      </w:r>
      <w:r>
        <w:t>Lola,</w:t>
      </w:r>
      <w:r>
        <w:rPr>
          <w:spacing w:val="-2"/>
        </w:rPr>
        <w:t xml:space="preserve"> </w:t>
      </w:r>
      <w:r>
        <w:t>frequent</w:t>
      </w:r>
      <w:r>
        <w:rPr>
          <w:spacing w:val="-2"/>
        </w:rPr>
        <w:t xml:space="preserve"> </w:t>
      </w:r>
      <w:r>
        <w:t>changes</w:t>
      </w:r>
      <w:r>
        <w:rPr>
          <w:spacing w:val="-1"/>
        </w:rPr>
        <w:t xml:space="preserve"> </w:t>
      </w:r>
      <w:r>
        <w:t>in leadership within the Ministry of Justice and Community Services (MJCS), movement of the VPF from the Ministry of Internal Affairs (MoIA) to the Prime Minister’s Office (PMO) portfolio,</w:t>
      </w:r>
      <w:hyperlink w:anchor="_bookmark7" w:history="1">
        <w:r>
          <w:rPr>
            <w:position w:val="6"/>
            <w:sz w:val="13"/>
          </w:rPr>
          <w:t>6</w:t>
        </w:r>
      </w:hyperlink>
      <w:r>
        <w:rPr>
          <w:spacing w:val="25"/>
          <w:position w:val="6"/>
          <w:sz w:val="13"/>
        </w:rPr>
        <w:t xml:space="preserve"> </w:t>
      </w:r>
      <w:r>
        <w:t>and a prolonged period of political instability.</w:t>
      </w:r>
    </w:p>
    <w:p w14:paraId="0A851757" w14:textId="77777777" w:rsidR="009C36E3" w:rsidRDefault="000E7207">
      <w:pPr>
        <w:pStyle w:val="BodyText"/>
        <w:spacing w:before="120"/>
        <w:ind w:left="772" w:right="167"/>
      </w:pPr>
      <w:r>
        <w:t>VAPJP seeks to respond to development challenges facing the sector including limited access to justice, particularly for women, children, and youth in remote and peri-urban areas; high levels of violence against women and</w:t>
      </w:r>
      <w:r>
        <w:rPr>
          <w:spacing w:val="-4"/>
        </w:rPr>
        <w:t xml:space="preserve"> </w:t>
      </w:r>
      <w:r>
        <w:t>children;</w:t>
      </w:r>
      <w:r>
        <w:rPr>
          <w:spacing w:val="-2"/>
        </w:rPr>
        <w:t xml:space="preserve"> </w:t>
      </w:r>
      <w:r>
        <w:t>limited</w:t>
      </w:r>
      <w:r>
        <w:rPr>
          <w:spacing w:val="-4"/>
        </w:rPr>
        <w:t xml:space="preserve"> </w:t>
      </w:r>
      <w:r>
        <w:t>community</w:t>
      </w:r>
      <w:r>
        <w:rPr>
          <w:spacing w:val="-3"/>
        </w:rPr>
        <w:t xml:space="preserve"> </w:t>
      </w:r>
      <w:r>
        <w:t>confidence</w:t>
      </w:r>
      <w:r>
        <w:rPr>
          <w:spacing w:val="-2"/>
        </w:rPr>
        <w:t xml:space="preserve"> </w:t>
      </w:r>
      <w:r>
        <w:t>in</w:t>
      </w:r>
      <w:r>
        <w:rPr>
          <w:spacing w:val="-2"/>
        </w:rPr>
        <w:t xml:space="preserve"> </w:t>
      </w:r>
      <w:r>
        <w:t>the</w:t>
      </w:r>
      <w:r>
        <w:rPr>
          <w:spacing w:val="-2"/>
        </w:rPr>
        <w:t xml:space="preserve"> </w:t>
      </w:r>
      <w:r>
        <w:t>effectiveness</w:t>
      </w:r>
      <w:r>
        <w:rPr>
          <w:spacing w:val="-3"/>
        </w:rPr>
        <w:t xml:space="preserve"> </w:t>
      </w:r>
      <w:r>
        <w:t>of</w:t>
      </w:r>
      <w:r>
        <w:rPr>
          <w:spacing w:val="-4"/>
        </w:rPr>
        <w:t xml:space="preserve"> </w:t>
      </w:r>
      <w:r>
        <w:t>justice</w:t>
      </w:r>
      <w:r>
        <w:rPr>
          <w:spacing w:val="-2"/>
        </w:rPr>
        <w:t xml:space="preserve"> </w:t>
      </w:r>
      <w:r>
        <w:t>institutions</w:t>
      </w:r>
      <w:r>
        <w:rPr>
          <w:spacing w:val="-3"/>
        </w:rPr>
        <w:t xml:space="preserve"> </w:t>
      </w:r>
      <w:r>
        <w:t>and</w:t>
      </w:r>
      <w:r>
        <w:rPr>
          <w:spacing w:val="-4"/>
        </w:rPr>
        <w:t xml:space="preserve"> </w:t>
      </w:r>
      <w:r>
        <w:t>the</w:t>
      </w:r>
      <w:r>
        <w:rPr>
          <w:spacing w:val="-4"/>
        </w:rPr>
        <w:t xml:space="preserve"> </w:t>
      </w:r>
      <w:r>
        <w:t>police;</w:t>
      </w:r>
      <w:r>
        <w:rPr>
          <w:spacing w:val="-4"/>
        </w:rPr>
        <w:t xml:space="preserve"> </w:t>
      </w:r>
      <w:r>
        <w:t>and</w:t>
      </w:r>
      <w:r>
        <w:rPr>
          <w:spacing w:val="-2"/>
        </w:rPr>
        <w:t xml:space="preserve"> </w:t>
      </w:r>
      <w:r>
        <w:t>increasing numbers of youth coming into conflict with the law. The program is also currently supporting the architectural design</w:t>
      </w:r>
      <w:r>
        <w:rPr>
          <w:spacing w:val="-3"/>
        </w:rPr>
        <w:t xml:space="preserve"> </w:t>
      </w:r>
      <w:r>
        <w:t>of</w:t>
      </w:r>
      <w:r>
        <w:rPr>
          <w:spacing w:val="-1"/>
        </w:rPr>
        <w:t xml:space="preserve"> </w:t>
      </w:r>
      <w:r>
        <w:t>a</w:t>
      </w:r>
      <w:r>
        <w:rPr>
          <w:spacing w:val="-3"/>
        </w:rPr>
        <w:t xml:space="preserve"> </w:t>
      </w:r>
      <w:r>
        <w:t>new Port</w:t>
      </w:r>
      <w:r>
        <w:rPr>
          <w:spacing w:val="-1"/>
        </w:rPr>
        <w:t xml:space="preserve"> </w:t>
      </w:r>
      <w:r>
        <w:t>Vila</w:t>
      </w:r>
      <w:r>
        <w:rPr>
          <w:spacing w:val="-3"/>
        </w:rPr>
        <w:t xml:space="preserve"> </w:t>
      </w:r>
      <w:r>
        <w:t>Central</w:t>
      </w:r>
      <w:r>
        <w:rPr>
          <w:spacing w:val="-2"/>
        </w:rPr>
        <w:t xml:space="preserve"> </w:t>
      </w:r>
      <w:r>
        <w:t>Police</w:t>
      </w:r>
      <w:r>
        <w:rPr>
          <w:spacing w:val="-3"/>
        </w:rPr>
        <w:t xml:space="preserve"> </w:t>
      </w:r>
      <w:r>
        <w:t>Station</w:t>
      </w:r>
      <w:r>
        <w:rPr>
          <w:spacing w:val="-1"/>
        </w:rPr>
        <w:t xml:space="preserve"> </w:t>
      </w:r>
      <w:r>
        <w:t>which Australia</w:t>
      </w:r>
      <w:r>
        <w:rPr>
          <w:spacing w:val="-3"/>
        </w:rPr>
        <w:t xml:space="preserve"> </w:t>
      </w:r>
      <w:r>
        <w:t>committed</w:t>
      </w:r>
      <w:r>
        <w:rPr>
          <w:spacing w:val="-3"/>
        </w:rPr>
        <w:t xml:space="preserve"> </w:t>
      </w:r>
      <w:r>
        <w:t>to</w:t>
      </w:r>
      <w:r>
        <w:rPr>
          <w:spacing w:val="-1"/>
        </w:rPr>
        <w:t xml:space="preserve"> </w:t>
      </w:r>
      <w:r>
        <w:t>funding</w:t>
      </w:r>
      <w:r>
        <w:rPr>
          <w:spacing w:val="-1"/>
        </w:rPr>
        <w:t xml:space="preserve"> </w:t>
      </w:r>
      <w:r>
        <w:t>after</w:t>
      </w:r>
      <w:r>
        <w:rPr>
          <w:spacing w:val="-2"/>
        </w:rPr>
        <w:t xml:space="preserve"> </w:t>
      </w:r>
      <w:r>
        <w:t>the</w:t>
      </w:r>
      <w:r>
        <w:rPr>
          <w:spacing w:val="-1"/>
        </w:rPr>
        <w:t xml:space="preserve"> </w:t>
      </w:r>
      <w:r>
        <w:t>previous</w:t>
      </w:r>
      <w:r>
        <w:rPr>
          <w:spacing w:val="-2"/>
        </w:rPr>
        <w:t xml:space="preserve"> </w:t>
      </w:r>
      <w:r>
        <w:t>facility</w:t>
      </w:r>
      <w:r>
        <w:rPr>
          <w:spacing w:val="-2"/>
        </w:rPr>
        <w:t xml:space="preserve"> </w:t>
      </w:r>
      <w:r>
        <w:t>was deemed structurally unsafe in 2021.</w:t>
      </w:r>
    </w:p>
    <w:p w14:paraId="2EDD28CB" w14:textId="77777777" w:rsidR="009C36E3" w:rsidRDefault="000E7207">
      <w:pPr>
        <w:pStyle w:val="BodyText"/>
        <w:spacing w:before="120"/>
        <w:ind w:left="772" w:right="167"/>
      </w:pPr>
      <w:r>
        <w:t>VAPJP’s overarching</w:t>
      </w:r>
      <w:r>
        <w:rPr>
          <w:spacing w:val="-1"/>
        </w:rPr>
        <w:t xml:space="preserve"> </w:t>
      </w:r>
      <w:r>
        <w:t>long-term</w:t>
      </w:r>
      <w:r>
        <w:rPr>
          <w:spacing w:val="-1"/>
        </w:rPr>
        <w:t xml:space="preserve"> </w:t>
      </w:r>
      <w:r>
        <w:t>objective</w:t>
      </w:r>
      <w:r>
        <w:rPr>
          <w:spacing w:val="-1"/>
        </w:rPr>
        <w:t xml:space="preserve"> </w:t>
      </w:r>
      <w:r>
        <w:t>is that ‘Vanuatu Police</w:t>
      </w:r>
      <w:r>
        <w:rPr>
          <w:spacing w:val="-1"/>
        </w:rPr>
        <w:t xml:space="preserve"> </w:t>
      </w:r>
      <w:r>
        <w:t>Force,</w:t>
      </w:r>
      <w:r>
        <w:rPr>
          <w:spacing w:val="-1"/>
        </w:rPr>
        <w:t xml:space="preserve"> </w:t>
      </w:r>
      <w:r>
        <w:t>justice</w:t>
      </w:r>
      <w:r>
        <w:rPr>
          <w:spacing w:val="-1"/>
        </w:rPr>
        <w:t xml:space="preserve"> </w:t>
      </w:r>
      <w:r>
        <w:t>and</w:t>
      </w:r>
      <w:r>
        <w:rPr>
          <w:spacing w:val="-1"/>
        </w:rPr>
        <w:t xml:space="preserve"> </w:t>
      </w:r>
      <w:r>
        <w:t>community service</w:t>
      </w:r>
      <w:r>
        <w:rPr>
          <w:spacing w:val="-1"/>
        </w:rPr>
        <w:t xml:space="preserve"> </w:t>
      </w:r>
      <w:r>
        <w:t>agencies and</w:t>
      </w:r>
      <w:r>
        <w:rPr>
          <w:spacing w:val="-7"/>
        </w:rPr>
        <w:t xml:space="preserve"> </w:t>
      </w:r>
      <w:r>
        <w:t>targeted</w:t>
      </w:r>
      <w:r>
        <w:rPr>
          <w:spacing w:val="-5"/>
        </w:rPr>
        <w:t xml:space="preserve"> </w:t>
      </w:r>
      <w:r>
        <w:t>non-state</w:t>
      </w:r>
      <w:r>
        <w:rPr>
          <w:spacing w:val="-7"/>
        </w:rPr>
        <w:t xml:space="preserve"> </w:t>
      </w:r>
      <w:r>
        <w:t>actors</w:t>
      </w:r>
      <w:r>
        <w:rPr>
          <w:spacing w:val="-6"/>
        </w:rPr>
        <w:t xml:space="preserve"> </w:t>
      </w:r>
      <w:r>
        <w:t>provide</w:t>
      </w:r>
      <w:r>
        <w:rPr>
          <w:spacing w:val="-7"/>
        </w:rPr>
        <w:t xml:space="preserve"> </w:t>
      </w:r>
      <w:r>
        <w:t>fair,</w:t>
      </w:r>
      <w:r>
        <w:rPr>
          <w:spacing w:val="-7"/>
        </w:rPr>
        <w:t xml:space="preserve"> </w:t>
      </w:r>
      <w:r>
        <w:t>equitable</w:t>
      </w:r>
      <w:r>
        <w:rPr>
          <w:spacing w:val="-5"/>
        </w:rPr>
        <w:t xml:space="preserve"> </w:t>
      </w:r>
      <w:r>
        <w:t>and</w:t>
      </w:r>
      <w:r>
        <w:rPr>
          <w:spacing w:val="-7"/>
        </w:rPr>
        <w:t xml:space="preserve"> </w:t>
      </w:r>
      <w:r>
        <w:t>quality</w:t>
      </w:r>
      <w:r>
        <w:rPr>
          <w:spacing w:val="-6"/>
        </w:rPr>
        <w:t xml:space="preserve"> </w:t>
      </w:r>
      <w:r>
        <w:t>services</w:t>
      </w:r>
      <w:r>
        <w:rPr>
          <w:spacing w:val="-6"/>
        </w:rPr>
        <w:t xml:space="preserve"> </w:t>
      </w:r>
      <w:r>
        <w:t>that</w:t>
      </w:r>
      <w:r>
        <w:rPr>
          <w:spacing w:val="-5"/>
        </w:rPr>
        <w:t xml:space="preserve"> </w:t>
      </w:r>
      <w:r>
        <w:t>meet</w:t>
      </w:r>
      <w:r>
        <w:rPr>
          <w:spacing w:val="-5"/>
        </w:rPr>
        <w:t xml:space="preserve"> </w:t>
      </w:r>
      <w:r>
        <w:t>the</w:t>
      </w:r>
      <w:r>
        <w:rPr>
          <w:spacing w:val="-5"/>
        </w:rPr>
        <w:t xml:space="preserve"> </w:t>
      </w:r>
      <w:r>
        <w:t>needs</w:t>
      </w:r>
      <w:r>
        <w:rPr>
          <w:spacing w:val="-6"/>
        </w:rPr>
        <w:t xml:space="preserve"> </w:t>
      </w:r>
      <w:r>
        <w:t>of</w:t>
      </w:r>
      <w:r>
        <w:rPr>
          <w:spacing w:val="-7"/>
        </w:rPr>
        <w:t xml:space="preserve"> </w:t>
      </w:r>
      <w:r>
        <w:t>the</w:t>
      </w:r>
      <w:r>
        <w:rPr>
          <w:spacing w:val="-7"/>
        </w:rPr>
        <w:t xml:space="preserve"> </w:t>
      </w:r>
      <w:r>
        <w:rPr>
          <w:spacing w:val="-2"/>
        </w:rPr>
        <w:t>community’.</w:t>
      </w:r>
    </w:p>
    <w:p w14:paraId="7572B275" w14:textId="77777777" w:rsidR="009C36E3" w:rsidRDefault="000E7207">
      <w:pPr>
        <w:pStyle w:val="BodyText"/>
        <w:spacing w:before="119"/>
      </w:pPr>
      <w:r>
        <w:t>VAPJP</w:t>
      </w:r>
      <w:r>
        <w:rPr>
          <w:spacing w:val="-4"/>
        </w:rPr>
        <w:t xml:space="preserve"> </w:t>
      </w:r>
      <w:r>
        <w:t>takes</w:t>
      </w:r>
      <w:r>
        <w:rPr>
          <w:spacing w:val="-2"/>
        </w:rPr>
        <w:t xml:space="preserve"> </w:t>
      </w:r>
      <w:r>
        <w:t>a</w:t>
      </w:r>
      <w:r>
        <w:rPr>
          <w:spacing w:val="-1"/>
        </w:rPr>
        <w:t xml:space="preserve"> </w:t>
      </w:r>
      <w:r>
        <w:t>‘two-track</w:t>
      </w:r>
      <w:r>
        <w:rPr>
          <w:spacing w:val="-2"/>
        </w:rPr>
        <w:t xml:space="preserve"> </w:t>
      </w:r>
      <w:r>
        <w:t>approach’</w:t>
      </w:r>
      <w:r>
        <w:rPr>
          <w:spacing w:val="-4"/>
        </w:rPr>
        <w:t xml:space="preserve"> </w:t>
      </w:r>
      <w:r>
        <w:t>of</w:t>
      </w:r>
      <w:r>
        <w:rPr>
          <w:spacing w:val="-1"/>
        </w:rPr>
        <w:t xml:space="preserve"> </w:t>
      </w:r>
      <w:r>
        <w:t>maintaining</w:t>
      </w:r>
      <w:r>
        <w:rPr>
          <w:spacing w:val="-3"/>
        </w:rPr>
        <w:t xml:space="preserve"> </w:t>
      </w:r>
      <w:r>
        <w:t>services</w:t>
      </w:r>
      <w:r>
        <w:rPr>
          <w:spacing w:val="-2"/>
        </w:rPr>
        <w:t xml:space="preserve"> </w:t>
      </w:r>
      <w:r>
        <w:t>in</w:t>
      </w:r>
      <w:r>
        <w:rPr>
          <w:spacing w:val="-3"/>
        </w:rPr>
        <w:t xml:space="preserve"> </w:t>
      </w:r>
      <w:r>
        <w:t>the</w:t>
      </w:r>
      <w:r>
        <w:rPr>
          <w:spacing w:val="-3"/>
        </w:rPr>
        <w:t xml:space="preserve"> </w:t>
      </w:r>
      <w:r>
        <w:t>short-term</w:t>
      </w:r>
      <w:r>
        <w:rPr>
          <w:spacing w:val="-3"/>
        </w:rPr>
        <w:t xml:space="preserve"> </w:t>
      </w:r>
      <w:r>
        <w:t>and</w:t>
      </w:r>
      <w:r>
        <w:rPr>
          <w:spacing w:val="-1"/>
        </w:rPr>
        <w:t xml:space="preserve"> </w:t>
      </w:r>
      <w:r>
        <w:t>improving</w:t>
      </w:r>
      <w:r>
        <w:rPr>
          <w:spacing w:val="-3"/>
        </w:rPr>
        <w:t xml:space="preserve"> </w:t>
      </w:r>
      <w:r>
        <w:t>capacity</w:t>
      </w:r>
      <w:r>
        <w:rPr>
          <w:spacing w:val="-2"/>
        </w:rPr>
        <w:t xml:space="preserve"> </w:t>
      </w:r>
      <w:r>
        <w:t>for</w:t>
      </w:r>
      <w:r>
        <w:rPr>
          <w:spacing w:val="-2"/>
        </w:rPr>
        <w:t xml:space="preserve"> </w:t>
      </w:r>
      <w:r>
        <w:t>the</w:t>
      </w:r>
      <w:r>
        <w:rPr>
          <w:spacing w:val="-3"/>
        </w:rPr>
        <w:t xml:space="preserve"> </w:t>
      </w:r>
      <w:r>
        <w:t>long- term. The program logic illustrates how this approach is delivered across three interconnected End of Program Outcomes (EOPO):</w:t>
      </w:r>
    </w:p>
    <w:p w14:paraId="4C3533FB" w14:textId="77777777" w:rsidR="009C36E3" w:rsidRDefault="000E7207">
      <w:pPr>
        <w:pStyle w:val="ListParagraph"/>
        <w:numPr>
          <w:ilvl w:val="0"/>
          <w:numId w:val="32"/>
        </w:numPr>
        <w:tabs>
          <w:tab w:val="left" w:pos="1129"/>
        </w:tabs>
        <w:spacing w:before="124" w:line="237" w:lineRule="auto"/>
        <w:ind w:right="929"/>
        <w:rPr>
          <w:sz w:val="20"/>
        </w:rPr>
      </w:pPr>
      <w:r>
        <w:rPr>
          <w:b/>
          <w:sz w:val="20"/>
        </w:rPr>
        <w:t>EOPO1:</w:t>
      </w:r>
      <w:r>
        <w:rPr>
          <w:b/>
          <w:spacing w:val="-3"/>
          <w:sz w:val="20"/>
        </w:rPr>
        <w:t xml:space="preserve"> </w:t>
      </w:r>
      <w:r>
        <w:rPr>
          <w:sz w:val="20"/>
        </w:rPr>
        <w:t>Justice</w:t>
      </w:r>
      <w:r>
        <w:rPr>
          <w:spacing w:val="-2"/>
          <w:sz w:val="20"/>
        </w:rPr>
        <w:t xml:space="preserve"> </w:t>
      </w:r>
      <w:r>
        <w:rPr>
          <w:sz w:val="20"/>
        </w:rPr>
        <w:t>and</w:t>
      </w:r>
      <w:r>
        <w:rPr>
          <w:spacing w:val="-4"/>
          <w:sz w:val="20"/>
        </w:rPr>
        <w:t xml:space="preserve"> </w:t>
      </w:r>
      <w:r>
        <w:rPr>
          <w:sz w:val="20"/>
        </w:rPr>
        <w:t>policing</w:t>
      </w:r>
      <w:r>
        <w:rPr>
          <w:spacing w:val="-4"/>
          <w:sz w:val="20"/>
        </w:rPr>
        <w:t xml:space="preserve"> </w:t>
      </w:r>
      <w:r>
        <w:rPr>
          <w:sz w:val="20"/>
        </w:rPr>
        <w:t>agencies improve</w:t>
      </w:r>
      <w:r>
        <w:rPr>
          <w:spacing w:val="-4"/>
          <w:sz w:val="20"/>
        </w:rPr>
        <w:t xml:space="preserve"> </w:t>
      </w:r>
      <w:r>
        <w:rPr>
          <w:sz w:val="20"/>
        </w:rPr>
        <w:t>quality and</w:t>
      </w:r>
      <w:r>
        <w:rPr>
          <w:spacing w:val="-4"/>
          <w:sz w:val="20"/>
        </w:rPr>
        <w:t xml:space="preserve"> </w:t>
      </w:r>
      <w:r>
        <w:rPr>
          <w:sz w:val="20"/>
        </w:rPr>
        <w:t>reach</w:t>
      </w:r>
      <w:r>
        <w:rPr>
          <w:spacing w:val="-4"/>
          <w:sz w:val="20"/>
        </w:rPr>
        <w:t xml:space="preserve"> </w:t>
      </w:r>
      <w:r>
        <w:rPr>
          <w:sz w:val="20"/>
        </w:rPr>
        <w:t>of</w:t>
      </w:r>
      <w:r>
        <w:rPr>
          <w:spacing w:val="-4"/>
          <w:sz w:val="20"/>
        </w:rPr>
        <w:t xml:space="preserve"> </w:t>
      </w:r>
      <w:r>
        <w:rPr>
          <w:sz w:val="20"/>
        </w:rPr>
        <w:t>services</w:t>
      </w:r>
      <w:r>
        <w:rPr>
          <w:spacing w:val="-3"/>
          <w:sz w:val="20"/>
        </w:rPr>
        <w:t xml:space="preserve"> </w:t>
      </w:r>
      <w:r>
        <w:rPr>
          <w:sz w:val="20"/>
        </w:rPr>
        <w:t>to</w:t>
      </w:r>
      <w:r>
        <w:rPr>
          <w:spacing w:val="-2"/>
          <w:sz w:val="20"/>
        </w:rPr>
        <w:t xml:space="preserve"> </w:t>
      </w:r>
      <w:r>
        <w:rPr>
          <w:sz w:val="20"/>
        </w:rPr>
        <w:t>Vanuatu</w:t>
      </w:r>
      <w:r>
        <w:rPr>
          <w:spacing w:val="-4"/>
          <w:sz w:val="20"/>
        </w:rPr>
        <w:t xml:space="preserve"> </w:t>
      </w:r>
      <w:r>
        <w:rPr>
          <w:sz w:val="20"/>
        </w:rPr>
        <w:t>communities, particularly in their handling of cases involving women, children, and youth;</w:t>
      </w:r>
    </w:p>
    <w:p w14:paraId="3017F93A" w14:textId="77777777" w:rsidR="009C36E3" w:rsidRDefault="000E7207">
      <w:pPr>
        <w:pStyle w:val="ListParagraph"/>
        <w:numPr>
          <w:ilvl w:val="0"/>
          <w:numId w:val="32"/>
        </w:numPr>
        <w:tabs>
          <w:tab w:val="left" w:pos="1129"/>
        </w:tabs>
        <w:spacing w:before="3" w:line="237" w:lineRule="auto"/>
        <w:ind w:right="942"/>
        <w:rPr>
          <w:sz w:val="20"/>
        </w:rPr>
      </w:pPr>
      <w:r>
        <w:rPr>
          <w:b/>
          <w:sz w:val="20"/>
        </w:rPr>
        <w:t>EOPO2:</w:t>
      </w:r>
      <w:r>
        <w:rPr>
          <w:b/>
          <w:spacing w:val="-2"/>
          <w:sz w:val="20"/>
        </w:rPr>
        <w:t xml:space="preserve"> </w:t>
      </w:r>
      <w:r>
        <w:rPr>
          <w:sz w:val="20"/>
        </w:rPr>
        <w:t>Women,</w:t>
      </w:r>
      <w:r>
        <w:rPr>
          <w:spacing w:val="-3"/>
          <w:sz w:val="20"/>
        </w:rPr>
        <w:t xml:space="preserve"> </w:t>
      </w:r>
      <w:r>
        <w:rPr>
          <w:sz w:val="20"/>
        </w:rPr>
        <w:t>children and</w:t>
      </w:r>
      <w:r>
        <w:rPr>
          <w:spacing w:val="-5"/>
          <w:sz w:val="20"/>
        </w:rPr>
        <w:t xml:space="preserve"> </w:t>
      </w:r>
      <w:r>
        <w:rPr>
          <w:sz w:val="20"/>
        </w:rPr>
        <w:t>youth</w:t>
      </w:r>
      <w:r>
        <w:rPr>
          <w:spacing w:val="-3"/>
          <w:sz w:val="20"/>
        </w:rPr>
        <w:t xml:space="preserve"> </w:t>
      </w:r>
      <w:r>
        <w:rPr>
          <w:sz w:val="20"/>
        </w:rPr>
        <w:t>are</w:t>
      </w:r>
      <w:r>
        <w:rPr>
          <w:spacing w:val="-5"/>
          <w:sz w:val="20"/>
        </w:rPr>
        <w:t xml:space="preserve"> </w:t>
      </w:r>
      <w:r>
        <w:rPr>
          <w:sz w:val="20"/>
        </w:rPr>
        <w:t>increasingly</w:t>
      </w:r>
      <w:r>
        <w:rPr>
          <w:spacing w:val="-1"/>
          <w:sz w:val="20"/>
        </w:rPr>
        <w:t xml:space="preserve"> </w:t>
      </w:r>
      <w:r>
        <w:rPr>
          <w:sz w:val="20"/>
        </w:rPr>
        <w:t>accessing</w:t>
      </w:r>
      <w:r>
        <w:rPr>
          <w:spacing w:val="-5"/>
          <w:sz w:val="20"/>
        </w:rPr>
        <w:t xml:space="preserve"> </w:t>
      </w:r>
      <w:r>
        <w:rPr>
          <w:sz w:val="20"/>
        </w:rPr>
        <w:t>state</w:t>
      </w:r>
      <w:r>
        <w:rPr>
          <w:spacing w:val="-3"/>
          <w:sz w:val="20"/>
        </w:rPr>
        <w:t xml:space="preserve"> </w:t>
      </w:r>
      <w:r>
        <w:rPr>
          <w:sz w:val="20"/>
        </w:rPr>
        <w:t>policing,</w:t>
      </w:r>
      <w:r>
        <w:rPr>
          <w:spacing w:val="-3"/>
          <w:sz w:val="20"/>
        </w:rPr>
        <w:t xml:space="preserve"> </w:t>
      </w:r>
      <w:r>
        <w:rPr>
          <w:sz w:val="20"/>
        </w:rPr>
        <w:t>justice,</w:t>
      </w:r>
      <w:r>
        <w:rPr>
          <w:spacing w:val="-5"/>
          <w:sz w:val="20"/>
        </w:rPr>
        <w:t xml:space="preserve"> </w:t>
      </w:r>
      <w:r>
        <w:rPr>
          <w:sz w:val="20"/>
        </w:rPr>
        <w:t>and</w:t>
      </w:r>
      <w:r>
        <w:rPr>
          <w:spacing w:val="-5"/>
          <w:sz w:val="20"/>
        </w:rPr>
        <w:t xml:space="preserve"> </w:t>
      </w:r>
      <w:r>
        <w:rPr>
          <w:sz w:val="20"/>
        </w:rPr>
        <w:t>community services; and</w:t>
      </w:r>
    </w:p>
    <w:p w14:paraId="22C10621" w14:textId="77777777" w:rsidR="009C36E3" w:rsidRDefault="000E7207">
      <w:pPr>
        <w:pStyle w:val="ListParagraph"/>
        <w:numPr>
          <w:ilvl w:val="0"/>
          <w:numId w:val="32"/>
        </w:numPr>
        <w:tabs>
          <w:tab w:val="left" w:pos="1129"/>
        </w:tabs>
        <w:rPr>
          <w:sz w:val="20"/>
        </w:rPr>
      </w:pPr>
      <w:r>
        <w:rPr>
          <w:b/>
          <w:sz w:val="20"/>
        </w:rPr>
        <w:t>EOPO3:</w:t>
      </w:r>
      <w:r>
        <w:rPr>
          <w:b/>
          <w:spacing w:val="-4"/>
          <w:sz w:val="20"/>
        </w:rPr>
        <w:t xml:space="preserve"> </w:t>
      </w:r>
      <w:r>
        <w:rPr>
          <w:sz w:val="20"/>
        </w:rPr>
        <w:t>Policing</w:t>
      </w:r>
      <w:r>
        <w:rPr>
          <w:spacing w:val="-7"/>
          <w:sz w:val="20"/>
        </w:rPr>
        <w:t xml:space="preserve"> </w:t>
      </w:r>
      <w:r>
        <w:rPr>
          <w:sz w:val="20"/>
        </w:rPr>
        <w:t>and</w:t>
      </w:r>
      <w:r>
        <w:rPr>
          <w:spacing w:val="-6"/>
          <w:sz w:val="20"/>
        </w:rPr>
        <w:t xml:space="preserve"> </w:t>
      </w:r>
      <w:r>
        <w:rPr>
          <w:sz w:val="20"/>
        </w:rPr>
        <w:t>Justice</w:t>
      </w:r>
      <w:r>
        <w:rPr>
          <w:spacing w:val="-6"/>
          <w:sz w:val="20"/>
        </w:rPr>
        <w:t xml:space="preserve"> </w:t>
      </w:r>
      <w:r>
        <w:rPr>
          <w:sz w:val="20"/>
        </w:rPr>
        <w:t>agencies</w:t>
      </w:r>
      <w:r>
        <w:rPr>
          <w:spacing w:val="-6"/>
          <w:sz w:val="20"/>
        </w:rPr>
        <w:t xml:space="preserve"> </w:t>
      </w:r>
      <w:r>
        <w:rPr>
          <w:sz w:val="20"/>
        </w:rPr>
        <w:t>maintain</w:t>
      </w:r>
      <w:r>
        <w:rPr>
          <w:spacing w:val="-6"/>
          <w:sz w:val="20"/>
        </w:rPr>
        <w:t xml:space="preserve"> </w:t>
      </w:r>
      <w:r>
        <w:rPr>
          <w:sz w:val="20"/>
        </w:rPr>
        <w:t>public</w:t>
      </w:r>
      <w:r>
        <w:rPr>
          <w:spacing w:val="-6"/>
          <w:sz w:val="20"/>
        </w:rPr>
        <w:t xml:space="preserve"> </w:t>
      </w:r>
      <w:r>
        <w:rPr>
          <w:sz w:val="20"/>
        </w:rPr>
        <w:t>security</w:t>
      </w:r>
      <w:r>
        <w:rPr>
          <w:spacing w:val="-5"/>
          <w:sz w:val="20"/>
        </w:rPr>
        <w:t xml:space="preserve"> </w:t>
      </w:r>
      <w:r>
        <w:rPr>
          <w:sz w:val="20"/>
        </w:rPr>
        <w:t>and</w:t>
      </w:r>
      <w:r>
        <w:rPr>
          <w:spacing w:val="-7"/>
          <w:sz w:val="20"/>
        </w:rPr>
        <w:t xml:space="preserve"> </w:t>
      </w:r>
      <w:r>
        <w:rPr>
          <w:sz w:val="20"/>
        </w:rPr>
        <w:t>the</w:t>
      </w:r>
      <w:r>
        <w:rPr>
          <w:spacing w:val="-6"/>
          <w:sz w:val="20"/>
        </w:rPr>
        <w:t xml:space="preserve"> </w:t>
      </w:r>
      <w:r>
        <w:rPr>
          <w:sz w:val="20"/>
        </w:rPr>
        <w:t>rule</w:t>
      </w:r>
      <w:r>
        <w:rPr>
          <w:spacing w:val="-5"/>
          <w:sz w:val="20"/>
        </w:rPr>
        <w:t xml:space="preserve"> </w:t>
      </w:r>
      <w:r>
        <w:rPr>
          <w:sz w:val="20"/>
        </w:rPr>
        <w:t>of</w:t>
      </w:r>
      <w:r>
        <w:rPr>
          <w:spacing w:val="-4"/>
          <w:sz w:val="20"/>
        </w:rPr>
        <w:t xml:space="preserve"> law.</w:t>
      </w:r>
    </w:p>
    <w:p w14:paraId="6214F495" w14:textId="01B4F1BD" w:rsidR="009C36E3" w:rsidRDefault="004640A8" w:rsidP="004640A8">
      <w:pPr>
        <w:pStyle w:val="BodyText"/>
        <w:spacing w:before="119" w:after="720"/>
      </w:pPr>
      <w:r>
        <w:rPr>
          <w:noProof/>
        </w:rPr>
        <mc:AlternateContent>
          <mc:Choice Requires="wps">
            <w:drawing>
              <wp:anchor distT="0" distB="0" distL="0" distR="0" simplePos="0" relativeHeight="251667456" behindDoc="1" locked="0" layoutInCell="1" allowOverlap="1" wp14:anchorId="633D799B" wp14:editId="722A2EAA">
                <wp:simplePos x="0" y="0"/>
                <wp:positionH relativeFrom="page">
                  <wp:posOffset>540385</wp:posOffset>
                </wp:positionH>
                <wp:positionV relativeFrom="paragraph">
                  <wp:posOffset>1000425</wp:posOffset>
                </wp:positionV>
                <wp:extent cx="1828800" cy="6350"/>
                <wp:effectExtent l="0" t="0" r="0" b="0"/>
                <wp:wrapTopAndBottom/>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621CFC" id="Graphic 14" o:spid="_x0000_s1026" alt="&quot;&quot;" style="position:absolute;margin-left:42.55pt;margin-top:78.75pt;width:2in;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" path="m1828800,l,,,6108r1828800,l1828800,xe" fillcolor="black" stroked="f">
                <v:path arrowok="t"/>
                <w10:wrap type="topAndBottom" anchorx="page"/>
              </v:shape>
            </w:pict>
          </mc:Fallback>
        </mc:AlternateContent>
      </w:r>
      <w:r w:rsidR="000E7207">
        <w:t>VAPJP is delivered under four components, each of which corresponds to an Intermediate Outcome (IO) as described</w:t>
      </w:r>
      <w:r w:rsidR="000E7207">
        <w:rPr>
          <w:spacing w:val="-1"/>
        </w:rPr>
        <w:t xml:space="preserve"> </w:t>
      </w:r>
      <w:r w:rsidR="000E7207">
        <w:t>below.</w:t>
      </w:r>
      <w:r w:rsidR="000E7207">
        <w:rPr>
          <w:spacing w:val="-1"/>
        </w:rPr>
        <w:t xml:space="preserve"> </w:t>
      </w:r>
      <w:r w:rsidR="000E7207">
        <w:t>The</w:t>
      </w:r>
      <w:r w:rsidR="000E7207">
        <w:rPr>
          <w:spacing w:val="-3"/>
        </w:rPr>
        <w:t xml:space="preserve"> </w:t>
      </w:r>
      <w:r w:rsidR="000E7207">
        <w:t>Justice</w:t>
      </w:r>
      <w:r w:rsidR="000E7207">
        <w:rPr>
          <w:spacing w:val="-3"/>
        </w:rPr>
        <w:t xml:space="preserve"> </w:t>
      </w:r>
      <w:r w:rsidR="000E7207">
        <w:t>and</w:t>
      </w:r>
      <w:r w:rsidR="000E7207">
        <w:rPr>
          <w:spacing w:val="-1"/>
        </w:rPr>
        <w:t xml:space="preserve"> </w:t>
      </w:r>
      <w:r w:rsidR="000E7207">
        <w:t>Policing</w:t>
      </w:r>
      <w:r w:rsidR="000E7207">
        <w:rPr>
          <w:spacing w:val="-3"/>
        </w:rPr>
        <w:t xml:space="preserve"> </w:t>
      </w:r>
      <w:r w:rsidR="000E7207">
        <w:t>components</w:t>
      </w:r>
      <w:r w:rsidR="000E7207">
        <w:rPr>
          <w:spacing w:val="-2"/>
        </w:rPr>
        <w:t xml:space="preserve"> </w:t>
      </w:r>
      <w:r w:rsidR="000E7207">
        <w:t>are</w:t>
      </w:r>
      <w:r w:rsidR="000E7207">
        <w:rPr>
          <w:spacing w:val="-3"/>
        </w:rPr>
        <w:t xml:space="preserve"> </w:t>
      </w:r>
      <w:r w:rsidR="000E7207">
        <w:t>the</w:t>
      </w:r>
      <w:r w:rsidR="000E7207">
        <w:rPr>
          <w:spacing w:val="-1"/>
        </w:rPr>
        <w:t xml:space="preserve"> </w:t>
      </w:r>
      <w:r w:rsidR="000E7207">
        <w:t>primary</w:t>
      </w:r>
      <w:r w:rsidR="000E7207">
        <w:rPr>
          <w:spacing w:val="-2"/>
        </w:rPr>
        <w:t xml:space="preserve"> </w:t>
      </w:r>
      <w:r w:rsidR="000E7207">
        <w:t>focus</w:t>
      </w:r>
      <w:r w:rsidR="000E7207">
        <w:rPr>
          <w:spacing w:val="-2"/>
        </w:rPr>
        <w:t xml:space="preserve"> </w:t>
      </w:r>
      <w:r w:rsidR="000E7207">
        <w:t>of</w:t>
      </w:r>
      <w:r w:rsidR="000E7207">
        <w:rPr>
          <w:spacing w:val="-1"/>
        </w:rPr>
        <w:t xml:space="preserve"> </w:t>
      </w:r>
      <w:r w:rsidR="000E7207">
        <w:t>the</w:t>
      </w:r>
      <w:r w:rsidR="000E7207">
        <w:rPr>
          <w:spacing w:val="-3"/>
        </w:rPr>
        <w:t xml:space="preserve"> </w:t>
      </w:r>
      <w:r w:rsidR="000E7207">
        <w:t>Program,</w:t>
      </w:r>
      <w:r w:rsidR="000E7207">
        <w:rPr>
          <w:spacing w:val="-3"/>
        </w:rPr>
        <w:t xml:space="preserve"> </w:t>
      </w:r>
      <w:r w:rsidR="000E7207">
        <w:t>while</w:t>
      </w:r>
      <w:r w:rsidR="000E7207">
        <w:rPr>
          <w:spacing w:val="-3"/>
        </w:rPr>
        <w:t xml:space="preserve"> </w:t>
      </w:r>
      <w:r w:rsidR="000E7207">
        <w:t>the</w:t>
      </w:r>
      <w:r w:rsidR="000E7207">
        <w:rPr>
          <w:spacing w:val="-3"/>
        </w:rPr>
        <w:t xml:space="preserve"> </w:t>
      </w:r>
      <w:r w:rsidR="000E7207">
        <w:t>Community component supports the access to services and building demand, and the Sector Coordination component aims to build pathways and linkages between components. Intermediate Outcomes (IO) reflect the four components:</w:t>
      </w:r>
    </w:p>
    <w:p w14:paraId="36A943FB" w14:textId="463F33D9" w:rsidR="009C36E3" w:rsidRDefault="000E7207" w:rsidP="00C450B8">
      <w:pPr>
        <w:pStyle w:val="BodyText"/>
        <w:spacing w:before="222"/>
        <w:rPr>
          <w:sz w:val="18"/>
        </w:rPr>
      </w:pPr>
      <w:bookmarkStart w:id="8" w:name="_bookmark6"/>
      <w:bookmarkEnd w:id="8"/>
      <w:r>
        <w:rPr>
          <w:position w:val="6"/>
          <w:sz w:val="12"/>
        </w:rPr>
        <w:t>5</w:t>
      </w:r>
      <w:r>
        <w:rPr>
          <w:spacing w:val="18"/>
          <w:position w:val="6"/>
          <w:sz w:val="12"/>
        </w:rPr>
        <w:t xml:space="preserve"> </w:t>
      </w:r>
      <w:r>
        <w:rPr>
          <w:sz w:val="18"/>
        </w:rPr>
        <w:t>Nichols et.</w:t>
      </w:r>
      <w:r>
        <w:rPr>
          <w:spacing w:val="-2"/>
          <w:sz w:val="18"/>
        </w:rPr>
        <w:t xml:space="preserve"> </w:t>
      </w:r>
      <w:r>
        <w:rPr>
          <w:sz w:val="18"/>
        </w:rPr>
        <w:t>al</w:t>
      </w:r>
      <w:r>
        <w:rPr>
          <w:spacing w:val="-4"/>
          <w:sz w:val="18"/>
        </w:rPr>
        <w:t xml:space="preserve"> </w:t>
      </w:r>
      <w:r>
        <w:rPr>
          <w:sz w:val="18"/>
        </w:rPr>
        <w:t>2019,</w:t>
      </w:r>
      <w:r>
        <w:rPr>
          <w:spacing w:val="-2"/>
          <w:sz w:val="18"/>
        </w:rPr>
        <w:t xml:space="preserve"> </w:t>
      </w:r>
      <w:r>
        <w:rPr>
          <w:sz w:val="18"/>
        </w:rPr>
        <w:t>Recommendations</w:t>
      </w:r>
      <w:r>
        <w:rPr>
          <w:spacing w:val="-1"/>
          <w:sz w:val="18"/>
        </w:rPr>
        <w:t xml:space="preserve"> </w:t>
      </w:r>
      <w:r>
        <w:rPr>
          <w:sz w:val="18"/>
        </w:rPr>
        <w:t>1</w:t>
      </w:r>
      <w:r>
        <w:rPr>
          <w:spacing w:val="-4"/>
          <w:sz w:val="18"/>
        </w:rPr>
        <w:t xml:space="preserve"> </w:t>
      </w:r>
      <w:r>
        <w:rPr>
          <w:sz w:val="18"/>
        </w:rPr>
        <w:t>and</w:t>
      </w:r>
      <w:r>
        <w:rPr>
          <w:spacing w:val="-3"/>
          <w:sz w:val="18"/>
        </w:rPr>
        <w:t xml:space="preserve"> </w:t>
      </w:r>
      <w:r>
        <w:rPr>
          <w:spacing w:val="-10"/>
          <w:sz w:val="18"/>
        </w:rPr>
        <w:t>2</w:t>
      </w:r>
    </w:p>
    <w:p w14:paraId="16A1CE8D" w14:textId="77777777" w:rsidR="009C36E3" w:rsidRDefault="000E7207">
      <w:pPr>
        <w:spacing w:before="126"/>
        <w:ind w:left="772"/>
        <w:rPr>
          <w:sz w:val="18"/>
        </w:rPr>
      </w:pPr>
      <w:bookmarkStart w:id="9" w:name="_bookmark7"/>
      <w:bookmarkEnd w:id="9"/>
      <w:r>
        <w:rPr>
          <w:position w:val="6"/>
          <w:sz w:val="13"/>
        </w:rPr>
        <w:t>6</w:t>
      </w:r>
      <w:r>
        <w:rPr>
          <w:spacing w:val="16"/>
          <w:position w:val="6"/>
          <w:sz w:val="13"/>
        </w:rPr>
        <w:t xml:space="preserve"> </w:t>
      </w:r>
      <w:r>
        <w:rPr>
          <w:sz w:val="18"/>
        </w:rPr>
        <w:t>While</w:t>
      </w:r>
      <w:r>
        <w:rPr>
          <w:spacing w:val="-4"/>
          <w:sz w:val="18"/>
        </w:rPr>
        <w:t xml:space="preserve"> </w:t>
      </w:r>
      <w:r>
        <w:rPr>
          <w:sz w:val="18"/>
        </w:rPr>
        <w:t>the</w:t>
      </w:r>
      <w:r>
        <w:rPr>
          <w:spacing w:val="-1"/>
          <w:sz w:val="18"/>
        </w:rPr>
        <w:t xml:space="preserve"> </w:t>
      </w:r>
      <w:r>
        <w:rPr>
          <w:sz w:val="18"/>
        </w:rPr>
        <w:t>GoV</w:t>
      </w:r>
      <w:r>
        <w:rPr>
          <w:spacing w:val="-4"/>
          <w:sz w:val="18"/>
        </w:rPr>
        <w:t xml:space="preserve"> </w:t>
      </w:r>
      <w:r>
        <w:rPr>
          <w:sz w:val="18"/>
        </w:rPr>
        <w:t>has</w:t>
      </w:r>
      <w:r>
        <w:rPr>
          <w:spacing w:val="-3"/>
          <w:sz w:val="18"/>
        </w:rPr>
        <w:t xml:space="preserve"> </w:t>
      </w:r>
      <w:r>
        <w:rPr>
          <w:sz w:val="18"/>
        </w:rPr>
        <w:t>decided</w:t>
      </w:r>
      <w:r>
        <w:rPr>
          <w:spacing w:val="-1"/>
          <w:sz w:val="18"/>
        </w:rPr>
        <w:t xml:space="preserve"> </w:t>
      </w:r>
      <w:r>
        <w:rPr>
          <w:sz w:val="18"/>
        </w:rPr>
        <w:t>that</w:t>
      </w:r>
      <w:r>
        <w:rPr>
          <w:spacing w:val="-1"/>
          <w:sz w:val="18"/>
        </w:rPr>
        <w:t xml:space="preserve"> </w:t>
      </w:r>
      <w:r>
        <w:rPr>
          <w:sz w:val="18"/>
        </w:rPr>
        <w:t>the</w:t>
      </w:r>
      <w:r>
        <w:rPr>
          <w:spacing w:val="-1"/>
          <w:sz w:val="18"/>
        </w:rPr>
        <w:t xml:space="preserve"> </w:t>
      </w:r>
      <w:r>
        <w:rPr>
          <w:sz w:val="18"/>
        </w:rPr>
        <w:t>VPF</w:t>
      </w:r>
      <w:r>
        <w:rPr>
          <w:spacing w:val="-2"/>
          <w:sz w:val="18"/>
        </w:rPr>
        <w:t xml:space="preserve"> </w:t>
      </w:r>
      <w:r>
        <w:rPr>
          <w:sz w:val="18"/>
        </w:rPr>
        <w:t>will return</w:t>
      </w:r>
      <w:r>
        <w:rPr>
          <w:spacing w:val="-1"/>
          <w:sz w:val="18"/>
        </w:rPr>
        <w:t xml:space="preserve"> </w:t>
      </w:r>
      <w:r>
        <w:rPr>
          <w:sz w:val="18"/>
        </w:rPr>
        <w:t>to</w:t>
      </w:r>
      <w:r>
        <w:rPr>
          <w:spacing w:val="-4"/>
          <w:sz w:val="18"/>
        </w:rPr>
        <w:t xml:space="preserve"> </w:t>
      </w:r>
      <w:r>
        <w:rPr>
          <w:sz w:val="18"/>
        </w:rPr>
        <w:t>the</w:t>
      </w:r>
      <w:r>
        <w:rPr>
          <w:spacing w:val="-3"/>
          <w:sz w:val="18"/>
        </w:rPr>
        <w:t xml:space="preserve"> </w:t>
      </w:r>
      <w:r>
        <w:rPr>
          <w:sz w:val="18"/>
        </w:rPr>
        <w:t>MoIA</w:t>
      </w:r>
      <w:r>
        <w:rPr>
          <w:spacing w:val="-2"/>
          <w:sz w:val="18"/>
        </w:rPr>
        <w:t xml:space="preserve"> </w:t>
      </w:r>
      <w:r>
        <w:rPr>
          <w:sz w:val="18"/>
        </w:rPr>
        <w:t>portfolio,</w:t>
      </w:r>
      <w:r>
        <w:rPr>
          <w:spacing w:val="-2"/>
          <w:sz w:val="18"/>
        </w:rPr>
        <w:t xml:space="preserve"> </w:t>
      </w:r>
      <w:r>
        <w:rPr>
          <w:sz w:val="18"/>
        </w:rPr>
        <w:t>this</w:t>
      </w:r>
      <w:r>
        <w:rPr>
          <w:spacing w:val="-2"/>
          <w:sz w:val="18"/>
        </w:rPr>
        <w:t xml:space="preserve"> </w:t>
      </w:r>
      <w:r>
        <w:rPr>
          <w:sz w:val="18"/>
        </w:rPr>
        <w:t>had</w:t>
      </w:r>
      <w:r>
        <w:rPr>
          <w:spacing w:val="-4"/>
          <w:sz w:val="18"/>
        </w:rPr>
        <w:t xml:space="preserve"> </w:t>
      </w:r>
      <w:r>
        <w:rPr>
          <w:sz w:val="18"/>
        </w:rPr>
        <w:t>not</w:t>
      </w:r>
      <w:r>
        <w:rPr>
          <w:spacing w:val="-3"/>
          <w:sz w:val="18"/>
        </w:rPr>
        <w:t xml:space="preserve"> </w:t>
      </w:r>
      <w:r>
        <w:rPr>
          <w:sz w:val="18"/>
        </w:rPr>
        <w:t>occurred</w:t>
      </w:r>
      <w:r>
        <w:rPr>
          <w:spacing w:val="-1"/>
          <w:sz w:val="18"/>
        </w:rPr>
        <w:t xml:space="preserve"> </w:t>
      </w:r>
      <w:r>
        <w:rPr>
          <w:sz w:val="18"/>
        </w:rPr>
        <w:t>at</w:t>
      </w:r>
      <w:r>
        <w:rPr>
          <w:spacing w:val="-4"/>
          <w:sz w:val="18"/>
        </w:rPr>
        <w:t xml:space="preserve"> </w:t>
      </w:r>
      <w:r>
        <w:rPr>
          <w:sz w:val="18"/>
        </w:rPr>
        <w:t>the time</w:t>
      </w:r>
      <w:r>
        <w:rPr>
          <w:spacing w:val="-1"/>
          <w:sz w:val="18"/>
        </w:rPr>
        <w:t xml:space="preserve"> </w:t>
      </w:r>
      <w:r>
        <w:rPr>
          <w:sz w:val="18"/>
        </w:rPr>
        <w:t>of</w:t>
      </w:r>
      <w:r>
        <w:rPr>
          <w:spacing w:val="-2"/>
          <w:sz w:val="18"/>
        </w:rPr>
        <w:t xml:space="preserve"> </w:t>
      </w:r>
      <w:r>
        <w:rPr>
          <w:sz w:val="18"/>
        </w:rPr>
        <w:t>writing</w:t>
      </w:r>
      <w:r>
        <w:rPr>
          <w:spacing w:val="-1"/>
          <w:sz w:val="18"/>
        </w:rPr>
        <w:t xml:space="preserve"> </w:t>
      </w:r>
      <w:r>
        <w:rPr>
          <w:sz w:val="18"/>
        </w:rPr>
        <w:t xml:space="preserve">this </w:t>
      </w:r>
      <w:r>
        <w:rPr>
          <w:spacing w:val="-2"/>
          <w:sz w:val="18"/>
        </w:rPr>
        <w:t>report.</w:t>
      </w:r>
    </w:p>
    <w:p w14:paraId="587DACF2" w14:textId="77777777" w:rsidR="009C36E3" w:rsidRDefault="009C36E3">
      <w:pPr>
        <w:rPr>
          <w:sz w:val="18"/>
        </w:rPr>
        <w:sectPr w:rsidR="009C36E3">
          <w:pgSz w:w="11910" w:h="16850"/>
          <w:pgMar w:top="1040" w:right="740" w:bottom="740" w:left="80" w:header="552" w:footer="559" w:gutter="0"/>
          <w:cols w:space="720"/>
        </w:sectPr>
      </w:pPr>
    </w:p>
    <w:p w14:paraId="6860A2D1" w14:textId="77777777" w:rsidR="009C36E3" w:rsidRDefault="000E7207">
      <w:pPr>
        <w:pStyle w:val="ListParagraph"/>
        <w:numPr>
          <w:ilvl w:val="0"/>
          <w:numId w:val="32"/>
        </w:numPr>
        <w:tabs>
          <w:tab w:val="left" w:pos="1129"/>
        </w:tabs>
        <w:spacing w:before="91"/>
        <w:ind w:right="900"/>
        <w:rPr>
          <w:sz w:val="20"/>
        </w:rPr>
      </w:pPr>
      <w:r>
        <w:rPr>
          <w:b/>
          <w:sz w:val="20"/>
        </w:rPr>
        <w:t>IO1</w:t>
      </w:r>
      <w:r>
        <w:rPr>
          <w:b/>
          <w:spacing w:val="-4"/>
          <w:sz w:val="20"/>
        </w:rPr>
        <w:t xml:space="preserve"> </w:t>
      </w:r>
      <w:r>
        <w:rPr>
          <w:b/>
          <w:sz w:val="20"/>
        </w:rPr>
        <w:t>(Justice):</w:t>
      </w:r>
      <w:r>
        <w:rPr>
          <w:b/>
          <w:spacing w:val="-3"/>
          <w:sz w:val="20"/>
        </w:rPr>
        <w:t xml:space="preserve"> </w:t>
      </w:r>
      <w:r>
        <w:rPr>
          <w:sz w:val="20"/>
        </w:rPr>
        <w:t>Justice</w:t>
      </w:r>
      <w:r>
        <w:rPr>
          <w:spacing w:val="-2"/>
          <w:sz w:val="20"/>
        </w:rPr>
        <w:t xml:space="preserve"> </w:t>
      </w:r>
      <w:r>
        <w:rPr>
          <w:sz w:val="20"/>
        </w:rPr>
        <w:t>agencies</w:t>
      </w:r>
      <w:r>
        <w:rPr>
          <w:spacing w:val="-3"/>
          <w:sz w:val="20"/>
        </w:rPr>
        <w:t xml:space="preserve"> </w:t>
      </w:r>
      <w:r>
        <w:rPr>
          <w:sz w:val="20"/>
        </w:rPr>
        <w:t>provide</w:t>
      </w:r>
      <w:r>
        <w:rPr>
          <w:spacing w:val="-4"/>
          <w:sz w:val="20"/>
        </w:rPr>
        <w:t xml:space="preserve"> </w:t>
      </w:r>
      <w:r>
        <w:rPr>
          <w:sz w:val="20"/>
        </w:rPr>
        <w:t>timely</w:t>
      </w:r>
      <w:r>
        <w:rPr>
          <w:spacing w:val="-3"/>
          <w:sz w:val="20"/>
        </w:rPr>
        <w:t xml:space="preserve"> </w:t>
      </w:r>
      <w:r>
        <w:rPr>
          <w:sz w:val="20"/>
        </w:rPr>
        <w:t>and</w:t>
      </w:r>
      <w:r>
        <w:rPr>
          <w:spacing w:val="-4"/>
          <w:sz w:val="20"/>
        </w:rPr>
        <w:t xml:space="preserve"> </w:t>
      </w:r>
      <w:r>
        <w:rPr>
          <w:sz w:val="20"/>
        </w:rPr>
        <w:t>professional</w:t>
      </w:r>
      <w:r>
        <w:rPr>
          <w:spacing w:val="-5"/>
          <w:sz w:val="20"/>
        </w:rPr>
        <w:t xml:space="preserve"> </w:t>
      </w:r>
      <w:r>
        <w:rPr>
          <w:sz w:val="20"/>
        </w:rPr>
        <w:t>services</w:t>
      </w:r>
      <w:r>
        <w:rPr>
          <w:spacing w:val="-3"/>
          <w:sz w:val="20"/>
        </w:rPr>
        <w:t xml:space="preserve"> </w:t>
      </w:r>
      <w:r>
        <w:rPr>
          <w:sz w:val="20"/>
        </w:rPr>
        <w:t>in</w:t>
      </w:r>
      <w:r>
        <w:rPr>
          <w:spacing w:val="-4"/>
          <w:sz w:val="20"/>
        </w:rPr>
        <w:t xml:space="preserve"> </w:t>
      </w:r>
      <w:r>
        <w:rPr>
          <w:sz w:val="20"/>
        </w:rPr>
        <w:t>line</w:t>
      </w:r>
      <w:r>
        <w:rPr>
          <w:spacing w:val="-2"/>
          <w:sz w:val="20"/>
        </w:rPr>
        <w:t xml:space="preserve"> </w:t>
      </w:r>
      <w:r>
        <w:rPr>
          <w:sz w:val="20"/>
        </w:rPr>
        <w:t>with</w:t>
      </w:r>
      <w:r>
        <w:rPr>
          <w:spacing w:val="-4"/>
          <w:sz w:val="20"/>
        </w:rPr>
        <w:t xml:space="preserve"> </w:t>
      </w:r>
      <w:r>
        <w:rPr>
          <w:sz w:val="20"/>
        </w:rPr>
        <w:t>their</w:t>
      </w:r>
      <w:r>
        <w:rPr>
          <w:spacing w:val="-3"/>
          <w:sz w:val="20"/>
        </w:rPr>
        <w:t xml:space="preserve"> </w:t>
      </w:r>
      <w:r>
        <w:rPr>
          <w:sz w:val="20"/>
        </w:rPr>
        <w:t>mandate</w:t>
      </w:r>
      <w:r>
        <w:rPr>
          <w:spacing w:val="-2"/>
          <w:sz w:val="20"/>
        </w:rPr>
        <w:t xml:space="preserve"> </w:t>
      </w:r>
      <w:r>
        <w:rPr>
          <w:sz w:val="20"/>
        </w:rPr>
        <w:t>and legislative functions, particularly involving services for women and children;</w:t>
      </w:r>
    </w:p>
    <w:p w14:paraId="5E532323" w14:textId="77777777" w:rsidR="009C36E3" w:rsidRDefault="000E7207">
      <w:pPr>
        <w:pStyle w:val="ListParagraph"/>
        <w:numPr>
          <w:ilvl w:val="0"/>
          <w:numId w:val="32"/>
        </w:numPr>
        <w:tabs>
          <w:tab w:val="left" w:pos="1129"/>
        </w:tabs>
        <w:spacing w:before="3" w:line="237" w:lineRule="auto"/>
        <w:ind w:right="852"/>
        <w:rPr>
          <w:sz w:val="20"/>
        </w:rPr>
      </w:pPr>
      <w:r>
        <w:rPr>
          <w:b/>
          <w:sz w:val="20"/>
        </w:rPr>
        <w:t>IO2</w:t>
      </w:r>
      <w:r>
        <w:rPr>
          <w:b/>
          <w:spacing w:val="-4"/>
          <w:sz w:val="20"/>
        </w:rPr>
        <w:t xml:space="preserve"> </w:t>
      </w:r>
      <w:r>
        <w:rPr>
          <w:b/>
          <w:sz w:val="20"/>
        </w:rPr>
        <w:t>(Policing):</w:t>
      </w:r>
      <w:r>
        <w:rPr>
          <w:b/>
          <w:spacing w:val="-3"/>
          <w:sz w:val="20"/>
        </w:rPr>
        <w:t xml:space="preserve"> </w:t>
      </w:r>
      <w:r>
        <w:rPr>
          <w:sz w:val="20"/>
        </w:rPr>
        <w:t>Police</w:t>
      </w:r>
      <w:r>
        <w:rPr>
          <w:spacing w:val="-2"/>
          <w:sz w:val="20"/>
        </w:rPr>
        <w:t xml:space="preserve"> </w:t>
      </w:r>
      <w:r>
        <w:rPr>
          <w:sz w:val="20"/>
        </w:rPr>
        <w:t>maintain</w:t>
      </w:r>
      <w:r>
        <w:rPr>
          <w:spacing w:val="-2"/>
          <w:sz w:val="20"/>
        </w:rPr>
        <w:t xml:space="preserve"> </w:t>
      </w:r>
      <w:r>
        <w:rPr>
          <w:sz w:val="20"/>
        </w:rPr>
        <w:t>and</w:t>
      </w:r>
      <w:r>
        <w:rPr>
          <w:spacing w:val="-4"/>
          <w:sz w:val="20"/>
        </w:rPr>
        <w:t xml:space="preserve"> </w:t>
      </w:r>
      <w:r>
        <w:rPr>
          <w:sz w:val="20"/>
        </w:rPr>
        <w:t>improve</w:t>
      </w:r>
      <w:r>
        <w:rPr>
          <w:spacing w:val="-2"/>
          <w:sz w:val="20"/>
        </w:rPr>
        <w:t xml:space="preserve"> </w:t>
      </w:r>
      <w:r>
        <w:rPr>
          <w:sz w:val="20"/>
        </w:rPr>
        <w:t>essential</w:t>
      </w:r>
      <w:r>
        <w:rPr>
          <w:spacing w:val="-3"/>
          <w:sz w:val="20"/>
        </w:rPr>
        <w:t xml:space="preserve"> </w:t>
      </w:r>
      <w:r>
        <w:rPr>
          <w:sz w:val="20"/>
        </w:rPr>
        <w:t>services</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community,</w:t>
      </w:r>
      <w:r>
        <w:rPr>
          <w:spacing w:val="-2"/>
          <w:sz w:val="20"/>
        </w:rPr>
        <w:t xml:space="preserve"> </w:t>
      </w:r>
      <w:r>
        <w:rPr>
          <w:sz w:val="20"/>
        </w:rPr>
        <w:t>particularly</w:t>
      </w:r>
      <w:r>
        <w:rPr>
          <w:spacing w:val="-3"/>
          <w:sz w:val="20"/>
        </w:rPr>
        <w:t xml:space="preserve"> </w:t>
      </w:r>
      <w:r>
        <w:rPr>
          <w:sz w:val="20"/>
        </w:rPr>
        <w:t>related</w:t>
      </w:r>
      <w:r>
        <w:rPr>
          <w:spacing w:val="-4"/>
          <w:sz w:val="20"/>
        </w:rPr>
        <w:t xml:space="preserve"> </w:t>
      </w:r>
      <w:r>
        <w:rPr>
          <w:sz w:val="20"/>
        </w:rPr>
        <w:t>to incidents involving women and children;</w:t>
      </w:r>
    </w:p>
    <w:p w14:paraId="3677CF2E" w14:textId="77777777" w:rsidR="009C36E3" w:rsidRDefault="000E7207">
      <w:pPr>
        <w:pStyle w:val="ListParagraph"/>
        <w:numPr>
          <w:ilvl w:val="0"/>
          <w:numId w:val="32"/>
        </w:numPr>
        <w:tabs>
          <w:tab w:val="left" w:pos="1129"/>
        </w:tabs>
        <w:spacing w:line="244" w:lineRule="exact"/>
        <w:rPr>
          <w:sz w:val="20"/>
        </w:rPr>
      </w:pPr>
      <w:r>
        <w:rPr>
          <w:b/>
          <w:sz w:val="20"/>
        </w:rPr>
        <w:t>IO3</w:t>
      </w:r>
      <w:r>
        <w:rPr>
          <w:b/>
          <w:spacing w:val="-8"/>
          <w:sz w:val="20"/>
        </w:rPr>
        <w:t xml:space="preserve"> </w:t>
      </w:r>
      <w:r>
        <w:rPr>
          <w:b/>
          <w:sz w:val="20"/>
        </w:rPr>
        <w:t>(Community):</w:t>
      </w:r>
      <w:r>
        <w:rPr>
          <w:b/>
          <w:spacing w:val="-7"/>
          <w:sz w:val="20"/>
        </w:rPr>
        <w:t xml:space="preserve"> </w:t>
      </w:r>
      <w:r>
        <w:rPr>
          <w:sz w:val="20"/>
        </w:rPr>
        <w:t>Communities</w:t>
      </w:r>
      <w:r>
        <w:rPr>
          <w:spacing w:val="-6"/>
          <w:sz w:val="20"/>
        </w:rPr>
        <w:t xml:space="preserve"> </w:t>
      </w:r>
      <w:r>
        <w:rPr>
          <w:sz w:val="20"/>
        </w:rPr>
        <w:t>are</w:t>
      </w:r>
      <w:r>
        <w:rPr>
          <w:spacing w:val="-6"/>
          <w:sz w:val="20"/>
        </w:rPr>
        <w:t xml:space="preserve"> </w:t>
      </w:r>
      <w:r>
        <w:rPr>
          <w:sz w:val="20"/>
        </w:rPr>
        <w:t>increasingly</w:t>
      </w:r>
      <w:r>
        <w:rPr>
          <w:spacing w:val="-7"/>
          <w:sz w:val="20"/>
        </w:rPr>
        <w:t xml:space="preserve"> </w:t>
      </w:r>
      <w:r>
        <w:rPr>
          <w:sz w:val="20"/>
        </w:rPr>
        <w:t>aware</w:t>
      </w:r>
      <w:r>
        <w:rPr>
          <w:spacing w:val="-8"/>
          <w:sz w:val="20"/>
        </w:rPr>
        <w:t xml:space="preserve"> </w:t>
      </w:r>
      <w:r>
        <w:rPr>
          <w:sz w:val="20"/>
        </w:rPr>
        <w:t>of</w:t>
      </w:r>
      <w:r>
        <w:rPr>
          <w:spacing w:val="-7"/>
          <w:sz w:val="20"/>
        </w:rPr>
        <w:t xml:space="preserve"> </w:t>
      </w:r>
      <w:r>
        <w:rPr>
          <w:sz w:val="20"/>
        </w:rPr>
        <w:t>their</w:t>
      </w:r>
      <w:r>
        <w:rPr>
          <w:spacing w:val="-7"/>
          <w:sz w:val="20"/>
        </w:rPr>
        <w:t xml:space="preserve"> </w:t>
      </w:r>
      <w:r>
        <w:rPr>
          <w:sz w:val="20"/>
        </w:rPr>
        <w:t>rights</w:t>
      </w:r>
      <w:r>
        <w:rPr>
          <w:spacing w:val="-6"/>
          <w:sz w:val="20"/>
        </w:rPr>
        <w:t xml:space="preserve"> </w:t>
      </w:r>
      <w:r>
        <w:rPr>
          <w:sz w:val="20"/>
        </w:rPr>
        <w:t>and</w:t>
      </w:r>
      <w:r>
        <w:rPr>
          <w:spacing w:val="-6"/>
          <w:sz w:val="20"/>
        </w:rPr>
        <w:t xml:space="preserve"> </w:t>
      </w:r>
      <w:r>
        <w:rPr>
          <w:sz w:val="20"/>
        </w:rPr>
        <w:t>obligations</w:t>
      </w:r>
      <w:r>
        <w:rPr>
          <w:spacing w:val="-7"/>
          <w:sz w:val="20"/>
        </w:rPr>
        <w:t xml:space="preserve"> </w:t>
      </w:r>
      <w:r>
        <w:rPr>
          <w:sz w:val="20"/>
        </w:rPr>
        <w:t>under</w:t>
      </w:r>
      <w:r>
        <w:rPr>
          <w:spacing w:val="-7"/>
          <w:sz w:val="20"/>
        </w:rPr>
        <w:t xml:space="preserve"> </w:t>
      </w:r>
      <w:r>
        <w:rPr>
          <w:sz w:val="20"/>
        </w:rPr>
        <w:t>the</w:t>
      </w:r>
      <w:r>
        <w:rPr>
          <w:spacing w:val="-7"/>
          <w:sz w:val="20"/>
        </w:rPr>
        <w:t xml:space="preserve"> </w:t>
      </w:r>
      <w:r>
        <w:rPr>
          <w:sz w:val="20"/>
        </w:rPr>
        <w:t>law;</w:t>
      </w:r>
      <w:r>
        <w:rPr>
          <w:spacing w:val="-6"/>
          <w:sz w:val="20"/>
        </w:rPr>
        <w:t xml:space="preserve"> </w:t>
      </w:r>
      <w:r>
        <w:rPr>
          <w:spacing w:val="-5"/>
          <w:sz w:val="20"/>
        </w:rPr>
        <w:t>and</w:t>
      </w:r>
    </w:p>
    <w:p w14:paraId="2D53ECE8" w14:textId="77777777" w:rsidR="009C36E3" w:rsidRDefault="000E7207">
      <w:pPr>
        <w:pStyle w:val="ListParagraph"/>
        <w:numPr>
          <w:ilvl w:val="0"/>
          <w:numId w:val="32"/>
        </w:numPr>
        <w:tabs>
          <w:tab w:val="left" w:pos="1129"/>
        </w:tabs>
        <w:ind w:right="331"/>
        <w:rPr>
          <w:sz w:val="20"/>
        </w:rPr>
      </w:pPr>
      <w:r>
        <w:rPr>
          <w:b/>
          <w:sz w:val="20"/>
        </w:rPr>
        <w:t>IO4</w:t>
      </w:r>
      <w:r>
        <w:rPr>
          <w:b/>
          <w:spacing w:val="-4"/>
          <w:sz w:val="20"/>
        </w:rPr>
        <w:t xml:space="preserve"> </w:t>
      </w:r>
      <w:r>
        <w:rPr>
          <w:b/>
          <w:sz w:val="20"/>
        </w:rPr>
        <w:t>(Sector</w:t>
      </w:r>
      <w:r>
        <w:rPr>
          <w:b/>
          <w:spacing w:val="-5"/>
          <w:sz w:val="20"/>
        </w:rPr>
        <w:t xml:space="preserve"> </w:t>
      </w:r>
      <w:r>
        <w:rPr>
          <w:b/>
          <w:sz w:val="20"/>
        </w:rPr>
        <w:t>Coordination)</w:t>
      </w:r>
      <w:r>
        <w:rPr>
          <w:sz w:val="20"/>
        </w:rPr>
        <w:t>:</w:t>
      </w:r>
      <w:r>
        <w:rPr>
          <w:spacing w:val="-4"/>
          <w:sz w:val="20"/>
        </w:rPr>
        <w:t xml:space="preserve"> </w:t>
      </w:r>
      <w:r>
        <w:rPr>
          <w:sz w:val="20"/>
        </w:rPr>
        <w:t>Institutional</w:t>
      </w:r>
      <w:r>
        <w:rPr>
          <w:spacing w:val="-5"/>
          <w:sz w:val="20"/>
        </w:rPr>
        <w:t xml:space="preserve"> </w:t>
      </w:r>
      <w:r>
        <w:rPr>
          <w:sz w:val="20"/>
        </w:rPr>
        <w:t>arrangements</w:t>
      </w:r>
      <w:r>
        <w:rPr>
          <w:spacing w:val="-3"/>
          <w:sz w:val="20"/>
        </w:rPr>
        <w:t xml:space="preserve"> </w:t>
      </w:r>
      <w:r>
        <w:rPr>
          <w:sz w:val="20"/>
        </w:rPr>
        <w:t>ensure</w:t>
      </w:r>
      <w:r>
        <w:rPr>
          <w:spacing w:val="-4"/>
          <w:sz w:val="20"/>
        </w:rPr>
        <w:t xml:space="preserve"> </w:t>
      </w:r>
      <w:r>
        <w:rPr>
          <w:sz w:val="20"/>
        </w:rPr>
        <w:t>a</w:t>
      </w:r>
      <w:r>
        <w:rPr>
          <w:spacing w:val="-2"/>
          <w:sz w:val="20"/>
        </w:rPr>
        <w:t xml:space="preserve"> </w:t>
      </w:r>
      <w:r>
        <w:rPr>
          <w:sz w:val="20"/>
        </w:rPr>
        <w:t>‘chain-of-justice’</w:t>
      </w:r>
      <w:r>
        <w:rPr>
          <w:spacing w:val="-3"/>
          <w:sz w:val="20"/>
        </w:rPr>
        <w:t xml:space="preserve"> </w:t>
      </w:r>
      <w:r>
        <w:rPr>
          <w:sz w:val="20"/>
        </w:rPr>
        <w:t>is</w:t>
      </w:r>
      <w:r>
        <w:rPr>
          <w:spacing w:val="-3"/>
          <w:sz w:val="20"/>
        </w:rPr>
        <w:t xml:space="preserve"> </w:t>
      </w:r>
      <w:r>
        <w:rPr>
          <w:sz w:val="20"/>
        </w:rPr>
        <w:t>maintained</w:t>
      </w:r>
      <w:r>
        <w:rPr>
          <w:spacing w:val="-4"/>
          <w:sz w:val="20"/>
        </w:rPr>
        <w:t xml:space="preserve"> </w:t>
      </w:r>
      <w:r>
        <w:rPr>
          <w:sz w:val="20"/>
        </w:rPr>
        <w:t>across</w:t>
      </w:r>
      <w:r>
        <w:rPr>
          <w:spacing w:val="-3"/>
          <w:sz w:val="20"/>
        </w:rPr>
        <w:t xml:space="preserve"> </w:t>
      </w:r>
      <w:r>
        <w:rPr>
          <w:sz w:val="20"/>
        </w:rPr>
        <w:t>police and justice and community sectors.</w:t>
      </w:r>
    </w:p>
    <w:p w14:paraId="07B447EB" w14:textId="77777777" w:rsidR="009C36E3" w:rsidRDefault="000E7207">
      <w:pPr>
        <w:pStyle w:val="BodyText"/>
        <w:spacing w:before="118"/>
        <w:ind w:right="167"/>
      </w:pPr>
      <w:r>
        <w:t>The program has a range of input modalities, including technical assistance, operational support and funding, training and professional development, community grants, infrastructure, and project delivery. Program implementation is intended to be governed through Program Management Group (PMG) meetings – a policing PMG</w:t>
      </w:r>
      <w:r>
        <w:rPr>
          <w:spacing w:val="-3"/>
        </w:rPr>
        <w:t xml:space="preserve"> </w:t>
      </w:r>
      <w:r>
        <w:t>chaired</w:t>
      </w:r>
      <w:r>
        <w:rPr>
          <w:spacing w:val="-4"/>
        </w:rPr>
        <w:t xml:space="preserve"> </w:t>
      </w:r>
      <w:r>
        <w:t>jointly</w:t>
      </w:r>
      <w:r>
        <w:rPr>
          <w:spacing w:val="-3"/>
        </w:rPr>
        <w:t xml:space="preserve"> </w:t>
      </w:r>
      <w:r>
        <w:t>by</w:t>
      </w:r>
      <w:r>
        <w:rPr>
          <w:spacing w:val="-3"/>
        </w:rPr>
        <w:t xml:space="preserve"> </w:t>
      </w:r>
      <w:r>
        <w:t>DFAT</w:t>
      </w:r>
      <w:r>
        <w:rPr>
          <w:spacing w:val="-3"/>
        </w:rPr>
        <w:t xml:space="preserve"> </w:t>
      </w:r>
      <w:r>
        <w:t>and</w:t>
      </w:r>
      <w:r>
        <w:rPr>
          <w:spacing w:val="-4"/>
        </w:rPr>
        <w:t xml:space="preserve"> </w:t>
      </w:r>
      <w:r>
        <w:t>VPF</w:t>
      </w:r>
      <w:r>
        <w:rPr>
          <w:spacing w:val="-3"/>
        </w:rPr>
        <w:t xml:space="preserve"> </w:t>
      </w:r>
      <w:r>
        <w:t>and</w:t>
      </w:r>
      <w:r>
        <w:rPr>
          <w:spacing w:val="-2"/>
        </w:rPr>
        <w:t xml:space="preserve"> </w:t>
      </w:r>
      <w:r>
        <w:t>a</w:t>
      </w:r>
      <w:r>
        <w:rPr>
          <w:spacing w:val="-4"/>
        </w:rPr>
        <w:t xml:space="preserve"> </w:t>
      </w:r>
      <w:r>
        <w:t>justice</w:t>
      </w:r>
      <w:r>
        <w:rPr>
          <w:spacing w:val="-2"/>
        </w:rPr>
        <w:t xml:space="preserve"> </w:t>
      </w:r>
      <w:r>
        <w:t>PMG</w:t>
      </w:r>
      <w:r>
        <w:rPr>
          <w:spacing w:val="-3"/>
        </w:rPr>
        <w:t xml:space="preserve"> </w:t>
      </w:r>
      <w:r>
        <w:t>co-chaired</w:t>
      </w:r>
      <w:r>
        <w:rPr>
          <w:spacing w:val="-2"/>
        </w:rPr>
        <w:t xml:space="preserve"> </w:t>
      </w:r>
      <w:r>
        <w:t>by</w:t>
      </w:r>
      <w:r>
        <w:rPr>
          <w:spacing w:val="-3"/>
        </w:rPr>
        <w:t xml:space="preserve"> </w:t>
      </w:r>
      <w:r>
        <w:t>DFAT</w:t>
      </w:r>
      <w:r>
        <w:rPr>
          <w:spacing w:val="-1"/>
        </w:rPr>
        <w:t xml:space="preserve"> </w:t>
      </w:r>
      <w:r>
        <w:t>and</w:t>
      </w:r>
      <w:r>
        <w:rPr>
          <w:spacing w:val="-2"/>
        </w:rPr>
        <w:t xml:space="preserve"> </w:t>
      </w:r>
      <w:r>
        <w:t>MJCS.</w:t>
      </w:r>
      <w:r>
        <w:rPr>
          <w:spacing w:val="-2"/>
        </w:rPr>
        <w:t xml:space="preserve"> </w:t>
      </w:r>
      <w:r>
        <w:t>Program</w:t>
      </w:r>
      <w:r>
        <w:rPr>
          <w:spacing w:val="-4"/>
        </w:rPr>
        <w:t xml:space="preserve"> </w:t>
      </w:r>
      <w:r>
        <w:t>activities</w:t>
      </w:r>
      <w:r>
        <w:rPr>
          <w:spacing w:val="-3"/>
        </w:rPr>
        <w:t xml:space="preserve"> </w:t>
      </w:r>
      <w:r>
        <w:t>are decided each year through the development of an Annual Work Plan (AWP) jointly endorsed by PMG chairs.</w:t>
      </w:r>
    </w:p>
    <w:p w14:paraId="3442AEC9" w14:textId="77777777" w:rsidR="009C36E3" w:rsidRDefault="000E7207" w:rsidP="00E84525">
      <w:pPr>
        <w:pStyle w:val="Heading2"/>
        <w:numPr>
          <w:ilvl w:val="1"/>
          <w:numId w:val="33"/>
        </w:numPr>
      </w:pPr>
      <w:bookmarkStart w:id="10" w:name="1.2_Mid-Term_Review_purpose_and_objectiv"/>
      <w:bookmarkStart w:id="11" w:name="_bookmark8"/>
      <w:bookmarkEnd w:id="10"/>
      <w:bookmarkEnd w:id="11"/>
      <w:r>
        <w:t>Mid-Term</w:t>
      </w:r>
      <w:r>
        <w:rPr>
          <w:spacing w:val="-6"/>
        </w:rPr>
        <w:t xml:space="preserve"> </w:t>
      </w:r>
      <w:r>
        <w:t>Review</w:t>
      </w:r>
      <w:r>
        <w:rPr>
          <w:spacing w:val="-5"/>
        </w:rPr>
        <w:t xml:space="preserve"> </w:t>
      </w:r>
      <w:r>
        <w:t>purpose</w:t>
      </w:r>
      <w:r>
        <w:rPr>
          <w:spacing w:val="-4"/>
        </w:rPr>
        <w:t xml:space="preserve"> </w:t>
      </w:r>
      <w:r>
        <w:t>and</w:t>
      </w:r>
      <w:r>
        <w:rPr>
          <w:spacing w:val="-5"/>
        </w:rPr>
        <w:t xml:space="preserve"> </w:t>
      </w:r>
      <w:r>
        <w:t>objectives</w:t>
      </w:r>
    </w:p>
    <w:p w14:paraId="7D3814EE" w14:textId="77777777" w:rsidR="009C36E3" w:rsidRDefault="000E7207">
      <w:pPr>
        <w:pStyle w:val="BodyText"/>
        <w:spacing w:before="257"/>
        <w:ind w:right="192"/>
      </w:pPr>
      <w:r>
        <w:t>The</w:t>
      </w:r>
      <w:r>
        <w:rPr>
          <w:spacing w:val="-2"/>
        </w:rPr>
        <w:t xml:space="preserve"> </w:t>
      </w:r>
      <w:r>
        <w:t>MTR of</w:t>
      </w:r>
      <w:r>
        <w:rPr>
          <w:spacing w:val="-2"/>
        </w:rPr>
        <w:t xml:space="preserve"> </w:t>
      </w:r>
      <w:r>
        <w:t>the VAPJP</w:t>
      </w:r>
      <w:r>
        <w:rPr>
          <w:spacing w:val="-3"/>
        </w:rPr>
        <w:t xml:space="preserve"> </w:t>
      </w:r>
      <w:r>
        <w:t>took</w:t>
      </w:r>
      <w:r>
        <w:rPr>
          <w:spacing w:val="-1"/>
        </w:rPr>
        <w:t xml:space="preserve"> </w:t>
      </w:r>
      <w:r>
        <w:t>place after</w:t>
      </w:r>
      <w:r>
        <w:rPr>
          <w:spacing w:val="-1"/>
        </w:rPr>
        <w:t xml:space="preserve"> </w:t>
      </w:r>
      <w:r>
        <w:t>nearly</w:t>
      </w:r>
      <w:r>
        <w:rPr>
          <w:spacing w:val="-1"/>
        </w:rPr>
        <w:t xml:space="preserve"> </w:t>
      </w:r>
      <w:r>
        <w:t>three</w:t>
      </w:r>
      <w:r>
        <w:rPr>
          <w:spacing w:val="-2"/>
        </w:rPr>
        <w:t xml:space="preserve"> </w:t>
      </w:r>
      <w:r>
        <w:t>years</w:t>
      </w:r>
      <w:r>
        <w:rPr>
          <w:spacing w:val="-1"/>
        </w:rPr>
        <w:t xml:space="preserve"> </w:t>
      </w:r>
      <w:r>
        <w:t>of</w:t>
      </w:r>
      <w:r>
        <w:rPr>
          <w:spacing w:val="-2"/>
        </w:rPr>
        <w:t xml:space="preserve"> </w:t>
      </w:r>
      <w:r>
        <w:t>implementation of</w:t>
      </w:r>
      <w:r>
        <w:rPr>
          <w:spacing w:val="-2"/>
        </w:rPr>
        <w:t xml:space="preserve"> </w:t>
      </w:r>
      <w:r>
        <w:t>this</w:t>
      </w:r>
      <w:r>
        <w:rPr>
          <w:spacing w:val="-1"/>
        </w:rPr>
        <w:t xml:space="preserve"> </w:t>
      </w:r>
      <w:r>
        <w:t>second phase</w:t>
      </w:r>
      <w:r>
        <w:rPr>
          <w:spacing w:val="-2"/>
        </w:rPr>
        <w:t xml:space="preserve"> </w:t>
      </w:r>
      <w:r>
        <w:t>of the program (AUD25</w:t>
      </w:r>
      <w:r>
        <w:rPr>
          <w:spacing w:val="-2"/>
        </w:rPr>
        <w:t xml:space="preserve"> </w:t>
      </w:r>
      <w:r>
        <w:t>million,</w:t>
      </w:r>
      <w:r>
        <w:rPr>
          <w:spacing w:val="-4"/>
        </w:rPr>
        <w:t xml:space="preserve"> </w:t>
      </w:r>
      <w:r>
        <w:t>December</w:t>
      </w:r>
      <w:r>
        <w:rPr>
          <w:spacing w:val="-1"/>
        </w:rPr>
        <w:t xml:space="preserve"> </w:t>
      </w:r>
      <w:r>
        <w:t>2020</w:t>
      </w:r>
      <w:r>
        <w:rPr>
          <w:spacing w:val="-2"/>
        </w:rPr>
        <w:t xml:space="preserve"> </w:t>
      </w:r>
      <w:r>
        <w:t>–</w:t>
      </w:r>
      <w:r>
        <w:rPr>
          <w:spacing w:val="-4"/>
        </w:rPr>
        <w:t xml:space="preserve"> </w:t>
      </w:r>
      <w:r>
        <w:t>December</w:t>
      </w:r>
      <w:r>
        <w:rPr>
          <w:spacing w:val="-3"/>
        </w:rPr>
        <w:t xml:space="preserve"> </w:t>
      </w:r>
      <w:r>
        <w:t>2024),</w:t>
      </w:r>
      <w:r>
        <w:rPr>
          <w:spacing w:val="-4"/>
        </w:rPr>
        <w:t xml:space="preserve"> </w:t>
      </w:r>
      <w:r>
        <w:t>with</w:t>
      </w:r>
      <w:r>
        <w:rPr>
          <w:spacing w:val="-2"/>
        </w:rPr>
        <w:t xml:space="preserve"> </w:t>
      </w:r>
      <w:r>
        <w:t>one</w:t>
      </w:r>
      <w:r>
        <w:rPr>
          <w:spacing w:val="-2"/>
        </w:rPr>
        <w:t xml:space="preserve"> </w:t>
      </w:r>
      <w:r>
        <w:t>further</w:t>
      </w:r>
      <w:r>
        <w:rPr>
          <w:spacing w:val="-3"/>
        </w:rPr>
        <w:t xml:space="preserve"> </w:t>
      </w:r>
      <w:r>
        <w:t>year</w:t>
      </w:r>
      <w:r>
        <w:rPr>
          <w:spacing w:val="-3"/>
        </w:rPr>
        <w:t xml:space="preserve"> </w:t>
      </w:r>
      <w:r>
        <w:t>remaining.</w:t>
      </w:r>
      <w:r>
        <w:rPr>
          <w:spacing w:val="-4"/>
        </w:rPr>
        <w:t xml:space="preserve"> </w:t>
      </w:r>
      <w:r>
        <w:t>The</w:t>
      </w:r>
      <w:r>
        <w:rPr>
          <w:spacing w:val="-4"/>
        </w:rPr>
        <w:t xml:space="preserve"> </w:t>
      </w:r>
      <w:r>
        <w:t>MTR</w:t>
      </w:r>
      <w:r>
        <w:rPr>
          <w:spacing w:val="-1"/>
        </w:rPr>
        <w:t xml:space="preserve"> </w:t>
      </w:r>
      <w:r>
        <w:t>assessed</w:t>
      </w:r>
      <w:r>
        <w:rPr>
          <w:spacing w:val="-4"/>
        </w:rPr>
        <w:t xml:space="preserve"> </w:t>
      </w:r>
      <w:r>
        <w:t>whether Australia’s support to Vanuatu’s policing and justice sector, as part of Phase 2 of VAPJP, has been effective, efficient and relevant in order to help inform Australia’s support to the policing and justice sectors beyond the end of the current program in December 2024.</w:t>
      </w:r>
    </w:p>
    <w:p w14:paraId="6B87EC57" w14:textId="77777777" w:rsidR="009C36E3" w:rsidRDefault="000E7207">
      <w:pPr>
        <w:pStyle w:val="BodyText"/>
        <w:spacing w:before="120"/>
      </w:pPr>
      <w:r>
        <w:t>The</w:t>
      </w:r>
      <w:r>
        <w:rPr>
          <w:spacing w:val="-6"/>
        </w:rPr>
        <w:t xml:space="preserve"> </w:t>
      </w:r>
      <w:r>
        <w:t>objectives</w:t>
      </w:r>
      <w:r>
        <w:rPr>
          <w:spacing w:val="-5"/>
        </w:rPr>
        <w:t xml:space="preserve"> </w:t>
      </w:r>
      <w:r>
        <w:t>of</w:t>
      </w:r>
      <w:r>
        <w:rPr>
          <w:spacing w:val="-5"/>
        </w:rPr>
        <w:t xml:space="preserve"> </w:t>
      </w:r>
      <w:r>
        <w:t>the</w:t>
      </w:r>
      <w:r>
        <w:rPr>
          <w:spacing w:val="-4"/>
        </w:rPr>
        <w:t xml:space="preserve"> </w:t>
      </w:r>
      <w:r>
        <w:t>MTR,</w:t>
      </w:r>
      <w:r>
        <w:rPr>
          <w:spacing w:val="-3"/>
        </w:rPr>
        <w:t xml:space="preserve"> </w:t>
      </w:r>
      <w:r>
        <w:t>as</w:t>
      </w:r>
      <w:r>
        <w:rPr>
          <w:spacing w:val="-5"/>
        </w:rPr>
        <w:t xml:space="preserve"> </w:t>
      </w:r>
      <w:r>
        <w:t>outlined</w:t>
      </w:r>
      <w:r>
        <w:rPr>
          <w:spacing w:val="-4"/>
        </w:rPr>
        <w:t xml:space="preserve"> </w:t>
      </w:r>
      <w:r>
        <w:t>in</w:t>
      </w:r>
      <w:r>
        <w:rPr>
          <w:spacing w:val="-5"/>
        </w:rPr>
        <w:t xml:space="preserve"> </w:t>
      </w:r>
      <w:r>
        <w:t>the</w:t>
      </w:r>
      <w:r>
        <w:rPr>
          <w:spacing w:val="-5"/>
        </w:rPr>
        <w:t xml:space="preserve"> </w:t>
      </w:r>
      <w:r>
        <w:t>ToR,</w:t>
      </w:r>
      <w:r>
        <w:rPr>
          <w:spacing w:val="-6"/>
        </w:rPr>
        <w:t xml:space="preserve"> </w:t>
      </w:r>
      <w:r>
        <w:rPr>
          <w:spacing w:val="-4"/>
        </w:rPr>
        <w:t>were:</w:t>
      </w:r>
    </w:p>
    <w:p w14:paraId="5882A570" w14:textId="77777777" w:rsidR="009C36E3" w:rsidRDefault="000E7207">
      <w:pPr>
        <w:pStyle w:val="ListParagraph"/>
        <w:numPr>
          <w:ilvl w:val="0"/>
          <w:numId w:val="31"/>
        </w:numPr>
        <w:tabs>
          <w:tab w:val="left" w:pos="1127"/>
          <w:tab w:val="left" w:pos="1129"/>
        </w:tabs>
        <w:spacing w:before="120"/>
        <w:ind w:right="364"/>
        <w:rPr>
          <w:sz w:val="20"/>
        </w:rPr>
      </w:pPr>
      <w:r>
        <w:rPr>
          <w:sz w:val="20"/>
        </w:rPr>
        <w:t>Accountability</w:t>
      </w:r>
      <w:r>
        <w:rPr>
          <w:spacing w:val="-2"/>
          <w:sz w:val="20"/>
        </w:rPr>
        <w:t xml:space="preserve"> </w:t>
      </w:r>
      <w:r>
        <w:rPr>
          <w:sz w:val="20"/>
        </w:rPr>
        <w:t>–</w:t>
      </w:r>
      <w:r>
        <w:rPr>
          <w:spacing w:val="-4"/>
          <w:sz w:val="20"/>
        </w:rPr>
        <w:t xml:space="preserve"> </w:t>
      </w:r>
      <w:r>
        <w:rPr>
          <w:sz w:val="20"/>
        </w:rPr>
        <w:t>to</w:t>
      </w:r>
      <w:r>
        <w:rPr>
          <w:spacing w:val="-2"/>
          <w:sz w:val="20"/>
        </w:rPr>
        <w:t xml:space="preserve"> </w:t>
      </w:r>
      <w:r>
        <w:rPr>
          <w:sz w:val="20"/>
        </w:rPr>
        <w:t>provide</w:t>
      </w:r>
      <w:r>
        <w:rPr>
          <w:spacing w:val="-2"/>
          <w:sz w:val="20"/>
        </w:rPr>
        <w:t xml:space="preserve"> </w:t>
      </w:r>
      <w:r>
        <w:rPr>
          <w:sz w:val="20"/>
        </w:rPr>
        <w:t>stakeholders</w:t>
      </w:r>
      <w:r>
        <w:rPr>
          <w:spacing w:val="-3"/>
          <w:sz w:val="20"/>
        </w:rPr>
        <w:t xml:space="preserve"> </w:t>
      </w:r>
      <w:r>
        <w:rPr>
          <w:sz w:val="20"/>
        </w:rPr>
        <w:t>with</w:t>
      </w:r>
      <w:r>
        <w:rPr>
          <w:spacing w:val="-4"/>
          <w:sz w:val="20"/>
        </w:rPr>
        <w:t xml:space="preserve"> </w:t>
      </w:r>
      <w:r>
        <w:rPr>
          <w:sz w:val="20"/>
        </w:rPr>
        <w:t>an</w:t>
      </w:r>
      <w:r>
        <w:rPr>
          <w:spacing w:val="-4"/>
          <w:sz w:val="20"/>
        </w:rPr>
        <w:t xml:space="preserve"> </w:t>
      </w:r>
      <w:r>
        <w:rPr>
          <w:sz w:val="20"/>
        </w:rPr>
        <w:t>assessment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effectiveness</w:t>
      </w:r>
      <w:r>
        <w:rPr>
          <w:spacing w:val="-3"/>
          <w:sz w:val="20"/>
        </w:rPr>
        <w:t xml:space="preserve"> </w:t>
      </w:r>
      <w:r>
        <w:rPr>
          <w:sz w:val="20"/>
        </w:rPr>
        <w:t>and</w:t>
      </w:r>
      <w:r>
        <w:rPr>
          <w:spacing w:val="-2"/>
          <w:sz w:val="20"/>
        </w:rPr>
        <w:t xml:space="preserve"> </w:t>
      </w:r>
      <w:r>
        <w:rPr>
          <w:sz w:val="20"/>
        </w:rPr>
        <w:t>efficiency</w:t>
      </w:r>
      <w:r>
        <w:rPr>
          <w:spacing w:val="-3"/>
          <w:sz w:val="20"/>
        </w:rPr>
        <w:t xml:space="preserve"> </w:t>
      </w:r>
      <w:r>
        <w:rPr>
          <w:sz w:val="20"/>
        </w:rPr>
        <w:t>of</w:t>
      </w:r>
      <w:r>
        <w:rPr>
          <w:spacing w:val="-2"/>
          <w:sz w:val="20"/>
        </w:rPr>
        <w:t xml:space="preserve"> </w:t>
      </w:r>
      <w:r>
        <w:rPr>
          <w:sz w:val="20"/>
        </w:rPr>
        <w:t>Australia’s current contribution to the policing and justice sectors in Vanuatu;</w:t>
      </w:r>
    </w:p>
    <w:p w14:paraId="27119FD1" w14:textId="77777777" w:rsidR="009C36E3" w:rsidRDefault="000E7207">
      <w:pPr>
        <w:pStyle w:val="ListParagraph"/>
        <w:numPr>
          <w:ilvl w:val="0"/>
          <w:numId w:val="31"/>
        </w:numPr>
        <w:tabs>
          <w:tab w:val="left" w:pos="1127"/>
          <w:tab w:val="left" w:pos="1129"/>
        </w:tabs>
        <w:spacing w:before="118"/>
        <w:ind w:right="337"/>
        <w:rPr>
          <w:sz w:val="20"/>
        </w:rPr>
      </w:pPr>
      <w:r>
        <w:rPr>
          <w:sz w:val="20"/>
        </w:rPr>
        <w:t>To</w:t>
      </w:r>
      <w:r>
        <w:rPr>
          <w:spacing w:val="-3"/>
          <w:sz w:val="20"/>
        </w:rPr>
        <w:t xml:space="preserve"> </w:t>
      </w:r>
      <w:r>
        <w:rPr>
          <w:sz w:val="20"/>
        </w:rPr>
        <w:t>reflect,</w:t>
      </w:r>
      <w:r>
        <w:rPr>
          <w:spacing w:val="-3"/>
          <w:sz w:val="20"/>
        </w:rPr>
        <w:t xml:space="preserve"> </w:t>
      </w:r>
      <w:r>
        <w:rPr>
          <w:sz w:val="20"/>
        </w:rPr>
        <w:t>document</w:t>
      </w:r>
      <w:r>
        <w:rPr>
          <w:spacing w:val="-3"/>
          <w:sz w:val="20"/>
        </w:rPr>
        <w:t xml:space="preserve"> </w:t>
      </w:r>
      <w:r>
        <w:rPr>
          <w:sz w:val="20"/>
        </w:rPr>
        <w:t>and</w:t>
      </w:r>
      <w:r>
        <w:rPr>
          <w:spacing w:val="-3"/>
          <w:sz w:val="20"/>
        </w:rPr>
        <w:t xml:space="preserve"> </w:t>
      </w:r>
      <w:r>
        <w:rPr>
          <w:sz w:val="20"/>
        </w:rPr>
        <w:t>apply lessons</w:t>
      </w:r>
      <w:r>
        <w:rPr>
          <w:spacing w:val="-2"/>
          <w:sz w:val="20"/>
        </w:rPr>
        <w:t xml:space="preserve"> </w:t>
      </w:r>
      <w:r>
        <w:rPr>
          <w:sz w:val="20"/>
        </w:rPr>
        <w:t>from</w:t>
      </w:r>
      <w:r>
        <w:rPr>
          <w:spacing w:val="-1"/>
          <w:sz w:val="20"/>
        </w:rPr>
        <w:t xml:space="preserve"> </w:t>
      </w:r>
      <w:r>
        <w:rPr>
          <w:sz w:val="20"/>
        </w:rPr>
        <w:t>the</w:t>
      </w:r>
      <w:r>
        <w:rPr>
          <w:spacing w:val="-1"/>
          <w:sz w:val="20"/>
        </w:rPr>
        <w:t xml:space="preserve"> </w:t>
      </w:r>
      <w:r>
        <w:rPr>
          <w:sz w:val="20"/>
        </w:rPr>
        <w:t>first</w:t>
      </w:r>
      <w:r>
        <w:rPr>
          <w:spacing w:val="-3"/>
          <w:sz w:val="20"/>
        </w:rPr>
        <w:t xml:space="preserve"> </w:t>
      </w:r>
      <w:r>
        <w:rPr>
          <w:sz w:val="20"/>
        </w:rPr>
        <w:t>two</w:t>
      </w:r>
      <w:hyperlink w:anchor="_bookmark11" w:history="1">
        <w:r>
          <w:rPr>
            <w:position w:val="6"/>
            <w:sz w:val="13"/>
          </w:rPr>
          <w:t>7</w:t>
        </w:r>
      </w:hyperlink>
      <w:r>
        <w:rPr>
          <w:spacing w:val="16"/>
          <w:position w:val="6"/>
          <w:sz w:val="13"/>
        </w:rPr>
        <w:t xml:space="preserve"> </w:t>
      </w:r>
      <w:r>
        <w:rPr>
          <w:sz w:val="20"/>
        </w:rPr>
        <w:t>years</w:t>
      </w:r>
      <w:r>
        <w:rPr>
          <w:spacing w:val="-2"/>
          <w:sz w:val="20"/>
        </w:rPr>
        <w:t xml:space="preserve"> </w:t>
      </w:r>
      <w:r>
        <w:rPr>
          <w:sz w:val="20"/>
        </w:rPr>
        <w:t>of</w:t>
      </w:r>
      <w:r>
        <w:rPr>
          <w:spacing w:val="-3"/>
          <w:sz w:val="20"/>
        </w:rPr>
        <w:t xml:space="preserve"> </w:t>
      </w:r>
      <w:r>
        <w:rPr>
          <w:sz w:val="20"/>
        </w:rPr>
        <w:t>implementation</w:t>
      </w:r>
      <w:r>
        <w:rPr>
          <w:spacing w:val="-1"/>
          <w:sz w:val="20"/>
        </w:rPr>
        <w:t xml:space="preserve"> </w:t>
      </w:r>
      <w:r>
        <w:rPr>
          <w:sz w:val="20"/>
        </w:rPr>
        <w:t>to</w:t>
      </w:r>
      <w:r>
        <w:rPr>
          <w:spacing w:val="-3"/>
          <w:sz w:val="20"/>
        </w:rPr>
        <w:t xml:space="preserve"> </w:t>
      </w:r>
      <w:r>
        <w:rPr>
          <w:sz w:val="20"/>
        </w:rPr>
        <w:t>maximise</w:t>
      </w:r>
      <w:r>
        <w:rPr>
          <w:spacing w:val="-3"/>
          <w:sz w:val="20"/>
        </w:rPr>
        <w:t xml:space="preserve"> </w:t>
      </w:r>
      <w:r>
        <w:rPr>
          <w:sz w:val="20"/>
        </w:rPr>
        <w:t>effectiveness and efficiency in the final year of implementation (2024); and</w:t>
      </w:r>
    </w:p>
    <w:p w14:paraId="6A2CDE81" w14:textId="77777777" w:rsidR="009C36E3" w:rsidRDefault="000E7207">
      <w:pPr>
        <w:pStyle w:val="ListParagraph"/>
        <w:numPr>
          <w:ilvl w:val="0"/>
          <w:numId w:val="31"/>
        </w:numPr>
        <w:tabs>
          <w:tab w:val="left" w:pos="1127"/>
          <w:tab w:val="left" w:pos="1129"/>
        </w:tabs>
        <w:spacing w:before="121"/>
        <w:ind w:right="130"/>
        <w:rPr>
          <w:sz w:val="20"/>
        </w:rPr>
      </w:pPr>
      <w:r>
        <w:rPr>
          <w:sz w:val="20"/>
        </w:rPr>
        <w:t>Assessment of future opportunities – to provide DFAT and stakeholders with analysis, options and recommendations</w:t>
      </w:r>
      <w:r>
        <w:rPr>
          <w:spacing w:val="-3"/>
          <w:sz w:val="20"/>
        </w:rPr>
        <w:t xml:space="preserve"> </w:t>
      </w:r>
      <w:r>
        <w:rPr>
          <w:sz w:val="20"/>
        </w:rPr>
        <w:t>on</w:t>
      </w:r>
      <w:r>
        <w:rPr>
          <w:spacing w:val="-2"/>
          <w:sz w:val="20"/>
        </w:rPr>
        <w:t xml:space="preserve"> </w:t>
      </w:r>
      <w:r>
        <w:rPr>
          <w:sz w:val="20"/>
        </w:rPr>
        <w:t>opportunities</w:t>
      </w:r>
      <w:r>
        <w:rPr>
          <w:spacing w:val="-3"/>
          <w:sz w:val="20"/>
        </w:rPr>
        <w:t xml:space="preserve"> </w:t>
      </w:r>
      <w:r>
        <w:rPr>
          <w:sz w:val="20"/>
        </w:rPr>
        <w:t>for</w:t>
      </w:r>
      <w:r>
        <w:rPr>
          <w:spacing w:val="-3"/>
          <w:sz w:val="20"/>
        </w:rPr>
        <w:t xml:space="preserve"> </w:t>
      </w:r>
      <w:r>
        <w:rPr>
          <w:sz w:val="20"/>
        </w:rPr>
        <w:t>a</w:t>
      </w:r>
      <w:r>
        <w:rPr>
          <w:spacing w:val="-4"/>
          <w:sz w:val="20"/>
        </w:rPr>
        <w:t xml:space="preserve"> </w:t>
      </w:r>
      <w:r>
        <w:rPr>
          <w:sz w:val="20"/>
        </w:rPr>
        <w:t>next</w:t>
      </w:r>
      <w:r>
        <w:rPr>
          <w:spacing w:val="-4"/>
          <w:sz w:val="20"/>
        </w:rPr>
        <w:t xml:space="preserve"> </w:t>
      </w:r>
      <w:r>
        <w:rPr>
          <w:sz w:val="20"/>
        </w:rPr>
        <w:t>iteration</w:t>
      </w:r>
      <w:r>
        <w:rPr>
          <w:spacing w:val="-2"/>
          <w:sz w:val="20"/>
        </w:rPr>
        <w:t xml:space="preserve"> </w:t>
      </w:r>
      <w:r>
        <w:rPr>
          <w:sz w:val="20"/>
        </w:rPr>
        <w:t>of</w:t>
      </w:r>
      <w:r>
        <w:rPr>
          <w:spacing w:val="-4"/>
          <w:sz w:val="20"/>
        </w:rPr>
        <w:t xml:space="preserve"> </w:t>
      </w:r>
      <w:r>
        <w:rPr>
          <w:sz w:val="20"/>
        </w:rPr>
        <w:t>Australian</w:t>
      </w:r>
      <w:r>
        <w:rPr>
          <w:spacing w:val="-4"/>
          <w:sz w:val="20"/>
        </w:rPr>
        <w:t xml:space="preserve"> </w:t>
      </w:r>
      <w:r>
        <w:rPr>
          <w:sz w:val="20"/>
        </w:rPr>
        <w:t>support</w:t>
      </w:r>
      <w:r>
        <w:rPr>
          <w:spacing w:val="-2"/>
          <w:sz w:val="20"/>
        </w:rPr>
        <w:t xml:space="preserve"> </w:t>
      </w:r>
      <w:r>
        <w:rPr>
          <w:sz w:val="20"/>
        </w:rPr>
        <w:t>to</w:t>
      </w:r>
      <w:r>
        <w:rPr>
          <w:spacing w:val="-4"/>
          <w:sz w:val="20"/>
        </w:rPr>
        <w:t xml:space="preserve"> </w:t>
      </w:r>
      <w:r>
        <w:rPr>
          <w:sz w:val="20"/>
        </w:rPr>
        <w:t>the</w:t>
      </w:r>
      <w:r>
        <w:rPr>
          <w:spacing w:val="-2"/>
          <w:sz w:val="20"/>
        </w:rPr>
        <w:t xml:space="preserve"> </w:t>
      </w:r>
      <w:r>
        <w:rPr>
          <w:sz w:val="20"/>
        </w:rPr>
        <w:t>policing</w:t>
      </w:r>
      <w:r>
        <w:rPr>
          <w:spacing w:val="-4"/>
          <w:sz w:val="20"/>
        </w:rPr>
        <w:t xml:space="preserve"> </w:t>
      </w:r>
      <w:r>
        <w:rPr>
          <w:sz w:val="20"/>
        </w:rPr>
        <w:t>and</w:t>
      </w:r>
      <w:r>
        <w:rPr>
          <w:spacing w:val="-4"/>
          <w:sz w:val="20"/>
        </w:rPr>
        <w:t xml:space="preserve"> </w:t>
      </w:r>
      <w:r>
        <w:rPr>
          <w:sz w:val="20"/>
        </w:rPr>
        <w:t>justice</w:t>
      </w:r>
      <w:r>
        <w:rPr>
          <w:spacing w:val="-4"/>
          <w:sz w:val="20"/>
        </w:rPr>
        <w:t xml:space="preserve"> </w:t>
      </w:r>
      <w:r>
        <w:rPr>
          <w:sz w:val="20"/>
        </w:rPr>
        <w:t>sectors</w:t>
      </w:r>
      <w:r>
        <w:rPr>
          <w:spacing w:val="-3"/>
          <w:sz w:val="20"/>
        </w:rPr>
        <w:t xml:space="preserve"> </w:t>
      </w:r>
      <w:r>
        <w:rPr>
          <w:sz w:val="20"/>
        </w:rPr>
        <w:t>in Vanuatu (2025-2029) and how this should be delivered.</w:t>
      </w:r>
    </w:p>
    <w:p w14:paraId="5660E2F0" w14:textId="77777777" w:rsidR="009C36E3" w:rsidRDefault="000E7207">
      <w:pPr>
        <w:pStyle w:val="BodyText"/>
        <w:spacing w:before="121"/>
      </w:pPr>
      <w:r>
        <w:t>Key</w:t>
      </w:r>
      <w:r>
        <w:rPr>
          <w:spacing w:val="-6"/>
        </w:rPr>
        <w:t xml:space="preserve"> </w:t>
      </w:r>
      <w:r>
        <w:t>decisions</w:t>
      </w:r>
      <w:r>
        <w:rPr>
          <w:spacing w:val="-6"/>
        </w:rPr>
        <w:t xml:space="preserve"> </w:t>
      </w:r>
      <w:r>
        <w:t>that</w:t>
      </w:r>
      <w:r>
        <w:rPr>
          <w:spacing w:val="-4"/>
        </w:rPr>
        <w:t xml:space="preserve"> </w:t>
      </w:r>
      <w:r>
        <w:t>the</w:t>
      </w:r>
      <w:r>
        <w:rPr>
          <w:spacing w:val="-5"/>
        </w:rPr>
        <w:t xml:space="preserve"> </w:t>
      </w:r>
      <w:r>
        <w:t>MTR</w:t>
      </w:r>
      <w:r>
        <w:rPr>
          <w:spacing w:val="-3"/>
        </w:rPr>
        <w:t xml:space="preserve"> </w:t>
      </w:r>
      <w:r>
        <w:t>will</w:t>
      </w:r>
      <w:r>
        <w:rPr>
          <w:spacing w:val="-8"/>
        </w:rPr>
        <w:t xml:space="preserve"> </w:t>
      </w:r>
      <w:r>
        <w:t>help</w:t>
      </w:r>
      <w:r>
        <w:rPr>
          <w:spacing w:val="-6"/>
        </w:rPr>
        <w:t xml:space="preserve"> </w:t>
      </w:r>
      <w:r>
        <w:t>inform</w:t>
      </w:r>
      <w:r>
        <w:rPr>
          <w:spacing w:val="-5"/>
        </w:rPr>
        <w:t xml:space="preserve"> </w:t>
      </w:r>
      <w:r>
        <w:rPr>
          <w:spacing w:val="-2"/>
        </w:rPr>
        <w:t>include:</w:t>
      </w:r>
    </w:p>
    <w:p w14:paraId="5DEEF67D" w14:textId="77777777" w:rsidR="009C36E3" w:rsidRDefault="000E7207">
      <w:pPr>
        <w:pStyle w:val="ListParagraph"/>
        <w:numPr>
          <w:ilvl w:val="1"/>
          <w:numId w:val="31"/>
        </w:numPr>
        <w:tabs>
          <w:tab w:val="left" w:pos="1481"/>
          <w:tab w:val="left" w:pos="1484"/>
        </w:tabs>
        <w:spacing w:before="118"/>
        <w:ind w:right="553"/>
        <w:rPr>
          <w:sz w:val="20"/>
        </w:rPr>
      </w:pPr>
      <w:r>
        <w:rPr>
          <w:sz w:val="20"/>
        </w:rPr>
        <w:t>Any</w:t>
      </w:r>
      <w:r>
        <w:rPr>
          <w:spacing w:val="-2"/>
          <w:sz w:val="20"/>
        </w:rPr>
        <w:t xml:space="preserve"> </w:t>
      </w:r>
      <w:r>
        <w:rPr>
          <w:sz w:val="20"/>
        </w:rPr>
        <w:t>adjustments</w:t>
      </w:r>
      <w:r>
        <w:rPr>
          <w:spacing w:val="-3"/>
          <w:sz w:val="20"/>
        </w:rPr>
        <w:t xml:space="preserve"> </w:t>
      </w:r>
      <w:r>
        <w:rPr>
          <w:sz w:val="20"/>
        </w:rPr>
        <w:t>to</w:t>
      </w:r>
      <w:r>
        <w:rPr>
          <w:spacing w:val="-3"/>
          <w:sz w:val="20"/>
        </w:rPr>
        <w:t xml:space="preserve"> </w:t>
      </w:r>
      <w:r>
        <w:rPr>
          <w:sz w:val="20"/>
        </w:rPr>
        <w:t>program</w:t>
      </w:r>
      <w:r>
        <w:rPr>
          <w:spacing w:val="-3"/>
          <w:sz w:val="20"/>
        </w:rPr>
        <w:t xml:space="preserve"> </w:t>
      </w:r>
      <w:r>
        <w:rPr>
          <w:sz w:val="20"/>
        </w:rPr>
        <w:t>delivery</w:t>
      </w:r>
      <w:r>
        <w:rPr>
          <w:spacing w:val="-2"/>
          <w:sz w:val="20"/>
        </w:rPr>
        <w:t xml:space="preserve"> </w:t>
      </w:r>
      <w:r>
        <w:rPr>
          <w:sz w:val="20"/>
        </w:rPr>
        <w:t>to</w:t>
      </w:r>
      <w:r>
        <w:rPr>
          <w:spacing w:val="-2"/>
          <w:sz w:val="20"/>
        </w:rPr>
        <w:t xml:space="preserve"> </w:t>
      </w:r>
      <w:r>
        <w:rPr>
          <w:sz w:val="20"/>
        </w:rPr>
        <w:t>maximise</w:t>
      </w:r>
      <w:r>
        <w:rPr>
          <w:spacing w:val="-2"/>
          <w:sz w:val="20"/>
        </w:rPr>
        <w:t xml:space="preserve"> </w:t>
      </w:r>
      <w:r>
        <w:rPr>
          <w:sz w:val="20"/>
        </w:rPr>
        <w:t>effectiveness</w:t>
      </w:r>
      <w:r>
        <w:rPr>
          <w:spacing w:val="-2"/>
          <w:sz w:val="20"/>
        </w:rPr>
        <w:t xml:space="preserve"> </w:t>
      </w:r>
      <w:r>
        <w:rPr>
          <w:sz w:val="20"/>
        </w:rPr>
        <w:t>and</w:t>
      </w:r>
      <w:r>
        <w:rPr>
          <w:spacing w:val="-3"/>
          <w:sz w:val="20"/>
        </w:rPr>
        <w:t xml:space="preserve"> </w:t>
      </w:r>
      <w:r>
        <w:rPr>
          <w:sz w:val="20"/>
        </w:rPr>
        <w:t>efficiency</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final</w:t>
      </w:r>
      <w:r>
        <w:rPr>
          <w:spacing w:val="-4"/>
          <w:sz w:val="20"/>
        </w:rPr>
        <w:t xml:space="preserve"> </w:t>
      </w:r>
      <w:r>
        <w:rPr>
          <w:sz w:val="20"/>
        </w:rPr>
        <w:t>12</w:t>
      </w:r>
      <w:r>
        <w:rPr>
          <w:spacing w:val="-3"/>
          <w:sz w:val="20"/>
        </w:rPr>
        <w:t xml:space="preserve"> </w:t>
      </w:r>
      <w:r>
        <w:rPr>
          <w:sz w:val="20"/>
        </w:rPr>
        <w:t>months of implementation; and,</w:t>
      </w:r>
    </w:p>
    <w:p w14:paraId="3373096E" w14:textId="77777777" w:rsidR="009C36E3" w:rsidRDefault="000E7207">
      <w:pPr>
        <w:pStyle w:val="ListParagraph"/>
        <w:numPr>
          <w:ilvl w:val="1"/>
          <w:numId w:val="31"/>
        </w:numPr>
        <w:tabs>
          <w:tab w:val="left" w:pos="1482"/>
        </w:tabs>
        <w:spacing w:before="121"/>
        <w:ind w:left="1482" w:hanging="353"/>
        <w:rPr>
          <w:sz w:val="20"/>
        </w:rPr>
      </w:pPr>
      <w:r>
        <w:rPr>
          <w:sz w:val="20"/>
        </w:rPr>
        <w:t>Design</w:t>
      </w:r>
      <w:r>
        <w:rPr>
          <w:spacing w:val="-4"/>
          <w:sz w:val="20"/>
        </w:rPr>
        <w:t xml:space="preserve"> </w:t>
      </w:r>
      <w:r>
        <w:rPr>
          <w:sz w:val="20"/>
        </w:rPr>
        <w:t>of</w:t>
      </w:r>
      <w:r>
        <w:rPr>
          <w:spacing w:val="-6"/>
          <w:sz w:val="20"/>
        </w:rPr>
        <w:t xml:space="preserve"> </w:t>
      </w:r>
      <w:r>
        <w:rPr>
          <w:sz w:val="20"/>
        </w:rPr>
        <w:t>the</w:t>
      </w:r>
      <w:r>
        <w:rPr>
          <w:spacing w:val="-4"/>
          <w:sz w:val="20"/>
        </w:rPr>
        <w:t xml:space="preserve"> </w:t>
      </w:r>
      <w:r>
        <w:rPr>
          <w:sz w:val="20"/>
        </w:rPr>
        <w:t>next</w:t>
      </w:r>
      <w:r>
        <w:rPr>
          <w:spacing w:val="-6"/>
          <w:sz w:val="20"/>
        </w:rPr>
        <w:t xml:space="preserve"> </w:t>
      </w:r>
      <w:r>
        <w:rPr>
          <w:sz w:val="20"/>
        </w:rPr>
        <w:t>phase</w:t>
      </w:r>
      <w:r>
        <w:rPr>
          <w:spacing w:val="-6"/>
          <w:sz w:val="20"/>
        </w:rPr>
        <w:t xml:space="preserve"> </w:t>
      </w:r>
      <w:r>
        <w:rPr>
          <w:sz w:val="20"/>
        </w:rPr>
        <w:t>of</w:t>
      </w:r>
      <w:r>
        <w:rPr>
          <w:spacing w:val="-4"/>
          <w:sz w:val="20"/>
        </w:rPr>
        <w:t xml:space="preserve"> </w:t>
      </w:r>
      <w:r>
        <w:rPr>
          <w:sz w:val="20"/>
        </w:rPr>
        <w:t>support</w:t>
      </w:r>
      <w:r>
        <w:rPr>
          <w:spacing w:val="-6"/>
          <w:sz w:val="20"/>
        </w:rPr>
        <w:t xml:space="preserve"> </w:t>
      </w:r>
      <w:r>
        <w:rPr>
          <w:sz w:val="20"/>
        </w:rPr>
        <w:t>to</w:t>
      </w:r>
      <w:r>
        <w:rPr>
          <w:spacing w:val="-4"/>
          <w:sz w:val="20"/>
        </w:rPr>
        <w:t xml:space="preserve"> </w:t>
      </w:r>
      <w:r>
        <w:rPr>
          <w:sz w:val="20"/>
        </w:rPr>
        <w:t>Vanuatu’s</w:t>
      </w:r>
      <w:r>
        <w:rPr>
          <w:spacing w:val="-5"/>
          <w:sz w:val="20"/>
        </w:rPr>
        <w:t xml:space="preserve"> </w:t>
      </w:r>
      <w:r>
        <w:rPr>
          <w:sz w:val="20"/>
        </w:rPr>
        <w:t>policing</w:t>
      </w:r>
      <w:r>
        <w:rPr>
          <w:spacing w:val="-5"/>
          <w:sz w:val="20"/>
        </w:rPr>
        <w:t xml:space="preserve"> </w:t>
      </w:r>
      <w:r>
        <w:rPr>
          <w:sz w:val="20"/>
        </w:rPr>
        <w:t>and</w:t>
      </w:r>
      <w:r>
        <w:rPr>
          <w:spacing w:val="-6"/>
          <w:sz w:val="20"/>
        </w:rPr>
        <w:t xml:space="preserve"> </w:t>
      </w:r>
      <w:r>
        <w:rPr>
          <w:sz w:val="20"/>
        </w:rPr>
        <w:t>justice</w:t>
      </w:r>
      <w:r>
        <w:rPr>
          <w:spacing w:val="-6"/>
          <w:sz w:val="20"/>
        </w:rPr>
        <w:t xml:space="preserve"> </w:t>
      </w:r>
      <w:r>
        <w:rPr>
          <w:spacing w:val="-2"/>
          <w:sz w:val="20"/>
        </w:rPr>
        <w:t>sector.</w:t>
      </w:r>
    </w:p>
    <w:p w14:paraId="5F3D89A4" w14:textId="77777777" w:rsidR="009C36E3" w:rsidRDefault="000E7207">
      <w:pPr>
        <w:pStyle w:val="BodyText"/>
        <w:spacing w:before="121"/>
        <w:ind w:hanging="1"/>
      </w:pPr>
      <w:r>
        <w:t>The primary intended audience for the MTR is senior decision makers in the GoA, namely DFAT and AFP. Ni- Vanuatu</w:t>
      </w:r>
      <w:r>
        <w:rPr>
          <w:spacing w:val="-2"/>
        </w:rPr>
        <w:t xml:space="preserve"> </w:t>
      </w:r>
      <w:r>
        <w:t>counterparts in</w:t>
      </w:r>
      <w:r>
        <w:rPr>
          <w:spacing w:val="-4"/>
        </w:rPr>
        <w:t xml:space="preserve"> </w:t>
      </w:r>
      <w:r>
        <w:t>government</w:t>
      </w:r>
      <w:r>
        <w:rPr>
          <w:spacing w:val="-2"/>
        </w:rPr>
        <w:t xml:space="preserve"> </w:t>
      </w:r>
      <w:r>
        <w:t>are</w:t>
      </w:r>
      <w:r>
        <w:rPr>
          <w:spacing w:val="-2"/>
        </w:rPr>
        <w:t xml:space="preserve"> </w:t>
      </w:r>
      <w:r>
        <w:t>also</w:t>
      </w:r>
      <w:r>
        <w:rPr>
          <w:spacing w:val="-2"/>
        </w:rPr>
        <w:t xml:space="preserve"> </w:t>
      </w:r>
      <w:r>
        <w:t>an</w:t>
      </w:r>
      <w:r>
        <w:rPr>
          <w:spacing w:val="-2"/>
        </w:rPr>
        <w:t xml:space="preserve"> </w:t>
      </w:r>
      <w:r>
        <w:t>important</w:t>
      </w:r>
      <w:r>
        <w:rPr>
          <w:spacing w:val="-2"/>
        </w:rPr>
        <w:t xml:space="preserve"> </w:t>
      </w:r>
      <w:r>
        <w:t>audience,</w:t>
      </w:r>
      <w:r>
        <w:rPr>
          <w:spacing w:val="-4"/>
        </w:rPr>
        <w:t xml:space="preserve"> </w:t>
      </w:r>
      <w:r>
        <w:t>as</w:t>
      </w:r>
      <w:r>
        <w:rPr>
          <w:spacing w:val="-3"/>
        </w:rPr>
        <w:t xml:space="preserve"> </w:t>
      </w:r>
      <w:r>
        <w:t>are</w:t>
      </w:r>
      <w:r>
        <w:rPr>
          <w:spacing w:val="-2"/>
        </w:rPr>
        <w:t xml:space="preserve"> </w:t>
      </w:r>
      <w:r>
        <w:t>relevant</w:t>
      </w:r>
      <w:r>
        <w:rPr>
          <w:spacing w:val="-2"/>
        </w:rPr>
        <w:t xml:space="preserve"> </w:t>
      </w:r>
      <w:r>
        <w:t>institutions</w:t>
      </w:r>
      <w:r>
        <w:rPr>
          <w:spacing w:val="-3"/>
        </w:rPr>
        <w:t xml:space="preserve"> </w:t>
      </w:r>
      <w:r>
        <w:t>and</w:t>
      </w:r>
      <w:r>
        <w:rPr>
          <w:spacing w:val="-4"/>
        </w:rPr>
        <w:t xml:space="preserve"> </w:t>
      </w:r>
      <w:r>
        <w:t>the</w:t>
      </w:r>
      <w:r>
        <w:rPr>
          <w:spacing w:val="-4"/>
        </w:rPr>
        <w:t xml:space="preserve"> </w:t>
      </w:r>
      <w:r>
        <w:t>public.</w:t>
      </w:r>
    </w:p>
    <w:p w14:paraId="7372B7DE" w14:textId="77777777" w:rsidR="009C36E3" w:rsidRDefault="000E7207" w:rsidP="00E84525">
      <w:pPr>
        <w:pStyle w:val="Heading2"/>
        <w:numPr>
          <w:ilvl w:val="1"/>
          <w:numId w:val="33"/>
        </w:numPr>
      </w:pPr>
      <w:bookmarkStart w:id="12" w:name="1.3_Key_Review_Questions_(KRQ)"/>
      <w:bookmarkStart w:id="13" w:name="_bookmark9"/>
      <w:bookmarkEnd w:id="12"/>
      <w:bookmarkEnd w:id="13"/>
      <w:r>
        <w:t>Key</w:t>
      </w:r>
      <w:r>
        <w:rPr>
          <w:spacing w:val="-8"/>
        </w:rPr>
        <w:t xml:space="preserve"> </w:t>
      </w:r>
      <w:r>
        <w:t>Review</w:t>
      </w:r>
      <w:r>
        <w:rPr>
          <w:spacing w:val="-4"/>
        </w:rPr>
        <w:t xml:space="preserve"> </w:t>
      </w:r>
      <w:r>
        <w:t>Questions</w:t>
      </w:r>
      <w:r>
        <w:rPr>
          <w:spacing w:val="-5"/>
        </w:rPr>
        <w:t xml:space="preserve"> </w:t>
      </w:r>
      <w:r>
        <w:rPr>
          <w:spacing w:val="-4"/>
        </w:rPr>
        <w:t>(KRQ)</w:t>
      </w:r>
    </w:p>
    <w:p w14:paraId="4ADADCA7" w14:textId="1A91BA31" w:rsidR="002269D7" w:rsidRDefault="000E7207" w:rsidP="0021490D">
      <w:pPr>
        <w:pStyle w:val="BodyText"/>
        <w:spacing w:before="120"/>
        <w:ind w:right="119"/>
      </w:pPr>
      <w:r>
        <w:t>The MTR developed a credible evidence base to respond to KRQs as agreed with DFAT. The below table reflects the original KRQs mapped against OECD evaluation criteria, sub-questions, and review focus areas. An evidence matrix</w:t>
      </w:r>
      <w:r>
        <w:rPr>
          <w:spacing w:val="-2"/>
        </w:rPr>
        <w:t xml:space="preserve"> </w:t>
      </w:r>
      <w:r>
        <w:t>has</w:t>
      </w:r>
      <w:r>
        <w:rPr>
          <w:spacing w:val="-2"/>
        </w:rPr>
        <w:t xml:space="preserve"> </w:t>
      </w:r>
      <w:r>
        <w:t>been</w:t>
      </w:r>
      <w:r>
        <w:rPr>
          <w:spacing w:val="-3"/>
        </w:rPr>
        <w:t xml:space="preserve"> </w:t>
      </w:r>
      <w:r>
        <w:t>developed</w:t>
      </w:r>
      <w:r>
        <w:rPr>
          <w:spacing w:val="-1"/>
        </w:rPr>
        <w:t xml:space="preserve"> </w:t>
      </w:r>
      <w:r>
        <w:t>to</w:t>
      </w:r>
      <w:r>
        <w:rPr>
          <w:spacing w:val="-3"/>
        </w:rPr>
        <w:t xml:space="preserve"> </w:t>
      </w:r>
      <w:r>
        <w:t>identify</w:t>
      </w:r>
      <w:r>
        <w:rPr>
          <w:spacing w:val="-2"/>
        </w:rPr>
        <w:t xml:space="preserve"> </w:t>
      </w:r>
      <w:r>
        <w:t>the</w:t>
      </w:r>
      <w:r>
        <w:rPr>
          <w:spacing w:val="-3"/>
        </w:rPr>
        <w:t xml:space="preserve"> </w:t>
      </w:r>
      <w:r>
        <w:t>sources</w:t>
      </w:r>
      <w:r>
        <w:rPr>
          <w:spacing w:val="-2"/>
        </w:rPr>
        <w:t xml:space="preserve"> </w:t>
      </w:r>
      <w:r>
        <w:t>and</w:t>
      </w:r>
      <w:r>
        <w:rPr>
          <w:spacing w:val="-1"/>
        </w:rPr>
        <w:t xml:space="preserve"> </w:t>
      </w:r>
      <w:r>
        <w:t>data</w:t>
      </w:r>
      <w:r>
        <w:rPr>
          <w:spacing w:val="-3"/>
        </w:rPr>
        <w:t xml:space="preserve"> </w:t>
      </w:r>
      <w:r>
        <w:t>required</w:t>
      </w:r>
      <w:r>
        <w:rPr>
          <w:spacing w:val="-3"/>
        </w:rPr>
        <w:t xml:space="preserve"> </w:t>
      </w:r>
      <w:r>
        <w:t>to</w:t>
      </w:r>
      <w:r>
        <w:rPr>
          <w:spacing w:val="-3"/>
        </w:rPr>
        <w:t xml:space="preserve"> </w:t>
      </w:r>
      <w:r>
        <w:t>provide</w:t>
      </w:r>
      <w:r>
        <w:rPr>
          <w:spacing w:val="-1"/>
        </w:rPr>
        <w:t xml:space="preserve"> </w:t>
      </w:r>
      <w:r>
        <w:t>data-based</w:t>
      </w:r>
      <w:r>
        <w:rPr>
          <w:spacing w:val="-3"/>
        </w:rPr>
        <w:t xml:space="preserve"> </w:t>
      </w:r>
      <w:r>
        <w:t>responses</w:t>
      </w:r>
      <w:r>
        <w:rPr>
          <w:spacing w:val="-2"/>
        </w:rPr>
        <w:t xml:space="preserve"> </w:t>
      </w:r>
      <w:r>
        <w:t>to</w:t>
      </w:r>
      <w:r>
        <w:rPr>
          <w:spacing w:val="-1"/>
        </w:rPr>
        <w:t xml:space="preserve"> </w:t>
      </w:r>
      <w:r>
        <w:t>the</w:t>
      </w:r>
      <w:r>
        <w:rPr>
          <w:spacing w:val="-3"/>
        </w:rPr>
        <w:t xml:space="preserve"> </w:t>
      </w:r>
      <w:r>
        <w:t>KRQs. See Annex 3.</w:t>
      </w:r>
      <w:bookmarkStart w:id="14" w:name="_bookmark10"/>
      <w:bookmarkEnd w:id="14"/>
    </w:p>
    <w:p w14:paraId="5AAF58DD" w14:textId="77777777" w:rsidR="000F3318" w:rsidRDefault="000F3318">
      <w:pPr>
        <w:rPr>
          <w:i/>
          <w:sz w:val="16"/>
          <w:szCs w:val="20"/>
        </w:rPr>
      </w:pPr>
      <w:r>
        <w:rPr>
          <w:i/>
          <w:sz w:val="16"/>
        </w:rPr>
        <w:br w:type="page"/>
      </w:r>
    </w:p>
    <w:p w14:paraId="05912BC7" w14:textId="30CD6CA3" w:rsidR="0021490D" w:rsidRDefault="0021490D" w:rsidP="005F2E57">
      <w:pPr>
        <w:pStyle w:val="BodyText"/>
        <w:spacing w:before="255" w:after="240"/>
        <w:ind w:right="119"/>
      </w:pPr>
      <w:r>
        <w:rPr>
          <w:i/>
          <w:sz w:val="16"/>
        </w:rPr>
        <w:t>Table</w:t>
      </w:r>
      <w:r>
        <w:rPr>
          <w:i/>
          <w:spacing w:val="-4"/>
          <w:sz w:val="16"/>
        </w:rPr>
        <w:t xml:space="preserve"> </w:t>
      </w:r>
      <w:r>
        <w:rPr>
          <w:i/>
          <w:sz w:val="16"/>
        </w:rPr>
        <w:t>1:</w:t>
      </w:r>
      <w:r>
        <w:rPr>
          <w:i/>
          <w:spacing w:val="-5"/>
          <w:sz w:val="16"/>
        </w:rPr>
        <w:t xml:space="preserve"> </w:t>
      </w:r>
      <w:r>
        <w:rPr>
          <w:i/>
          <w:sz w:val="16"/>
        </w:rPr>
        <w:t>Key</w:t>
      </w:r>
      <w:r>
        <w:rPr>
          <w:i/>
          <w:spacing w:val="-2"/>
          <w:sz w:val="16"/>
        </w:rPr>
        <w:t xml:space="preserve"> </w:t>
      </w:r>
      <w:r>
        <w:rPr>
          <w:i/>
          <w:sz w:val="16"/>
        </w:rPr>
        <w:t>Review</w:t>
      </w:r>
      <w:r>
        <w:rPr>
          <w:i/>
          <w:spacing w:val="-1"/>
          <w:sz w:val="16"/>
        </w:rPr>
        <w:t xml:space="preserve"> </w:t>
      </w:r>
      <w:r>
        <w:rPr>
          <w:i/>
          <w:spacing w:val="-2"/>
          <w:sz w:val="16"/>
        </w:rPr>
        <w:t>Questions</w:t>
      </w:r>
    </w:p>
    <w:tbl>
      <w:tblPr>
        <w:tblW w:w="0" w:type="auto"/>
        <w:tblInd w:w="779" w:type="dxa"/>
        <w:tblLayout w:type="fixed"/>
        <w:tblCellMar>
          <w:left w:w="0" w:type="dxa"/>
          <w:right w:w="0" w:type="dxa"/>
        </w:tblCellMar>
        <w:tblLook w:val="01E0" w:firstRow="1" w:lastRow="1" w:firstColumn="1" w:lastColumn="1" w:noHBand="0" w:noVBand="0"/>
      </w:tblPr>
      <w:tblGrid>
        <w:gridCol w:w="2292"/>
        <w:gridCol w:w="2328"/>
        <w:gridCol w:w="5584"/>
      </w:tblGrid>
      <w:tr w:rsidR="00E104C2" w14:paraId="08B872F4" w14:textId="77777777" w:rsidTr="00AB4F23">
        <w:trPr>
          <w:trHeight w:val="410"/>
        </w:trPr>
        <w:tc>
          <w:tcPr>
            <w:tcW w:w="2292" w:type="dxa"/>
            <w:shd w:val="clear" w:color="auto" w:fill="0064BB"/>
          </w:tcPr>
          <w:p w14:paraId="434795DB" w14:textId="77777777" w:rsidR="00E104C2" w:rsidRDefault="00E104C2" w:rsidP="00AB4F23">
            <w:pPr>
              <w:pStyle w:val="TableParagraph"/>
              <w:spacing w:before="91"/>
              <w:rPr>
                <w:b/>
                <w:sz w:val="20"/>
              </w:rPr>
            </w:pPr>
            <w:r>
              <w:rPr>
                <w:b/>
                <w:color w:val="FFFFFF"/>
                <w:sz w:val="20"/>
              </w:rPr>
              <w:t>Key</w:t>
            </w:r>
            <w:r>
              <w:rPr>
                <w:b/>
                <w:color w:val="FFFFFF"/>
                <w:spacing w:val="-8"/>
                <w:sz w:val="20"/>
              </w:rPr>
              <w:t xml:space="preserve"> </w:t>
            </w:r>
            <w:r>
              <w:rPr>
                <w:b/>
                <w:color w:val="FFFFFF"/>
                <w:sz w:val="20"/>
              </w:rPr>
              <w:t>Review</w:t>
            </w:r>
            <w:r>
              <w:rPr>
                <w:b/>
                <w:color w:val="FFFFFF"/>
                <w:spacing w:val="-7"/>
                <w:sz w:val="20"/>
              </w:rPr>
              <w:t xml:space="preserve"> </w:t>
            </w:r>
            <w:r>
              <w:rPr>
                <w:b/>
                <w:color w:val="FFFFFF"/>
                <w:spacing w:val="-2"/>
                <w:sz w:val="20"/>
              </w:rPr>
              <w:t>Question</w:t>
            </w:r>
          </w:p>
        </w:tc>
        <w:tc>
          <w:tcPr>
            <w:tcW w:w="2328" w:type="dxa"/>
            <w:shd w:val="clear" w:color="auto" w:fill="0064BB"/>
          </w:tcPr>
          <w:p w14:paraId="2C4CB938" w14:textId="77777777" w:rsidR="00E104C2" w:rsidRDefault="00E104C2" w:rsidP="00AB4F23">
            <w:pPr>
              <w:pStyle w:val="TableParagraph"/>
              <w:spacing w:before="91"/>
              <w:ind w:left="108"/>
              <w:rPr>
                <w:b/>
                <w:sz w:val="20"/>
              </w:rPr>
            </w:pPr>
            <w:r>
              <w:rPr>
                <w:b/>
                <w:color w:val="FFFFFF"/>
                <w:spacing w:val="-2"/>
                <w:sz w:val="20"/>
              </w:rPr>
              <w:t>Sub-questions</w:t>
            </w:r>
          </w:p>
        </w:tc>
        <w:tc>
          <w:tcPr>
            <w:tcW w:w="5584" w:type="dxa"/>
            <w:shd w:val="clear" w:color="auto" w:fill="0064BB"/>
          </w:tcPr>
          <w:p w14:paraId="166A57D6" w14:textId="77777777" w:rsidR="00E104C2" w:rsidRDefault="00E104C2" w:rsidP="00AB4F23">
            <w:pPr>
              <w:pStyle w:val="TableParagraph"/>
              <w:spacing w:before="91"/>
              <w:ind w:left="379"/>
              <w:rPr>
                <w:b/>
                <w:sz w:val="20"/>
              </w:rPr>
            </w:pPr>
            <w:r>
              <w:rPr>
                <w:b/>
                <w:color w:val="FFFFFF"/>
                <w:sz w:val="20"/>
              </w:rPr>
              <w:t>Review</w:t>
            </w:r>
            <w:r>
              <w:rPr>
                <w:b/>
                <w:color w:val="FFFFFF"/>
                <w:spacing w:val="-8"/>
                <w:sz w:val="20"/>
              </w:rPr>
              <w:t xml:space="preserve"> </w:t>
            </w:r>
            <w:r>
              <w:rPr>
                <w:b/>
                <w:color w:val="FFFFFF"/>
                <w:sz w:val="20"/>
              </w:rPr>
              <w:t>focus</w:t>
            </w:r>
            <w:r>
              <w:rPr>
                <w:b/>
                <w:color w:val="FFFFFF"/>
                <w:spacing w:val="-8"/>
                <w:sz w:val="20"/>
              </w:rPr>
              <w:t xml:space="preserve"> </w:t>
            </w:r>
            <w:r>
              <w:rPr>
                <w:b/>
                <w:color w:val="FFFFFF"/>
                <w:spacing w:val="-4"/>
                <w:sz w:val="20"/>
              </w:rPr>
              <w:t>areas</w:t>
            </w:r>
          </w:p>
        </w:tc>
      </w:tr>
      <w:tr w:rsidR="00E104C2" w14:paraId="24386C87" w14:textId="77777777" w:rsidTr="00AB4F23">
        <w:trPr>
          <w:trHeight w:val="1619"/>
        </w:trPr>
        <w:tc>
          <w:tcPr>
            <w:tcW w:w="2292" w:type="dxa"/>
            <w:tcBorders>
              <w:top w:val="single" w:sz="4" w:space="0" w:color="0064BB"/>
              <w:bottom w:val="single" w:sz="4" w:space="0" w:color="0064BB"/>
            </w:tcBorders>
            <w:shd w:val="clear" w:color="auto" w:fill="F1F1F1"/>
          </w:tcPr>
          <w:p w14:paraId="271EB5B0" w14:textId="77777777" w:rsidR="00E104C2" w:rsidRDefault="00E104C2" w:rsidP="00AB4F23">
            <w:pPr>
              <w:pStyle w:val="TableParagraph"/>
              <w:spacing w:before="88" w:after="240" w:line="271" w:lineRule="auto"/>
              <w:ind w:left="392" w:right="79" w:hanging="284"/>
              <w:rPr>
                <w:b/>
                <w:sz w:val="20"/>
              </w:rPr>
            </w:pPr>
            <w:r>
              <w:rPr>
                <w:b/>
                <w:spacing w:val="-2"/>
                <w:sz w:val="20"/>
              </w:rPr>
              <w:t>Effectiveness</w:t>
            </w:r>
          </w:p>
          <w:p w14:paraId="602CD982" w14:textId="6F4E35B2" w:rsidR="00E104C2" w:rsidRDefault="00E104C2" w:rsidP="00712A6F">
            <w:pPr>
              <w:pStyle w:val="TableParagraph"/>
              <w:spacing w:before="88" w:line="271" w:lineRule="auto"/>
              <w:ind w:left="392" w:right="79" w:hanging="284"/>
              <w:rPr>
                <w:b/>
                <w:sz w:val="20"/>
              </w:rPr>
            </w:pPr>
            <w:r>
              <w:rPr>
                <w:b/>
                <w:sz w:val="20"/>
              </w:rPr>
              <w:t>1. Is VAPJP on track to</w:t>
            </w:r>
            <w:r>
              <w:rPr>
                <w:b/>
                <w:spacing w:val="-13"/>
                <w:sz w:val="20"/>
              </w:rPr>
              <w:t xml:space="preserve"> </w:t>
            </w:r>
            <w:r>
              <w:rPr>
                <w:b/>
                <w:sz w:val="20"/>
              </w:rPr>
              <w:t>achieve</w:t>
            </w:r>
            <w:r>
              <w:rPr>
                <w:b/>
                <w:spacing w:val="-14"/>
                <w:sz w:val="20"/>
              </w:rPr>
              <w:t xml:space="preserve"> </w:t>
            </w:r>
            <w:r>
              <w:rPr>
                <w:b/>
                <w:sz w:val="20"/>
              </w:rPr>
              <w:t>end</w:t>
            </w:r>
            <w:r>
              <w:rPr>
                <w:b/>
                <w:spacing w:val="-13"/>
                <w:sz w:val="20"/>
              </w:rPr>
              <w:t xml:space="preserve"> </w:t>
            </w:r>
            <w:r>
              <w:rPr>
                <w:b/>
                <w:sz w:val="20"/>
              </w:rPr>
              <w:t xml:space="preserve">of- </w:t>
            </w:r>
            <w:r>
              <w:rPr>
                <w:b/>
                <w:spacing w:val="-2"/>
                <w:sz w:val="20"/>
              </w:rPr>
              <w:t>program outcomes?</w:t>
            </w:r>
          </w:p>
        </w:tc>
        <w:tc>
          <w:tcPr>
            <w:tcW w:w="2328" w:type="dxa"/>
            <w:tcBorders>
              <w:top w:val="single" w:sz="4" w:space="0" w:color="0064BB"/>
              <w:bottom w:val="single" w:sz="4" w:space="0" w:color="0064BB"/>
            </w:tcBorders>
          </w:tcPr>
          <w:p w14:paraId="33A12F63" w14:textId="77777777" w:rsidR="00E104C2" w:rsidRDefault="00E104C2" w:rsidP="00B801E1">
            <w:pPr>
              <w:pStyle w:val="TableParagraph"/>
              <w:spacing w:before="120" w:after="3240"/>
              <w:ind w:left="108" w:right="374"/>
              <w:rPr>
                <w:sz w:val="20"/>
              </w:rPr>
            </w:pPr>
            <w:r>
              <w:rPr>
                <w:sz w:val="20"/>
              </w:rPr>
              <w:t>1.1</w:t>
            </w:r>
            <w:r>
              <w:rPr>
                <w:spacing w:val="-12"/>
                <w:sz w:val="20"/>
              </w:rPr>
              <w:t xml:space="preserve"> </w:t>
            </w:r>
            <w:r>
              <w:rPr>
                <w:sz w:val="20"/>
              </w:rPr>
              <w:t>To</w:t>
            </w:r>
            <w:r>
              <w:rPr>
                <w:spacing w:val="-10"/>
                <w:sz w:val="20"/>
              </w:rPr>
              <w:t xml:space="preserve"> </w:t>
            </w:r>
            <w:r>
              <w:rPr>
                <w:sz w:val="20"/>
              </w:rPr>
              <w:t>what</w:t>
            </w:r>
            <w:r>
              <w:rPr>
                <w:spacing w:val="-10"/>
                <w:sz w:val="20"/>
              </w:rPr>
              <w:t xml:space="preserve"> </w:t>
            </w:r>
            <w:r>
              <w:rPr>
                <w:sz w:val="20"/>
              </w:rPr>
              <w:t>extent</w:t>
            </w:r>
            <w:r>
              <w:rPr>
                <w:spacing w:val="-12"/>
                <w:sz w:val="20"/>
              </w:rPr>
              <w:t xml:space="preserve"> </w:t>
            </w:r>
            <w:r>
              <w:rPr>
                <w:sz w:val="20"/>
              </w:rPr>
              <w:t>is VAPJP achieving its EOPOs and IOs?</w:t>
            </w:r>
          </w:p>
          <w:p w14:paraId="49A3B6AA" w14:textId="77777777" w:rsidR="00E104C2" w:rsidRDefault="00E104C2" w:rsidP="005457A1">
            <w:pPr>
              <w:pStyle w:val="TableParagraph"/>
              <w:spacing w:before="720"/>
              <w:ind w:left="108" w:right="374"/>
              <w:rPr>
                <w:spacing w:val="-2"/>
                <w:sz w:val="20"/>
              </w:rPr>
            </w:pPr>
            <w:r>
              <w:rPr>
                <w:sz w:val="20"/>
              </w:rPr>
              <w:t>1.2 To what extent is VAPJP</w:t>
            </w:r>
            <w:r>
              <w:rPr>
                <w:spacing w:val="-14"/>
                <w:sz w:val="20"/>
              </w:rPr>
              <w:t xml:space="preserve"> </w:t>
            </w:r>
            <w:r>
              <w:rPr>
                <w:sz w:val="20"/>
              </w:rPr>
              <w:t>achieving</w:t>
            </w:r>
            <w:r>
              <w:rPr>
                <w:spacing w:val="-14"/>
                <w:sz w:val="20"/>
              </w:rPr>
              <w:t xml:space="preserve"> </w:t>
            </w:r>
            <w:r>
              <w:rPr>
                <w:sz w:val="20"/>
              </w:rPr>
              <w:t xml:space="preserve">results in gender equality, disability and social </w:t>
            </w:r>
            <w:r>
              <w:rPr>
                <w:spacing w:val="-2"/>
                <w:sz w:val="20"/>
              </w:rPr>
              <w:t>inclusion?</w:t>
            </w:r>
          </w:p>
          <w:p w14:paraId="28A37F76" w14:textId="77777777" w:rsidR="00E104C2" w:rsidRDefault="00E104C2" w:rsidP="00546E87">
            <w:pPr>
              <w:pStyle w:val="TableParagraph"/>
              <w:spacing w:before="240"/>
              <w:ind w:left="108" w:right="374"/>
              <w:rPr>
                <w:sz w:val="20"/>
              </w:rPr>
            </w:pPr>
            <w:r>
              <w:rPr>
                <w:sz w:val="20"/>
              </w:rPr>
              <w:t>1.3 Is the current MERL framework</w:t>
            </w:r>
            <w:r>
              <w:rPr>
                <w:spacing w:val="-13"/>
                <w:sz w:val="20"/>
              </w:rPr>
              <w:t xml:space="preserve"> </w:t>
            </w:r>
            <w:r>
              <w:rPr>
                <w:sz w:val="20"/>
              </w:rPr>
              <w:t>fit</w:t>
            </w:r>
            <w:r>
              <w:rPr>
                <w:spacing w:val="-14"/>
                <w:sz w:val="20"/>
              </w:rPr>
              <w:t xml:space="preserve"> </w:t>
            </w:r>
            <w:r>
              <w:rPr>
                <w:sz w:val="20"/>
              </w:rPr>
              <w:t>for</w:t>
            </w:r>
            <w:r>
              <w:rPr>
                <w:spacing w:val="-13"/>
                <w:sz w:val="20"/>
              </w:rPr>
              <w:t xml:space="preserve"> </w:t>
            </w:r>
            <w:r>
              <w:rPr>
                <w:sz w:val="20"/>
              </w:rPr>
              <w:t>purpose?</w:t>
            </w:r>
          </w:p>
        </w:tc>
        <w:tc>
          <w:tcPr>
            <w:tcW w:w="5584" w:type="dxa"/>
            <w:tcBorders>
              <w:top w:val="single" w:sz="4" w:space="0" w:color="0064BB"/>
              <w:bottom w:val="single" w:sz="4" w:space="0" w:color="0064BB"/>
            </w:tcBorders>
          </w:tcPr>
          <w:p w14:paraId="235D9455" w14:textId="77777777" w:rsidR="00E104C2" w:rsidRDefault="00E104C2" w:rsidP="00B801E1">
            <w:pPr>
              <w:pStyle w:val="TableParagraph"/>
              <w:spacing w:before="0"/>
              <w:ind w:left="380" w:right="79"/>
              <w:rPr>
                <w:sz w:val="20"/>
              </w:rPr>
            </w:pPr>
            <w:r>
              <w:rPr>
                <w:sz w:val="20"/>
              </w:rPr>
              <w:t>To</w:t>
            </w:r>
            <w:r>
              <w:rPr>
                <w:spacing w:val="-5"/>
                <w:sz w:val="20"/>
              </w:rPr>
              <w:t xml:space="preserve"> </w:t>
            </w:r>
            <w:r>
              <w:rPr>
                <w:sz w:val="20"/>
              </w:rPr>
              <w:t>what</w:t>
            </w:r>
            <w:r>
              <w:rPr>
                <w:spacing w:val="-3"/>
                <w:sz w:val="20"/>
              </w:rPr>
              <w:t xml:space="preserve"> </w:t>
            </w:r>
            <w:r>
              <w:rPr>
                <w:sz w:val="20"/>
              </w:rPr>
              <w:t>extent</w:t>
            </w:r>
            <w:r>
              <w:rPr>
                <w:spacing w:val="-5"/>
                <w:sz w:val="20"/>
              </w:rPr>
              <w:t xml:space="preserve"> </w:t>
            </w:r>
            <w:r>
              <w:rPr>
                <w:sz w:val="20"/>
              </w:rPr>
              <w:t>has</w:t>
            </w:r>
            <w:r>
              <w:rPr>
                <w:spacing w:val="-4"/>
                <w:sz w:val="20"/>
              </w:rPr>
              <w:t xml:space="preserve"> </w:t>
            </w:r>
            <w:r>
              <w:rPr>
                <w:sz w:val="20"/>
              </w:rPr>
              <w:t>the</w:t>
            </w:r>
            <w:r>
              <w:rPr>
                <w:spacing w:val="-5"/>
                <w:sz w:val="20"/>
              </w:rPr>
              <w:t xml:space="preserve"> </w:t>
            </w:r>
            <w:r>
              <w:rPr>
                <w:sz w:val="20"/>
              </w:rPr>
              <w:t>justice</w:t>
            </w:r>
            <w:r>
              <w:rPr>
                <w:spacing w:val="-5"/>
                <w:sz w:val="20"/>
              </w:rPr>
              <w:t xml:space="preserve"> </w:t>
            </w:r>
            <w:r>
              <w:rPr>
                <w:sz w:val="20"/>
              </w:rPr>
              <w:t>stream</w:t>
            </w:r>
            <w:r>
              <w:rPr>
                <w:spacing w:val="-5"/>
                <w:sz w:val="20"/>
              </w:rPr>
              <w:t xml:space="preserve"> </w:t>
            </w:r>
            <w:r>
              <w:rPr>
                <w:sz w:val="20"/>
              </w:rPr>
              <w:t>of</w:t>
            </w:r>
            <w:r>
              <w:rPr>
                <w:spacing w:val="-5"/>
                <w:sz w:val="20"/>
              </w:rPr>
              <w:t xml:space="preserve"> </w:t>
            </w:r>
            <w:r>
              <w:rPr>
                <w:sz w:val="20"/>
              </w:rPr>
              <w:t>work</w:t>
            </w:r>
            <w:r>
              <w:rPr>
                <w:spacing w:val="-4"/>
                <w:sz w:val="20"/>
              </w:rPr>
              <w:t xml:space="preserve"> </w:t>
            </w:r>
            <w:r>
              <w:rPr>
                <w:sz w:val="20"/>
              </w:rPr>
              <w:t>led</w:t>
            </w:r>
            <w:r>
              <w:rPr>
                <w:spacing w:val="-5"/>
                <w:sz w:val="20"/>
              </w:rPr>
              <w:t xml:space="preserve"> </w:t>
            </w:r>
            <w:r>
              <w:rPr>
                <w:sz w:val="20"/>
              </w:rPr>
              <w:t>to individual or institutional behaviour change and contributed to the end-of-program outcomes?</w:t>
            </w:r>
          </w:p>
          <w:p w14:paraId="581038C6" w14:textId="77777777" w:rsidR="00E104C2" w:rsidRDefault="00E104C2" w:rsidP="00AB4F23">
            <w:pPr>
              <w:pStyle w:val="TableParagraph"/>
              <w:spacing w:before="80" w:after="120"/>
              <w:ind w:left="380" w:right="79"/>
              <w:rPr>
                <w:sz w:val="20"/>
              </w:rPr>
            </w:pPr>
            <w:r>
              <w:rPr>
                <w:sz w:val="20"/>
              </w:rPr>
              <w:t>To</w:t>
            </w:r>
            <w:r>
              <w:rPr>
                <w:spacing w:val="-5"/>
                <w:sz w:val="20"/>
              </w:rPr>
              <w:t xml:space="preserve"> </w:t>
            </w:r>
            <w:r>
              <w:rPr>
                <w:sz w:val="20"/>
              </w:rPr>
              <w:t>what</w:t>
            </w:r>
            <w:r>
              <w:rPr>
                <w:spacing w:val="-3"/>
                <w:sz w:val="20"/>
              </w:rPr>
              <w:t xml:space="preserve"> </w:t>
            </w:r>
            <w:r>
              <w:rPr>
                <w:sz w:val="20"/>
              </w:rPr>
              <w:t>extent</w:t>
            </w:r>
            <w:r>
              <w:rPr>
                <w:spacing w:val="-5"/>
                <w:sz w:val="20"/>
              </w:rPr>
              <w:t xml:space="preserve"> </w:t>
            </w:r>
            <w:r>
              <w:rPr>
                <w:sz w:val="20"/>
              </w:rPr>
              <w:t>has</w:t>
            </w:r>
            <w:r>
              <w:rPr>
                <w:spacing w:val="-4"/>
                <w:sz w:val="20"/>
              </w:rPr>
              <w:t xml:space="preserve"> </w:t>
            </w:r>
            <w:r>
              <w:rPr>
                <w:sz w:val="20"/>
              </w:rPr>
              <w:t>the</w:t>
            </w:r>
            <w:r>
              <w:rPr>
                <w:spacing w:val="-3"/>
                <w:sz w:val="20"/>
              </w:rPr>
              <w:t xml:space="preserve"> </w:t>
            </w:r>
            <w:r>
              <w:rPr>
                <w:sz w:val="20"/>
              </w:rPr>
              <w:t>policing</w:t>
            </w:r>
            <w:r>
              <w:rPr>
                <w:spacing w:val="-5"/>
                <w:sz w:val="20"/>
              </w:rPr>
              <w:t xml:space="preserve"> </w:t>
            </w:r>
            <w:r>
              <w:rPr>
                <w:sz w:val="20"/>
              </w:rPr>
              <w:t>stream</w:t>
            </w:r>
            <w:r>
              <w:rPr>
                <w:spacing w:val="-5"/>
                <w:sz w:val="20"/>
              </w:rPr>
              <w:t xml:space="preserve"> </w:t>
            </w:r>
            <w:r>
              <w:rPr>
                <w:sz w:val="20"/>
              </w:rPr>
              <w:t>of</w:t>
            </w:r>
            <w:r>
              <w:rPr>
                <w:spacing w:val="-3"/>
                <w:sz w:val="20"/>
              </w:rPr>
              <w:t xml:space="preserve"> </w:t>
            </w:r>
            <w:r>
              <w:rPr>
                <w:sz w:val="20"/>
              </w:rPr>
              <w:t>work</w:t>
            </w:r>
            <w:r>
              <w:rPr>
                <w:spacing w:val="-4"/>
                <w:sz w:val="20"/>
              </w:rPr>
              <w:t xml:space="preserve"> </w:t>
            </w:r>
            <w:r>
              <w:rPr>
                <w:sz w:val="20"/>
              </w:rPr>
              <w:t>led</w:t>
            </w:r>
            <w:r>
              <w:rPr>
                <w:spacing w:val="-5"/>
                <w:sz w:val="20"/>
              </w:rPr>
              <w:t xml:space="preserve"> </w:t>
            </w:r>
            <w:r>
              <w:rPr>
                <w:sz w:val="20"/>
              </w:rPr>
              <w:t>to individual or institutional behaviour change and contributed to the end-of-program outcomes?</w:t>
            </w:r>
          </w:p>
          <w:p w14:paraId="015EF11B" w14:textId="77777777" w:rsidR="00E104C2" w:rsidRDefault="00E104C2" w:rsidP="00AB4F23">
            <w:pPr>
              <w:pStyle w:val="TableParagraph"/>
              <w:spacing w:before="80" w:after="120"/>
              <w:ind w:left="380" w:right="79"/>
              <w:rPr>
                <w:sz w:val="20"/>
              </w:rPr>
            </w:pPr>
            <w:r>
              <w:rPr>
                <w:sz w:val="20"/>
              </w:rPr>
              <w:t>To what extent have the justice and policing streams contributed</w:t>
            </w:r>
            <w:r>
              <w:rPr>
                <w:spacing w:val="-6"/>
                <w:sz w:val="20"/>
              </w:rPr>
              <w:t xml:space="preserve"> </w:t>
            </w:r>
            <w:r>
              <w:rPr>
                <w:sz w:val="20"/>
              </w:rPr>
              <w:t>to</w:t>
            </w:r>
            <w:r>
              <w:rPr>
                <w:spacing w:val="-8"/>
                <w:sz w:val="20"/>
              </w:rPr>
              <w:t xml:space="preserve"> </w:t>
            </w:r>
            <w:r>
              <w:rPr>
                <w:sz w:val="20"/>
              </w:rPr>
              <w:t>combined</w:t>
            </w:r>
            <w:r>
              <w:rPr>
                <w:spacing w:val="-8"/>
                <w:sz w:val="20"/>
              </w:rPr>
              <w:t xml:space="preserve"> </w:t>
            </w:r>
            <w:r>
              <w:rPr>
                <w:sz w:val="20"/>
              </w:rPr>
              <w:t>outcomes</w:t>
            </w:r>
            <w:r>
              <w:rPr>
                <w:spacing w:val="-7"/>
                <w:sz w:val="20"/>
              </w:rPr>
              <w:t xml:space="preserve"> </w:t>
            </w:r>
            <w:r>
              <w:rPr>
                <w:sz w:val="20"/>
              </w:rPr>
              <w:t>across</w:t>
            </w:r>
            <w:r>
              <w:rPr>
                <w:spacing w:val="-7"/>
                <w:sz w:val="20"/>
              </w:rPr>
              <w:t xml:space="preserve"> </w:t>
            </w:r>
            <w:r>
              <w:rPr>
                <w:sz w:val="20"/>
              </w:rPr>
              <w:t>the</w:t>
            </w:r>
            <w:r>
              <w:rPr>
                <w:spacing w:val="-6"/>
                <w:sz w:val="20"/>
              </w:rPr>
              <w:t xml:space="preserve"> </w:t>
            </w:r>
            <w:r>
              <w:rPr>
                <w:sz w:val="20"/>
              </w:rPr>
              <w:t xml:space="preserve">‘chain-of- </w:t>
            </w:r>
            <w:r>
              <w:rPr>
                <w:spacing w:val="-2"/>
                <w:sz w:val="20"/>
              </w:rPr>
              <w:t>justice’?</w:t>
            </w:r>
          </w:p>
          <w:p w14:paraId="32543EE0" w14:textId="77777777" w:rsidR="00E104C2" w:rsidRDefault="00E104C2" w:rsidP="00AB4F23">
            <w:pPr>
              <w:pStyle w:val="TableParagraph"/>
              <w:spacing w:before="80" w:after="120"/>
              <w:ind w:left="380" w:right="79"/>
              <w:rPr>
                <w:sz w:val="20"/>
              </w:rPr>
            </w:pPr>
            <w:r>
              <w:rPr>
                <w:sz w:val="20"/>
              </w:rPr>
              <w:t>To</w:t>
            </w:r>
            <w:r>
              <w:rPr>
                <w:spacing w:val="-6"/>
                <w:sz w:val="20"/>
              </w:rPr>
              <w:t xml:space="preserve"> </w:t>
            </w:r>
            <w:r>
              <w:rPr>
                <w:sz w:val="20"/>
              </w:rPr>
              <w:t>what</w:t>
            </w:r>
            <w:r>
              <w:rPr>
                <w:spacing w:val="-5"/>
                <w:sz w:val="20"/>
              </w:rPr>
              <w:t xml:space="preserve"> </w:t>
            </w:r>
            <w:r>
              <w:rPr>
                <w:sz w:val="20"/>
              </w:rPr>
              <w:t>extent</w:t>
            </w:r>
            <w:r>
              <w:rPr>
                <w:spacing w:val="-6"/>
                <w:sz w:val="20"/>
              </w:rPr>
              <w:t xml:space="preserve"> </w:t>
            </w:r>
            <w:r>
              <w:rPr>
                <w:sz w:val="20"/>
              </w:rPr>
              <w:t>has</w:t>
            </w:r>
            <w:r>
              <w:rPr>
                <w:spacing w:val="-3"/>
                <w:sz w:val="20"/>
              </w:rPr>
              <w:t xml:space="preserve"> </w:t>
            </w:r>
            <w:r>
              <w:rPr>
                <w:sz w:val="20"/>
              </w:rPr>
              <w:t>VPF,</w:t>
            </w:r>
            <w:r>
              <w:rPr>
                <w:spacing w:val="-6"/>
                <w:sz w:val="20"/>
              </w:rPr>
              <w:t xml:space="preserve"> </w:t>
            </w:r>
            <w:r>
              <w:rPr>
                <w:sz w:val="20"/>
              </w:rPr>
              <w:t>MJCS</w:t>
            </w:r>
            <w:r>
              <w:rPr>
                <w:spacing w:val="-7"/>
                <w:sz w:val="20"/>
              </w:rPr>
              <w:t xml:space="preserve"> </w:t>
            </w:r>
            <w:r>
              <w:rPr>
                <w:sz w:val="20"/>
              </w:rPr>
              <w:t>and</w:t>
            </w:r>
            <w:r>
              <w:rPr>
                <w:spacing w:val="-6"/>
                <w:sz w:val="20"/>
              </w:rPr>
              <w:t xml:space="preserve"> </w:t>
            </w:r>
            <w:r>
              <w:rPr>
                <w:sz w:val="20"/>
              </w:rPr>
              <w:t>justice</w:t>
            </w:r>
            <w:r>
              <w:rPr>
                <w:spacing w:val="-5"/>
                <w:sz w:val="20"/>
              </w:rPr>
              <w:t xml:space="preserve"> </w:t>
            </w:r>
            <w:r>
              <w:rPr>
                <w:sz w:val="20"/>
              </w:rPr>
              <w:t>agencies institutional capacity been strengthened?</w:t>
            </w:r>
          </w:p>
          <w:p w14:paraId="64FCD557" w14:textId="77777777" w:rsidR="00E104C2" w:rsidRDefault="00E104C2" w:rsidP="00FF7903">
            <w:pPr>
              <w:pStyle w:val="TableParagraph"/>
              <w:spacing w:before="80" w:after="360"/>
              <w:ind w:left="380" w:right="79"/>
              <w:rPr>
                <w:spacing w:val="-2"/>
                <w:sz w:val="20"/>
              </w:rPr>
            </w:pPr>
            <w:r>
              <w:rPr>
                <w:sz w:val="20"/>
              </w:rPr>
              <w:t>What</w:t>
            </w:r>
            <w:r>
              <w:rPr>
                <w:spacing w:val="-1"/>
                <w:sz w:val="20"/>
              </w:rPr>
              <w:t xml:space="preserve"> </w:t>
            </w:r>
            <w:r>
              <w:rPr>
                <w:sz w:val="20"/>
              </w:rPr>
              <w:t>sort</w:t>
            </w:r>
            <w:r>
              <w:rPr>
                <w:spacing w:val="-1"/>
                <w:sz w:val="20"/>
              </w:rPr>
              <w:t xml:space="preserve"> </w:t>
            </w:r>
            <w:r>
              <w:rPr>
                <w:sz w:val="20"/>
              </w:rPr>
              <w:t>of</w:t>
            </w:r>
            <w:r>
              <w:rPr>
                <w:spacing w:val="-1"/>
                <w:sz w:val="20"/>
              </w:rPr>
              <w:t xml:space="preserve"> </w:t>
            </w:r>
            <w:r>
              <w:rPr>
                <w:sz w:val="20"/>
              </w:rPr>
              <w:t>change</w:t>
            </w:r>
            <w:r>
              <w:rPr>
                <w:spacing w:val="-1"/>
                <w:sz w:val="20"/>
              </w:rPr>
              <w:t xml:space="preserve"> </w:t>
            </w:r>
            <w:r>
              <w:rPr>
                <w:sz w:val="20"/>
              </w:rPr>
              <w:t>resulting</w:t>
            </w:r>
            <w:r>
              <w:rPr>
                <w:spacing w:val="-1"/>
                <w:sz w:val="20"/>
              </w:rPr>
              <w:t xml:space="preserve"> </w:t>
            </w:r>
            <w:r>
              <w:rPr>
                <w:sz w:val="20"/>
              </w:rPr>
              <w:t>from</w:t>
            </w:r>
            <w:r>
              <w:rPr>
                <w:spacing w:val="-1"/>
                <w:sz w:val="20"/>
              </w:rPr>
              <w:t xml:space="preserve"> </w:t>
            </w:r>
            <w:r>
              <w:rPr>
                <w:sz w:val="20"/>
              </w:rPr>
              <w:t>VAPJP</w:t>
            </w:r>
            <w:r>
              <w:rPr>
                <w:spacing w:val="-2"/>
                <w:sz w:val="20"/>
              </w:rPr>
              <w:t xml:space="preserve"> </w:t>
            </w:r>
            <w:r>
              <w:rPr>
                <w:sz w:val="20"/>
              </w:rPr>
              <w:t>interventions has been experienced by targeted EOPO end users/ beneficiaries</w:t>
            </w:r>
            <w:r>
              <w:rPr>
                <w:spacing w:val="-5"/>
                <w:sz w:val="20"/>
              </w:rPr>
              <w:t xml:space="preserve"> </w:t>
            </w:r>
            <w:r>
              <w:rPr>
                <w:sz w:val="20"/>
              </w:rPr>
              <w:t>–</w:t>
            </w:r>
            <w:r>
              <w:rPr>
                <w:spacing w:val="-5"/>
                <w:sz w:val="20"/>
              </w:rPr>
              <w:t xml:space="preserve"> </w:t>
            </w:r>
            <w:r>
              <w:rPr>
                <w:sz w:val="20"/>
              </w:rPr>
              <w:t>particularly</w:t>
            </w:r>
            <w:r>
              <w:rPr>
                <w:spacing w:val="-3"/>
                <w:sz w:val="20"/>
              </w:rPr>
              <w:t xml:space="preserve"> </w:t>
            </w:r>
            <w:r>
              <w:rPr>
                <w:sz w:val="20"/>
              </w:rPr>
              <w:t>women,</w:t>
            </w:r>
            <w:r>
              <w:rPr>
                <w:spacing w:val="-7"/>
                <w:sz w:val="20"/>
              </w:rPr>
              <w:t xml:space="preserve"> </w:t>
            </w:r>
            <w:r>
              <w:rPr>
                <w:sz w:val="20"/>
              </w:rPr>
              <w:t>but</w:t>
            </w:r>
            <w:r>
              <w:rPr>
                <w:spacing w:val="-7"/>
                <w:sz w:val="20"/>
              </w:rPr>
              <w:t xml:space="preserve"> </w:t>
            </w:r>
            <w:r>
              <w:rPr>
                <w:sz w:val="20"/>
              </w:rPr>
              <w:t>also</w:t>
            </w:r>
            <w:r>
              <w:rPr>
                <w:spacing w:val="-7"/>
                <w:sz w:val="20"/>
              </w:rPr>
              <w:t xml:space="preserve"> </w:t>
            </w:r>
            <w:r>
              <w:rPr>
                <w:sz w:val="20"/>
              </w:rPr>
              <w:t>children</w:t>
            </w:r>
            <w:r>
              <w:rPr>
                <w:spacing w:val="-7"/>
                <w:sz w:val="20"/>
              </w:rPr>
              <w:t xml:space="preserve"> </w:t>
            </w:r>
            <w:r>
              <w:rPr>
                <w:sz w:val="20"/>
              </w:rPr>
              <w:t xml:space="preserve">and </w:t>
            </w:r>
            <w:r>
              <w:rPr>
                <w:spacing w:val="-2"/>
                <w:sz w:val="20"/>
              </w:rPr>
              <w:t>youth?</w:t>
            </w:r>
          </w:p>
          <w:p w14:paraId="52915843" w14:textId="77777777" w:rsidR="00E104C2" w:rsidRDefault="00E104C2" w:rsidP="00FF7903">
            <w:pPr>
              <w:pStyle w:val="TableParagraph"/>
              <w:spacing w:before="80" w:after="240"/>
              <w:ind w:left="380" w:right="79"/>
              <w:rPr>
                <w:spacing w:val="-2"/>
                <w:sz w:val="20"/>
              </w:rPr>
            </w:pPr>
            <w:r>
              <w:rPr>
                <w:sz w:val="20"/>
              </w:rPr>
              <w:t>Is</w:t>
            </w:r>
            <w:r>
              <w:rPr>
                <w:spacing w:val="-5"/>
                <w:sz w:val="20"/>
              </w:rPr>
              <w:t xml:space="preserve"> </w:t>
            </w:r>
            <w:r>
              <w:rPr>
                <w:sz w:val="20"/>
              </w:rPr>
              <w:t>the</w:t>
            </w:r>
            <w:r>
              <w:rPr>
                <w:spacing w:val="-6"/>
                <w:sz w:val="20"/>
              </w:rPr>
              <w:t xml:space="preserve"> </w:t>
            </w:r>
            <w:r>
              <w:rPr>
                <w:sz w:val="20"/>
              </w:rPr>
              <w:t>program</w:t>
            </w:r>
            <w:r>
              <w:rPr>
                <w:spacing w:val="-4"/>
                <w:sz w:val="20"/>
              </w:rPr>
              <w:t xml:space="preserve"> </w:t>
            </w:r>
            <w:r>
              <w:rPr>
                <w:sz w:val="20"/>
              </w:rPr>
              <w:t>on</w:t>
            </w:r>
            <w:r>
              <w:rPr>
                <w:spacing w:val="-6"/>
                <w:sz w:val="20"/>
              </w:rPr>
              <w:t xml:space="preserve"> </w:t>
            </w:r>
            <w:r>
              <w:rPr>
                <w:sz w:val="20"/>
              </w:rPr>
              <w:t>track</w:t>
            </w:r>
            <w:r>
              <w:rPr>
                <w:spacing w:val="-5"/>
                <w:sz w:val="20"/>
              </w:rPr>
              <w:t xml:space="preserve"> </w:t>
            </w:r>
            <w:r>
              <w:rPr>
                <w:sz w:val="20"/>
              </w:rPr>
              <w:t>to</w:t>
            </w:r>
            <w:r>
              <w:rPr>
                <w:spacing w:val="-6"/>
                <w:sz w:val="20"/>
              </w:rPr>
              <w:t xml:space="preserve"> </w:t>
            </w:r>
            <w:r>
              <w:rPr>
                <w:sz w:val="20"/>
              </w:rPr>
              <w:t>achieve</w:t>
            </w:r>
            <w:r>
              <w:rPr>
                <w:spacing w:val="-4"/>
                <w:sz w:val="20"/>
              </w:rPr>
              <w:t xml:space="preserve"> </w:t>
            </w:r>
            <w:r>
              <w:rPr>
                <w:sz w:val="20"/>
              </w:rPr>
              <w:t>its</w:t>
            </w:r>
            <w:r>
              <w:rPr>
                <w:spacing w:val="-5"/>
                <w:sz w:val="20"/>
              </w:rPr>
              <w:t xml:space="preserve"> </w:t>
            </w:r>
            <w:r>
              <w:rPr>
                <w:sz w:val="20"/>
              </w:rPr>
              <w:t>gender</w:t>
            </w:r>
            <w:r>
              <w:rPr>
                <w:spacing w:val="-3"/>
                <w:sz w:val="20"/>
              </w:rPr>
              <w:t xml:space="preserve"> </w:t>
            </w:r>
            <w:r>
              <w:rPr>
                <w:sz w:val="20"/>
              </w:rPr>
              <w:t xml:space="preserve">equality </w:t>
            </w:r>
            <w:r>
              <w:rPr>
                <w:spacing w:val="-2"/>
                <w:sz w:val="20"/>
              </w:rPr>
              <w:t>objectives?</w:t>
            </w:r>
          </w:p>
          <w:p w14:paraId="2CF3E8D8" w14:textId="77777777" w:rsidR="00E104C2" w:rsidRDefault="00E104C2" w:rsidP="00546E87">
            <w:pPr>
              <w:pStyle w:val="TableParagraph"/>
              <w:spacing w:before="720" w:after="360"/>
              <w:ind w:left="380" w:right="79"/>
              <w:rPr>
                <w:sz w:val="20"/>
              </w:rPr>
            </w:pPr>
            <w:r>
              <w:rPr>
                <w:sz w:val="20"/>
              </w:rPr>
              <w:t>How effective is the M&amp;E system in producing quality information</w:t>
            </w:r>
            <w:r>
              <w:rPr>
                <w:spacing w:val="-6"/>
                <w:sz w:val="20"/>
              </w:rPr>
              <w:t xml:space="preserve"> </w:t>
            </w:r>
            <w:r>
              <w:rPr>
                <w:sz w:val="20"/>
              </w:rPr>
              <w:t>on</w:t>
            </w:r>
            <w:r>
              <w:rPr>
                <w:spacing w:val="-6"/>
                <w:sz w:val="20"/>
              </w:rPr>
              <w:t xml:space="preserve"> </w:t>
            </w:r>
            <w:r>
              <w:rPr>
                <w:sz w:val="20"/>
              </w:rPr>
              <w:t>progress</w:t>
            </w:r>
            <w:r>
              <w:rPr>
                <w:spacing w:val="-7"/>
                <w:sz w:val="20"/>
              </w:rPr>
              <w:t xml:space="preserve"> </w:t>
            </w:r>
            <w:r>
              <w:rPr>
                <w:sz w:val="20"/>
              </w:rPr>
              <w:t>towards</w:t>
            </w:r>
            <w:r>
              <w:rPr>
                <w:spacing w:val="-7"/>
                <w:sz w:val="20"/>
              </w:rPr>
              <w:t xml:space="preserve"> </w:t>
            </w:r>
            <w:r>
              <w:rPr>
                <w:sz w:val="20"/>
              </w:rPr>
              <w:t>EOPOs</w:t>
            </w:r>
            <w:r>
              <w:rPr>
                <w:spacing w:val="-7"/>
                <w:sz w:val="20"/>
              </w:rPr>
              <w:t xml:space="preserve"> </w:t>
            </w:r>
            <w:r>
              <w:rPr>
                <w:sz w:val="20"/>
              </w:rPr>
              <w:t>and</w:t>
            </w:r>
            <w:r>
              <w:rPr>
                <w:spacing w:val="-6"/>
                <w:sz w:val="20"/>
              </w:rPr>
              <w:t xml:space="preserve"> </w:t>
            </w:r>
            <w:r>
              <w:rPr>
                <w:sz w:val="20"/>
              </w:rPr>
              <w:t>informing program decision making?</w:t>
            </w:r>
          </w:p>
        </w:tc>
      </w:tr>
      <w:tr w:rsidR="001400A3" w14:paraId="3D92D870" w14:textId="77777777" w:rsidTr="00AB4F23">
        <w:trPr>
          <w:trHeight w:val="1619"/>
        </w:trPr>
        <w:tc>
          <w:tcPr>
            <w:tcW w:w="2292" w:type="dxa"/>
            <w:tcBorders>
              <w:top w:val="single" w:sz="4" w:space="0" w:color="0064BB"/>
              <w:bottom w:val="single" w:sz="4" w:space="0" w:color="0064BB"/>
            </w:tcBorders>
            <w:shd w:val="clear" w:color="auto" w:fill="F1F1F1"/>
          </w:tcPr>
          <w:p w14:paraId="7FF9C1CD" w14:textId="77777777" w:rsidR="001400A3" w:rsidRDefault="001400A3" w:rsidP="001400A3">
            <w:pPr>
              <w:pStyle w:val="TableParagraph"/>
              <w:spacing w:before="88" w:after="240" w:line="271" w:lineRule="auto"/>
              <w:ind w:left="392" w:right="380" w:hanging="284"/>
              <w:rPr>
                <w:sz w:val="20"/>
              </w:rPr>
            </w:pPr>
            <w:r>
              <w:rPr>
                <w:b/>
                <w:spacing w:val="-2"/>
                <w:sz w:val="20"/>
              </w:rPr>
              <w:t>Efficiency</w:t>
            </w:r>
          </w:p>
          <w:p w14:paraId="3E383BAF" w14:textId="2B8CDF44" w:rsidR="001400A3" w:rsidRDefault="001400A3" w:rsidP="001400A3">
            <w:pPr>
              <w:pStyle w:val="TableParagraph"/>
              <w:spacing w:before="88" w:line="271" w:lineRule="auto"/>
              <w:ind w:left="392" w:right="79" w:hanging="284"/>
              <w:rPr>
                <w:b/>
                <w:spacing w:val="-2"/>
                <w:sz w:val="20"/>
              </w:rPr>
            </w:pPr>
            <w:r w:rsidRPr="001400A3">
              <w:rPr>
                <w:b/>
                <w:sz w:val="20"/>
              </w:rPr>
              <w:t>2. How efficient are VAPJP’s delivery modalities?</w:t>
            </w:r>
          </w:p>
        </w:tc>
        <w:tc>
          <w:tcPr>
            <w:tcW w:w="2328" w:type="dxa"/>
            <w:tcBorders>
              <w:top w:val="single" w:sz="4" w:space="0" w:color="0064BB"/>
              <w:bottom w:val="single" w:sz="4" w:space="0" w:color="0064BB"/>
            </w:tcBorders>
          </w:tcPr>
          <w:p w14:paraId="7F27BE27" w14:textId="77777777" w:rsidR="003C0709" w:rsidRDefault="003C0709" w:rsidP="00094F70">
            <w:pPr>
              <w:pStyle w:val="TableParagraph"/>
              <w:spacing w:after="1080"/>
              <w:ind w:left="108"/>
              <w:rPr>
                <w:sz w:val="20"/>
              </w:rPr>
            </w:pPr>
            <w:r>
              <w:rPr>
                <w:sz w:val="20"/>
              </w:rPr>
              <w:t>2.1 Is the delivery and management</w:t>
            </w:r>
            <w:r>
              <w:rPr>
                <w:spacing w:val="-14"/>
                <w:sz w:val="20"/>
              </w:rPr>
              <w:t xml:space="preserve"> </w:t>
            </w:r>
            <w:r>
              <w:rPr>
                <w:sz w:val="20"/>
              </w:rPr>
              <w:t>approach</w:t>
            </w:r>
            <w:r>
              <w:rPr>
                <w:spacing w:val="-14"/>
                <w:sz w:val="20"/>
              </w:rPr>
              <w:t xml:space="preserve"> </w:t>
            </w:r>
            <w:r>
              <w:rPr>
                <w:sz w:val="20"/>
              </w:rPr>
              <w:t>of VAPJP fit for purpose?</w:t>
            </w:r>
          </w:p>
          <w:p w14:paraId="66FBF71F" w14:textId="77777777" w:rsidR="001400A3" w:rsidRDefault="003C0709" w:rsidP="00094F70">
            <w:pPr>
              <w:pStyle w:val="TableParagraph"/>
              <w:spacing w:before="480" w:after="840"/>
              <w:ind w:left="108"/>
              <w:rPr>
                <w:spacing w:val="-2"/>
                <w:sz w:val="20"/>
              </w:rPr>
            </w:pPr>
            <w:r>
              <w:rPr>
                <w:sz w:val="20"/>
              </w:rPr>
              <w:t>2.2</w:t>
            </w:r>
            <w:r>
              <w:rPr>
                <w:spacing w:val="-3"/>
                <w:sz w:val="20"/>
              </w:rPr>
              <w:t xml:space="preserve"> </w:t>
            </w:r>
            <w:r>
              <w:rPr>
                <w:sz w:val="20"/>
              </w:rPr>
              <w:t>To</w:t>
            </w:r>
            <w:r>
              <w:rPr>
                <w:spacing w:val="-1"/>
                <w:sz w:val="20"/>
              </w:rPr>
              <w:t xml:space="preserve"> </w:t>
            </w:r>
            <w:r>
              <w:rPr>
                <w:sz w:val="20"/>
              </w:rPr>
              <w:t>what</w:t>
            </w:r>
            <w:r>
              <w:rPr>
                <w:spacing w:val="-1"/>
                <w:sz w:val="20"/>
              </w:rPr>
              <w:t xml:space="preserve"> </w:t>
            </w:r>
            <w:r>
              <w:rPr>
                <w:sz w:val="20"/>
              </w:rPr>
              <w:t>extent</w:t>
            </w:r>
            <w:r>
              <w:rPr>
                <w:spacing w:val="-3"/>
                <w:sz w:val="20"/>
              </w:rPr>
              <w:t xml:space="preserve"> </w:t>
            </w:r>
            <w:r>
              <w:rPr>
                <w:sz w:val="20"/>
              </w:rPr>
              <w:t>do</w:t>
            </w:r>
            <w:r>
              <w:rPr>
                <w:spacing w:val="-1"/>
                <w:sz w:val="20"/>
              </w:rPr>
              <w:t xml:space="preserve"> </w:t>
            </w:r>
            <w:r>
              <w:rPr>
                <w:sz w:val="20"/>
              </w:rPr>
              <w:t>the governance and delivery modalities support progress</w:t>
            </w:r>
            <w:r>
              <w:rPr>
                <w:spacing w:val="-14"/>
                <w:sz w:val="20"/>
              </w:rPr>
              <w:t xml:space="preserve"> </w:t>
            </w:r>
            <w:r>
              <w:rPr>
                <w:sz w:val="20"/>
              </w:rPr>
              <w:t>towards</w:t>
            </w:r>
            <w:r>
              <w:rPr>
                <w:spacing w:val="-14"/>
                <w:sz w:val="20"/>
              </w:rPr>
              <w:t xml:space="preserve"> </w:t>
            </w:r>
            <w:r>
              <w:rPr>
                <w:sz w:val="20"/>
              </w:rPr>
              <w:t>IOs</w:t>
            </w:r>
            <w:r>
              <w:rPr>
                <w:spacing w:val="-14"/>
                <w:sz w:val="20"/>
              </w:rPr>
              <w:t xml:space="preserve"> </w:t>
            </w:r>
            <w:r>
              <w:rPr>
                <w:sz w:val="20"/>
              </w:rPr>
              <w:t xml:space="preserve">and </w:t>
            </w:r>
            <w:r>
              <w:rPr>
                <w:spacing w:val="-2"/>
                <w:sz w:val="20"/>
              </w:rPr>
              <w:t>EOPOs?</w:t>
            </w:r>
          </w:p>
          <w:p w14:paraId="4DD89690" w14:textId="0914F260" w:rsidR="007052AA" w:rsidRDefault="007052AA" w:rsidP="007052AA">
            <w:pPr>
              <w:pStyle w:val="TableParagraph"/>
              <w:ind w:left="108"/>
              <w:rPr>
                <w:spacing w:val="-2"/>
                <w:sz w:val="20"/>
              </w:rPr>
            </w:pPr>
            <w:r>
              <w:rPr>
                <w:sz w:val="20"/>
              </w:rPr>
              <w:t>2.3 Are resources allocated appropriately across</w:t>
            </w:r>
            <w:r>
              <w:rPr>
                <w:spacing w:val="-14"/>
                <w:sz w:val="20"/>
              </w:rPr>
              <w:t xml:space="preserve"> </w:t>
            </w:r>
            <w:r>
              <w:rPr>
                <w:sz w:val="20"/>
              </w:rPr>
              <w:t>program</w:t>
            </w:r>
            <w:r>
              <w:rPr>
                <w:spacing w:val="-14"/>
                <w:sz w:val="20"/>
              </w:rPr>
              <w:t xml:space="preserve"> </w:t>
            </w:r>
            <w:r>
              <w:rPr>
                <w:sz w:val="20"/>
              </w:rPr>
              <w:t>streams?</w:t>
            </w:r>
          </w:p>
          <w:p w14:paraId="0E567545" w14:textId="014D6F73" w:rsidR="007052AA" w:rsidRDefault="007052AA" w:rsidP="007052AA">
            <w:pPr>
              <w:pStyle w:val="TableParagraph"/>
              <w:ind w:left="108"/>
              <w:rPr>
                <w:sz w:val="20"/>
              </w:rPr>
            </w:pPr>
          </w:p>
        </w:tc>
        <w:tc>
          <w:tcPr>
            <w:tcW w:w="5584" w:type="dxa"/>
            <w:tcBorders>
              <w:top w:val="single" w:sz="4" w:space="0" w:color="0064BB"/>
              <w:bottom w:val="single" w:sz="4" w:space="0" w:color="0064BB"/>
            </w:tcBorders>
          </w:tcPr>
          <w:p w14:paraId="5BF29F2A" w14:textId="77777777" w:rsidR="007052AA" w:rsidRDefault="007052AA" w:rsidP="00546E87">
            <w:pPr>
              <w:pStyle w:val="TableParagraph"/>
              <w:spacing w:before="0" w:after="120"/>
              <w:ind w:left="380" w:right="79"/>
              <w:rPr>
                <w:sz w:val="20"/>
              </w:rPr>
            </w:pPr>
            <w:r>
              <w:rPr>
                <w:sz w:val="20"/>
              </w:rPr>
              <w:t>How</w:t>
            </w:r>
            <w:r w:rsidRPr="007052AA">
              <w:rPr>
                <w:sz w:val="20"/>
              </w:rPr>
              <w:t xml:space="preserve"> </w:t>
            </w:r>
            <w:r>
              <w:rPr>
                <w:sz w:val="20"/>
              </w:rPr>
              <w:t>efficient</w:t>
            </w:r>
            <w:r w:rsidRPr="007052AA">
              <w:rPr>
                <w:sz w:val="20"/>
              </w:rPr>
              <w:t xml:space="preserve"> </w:t>
            </w:r>
            <w:r>
              <w:rPr>
                <w:sz w:val="20"/>
              </w:rPr>
              <w:t>is</w:t>
            </w:r>
            <w:r w:rsidRPr="007052AA">
              <w:rPr>
                <w:sz w:val="20"/>
              </w:rPr>
              <w:t xml:space="preserve"> </w:t>
            </w:r>
            <w:r>
              <w:rPr>
                <w:sz w:val="20"/>
              </w:rPr>
              <w:t>the</w:t>
            </w:r>
            <w:r w:rsidRPr="007052AA">
              <w:rPr>
                <w:sz w:val="20"/>
              </w:rPr>
              <w:t xml:space="preserve"> </w:t>
            </w:r>
            <w:r>
              <w:rPr>
                <w:sz w:val="20"/>
              </w:rPr>
              <w:t>current</w:t>
            </w:r>
            <w:r w:rsidRPr="007052AA">
              <w:rPr>
                <w:sz w:val="20"/>
              </w:rPr>
              <w:t xml:space="preserve"> </w:t>
            </w:r>
            <w:r>
              <w:rPr>
                <w:sz w:val="20"/>
              </w:rPr>
              <w:t>management</w:t>
            </w:r>
            <w:r w:rsidRPr="007052AA">
              <w:rPr>
                <w:sz w:val="20"/>
              </w:rPr>
              <w:t xml:space="preserve"> </w:t>
            </w:r>
            <w:r>
              <w:rPr>
                <w:sz w:val="20"/>
              </w:rPr>
              <w:t>modality</w:t>
            </w:r>
            <w:r w:rsidRPr="007052AA">
              <w:rPr>
                <w:sz w:val="20"/>
              </w:rPr>
              <w:t xml:space="preserve"> </w:t>
            </w:r>
            <w:r>
              <w:rPr>
                <w:sz w:val="20"/>
              </w:rPr>
              <w:t>(i.e., DFAT/managing contractor/AFP)?</w:t>
            </w:r>
          </w:p>
          <w:p w14:paraId="05D0EA59" w14:textId="77777777" w:rsidR="007052AA" w:rsidRDefault="007052AA" w:rsidP="00094F70">
            <w:pPr>
              <w:pStyle w:val="TableParagraph"/>
              <w:spacing w:before="0" w:after="120"/>
              <w:ind w:left="380" w:right="79"/>
              <w:rPr>
                <w:sz w:val="20"/>
              </w:rPr>
            </w:pPr>
            <w:r>
              <w:rPr>
                <w:sz w:val="20"/>
              </w:rPr>
              <w:t>How does the scope and level of engagement of implementing</w:t>
            </w:r>
            <w:r w:rsidRPr="007052AA">
              <w:rPr>
                <w:sz w:val="20"/>
              </w:rPr>
              <w:t xml:space="preserve"> </w:t>
            </w:r>
            <w:r>
              <w:rPr>
                <w:sz w:val="20"/>
              </w:rPr>
              <w:t>partners</w:t>
            </w:r>
            <w:r w:rsidRPr="007052AA">
              <w:rPr>
                <w:sz w:val="20"/>
              </w:rPr>
              <w:t xml:space="preserve"> </w:t>
            </w:r>
            <w:r>
              <w:rPr>
                <w:sz w:val="20"/>
              </w:rPr>
              <w:t>contribute</w:t>
            </w:r>
            <w:r w:rsidRPr="007052AA">
              <w:rPr>
                <w:sz w:val="20"/>
              </w:rPr>
              <w:t xml:space="preserve"> </w:t>
            </w:r>
            <w:r>
              <w:rPr>
                <w:sz w:val="20"/>
              </w:rPr>
              <w:t>to</w:t>
            </w:r>
            <w:r w:rsidRPr="007052AA">
              <w:rPr>
                <w:sz w:val="20"/>
              </w:rPr>
              <w:t xml:space="preserve"> </w:t>
            </w:r>
            <w:r>
              <w:rPr>
                <w:sz w:val="20"/>
              </w:rPr>
              <w:t>the</w:t>
            </w:r>
            <w:r w:rsidRPr="007052AA">
              <w:rPr>
                <w:sz w:val="20"/>
              </w:rPr>
              <w:t xml:space="preserve"> </w:t>
            </w:r>
            <w:r>
              <w:rPr>
                <w:sz w:val="20"/>
              </w:rPr>
              <w:t>efficiency</w:t>
            </w:r>
            <w:r w:rsidRPr="007052AA">
              <w:rPr>
                <w:sz w:val="20"/>
              </w:rPr>
              <w:t xml:space="preserve"> </w:t>
            </w:r>
            <w:r>
              <w:rPr>
                <w:sz w:val="20"/>
              </w:rPr>
              <w:t>or otherwise of program delivery?</w:t>
            </w:r>
          </w:p>
          <w:p w14:paraId="23C3C62C" w14:textId="77777777" w:rsidR="00546E87" w:rsidRDefault="00546E87" w:rsidP="00094F70">
            <w:pPr>
              <w:pStyle w:val="TableParagraph"/>
              <w:spacing w:before="0" w:after="240"/>
              <w:ind w:left="380" w:right="79"/>
              <w:rPr>
                <w:sz w:val="20"/>
              </w:rPr>
            </w:pPr>
            <w:r>
              <w:rPr>
                <w:sz w:val="20"/>
              </w:rPr>
              <w:t>Is</w:t>
            </w:r>
            <w:r w:rsidRPr="00653E6B">
              <w:rPr>
                <w:sz w:val="20"/>
              </w:rPr>
              <w:t xml:space="preserve"> </w:t>
            </w:r>
            <w:r>
              <w:rPr>
                <w:sz w:val="20"/>
              </w:rPr>
              <w:t>VAPJP</w:t>
            </w:r>
            <w:r w:rsidRPr="00653E6B">
              <w:rPr>
                <w:sz w:val="20"/>
              </w:rPr>
              <w:t xml:space="preserve"> </w:t>
            </w:r>
            <w:r>
              <w:rPr>
                <w:sz w:val="20"/>
              </w:rPr>
              <w:t>taking</w:t>
            </w:r>
            <w:r w:rsidRPr="00653E6B">
              <w:rPr>
                <w:sz w:val="20"/>
              </w:rPr>
              <w:t xml:space="preserve"> </w:t>
            </w:r>
            <w:r>
              <w:rPr>
                <w:sz w:val="20"/>
              </w:rPr>
              <w:t>sufficient</w:t>
            </w:r>
            <w:r w:rsidRPr="00653E6B">
              <w:rPr>
                <w:sz w:val="20"/>
              </w:rPr>
              <w:t xml:space="preserve"> </w:t>
            </w:r>
            <w:r>
              <w:rPr>
                <w:sz w:val="20"/>
              </w:rPr>
              <w:t>steps</w:t>
            </w:r>
            <w:r w:rsidRPr="00653E6B">
              <w:rPr>
                <w:sz w:val="20"/>
              </w:rPr>
              <w:t xml:space="preserve"> </w:t>
            </w:r>
            <w:r>
              <w:rPr>
                <w:sz w:val="20"/>
              </w:rPr>
              <w:t>to</w:t>
            </w:r>
            <w:r w:rsidRPr="00653E6B">
              <w:rPr>
                <w:sz w:val="20"/>
              </w:rPr>
              <w:t xml:space="preserve"> </w:t>
            </w:r>
            <w:r>
              <w:rPr>
                <w:sz w:val="20"/>
              </w:rPr>
              <w:t>support</w:t>
            </w:r>
            <w:r w:rsidRPr="00653E6B">
              <w:rPr>
                <w:sz w:val="20"/>
              </w:rPr>
              <w:t xml:space="preserve"> </w:t>
            </w:r>
            <w:r>
              <w:rPr>
                <w:sz w:val="20"/>
              </w:rPr>
              <w:t>localisation and local leadership within the program?</w:t>
            </w:r>
          </w:p>
          <w:p w14:paraId="28965B8E" w14:textId="77777777" w:rsidR="00546E87" w:rsidRDefault="00546E87" w:rsidP="00653E6B">
            <w:pPr>
              <w:pStyle w:val="TableParagraph"/>
              <w:spacing w:before="0" w:after="120"/>
              <w:ind w:left="380" w:right="79"/>
              <w:rPr>
                <w:sz w:val="20"/>
              </w:rPr>
            </w:pPr>
            <w:r>
              <w:rPr>
                <w:sz w:val="20"/>
              </w:rPr>
              <w:t>To</w:t>
            </w:r>
            <w:r w:rsidRPr="00653E6B">
              <w:rPr>
                <w:sz w:val="20"/>
              </w:rPr>
              <w:t xml:space="preserve"> </w:t>
            </w:r>
            <w:r>
              <w:rPr>
                <w:sz w:val="20"/>
              </w:rPr>
              <w:t>what</w:t>
            </w:r>
            <w:r w:rsidRPr="00653E6B">
              <w:rPr>
                <w:sz w:val="20"/>
              </w:rPr>
              <w:t xml:space="preserve"> </w:t>
            </w:r>
            <w:r>
              <w:rPr>
                <w:sz w:val="20"/>
              </w:rPr>
              <w:t>extent</w:t>
            </w:r>
            <w:r w:rsidRPr="00653E6B">
              <w:rPr>
                <w:sz w:val="20"/>
              </w:rPr>
              <w:t xml:space="preserve"> </w:t>
            </w:r>
            <w:r>
              <w:rPr>
                <w:sz w:val="20"/>
              </w:rPr>
              <w:t>are</w:t>
            </w:r>
            <w:r w:rsidRPr="00653E6B">
              <w:rPr>
                <w:sz w:val="20"/>
              </w:rPr>
              <w:t xml:space="preserve"> </w:t>
            </w:r>
            <w:r>
              <w:rPr>
                <w:sz w:val="20"/>
              </w:rPr>
              <w:t>the</w:t>
            </w:r>
            <w:r w:rsidRPr="00653E6B">
              <w:rPr>
                <w:sz w:val="20"/>
              </w:rPr>
              <w:t xml:space="preserve"> </w:t>
            </w:r>
            <w:r>
              <w:rPr>
                <w:sz w:val="20"/>
              </w:rPr>
              <w:t>governance</w:t>
            </w:r>
            <w:r w:rsidRPr="00653E6B">
              <w:rPr>
                <w:sz w:val="20"/>
              </w:rPr>
              <w:t xml:space="preserve"> </w:t>
            </w:r>
            <w:r>
              <w:rPr>
                <w:sz w:val="20"/>
              </w:rPr>
              <w:t>mechanisms</w:t>
            </w:r>
            <w:r w:rsidRPr="00653E6B">
              <w:rPr>
                <w:sz w:val="20"/>
              </w:rPr>
              <w:t xml:space="preserve"> </w:t>
            </w:r>
            <w:r>
              <w:rPr>
                <w:sz w:val="20"/>
              </w:rPr>
              <w:t>efficient in terms of facilitating delivery of EOPOs?</w:t>
            </w:r>
          </w:p>
          <w:p w14:paraId="2B431AB3" w14:textId="77777777" w:rsidR="00546E87" w:rsidRPr="00653E6B" w:rsidRDefault="00546E87" w:rsidP="00711D40">
            <w:pPr>
              <w:pStyle w:val="TableParagraph"/>
              <w:spacing w:before="0" w:after="480"/>
              <w:ind w:left="380" w:right="79"/>
              <w:rPr>
                <w:sz w:val="20"/>
              </w:rPr>
            </w:pPr>
            <w:r>
              <w:rPr>
                <w:sz w:val="20"/>
              </w:rPr>
              <w:t>Are</w:t>
            </w:r>
            <w:r w:rsidRPr="00653E6B">
              <w:rPr>
                <w:sz w:val="20"/>
              </w:rPr>
              <w:t xml:space="preserve"> </w:t>
            </w:r>
            <w:r>
              <w:rPr>
                <w:sz w:val="20"/>
              </w:rPr>
              <w:t>the</w:t>
            </w:r>
            <w:r w:rsidRPr="00653E6B">
              <w:rPr>
                <w:sz w:val="20"/>
              </w:rPr>
              <w:t xml:space="preserve"> </w:t>
            </w:r>
            <w:r>
              <w:rPr>
                <w:sz w:val="20"/>
              </w:rPr>
              <w:t>VAPJP</w:t>
            </w:r>
            <w:r w:rsidRPr="00653E6B">
              <w:rPr>
                <w:sz w:val="20"/>
              </w:rPr>
              <w:t xml:space="preserve"> </w:t>
            </w:r>
            <w:r>
              <w:rPr>
                <w:sz w:val="20"/>
              </w:rPr>
              <w:t>delivery</w:t>
            </w:r>
            <w:r w:rsidRPr="00653E6B">
              <w:rPr>
                <w:sz w:val="20"/>
              </w:rPr>
              <w:t xml:space="preserve"> </w:t>
            </w:r>
            <w:r>
              <w:rPr>
                <w:sz w:val="20"/>
              </w:rPr>
              <w:t>modalities</w:t>
            </w:r>
            <w:r w:rsidRPr="00653E6B">
              <w:rPr>
                <w:sz w:val="20"/>
              </w:rPr>
              <w:t xml:space="preserve"> </w:t>
            </w:r>
            <w:r>
              <w:rPr>
                <w:sz w:val="20"/>
              </w:rPr>
              <w:t>-</w:t>
            </w:r>
            <w:r w:rsidRPr="00653E6B">
              <w:rPr>
                <w:sz w:val="20"/>
              </w:rPr>
              <w:t xml:space="preserve"> </w:t>
            </w:r>
            <w:r>
              <w:rPr>
                <w:sz w:val="20"/>
              </w:rPr>
              <w:t>technical</w:t>
            </w:r>
            <w:r w:rsidRPr="00653E6B">
              <w:rPr>
                <w:sz w:val="20"/>
              </w:rPr>
              <w:t xml:space="preserve"> </w:t>
            </w:r>
            <w:r>
              <w:rPr>
                <w:sz w:val="20"/>
              </w:rPr>
              <w:t>assistance, operational support and funding, training and</w:t>
            </w:r>
            <w:r w:rsidRPr="00653E6B">
              <w:rPr>
                <w:sz w:val="20"/>
              </w:rPr>
              <w:t xml:space="preserve"> </w:t>
            </w:r>
            <w:r>
              <w:rPr>
                <w:sz w:val="20"/>
              </w:rPr>
              <w:t>professional development, community grants, infrastructure,</w:t>
            </w:r>
            <w:r w:rsidRPr="00653E6B">
              <w:rPr>
                <w:sz w:val="20"/>
              </w:rPr>
              <w:t xml:space="preserve"> </w:t>
            </w:r>
            <w:r>
              <w:rPr>
                <w:sz w:val="20"/>
              </w:rPr>
              <w:t>and</w:t>
            </w:r>
            <w:r w:rsidRPr="00653E6B">
              <w:rPr>
                <w:sz w:val="20"/>
              </w:rPr>
              <w:t xml:space="preserve"> </w:t>
            </w:r>
            <w:r>
              <w:rPr>
                <w:sz w:val="20"/>
              </w:rPr>
              <w:t>project</w:t>
            </w:r>
            <w:r w:rsidRPr="00653E6B">
              <w:rPr>
                <w:sz w:val="20"/>
              </w:rPr>
              <w:t xml:space="preserve"> </w:t>
            </w:r>
            <w:r>
              <w:rPr>
                <w:sz w:val="20"/>
              </w:rPr>
              <w:t>delivery</w:t>
            </w:r>
            <w:r w:rsidRPr="00653E6B">
              <w:rPr>
                <w:sz w:val="20"/>
              </w:rPr>
              <w:t xml:space="preserve"> </w:t>
            </w:r>
            <w:r>
              <w:rPr>
                <w:sz w:val="20"/>
              </w:rPr>
              <w:t>–</w:t>
            </w:r>
            <w:r w:rsidRPr="00653E6B">
              <w:rPr>
                <w:sz w:val="20"/>
              </w:rPr>
              <w:t xml:space="preserve"> </w:t>
            </w:r>
            <w:r>
              <w:rPr>
                <w:sz w:val="20"/>
              </w:rPr>
              <w:t>still</w:t>
            </w:r>
            <w:r w:rsidRPr="00653E6B">
              <w:rPr>
                <w:sz w:val="20"/>
              </w:rPr>
              <w:t xml:space="preserve"> </w:t>
            </w:r>
            <w:r>
              <w:rPr>
                <w:sz w:val="20"/>
              </w:rPr>
              <w:t>the</w:t>
            </w:r>
            <w:r w:rsidRPr="00653E6B">
              <w:rPr>
                <w:sz w:val="20"/>
              </w:rPr>
              <w:t xml:space="preserve"> </w:t>
            </w:r>
            <w:r>
              <w:rPr>
                <w:sz w:val="20"/>
              </w:rPr>
              <w:t>most</w:t>
            </w:r>
            <w:r w:rsidRPr="00653E6B">
              <w:rPr>
                <w:sz w:val="20"/>
              </w:rPr>
              <w:t xml:space="preserve"> </w:t>
            </w:r>
            <w:r>
              <w:rPr>
                <w:sz w:val="20"/>
              </w:rPr>
              <w:t xml:space="preserve">efficient way to provide support to the sector within this current </w:t>
            </w:r>
            <w:r w:rsidRPr="00653E6B">
              <w:rPr>
                <w:sz w:val="20"/>
              </w:rPr>
              <w:t>phase?</w:t>
            </w:r>
          </w:p>
          <w:p w14:paraId="7987635E" w14:textId="77777777" w:rsidR="003850C5" w:rsidRDefault="003850C5" w:rsidP="003850C5">
            <w:pPr>
              <w:pStyle w:val="TableParagraph"/>
              <w:spacing w:before="0" w:after="120"/>
              <w:ind w:left="380" w:right="79"/>
              <w:rPr>
                <w:sz w:val="20"/>
              </w:rPr>
            </w:pPr>
            <w:r>
              <w:rPr>
                <w:sz w:val="20"/>
              </w:rPr>
              <w:t>How efficient is resource allocation across program streams</w:t>
            </w:r>
            <w:r w:rsidRPr="003850C5">
              <w:rPr>
                <w:sz w:val="20"/>
              </w:rPr>
              <w:t xml:space="preserve"> </w:t>
            </w:r>
            <w:r>
              <w:rPr>
                <w:sz w:val="20"/>
              </w:rPr>
              <w:t>and</w:t>
            </w:r>
            <w:r w:rsidRPr="003850C5">
              <w:rPr>
                <w:sz w:val="20"/>
              </w:rPr>
              <w:t xml:space="preserve"> </w:t>
            </w:r>
            <w:r>
              <w:rPr>
                <w:sz w:val="20"/>
              </w:rPr>
              <w:t>compared</w:t>
            </w:r>
            <w:r w:rsidRPr="003850C5">
              <w:rPr>
                <w:sz w:val="20"/>
              </w:rPr>
              <w:t xml:space="preserve"> </w:t>
            </w:r>
            <w:r>
              <w:rPr>
                <w:sz w:val="20"/>
              </w:rPr>
              <w:t>with</w:t>
            </w:r>
            <w:r w:rsidRPr="003850C5">
              <w:rPr>
                <w:sz w:val="20"/>
              </w:rPr>
              <w:t xml:space="preserve"> </w:t>
            </w:r>
            <w:r>
              <w:rPr>
                <w:sz w:val="20"/>
              </w:rPr>
              <w:t>Government</w:t>
            </w:r>
            <w:r w:rsidRPr="003850C5">
              <w:rPr>
                <w:sz w:val="20"/>
              </w:rPr>
              <w:t xml:space="preserve"> </w:t>
            </w:r>
            <w:r>
              <w:rPr>
                <w:sz w:val="20"/>
              </w:rPr>
              <w:t>of</w:t>
            </w:r>
            <w:r w:rsidRPr="003850C5">
              <w:rPr>
                <w:sz w:val="20"/>
              </w:rPr>
              <w:t xml:space="preserve"> </w:t>
            </w:r>
            <w:r>
              <w:rPr>
                <w:sz w:val="20"/>
              </w:rPr>
              <w:t>Vanuatu actual and budget sector expenditure?</w:t>
            </w:r>
          </w:p>
          <w:p w14:paraId="25DD8061" w14:textId="59FC07BB" w:rsidR="001400A3" w:rsidRDefault="003850C5" w:rsidP="003850C5">
            <w:pPr>
              <w:pStyle w:val="TableParagraph"/>
              <w:spacing w:before="0" w:after="120"/>
              <w:ind w:left="380" w:right="79"/>
              <w:rPr>
                <w:sz w:val="20"/>
              </w:rPr>
            </w:pPr>
            <w:r>
              <w:rPr>
                <w:sz w:val="20"/>
              </w:rPr>
              <w:t>Is</w:t>
            </w:r>
            <w:r w:rsidRPr="003850C5">
              <w:rPr>
                <w:sz w:val="20"/>
              </w:rPr>
              <w:t xml:space="preserve"> </w:t>
            </w:r>
            <w:r>
              <w:rPr>
                <w:sz w:val="20"/>
              </w:rPr>
              <w:t>expenditure</w:t>
            </w:r>
            <w:r w:rsidRPr="003850C5">
              <w:rPr>
                <w:sz w:val="20"/>
              </w:rPr>
              <w:t xml:space="preserve"> </w:t>
            </w:r>
            <w:r>
              <w:rPr>
                <w:sz w:val="20"/>
              </w:rPr>
              <w:t>on</w:t>
            </w:r>
            <w:r w:rsidRPr="003850C5">
              <w:rPr>
                <w:sz w:val="20"/>
              </w:rPr>
              <w:t xml:space="preserve"> track?</w:t>
            </w:r>
          </w:p>
        </w:tc>
      </w:tr>
    </w:tbl>
    <w:bookmarkStart w:id="15" w:name="_bookmark11"/>
    <w:bookmarkEnd w:id="15"/>
    <w:p w14:paraId="6B1F8392" w14:textId="266EE0D5" w:rsidR="009C36E3" w:rsidRPr="00066B53" w:rsidRDefault="00A36DDA" w:rsidP="00A36DDA">
      <w:pPr>
        <w:spacing w:before="120" w:line="242" w:lineRule="auto"/>
        <w:ind w:left="771" w:right="164"/>
        <w:rPr>
          <w:position w:val="6"/>
          <w:sz w:val="13"/>
        </w:rPr>
        <w:sectPr w:rsidR="009C36E3" w:rsidRPr="00066B53">
          <w:pgSz w:w="11910" w:h="16850"/>
          <w:pgMar w:top="1040" w:right="740" w:bottom="740" w:left="80" w:header="552" w:footer="559" w:gutter="0"/>
          <w:cols w:space="720"/>
        </w:sectPr>
      </w:pPr>
      <w:r>
        <w:rPr>
          <w:noProof/>
        </w:rPr>
        <mc:AlternateContent>
          <mc:Choice Requires="wps">
            <w:drawing>
              <wp:anchor distT="0" distB="0" distL="0" distR="0" simplePos="0" relativeHeight="251668480" behindDoc="1" locked="0" layoutInCell="1" allowOverlap="1" wp14:anchorId="68627598" wp14:editId="594FF2C5">
                <wp:simplePos x="0" y="0"/>
                <wp:positionH relativeFrom="page">
                  <wp:posOffset>513715</wp:posOffset>
                </wp:positionH>
                <wp:positionV relativeFrom="paragraph">
                  <wp:posOffset>156210</wp:posOffset>
                </wp:positionV>
                <wp:extent cx="1828800" cy="6350"/>
                <wp:effectExtent l="0" t="0" r="0" b="0"/>
                <wp:wrapTopAndBottom/>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B3E0A5" id="Graphic 15" o:spid="_x0000_s1026" alt="&quot;&quot;" style="position:absolute;margin-left:40.45pt;margin-top:12.3pt;width:2in;height:.5pt;z-index:-25164800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" path="m1828800,l,,,6096r1828800,l1828800,xe" fillcolor="black" stroked="f">
                <v:path arrowok="t"/>
                <w10:wrap type="topAndBottom" anchorx="page"/>
              </v:shape>
            </w:pict>
          </mc:Fallback>
        </mc:AlternateContent>
      </w:r>
      <w:r w:rsidR="000E7207">
        <w:rPr>
          <w:position w:val="6"/>
          <w:sz w:val="13"/>
        </w:rPr>
        <w:t>7</w:t>
      </w:r>
      <w:r w:rsidR="000E7207" w:rsidRPr="00066B53">
        <w:rPr>
          <w:position w:val="6"/>
          <w:sz w:val="13"/>
        </w:rPr>
        <w:t xml:space="preserve"> </w:t>
      </w:r>
      <w:r w:rsidR="000E7207" w:rsidRPr="00712A6F">
        <w:rPr>
          <w:position w:val="6"/>
          <w:sz w:val="18"/>
          <w:szCs w:val="18"/>
        </w:rPr>
        <w:t>It is noted that there will be less than a year of implementation remaining by the time this report is finalised.</w:t>
      </w:r>
    </w:p>
    <w:tbl>
      <w:tblPr>
        <w:tblW w:w="0" w:type="auto"/>
        <w:tblInd w:w="779" w:type="dxa"/>
        <w:tblLayout w:type="fixed"/>
        <w:tblCellMar>
          <w:left w:w="0" w:type="dxa"/>
          <w:right w:w="0" w:type="dxa"/>
        </w:tblCellMar>
        <w:tblLook w:val="01E0" w:firstRow="1" w:lastRow="1" w:firstColumn="1" w:lastColumn="1" w:noHBand="0" w:noVBand="0"/>
      </w:tblPr>
      <w:tblGrid>
        <w:gridCol w:w="2294"/>
        <w:gridCol w:w="2328"/>
        <w:gridCol w:w="243"/>
        <w:gridCol w:w="5341"/>
      </w:tblGrid>
      <w:tr w:rsidR="00A142EA" w14:paraId="58EBB61F" w14:textId="77777777" w:rsidTr="008544AB">
        <w:trPr>
          <w:trHeight w:val="410"/>
        </w:trPr>
        <w:tc>
          <w:tcPr>
            <w:tcW w:w="2294" w:type="dxa"/>
            <w:shd w:val="clear" w:color="auto" w:fill="0064BB"/>
          </w:tcPr>
          <w:p w14:paraId="312057A2" w14:textId="77777777" w:rsidR="00A142EA" w:rsidRDefault="00A142EA" w:rsidP="008544AB">
            <w:pPr>
              <w:pStyle w:val="TableParagraph"/>
              <w:spacing w:before="91"/>
              <w:rPr>
                <w:b/>
                <w:sz w:val="20"/>
              </w:rPr>
            </w:pPr>
            <w:r>
              <w:rPr>
                <w:b/>
                <w:color w:val="FFFFFF"/>
                <w:sz w:val="20"/>
              </w:rPr>
              <w:t>Key</w:t>
            </w:r>
            <w:r>
              <w:rPr>
                <w:b/>
                <w:color w:val="FFFFFF"/>
                <w:spacing w:val="-8"/>
                <w:sz w:val="20"/>
              </w:rPr>
              <w:t xml:space="preserve"> </w:t>
            </w:r>
            <w:r>
              <w:rPr>
                <w:b/>
                <w:color w:val="FFFFFF"/>
                <w:sz w:val="20"/>
              </w:rPr>
              <w:t>Review</w:t>
            </w:r>
            <w:r>
              <w:rPr>
                <w:b/>
                <w:color w:val="FFFFFF"/>
                <w:spacing w:val="-7"/>
                <w:sz w:val="20"/>
              </w:rPr>
              <w:t xml:space="preserve"> </w:t>
            </w:r>
            <w:r>
              <w:rPr>
                <w:b/>
                <w:color w:val="FFFFFF"/>
                <w:spacing w:val="-2"/>
                <w:sz w:val="20"/>
              </w:rPr>
              <w:t>Question</w:t>
            </w:r>
          </w:p>
        </w:tc>
        <w:tc>
          <w:tcPr>
            <w:tcW w:w="2328" w:type="dxa"/>
            <w:shd w:val="clear" w:color="auto" w:fill="0064BB"/>
          </w:tcPr>
          <w:p w14:paraId="40CEB4A6" w14:textId="77777777" w:rsidR="00A142EA" w:rsidRDefault="00A142EA" w:rsidP="008544AB">
            <w:pPr>
              <w:pStyle w:val="TableParagraph"/>
              <w:spacing w:before="91"/>
              <w:ind w:left="108"/>
              <w:rPr>
                <w:b/>
                <w:sz w:val="20"/>
              </w:rPr>
            </w:pPr>
            <w:r>
              <w:rPr>
                <w:b/>
                <w:color w:val="FFFFFF"/>
                <w:spacing w:val="-2"/>
                <w:sz w:val="20"/>
              </w:rPr>
              <w:t>Sub-questions</w:t>
            </w:r>
          </w:p>
        </w:tc>
        <w:tc>
          <w:tcPr>
            <w:tcW w:w="5584" w:type="dxa"/>
            <w:gridSpan w:val="2"/>
            <w:shd w:val="clear" w:color="auto" w:fill="0064BB"/>
          </w:tcPr>
          <w:p w14:paraId="54F51321" w14:textId="77777777" w:rsidR="00A142EA" w:rsidRDefault="00A142EA" w:rsidP="008544AB">
            <w:pPr>
              <w:pStyle w:val="TableParagraph"/>
              <w:spacing w:before="91"/>
              <w:ind w:left="379"/>
              <w:rPr>
                <w:b/>
                <w:sz w:val="20"/>
              </w:rPr>
            </w:pPr>
            <w:r>
              <w:rPr>
                <w:b/>
                <w:color w:val="FFFFFF"/>
                <w:sz w:val="20"/>
              </w:rPr>
              <w:t>Review</w:t>
            </w:r>
            <w:r>
              <w:rPr>
                <w:b/>
                <w:color w:val="FFFFFF"/>
                <w:spacing w:val="-8"/>
                <w:sz w:val="20"/>
              </w:rPr>
              <w:t xml:space="preserve"> </w:t>
            </w:r>
            <w:r>
              <w:rPr>
                <w:b/>
                <w:color w:val="FFFFFF"/>
                <w:sz w:val="20"/>
              </w:rPr>
              <w:t>focus</w:t>
            </w:r>
            <w:r>
              <w:rPr>
                <w:b/>
                <w:color w:val="FFFFFF"/>
                <w:spacing w:val="-8"/>
                <w:sz w:val="20"/>
              </w:rPr>
              <w:t xml:space="preserve"> </w:t>
            </w:r>
            <w:r>
              <w:rPr>
                <w:b/>
                <w:color w:val="FFFFFF"/>
                <w:spacing w:val="-4"/>
                <w:sz w:val="20"/>
              </w:rPr>
              <w:t>areas</w:t>
            </w:r>
          </w:p>
        </w:tc>
      </w:tr>
      <w:tr w:rsidR="00A142EA" w14:paraId="6F37CD7F" w14:textId="77777777" w:rsidTr="008544AB">
        <w:trPr>
          <w:trHeight w:val="2308"/>
        </w:trPr>
        <w:tc>
          <w:tcPr>
            <w:tcW w:w="2294" w:type="dxa"/>
            <w:tcBorders>
              <w:top w:val="single" w:sz="4" w:space="0" w:color="0064BB"/>
              <w:bottom w:val="single" w:sz="4" w:space="0" w:color="0064BB"/>
            </w:tcBorders>
            <w:shd w:val="clear" w:color="auto" w:fill="F1F1F1"/>
          </w:tcPr>
          <w:p w14:paraId="65B6BAFF" w14:textId="77777777" w:rsidR="00A142EA" w:rsidRDefault="00A142EA" w:rsidP="008544AB">
            <w:pPr>
              <w:pStyle w:val="TableParagraph"/>
              <w:spacing w:before="88" w:after="240" w:line="271" w:lineRule="auto"/>
              <w:ind w:left="392" w:right="130" w:hanging="284"/>
              <w:rPr>
                <w:sz w:val="20"/>
              </w:rPr>
            </w:pPr>
            <w:r>
              <w:rPr>
                <w:b/>
                <w:spacing w:val="-2"/>
                <w:sz w:val="20"/>
              </w:rPr>
              <w:t>Relevance</w:t>
            </w:r>
          </w:p>
          <w:p w14:paraId="2E30AC84" w14:textId="77777777" w:rsidR="00A142EA" w:rsidRDefault="00A142EA" w:rsidP="008544AB">
            <w:pPr>
              <w:pStyle w:val="TableParagraph"/>
              <w:spacing w:before="88" w:line="271" w:lineRule="auto"/>
              <w:ind w:left="391" w:right="129" w:hanging="284"/>
              <w:rPr>
                <w:sz w:val="20"/>
              </w:rPr>
            </w:pPr>
            <w:r>
              <w:rPr>
                <w:sz w:val="20"/>
              </w:rPr>
              <w:t>3. How relevant, appropriate, and sustainable is the VAPJP</w:t>
            </w:r>
            <w:r>
              <w:rPr>
                <w:spacing w:val="-14"/>
                <w:sz w:val="20"/>
              </w:rPr>
              <w:t xml:space="preserve"> </w:t>
            </w:r>
            <w:r>
              <w:rPr>
                <w:sz w:val="20"/>
              </w:rPr>
              <w:t>investment?</w:t>
            </w:r>
          </w:p>
        </w:tc>
        <w:tc>
          <w:tcPr>
            <w:tcW w:w="2571" w:type="dxa"/>
            <w:gridSpan w:val="2"/>
            <w:tcBorders>
              <w:top w:val="single" w:sz="4" w:space="0" w:color="0064BB"/>
              <w:bottom w:val="single" w:sz="4" w:space="0" w:color="0064BB"/>
            </w:tcBorders>
          </w:tcPr>
          <w:p w14:paraId="1C5722AA" w14:textId="77777777" w:rsidR="00A142EA" w:rsidRDefault="00A142EA" w:rsidP="008544AB">
            <w:pPr>
              <w:pStyle w:val="TableParagraph"/>
              <w:spacing w:after="1920"/>
              <w:ind w:left="108" w:right="85"/>
              <w:rPr>
                <w:spacing w:val="-2"/>
                <w:sz w:val="20"/>
              </w:rPr>
            </w:pPr>
            <w:r>
              <w:rPr>
                <w:sz w:val="20"/>
              </w:rPr>
              <w:t>3.1</w:t>
            </w:r>
            <w:r>
              <w:rPr>
                <w:spacing w:val="-11"/>
                <w:sz w:val="20"/>
              </w:rPr>
              <w:t xml:space="preserve"> </w:t>
            </w:r>
            <w:r>
              <w:rPr>
                <w:sz w:val="20"/>
              </w:rPr>
              <w:t>How</w:t>
            </w:r>
            <w:r>
              <w:rPr>
                <w:spacing w:val="-11"/>
                <w:sz w:val="20"/>
              </w:rPr>
              <w:t xml:space="preserve"> </w:t>
            </w:r>
            <w:r>
              <w:rPr>
                <w:sz w:val="20"/>
              </w:rPr>
              <w:t>has</w:t>
            </w:r>
            <w:r>
              <w:rPr>
                <w:spacing w:val="-10"/>
                <w:sz w:val="20"/>
              </w:rPr>
              <w:t xml:space="preserve"> </w:t>
            </w:r>
            <w:r>
              <w:rPr>
                <w:sz w:val="20"/>
              </w:rPr>
              <w:t>the</w:t>
            </w:r>
            <w:r>
              <w:rPr>
                <w:spacing w:val="-9"/>
                <w:sz w:val="20"/>
              </w:rPr>
              <w:t xml:space="preserve"> </w:t>
            </w:r>
            <w:r>
              <w:rPr>
                <w:sz w:val="20"/>
              </w:rPr>
              <w:t>operating context</w:t>
            </w:r>
            <w:r>
              <w:rPr>
                <w:spacing w:val="-14"/>
                <w:sz w:val="20"/>
              </w:rPr>
              <w:t xml:space="preserve"> </w:t>
            </w:r>
            <w:r>
              <w:rPr>
                <w:sz w:val="20"/>
              </w:rPr>
              <w:t>changed,</w:t>
            </w:r>
            <w:r>
              <w:rPr>
                <w:spacing w:val="-13"/>
                <w:sz w:val="20"/>
              </w:rPr>
              <w:t xml:space="preserve"> </w:t>
            </w:r>
            <w:r>
              <w:rPr>
                <w:sz w:val="20"/>
              </w:rPr>
              <w:t>and</w:t>
            </w:r>
            <w:r>
              <w:rPr>
                <w:spacing w:val="-14"/>
                <w:sz w:val="20"/>
              </w:rPr>
              <w:t xml:space="preserve"> </w:t>
            </w:r>
            <w:r>
              <w:rPr>
                <w:sz w:val="20"/>
              </w:rPr>
              <w:t xml:space="preserve">how has VAPJP adapted to </w:t>
            </w:r>
            <w:r>
              <w:rPr>
                <w:spacing w:val="-2"/>
                <w:sz w:val="20"/>
              </w:rPr>
              <w:t>this?</w:t>
            </w:r>
          </w:p>
          <w:p w14:paraId="55D99E03" w14:textId="77777777" w:rsidR="00A142EA" w:rsidRDefault="00A142EA" w:rsidP="008544AB">
            <w:pPr>
              <w:pStyle w:val="TableParagraph"/>
              <w:ind w:left="105" w:right="179"/>
              <w:rPr>
                <w:sz w:val="20"/>
              </w:rPr>
            </w:pPr>
            <w:r>
              <w:rPr>
                <w:sz w:val="20"/>
              </w:rPr>
              <w:t>3.2 To what extent does the</w:t>
            </w:r>
            <w:r>
              <w:rPr>
                <w:spacing w:val="-13"/>
                <w:sz w:val="20"/>
              </w:rPr>
              <w:t xml:space="preserve"> </w:t>
            </w:r>
            <w:r>
              <w:rPr>
                <w:sz w:val="20"/>
              </w:rPr>
              <w:t>VAPJP</w:t>
            </w:r>
            <w:r>
              <w:rPr>
                <w:spacing w:val="-13"/>
                <w:sz w:val="20"/>
              </w:rPr>
              <w:t xml:space="preserve"> </w:t>
            </w:r>
            <w:r>
              <w:rPr>
                <w:sz w:val="20"/>
              </w:rPr>
              <w:t>design</w:t>
            </w:r>
            <w:r>
              <w:rPr>
                <w:spacing w:val="-14"/>
                <w:sz w:val="20"/>
              </w:rPr>
              <w:t xml:space="preserve"> </w:t>
            </w:r>
            <w:r>
              <w:rPr>
                <w:sz w:val="20"/>
              </w:rPr>
              <w:t>remain strategically aligned to</w:t>
            </w:r>
          </w:p>
          <w:p w14:paraId="188FB328" w14:textId="77777777" w:rsidR="00A142EA" w:rsidRDefault="00A142EA" w:rsidP="008544AB">
            <w:pPr>
              <w:pStyle w:val="TableParagraph"/>
              <w:spacing w:after="600"/>
              <w:ind w:left="108" w:right="85"/>
              <w:rPr>
                <w:sz w:val="20"/>
              </w:rPr>
            </w:pPr>
            <w:r>
              <w:rPr>
                <w:sz w:val="20"/>
              </w:rPr>
              <w:t>Australian interests and comparative</w:t>
            </w:r>
            <w:r>
              <w:rPr>
                <w:spacing w:val="-14"/>
                <w:sz w:val="20"/>
              </w:rPr>
              <w:t xml:space="preserve"> </w:t>
            </w:r>
            <w:r>
              <w:rPr>
                <w:sz w:val="20"/>
              </w:rPr>
              <w:t>advantage, and</w:t>
            </w:r>
            <w:r>
              <w:rPr>
                <w:spacing w:val="-14"/>
                <w:sz w:val="20"/>
              </w:rPr>
              <w:t xml:space="preserve"> </w:t>
            </w:r>
            <w:r>
              <w:rPr>
                <w:sz w:val="20"/>
              </w:rPr>
              <w:t>Vanuatu</w:t>
            </w:r>
            <w:r>
              <w:rPr>
                <w:spacing w:val="-14"/>
                <w:sz w:val="20"/>
              </w:rPr>
              <w:t xml:space="preserve"> </w:t>
            </w:r>
            <w:r>
              <w:rPr>
                <w:sz w:val="20"/>
              </w:rPr>
              <w:t>government development priorities?</w:t>
            </w:r>
          </w:p>
          <w:p w14:paraId="5BD8C5BE" w14:textId="77777777" w:rsidR="00A142EA" w:rsidRDefault="00A142EA" w:rsidP="008544AB">
            <w:pPr>
              <w:pStyle w:val="TableParagraph"/>
              <w:ind w:left="105" w:right="84"/>
              <w:rPr>
                <w:sz w:val="20"/>
              </w:rPr>
            </w:pPr>
            <w:r>
              <w:rPr>
                <w:sz w:val="20"/>
              </w:rPr>
              <w:t>3.3</w:t>
            </w:r>
            <w:r>
              <w:rPr>
                <w:spacing w:val="-11"/>
                <w:sz w:val="20"/>
              </w:rPr>
              <w:t xml:space="preserve"> </w:t>
            </w:r>
            <w:r>
              <w:rPr>
                <w:sz w:val="20"/>
              </w:rPr>
              <w:t>To</w:t>
            </w:r>
            <w:r>
              <w:rPr>
                <w:spacing w:val="-9"/>
                <w:sz w:val="20"/>
              </w:rPr>
              <w:t xml:space="preserve"> </w:t>
            </w:r>
            <w:r>
              <w:rPr>
                <w:sz w:val="20"/>
              </w:rPr>
              <w:t>what</w:t>
            </w:r>
            <w:r>
              <w:rPr>
                <w:spacing w:val="-9"/>
                <w:sz w:val="20"/>
              </w:rPr>
              <w:t xml:space="preserve"> </w:t>
            </w:r>
            <w:r>
              <w:rPr>
                <w:sz w:val="20"/>
              </w:rPr>
              <w:t>extent</w:t>
            </w:r>
            <w:r>
              <w:rPr>
                <w:spacing w:val="-11"/>
                <w:sz w:val="20"/>
              </w:rPr>
              <w:t xml:space="preserve"> </w:t>
            </w:r>
            <w:r>
              <w:rPr>
                <w:sz w:val="20"/>
              </w:rPr>
              <w:t xml:space="preserve">are VAPJP outcomes </w:t>
            </w:r>
            <w:r>
              <w:rPr>
                <w:spacing w:val="-2"/>
                <w:sz w:val="20"/>
              </w:rPr>
              <w:t>sustainable?</w:t>
            </w:r>
          </w:p>
        </w:tc>
        <w:tc>
          <w:tcPr>
            <w:tcW w:w="5341" w:type="dxa"/>
            <w:tcBorders>
              <w:top w:val="single" w:sz="4" w:space="0" w:color="0064BB"/>
              <w:bottom w:val="single" w:sz="4" w:space="0" w:color="0064BB"/>
            </w:tcBorders>
          </w:tcPr>
          <w:p w14:paraId="2626FD6A" w14:textId="77777777" w:rsidR="00A142EA" w:rsidRDefault="00A142EA" w:rsidP="008544AB">
            <w:pPr>
              <w:pStyle w:val="TableParagraph"/>
              <w:spacing w:before="79"/>
              <w:ind w:left="134"/>
              <w:rPr>
                <w:sz w:val="20"/>
              </w:rPr>
            </w:pPr>
            <w:r>
              <w:rPr>
                <w:sz w:val="20"/>
              </w:rPr>
              <w:t>How</w:t>
            </w:r>
            <w:r>
              <w:rPr>
                <w:spacing w:val="-6"/>
                <w:sz w:val="20"/>
              </w:rPr>
              <w:t xml:space="preserve"> </w:t>
            </w:r>
            <w:r>
              <w:rPr>
                <w:sz w:val="20"/>
              </w:rPr>
              <w:t>have</w:t>
            </w:r>
            <w:r>
              <w:rPr>
                <w:spacing w:val="-6"/>
                <w:sz w:val="20"/>
              </w:rPr>
              <w:t xml:space="preserve"> </w:t>
            </w:r>
            <w:r>
              <w:rPr>
                <w:sz w:val="20"/>
              </w:rPr>
              <w:t>the</w:t>
            </w:r>
            <w:r>
              <w:rPr>
                <w:spacing w:val="-6"/>
                <w:sz w:val="20"/>
              </w:rPr>
              <w:t xml:space="preserve"> </w:t>
            </w:r>
            <w:r>
              <w:rPr>
                <w:sz w:val="20"/>
              </w:rPr>
              <w:t>relevant</w:t>
            </w:r>
            <w:r>
              <w:rPr>
                <w:spacing w:val="-6"/>
                <w:sz w:val="20"/>
              </w:rPr>
              <w:t xml:space="preserve"> </w:t>
            </w:r>
            <w:r>
              <w:rPr>
                <w:sz w:val="20"/>
              </w:rPr>
              <w:t>settings</w:t>
            </w:r>
            <w:r>
              <w:rPr>
                <w:spacing w:val="-5"/>
                <w:sz w:val="20"/>
              </w:rPr>
              <w:t xml:space="preserve"> </w:t>
            </w:r>
            <w:r>
              <w:rPr>
                <w:sz w:val="20"/>
              </w:rPr>
              <w:t>in</w:t>
            </w:r>
            <w:r>
              <w:rPr>
                <w:spacing w:val="-4"/>
                <w:sz w:val="20"/>
              </w:rPr>
              <w:t xml:space="preserve"> </w:t>
            </w:r>
            <w:r>
              <w:rPr>
                <w:sz w:val="20"/>
              </w:rPr>
              <w:t>Vanuatu</w:t>
            </w:r>
            <w:r>
              <w:rPr>
                <w:spacing w:val="-6"/>
                <w:sz w:val="20"/>
              </w:rPr>
              <w:t xml:space="preserve"> </w:t>
            </w:r>
            <w:r>
              <w:rPr>
                <w:sz w:val="20"/>
              </w:rPr>
              <w:t>changed</w:t>
            </w:r>
            <w:r>
              <w:rPr>
                <w:spacing w:val="-6"/>
                <w:sz w:val="20"/>
              </w:rPr>
              <w:t xml:space="preserve"> </w:t>
            </w:r>
            <w:r>
              <w:rPr>
                <w:sz w:val="20"/>
              </w:rPr>
              <w:t>since 2019,</w:t>
            </w:r>
            <w:r>
              <w:rPr>
                <w:spacing w:val="-2"/>
                <w:sz w:val="20"/>
              </w:rPr>
              <w:t xml:space="preserve"> </w:t>
            </w:r>
            <w:r>
              <w:rPr>
                <w:sz w:val="20"/>
              </w:rPr>
              <w:t>such</w:t>
            </w:r>
            <w:r>
              <w:rPr>
                <w:spacing w:val="-2"/>
                <w:sz w:val="20"/>
              </w:rPr>
              <w:t xml:space="preserve"> </w:t>
            </w:r>
            <w:r>
              <w:rPr>
                <w:sz w:val="20"/>
              </w:rPr>
              <w:t>as</w:t>
            </w:r>
            <w:r>
              <w:rPr>
                <w:spacing w:val="-1"/>
                <w:sz w:val="20"/>
              </w:rPr>
              <w:t xml:space="preserve"> </w:t>
            </w:r>
            <w:r>
              <w:rPr>
                <w:sz w:val="20"/>
              </w:rPr>
              <w:t>security</w:t>
            </w:r>
            <w:r>
              <w:rPr>
                <w:spacing w:val="-1"/>
                <w:sz w:val="20"/>
              </w:rPr>
              <w:t xml:space="preserve"> </w:t>
            </w:r>
            <w:r>
              <w:rPr>
                <w:sz w:val="20"/>
              </w:rPr>
              <w:t>environment</w:t>
            </w:r>
            <w:r>
              <w:rPr>
                <w:spacing w:val="-2"/>
                <w:sz w:val="20"/>
              </w:rPr>
              <w:t xml:space="preserve"> </w:t>
            </w:r>
            <w:r>
              <w:rPr>
                <w:sz w:val="20"/>
              </w:rPr>
              <w:t>(e.g.</w:t>
            </w:r>
            <w:r>
              <w:rPr>
                <w:spacing w:val="-2"/>
                <w:sz w:val="20"/>
              </w:rPr>
              <w:t xml:space="preserve"> </w:t>
            </w:r>
            <w:r>
              <w:rPr>
                <w:sz w:val="20"/>
              </w:rPr>
              <w:t>increased</w:t>
            </w:r>
            <w:r>
              <w:rPr>
                <w:spacing w:val="-2"/>
                <w:sz w:val="20"/>
              </w:rPr>
              <w:t xml:space="preserve"> </w:t>
            </w:r>
            <w:r>
              <w:rPr>
                <w:sz w:val="20"/>
              </w:rPr>
              <w:t>focus on</w:t>
            </w:r>
            <w:r>
              <w:rPr>
                <w:spacing w:val="-2"/>
                <w:sz w:val="20"/>
              </w:rPr>
              <w:t xml:space="preserve"> </w:t>
            </w:r>
            <w:r>
              <w:rPr>
                <w:sz w:val="20"/>
              </w:rPr>
              <w:t>cyber-security),</w:t>
            </w:r>
            <w:r>
              <w:rPr>
                <w:spacing w:val="-2"/>
                <w:sz w:val="20"/>
              </w:rPr>
              <w:t xml:space="preserve"> </w:t>
            </w:r>
            <w:r>
              <w:rPr>
                <w:sz w:val="20"/>
              </w:rPr>
              <w:t>policy</w:t>
            </w:r>
            <w:r>
              <w:rPr>
                <w:spacing w:val="-1"/>
                <w:sz w:val="20"/>
              </w:rPr>
              <w:t xml:space="preserve"> </w:t>
            </w:r>
            <w:r>
              <w:rPr>
                <w:sz w:val="20"/>
              </w:rPr>
              <w:t>priorities</w:t>
            </w:r>
            <w:r>
              <w:rPr>
                <w:spacing w:val="-1"/>
                <w:sz w:val="20"/>
              </w:rPr>
              <w:t xml:space="preserve"> </w:t>
            </w:r>
            <w:r>
              <w:rPr>
                <w:sz w:val="20"/>
              </w:rPr>
              <w:t>(e.g.</w:t>
            </w:r>
            <w:r>
              <w:rPr>
                <w:spacing w:val="-2"/>
                <w:sz w:val="20"/>
              </w:rPr>
              <w:t xml:space="preserve"> </w:t>
            </w:r>
            <w:r>
              <w:rPr>
                <w:sz w:val="20"/>
              </w:rPr>
              <w:t xml:space="preserve">decentralisation), capacity/needs within relevant ministries and political settings? To what extent is VAPJP navigating these new </w:t>
            </w:r>
            <w:r>
              <w:rPr>
                <w:spacing w:val="-2"/>
                <w:sz w:val="20"/>
              </w:rPr>
              <w:t>settings?</w:t>
            </w:r>
          </w:p>
          <w:p w14:paraId="40D49ADB" w14:textId="77777777" w:rsidR="00A142EA" w:rsidRDefault="00A142EA" w:rsidP="008544AB">
            <w:pPr>
              <w:pStyle w:val="TableParagraph"/>
              <w:spacing w:before="79" w:after="720"/>
              <w:ind w:left="136" w:right="210"/>
              <w:rPr>
                <w:sz w:val="20"/>
              </w:rPr>
            </w:pPr>
            <w:r>
              <w:rPr>
                <w:sz w:val="20"/>
              </w:rPr>
              <w:t>How has the Australia-Vanuatu relationship in the policing</w:t>
            </w:r>
            <w:r>
              <w:rPr>
                <w:spacing w:val="-6"/>
                <w:sz w:val="20"/>
              </w:rPr>
              <w:t xml:space="preserve"> </w:t>
            </w:r>
            <w:r>
              <w:rPr>
                <w:sz w:val="20"/>
              </w:rPr>
              <w:t>and</w:t>
            </w:r>
            <w:r>
              <w:rPr>
                <w:spacing w:val="-6"/>
                <w:sz w:val="20"/>
              </w:rPr>
              <w:t xml:space="preserve"> </w:t>
            </w:r>
            <w:r>
              <w:rPr>
                <w:sz w:val="20"/>
              </w:rPr>
              <w:t>justice</w:t>
            </w:r>
            <w:r>
              <w:rPr>
                <w:spacing w:val="-6"/>
                <w:sz w:val="20"/>
              </w:rPr>
              <w:t xml:space="preserve"> </w:t>
            </w:r>
            <w:r>
              <w:rPr>
                <w:sz w:val="20"/>
              </w:rPr>
              <w:t>sector</w:t>
            </w:r>
            <w:r>
              <w:rPr>
                <w:spacing w:val="-6"/>
                <w:sz w:val="20"/>
              </w:rPr>
              <w:t xml:space="preserve"> </w:t>
            </w:r>
            <w:r>
              <w:rPr>
                <w:sz w:val="20"/>
              </w:rPr>
              <w:t>evolved</w:t>
            </w:r>
            <w:r>
              <w:rPr>
                <w:spacing w:val="-6"/>
                <w:sz w:val="20"/>
              </w:rPr>
              <w:t xml:space="preserve"> </w:t>
            </w:r>
            <w:r>
              <w:rPr>
                <w:sz w:val="20"/>
              </w:rPr>
              <w:t>since</w:t>
            </w:r>
            <w:r>
              <w:rPr>
                <w:spacing w:val="-6"/>
                <w:sz w:val="20"/>
              </w:rPr>
              <w:t xml:space="preserve"> </w:t>
            </w:r>
            <w:r>
              <w:rPr>
                <w:sz w:val="20"/>
              </w:rPr>
              <w:t>2019?</w:t>
            </w:r>
            <w:r>
              <w:rPr>
                <w:spacing w:val="-6"/>
                <w:sz w:val="20"/>
              </w:rPr>
              <w:t xml:space="preserve"> </w:t>
            </w:r>
            <w:r>
              <w:rPr>
                <w:sz w:val="20"/>
              </w:rPr>
              <w:t>How does this affect VAPJP framing and potential?</w:t>
            </w:r>
          </w:p>
          <w:p w14:paraId="3745AB1C" w14:textId="77777777" w:rsidR="00A142EA" w:rsidRDefault="00A142EA" w:rsidP="008544AB">
            <w:pPr>
              <w:pStyle w:val="TableParagraph"/>
              <w:spacing w:before="79" w:after="2040"/>
              <w:ind w:left="136" w:right="210"/>
              <w:rPr>
                <w:spacing w:val="-2"/>
                <w:sz w:val="20"/>
              </w:rPr>
            </w:pPr>
            <w:r>
              <w:rPr>
                <w:sz w:val="20"/>
              </w:rPr>
              <w:t>Are</w:t>
            </w:r>
            <w:r>
              <w:rPr>
                <w:spacing w:val="-5"/>
                <w:sz w:val="20"/>
              </w:rPr>
              <w:t xml:space="preserve"> </w:t>
            </w:r>
            <w:r>
              <w:rPr>
                <w:sz w:val="20"/>
              </w:rPr>
              <w:t>the</w:t>
            </w:r>
            <w:r>
              <w:rPr>
                <w:spacing w:val="-5"/>
                <w:sz w:val="20"/>
              </w:rPr>
              <w:t xml:space="preserve"> </w:t>
            </w:r>
            <w:r>
              <w:rPr>
                <w:sz w:val="20"/>
              </w:rPr>
              <w:t>EOPOs</w:t>
            </w:r>
            <w:r>
              <w:rPr>
                <w:spacing w:val="-3"/>
                <w:sz w:val="20"/>
              </w:rPr>
              <w:t xml:space="preserve"> </w:t>
            </w:r>
            <w:r>
              <w:rPr>
                <w:sz w:val="20"/>
              </w:rPr>
              <w:t>still</w:t>
            </w:r>
            <w:r>
              <w:rPr>
                <w:spacing w:val="-6"/>
                <w:sz w:val="20"/>
              </w:rPr>
              <w:t xml:space="preserve"> </w:t>
            </w:r>
            <w:r>
              <w:rPr>
                <w:spacing w:val="-2"/>
                <w:sz w:val="20"/>
              </w:rPr>
              <w:t>relevant?</w:t>
            </w:r>
          </w:p>
          <w:p w14:paraId="06C22C10" w14:textId="77777777" w:rsidR="00A142EA" w:rsidRDefault="00A142EA" w:rsidP="008544AB">
            <w:pPr>
              <w:pStyle w:val="TableParagraph"/>
              <w:spacing w:before="79"/>
              <w:ind w:left="108"/>
              <w:rPr>
                <w:sz w:val="20"/>
              </w:rPr>
            </w:pPr>
            <w:r>
              <w:rPr>
                <w:sz w:val="20"/>
              </w:rPr>
              <w:t>What</w:t>
            </w:r>
            <w:r>
              <w:rPr>
                <w:spacing w:val="-6"/>
                <w:sz w:val="20"/>
              </w:rPr>
              <w:t xml:space="preserve"> </w:t>
            </w:r>
            <w:r>
              <w:rPr>
                <w:sz w:val="20"/>
              </w:rPr>
              <w:t>evidence</w:t>
            </w:r>
            <w:r>
              <w:rPr>
                <w:spacing w:val="-5"/>
                <w:sz w:val="20"/>
              </w:rPr>
              <w:t xml:space="preserve"> </w:t>
            </w:r>
            <w:r>
              <w:rPr>
                <w:sz w:val="20"/>
              </w:rPr>
              <w:t>exists</w:t>
            </w:r>
            <w:r>
              <w:rPr>
                <w:spacing w:val="-6"/>
                <w:sz w:val="20"/>
              </w:rPr>
              <w:t xml:space="preserve"> </w:t>
            </w:r>
            <w:r>
              <w:rPr>
                <w:sz w:val="20"/>
              </w:rPr>
              <w:t>to</w:t>
            </w:r>
            <w:r>
              <w:rPr>
                <w:spacing w:val="-6"/>
                <w:sz w:val="20"/>
              </w:rPr>
              <w:t xml:space="preserve"> </w:t>
            </w:r>
            <w:r>
              <w:rPr>
                <w:sz w:val="20"/>
              </w:rPr>
              <w:t>suggest</w:t>
            </w:r>
            <w:r>
              <w:rPr>
                <w:spacing w:val="-6"/>
                <w:sz w:val="20"/>
              </w:rPr>
              <w:t xml:space="preserve"> </w:t>
            </w:r>
            <w:r>
              <w:rPr>
                <w:sz w:val="20"/>
              </w:rPr>
              <w:t>ownership</w:t>
            </w:r>
            <w:r>
              <w:rPr>
                <w:spacing w:val="-6"/>
                <w:sz w:val="20"/>
              </w:rPr>
              <w:t xml:space="preserve"> </w:t>
            </w:r>
            <w:r>
              <w:rPr>
                <w:sz w:val="20"/>
              </w:rPr>
              <w:t>of</w:t>
            </w:r>
            <w:r>
              <w:rPr>
                <w:spacing w:val="-6"/>
                <w:sz w:val="20"/>
              </w:rPr>
              <w:t xml:space="preserve"> </w:t>
            </w:r>
            <w:r>
              <w:rPr>
                <w:sz w:val="20"/>
              </w:rPr>
              <w:t>VAPJP priorities and results amongst program stakeholders, including GoV?</w:t>
            </w:r>
          </w:p>
          <w:p w14:paraId="622121F3" w14:textId="77777777" w:rsidR="00A142EA" w:rsidRDefault="00A142EA" w:rsidP="008544AB">
            <w:pPr>
              <w:pStyle w:val="TableParagraph"/>
              <w:spacing w:before="79" w:after="120"/>
              <w:ind w:left="136" w:right="210"/>
              <w:rPr>
                <w:sz w:val="20"/>
              </w:rPr>
            </w:pPr>
            <w:r>
              <w:rPr>
                <w:sz w:val="20"/>
              </w:rPr>
              <w:t>Is</w:t>
            </w:r>
            <w:r>
              <w:rPr>
                <w:spacing w:val="-4"/>
                <w:sz w:val="20"/>
              </w:rPr>
              <w:t xml:space="preserve"> </w:t>
            </w:r>
            <w:r>
              <w:rPr>
                <w:sz w:val="20"/>
              </w:rPr>
              <w:t>there</w:t>
            </w:r>
            <w:r>
              <w:rPr>
                <w:spacing w:val="-3"/>
                <w:sz w:val="20"/>
              </w:rPr>
              <w:t xml:space="preserve"> </w:t>
            </w:r>
            <w:r>
              <w:rPr>
                <w:sz w:val="20"/>
              </w:rPr>
              <w:t>more</w:t>
            </w:r>
            <w:r>
              <w:rPr>
                <w:spacing w:val="-5"/>
                <w:sz w:val="20"/>
              </w:rPr>
              <w:t xml:space="preserve"> </w:t>
            </w:r>
            <w:r>
              <w:rPr>
                <w:sz w:val="20"/>
              </w:rPr>
              <w:t>that</w:t>
            </w:r>
            <w:r>
              <w:rPr>
                <w:spacing w:val="-3"/>
                <w:sz w:val="20"/>
              </w:rPr>
              <w:t xml:space="preserve"> </w:t>
            </w:r>
            <w:r>
              <w:rPr>
                <w:sz w:val="20"/>
              </w:rPr>
              <w:t>VAPJP</w:t>
            </w:r>
            <w:r>
              <w:rPr>
                <w:spacing w:val="-6"/>
                <w:sz w:val="20"/>
              </w:rPr>
              <w:t xml:space="preserve"> </w:t>
            </w:r>
            <w:r>
              <w:rPr>
                <w:sz w:val="20"/>
              </w:rPr>
              <w:t>could</w:t>
            </w:r>
            <w:r>
              <w:rPr>
                <w:spacing w:val="-5"/>
                <w:sz w:val="20"/>
              </w:rPr>
              <w:t xml:space="preserve"> </w:t>
            </w:r>
            <w:r>
              <w:rPr>
                <w:sz w:val="20"/>
              </w:rPr>
              <w:t>be</w:t>
            </w:r>
            <w:r>
              <w:rPr>
                <w:spacing w:val="-3"/>
                <w:sz w:val="20"/>
              </w:rPr>
              <w:t xml:space="preserve"> </w:t>
            </w:r>
            <w:r>
              <w:rPr>
                <w:sz w:val="20"/>
              </w:rPr>
              <w:t>doing</w:t>
            </w:r>
            <w:r>
              <w:rPr>
                <w:spacing w:val="-3"/>
                <w:sz w:val="20"/>
              </w:rPr>
              <w:t xml:space="preserve"> </w:t>
            </w:r>
            <w:r>
              <w:rPr>
                <w:sz w:val="20"/>
              </w:rPr>
              <w:t>to</w:t>
            </w:r>
            <w:r>
              <w:rPr>
                <w:spacing w:val="-5"/>
                <w:sz w:val="20"/>
              </w:rPr>
              <w:t xml:space="preserve"> </w:t>
            </w:r>
            <w:r>
              <w:rPr>
                <w:sz w:val="20"/>
              </w:rPr>
              <w:t>support</w:t>
            </w:r>
            <w:r>
              <w:rPr>
                <w:spacing w:val="-3"/>
                <w:sz w:val="20"/>
              </w:rPr>
              <w:t xml:space="preserve"> </w:t>
            </w:r>
            <w:r>
              <w:rPr>
                <w:sz w:val="20"/>
              </w:rPr>
              <w:t>the VPF in securing appropriate levels of budget support?</w:t>
            </w:r>
          </w:p>
          <w:p w14:paraId="2C2053B3" w14:textId="77777777" w:rsidR="00A142EA" w:rsidRDefault="00A142EA" w:rsidP="008544AB">
            <w:pPr>
              <w:pStyle w:val="TableParagraph"/>
              <w:spacing w:before="79"/>
              <w:ind w:left="134" w:right="208"/>
              <w:rPr>
                <w:sz w:val="20"/>
              </w:rPr>
            </w:pPr>
            <w:r>
              <w:rPr>
                <w:sz w:val="20"/>
              </w:rPr>
              <w:t>How</w:t>
            </w:r>
            <w:r>
              <w:rPr>
                <w:spacing w:val="-7"/>
                <w:sz w:val="20"/>
              </w:rPr>
              <w:t xml:space="preserve"> </w:t>
            </w:r>
            <w:r>
              <w:rPr>
                <w:sz w:val="20"/>
              </w:rPr>
              <w:t>has</w:t>
            </w:r>
            <w:r>
              <w:rPr>
                <w:spacing w:val="-6"/>
                <w:sz w:val="20"/>
              </w:rPr>
              <w:t xml:space="preserve"> </w:t>
            </w:r>
            <w:r>
              <w:rPr>
                <w:sz w:val="20"/>
              </w:rPr>
              <w:t>the</w:t>
            </w:r>
            <w:r>
              <w:rPr>
                <w:spacing w:val="-5"/>
                <w:sz w:val="20"/>
              </w:rPr>
              <w:t xml:space="preserve"> </w:t>
            </w:r>
            <w:r>
              <w:rPr>
                <w:sz w:val="20"/>
              </w:rPr>
              <w:t>program’s</w:t>
            </w:r>
            <w:r>
              <w:rPr>
                <w:spacing w:val="-3"/>
                <w:sz w:val="20"/>
              </w:rPr>
              <w:t xml:space="preserve"> </w:t>
            </w:r>
            <w:r>
              <w:rPr>
                <w:sz w:val="20"/>
              </w:rPr>
              <w:t>increased</w:t>
            </w:r>
            <w:r>
              <w:rPr>
                <w:spacing w:val="-7"/>
                <w:sz w:val="20"/>
              </w:rPr>
              <w:t xml:space="preserve"> </w:t>
            </w:r>
            <w:r>
              <w:rPr>
                <w:sz w:val="20"/>
              </w:rPr>
              <w:t>focus</w:t>
            </w:r>
            <w:r>
              <w:rPr>
                <w:spacing w:val="-6"/>
                <w:sz w:val="20"/>
              </w:rPr>
              <w:t xml:space="preserve"> </w:t>
            </w:r>
            <w:r>
              <w:rPr>
                <w:sz w:val="20"/>
              </w:rPr>
              <w:t>on</w:t>
            </w:r>
            <w:r>
              <w:rPr>
                <w:spacing w:val="-5"/>
                <w:sz w:val="20"/>
              </w:rPr>
              <w:t xml:space="preserve"> </w:t>
            </w:r>
            <w:r>
              <w:rPr>
                <w:sz w:val="20"/>
              </w:rPr>
              <w:t>the</w:t>
            </w:r>
            <w:r>
              <w:rPr>
                <w:spacing w:val="-5"/>
                <w:sz w:val="20"/>
              </w:rPr>
              <w:t xml:space="preserve"> </w:t>
            </w:r>
            <w:r>
              <w:rPr>
                <w:sz w:val="20"/>
              </w:rPr>
              <w:t>interface between kastom and formal justice systems affected its relevance and sustainability?</w:t>
            </w:r>
          </w:p>
        </w:tc>
      </w:tr>
      <w:tr w:rsidR="00A142EA" w14:paraId="0D17E910" w14:textId="77777777" w:rsidTr="008544AB">
        <w:trPr>
          <w:trHeight w:val="2308"/>
        </w:trPr>
        <w:tc>
          <w:tcPr>
            <w:tcW w:w="2294" w:type="dxa"/>
            <w:tcBorders>
              <w:top w:val="single" w:sz="4" w:space="0" w:color="0064BB"/>
              <w:bottom w:val="single" w:sz="4" w:space="0" w:color="0064BB"/>
            </w:tcBorders>
            <w:shd w:val="clear" w:color="auto" w:fill="F1F1F1"/>
          </w:tcPr>
          <w:p w14:paraId="4AD36850" w14:textId="77777777" w:rsidR="00A142EA" w:rsidRPr="00044F9F" w:rsidRDefault="00A142EA" w:rsidP="008544AB">
            <w:pPr>
              <w:pStyle w:val="TableParagraph"/>
              <w:spacing w:before="88" w:after="240" w:line="271" w:lineRule="auto"/>
              <w:ind w:left="392" w:right="130" w:hanging="284"/>
              <w:rPr>
                <w:b/>
                <w:spacing w:val="-2"/>
                <w:sz w:val="20"/>
              </w:rPr>
            </w:pPr>
            <w:r w:rsidRPr="00044F9F">
              <w:rPr>
                <w:b/>
                <w:spacing w:val="-2"/>
                <w:sz w:val="20"/>
              </w:rPr>
              <w:t xml:space="preserve">Future </w:t>
            </w:r>
            <w:r>
              <w:rPr>
                <w:b/>
                <w:spacing w:val="-2"/>
                <w:sz w:val="20"/>
              </w:rPr>
              <w:t>focus</w:t>
            </w:r>
          </w:p>
          <w:p w14:paraId="2B55A38C" w14:textId="77777777" w:rsidR="00A142EA" w:rsidRDefault="00A142EA" w:rsidP="008544AB">
            <w:pPr>
              <w:pStyle w:val="TableParagraph"/>
              <w:spacing w:before="88" w:after="240" w:line="271" w:lineRule="auto"/>
              <w:ind w:left="392" w:right="130" w:hanging="284"/>
              <w:rPr>
                <w:b/>
                <w:spacing w:val="-2"/>
                <w:sz w:val="20"/>
              </w:rPr>
            </w:pPr>
            <w:r w:rsidRPr="00044F9F">
              <w:rPr>
                <w:b/>
                <w:spacing w:val="-2"/>
                <w:sz w:val="20"/>
              </w:rPr>
              <w:t>4. What opportunities are there for Australia to contribute to the Vanuatu policing and justice sector effectively and efficiently, going forward?</w:t>
            </w:r>
          </w:p>
        </w:tc>
        <w:tc>
          <w:tcPr>
            <w:tcW w:w="2571" w:type="dxa"/>
            <w:gridSpan w:val="2"/>
            <w:tcBorders>
              <w:top w:val="single" w:sz="4" w:space="0" w:color="0064BB"/>
              <w:bottom w:val="single" w:sz="4" w:space="0" w:color="0064BB"/>
            </w:tcBorders>
          </w:tcPr>
          <w:p w14:paraId="0F700D93" w14:textId="77777777" w:rsidR="00A142EA" w:rsidRDefault="00A142EA" w:rsidP="008544AB">
            <w:pPr>
              <w:pStyle w:val="TableParagraph"/>
              <w:ind w:left="108" w:right="85"/>
              <w:rPr>
                <w:sz w:val="20"/>
              </w:rPr>
            </w:pPr>
            <w:r>
              <w:rPr>
                <w:sz w:val="20"/>
              </w:rPr>
              <w:t>4.1 For the remaining period of VAPJP (to end 2024), what further adaptation</w:t>
            </w:r>
            <w:r w:rsidRPr="0005051B">
              <w:rPr>
                <w:sz w:val="20"/>
              </w:rPr>
              <w:t xml:space="preserve"> </w:t>
            </w:r>
            <w:r>
              <w:rPr>
                <w:sz w:val="20"/>
              </w:rPr>
              <w:t>is</w:t>
            </w:r>
            <w:r w:rsidRPr="0005051B">
              <w:rPr>
                <w:sz w:val="20"/>
              </w:rPr>
              <w:t xml:space="preserve"> </w:t>
            </w:r>
            <w:r>
              <w:rPr>
                <w:sz w:val="20"/>
              </w:rPr>
              <w:t>required</w:t>
            </w:r>
            <w:r w:rsidRPr="0005051B">
              <w:rPr>
                <w:sz w:val="20"/>
              </w:rPr>
              <w:t xml:space="preserve"> </w:t>
            </w:r>
            <w:r>
              <w:rPr>
                <w:sz w:val="20"/>
              </w:rPr>
              <w:t xml:space="preserve">for the program to remain relevant to security and justice challenges in </w:t>
            </w:r>
            <w:r w:rsidRPr="0005051B">
              <w:rPr>
                <w:sz w:val="20"/>
              </w:rPr>
              <w:t>Vanuatu?</w:t>
            </w:r>
          </w:p>
        </w:tc>
        <w:tc>
          <w:tcPr>
            <w:tcW w:w="5341" w:type="dxa"/>
            <w:tcBorders>
              <w:top w:val="single" w:sz="4" w:space="0" w:color="0064BB"/>
              <w:bottom w:val="single" w:sz="4" w:space="0" w:color="0064BB"/>
            </w:tcBorders>
          </w:tcPr>
          <w:p w14:paraId="58C58077" w14:textId="77777777" w:rsidR="00A142EA" w:rsidRDefault="00A142EA" w:rsidP="008544AB">
            <w:pPr>
              <w:pStyle w:val="TableParagraph"/>
              <w:spacing w:before="81"/>
              <w:ind w:left="108"/>
              <w:rPr>
                <w:spacing w:val="-2"/>
                <w:sz w:val="20"/>
              </w:rPr>
            </w:pPr>
            <w:r>
              <w:rPr>
                <w:sz w:val="20"/>
              </w:rPr>
              <w:t>Do</w:t>
            </w:r>
            <w:r>
              <w:rPr>
                <w:spacing w:val="-6"/>
                <w:sz w:val="20"/>
              </w:rPr>
              <w:t xml:space="preserve"> </w:t>
            </w:r>
            <w:r>
              <w:rPr>
                <w:sz w:val="20"/>
              </w:rPr>
              <w:t>the</w:t>
            </w:r>
            <w:r>
              <w:rPr>
                <w:spacing w:val="-5"/>
                <w:sz w:val="20"/>
              </w:rPr>
              <w:t xml:space="preserve"> </w:t>
            </w:r>
            <w:r>
              <w:rPr>
                <w:sz w:val="20"/>
              </w:rPr>
              <w:t>EOPOs</w:t>
            </w:r>
            <w:r>
              <w:rPr>
                <w:spacing w:val="-4"/>
                <w:sz w:val="20"/>
              </w:rPr>
              <w:t xml:space="preserve"> </w:t>
            </w:r>
            <w:r>
              <w:rPr>
                <w:sz w:val="20"/>
              </w:rPr>
              <w:t>and</w:t>
            </w:r>
            <w:r>
              <w:rPr>
                <w:spacing w:val="-4"/>
                <w:sz w:val="20"/>
              </w:rPr>
              <w:t xml:space="preserve"> </w:t>
            </w:r>
            <w:r>
              <w:rPr>
                <w:sz w:val="20"/>
              </w:rPr>
              <w:t>IOs</w:t>
            </w:r>
            <w:r>
              <w:rPr>
                <w:spacing w:val="-4"/>
                <w:sz w:val="20"/>
              </w:rPr>
              <w:t xml:space="preserve"> </w:t>
            </w:r>
            <w:r>
              <w:rPr>
                <w:sz w:val="20"/>
              </w:rPr>
              <w:t>remain</w:t>
            </w:r>
            <w:r>
              <w:rPr>
                <w:spacing w:val="-5"/>
                <w:sz w:val="20"/>
              </w:rPr>
              <w:t xml:space="preserve"> </w:t>
            </w:r>
            <w:r>
              <w:rPr>
                <w:spacing w:val="-2"/>
                <w:sz w:val="20"/>
              </w:rPr>
              <w:t>relevant?</w:t>
            </w:r>
          </w:p>
          <w:p w14:paraId="2BDE3AAF" w14:textId="77777777" w:rsidR="00A142EA" w:rsidRDefault="00A142EA" w:rsidP="008544AB">
            <w:pPr>
              <w:pStyle w:val="TableParagraph"/>
              <w:spacing w:before="81"/>
              <w:ind w:left="108"/>
              <w:rPr>
                <w:sz w:val="20"/>
              </w:rPr>
            </w:pPr>
            <w:r>
              <w:rPr>
                <w:sz w:val="20"/>
              </w:rPr>
              <w:t>Are</w:t>
            </w:r>
            <w:r>
              <w:rPr>
                <w:spacing w:val="-7"/>
                <w:sz w:val="20"/>
              </w:rPr>
              <w:t xml:space="preserve"> </w:t>
            </w:r>
            <w:r>
              <w:rPr>
                <w:sz w:val="20"/>
              </w:rPr>
              <w:t>there</w:t>
            </w:r>
            <w:r>
              <w:rPr>
                <w:spacing w:val="-7"/>
                <w:sz w:val="20"/>
              </w:rPr>
              <w:t xml:space="preserve"> </w:t>
            </w:r>
            <w:r>
              <w:rPr>
                <w:sz w:val="20"/>
              </w:rPr>
              <w:t>opportunities</w:t>
            </w:r>
            <w:r>
              <w:rPr>
                <w:spacing w:val="-6"/>
                <w:sz w:val="20"/>
              </w:rPr>
              <w:t xml:space="preserve"> </w:t>
            </w:r>
            <w:r>
              <w:rPr>
                <w:sz w:val="20"/>
              </w:rPr>
              <w:t>to</w:t>
            </w:r>
            <w:r>
              <w:rPr>
                <w:spacing w:val="-7"/>
                <w:sz w:val="20"/>
              </w:rPr>
              <w:t xml:space="preserve"> </w:t>
            </w:r>
            <w:r>
              <w:rPr>
                <w:sz w:val="20"/>
              </w:rPr>
              <w:t>redirect</w:t>
            </w:r>
            <w:r>
              <w:rPr>
                <w:spacing w:val="-5"/>
                <w:sz w:val="20"/>
              </w:rPr>
              <w:t xml:space="preserve"> </w:t>
            </w:r>
            <w:r>
              <w:rPr>
                <w:sz w:val="20"/>
              </w:rPr>
              <w:t>program</w:t>
            </w:r>
            <w:r>
              <w:rPr>
                <w:spacing w:val="-7"/>
                <w:sz w:val="20"/>
              </w:rPr>
              <w:t xml:space="preserve"> </w:t>
            </w:r>
            <w:r>
              <w:rPr>
                <w:sz w:val="20"/>
              </w:rPr>
              <w:t>focus</w:t>
            </w:r>
            <w:r>
              <w:rPr>
                <w:spacing w:val="-4"/>
                <w:sz w:val="20"/>
              </w:rPr>
              <w:t xml:space="preserve"> </w:t>
            </w:r>
            <w:r>
              <w:rPr>
                <w:sz w:val="20"/>
              </w:rPr>
              <w:t>into new, emerging priorities?</w:t>
            </w:r>
          </w:p>
          <w:p w14:paraId="077E232B" w14:textId="75285087" w:rsidR="00A142EA" w:rsidRDefault="00A142EA" w:rsidP="008544AB">
            <w:pPr>
              <w:pStyle w:val="TableParagraph"/>
              <w:spacing w:before="79"/>
              <w:ind w:left="134"/>
              <w:rPr>
                <w:sz w:val="20"/>
              </w:rPr>
            </w:pPr>
            <w:r>
              <w:rPr>
                <w:sz w:val="20"/>
              </w:rPr>
              <w:t>Is</w:t>
            </w:r>
            <w:r>
              <w:rPr>
                <w:spacing w:val="-4"/>
                <w:sz w:val="20"/>
              </w:rPr>
              <w:t xml:space="preserve"> </w:t>
            </w:r>
            <w:r>
              <w:rPr>
                <w:sz w:val="20"/>
              </w:rPr>
              <w:t>there</w:t>
            </w:r>
            <w:r>
              <w:rPr>
                <w:spacing w:val="-5"/>
                <w:sz w:val="20"/>
              </w:rPr>
              <w:t xml:space="preserve"> </w:t>
            </w:r>
            <w:r>
              <w:rPr>
                <w:sz w:val="20"/>
              </w:rPr>
              <w:t>a</w:t>
            </w:r>
            <w:r>
              <w:rPr>
                <w:spacing w:val="-3"/>
                <w:sz w:val="20"/>
              </w:rPr>
              <w:t xml:space="preserve"> </w:t>
            </w:r>
            <w:r>
              <w:rPr>
                <w:sz w:val="20"/>
              </w:rPr>
              <w:t>need</w:t>
            </w:r>
            <w:r>
              <w:rPr>
                <w:spacing w:val="-5"/>
                <w:sz w:val="20"/>
              </w:rPr>
              <w:t xml:space="preserve"> </w:t>
            </w:r>
            <w:r>
              <w:rPr>
                <w:sz w:val="20"/>
              </w:rPr>
              <w:t>for</w:t>
            </w:r>
            <w:r>
              <w:rPr>
                <w:spacing w:val="-4"/>
                <w:sz w:val="20"/>
              </w:rPr>
              <w:t xml:space="preserve"> </w:t>
            </w:r>
            <w:r>
              <w:rPr>
                <w:sz w:val="20"/>
              </w:rPr>
              <w:t>consolidation</w:t>
            </w:r>
            <w:r>
              <w:rPr>
                <w:spacing w:val="-5"/>
                <w:sz w:val="20"/>
              </w:rPr>
              <w:t xml:space="preserve"> </w:t>
            </w:r>
            <w:r>
              <w:rPr>
                <w:sz w:val="20"/>
              </w:rPr>
              <w:t>or</w:t>
            </w:r>
            <w:r>
              <w:rPr>
                <w:spacing w:val="-4"/>
                <w:sz w:val="20"/>
              </w:rPr>
              <w:t xml:space="preserve"> </w:t>
            </w:r>
            <w:r>
              <w:rPr>
                <w:sz w:val="20"/>
              </w:rPr>
              <w:t>scaling</w:t>
            </w:r>
            <w:r>
              <w:rPr>
                <w:spacing w:val="-5"/>
                <w:sz w:val="20"/>
              </w:rPr>
              <w:t xml:space="preserve"> </w:t>
            </w:r>
            <w:r>
              <w:rPr>
                <w:sz w:val="20"/>
              </w:rPr>
              <w:t>back</w:t>
            </w:r>
            <w:r>
              <w:rPr>
                <w:spacing w:val="-4"/>
                <w:sz w:val="20"/>
              </w:rPr>
              <w:t xml:space="preserve"> </w:t>
            </w:r>
            <w:r>
              <w:rPr>
                <w:sz w:val="20"/>
              </w:rPr>
              <w:t>in</w:t>
            </w:r>
            <w:r>
              <w:rPr>
                <w:spacing w:val="-5"/>
                <w:sz w:val="20"/>
              </w:rPr>
              <w:t xml:space="preserve"> </w:t>
            </w:r>
            <w:r>
              <w:rPr>
                <w:sz w:val="20"/>
              </w:rPr>
              <w:t>some areas and/or deeper engagement in others to better influence chang</w:t>
            </w:r>
            <w:r w:rsidR="00611868">
              <w:rPr>
                <w:sz w:val="20"/>
              </w:rPr>
              <w:t>e?</w:t>
            </w:r>
          </w:p>
        </w:tc>
      </w:tr>
    </w:tbl>
    <w:p w14:paraId="7A79E00D" w14:textId="77777777" w:rsidR="009C36E3" w:rsidRDefault="009C36E3">
      <w:pPr>
        <w:rPr>
          <w:sz w:val="20"/>
        </w:rPr>
      </w:pPr>
    </w:p>
    <w:p w14:paraId="17D7FD7C" w14:textId="77777777" w:rsidR="005021E5" w:rsidRDefault="005021E5">
      <w:pPr>
        <w:rPr>
          <w:rFonts w:ascii="Source Sans Pro"/>
          <w:b/>
          <w:color w:val="003478"/>
          <w:spacing w:val="-2"/>
          <w:sz w:val="40"/>
        </w:rPr>
      </w:pPr>
      <w:bookmarkStart w:id="16" w:name="2_Methodology"/>
      <w:bookmarkStart w:id="17" w:name="_bookmark12"/>
      <w:bookmarkEnd w:id="16"/>
      <w:bookmarkEnd w:id="17"/>
      <w:r>
        <w:br w:type="page"/>
      </w:r>
    </w:p>
    <w:p w14:paraId="4CD52AE7" w14:textId="675736A3" w:rsidR="009C36E3" w:rsidRDefault="000E7207" w:rsidP="00E84525">
      <w:pPr>
        <w:pStyle w:val="Heading1"/>
        <w:numPr>
          <w:ilvl w:val="0"/>
          <w:numId w:val="33"/>
        </w:numPr>
      </w:pPr>
      <w:r>
        <w:t>Methodology</w:t>
      </w:r>
    </w:p>
    <w:p w14:paraId="28DBCB97" w14:textId="77777777" w:rsidR="009C36E3" w:rsidRDefault="000E7207" w:rsidP="00E84525">
      <w:pPr>
        <w:pStyle w:val="Heading2"/>
        <w:numPr>
          <w:ilvl w:val="1"/>
          <w:numId w:val="33"/>
        </w:numPr>
      </w:pPr>
      <w:bookmarkStart w:id="18" w:name="2.1_Method_and_approach"/>
      <w:bookmarkStart w:id="19" w:name="_bookmark13"/>
      <w:bookmarkEnd w:id="18"/>
      <w:bookmarkEnd w:id="19"/>
      <w:r>
        <w:t>Method</w:t>
      </w:r>
      <w:r>
        <w:rPr>
          <w:spacing w:val="-3"/>
        </w:rPr>
        <w:t xml:space="preserve"> </w:t>
      </w:r>
      <w:r>
        <w:t>and</w:t>
      </w:r>
      <w:r>
        <w:rPr>
          <w:spacing w:val="-5"/>
        </w:rPr>
        <w:t xml:space="preserve"> </w:t>
      </w:r>
      <w:r>
        <w:t>approach</w:t>
      </w:r>
    </w:p>
    <w:p w14:paraId="131E3A5F" w14:textId="77777777" w:rsidR="009C36E3" w:rsidRDefault="000E7207">
      <w:pPr>
        <w:pStyle w:val="BodyText"/>
        <w:spacing w:before="257"/>
        <w:ind w:left="772" w:right="120"/>
      </w:pPr>
      <w:r>
        <w:t>The</w:t>
      </w:r>
      <w:r>
        <w:rPr>
          <w:spacing w:val="-3"/>
        </w:rPr>
        <w:t xml:space="preserve"> </w:t>
      </w:r>
      <w:r>
        <w:t>MTR drew on</w:t>
      </w:r>
      <w:r>
        <w:rPr>
          <w:spacing w:val="-3"/>
        </w:rPr>
        <w:t xml:space="preserve"> </w:t>
      </w:r>
      <w:r>
        <w:t>data</w:t>
      </w:r>
      <w:r>
        <w:rPr>
          <w:spacing w:val="-3"/>
        </w:rPr>
        <w:t xml:space="preserve"> </w:t>
      </w:r>
      <w:r>
        <w:t>collected</w:t>
      </w:r>
      <w:r>
        <w:rPr>
          <w:spacing w:val="-3"/>
        </w:rPr>
        <w:t xml:space="preserve"> </w:t>
      </w:r>
      <w:r>
        <w:t>through</w:t>
      </w:r>
      <w:r>
        <w:rPr>
          <w:spacing w:val="-3"/>
        </w:rPr>
        <w:t xml:space="preserve"> </w:t>
      </w:r>
      <w:r>
        <w:t>a</w:t>
      </w:r>
      <w:r>
        <w:rPr>
          <w:spacing w:val="-3"/>
        </w:rPr>
        <w:t xml:space="preserve"> </w:t>
      </w:r>
      <w:r>
        <w:t>review of</w:t>
      </w:r>
      <w:r>
        <w:rPr>
          <w:spacing w:val="-3"/>
        </w:rPr>
        <w:t xml:space="preserve"> </w:t>
      </w:r>
      <w:r>
        <w:t>relevant</w:t>
      </w:r>
      <w:r>
        <w:rPr>
          <w:spacing w:val="-3"/>
        </w:rPr>
        <w:t xml:space="preserve"> </w:t>
      </w:r>
      <w:r>
        <w:t>documents</w:t>
      </w:r>
      <w:r>
        <w:rPr>
          <w:spacing w:val="-2"/>
        </w:rPr>
        <w:t xml:space="preserve"> </w:t>
      </w:r>
      <w:r>
        <w:t>related</w:t>
      </w:r>
      <w:r>
        <w:rPr>
          <w:spacing w:val="-1"/>
        </w:rPr>
        <w:t xml:space="preserve"> </w:t>
      </w:r>
      <w:r>
        <w:t>to</w:t>
      </w:r>
      <w:r>
        <w:rPr>
          <w:spacing w:val="-3"/>
        </w:rPr>
        <w:t xml:space="preserve"> </w:t>
      </w:r>
      <w:r>
        <w:t>the</w:t>
      </w:r>
      <w:r>
        <w:rPr>
          <w:spacing w:val="-3"/>
        </w:rPr>
        <w:t xml:space="preserve"> </w:t>
      </w:r>
      <w:r>
        <w:t>project</w:t>
      </w:r>
      <w:r>
        <w:rPr>
          <w:spacing w:val="-3"/>
        </w:rPr>
        <w:t xml:space="preserve"> </w:t>
      </w:r>
      <w:r>
        <w:t>and</w:t>
      </w:r>
      <w:r>
        <w:rPr>
          <w:spacing w:val="-3"/>
        </w:rPr>
        <w:t xml:space="preserve"> </w:t>
      </w:r>
      <w:r>
        <w:t>context, primary data collected through an in-country mission from 8—20 October 2023, and remote interviews prior to and after travel. The perspectives of stakeholders across the justice and policing sectors, as well as community members, are the principal element of data collection. These include women, youth and people with disability, and the review used methods to ensure that the perspectives of these groups are included in the evidence and findings.</w:t>
      </w:r>
    </w:p>
    <w:p w14:paraId="09B2122D" w14:textId="77777777" w:rsidR="009C36E3" w:rsidRDefault="000E7207">
      <w:pPr>
        <w:pStyle w:val="BodyText"/>
        <w:spacing w:before="120"/>
        <w:ind w:left="772"/>
      </w:pPr>
      <w:r>
        <w:t>While it was agreed that the team would undertake approximately 35 consultations with key informants, prioritised based</w:t>
      </w:r>
      <w:r>
        <w:rPr>
          <w:spacing w:val="-2"/>
        </w:rPr>
        <w:t xml:space="preserve"> </w:t>
      </w:r>
      <w:r>
        <w:t>on</w:t>
      </w:r>
      <w:r>
        <w:rPr>
          <w:spacing w:val="-3"/>
        </w:rPr>
        <w:t xml:space="preserve"> </w:t>
      </w:r>
      <w:r>
        <w:t>their</w:t>
      </w:r>
      <w:r>
        <w:rPr>
          <w:spacing w:val="-1"/>
        </w:rPr>
        <w:t xml:space="preserve"> </w:t>
      </w:r>
      <w:r>
        <w:t>potential</w:t>
      </w:r>
      <w:r>
        <w:rPr>
          <w:spacing w:val="-2"/>
        </w:rPr>
        <w:t xml:space="preserve"> </w:t>
      </w:r>
      <w:r>
        <w:t>to</w:t>
      </w:r>
      <w:r>
        <w:rPr>
          <w:spacing w:val="-2"/>
        </w:rPr>
        <w:t xml:space="preserve"> </w:t>
      </w:r>
      <w:r>
        <w:t>contribute</w:t>
      </w:r>
      <w:r>
        <w:rPr>
          <w:spacing w:val="-3"/>
        </w:rPr>
        <w:t xml:space="preserve"> </w:t>
      </w:r>
      <w:r>
        <w:t>data</w:t>
      </w:r>
      <w:r>
        <w:rPr>
          <w:spacing w:val="-2"/>
        </w:rPr>
        <w:t xml:space="preserve"> </w:t>
      </w:r>
      <w:r>
        <w:t>with</w:t>
      </w:r>
      <w:r>
        <w:rPr>
          <w:spacing w:val="-3"/>
        </w:rPr>
        <w:t xml:space="preserve"> </w:t>
      </w:r>
      <w:r>
        <w:t>respect</w:t>
      </w:r>
      <w:r>
        <w:rPr>
          <w:spacing w:val="-2"/>
        </w:rPr>
        <w:t xml:space="preserve"> </w:t>
      </w:r>
      <w:r>
        <w:t>to</w:t>
      </w:r>
      <w:r>
        <w:rPr>
          <w:spacing w:val="-3"/>
        </w:rPr>
        <w:t xml:space="preserve"> </w:t>
      </w:r>
      <w:r>
        <w:t>the</w:t>
      </w:r>
      <w:r>
        <w:rPr>
          <w:spacing w:val="-3"/>
        </w:rPr>
        <w:t xml:space="preserve"> </w:t>
      </w:r>
      <w:r>
        <w:t>KRQ,</w:t>
      </w:r>
      <w:r>
        <w:rPr>
          <w:spacing w:val="-3"/>
        </w:rPr>
        <w:t xml:space="preserve"> </w:t>
      </w:r>
      <w:r>
        <w:t>it</w:t>
      </w:r>
      <w:r>
        <w:rPr>
          <w:spacing w:val="-2"/>
        </w:rPr>
        <w:t xml:space="preserve"> </w:t>
      </w:r>
      <w:r>
        <w:t>proved</w:t>
      </w:r>
      <w:r>
        <w:rPr>
          <w:spacing w:val="-2"/>
        </w:rPr>
        <w:t xml:space="preserve"> </w:t>
      </w:r>
      <w:r>
        <w:t>difficult</w:t>
      </w:r>
      <w:r>
        <w:rPr>
          <w:spacing w:val="-3"/>
        </w:rPr>
        <w:t xml:space="preserve"> </w:t>
      </w:r>
      <w:r>
        <w:t>to</w:t>
      </w:r>
      <w:r>
        <w:rPr>
          <w:spacing w:val="-3"/>
        </w:rPr>
        <w:t xml:space="preserve"> </w:t>
      </w:r>
      <w:r>
        <w:t>limit</w:t>
      </w:r>
      <w:r>
        <w:rPr>
          <w:spacing w:val="-3"/>
        </w:rPr>
        <w:t xml:space="preserve"> </w:t>
      </w:r>
      <w:r>
        <w:t>the</w:t>
      </w:r>
      <w:r>
        <w:rPr>
          <w:spacing w:val="-3"/>
        </w:rPr>
        <w:t xml:space="preserve"> </w:t>
      </w:r>
      <w:r>
        <w:t>consultations given the breadth of the program. The team ended up interviewing 92 people and conducting three Focus Group Discussions (FGD). In selecting key informants, the review team worked with DFAT, AFP and VAPJP.</w:t>
      </w:r>
    </w:p>
    <w:p w14:paraId="0F6FFCA7" w14:textId="77777777" w:rsidR="009C36E3" w:rsidRDefault="000E7207">
      <w:pPr>
        <w:pStyle w:val="BodyText"/>
        <w:spacing w:before="122"/>
        <w:ind w:left="772" w:right="594"/>
        <w:jc w:val="both"/>
      </w:pPr>
      <w:r>
        <w:t>The</w:t>
      </w:r>
      <w:r>
        <w:rPr>
          <w:spacing w:val="-3"/>
        </w:rPr>
        <w:t xml:space="preserve"> </w:t>
      </w:r>
      <w:r>
        <w:t>in-country</w:t>
      </w:r>
      <w:r>
        <w:rPr>
          <w:spacing w:val="-2"/>
        </w:rPr>
        <w:t xml:space="preserve"> </w:t>
      </w:r>
      <w:r>
        <w:t>mission</w:t>
      </w:r>
      <w:r>
        <w:rPr>
          <w:spacing w:val="-1"/>
        </w:rPr>
        <w:t xml:space="preserve"> </w:t>
      </w:r>
      <w:r>
        <w:t>included</w:t>
      </w:r>
      <w:r>
        <w:rPr>
          <w:spacing w:val="-1"/>
        </w:rPr>
        <w:t xml:space="preserve"> </w:t>
      </w:r>
      <w:r>
        <w:t>a</w:t>
      </w:r>
      <w:r>
        <w:rPr>
          <w:spacing w:val="-3"/>
        </w:rPr>
        <w:t xml:space="preserve"> </w:t>
      </w:r>
      <w:r>
        <w:t>two-day</w:t>
      </w:r>
      <w:r>
        <w:rPr>
          <w:spacing w:val="-2"/>
        </w:rPr>
        <w:t xml:space="preserve"> </w:t>
      </w:r>
      <w:r>
        <w:t>visit</w:t>
      </w:r>
      <w:r>
        <w:rPr>
          <w:spacing w:val="-3"/>
        </w:rPr>
        <w:t xml:space="preserve"> </w:t>
      </w:r>
      <w:r>
        <w:t>to</w:t>
      </w:r>
      <w:r>
        <w:rPr>
          <w:spacing w:val="-1"/>
        </w:rPr>
        <w:t xml:space="preserve"> </w:t>
      </w:r>
      <w:r>
        <w:t>Santo</w:t>
      </w:r>
      <w:r>
        <w:rPr>
          <w:spacing w:val="-3"/>
        </w:rPr>
        <w:t xml:space="preserve"> </w:t>
      </w:r>
      <w:r>
        <w:t>for</w:t>
      </w:r>
      <w:r>
        <w:rPr>
          <w:spacing w:val="-2"/>
        </w:rPr>
        <w:t xml:space="preserve"> </w:t>
      </w:r>
      <w:r>
        <w:t>some</w:t>
      </w:r>
      <w:r>
        <w:rPr>
          <w:spacing w:val="-3"/>
        </w:rPr>
        <w:t xml:space="preserve"> </w:t>
      </w:r>
      <w:r>
        <w:t>of</w:t>
      </w:r>
      <w:r>
        <w:rPr>
          <w:spacing w:val="-3"/>
        </w:rPr>
        <w:t xml:space="preserve"> </w:t>
      </w:r>
      <w:r>
        <w:t>the</w:t>
      </w:r>
      <w:r>
        <w:rPr>
          <w:spacing w:val="-3"/>
        </w:rPr>
        <w:t xml:space="preserve"> </w:t>
      </w:r>
      <w:r>
        <w:t>team</w:t>
      </w:r>
      <w:r>
        <w:rPr>
          <w:spacing w:val="-1"/>
        </w:rPr>
        <w:t xml:space="preserve"> </w:t>
      </w:r>
      <w:r>
        <w:t>members,</w:t>
      </w:r>
      <w:r>
        <w:rPr>
          <w:spacing w:val="-3"/>
        </w:rPr>
        <w:t xml:space="preserve"> </w:t>
      </w:r>
      <w:r>
        <w:t>to</w:t>
      </w:r>
      <w:r>
        <w:rPr>
          <w:spacing w:val="-1"/>
        </w:rPr>
        <w:t xml:space="preserve"> </w:t>
      </w:r>
      <w:r>
        <w:t>conduct</w:t>
      </w:r>
      <w:r>
        <w:rPr>
          <w:spacing w:val="-3"/>
        </w:rPr>
        <w:t xml:space="preserve"> </w:t>
      </w:r>
      <w:r>
        <w:t>FGDs</w:t>
      </w:r>
      <w:r>
        <w:rPr>
          <w:spacing w:val="-2"/>
        </w:rPr>
        <w:t xml:space="preserve"> </w:t>
      </w:r>
      <w:r>
        <w:t>and meetings with</w:t>
      </w:r>
      <w:r>
        <w:rPr>
          <w:spacing w:val="-1"/>
        </w:rPr>
        <w:t xml:space="preserve"> </w:t>
      </w:r>
      <w:r>
        <w:t>key stakeholders.</w:t>
      </w:r>
      <w:r>
        <w:rPr>
          <w:spacing w:val="-1"/>
        </w:rPr>
        <w:t xml:space="preserve"> </w:t>
      </w:r>
      <w:r>
        <w:t>A</w:t>
      </w:r>
      <w:r>
        <w:rPr>
          <w:spacing w:val="-2"/>
        </w:rPr>
        <w:t xml:space="preserve"> </w:t>
      </w:r>
      <w:r>
        <w:t>field</w:t>
      </w:r>
      <w:r>
        <w:rPr>
          <w:spacing w:val="-1"/>
        </w:rPr>
        <w:t xml:space="preserve"> </w:t>
      </w:r>
      <w:r>
        <w:t>visit</w:t>
      </w:r>
      <w:r>
        <w:rPr>
          <w:spacing w:val="-1"/>
        </w:rPr>
        <w:t xml:space="preserve"> </w:t>
      </w:r>
      <w:r>
        <w:t>to Epi had to</w:t>
      </w:r>
      <w:r>
        <w:rPr>
          <w:spacing w:val="-1"/>
        </w:rPr>
        <w:t xml:space="preserve"> </w:t>
      </w:r>
      <w:r>
        <w:t>be</w:t>
      </w:r>
      <w:r>
        <w:rPr>
          <w:spacing w:val="-1"/>
        </w:rPr>
        <w:t xml:space="preserve"> </w:t>
      </w:r>
      <w:r>
        <w:t>cancelled</w:t>
      </w:r>
      <w:r>
        <w:rPr>
          <w:spacing w:val="-1"/>
        </w:rPr>
        <w:t xml:space="preserve"> </w:t>
      </w:r>
      <w:r>
        <w:t>due</w:t>
      </w:r>
      <w:r>
        <w:rPr>
          <w:spacing w:val="-1"/>
        </w:rPr>
        <w:t xml:space="preserve"> </w:t>
      </w:r>
      <w:r>
        <w:t>to</w:t>
      </w:r>
      <w:r>
        <w:rPr>
          <w:spacing w:val="-1"/>
        </w:rPr>
        <w:t xml:space="preserve"> </w:t>
      </w:r>
      <w:r>
        <w:t>the</w:t>
      </w:r>
      <w:r>
        <w:rPr>
          <w:spacing w:val="-1"/>
        </w:rPr>
        <w:t xml:space="preserve"> </w:t>
      </w:r>
      <w:r>
        <w:t>lack of</w:t>
      </w:r>
      <w:r>
        <w:rPr>
          <w:spacing w:val="-1"/>
        </w:rPr>
        <w:t xml:space="preserve"> </w:t>
      </w:r>
      <w:r>
        <w:t>available aircraft and safety concerns arising from a recent Air Taxi incident.</w:t>
      </w:r>
    </w:p>
    <w:p w14:paraId="563C3DE7" w14:textId="77777777" w:rsidR="009C36E3" w:rsidRDefault="000E7207">
      <w:pPr>
        <w:pStyle w:val="BodyText"/>
        <w:spacing w:before="119"/>
        <w:ind w:left="772" w:right="167"/>
      </w:pPr>
      <w:r>
        <w:t>In the process of developing findings, the review communicated and engaged regularly with DFAT and VAPJP through</w:t>
      </w:r>
      <w:r>
        <w:rPr>
          <w:spacing w:val="-4"/>
        </w:rPr>
        <w:t xml:space="preserve"> </w:t>
      </w:r>
      <w:r>
        <w:t>regular</w:t>
      </w:r>
      <w:r>
        <w:rPr>
          <w:spacing w:val="-3"/>
        </w:rPr>
        <w:t xml:space="preserve"> </w:t>
      </w:r>
      <w:r>
        <w:t>catch-up</w:t>
      </w:r>
      <w:r>
        <w:rPr>
          <w:spacing w:val="-2"/>
        </w:rPr>
        <w:t xml:space="preserve"> </w:t>
      </w:r>
      <w:r>
        <w:t>meetings</w:t>
      </w:r>
      <w:r>
        <w:rPr>
          <w:spacing w:val="-3"/>
        </w:rPr>
        <w:t xml:space="preserve"> </w:t>
      </w:r>
      <w:r>
        <w:t>and</w:t>
      </w:r>
      <w:r>
        <w:rPr>
          <w:spacing w:val="-4"/>
        </w:rPr>
        <w:t xml:space="preserve"> </w:t>
      </w:r>
      <w:r>
        <w:t>online</w:t>
      </w:r>
      <w:r>
        <w:rPr>
          <w:spacing w:val="-4"/>
        </w:rPr>
        <w:t xml:space="preserve"> </w:t>
      </w:r>
      <w:r>
        <w:t>communications.</w:t>
      </w:r>
      <w:r>
        <w:rPr>
          <w:spacing w:val="-4"/>
        </w:rPr>
        <w:t xml:space="preserve"> </w:t>
      </w:r>
      <w:r>
        <w:t>The</w:t>
      </w:r>
      <w:r>
        <w:rPr>
          <w:spacing w:val="-2"/>
        </w:rPr>
        <w:t xml:space="preserve"> </w:t>
      </w:r>
      <w:r>
        <w:t>review</w:t>
      </w:r>
      <w:r>
        <w:rPr>
          <w:spacing w:val="-1"/>
        </w:rPr>
        <w:t xml:space="preserve"> </w:t>
      </w:r>
      <w:r>
        <w:t>team</w:t>
      </w:r>
      <w:r>
        <w:rPr>
          <w:spacing w:val="-4"/>
        </w:rPr>
        <w:t xml:space="preserve"> </w:t>
      </w:r>
      <w:r>
        <w:t>also</w:t>
      </w:r>
      <w:r>
        <w:rPr>
          <w:spacing w:val="-4"/>
        </w:rPr>
        <w:t xml:space="preserve"> </w:t>
      </w:r>
      <w:r>
        <w:t>participated</w:t>
      </w:r>
      <w:r>
        <w:rPr>
          <w:spacing w:val="-4"/>
        </w:rPr>
        <w:t xml:space="preserve"> </w:t>
      </w:r>
      <w:r>
        <w:t>in</w:t>
      </w:r>
      <w:r>
        <w:rPr>
          <w:spacing w:val="-4"/>
        </w:rPr>
        <w:t xml:space="preserve"> </w:t>
      </w:r>
      <w:r>
        <w:t>key</w:t>
      </w:r>
      <w:r>
        <w:rPr>
          <w:spacing w:val="-3"/>
        </w:rPr>
        <w:t xml:space="preserve"> </w:t>
      </w:r>
      <w:r>
        <w:t>meetings to share draft findings and seek feedback. A draft and final</w:t>
      </w:r>
      <w:r>
        <w:rPr>
          <w:spacing w:val="-1"/>
        </w:rPr>
        <w:t xml:space="preserve"> </w:t>
      </w:r>
      <w:r>
        <w:t>MTR Plan were developed, and an Aide Memoire was presented on 20 October in Port Vila to DFAT and AFP.</w:t>
      </w:r>
    </w:p>
    <w:p w14:paraId="601F9956" w14:textId="77777777" w:rsidR="009C36E3" w:rsidRDefault="000E7207">
      <w:pPr>
        <w:pStyle w:val="BodyText"/>
        <w:spacing w:before="122"/>
        <w:ind w:left="772"/>
        <w:jc w:val="both"/>
      </w:pPr>
      <w:r>
        <w:t>The</w:t>
      </w:r>
      <w:r>
        <w:rPr>
          <w:spacing w:val="-8"/>
        </w:rPr>
        <w:t xml:space="preserve"> </w:t>
      </w:r>
      <w:r>
        <w:t>key</w:t>
      </w:r>
      <w:r>
        <w:rPr>
          <w:spacing w:val="-7"/>
        </w:rPr>
        <w:t xml:space="preserve"> </w:t>
      </w:r>
      <w:r>
        <w:t>deliverables</w:t>
      </w:r>
      <w:r>
        <w:rPr>
          <w:spacing w:val="-7"/>
        </w:rPr>
        <w:t xml:space="preserve"> </w:t>
      </w:r>
      <w:r>
        <w:rPr>
          <w:spacing w:val="-4"/>
        </w:rPr>
        <w:t>are:</w:t>
      </w:r>
    </w:p>
    <w:p w14:paraId="374A70F4" w14:textId="77777777" w:rsidR="009C36E3" w:rsidRDefault="000E7207">
      <w:pPr>
        <w:pStyle w:val="ListParagraph"/>
        <w:numPr>
          <w:ilvl w:val="0"/>
          <w:numId w:val="30"/>
        </w:numPr>
        <w:tabs>
          <w:tab w:val="left" w:pos="1129"/>
        </w:tabs>
        <w:spacing w:before="119" w:line="245" w:lineRule="exact"/>
        <w:ind w:hanging="357"/>
        <w:rPr>
          <w:sz w:val="20"/>
        </w:rPr>
      </w:pPr>
      <w:r>
        <w:rPr>
          <w:sz w:val="20"/>
        </w:rPr>
        <w:t>An</w:t>
      </w:r>
      <w:r>
        <w:rPr>
          <w:spacing w:val="-4"/>
          <w:sz w:val="20"/>
        </w:rPr>
        <w:t xml:space="preserve"> </w:t>
      </w:r>
      <w:r>
        <w:rPr>
          <w:sz w:val="20"/>
        </w:rPr>
        <w:t>MTR</w:t>
      </w:r>
      <w:r>
        <w:rPr>
          <w:spacing w:val="-5"/>
          <w:sz w:val="20"/>
        </w:rPr>
        <w:t xml:space="preserve"> </w:t>
      </w:r>
      <w:r>
        <w:rPr>
          <w:spacing w:val="-4"/>
          <w:sz w:val="20"/>
        </w:rPr>
        <w:t>Plan</w:t>
      </w:r>
    </w:p>
    <w:p w14:paraId="3DDC0C05" w14:textId="77777777" w:rsidR="009C36E3" w:rsidRDefault="000E7207">
      <w:pPr>
        <w:pStyle w:val="ListParagraph"/>
        <w:numPr>
          <w:ilvl w:val="0"/>
          <w:numId w:val="30"/>
        </w:numPr>
        <w:tabs>
          <w:tab w:val="left" w:pos="1129"/>
        </w:tabs>
        <w:spacing w:line="244" w:lineRule="exact"/>
        <w:ind w:hanging="357"/>
        <w:rPr>
          <w:sz w:val="20"/>
        </w:rPr>
      </w:pPr>
      <w:r>
        <w:rPr>
          <w:sz w:val="20"/>
        </w:rPr>
        <w:t>Aide</w:t>
      </w:r>
      <w:r>
        <w:rPr>
          <w:spacing w:val="-8"/>
          <w:sz w:val="20"/>
        </w:rPr>
        <w:t xml:space="preserve"> </w:t>
      </w:r>
      <w:r>
        <w:rPr>
          <w:spacing w:val="-2"/>
          <w:sz w:val="20"/>
        </w:rPr>
        <w:t>Memoire</w:t>
      </w:r>
    </w:p>
    <w:p w14:paraId="3DC5EB51" w14:textId="77777777" w:rsidR="009C36E3" w:rsidRDefault="000E7207">
      <w:pPr>
        <w:pStyle w:val="ListParagraph"/>
        <w:numPr>
          <w:ilvl w:val="0"/>
          <w:numId w:val="30"/>
        </w:numPr>
        <w:tabs>
          <w:tab w:val="left" w:pos="1129"/>
        </w:tabs>
        <w:spacing w:line="244" w:lineRule="exact"/>
        <w:ind w:hanging="357"/>
        <w:rPr>
          <w:sz w:val="20"/>
        </w:rPr>
      </w:pPr>
      <w:r>
        <w:rPr>
          <w:sz w:val="20"/>
        </w:rPr>
        <w:t>First</w:t>
      </w:r>
      <w:r>
        <w:rPr>
          <w:spacing w:val="-6"/>
          <w:sz w:val="20"/>
        </w:rPr>
        <w:t xml:space="preserve"> </w:t>
      </w:r>
      <w:r>
        <w:rPr>
          <w:sz w:val="20"/>
        </w:rPr>
        <w:t>draft</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MTR</w:t>
      </w:r>
      <w:r>
        <w:rPr>
          <w:spacing w:val="-3"/>
          <w:sz w:val="20"/>
        </w:rPr>
        <w:t xml:space="preserve"> </w:t>
      </w:r>
      <w:r>
        <w:rPr>
          <w:sz w:val="20"/>
        </w:rPr>
        <w:t>Report</w:t>
      </w:r>
      <w:r>
        <w:rPr>
          <w:spacing w:val="-5"/>
          <w:sz w:val="20"/>
        </w:rPr>
        <w:t xml:space="preserve"> </w:t>
      </w:r>
      <w:r>
        <w:rPr>
          <w:sz w:val="20"/>
        </w:rPr>
        <w:t>(this</w:t>
      </w:r>
      <w:r>
        <w:rPr>
          <w:spacing w:val="-4"/>
          <w:sz w:val="20"/>
        </w:rPr>
        <w:t xml:space="preserve"> </w:t>
      </w:r>
      <w:r>
        <w:rPr>
          <w:spacing w:val="-2"/>
          <w:sz w:val="20"/>
        </w:rPr>
        <w:t>document)</w:t>
      </w:r>
    </w:p>
    <w:p w14:paraId="6CE1518C" w14:textId="77777777" w:rsidR="009C36E3" w:rsidRDefault="000E7207">
      <w:pPr>
        <w:pStyle w:val="ListParagraph"/>
        <w:numPr>
          <w:ilvl w:val="0"/>
          <w:numId w:val="30"/>
        </w:numPr>
        <w:tabs>
          <w:tab w:val="left" w:pos="1129"/>
        </w:tabs>
        <w:ind w:hanging="357"/>
        <w:rPr>
          <w:sz w:val="20"/>
        </w:rPr>
      </w:pPr>
      <w:r>
        <w:rPr>
          <w:sz w:val="20"/>
        </w:rPr>
        <w:t>Final</w:t>
      </w:r>
      <w:r>
        <w:rPr>
          <w:spacing w:val="-9"/>
          <w:sz w:val="20"/>
        </w:rPr>
        <w:t xml:space="preserve"> </w:t>
      </w:r>
      <w:r>
        <w:rPr>
          <w:sz w:val="20"/>
        </w:rPr>
        <w:t>MTR</w:t>
      </w:r>
      <w:r>
        <w:rPr>
          <w:spacing w:val="-4"/>
          <w:sz w:val="20"/>
        </w:rPr>
        <w:t xml:space="preserve"> </w:t>
      </w:r>
      <w:r>
        <w:rPr>
          <w:sz w:val="20"/>
        </w:rPr>
        <w:t>Report</w:t>
      </w:r>
      <w:r>
        <w:rPr>
          <w:spacing w:val="-7"/>
          <w:sz w:val="20"/>
        </w:rPr>
        <w:t xml:space="preserve"> </w:t>
      </w:r>
      <w:r>
        <w:rPr>
          <w:sz w:val="20"/>
        </w:rPr>
        <w:t>and</w:t>
      </w:r>
      <w:r>
        <w:rPr>
          <w:spacing w:val="-7"/>
          <w:sz w:val="20"/>
        </w:rPr>
        <w:t xml:space="preserve"> </w:t>
      </w:r>
      <w:r>
        <w:rPr>
          <w:sz w:val="20"/>
        </w:rPr>
        <w:t>presentation</w:t>
      </w:r>
      <w:r>
        <w:rPr>
          <w:spacing w:val="-8"/>
          <w:sz w:val="20"/>
        </w:rPr>
        <w:t xml:space="preserve"> </w:t>
      </w:r>
      <w:r>
        <w:rPr>
          <w:spacing w:val="-2"/>
          <w:sz w:val="20"/>
        </w:rPr>
        <w:t>slides.</w:t>
      </w:r>
    </w:p>
    <w:p w14:paraId="1B0260DF" w14:textId="77777777" w:rsidR="009C36E3" w:rsidRDefault="000E7207">
      <w:pPr>
        <w:pStyle w:val="BodyText"/>
        <w:spacing w:before="116"/>
        <w:ind w:left="772" w:right="167"/>
      </w:pPr>
      <w:r>
        <w:t>This</w:t>
      </w:r>
      <w:r>
        <w:rPr>
          <w:spacing w:val="-3"/>
        </w:rPr>
        <w:t xml:space="preserve"> </w:t>
      </w:r>
      <w:r>
        <w:t>MTR</w:t>
      </w:r>
      <w:r>
        <w:rPr>
          <w:spacing w:val="-4"/>
        </w:rPr>
        <w:t xml:space="preserve"> </w:t>
      </w:r>
      <w:r>
        <w:t>was</w:t>
      </w:r>
      <w:r>
        <w:rPr>
          <w:spacing w:val="-3"/>
        </w:rPr>
        <w:t xml:space="preserve"> </w:t>
      </w:r>
      <w:r>
        <w:t>carried</w:t>
      </w:r>
      <w:r>
        <w:rPr>
          <w:spacing w:val="-2"/>
        </w:rPr>
        <w:t xml:space="preserve"> </w:t>
      </w:r>
      <w:r>
        <w:t>out with</w:t>
      </w:r>
      <w:r>
        <w:rPr>
          <w:spacing w:val="-2"/>
        </w:rPr>
        <w:t xml:space="preserve"> </w:t>
      </w:r>
      <w:r>
        <w:t>a</w:t>
      </w:r>
      <w:r>
        <w:rPr>
          <w:spacing w:val="-4"/>
        </w:rPr>
        <w:t xml:space="preserve"> </w:t>
      </w:r>
      <w:r>
        <w:t>mixed</w:t>
      </w:r>
      <w:r>
        <w:rPr>
          <w:spacing w:val="-2"/>
        </w:rPr>
        <w:t xml:space="preserve"> </w:t>
      </w:r>
      <w:r>
        <w:t>methodology approach</w:t>
      </w:r>
      <w:r>
        <w:rPr>
          <w:spacing w:val="-4"/>
        </w:rPr>
        <w:t xml:space="preserve"> </w:t>
      </w:r>
      <w:r>
        <w:t>that</w:t>
      </w:r>
      <w:r>
        <w:rPr>
          <w:spacing w:val="-4"/>
        </w:rPr>
        <w:t xml:space="preserve"> </w:t>
      </w:r>
      <w:r>
        <w:t>adopted</w:t>
      </w:r>
      <w:r>
        <w:rPr>
          <w:spacing w:val="-2"/>
        </w:rPr>
        <w:t xml:space="preserve"> </w:t>
      </w:r>
      <w:r>
        <w:t>a</w:t>
      </w:r>
      <w:r>
        <w:rPr>
          <w:spacing w:val="-4"/>
        </w:rPr>
        <w:t xml:space="preserve"> </w:t>
      </w:r>
      <w:r>
        <w:t>utilisation-focused</w:t>
      </w:r>
      <w:r>
        <w:rPr>
          <w:spacing w:val="-2"/>
        </w:rPr>
        <w:t xml:space="preserve"> </w:t>
      </w:r>
      <w:r>
        <w:t>and</w:t>
      </w:r>
      <w:r>
        <w:rPr>
          <w:spacing w:val="-4"/>
        </w:rPr>
        <w:t xml:space="preserve"> </w:t>
      </w:r>
      <w:r>
        <w:t>realist</w:t>
      </w:r>
      <w:r>
        <w:rPr>
          <w:spacing w:val="-1"/>
        </w:rPr>
        <w:t xml:space="preserve"> </w:t>
      </w:r>
      <w:r>
        <w:t>lens</w:t>
      </w:r>
      <w:r>
        <w:rPr>
          <w:spacing w:val="-3"/>
        </w:rPr>
        <w:t xml:space="preserve"> </w:t>
      </w:r>
      <w:r>
        <w:t>to inform adaptations for implementation and recommendations to assist in the future design process. The realist approach facilitated an understanding of the context, relationships and conditions that influenced the process and outcomes of VAPJP, as set out in the program logic. In line with this, the team placed a heavy emphasis on qualitative data, used to enrich and validate secondary quantitative data available through program documents, as well</w:t>
      </w:r>
      <w:r>
        <w:rPr>
          <w:spacing w:val="-3"/>
        </w:rPr>
        <w:t xml:space="preserve"> </w:t>
      </w:r>
      <w:r>
        <w:t>as</w:t>
      </w:r>
      <w:r>
        <w:rPr>
          <w:spacing w:val="-1"/>
        </w:rPr>
        <w:t xml:space="preserve"> </w:t>
      </w:r>
      <w:r>
        <w:t>to generate</w:t>
      </w:r>
      <w:r>
        <w:rPr>
          <w:spacing w:val="-2"/>
        </w:rPr>
        <w:t xml:space="preserve"> </w:t>
      </w:r>
      <w:r>
        <w:t>a</w:t>
      </w:r>
      <w:r>
        <w:rPr>
          <w:spacing w:val="-2"/>
        </w:rPr>
        <w:t xml:space="preserve"> </w:t>
      </w:r>
      <w:r>
        <w:t>clear sense</w:t>
      </w:r>
      <w:r>
        <w:rPr>
          <w:spacing w:val="-2"/>
        </w:rPr>
        <w:t xml:space="preserve"> </w:t>
      </w:r>
      <w:r>
        <w:t>of</w:t>
      </w:r>
      <w:r>
        <w:rPr>
          <w:spacing w:val="-2"/>
        </w:rPr>
        <w:t xml:space="preserve"> </w:t>
      </w:r>
      <w:r>
        <w:t>the</w:t>
      </w:r>
      <w:r>
        <w:rPr>
          <w:spacing w:val="-2"/>
        </w:rPr>
        <w:t xml:space="preserve"> </w:t>
      </w:r>
      <w:r>
        <w:t>contextual</w:t>
      </w:r>
      <w:r>
        <w:rPr>
          <w:spacing w:val="-3"/>
        </w:rPr>
        <w:t xml:space="preserve"> </w:t>
      </w:r>
      <w:r>
        <w:t>factors</w:t>
      </w:r>
      <w:r>
        <w:rPr>
          <w:spacing w:val="-1"/>
        </w:rPr>
        <w:t xml:space="preserve"> </w:t>
      </w:r>
      <w:r>
        <w:t>relevant for</w:t>
      </w:r>
      <w:r>
        <w:rPr>
          <w:spacing w:val="-1"/>
        </w:rPr>
        <w:t xml:space="preserve"> </w:t>
      </w:r>
      <w:r>
        <w:t>DFAT,</w:t>
      </w:r>
      <w:r>
        <w:rPr>
          <w:spacing w:val="-2"/>
        </w:rPr>
        <w:t xml:space="preserve"> </w:t>
      </w:r>
      <w:r>
        <w:t>AFP,</w:t>
      </w:r>
      <w:r>
        <w:rPr>
          <w:spacing w:val="-2"/>
        </w:rPr>
        <w:t xml:space="preserve"> </w:t>
      </w:r>
      <w:r>
        <w:t>GoV and</w:t>
      </w:r>
      <w:r>
        <w:rPr>
          <w:spacing w:val="-2"/>
        </w:rPr>
        <w:t xml:space="preserve"> </w:t>
      </w:r>
      <w:r>
        <w:t>civil</w:t>
      </w:r>
      <w:r>
        <w:rPr>
          <w:spacing w:val="-3"/>
        </w:rPr>
        <w:t xml:space="preserve"> </w:t>
      </w:r>
      <w:r>
        <w:t xml:space="preserve">society. Evidence gathered through multiple sources enabled the review team to answer the KRQs. The data sources for this evidence included interviews and FGD (See Annex 1 Consultations), and Document Review (See Annex 2 </w:t>
      </w:r>
      <w:r>
        <w:rPr>
          <w:spacing w:val="-2"/>
        </w:rPr>
        <w:t>Bibliography).</w:t>
      </w:r>
    </w:p>
    <w:p w14:paraId="454B0BF9" w14:textId="77777777" w:rsidR="009C36E3" w:rsidRDefault="000E7207">
      <w:pPr>
        <w:pStyle w:val="BodyText"/>
        <w:spacing w:before="122"/>
        <w:ind w:right="192"/>
      </w:pPr>
      <w:r>
        <w:t>In developing data collection tools and in interactions with review participants, the review team leveraged gender- inclusive approaches and a localisation lens that reflect DFAT’s development priorities. This helped facilitate respectful and effective engagement with stakeholders. The team prioritised gathering locally informed perspectives on the best ways for VAPJP to meet the needs of people in Vanuatu, limiting the size of the interviewer cohort, and where feasible conducting consultations in Bislama. The review team’s local gender equality, disability and social inclusion (GEDSI) adviser played an important role in this aspect of the work. This contributed to better quality evidence and provided the best approach for encouraging participants to share their views. Stakeholders interviewed included staff from DFAT, AFP, VAPJP Program Staff, GoV staff members, VPF members,</w:t>
      </w:r>
      <w:r>
        <w:rPr>
          <w:spacing w:val="-4"/>
        </w:rPr>
        <w:t xml:space="preserve"> </w:t>
      </w:r>
      <w:r>
        <w:t>members</w:t>
      </w:r>
      <w:r>
        <w:rPr>
          <w:spacing w:val="-3"/>
        </w:rPr>
        <w:t xml:space="preserve"> </w:t>
      </w:r>
      <w:r>
        <w:t>of</w:t>
      </w:r>
      <w:r>
        <w:rPr>
          <w:spacing w:val="-4"/>
        </w:rPr>
        <w:t xml:space="preserve"> </w:t>
      </w:r>
      <w:r>
        <w:t>Malvatamauri</w:t>
      </w:r>
      <w:r>
        <w:rPr>
          <w:spacing w:val="-5"/>
        </w:rPr>
        <w:t xml:space="preserve"> </w:t>
      </w:r>
      <w:r>
        <w:t>Council</w:t>
      </w:r>
      <w:r>
        <w:rPr>
          <w:spacing w:val="-3"/>
        </w:rPr>
        <w:t xml:space="preserve"> </w:t>
      </w:r>
      <w:r>
        <w:t>of</w:t>
      </w:r>
      <w:r>
        <w:rPr>
          <w:spacing w:val="-4"/>
        </w:rPr>
        <w:t xml:space="preserve"> </w:t>
      </w:r>
      <w:r>
        <w:t>Chiefs (MNCC),</w:t>
      </w:r>
      <w:r>
        <w:rPr>
          <w:spacing w:val="-4"/>
        </w:rPr>
        <w:t xml:space="preserve"> </w:t>
      </w:r>
      <w:r>
        <w:t>civil</w:t>
      </w:r>
      <w:r>
        <w:rPr>
          <w:spacing w:val="-5"/>
        </w:rPr>
        <w:t xml:space="preserve"> </w:t>
      </w:r>
      <w:r>
        <w:t>society</w:t>
      </w:r>
      <w:r>
        <w:rPr>
          <w:spacing w:val="-3"/>
        </w:rPr>
        <w:t xml:space="preserve"> </w:t>
      </w:r>
      <w:r>
        <w:t>organisations</w:t>
      </w:r>
      <w:r>
        <w:rPr>
          <w:spacing w:val="-2"/>
        </w:rPr>
        <w:t xml:space="preserve"> </w:t>
      </w:r>
      <w:r>
        <w:t>and</w:t>
      </w:r>
      <w:r>
        <w:rPr>
          <w:spacing w:val="-4"/>
        </w:rPr>
        <w:t xml:space="preserve"> </w:t>
      </w:r>
      <w:r>
        <w:t>consultants.</w:t>
      </w:r>
      <w:r>
        <w:rPr>
          <w:spacing w:val="-2"/>
        </w:rPr>
        <w:t xml:space="preserve"> </w:t>
      </w:r>
      <w:r>
        <w:t>FGDs were conducted with Authorised Persons (AP),</w:t>
      </w:r>
      <w:hyperlink w:anchor="_bookmark14" w:history="1">
        <w:r>
          <w:rPr>
            <w:position w:val="6"/>
            <w:sz w:val="13"/>
          </w:rPr>
          <w:t>8</w:t>
        </w:r>
      </w:hyperlink>
      <w:r>
        <w:rPr>
          <w:spacing w:val="27"/>
          <w:position w:val="6"/>
          <w:sz w:val="13"/>
        </w:rPr>
        <w:t xml:space="preserve"> </w:t>
      </w:r>
      <w:r>
        <w:t xml:space="preserve">parolees who had attended VAPJP training, and community </w:t>
      </w:r>
      <w:r>
        <w:rPr>
          <w:spacing w:val="-2"/>
        </w:rPr>
        <w:t>members.</w:t>
      </w:r>
    </w:p>
    <w:p w14:paraId="6B173BCD" w14:textId="77777777" w:rsidR="009C36E3" w:rsidRDefault="000E7207">
      <w:pPr>
        <w:pStyle w:val="BodyText"/>
        <w:spacing w:before="118"/>
        <w:ind w:right="120"/>
      </w:pPr>
      <w:r>
        <w:t>The</w:t>
      </w:r>
      <w:r>
        <w:rPr>
          <w:spacing w:val="-4"/>
        </w:rPr>
        <w:t xml:space="preserve"> </w:t>
      </w:r>
      <w:r>
        <w:t>Team</w:t>
      </w:r>
      <w:r>
        <w:rPr>
          <w:spacing w:val="-4"/>
        </w:rPr>
        <w:t xml:space="preserve"> </w:t>
      </w:r>
      <w:r>
        <w:t>Leader</w:t>
      </w:r>
      <w:r>
        <w:rPr>
          <w:spacing w:val="-3"/>
        </w:rPr>
        <w:t xml:space="preserve"> </w:t>
      </w:r>
      <w:r>
        <w:t>is</w:t>
      </w:r>
      <w:r>
        <w:rPr>
          <w:spacing w:val="-3"/>
        </w:rPr>
        <w:t xml:space="preserve"> </w:t>
      </w:r>
      <w:r>
        <w:t>a</w:t>
      </w:r>
      <w:r>
        <w:rPr>
          <w:spacing w:val="-2"/>
        </w:rPr>
        <w:t xml:space="preserve"> </w:t>
      </w:r>
      <w:r>
        <w:t>member</w:t>
      </w:r>
      <w:r>
        <w:rPr>
          <w:spacing w:val="-3"/>
        </w:rPr>
        <w:t xml:space="preserve"> </w:t>
      </w:r>
      <w:r>
        <w:t>of</w:t>
      </w:r>
      <w:r>
        <w:rPr>
          <w:spacing w:val="-4"/>
        </w:rPr>
        <w:t xml:space="preserve"> </w:t>
      </w:r>
      <w:r>
        <w:t>the</w:t>
      </w:r>
      <w:r>
        <w:rPr>
          <w:spacing w:val="-4"/>
        </w:rPr>
        <w:t xml:space="preserve"> </w:t>
      </w:r>
      <w:r>
        <w:t>Australian</w:t>
      </w:r>
      <w:r>
        <w:rPr>
          <w:spacing w:val="-2"/>
        </w:rPr>
        <w:t xml:space="preserve"> </w:t>
      </w:r>
      <w:r>
        <w:t>Evaluation</w:t>
      </w:r>
      <w:r>
        <w:rPr>
          <w:spacing w:val="-2"/>
        </w:rPr>
        <w:t xml:space="preserve"> </w:t>
      </w:r>
      <w:r>
        <w:t>Society</w:t>
      </w:r>
      <w:r>
        <w:rPr>
          <w:spacing w:val="-2"/>
        </w:rPr>
        <w:t xml:space="preserve"> </w:t>
      </w:r>
      <w:r>
        <w:t>(AES)</w:t>
      </w:r>
      <w:r>
        <w:rPr>
          <w:spacing w:val="-3"/>
        </w:rPr>
        <w:t xml:space="preserve"> </w:t>
      </w:r>
      <w:r>
        <w:t>and</w:t>
      </w:r>
      <w:r>
        <w:rPr>
          <w:spacing w:val="-4"/>
        </w:rPr>
        <w:t xml:space="preserve"> </w:t>
      </w:r>
      <w:r>
        <w:t>therefore</w:t>
      </w:r>
      <w:r>
        <w:rPr>
          <w:spacing w:val="-2"/>
        </w:rPr>
        <w:t xml:space="preserve"> </w:t>
      </w:r>
      <w:r>
        <w:t>bound</w:t>
      </w:r>
      <w:r>
        <w:rPr>
          <w:spacing w:val="-2"/>
        </w:rPr>
        <w:t xml:space="preserve"> </w:t>
      </w:r>
      <w:r>
        <w:t>by</w:t>
      </w:r>
      <w:r>
        <w:rPr>
          <w:spacing w:val="-3"/>
        </w:rPr>
        <w:t xml:space="preserve"> </w:t>
      </w:r>
      <w:r>
        <w:t>the</w:t>
      </w:r>
      <w:r>
        <w:rPr>
          <w:spacing w:val="-2"/>
        </w:rPr>
        <w:t xml:space="preserve"> </w:t>
      </w:r>
      <w:r>
        <w:t>AES guidelines for the ethical conduct of evaluations and their Code of Conduct.</w:t>
      </w:r>
    </w:p>
    <w:p w14:paraId="755E1A56" w14:textId="77777777" w:rsidR="009C36E3" w:rsidRDefault="000E7207">
      <w:pPr>
        <w:pStyle w:val="Heading7"/>
        <w:spacing w:before="119"/>
        <w:jc w:val="both"/>
      </w:pPr>
      <w:r>
        <w:t>Team</w:t>
      </w:r>
      <w:r>
        <w:rPr>
          <w:spacing w:val="-8"/>
        </w:rPr>
        <w:t xml:space="preserve"> </w:t>
      </w:r>
      <w:r>
        <w:rPr>
          <w:spacing w:val="-2"/>
        </w:rPr>
        <w:t>composition</w:t>
      </w:r>
    </w:p>
    <w:p w14:paraId="3625409E" w14:textId="17D2CFF5" w:rsidR="009C36E3" w:rsidRDefault="00353819">
      <w:pPr>
        <w:pStyle w:val="BodyText"/>
        <w:spacing w:before="120"/>
      </w:pPr>
      <w:r>
        <w:rPr>
          <w:noProof/>
        </w:rPr>
        <mc:AlternateContent>
          <mc:Choice Requires="wps">
            <w:drawing>
              <wp:anchor distT="0" distB="0" distL="0" distR="0" simplePos="0" relativeHeight="251669504" behindDoc="1" locked="0" layoutInCell="1" allowOverlap="1" wp14:anchorId="3355D6F3" wp14:editId="47037E5D">
                <wp:simplePos x="0" y="0"/>
                <wp:positionH relativeFrom="page">
                  <wp:posOffset>569185</wp:posOffset>
                </wp:positionH>
                <wp:positionV relativeFrom="paragraph">
                  <wp:posOffset>565970</wp:posOffset>
                </wp:positionV>
                <wp:extent cx="1828800" cy="6350"/>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957054" id="Graphic 16" o:spid="_x0000_s1026" alt="&quot;&quot;" style="position:absolute;margin-left:44.8pt;margin-top:44.55pt;width:2in;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" path="m1828800,l,,,6095r1828800,l1828800,xe" fillcolor="black" stroked="f">
                <v:path arrowok="t"/>
                <w10:wrap type="topAndBottom" anchorx="page"/>
              </v:shape>
            </w:pict>
          </mc:Fallback>
        </mc:AlternateContent>
      </w:r>
      <w:r w:rsidR="000E7207">
        <w:t>The</w:t>
      </w:r>
      <w:r w:rsidR="000E7207">
        <w:rPr>
          <w:spacing w:val="-4"/>
        </w:rPr>
        <w:t xml:space="preserve"> </w:t>
      </w:r>
      <w:r w:rsidR="000E7207">
        <w:t>Team</w:t>
      </w:r>
      <w:r w:rsidR="000E7207">
        <w:rPr>
          <w:spacing w:val="-4"/>
        </w:rPr>
        <w:t xml:space="preserve"> </w:t>
      </w:r>
      <w:r w:rsidR="000E7207">
        <w:t>comprised</w:t>
      </w:r>
      <w:r w:rsidR="000E7207">
        <w:rPr>
          <w:spacing w:val="-2"/>
        </w:rPr>
        <w:t xml:space="preserve"> </w:t>
      </w:r>
      <w:r w:rsidR="000E7207">
        <w:t>Dr</w:t>
      </w:r>
      <w:r w:rsidR="000E7207">
        <w:rPr>
          <w:spacing w:val="-3"/>
        </w:rPr>
        <w:t xml:space="preserve"> </w:t>
      </w:r>
      <w:r w:rsidR="000E7207">
        <w:t>Bu</w:t>
      </w:r>
      <w:r w:rsidR="000E7207">
        <w:rPr>
          <w:spacing w:val="-4"/>
        </w:rPr>
        <w:t xml:space="preserve"> </w:t>
      </w:r>
      <w:r w:rsidR="000E7207">
        <w:t>Wilson</w:t>
      </w:r>
      <w:r w:rsidR="000E7207">
        <w:rPr>
          <w:spacing w:val="-4"/>
        </w:rPr>
        <w:t xml:space="preserve"> </w:t>
      </w:r>
      <w:r w:rsidR="000E7207">
        <w:t>(Team</w:t>
      </w:r>
      <w:r w:rsidR="000E7207">
        <w:rPr>
          <w:spacing w:val="-4"/>
        </w:rPr>
        <w:t xml:space="preserve"> </w:t>
      </w:r>
      <w:r w:rsidR="000E7207">
        <w:t>Leader),</w:t>
      </w:r>
      <w:r w:rsidR="000E7207">
        <w:rPr>
          <w:spacing w:val="-4"/>
        </w:rPr>
        <w:t xml:space="preserve"> </w:t>
      </w:r>
      <w:r w:rsidR="000E7207">
        <w:t>Tetra</w:t>
      </w:r>
      <w:r w:rsidR="000E7207">
        <w:rPr>
          <w:spacing w:val="-4"/>
        </w:rPr>
        <w:t xml:space="preserve"> </w:t>
      </w:r>
      <w:r w:rsidR="000E7207">
        <w:t>Tech</w:t>
      </w:r>
      <w:r w:rsidR="000E7207">
        <w:rPr>
          <w:spacing w:val="-2"/>
        </w:rPr>
        <w:t xml:space="preserve"> </w:t>
      </w:r>
      <w:r w:rsidR="000E7207">
        <w:t>Associate</w:t>
      </w:r>
      <w:r w:rsidR="000E7207">
        <w:rPr>
          <w:spacing w:val="-4"/>
        </w:rPr>
        <w:t xml:space="preserve"> </w:t>
      </w:r>
      <w:r w:rsidR="000E7207">
        <w:t>Director</w:t>
      </w:r>
      <w:r w:rsidR="000E7207">
        <w:rPr>
          <w:spacing w:val="-3"/>
        </w:rPr>
        <w:t xml:space="preserve"> </w:t>
      </w:r>
      <w:r w:rsidR="000E7207">
        <w:t>Grace</w:t>
      </w:r>
      <w:r w:rsidR="000E7207">
        <w:rPr>
          <w:spacing w:val="-4"/>
        </w:rPr>
        <w:t xml:space="preserve"> </w:t>
      </w:r>
      <w:r w:rsidR="000E7207">
        <w:t>Nicholas</w:t>
      </w:r>
      <w:r w:rsidR="000E7207">
        <w:rPr>
          <w:spacing w:val="-3"/>
        </w:rPr>
        <w:t xml:space="preserve"> </w:t>
      </w:r>
      <w:r w:rsidR="000E7207">
        <w:t>(M&amp;E</w:t>
      </w:r>
      <w:r w:rsidR="000E7207">
        <w:rPr>
          <w:spacing w:val="-2"/>
        </w:rPr>
        <w:t xml:space="preserve"> </w:t>
      </w:r>
      <w:r w:rsidR="000E7207">
        <w:t>Specialist) and Dorah Wilson (Vanuatu GEDSI Specialist)</w:t>
      </w:r>
      <w:r w:rsidR="000E7207">
        <w:rPr>
          <w:b/>
        </w:rPr>
        <w:t xml:space="preserve">. </w:t>
      </w:r>
      <w:r w:rsidR="000E7207">
        <w:t>DFAT officer from Canberra (Patrick Chan) and AFP evaluator</w:t>
      </w:r>
    </w:p>
    <w:p w14:paraId="22D3AFA6" w14:textId="77777777" w:rsidR="009C36E3" w:rsidRDefault="000E7207">
      <w:pPr>
        <w:spacing w:before="207" w:line="242" w:lineRule="auto"/>
        <w:ind w:left="771" w:right="167"/>
        <w:rPr>
          <w:sz w:val="18"/>
        </w:rPr>
      </w:pPr>
      <w:bookmarkStart w:id="20" w:name="_bookmark14"/>
      <w:bookmarkEnd w:id="20"/>
      <w:r>
        <w:rPr>
          <w:position w:val="6"/>
          <w:sz w:val="13"/>
        </w:rPr>
        <w:t>8</w:t>
      </w:r>
      <w:r>
        <w:rPr>
          <w:spacing w:val="24"/>
          <w:position w:val="6"/>
          <w:sz w:val="13"/>
        </w:rPr>
        <w:t xml:space="preserve"> </w:t>
      </w:r>
      <w:r>
        <w:rPr>
          <w:sz w:val="18"/>
        </w:rPr>
        <w:t>The Family Protection Act 2008 allows for APs (who may include magistrates and justices, as well as trained chiefs, community leaders, teachers, village health workers or police) to issue temporary protection orders when a complainant is in danger</w:t>
      </w:r>
      <w:r>
        <w:rPr>
          <w:spacing w:val="-3"/>
          <w:sz w:val="18"/>
        </w:rPr>
        <w:t xml:space="preserve"> </w:t>
      </w:r>
      <w:r>
        <w:rPr>
          <w:sz w:val="18"/>
        </w:rPr>
        <w:t>and</w:t>
      </w:r>
      <w:r>
        <w:rPr>
          <w:spacing w:val="-3"/>
          <w:sz w:val="18"/>
        </w:rPr>
        <w:t xml:space="preserve"> </w:t>
      </w:r>
      <w:r>
        <w:rPr>
          <w:sz w:val="18"/>
        </w:rPr>
        <w:t>it</w:t>
      </w:r>
      <w:r>
        <w:rPr>
          <w:spacing w:val="-3"/>
          <w:sz w:val="18"/>
        </w:rPr>
        <w:t xml:space="preserve"> </w:t>
      </w:r>
      <w:r>
        <w:rPr>
          <w:sz w:val="18"/>
        </w:rPr>
        <w:t>is</w:t>
      </w:r>
      <w:r>
        <w:rPr>
          <w:spacing w:val="-2"/>
          <w:sz w:val="18"/>
        </w:rPr>
        <w:t xml:space="preserve"> </w:t>
      </w:r>
      <w:r>
        <w:rPr>
          <w:sz w:val="18"/>
        </w:rPr>
        <w:t>not</w:t>
      </w:r>
      <w:r>
        <w:rPr>
          <w:spacing w:val="-1"/>
          <w:sz w:val="18"/>
        </w:rPr>
        <w:t xml:space="preserve"> </w:t>
      </w:r>
      <w:r>
        <w:rPr>
          <w:sz w:val="18"/>
        </w:rPr>
        <w:t>practicable</w:t>
      </w:r>
      <w:r>
        <w:rPr>
          <w:spacing w:val="-3"/>
          <w:sz w:val="18"/>
        </w:rPr>
        <w:t xml:space="preserve"> </w:t>
      </w:r>
      <w:r>
        <w:rPr>
          <w:sz w:val="18"/>
        </w:rPr>
        <w:t>to apply</w:t>
      </w:r>
      <w:r>
        <w:rPr>
          <w:spacing w:val="-2"/>
          <w:sz w:val="18"/>
        </w:rPr>
        <w:t xml:space="preserve"> </w:t>
      </w:r>
      <w:r>
        <w:rPr>
          <w:sz w:val="18"/>
        </w:rPr>
        <w:t>to the</w:t>
      </w:r>
      <w:r>
        <w:rPr>
          <w:spacing w:val="-3"/>
          <w:sz w:val="18"/>
        </w:rPr>
        <w:t xml:space="preserve"> </w:t>
      </w:r>
      <w:r>
        <w:rPr>
          <w:sz w:val="18"/>
        </w:rPr>
        <w:t>court</w:t>
      </w:r>
      <w:r>
        <w:rPr>
          <w:spacing w:val="-3"/>
          <w:sz w:val="18"/>
        </w:rPr>
        <w:t xml:space="preserve"> </w:t>
      </w:r>
      <w:r>
        <w:rPr>
          <w:sz w:val="18"/>
        </w:rPr>
        <w:t>for</w:t>
      </w:r>
      <w:r>
        <w:rPr>
          <w:spacing w:val="-1"/>
          <w:sz w:val="18"/>
        </w:rPr>
        <w:t xml:space="preserve"> </w:t>
      </w:r>
      <w:r>
        <w:rPr>
          <w:sz w:val="18"/>
        </w:rPr>
        <w:t>a</w:t>
      </w:r>
      <w:r>
        <w:rPr>
          <w:spacing w:val="-3"/>
          <w:sz w:val="18"/>
        </w:rPr>
        <w:t xml:space="preserve"> </w:t>
      </w:r>
      <w:r>
        <w:rPr>
          <w:sz w:val="18"/>
        </w:rPr>
        <w:t>protection order</w:t>
      </w:r>
      <w:r>
        <w:rPr>
          <w:spacing w:val="-1"/>
          <w:sz w:val="18"/>
        </w:rPr>
        <w:t xml:space="preserve"> </w:t>
      </w:r>
      <w:r>
        <w:rPr>
          <w:sz w:val="18"/>
        </w:rPr>
        <w:t>and to have the</w:t>
      </w:r>
      <w:r>
        <w:rPr>
          <w:spacing w:val="-3"/>
          <w:sz w:val="18"/>
        </w:rPr>
        <w:t xml:space="preserve"> </w:t>
      </w:r>
      <w:r>
        <w:rPr>
          <w:sz w:val="18"/>
        </w:rPr>
        <w:t>matter</w:t>
      </w:r>
      <w:r>
        <w:rPr>
          <w:spacing w:val="-1"/>
          <w:sz w:val="18"/>
        </w:rPr>
        <w:t xml:space="preserve"> </w:t>
      </w:r>
      <w:r>
        <w:rPr>
          <w:sz w:val="18"/>
        </w:rPr>
        <w:t>heard</w:t>
      </w:r>
      <w:r>
        <w:rPr>
          <w:spacing w:val="-3"/>
          <w:sz w:val="18"/>
        </w:rPr>
        <w:t xml:space="preserve"> </w:t>
      </w:r>
      <w:r>
        <w:rPr>
          <w:sz w:val="18"/>
        </w:rPr>
        <w:t>and</w:t>
      </w:r>
      <w:r>
        <w:rPr>
          <w:spacing w:val="-3"/>
          <w:sz w:val="18"/>
        </w:rPr>
        <w:t xml:space="preserve"> </w:t>
      </w:r>
      <w:r>
        <w:rPr>
          <w:sz w:val="18"/>
        </w:rPr>
        <w:t>determined</w:t>
      </w:r>
      <w:r>
        <w:rPr>
          <w:spacing w:val="-3"/>
          <w:sz w:val="18"/>
        </w:rPr>
        <w:t xml:space="preserve"> </w:t>
      </w:r>
      <w:r>
        <w:rPr>
          <w:sz w:val="18"/>
        </w:rPr>
        <w:t>quickly (which may be particularly relevant in rural and remote communities).</w:t>
      </w:r>
    </w:p>
    <w:p w14:paraId="2E06485A" w14:textId="77777777" w:rsidR="009C36E3" w:rsidRDefault="009C36E3">
      <w:pPr>
        <w:spacing w:line="242" w:lineRule="auto"/>
        <w:rPr>
          <w:sz w:val="18"/>
        </w:rPr>
        <w:sectPr w:rsidR="009C36E3">
          <w:pgSz w:w="11910" w:h="16850"/>
          <w:pgMar w:top="1040" w:right="740" w:bottom="740" w:left="80" w:header="552" w:footer="559" w:gutter="0"/>
          <w:cols w:space="720"/>
        </w:sectPr>
      </w:pPr>
    </w:p>
    <w:p w14:paraId="42125E64" w14:textId="77777777" w:rsidR="009C36E3" w:rsidRDefault="000E7207">
      <w:pPr>
        <w:pStyle w:val="BodyText"/>
        <w:spacing w:before="91"/>
        <w:ind w:right="120"/>
      </w:pPr>
      <w:r>
        <w:t>(Chris Ely) joined consultations and provided contextual input. DFAT Officers from Vanuatu post (Renie Anderson and Lavinia Mahit) joined relevant consultations and supported the team with significant demanding logistics, context and some translation. The Deputy High Commissioner, Suzanne Akila, joined some higher level consultations. Tetra Tech Associate Director Richard Bell and Tetra Tech Graduate Paul Lee provided additional analytical support remotely. Bryn Jones, Tetra Tech Director Policing Law &amp; Justice provided team quality assurance of deliverables and guidance. An MTR reference group was established as a coordination mechanism between</w:t>
      </w:r>
      <w:r>
        <w:rPr>
          <w:spacing w:val="-3"/>
        </w:rPr>
        <w:t xml:space="preserve"> </w:t>
      </w:r>
      <w:r>
        <w:t>DFAT</w:t>
      </w:r>
      <w:r>
        <w:rPr>
          <w:spacing w:val="-2"/>
        </w:rPr>
        <w:t xml:space="preserve"> </w:t>
      </w:r>
      <w:r>
        <w:t>(Post</w:t>
      </w:r>
      <w:r>
        <w:rPr>
          <w:spacing w:val="-3"/>
        </w:rPr>
        <w:t xml:space="preserve"> </w:t>
      </w:r>
      <w:r>
        <w:t>and</w:t>
      </w:r>
      <w:r>
        <w:rPr>
          <w:spacing w:val="-3"/>
        </w:rPr>
        <w:t xml:space="preserve"> </w:t>
      </w:r>
      <w:r>
        <w:t>Desk)</w:t>
      </w:r>
      <w:r>
        <w:rPr>
          <w:spacing w:val="-2"/>
        </w:rPr>
        <w:t xml:space="preserve"> </w:t>
      </w:r>
      <w:r>
        <w:t>and</w:t>
      </w:r>
      <w:r>
        <w:rPr>
          <w:spacing w:val="-3"/>
        </w:rPr>
        <w:t xml:space="preserve"> </w:t>
      </w:r>
      <w:r>
        <w:t>AFP</w:t>
      </w:r>
      <w:r>
        <w:rPr>
          <w:spacing w:val="-4"/>
        </w:rPr>
        <w:t xml:space="preserve"> </w:t>
      </w:r>
      <w:r>
        <w:t>to</w:t>
      </w:r>
      <w:r>
        <w:rPr>
          <w:spacing w:val="-3"/>
        </w:rPr>
        <w:t xml:space="preserve"> </w:t>
      </w:r>
      <w:r>
        <w:t>oversee</w:t>
      </w:r>
      <w:r>
        <w:rPr>
          <w:spacing w:val="-1"/>
        </w:rPr>
        <w:t xml:space="preserve"> </w:t>
      </w:r>
      <w:r>
        <w:t>and</w:t>
      </w:r>
      <w:r>
        <w:rPr>
          <w:spacing w:val="-3"/>
        </w:rPr>
        <w:t xml:space="preserve"> </w:t>
      </w:r>
      <w:r>
        <w:t>guide</w:t>
      </w:r>
      <w:r>
        <w:rPr>
          <w:spacing w:val="-3"/>
        </w:rPr>
        <w:t xml:space="preserve"> </w:t>
      </w:r>
      <w:r>
        <w:t>the</w:t>
      </w:r>
      <w:r>
        <w:rPr>
          <w:spacing w:val="-3"/>
        </w:rPr>
        <w:t xml:space="preserve"> </w:t>
      </w:r>
      <w:r>
        <w:t>MTR process,</w:t>
      </w:r>
      <w:r>
        <w:rPr>
          <w:spacing w:val="-1"/>
        </w:rPr>
        <w:t xml:space="preserve"> </w:t>
      </w:r>
      <w:r>
        <w:t>review</w:t>
      </w:r>
      <w:r>
        <w:rPr>
          <w:spacing w:val="-3"/>
        </w:rPr>
        <w:t xml:space="preserve"> </w:t>
      </w:r>
      <w:r>
        <w:t>and</w:t>
      </w:r>
      <w:r>
        <w:rPr>
          <w:spacing w:val="-1"/>
        </w:rPr>
        <w:t xml:space="preserve"> </w:t>
      </w:r>
      <w:r>
        <w:t>provide</w:t>
      </w:r>
      <w:r>
        <w:rPr>
          <w:spacing w:val="-3"/>
        </w:rPr>
        <w:t xml:space="preserve"> </w:t>
      </w:r>
      <w:r>
        <w:t>feedback</w:t>
      </w:r>
      <w:r>
        <w:rPr>
          <w:spacing w:val="-2"/>
        </w:rPr>
        <w:t xml:space="preserve"> </w:t>
      </w:r>
      <w:r>
        <w:t xml:space="preserve">on </w:t>
      </w:r>
      <w:r>
        <w:rPr>
          <w:spacing w:val="-2"/>
        </w:rPr>
        <w:t>deliverables.</w:t>
      </w:r>
    </w:p>
    <w:p w14:paraId="26FC9859" w14:textId="77777777" w:rsidR="009C36E3" w:rsidRDefault="000E7207" w:rsidP="00E84525">
      <w:pPr>
        <w:pStyle w:val="Heading2"/>
        <w:numPr>
          <w:ilvl w:val="1"/>
          <w:numId w:val="33"/>
        </w:numPr>
      </w:pPr>
      <w:bookmarkStart w:id="21" w:name="2.2_Challenges_and_limitations"/>
      <w:bookmarkStart w:id="22" w:name="_bookmark15"/>
      <w:bookmarkEnd w:id="21"/>
      <w:bookmarkEnd w:id="22"/>
      <w:r>
        <w:t>Challenges</w:t>
      </w:r>
      <w:r>
        <w:rPr>
          <w:spacing w:val="-6"/>
        </w:rPr>
        <w:t xml:space="preserve"> </w:t>
      </w:r>
      <w:r>
        <w:t>and</w:t>
      </w:r>
      <w:r>
        <w:rPr>
          <w:spacing w:val="-5"/>
        </w:rPr>
        <w:t xml:space="preserve"> </w:t>
      </w:r>
      <w:r>
        <w:t>limitations</w:t>
      </w:r>
    </w:p>
    <w:p w14:paraId="436D554A" w14:textId="77777777" w:rsidR="009C36E3" w:rsidRDefault="000E7207">
      <w:pPr>
        <w:pStyle w:val="BodyText"/>
        <w:spacing w:before="257"/>
        <w:ind w:left="772"/>
      </w:pPr>
      <w:r>
        <w:t>The review was able to manage challenges to deliver a thorough analysis and review report, with the active engagement</w:t>
      </w:r>
      <w:r>
        <w:rPr>
          <w:spacing w:val="-3"/>
        </w:rPr>
        <w:t xml:space="preserve"> </w:t>
      </w:r>
      <w:r>
        <w:t>of</w:t>
      </w:r>
      <w:r>
        <w:rPr>
          <w:spacing w:val="-4"/>
        </w:rPr>
        <w:t xml:space="preserve"> </w:t>
      </w:r>
      <w:r>
        <w:t>the</w:t>
      </w:r>
      <w:r>
        <w:rPr>
          <w:spacing w:val="-3"/>
        </w:rPr>
        <w:t xml:space="preserve"> </w:t>
      </w:r>
      <w:r>
        <w:t>majority</w:t>
      </w:r>
      <w:r>
        <w:rPr>
          <w:spacing w:val="-1"/>
        </w:rPr>
        <w:t xml:space="preserve"> </w:t>
      </w:r>
      <w:r>
        <w:t>of</w:t>
      </w:r>
      <w:r>
        <w:rPr>
          <w:spacing w:val="-4"/>
        </w:rPr>
        <w:t xml:space="preserve"> </w:t>
      </w:r>
      <w:r>
        <w:t>stakeholders.</w:t>
      </w:r>
      <w:r>
        <w:rPr>
          <w:spacing w:val="-4"/>
        </w:rPr>
        <w:t xml:space="preserve"> </w:t>
      </w:r>
      <w:r>
        <w:t>Challenges</w:t>
      </w:r>
      <w:r>
        <w:rPr>
          <w:spacing w:val="-4"/>
        </w:rPr>
        <w:t xml:space="preserve"> </w:t>
      </w:r>
      <w:r>
        <w:t>and</w:t>
      </w:r>
      <w:r>
        <w:rPr>
          <w:spacing w:val="-4"/>
        </w:rPr>
        <w:t xml:space="preserve"> </w:t>
      </w:r>
      <w:r>
        <w:t>their</w:t>
      </w:r>
      <w:r>
        <w:rPr>
          <w:spacing w:val="-2"/>
        </w:rPr>
        <w:t xml:space="preserve"> </w:t>
      </w:r>
      <w:r>
        <w:t>impact</w:t>
      </w:r>
      <w:r>
        <w:rPr>
          <w:spacing w:val="-4"/>
        </w:rPr>
        <w:t xml:space="preserve"> </w:t>
      </w:r>
      <w:r>
        <w:t>are</w:t>
      </w:r>
      <w:r>
        <w:rPr>
          <w:spacing w:val="-3"/>
        </w:rPr>
        <w:t xml:space="preserve"> </w:t>
      </w:r>
      <w:r>
        <w:t>summarised</w:t>
      </w:r>
      <w:r>
        <w:rPr>
          <w:spacing w:val="-3"/>
        </w:rPr>
        <w:t xml:space="preserve"> </w:t>
      </w:r>
      <w:r>
        <w:t>in</w:t>
      </w:r>
      <w:r>
        <w:rPr>
          <w:spacing w:val="-2"/>
        </w:rPr>
        <w:t xml:space="preserve"> </w:t>
      </w:r>
      <w:r>
        <w:t>the</w:t>
      </w:r>
      <w:r>
        <w:rPr>
          <w:spacing w:val="-3"/>
        </w:rPr>
        <w:t xml:space="preserve"> </w:t>
      </w:r>
      <w:r>
        <w:t>below</w:t>
      </w:r>
      <w:r>
        <w:rPr>
          <w:spacing w:val="-2"/>
        </w:rPr>
        <w:t xml:space="preserve"> </w:t>
      </w:r>
      <w:r>
        <w:t>table.</w:t>
      </w:r>
    </w:p>
    <w:p w14:paraId="546DD23F" w14:textId="77777777" w:rsidR="009C36E3" w:rsidRDefault="000E7207" w:rsidP="00DD5111">
      <w:pPr>
        <w:spacing w:before="123" w:after="120"/>
        <w:ind w:left="771"/>
        <w:rPr>
          <w:i/>
          <w:sz w:val="16"/>
        </w:rPr>
      </w:pPr>
      <w:bookmarkStart w:id="23" w:name="_bookmark16"/>
      <w:bookmarkEnd w:id="23"/>
      <w:r>
        <w:rPr>
          <w:i/>
          <w:sz w:val="16"/>
        </w:rPr>
        <w:t>Table</w:t>
      </w:r>
      <w:r>
        <w:rPr>
          <w:i/>
          <w:spacing w:val="-3"/>
          <w:sz w:val="16"/>
        </w:rPr>
        <w:t xml:space="preserve"> </w:t>
      </w:r>
      <w:r>
        <w:rPr>
          <w:i/>
          <w:sz w:val="16"/>
        </w:rPr>
        <w:t>2:</w:t>
      </w:r>
      <w:r>
        <w:rPr>
          <w:i/>
          <w:spacing w:val="-4"/>
          <w:sz w:val="16"/>
        </w:rPr>
        <w:t xml:space="preserve"> </w:t>
      </w:r>
      <w:r>
        <w:rPr>
          <w:i/>
          <w:sz w:val="16"/>
        </w:rPr>
        <w:t>MTR</w:t>
      </w:r>
      <w:r>
        <w:rPr>
          <w:i/>
          <w:spacing w:val="-5"/>
          <w:sz w:val="16"/>
        </w:rPr>
        <w:t xml:space="preserve"> </w:t>
      </w:r>
      <w:r>
        <w:rPr>
          <w:i/>
          <w:sz w:val="16"/>
        </w:rPr>
        <w:t>limitations</w:t>
      </w:r>
      <w:r>
        <w:rPr>
          <w:i/>
          <w:spacing w:val="-3"/>
          <w:sz w:val="16"/>
        </w:rPr>
        <w:t xml:space="preserve"> </w:t>
      </w:r>
      <w:r>
        <w:rPr>
          <w:i/>
          <w:sz w:val="16"/>
        </w:rPr>
        <w:t>and</w:t>
      </w:r>
      <w:r>
        <w:rPr>
          <w:i/>
          <w:spacing w:val="-2"/>
          <w:sz w:val="16"/>
        </w:rPr>
        <w:t xml:space="preserve"> management</w:t>
      </w:r>
    </w:p>
    <w:tbl>
      <w:tblPr>
        <w:tblW w:w="0" w:type="auto"/>
        <w:tblInd w:w="779" w:type="dxa"/>
        <w:tblLayout w:type="fixed"/>
        <w:tblCellMar>
          <w:left w:w="0" w:type="dxa"/>
          <w:right w:w="0" w:type="dxa"/>
        </w:tblCellMar>
        <w:tblLook w:val="01E0" w:firstRow="1" w:lastRow="1" w:firstColumn="1" w:lastColumn="1" w:noHBand="0" w:noVBand="0"/>
      </w:tblPr>
      <w:tblGrid>
        <w:gridCol w:w="2438"/>
        <w:gridCol w:w="7766"/>
      </w:tblGrid>
      <w:tr w:rsidR="009C36E3" w14:paraId="5763D951" w14:textId="77777777">
        <w:trPr>
          <w:trHeight w:val="492"/>
        </w:trPr>
        <w:tc>
          <w:tcPr>
            <w:tcW w:w="2438" w:type="dxa"/>
            <w:shd w:val="clear" w:color="auto" w:fill="0064BB"/>
          </w:tcPr>
          <w:p w14:paraId="4DD7B15D" w14:textId="77777777" w:rsidR="009C36E3" w:rsidRDefault="000E7207">
            <w:pPr>
              <w:pStyle w:val="TableParagraph"/>
              <w:spacing w:before="92"/>
              <w:rPr>
                <w:b/>
                <w:sz w:val="18"/>
              </w:rPr>
            </w:pPr>
            <w:r>
              <w:rPr>
                <w:b/>
                <w:color w:val="FFFFFF"/>
                <w:sz w:val="18"/>
              </w:rPr>
              <w:t>Challenge</w:t>
            </w:r>
            <w:r>
              <w:rPr>
                <w:b/>
                <w:color w:val="FFFFFF"/>
                <w:spacing w:val="-1"/>
                <w:sz w:val="18"/>
              </w:rPr>
              <w:t xml:space="preserve"> </w:t>
            </w:r>
            <w:r>
              <w:rPr>
                <w:b/>
                <w:color w:val="FFFFFF"/>
                <w:sz w:val="18"/>
              </w:rPr>
              <w:t>/</w:t>
            </w:r>
            <w:r>
              <w:rPr>
                <w:b/>
                <w:color w:val="FFFFFF"/>
                <w:spacing w:val="-1"/>
                <w:sz w:val="18"/>
              </w:rPr>
              <w:t xml:space="preserve"> </w:t>
            </w:r>
            <w:r>
              <w:rPr>
                <w:b/>
                <w:color w:val="FFFFFF"/>
                <w:spacing w:val="-2"/>
                <w:sz w:val="18"/>
              </w:rPr>
              <w:t>Limitation</w:t>
            </w:r>
          </w:p>
        </w:tc>
        <w:tc>
          <w:tcPr>
            <w:tcW w:w="7766" w:type="dxa"/>
            <w:shd w:val="clear" w:color="auto" w:fill="0064BB"/>
          </w:tcPr>
          <w:p w14:paraId="66BC0DA1" w14:textId="77777777" w:rsidR="009C36E3" w:rsidRDefault="000E7207">
            <w:pPr>
              <w:pStyle w:val="TableParagraph"/>
              <w:spacing w:before="92"/>
              <w:ind w:left="108"/>
              <w:rPr>
                <w:b/>
                <w:sz w:val="18"/>
              </w:rPr>
            </w:pPr>
            <w:r>
              <w:rPr>
                <w:b/>
                <w:color w:val="FFFFFF"/>
                <w:sz w:val="18"/>
              </w:rPr>
              <w:t>Mitigation</w:t>
            </w:r>
            <w:r>
              <w:rPr>
                <w:b/>
                <w:color w:val="FFFFFF"/>
                <w:spacing w:val="-3"/>
                <w:sz w:val="18"/>
              </w:rPr>
              <w:t xml:space="preserve"> </w:t>
            </w:r>
            <w:r>
              <w:rPr>
                <w:b/>
                <w:color w:val="FFFFFF"/>
                <w:sz w:val="18"/>
              </w:rPr>
              <w:t>and</w:t>
            </w:r>
            <w:r>
              <w:rPr>
                <w:b/>
                <w:color w:val="FFFFFF"/>
                <w:spacing w:val="-3"/>
                <w:sz w:val="18"/>
              </w:rPr>
              <w:t xml:space="preserve"> </w:t>
            </w:r>
            <w:r>
              <w:rPr>
                <w:b/>
                <w:color w:val="FFFFFF"/>
                <w:sz w:val="18"/>
              </w:rPr>
              <w:t>adaptive</w:t>
            </w:r>
            <w:r>
              <w:rPr>
                <w:b/>
                <w:color w:val="FFFFFF"/>
                <w:spacing w:val="-1"/>
                <w:sz w:val="18"/>
              </w:rPr>
              <w:t xml:space="preserve"> </w:t>
            </w:r>
            <w:r>
              <w:rPr>
                <w:b/>
                <w:color w:val="FFFFFF"/>
                <w:spacing w:val="-2"/>
                <w:sz w:val="18"/>
              </w:rPr>
              <w:t>strategies</w:t>
            </w:r>
          </w:p>
        </w:tc>
      </w:tr>
      <w:tr w:rsidR="009C36E3" w14:paraId="2AEB0A5C" w14:textId="77777777">
        <w:trPr>
          <w:trHeight w:val="2654"/>
        </w:trPr>
        <w:tc>
          <w:tcPr>
            <w:tcW w:w="2438" w:type="dxa"/>
            <w:tcBorders>
              <w:bottom w:val="single" w:sz="4" w:space="0" w:color="0064BB"/>
            </w:tcBorders>
            <w:shd w:val="clear" w:color="auto" w:fill="F1F1F1"/>
          </w:tcPr>
          <w:p w14:paraId="2C94CD9F" w14:textId="77777777" w:rsidR="009C36E3" w:rsidRDefault="000E7207">
            <w:pPr>
              <w:pStyle w:val="TableParagraph"/>
              <w:spacing w:before="80"/>
              <w:ind w:right="543"/>
              <w:rPr>
                <w:b/>
                <w:sz w:val="18"/>
              </w:rPr>
            </w:pPr>
            <w:r>
              <w:rPr>
                <w:b/>
                <w:sz w:val="18"/>
              </w:rPr>
              <w:t>Large number of stakeholders for in- country</w:t>
            </w:r>
            <w:r>
              <w:rPr>
                <w:b/>
                <w:spacing w:val="-13"/>
                <w:sz w:val="18"/>
              </w:rPr>
              <w:t xml:space="preserve"> </w:t>
            </w:r>
            <w:r>
              <w:rPr>
                <w:b/>
                <w:sz w:val="18"/>
              </w:rPr>
              <w:t>consultation</w:t>
            </w:r>
          </w:p>
        </w:tc>
        <w:tc>
          <w:tcPr>
            <w:tcW w:w="7766" w:type="dxa"/>
            <w:tcBorders>
              <w:bottom w:val="single" w:sz="4" w:space="0" w:color="0064BB"/>
            </w:tcBorders>
          </w:tcPr>
          <w:p w14:paraId="63A11464" w14:textId="77777777" w:rsidR="009C36E3" w:rsidRDefault="000E7207">
            <w:pPr>
              <w:pStyle w:val="TableParagraph"/>
              <w:spacing w:before="198" w:line="264" w:lineRule="auto"/>
              <w:ind w:left="108" w:right="103"/>
              <w:rPr>
                <w:sz w:val="18"/>
              </w:rPr>
            </w:pPr>
            <w:r>
              <w:rPr>
                <w:sz w:val="18"/>
              </w:rPr>
              <w:t>VAPJP’s scope and reach means a large number of stakeholders were initially identified for separate</w:t>
            </w:r>
            <w:r>
              <w:rPr>
                <w:spacing w:val="-5"/>
                <w:sz w:val="18"/>
              </w:rPr>
              <w:t xml:space="preserve"> </w:t>
            </w:r>
            <w:r>
              <w:rPr>
                <w:sz w:val="18"/>
              </w:rPr>
              <w:t>consultation</w:t>
            </w:r>
            <w:r>
              <w:rPr>
                <w:spacing w:val="-2"/>
                <w:sz w:val="18"/>
              </w:rPr>
              <w:t xml:space="preserve"> </w:t>
            </w:r>
            <w:r>
              <w:rPr>
                <w:sz w:val="18"/>
              </w:rPr>
              <w:t>(more</w:t>
            </w:r>
            <w:r>
              <w:rPr>
                <w:spacing w:val="-5"/>
                <w:sz w:val="18"/>
              </w:rPr>
              <w:t xml:space="preserve"> </w:t>
            </w:r>
            <w:r>
              <w:rPr>
                <w:sz w:val="18"/>
              </w:rPr>
              <w:t>than</w:t>
            </w:r>
            <w:r>
              <w:rPr>
                <w:spacing w:val="-2"/>
                <w:sz w:val="18"/>
              </w:rPr>
              <w:t xml:space="preserve"> </w:t>
            </w:r>
            <w:r>
              <w:rPr>
                <w:sz w:val="18"/>
              </w:rPr>
              <w:t>100),</w:t>
            </w:r>
            <w:r>
              <w:rPr>
                <w:spacing w:val="-3"/>
                <w:sz w:val="18"/>
              </w:rPr>
              <w:t xml:space="preserve"> </w:t>
            </w:r>
            <w:r>
              <w:rPr>
                <w:sz w:val="18"/>
              </w:rPr>
              <w:t>which</w:t>
            </w:r>
            <w:r>
              <w:rPr>
                <w:spacing w:val="-2"/>
                <w:sz w:val="18"/>
              </w:rPr>
              <w:t xml:space="preserve"> </w:t>
            </w:r>
            <w:r>
              <w:rPr>
                <w:sz w:val="18"/>
              </w:rPr>
              <w:t>was</w:t>
            </w:r>
            <w:r>
              <w:rPr>
                <w:spacing w:val="-2"/>
                <w:sz w:val="18"/>
              </w:rPr>
              <w:t xml:space="preserve"> </w:t>
            </w:r>
            <w:r>
              <w:rPr>
                <w:sz w:val="18"/>
              </w:rPr>
              <w:t>beyond</w:t>
            </w:r>
            <w:r>
              <w:rPr>
                <w:spacing w:val="-2"/>
                <w:sz w:val="18"/>
              </w:rPr>
              <w:t xml:space="preserve"> </w:t>
            </w:r>
            <w:r>
              <w:rPr>
                <w:sz w:val="18"/>
              </w:rPr>
              <w:t>the</w:t>
            </w:r>
            <w:r>
              <w:rPr>
                <w:spacing w:val="-2"/>
                <w:sz w:val="18"/>
              </w:rPr>
              <w:t xml:space="preserve"> </w:t>
            </w:r>
            <w:r>
              <w:rPr>
                <w:sz w:val="18"/>
              </w:rPr>
              <w:t>resources</w:t>
            </w:r>
            <w:r>
              <w:rPr>
                <w:spacing w:val="-4"/>
                <w:sz w:val="18"/>
              </w:rPr>
              <w:t xml:space="preserve"> </w:t>
            </w:r>
            <w:r>
              <w:rPr>
                <w:sz w:val="18"/>
              </w:rPr>
              <w:t>or</w:t>
            </w:r>
            <w:r>
              <w:rPr>
                <w:spacing w:val="-3"/>
                <w:sz w:val="18"/>
              </w:rPr>
              <w:t xml:space="preserve"> </w:t>
            </w:r>
            <w:r>
              <w:rPr>
                <w:sz w:val="18"/>
              </w:rPr>
              <w:t>time</w:t>
            </w:r>
            <w:r>
              <w:rPr>
                <w:spacing w:val="-5"/>
                <w:sz w:val="18"/>
              </w:rPr>
              <w:t xml:space="preserve"> </w:t>
            </w:r>
            <w:r>
              <w:rPr>
                <w:sz w:val="18"/>
              </w:rPr>
              <w:t>available.</w:t>
            </w:r>
            <w:r>
              <w:rPr>
                <w:spacing w:val="-5"/>
                <w:sz w:val="18"/>
              </w:rPr>
              <w:t xml:space="preserve"> </w:t>
            </w:r>
            <w:r>
              <w:rPr>
                <w:sz w:val="18"/>
              </w:rPr>
              <w:t>The MTR team, DFAT, VAPJP and AFP worked collaboratively to consolidate the schedule to ensure most relevant perspectives were included. This also resulted in the MTR team splitting on occasions to ensure coverage and consultations in both Port Vila and Santo.</w:t>
            </w:r>
          </w:p>
          <w:p w14:paraId="3598330B" w14:textId="77777777" w:rsidR="009C36E3" w:rsidRDefault="000E7207">
            <w:pPr>
              <w:pStyle w:val="TableParagraph"/>
              <w:spacing w:before="201"/>
              <w:ind w:left="108" w:right="103"/>
              <w:rPr>
                <w:sz w:val="18"/>
              </w:rPr>
            </w:pPr>
            <w:r>
              <w:rPr>
                <w:sz w:val="18"/>
              </w:rPr>
              <w:t>The holding of group meetings was also designed to deal with the large number of stakeholders, however this proved less than ideal on occasions as some informants were clearly</w:t>
            </w:r>
            <w:r>
              <w:rPr>
                <w:spacing w:val="-2"/>
                <w:sz w:val="18"/>
              </w:rPr>
              <w:t xml:space="preserve"> </w:t>
            </w:r>
            <w:r>
              <w:rPr>
                <w:sz w:val="18"/>
              </w:rPr>
              <w:t>reluctant</w:t>
            </w:r>
            <w:r>
              <w:rPr>
                <w:spacing w:val="-3"/>
                <w:sz w:val="18"/>
              </w:rPr>
              <w:t xml:space="preserve"> </w:t>
            </w:r>
            <w:r>
              <w:rPr>
                <w:sz w:val="18"/>
              </w:rPr>
              <w:t>to</w:t>
            </w:r>
            <w:r>
              <w:rPr>
                <w:spacing w:val="-4"/>
                <w:sz w:val="18"/>
              </w:rPr>
              <w:t xml:space="preserve"> </w:t>
            </w:r>
            <w:r>
              <w:rPr>
                <w:sz w:val="18"/>
              </w:rPr>
              <w:t>speak,</w:t>
            </w:r>
            <w:r>
              <w:rPr>
                <w:spacing w:val="-3"/>
                <w:sz w:val="18"/>
              </w:rPr>
              <w:t xml:space="preserve"> </w:t>
            </w:r>
            <w:r>
              <w:rPr>
                <w:sz w:val="18"/>
              </w:rPr>
              <w:t>offer</w:t>
            </w:r>
            <w:r>
              <w:rPr>
                <w:spacing w:val="-4"/>
                <w:sz w:val="18"/>
              </w:rPr>
              <w:t xml:space="preserve"> </w:t>
            </w:r>
            <w:r>
              <w:rPr>
                <w:sz w:val="18"/>
              </w:rPr>
              <w:t>alternative</w:t>
            </w:r>
            <w:r>
              <w:rPr>
                <w:spacing w:val="-5"/>
                <w:sz w:val="18"/>
              </w:rPr>
              <w:t xml:space="preserve"> </w:t>
            </w:r>
            <w:r>
              <w:rPr>
                <w:sz w:val="18"/>
              </w:rPr>
              <w:t>views,</w:t>
            </w:r>
            <w:r>
              <w:rPr>
                <w:spacing w:val="-3"/>
                <w:sz w:val="18"/>
              </w:rPr>
              <w:t xml:space="preserve"> </w:t>
            </w:r>
            <w:r>
              <w:rPr>
                <w:sz w:val="18"/>
              </w:rPr>
              <w:t>or</w:t>
            </w:r>
            <w:r>
              <w:rPr>
                <w:spacing w:val="-4"/>
                <w:sz w:val="18"/>
              </w:rPr>
              <w:t xml:space="preserve"> </w:t>
            </w:r>
            <w:r>
              <w:rPr>
                <w:sz w:val="18"/>
              </w:rPr>
              <w:t>raise</w:t>
            </w:r>
            <w:r>
              <w:rPr>
                <w:spacing w:val="-5"/>
                <w:sz w:val="18"/>
              </w:rPr>
              <w:t xml:space="preserve"> </w:t>
            </w:r>
            <w:r>
              <w:rPr>
                <w:sz w:val="18"/>
              </w:rPr>
              <w:t>contentious</w:t>
            </w:r>
            <w:r>
              <w:rPr>
                <w:spacing w:val="-4"/>
                <w:sz w:val="18"/>
              </w:rPr>
              <w:t xml:space="preserve"> </w:t>
            </w:r>
            <w:r>
              <w:rPr>
                <w:sz w:val="18"/>
              </w:rPr>
              <w:t>issues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presence</w:t>
            </w:r>
            <w:r>
              <w:rPr>
                <w:spacing w:val="-2"/>
                <w:sz w:val="18"/>
              </w:rPr>
              <w:t xml:space="preserve"> </w:t>
            </w:r>
            <w:r>
              <w:rPr>
                <w:sz w:val="18"/>
              </w:rPr>
              <w:t>of more senior members of the group. In some cases, when time permitted, the MTR team was able to follow up separately with individuals for further information as needed.</w:t>
            </w:r>
          </w:p>
        </w:tc>
      </w:tr>
      <w:tr w:rsidR="009C36E3" w14:paraId="0F804750" w14:textId="77777777">
        <w:trPr>
          <w:trHeight w:val="779"/>
        </w:trPr>
        <w:tc>
          <w:tcPr>
            <w:tcW w:w="2438" w:type="dxa"/>
            <w:tcBorders>
              <w:top w:val="single" w:sz="4" w:space="0" w:color="0064BB"/>
              <w:bottom w:val="single" w:sz="4" w:space="0" w:color="0064BB"/>
            </w:tcBorders>
            <w:shd w:val="clear" w:color="auto" w:fill="F1F1F1"/>
          </w:tcPr>
          <w:p w14:paraId="15F92B57" w14:textId="77777777" w:rsidR="009C36E3" w:rsidRDefault="000E7207">
            <w:pPr>
              <w:pStyle w:val="TableParagraph"/>
              <w:spacing w:line="242" w:lineRule="auto"/>
              <w:ind w:right="47"/>
              <w:rPr>
                <w:b/>
                <w:sz w:val="18"/>
              </w:rPr>
            </w:pPr>
            <w:r>
              <w:rPr>
                <w:b/>
                <w:sz w:val="18"/>
              </w:rPr>
              <w:t>Some</w:t>
            </w:r>
            <w:r>
              <w:rPr>
                <w:b/>
                <w:spacing w:val="-15"/>
                <w:sz w:val="18"/>
              </w:rPr>
              <w:t xml:space="preserve"> </w:t>
            </w:r>
            <w:r>
              <w:rPr>
                <w:b/>
                <w:sz w:val="18"/>
              </w:rPr>
              <w:t>stakeholders</w:t>
            </w:r>
            <w:r>
              <w:rPr>
                <w:b/>
                <w:spacing w:val="-12"/>
                <w:sz w:val="18"/>
              </w:rPr>
              <w:t xml:space="preserve"> </w:t>
            </w:r>
            <w:r>
              <w:rPr>
                <w:b/>
                <w:sz w:val="18"/>
              </w:rPr>
              <w:t xml:space="preserve">(3) were unavailable for </w:t>
            </w:r>
            <w:r>
              <w:rPr>
                <w:b/>
                <w:spacing w:val="-2"/>
                <w:sz w:val="18"/>
              </w:rPr>
              <w:t>interview.</w:t>
            </w:r>
          </w:p>
        </w:tc>
        <w:tc>
          <w:tcPr>
            <w:tcW w:w="7766" w:type="dxa"/>
            <w:tcBorders>
              <w:top w:val="single" w:sz="4" w:space="0" w:color="0064BB"/>
              <w:bottom w:val="single" w:sz="4" w:space="0" w:color="0064BB"/>
            </w:tcBorders>
          </w:tcPr>
          <w:p w14:paraId="130059C3" w14:textId="77777777" w:rsidR="009C36E3" w:rsidRDefault="000E7207">
            <w:pPr>
              <w:pStyle w:val="TableParagraph"/>
              <w:spacing w:line="242" w:lineRule="auto"/>
              <w:ind w:left="108" w:right="131"/>
              <w:jc w:val="both"/>
              <w:rPr>
                <w:sz w:val="18"/>
              </w:rPr>
            </w:pPr>
            <w:r>
              <w:rPr>
                <w:sz w:val="18"/>
              </w:rPr>
              <w:t>The</w:t>
            </w:r>
            <w:r>
              <w:rPr>
                <w:spacing w:val="-2"/>
                <w:sz w:val="18"/>
              </w:rPr>
              <w:t xml:space="preserve"> </w:t>
            </w:r>
            <w:r>
              <w:rPr>
                <w:sz w:val="18"/>
              </w:rPr>
              <w:t>team</w:t>
            </w:r>
            <w:r>
              <w:rPr>
                <w:spacing w:val="-2"/>
                <w:sz w:val="18"/>
              </w:rPr>
              <w:t xml:space="preserve"> </w:t>
            </w:r>
            <w:r>
              <w:rPr>
                <w:sz w:val="18"/>
              </w:rPr>
              <w:t>was</w:t>
            </w:r>
            <w:r>
              <w:rPr>
                <w:spacing w:val="-2"/>
                <w:sz w:val="18"/>
              </w:rPr>
              <w:t xml:space="preserve"> </w:t>
            </w:r>
            <w:r>
              <w:rPr>
                <w:sz w:val="18"/>
              </w:rPr>
              <w:t>unable</w:t>
            </w:r>
            <w:r>
              <w:rPr>
                <w:spacing w:val="-2"/>
                <w:sz w:val="18"/>
              </w:rPr>
              <w:t xml:space="preserve"> </w:t>
            </w:r>
            <w:r>
              <w:rPr>
                <w:sz w:val="18"/>
              </w:rPr>
              <w:t>to</w:t>
            </w:r>
            <w:r>
              <w:rPr>
                <w:spacing w:val="-5"/>
                <w:sz w:val="18"/>
              </w:rPr>
              <w:t xml:space="preserve"> </w:t>
            </w:r>
            <w:r>
              <w:rPr>
                <w:sz w:val="18"/>
              </w:rPr>
              <w:t>meet</w:t>
            </w:r>
            <w:r>
              <w:rPr>
                <w:spacing w:val="-5"/>
                <w:sz w:val="18"/>
              </w:rPr>
              <w:t xml:space="preserve"> </w:t>
            </w:r>
            <w:r>
              <w:rPr>
                <w:sz w:val="18"/>
              </w:rPr>
              <w:t>with</w:t>
            </w:r>
            <w:r>
              <w:rPr>
                <w:spacing w:val="-2"/>
                <w:sz w:val="18"/>
              </w:rPr>
              <w:t xml:space="preserve"> </w:t>
            </w:r>
            <w:r>
              <w:rPr>
                <w:sz w:val="18"/>
              </w:rPr>
              <w:t>three</w:t>
            </w:r>
            <w:r>
              <w:rPr>
                <w:spacing w:val="-3"/>
                <w:sz w:val="18"/>
              </w:rPr>
              <w:t xml:space="preserve"> </w:t>
            </w:r>
            <w:r>
              <w:rPr>
                <w:sz w:val="18"/>
              </w:rPr>
              <w:t>key</w:t>
            </w:r>
            <w:r>
              <w:rPr>
                <w:spacing w:val="-4"/>
                <w:sz w:val="18"/>
              </w:rPr>
              <w:t xml:space="preserve"> </w:t>
            </w:r>
            <w:r>
              <w:rPr>
                <w:sz w:val="18"/>
              </w:rPr>
              <w:t>stakeholders</w:t>
            </w:r>
            <w:r>
              <w:rPr>
                <w:spacing w:val="-4"/>
                <w:sz w:val="18"/>
              </w:rPr>
              <w:t xml:space="preserve"> </w:t>
            </w:r>
            <w:r>
              <w:rPr>
                <w:sz w:val="18"/>
              </w:rPr>
              <w:t>despite</w:t>
            </w:r>
            <w:r>
              <w:rPr>
                <w:spacing w:val="-3"/>
                <w:sz w:val="18"/>
              </w:rPr>
              <w:t xml:space="preserve"> </w:t>
            </w:r>
            <w:r>
              <w:rPr>
                <w:sz w:val="18"/>
              </w:rPr>
              <w:t>concerted</w:t>
            </w:r>
            <w:r>
              <w:rPr>
                <w:spacing w:val="-5"/>
                <w:sz w:val="18"/>
              </w:rPr>
              <w:t xml:space="preserve"> </w:t>
            </w:r>
            <w:r>
              <w:rPr>
                <w:sz w:val="18"/>
              </w:rPr>
              <w:t>attempts</w:t>
            </w:r>
            <w:r>
              <w:rPr>
                <w:spacing w:val="-2"/>
                <w:sz w:val="18"/>
              </w:rPr>
              <w:t xml:space="preserve"> </w:t>
            </w:r>
            <w:r>
              <w:rPr>
                <w:sz w:val="18"/>
              </w:rPr>
              <w:t>to</w:t>
            </w:r>
            <w:r>
              <w:rPr>
                <w:spacing w:val="-5"/>
                <w:sz w:val="18"/>
              </w:rPr>
              <w:t xml:space="preserve"> </w:t>
            </w:r>
            <w:r>
              <w:rPr>
                <w:sz w:val="18"/>
              </w:rPr>
              <w:t>follow up at</w:t>
            </w:r>
            <w:r>
              <w:rPr>
                <w:spacing w:val="-2"/>
                <w:sz w:val="18"/>
              </w:rPr>
              <w:t xml:space="preserve"> </w:t>
            </w:r>
            <w:r>
              <w:rPr>
                <w:sz w:val="18"/>
              </w:rPr>
              <w:t>other</w:t>
            </w:r>
            <w:r>
              <w:rPr>
                <w:spacing w:val="-2"/>
                <w:sz w:val="18"/>
              </w:rPr>
              <w:t xml:space="preserve"> </w:t>
            </w:r>
            <w:r>
              <w:rPr>
                <w:sz w:val="18"/>
              </w:rPr>
              <w:t>times,</w:t>
            </w:r>
            <w:r>
              <w:rPr>
                <w:spacing w:val="-2"/>
                <w:sz w:val="18"/>
              </w:rPr>
              <w:t xml:space="preserve"> </w:t>
            </w:r>
            <w:r>
              <w:rPr>
                <w:sz w:val="18"/>
              </w:rPr>
              <w:t>including remotely.</w:t>
            </w:r>
            <w:r>
              <w:rPr>
                <w:spacing w:val="-2"/>
                <w:sz w:val="18"/>
              </w:rPr>
              <w:t xml:space="preserve"> </w:t>
            </w:r>
            <w:r>
              <w:rPr>
                <w:sz w:val="18"/>
              </w:rPr>
              <w:t>Where</w:t>
            </w:r>
            <w:r>
              <w:rPr>
                <w:spacing w:val="-2"/>
                <w:sz w:val="18"/>
              </w:rPr>
              <w:t xml:space="preserve"> </w:t>
            </w:r>
            <w:r>
              <w:rPr>
                <w:sz w:val="18"/>
              </w:rPr>
              <w:t>this has</w:t>
            </w:r>
            <w:r>
              <w:rPr>
                <w:spacing w:val="-1"/>
                <w:sz w:val="18"/>
              </w:rPr>
              <w:t xml:space="preserve"> </w:t>
            </w:r>
            <w:r>
              <w:rPr>
                <w:sz w:val="18"/>
              </w:rPr>
              <w:t>left</w:t>
            </w:r>
            <w:r>
              <w:rPr>
                <w:spacing w:val="-2"/>
                <w:sz w:val="18"/>
              </w:rPr>
              <w:t xml:space="preserve"> </w:t>
            </w:r>
            <w:r>
              <w:rPr>
                <w:sz w:val="18"/>
              </w:rPr>
              <w:t>gaps in the</w:t>
            </w:r>
            <w:r>
              <w:rPr>
                <w:spacing w:val="-2"/>
                <w:sz w:val="18"/>
              </w:rPr>
              <w:t xml:space="preserve"> </w:t>
            </w:r>
            <w:r>
              <w:rPr>
                <w:sz w:val="18"/>
              </w:rPr>
              <w:t>data, this</w:t>
            </w:r>
            <w:r>
              <w:rPr>
                <w:spacing w:val="-1"/>
                <w:sz w:val="18"/>
              </w:rPr>
              <w:t xml:space="preserve"> </w:t>
            </w:r>
            <w:r>
              <w:rPr>
                <w:sz w:val="18"/>
              </w:rPr>
              <w:t>has</w:t>
            </w:r>
            <w:r>
              <w:rPr>
                <w:spacing w:val="-1"/>
                <w:sz w:val="18"/>
              </w:rPr>
              <w:t xml:space="preserve"> </w:t>
            </w:r>
            <w:r>
              <w:rPr>
                <w:sz w:val="18"/>
              </w:rPr>
              <w:t>been noted in the report.</w:t>
            </w:r>
          </w:p>
        </w:tc>
      </w:tr>
      <w:tr w:rsidR="009C36E3" w14:paraId="0051DA68" w14:textId="77777777">
        <w:trPr>
          <w:trHeight w:val="1194"/>
        </w:trPr>
        <w:tc>
          <w:tcPr>
            <w:tcW w:w="2438" w:type="dxa"/>
            <w:tcBorders>
              <w:top w:val="single" w:sz="4" w:space="0" w:color="0064BB"/>
              <w:bottom w:val="single" w:sz="4" w:space="0" w:color="0064BB"/>
            </w:tcBorders>
            <w:shd w:val="clear" w:color="auto" w:fill="F1F1F1"/>
          </w:tcPr>
          <w:p w14:paraId="473C87C0" w14:textId="77777777" w:rsidR="009C36E3" w:rsidRDefault="000E7207">
            <w:pPr>
              <w:pStyle w:val="TableParagraph"/>
              <w:spacing w:before="80"/>
              <w:rPr>
                <w:b/>
                <w:sz w:val="18"/>
              </w:rPr>
            </w:pPr>
            <w:r>
              <w:rPr>
                <w:b/>
                <w:sz w:val="18"/>
              </w:rPr>
              <w:t>The</w:t>
            </w:r>
            <w:r>
              <w:rPr>
                <w:b/>
                <w:spacing w:val="-9"/>
                <w:sz w:val="18"/>
              </w:rPr>
              <w:t xml:space="preserve"> </w:t>
            </w:r>
            <w:r>
              <w:rPr>
                <w:b/>
                <w:sz w:val="18"/>
              </w:rPr>
              <w:t>team</w:t>
            </w:r>
            <w:r>
              <w:rPr>
                <w:b/>
                <w:spacing w:val="-11"/>
                <w:sz w:val="18"/>
              </w:rPr>
              <w:t xml:space="preserve"> </w:t>
            </w:r>
            <w:r>
              <w:rPr>
                <w:b/>
                <w:sz w:val="18"/>
              </w:rPr>
              <w:t>was</w:t>
            </w:r>
            <w:r>
              <w:rPr>
                <w:b/>
                <w:spacing w:val="-9"/>
                <w:sz w:val="18"/>
              </w:rPr>
              <w:t xml:space="preserve"> </w:t>
            </w:r>
            <w:r>
              <w:rPr>
                <w:b/>
                <w:sz w:val="18"/>
              </w:rPr>
              <w:t>unable</w:t>
            </w:r>
            <w:r>
              <w:rPr>
                <w:b/>
                <w:spacing w:val="-9"/>
                <w:sz w:val="18"/>
              </w:rPr>
              <w:t xml:space="preserve"> </w:t>
            </w:r>
            <w:r>
              <w:rPr>
                <w:b/>
                <w:sz w:val="18"/>
              </w:rPr>
              <w:t>to reach Epi</w:t>
            </w:r>
          </w:p>
        </w:tc>
        <w:tc>
          <w:tcPr>
            <w:tcW w:w="7766" w:type="dxa"/>
            <w:tcBorders>
              <w:top w:val="single" w:sz="4" w:space="0" w:color="0064BB"/>
              <w:bottom w:val="single" w:sz="4" w:space="0" w:color="0064BB"/>
            </w:tcBorders>
          </w:tcPr>
          <w:p w14:paraId="7830B9B9" w14:textId="77777777" w:rsidR="009C36E3" w:rsidRDefault="000E7207">
            <w:pPr>
              <w:pStyle w:val="TableParagraph"/>
              <w:spacing w:before="80"/>
              <w:ind w:left="108" w:right="103"/>
              <w:rPr>
                <w:sz w:val="18"/>
              </w:rPr>
            </w:pPr>
            <w:r>
              <w:rPr>
                <w:sz w:val="18"/>
              </w:rPr>
              <w:t>Charter flights were not available due to high demand resulting from operational challenges with Air Vanuatu, and safety concerns arising from a recent Air Taxi incident, so the review team was unable to visit Epi,</w:t>
            </w:r>
            <w:r>
              <w:rPr>
                <w:spacing w:val="-1"/>
                <w:sz w:val="18"/>
              </w:rPr>
              <w:t xml:space="preserve"> </w:t>
            </w:r>
            <w:r>
              <w:rPr>
                <w:sz w:val="18"/>
              </w:rPr>
              <w:t>which is a key site for VAPJP. Assessments related to Epi were instead</w:t>
            </w:r>
            <w:r>
              <w:rPr>
                <w:spacing w:val="-4"/>
                <w:sz w:val="18"/>
              </w:rPr>
              <w:t xml:space="preserve"> </w:t>
            </w:r>
            <w:r>
              <w:rPr>
                <w:sz w:val="18"/>
              </w:rPr>
              <w:t>made</w:t>
            </w:r>
            <w:r>
              <w:rPr>
                <w:spacing w:val="-1"/>
                <w:sz w:val="18"/>
              </w:rPr>
              <w:t xml:space="preserve"> </w:t>
            </w:r>
            <w:r>
              <w:rPr>
                <w:sz w:val="18"/>
              </w:rPr>
              <w:t>using</w:t>
            </w:r>
            <w:r>
              <w:rPr>
                <w:spacing w:val="-1"/>
                <w:sz w:val="18"/>
              </w:rPr>
              <w:t xml:space="preserve"> </w:t>
            </w:r>
            <w:r>
              <w:rPr>
                <w:sz w:val="18"/>
              </w:rPr>
              <w:t>secondary</w:t>
            </w:r>
            <w:r>
              <w:rPr>
                <w:spacing w:val="-3"/>
                <w:sz w:val="18"/>
              </w:rPr>
              <w:t xml:space="preserve"> </w:t>
            </w:r>
            <w:r>
              <w:rPr>
                <w:sz w:val="18"/>
              </w:rPr>
              <w:t>sources.</w:t>
            </w:r>
            <w:r>
              <w:rPr>
                <w:spacing w:val="-2"/>
                <w:sz w:val="18"/>
              </w:rPr>
              <w:t xml:space="preserve"> </w:t>
            </w:r>
            <w:r>
              <w:rPr>
                <w:sz w:val="18"/>
              </w:rPr>
              <w:t>It</w:t>
            </w:r>
            <w:r>
              <w:rPr>
                <w:spacing w:val="-2"/>
                <w:sz w:val="18"/>
              </w:rPr>
              <w:t xml:space="preserve"> </w:t>
            </w:r>
            <w:r>
              <w:rPr>
                <w:sz w:val="18"/>
              </w:rPr>
              <w:t>would</w:t>
            </w:r>
            <w:r>
              <w:rPr>
                <w:spacing w:val="-4"/>
                <w:sz w:val="18"/>
              </w:rPr>
              <w:t xml:space="preserve"> </w:t>
            </w:r>
            <w:r>
              <w:rPr>
                <w:sz w:val="18"/>
              </w:rPr>
              <w:t>be</w:t>
            </w:r>
            <w:r>
              <w:rPr>
                <w:spacing w:val="-4"/>
                <w:sz w:val="18"/>
              </w:rPr>
              <w:t xml:space="preserve"> </w:t>
            </w:r>
            <w:r>
              <w:rPr>
                <w:sz w:val="18"/>
              </w:rPr>
              <w:t>advisable</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design</w:t>
            </w:r>
            <w:r>
              <w:rPr>
                <w:spacing w:val="-1"/>
                <w:sz w:val="18"/>
              </w:rPr>
              <w:t xml:space="preserve"> </w:t>
            </w:r>
            <w:r>
              <w:rPr>
                <w:sz w:val="18"/>
              </w:rPr>
              <w:t>team</w:t>
            </w:r>
            <w:r>
              <w:rPr>
                <w:spacing w:val="-3"/>
                <w:sz w:val="18"/>
              </w:rPr>
              <w:t xml:space="preserve"> </w:t>
            </w:r>
            <w:r>
              <w:rPr>
                <w:sz w:val="18"/>
              </w:rPr>
              <w:t>to</w:t>
            </w:r>
            <w:r>
              <w:rPr>
                <w:spacing w:val="-4"/>
                <w:sz w:val="18"/>
              </w:rPr>
              <w:t xml:space="preserve"> </w:t>
            </w:r>
            <w:r>
              <w:rPr>
                <w:sz w:val="18"/>
              </w:rPr>
              <w:t>visit</w:t>
            </w:r>
            <w:r>
              <w:rPr>
                <w:spacing w:val="-2"/>
                <w:sz w:val="18"/>
              </w:rPr>
              <w:t xml:space="preserve"> </w:t>
            </w:r>
            <w:r>
              <w:rPr>
                <w:sz w:val="18"/>
              </w:rPr>
              <w:t>Epi</w:t>
            </w:r>
            <w:r>
              <w:rPr>
                <w:spacing w:val="-1"/>
                <w:sz w:val="18"/>
              </w:rPr>
              <w:t xml:space="preserve"> </w:t>
            </w:r>
            <w:r>
              <w:rPr>
                <w:sz w:val="18"/>
              </w:rPr>
              <w:t>if at all possible.</w:t>
            </w:r>
          </w:p>
        </w:tc>
      </w:tr>
      <w:tr w:rsidR="009C36E3" w14:paraId="55FC53E6" w14:textId="77777777">
        <w:trPr>
          <w:trHeight w:val="1194"/>
        </w:trPr>
        <w:tc>
          <w:tcPr>
            <w:tcW w:w="2438" w:type="dxa"/>
            <w:tcBorders>
              <w:top w:val="single" w:sz="4" w:space="0" w:color="0064BB"/>
              <w:bottom w:val="single" w:sz="4" w:space="0" w:color="0064BB"/>
            </w:tcBorders>
            <w:shd w:val="clear" w:color="auto" w:fill="F1F1F1"/>
          </w:tcPr>
          <w:p w14:paraId="5F348658" w14:textId="77777777" w:rsidR="009C36E3" w:rsidRDefault="000E7207">
            <w:pPr>
              <w:pStyle w:val="TableParagraph"/>
              <w:spacing w:before="80"/>
              <w:rPr>
                <w:b/>
                <w:sz w:val="18"/>
              </w:rPr>
            </w:pPr>
            <w:r>
              <w:rPr>
                <w:b/>
                <w:sz w:val="18"/>
              </w:rPr>
              <w:t>Sampling</w:t>
            </w:r>
            <w:r>
              <w:rPr>
                <w:b/>
                <w:spacing w:val="-3"/>
                <w:sz w:val="18"/>
              </w:rPr>
              <w:t xml:space="preserve"> </w:t>
            </w:r>
            <w:r>
              <w:rPr>
                <w:b/>
                <w:spacing w:val="-4"/>
                <w:sz w:val="18"/>
              </w:rPr>
              <w:t>bias</w:t>
            </w:r>
          </w:p>
        </w:tc>
        <w:tc>
          <w:tcPr>
            <w:tcW w:w="7766" w:type="dxa"/>
            <w:tcBorders>
              <w:top w:val="single" w:sz="4" w:space="0" w:color="0064BB"/>
              <w:bottom w:val="single" w:sz="4" w:space="0" w:color="0064BB"/>
            </w:tcBorders>
          </w:tcPr>
          <w:p w14:paraId="7D12D182" w14:textId="77777777" w:rsidR="009C36E3" w:rsidRDefault="000E7207">
            <w:pPr>
              <w:pStyle w:val="TableParagraph"/>
              <w:spacing w:before="80"/>
              <w:ind w:left="108" w:right="196"/>
              <w:rPr>
                <w:sz w:val="18"/>
              </w:rPr>
            </w:pPr>
            <w:r>
              <w:rPr>
                <w:sz w:val="18"/>
              </w:rPr>
              <w:t>For</w:t>
            </w:r>
            <w:r>
              <w:rPr>
                <w:spacing w:val="-3"/>
                <w:sz w:val="18"/>
              </w:rPr>
              <w:t xml:space="preserve"> </w:t>
            </w:r>
            <w:r>
              <w:rPr>
                <w:sz w:val="18"/>
              </w:rPr>
              <w:t>logistical</w:t>
            </w:r>
            <w:r>
              <w:rPr>
                <w:spacing w:val="-2"/>
                <w:sz w:val="18"/>
              </w:rPr>
              <w:t xml:space="preserve"> </w:t>
            </w:r>
            <w:r>
              <w:rPr>
                <w:sz w:val="18"/>
              </w:rPr>
              <w:t>reasons,</w:t>
            </w:r>
            <w:r>
              <w:rPr>
                <w:spacing w:val="-5"/>
                <w:sz w:val="18"/>
              </w:rPr>
              <w:t xml:space="preserve"> </w:t>
            </w:r>
            <w:r>
              <w:rPr>
                <w:sz w:val="18"/>
              </w:rPr>
              <w:t>participants</w:t>
            </w:r>
            <w:r>
              <w:rPr>
                <w:spacing w:val="-4"/>
                <w:sz w:val="18"/>
              </w:rPr>
              <w:t xml:space="preserve"> </w:t>
            </w:r>
            <w:r>
              <w:rPr>
                <w:sz w:val="18"/>
              </w:rPr>
              <w:t>in</w:t>
            </w:r>
            <w:r>
              <w:rPr>
                <w:spacing w:val="-5"/>
                <w:sz w:val="18"/>
              </w:rPr>
              <w:t xml:space="preserve"> </w:t>
            </w:r>
            <w:r>
              <w:rPr>
                <w:sz w:val="18"/>
              </w:rPr>
              <w:t>community</w:t>
            </w:r>
            <w:r>
              <w:rPr>
                <w:spacing w:val="-2"/>
                <w:sz w:val="18"/>
              </w:rPr>
              <w:t xml:space="preserve"> </w:t>
            </w:r>
            <w:r>
              <w:rPr>
                <w:sz w:val="18"/>
              </w:rPr>
              <w:t>FGDs</w:t>
            </w:r>
            <w:r>
              <w:rPr>
                <w:spacing w:val="-2"/>
                <w:sz w:val="18"/>
              </w:rPr>
              <w:t xml:space="preserve"> </w:t>
            </w:r>
            <w:r>
              <w:rPr>
                <w:sz w:val="18"/>
              </w:rPr>
              <w:t>were</w:t>
            </w:r>
            <w:r>
              <w:rPr>
                <w:spacing w:val="-5"/>
                <w:sz w:val="18"/>
              </w:rPr>
              <w:t xml:space="preserve"> </w:t>
            </w:r>
            <w:r>
              <w:rPr>
                <w:sz w:val="18"/>
              </w:rPr>
              <w:t>selected</w:t>
            </w:r>
            <w:r>
              <w:rPr>
                <w:spacing w:val="-2"/>
                <w:sz w:val="18"/>
              </w:rPr>
              <w:t xml:space="preserve"> </w:t>
            </w:r>
            <w:r>
              <w:rPr>
                <w:sz w:val="18"/>
              </w:rPr>
              <w:t>by</w:t>
            </w:r>
            <w:r>
              <w:rPr>
                <w:spacing w:val="-2"/>
                <w:sz w:val="18"/>
              </w:rPr>
              <w:t xml:space="preserve"> </w:t>
            </w:r>
            <w:r>
              <w:rPr>
                <w:sz w:val="18"/>
              </w:rPr>
              <w:t>VAPJP</w:t>
            </w:r>
            <w:r>
              <w:rPr>
                <w:spacing w:val="-6"/>
                <w:sz w:val="18"/>
              </w:rPr>
              <w:t xml:space="preserve"> </w:t>
            </w:r>
            <w:r>
              <w:rPr>
                <w:sz w:val="18"/>
              </w:rPr>
              <w:t>and</w:t>
            </w:r>
            <w:r>
              <w:rPr>
                <w:spacing w:val="-5"/>
                <w:sz w:val="18"/>
              </w:rPr>
              <w:t xml:space="preserve"> </w:t>
            </w:r>
            <w:r>
              <w:rPr>
                <w:sz w:val="18"/>
              </w:rPr>
              <w:t>brought to a central location for consultations as participants were spread across the province of Santo, including from remote locations. The potential for positivity bias was noted, but perspectives shared were also triangulated against perspectives of other stakeholders and relevant grey literature.</w:t>
            </w:r>
          </w:p>
        </w:tc>
      </w:tr>
      <w:tr w:rsidR="009C36E3" w14:paraId="56F3C815" w14:textId="77777777">
        <w:trPr>
          <w:trHeight w:val="575"/>
        </w:trPr>
        <w:tc>
          <w:tcPr>
            <w:tcW w:w="2438" w:type="dxa"/>
            <w:tcBorders>
              <w:top w:val="single" w:sz="4" w:space="0" w:color="0064BB"/>
              <w:bottom w:val="single" w:sz="4" w:space="0" w:color="0064BB"/>
            </w:tcBorders>
            <w:shd w:val="clear" w:color="auto" w:fill="F1F1F1"/>
          </w:tcPr>
          <w:p w14:paraId="4C2B7924" w14:textId="77777777" w:rsidR="009C36E3" w:rsidRDefault="000E7207">
            <w:pPr>
              <w:pStyle w:val="TableParagraph"/>
              <w:spacing w:before="80"/>
              <w:rPr>
                <w:b/>
                <w:sz w:val="18"/>
              </w:rPr>
            </w:pPr>
            <w:r>
              <w:rPr>
                <w:b/>
                <w:sz w:val="18"/>
              </w:rPr>
              <w:t>Data</w:t>
            </w:r>
            <w:r>
              <w:rPr>
                <w:b/>
                <w:spacing w:val="-2"/>
                <w:sz w:val="18"/>
              </w:rPr>
              <w:t xml:space="preserve"> </w:t>
            </w:r>
            <w:r>
              <w:rPr>
                <w:b/>
                <w:spacing w:val="-4"/>
                <w:sz w:val="18"/>
              </w:rPr>
              <w:t>gaps</w:t>
            </w:r>
          </w:p>
        </w:tc>
        <w:tc>
          <w:tcPr>
            <w:tcW w:w="7766" w:type="dxa"/>
            <w:tcBorders>
              <w:top w:val="single" w:sz="4" w:space="0" w:color="0064BB"/>
              <w:bottom w:val="single" w:sz="4" w:space="0" w:color="0064BB"/>
            </w:tcBorders>
          </w:tcPr>
          <w:p w14:paraId="3AD34B12" w14:textId="77777777" w:rsidR="009C36E3" w:rsidRDefault="000E7207">
            <w:pPr>
              <w:pStyle w:val="TableParagraph"/>
              <w:spacing w:before="80"/>
              <w:ind w:left="108" w:right="196"/>
              <w:rPr>
                <w:sz w:val="18"/>
              </w:rPr>
            </w:pPr>
            <w:r>
              <w:rPr>
                <w:sz w:val="18"/>
              </w:rPr>
              <w:t>Challenges</w:t>
            </w:r>
            <w:r>
              <w:rPr>
                <w:spacing w:val="-2"/>
                <w:sz w:val="18"/>
              </w:rPr>
              <w:t xml:space="preserve"> </w:t>
            </w:r>
            <w:r>
              <w:rPr>
                <w:sz w:val="18"/>
              </w:rPr>
              <w:t>with</w:t>
            </w:r>
            <w:r>
              <w:rPr>
                <w:spacing w:val="-5"/>
                <w:sz w:val="18"/>
              </w:rPr>
              <w:t xml:space="preserve"> </w:t>
            </w:r>
            <w:r>
              <w:rPr>
                <w:sz w:val="18"/>
              </w:rPr>
              <w:t>data</w:t>
            </w:r>
            <w:r>
              <w:rPr>
                <w:spacing w:val="-2"/>
                <w:sz w:val="18"/>
              </w:rPr>
              <w:t xml:space="preserve"> </w:t>
            </w:r>
            <w:r>
              <w:rPr>
                <w:sz w:val="18"/>
              </w:rPr>
              <w:t>relevant</w:t>
            </w:r>
            <w:r>
              <w:rPr>
                <w:spacing w:val="-5"/>
                <w:sz w:val="18"/>
              </w:rPr>
              <w:t xml:space="preserve"> </w:t>
            </w:r>
            <w:r>
              <w:rPr>
                <w:sz w:val="18"/>
              </w:rPr>
              <w:t>for</w:t>
            </w:r>
            <w:r>
              <w:rPr>
                <w:spacing w:val="-3"/>
                <w:sz w:val="18"/>
              </w:rPr>
              <w:t xml:space="preserve"> </w:t>
            </w:r>
            <w:r>
              <w:rPr>
                <w:sz w:val="18"/>
              </w:rPr>
              <w:t>the</w:t>
            </w:r>
            <w:r>
              <w:rPr>
                <w:spacing w:val="-5"/>
                <w:sz w:val="18"/>
              </w:rPr>
              <w:t xml:space="preserve"> </w:t>
            </w:r>
            <w:r>
              <w:rPr>
                <w:sz w:val="18"/>
              </w:rPr>
              <w:t>MERL</w:t>
            </w:r>
            <w:r>
              <w:rPr>
                <w:spacing w:val="-5"/>
                <w:sz w:val="18"/>
              </w:rPr>
              <w:t xml:space="preserve"> </w:t>
            </w:r>
            <w:r>
              <w:rPr>
                <w:sz w:val="18"/>
              </w:rPr>
              <w:t>system</w:t>
            </w:r>
            <w:r>
              <w:rPr>
                <w:spacing w:val="-2"/>
                <w:sz w:val="18"/>
              </w:rPr>
              <w:t xml:space="preserve"> </w:t>
            </w:r>
            <w:r>
              <w:rPr>
                <w:sz w:val="18"/>
              </w:rPr>
              <w:t>are</w:t>
            </w:r>
            <w:r>
              <w:rPr>
                <w:spacing w:val="-2"/>
                <w:sz w:val="18"/>
              </w:rPr>
              <w:t xml:space="preserve"> </w:t>
            </w:r>
            <w:r>
              <w:rPr>
                <w:sz w:val="18"/>
              </w:rPr>
              <w:t>highlighted</w:t>
            </w:r>
            <w:r>
              <w:rPr>
                <w:spacing w:val="-2"/>
                <w:sz w:val="18"/>
              </w:rPr>
              <w:t xml:space="preserve"> </w:t>
            </w:r>
            <w:r>
              <w:rPr>
                <w:sz w:val="18"/>
              </w:rPr>
              <w:t>in</w:t>
            </w:r>
            <w:r>
              <w:rPr>
                <w:spacing w:val="-5"/>
                <w:sz w:val="18"/>
              </w:rPr>
              <w:t xml:space="preserve"> </w:t>
            </w:r>
            <w:r>
              <w:rPr>
                <w:sz w:val="18"/>
              </w:rPr>
              <w:t>the</w:t>
            </w:r>
            <w:r>
              <w:rPr>
                <w:spacing w:val="-2"/>
                <w:sz w:val="18"/>
              </w:rPr>
              <w:t xml:space="preserve"> </w:t>
            </w:r>
            <w:r>
              <w:rPr>
                <w:sz w:val="18"/>
              </w:rPr>
              <w:t>report,</w:t>
            </w:r>
            <w:r>
              <w:rPr>
                <w:spacing w:val="-3"/>
                <w:sz w:val="18"/>
              </w:rPr>
              <w:t xml:space="preserve"> </w:t>
            </w:r>
            <w:r>
              <w:rPr>
                <w:sz w:val="18"/>
              </w:rPr>
              <w:t>and contribute to findings.</w:t>
            </w:r>
          </w:p>
        </w:tc>
      </w:tr>
    </w:tbl>
    <w:p w14:paraId="614F9F99" w14:textId="77777777" w:rsidR="009C36E3" w:rsidRDefault="009C36E3">
      <w:pPr>
        <w:rPr>
          <w:sz w:val="18"/>
        </w:rPr>
        <w:sectPr w:rsidR="009C36E3">
          <w:pgSz w:w="11910" w:h="16850"/>
          <w:pgMar w:top="1040" w:right="740" w:bottom="740" w:left="80" w:header="552" w:footer="559" w:gutter="0"/>
          <w:cols w:space="720"/>
        </w:sectPr>
      </w:pPr>
    </w:p>
    <w:p w14:paraId="46AAA5D8" w14:textId="77777777" w:rsidR="009C36E3" w:rsidRDefault="000E7207" w:rsidP="00E84525">
      <w:pPr>
        <w:pStyle w:val="Heading1"/>
        <w:numPr>
          <w:ilvl w:val="0"/>
          <w:numId w:val="33"/>
        </w:numPr>
      </w:pPr>
      <w:bookmarkStart w:id="24" w:name="3_Findings"/>
      <w:bookmarkStart w:id="25" w:name="_bookmark17"/>
      <w:bookmarkEnd w:id="24"/>
      <w:bookmarkEnd w:id="25"/>
      <w:r>
        <w:t>Findings</w:t>
      </w:r>
    </w:p>
    <w:p w14:paraId="1BA93393" w14:textId="77777777" w:rsidR="009C36E3" w:rsidRDefault="000E7207" w:rsidP="00E84525">
      <w:pPr>
        <w:pStyle w:val="Heading2"/>
        <w:numPr>
          <w:ilvl w:val="1"/>
          <w:numId w:val="33"/>
        </w:numPr>
      </w:pPr>
      <w:bookmarkStart w:id="26" w:name="3.1_Effectiveness"/>
      <w:bookmarkStart w:id="27" w:name="_bookmark18"/>
      <w:bookmarkEnd w:id="26"/>
      <w:bookmarkEnd w:id="27"/>
      <w:r>
        <w:t>Effectiveness</w:t>
      </w:r>
    </w:p>
    <w:p w14:paraId="452C5BA7" w14:textId="77777777" w:rsidR="009C36E3" w:rsidRDefault="000E7207">
      <w:pPr>
        <w:spacing w:before="257"/>
        <w:ind w:left="772"/>
        <w:rPr>
          <w:b/>
          <w:sz w:val="20"/>
        </w:rPr>
      </w:pPr>
      <w:r>
        <w:rPr>
          <w:sz w:val="20"/>
        </w:rPr>
        <w:t>This</w:t>
      </w:r>
      <w:r>
        <w:rPr>
          <w:spacing w:val="-6"/>
          <w:sz w:val="20"/>
        </w:rPr>
        <w:t xml:space="preserve"> </w:t>
      </w:r>
      <w:r>
        <w:rPr>
          <w:sz w:val="20"/>
        </w:rPr>
        <w:t>section</w:t>
      </w:r>
      <w:r>
        <w:rPr>
          <w:spacing w:val="-7"/>
          <w:sz w:val="20"/>
        </w:rPr>
        <w:t xml:space="preserve"> </w:t>
      </w:r>
      <w:r>
        <w:rPr>
          <w:sz w:val="20"/>
        </w:rPr>
        <w:t>covers</w:t>
      </w:r>
      <w:r>
        <w:rPr>
          <w:spacing w:val="-6"/>
          <w:sz w:val="20"/>
        </w:rPr>
        <w:t xml:space="preserve"> </w:t>
      </w:r>
      <w:r>
        <w:rPr>
          <w:sz w:val="20"/>
        </w:rPr>
        <w:t>Effectiveness</w:t>
      </w:r>
      <w:r>
        <w:rPr>
          <w:spacing w:val="-6"/>
          <w:sz w:val="20"/>
        </w:rPr>
        <w:t xml:space="preserve"> </w:t>
      </w:r>
      <w:r>
        <w:rPr>
          <w:sz w:val="20"/>
        </w:rPr>
        <w:t>by</w:t>
      </w:r>
      <w:r>
        <w:rPr>
          <w:spacing w:val="-6"/>
          <w:sz w:val="20"/>
        </w:rPr>
        <w:t xml:space="preserve"> </w:t>
      </w:r>
      <w:r>
        <w:rPr>
          <w:sz w:val="20"/>
        </w:rPr>
        <w:t>answering</w:t>
      </w:r>
      <w:r>
        <w:rPr>
          <w:spacing w:val="-6"/>
          <w:sz w:val="20"/>
        </w:rPr>
        <w:t xml:space="preserve"> </w:t>
      </w:r>
      <w:r>
        <w:rPr>
          <w:b/>
          <w:sz w:val="20"/>
        </w:rPr>
        <w:t>KRQ1</w:t>
      </w:r>
      <w:r>
        <w:rPr>
          <w:b/>
          <w:spacing w:val="-5"/>
          <w:sz w:val="20"/>
        </w:rPr>
        <w:t xml:space="preserve"> </w:t>
      </w:r>
      <w:r>
        <w:rPr>
          <w:b/>
          <w:sz w:val="20"/>
        </w:rPr>
        <w:t>To</w:t>
      </w:r>
      <w:r>
        <w:rPr>
          <w:b/>
          <w:spacing w:val="-6"/>
          <w:sz w:val="20"/>
        </w:rPr>
        <w:t xml:space="preserve"> </w:t>
      </w:r>
      <w:r>
        <w:rPr>
          <w:b/>
          <w:sz w:val="20"/>
        </w:rPr>
        <w:t>what</w:t>
      </w:r>
      <w:r>
        <w:rPr>
          <w:b/>
          <w:spacing w:val="-6"/>
          <w:sz w:val="20"/>
        </w:rPr>
        <w:t xml:space="preserve"> </w:t>
      </w:r>
      <w:r>
        <w:rPr>
          <w:b/>
          <w:sz w:val="20"/>
        </w:rPr>
        <w:t>extent</w:t>
      </w:r>
      <w:r>
        <w:rPr>
          <w:b/>
          <w:spacing w:val="-6"/>
          <w:sz w:val="20"/>
        </w:rPr>
        <w:t xml:space="preserve"> </w:t>
      </w:r>
      <w:r>
        <w:rPr>
          <w:b/>
          <w:sz w:val="20"/>
        </w:rPr>
        <w:t>is</w:t>
      </w:r>
      <w:r>
        <w:rPr>
          <w:b/>
          <w:spacing w:val="-5"/>
          <w:sz w:val="20"/>
        </w:rPr>
        <w:t xml:space="preserve"> </w:t>
      </w:r>
      <w:r>
        <w:rPr>
          <w:b/>
          <w:sz w:val="20"/>
        </w:rPr>
        <w:t>VAPJP</w:t>
      </w:r>
      <w:r>
        <w:rPr>
          <w:b/>
          <w:spacing w:val="-5"/>
          <w:sz w:val="20"/>
        </w:rPr>
        <w:t xml:space="preserve"> </w:t>
      </w:r>
      <w:r>
        <w:rPr>
          <w:b/>
          <w:sz w:val="20"/>
        </w:rPr>
        <w:t>on</w:t>
      </w:r>
      <w:r>
        <w:rPr>
          <w:b/>
          <w:spacing w:val="-6"/>
          <w:sz w:val="20"/>
        </w:rPr>
        <w:t xml:space="preserve"> </w:t>
      </w:r>
      <w:r>
        <w:rPr>
          <w:b/>
          <w:sz w:val="20"/>
        </w:rPr>
        <w:t>track</w:t>
      </w:r>
      <w:r>
        <w:rPr>
          <w:b/>
          <w:spacing w:val="-7"/>
          <w:sz w:val="20"/>
        </w:rPr>
        <w:t xml:space="preserve"> </w:t>
      </w:r>
      <w:r>
        <w:rPr>
          <w:b/>
          <w:sz w:val="20"/>
        </w:rPr>
        <w:t>to</w:t>
      </w:r>
      <w:r>
        <w:rPr>
          <w:b/>
          <w:spacing w:val="-4"/>
          <w:sz w:val="20"/>
        </w:rPr>
        <w:t xml:space="preserve"> </w:t>
      </w:r>
      <w:r>
        <w:rPr>
          <w:b/>
          <w:sz w:val="20"/>
        </w:rPr>
        <w:t>achieve</w:t>
      </w:r>
      <w:r>
        <w:rPr>
          <w:b/>
          <w:spacing w:val="-4"/>
          <w:sz w:val="20"/>
        </w:rPr>
        <w:t xml:space="preserve"> </w:t>
      </w:r>
      <w:r>
        <w:rPr>
          <w:b/>
          <w:spacing w:val="-2"/>
          <w:sz w:val="20"/>
        </w:rPr>
        <w:t>EOPOs?</w:t>
      </w:r>
    </w:p>
    <w:p w14:paraId="51C4F9EC" w14:textId="77777777" w:rsidR="009C36E3" w:rsidRDefault="000E7207">
      <w:pPr>
        <w:pStyle w:val="BodyText"/>
        <w:ind w:left="772"/>
      </w:pPr>
      <w:r>
        <w:t>This</w:t>
      </w:r>
      <w:r>
        <w:rPr>
          <w:spacing w:val="-8"/>
        </w:rPr>
        <w:t xml:space="preserve"> </w:t>
      </w:r>
      <w:r>
        <w:t>is</w:t>
      </w:r>
      <w:r>
        <w:rPr>
          <w:spacing w:val="-7"/>
        </w:rPr>
        <w:t xml:space="preserve"> </w:t>
      </w:r>
      <w:r>
        <w:t>addressed</w:t>
      </w:r>
      <w:r>
        <w:rPr>
          <w:spacing w:val="-8"/>
        </w:rPr>
        <w:t xml:space="preserve"> </w:t>
      </w:r>
      <w:r>
        <w:t>through</w:t>
      </w:r>
      <w:r>
        <w:rPr>
          <w:spacing w:val="-6"/>
        </w:rPr>
        <w:t xml:space="preserve"> </w:t>
      </w:r>
      <w:r>
        <w:t>attention</w:t>
      </w:r>
      <w:r>
        <w:rPr>
          <w:spacing w:val="-8"/>
        </w:rPr>
        <w:t xml:space="preserve"> </w:t>
      </w:r>
      <w:r>
        <w:t>to</w:t>
      </w:r>
      <w:r>
        <w:rPr>
          <w:spacing w:val="-6"/>
        </w:rPr>
        <w:t xml:space="preserve"> </w:t>
      </w:r>
      <w:r>
        <w:t>three</w:t>
      </w:r>
      <w:r>
        <w:rPr>
          <w:spacing w:val="-7"/>
        </w:rPr>
        <w:t xml:space="preserve"> </w:t>
      </w:r>
      <w:r>
        <w:t>sub-</w:t>
      </w:r>
      <w:r>
        <w:rPr>
          <w:spacing w:val="-2"/>
        </w:rPr>
        <w:t>questions:</w:t>
      </w:r>
    </w:p>
    <w:p w14:paraId="0CB4ADED" w14:textId="77777777" w:rsidR="009C36E3" w:rsidRDefault="000E7207">
      <w:pPr>
        <w:pStyle w:val="BodyText"/>
        <w:spacing w:before="152"/>
      </w:pPr>
      <w:r>
        <w:t>KRQ</w:t>
      </w:r>
      <w:r>
        <w:rPr>
          <w:spacing w:val="-6"/>
        </w:rPr>
        <w:t xml:space="preserve"> </w:t>
      </w:r>
      <w:r>
        <w:t>1.1</w:t>
      </w:r>
      <w:r>
        <w:rPr>
          <w:spacing w:val="-6"/>
        </w:rPr>
        <w:t xml:space="preserve"> </w:t>
      </w:r>
      <w:r>
        <w:t>To</w:t>
      </w:r>
      <w:r>
        <w:rPr>
          <w:spacing w:val="-6"/>
        </w:rPr>
        <w:t xml:space="preserve"> </w:t>
      </w:r>
      <w:r>
        <w:t>what</w:t>
      </w:r>
      <w:r>
        <w:rPr>
          <w:spacing w:val="-4"/>
        </w:rPr>
        <w:t xml:space="preserve"> </w:t>
      </w:r>
      <w:r>
        <w:t>extent</w:t>
      </w:r>
      <w:r>
        <w:rPr>
          <w:spacing w:val="-4"/>
        </w:rPr>
        <w:t xml:space="preserve"> </w:t>
      </w:r>
      <w:r>
        <w:t>is</w:t>
      </w:r>
      <w:r>
        <w:rPr>
          <w:spacing w:val="-3"/>
        </w:rPr>
        <w:t xml:space="preserve"> </w:t>
      </w:r>
      <w:r>
        <w:t>VAPJP</w:t>
      </w:r>
      <w:r>
        <w:rPr>
          <w:spacing w:val="-4"/>
        </w:rPr>
        <w:t xml:space="preserve"> </w:t>
      </w:r>
      <w:r>
        <w:t>achieving</w:t>
      </w:r>
      <w:r>
        <w:rPr>
          <w:spacing w:val="-4"/>
        </w:rPr>
        <w:t xml:space="preserve"> </w:t>
      </w:r>
      <w:r>
        <w:t>its</w:t>
      </w:r>
      <w:r>
        <w:rPr>
          <w:spacing w:val="-3"/>
        </w:rPr>
        <w:t xml:space="preserve"> </w:t>
      </w:r>
      <w:r>
        <w:t>EOPOs</w:t>
      </w:r>
      <w:r>
        <w:rPr>
          <w:spacing w:val="-5"/>
        </w:rPr>
        <w:t xml:space="preserve"> </w:t>
      </w:r>
      <w:r>
        <w:t>and</w:t>
      </w:r>
      <w:r>
        <w:rPr>
          <w:spacing w:val="-6"/>
        </w:rPr>
        <w:t xml:space="preserve"> </w:t>
      </w:r>
      <w:r>
        <w:t>IOs?</w:t>
      </w:r>
      <w:r>
        <w:rPr>
          <w:spacing w:val="-6"/>
        </w:rPr>
        <w:t xml:space="preserve"> </w:t>
      </w:r>
      <w:r>
        <w:rPr>
          <w:spacing w:val="-2"/>
        </w:rPr>
        <w:t>(3.1.1)</w:t>
      </w:r>
    </w:p>
    <w:p w14:paraId="0A8112C0" w14:textId="77777777" w:rsidR="009C36E3" w:rsidRDefault="000E7207">
      <w:pPr>
        <w:pStyle w:val="BodyText"/>
        <w:spacing w:before="118" w:line="364" w:lineRule="auto"/>
        <w:ind w:left="772" w:right="353" w:hanging="1"/>
      </w:pPr>
      <w:r>
        <w:t>KRQ 1.2 To what extent is VAPJP achieving results in gender equality, disability and social inclusion? (3.1.2) KRQ</w:t>
      </w:r>
      <w:r>
        <w:rPr>
          <w:spacing w:val="-3"/>
        </w:rPr>
        <w:t xml:space="preserve"> </w:t>
      </w:r>
      <w:r>
        <w:t>1.3</w:t>
      </w:r>
      <w:r>
        <w:rPr>
          <w:spacing w:val="-4"/>
        </w:rPr>
        <w:t xml:space="preserve"> </w:t>
      </w:r>
      <w:r>
        <w:t>Is</w:t>
      </w:r>
      <w:r>
        <w:rPr>
          <w:spacing w:val="-3"/>
        </w:rPr>
        <w:t xml:space="preserve"> </w:t>
      </w:r>
      <w:r>
        <w:t>the</w:t>
      </w:r>
      <w:r>
        <w:rPr>
          <w:spacing w:val="-4"/>
        </w:rPr>
        <w:t xml:space="preserve"> </w:t>
      </w:r>
      <w:r>
        <w:t>current</w:t>
      </w:r>
      <w:r>
        <w:rPr>
          <w:spacing w:val="-2"/>
        </w:rPr>
        <w:t xml:space="preserve"> </w:t>
      </w:r>
      <w:r>
        <w:t>Monitoring,</w:t>
      </w:r>
      <w:r>
        <w:rPr>
          <w:spacing w:val="-2"/>
        </w:rPr>
        <w:t xml:space="preserve"> </w:t>
      </w:r>
      <w:r>
        <w:t>Evaluation,</w:t>
      </w:r>
      <w:r>
        <w:rPr>
          <w:spacing w:val="-4"/>
        </w:rPr>
        <w:t xml:space="preserve"> </w:t>
      </w:r>
      <w:r>
        <w:t>Research</w:t>
      </w:r>
      <w:r>
        <w:rPr>
          <w:spacing w:val="-4"/>
        </w:rPr>
        <w:t xml:space="preserve"> </w:t>
      </w:r>
      <w:r>
        <w:t>and</w:t>
      </w:r>
      <w:r>
        <w:rPr>
          <w:spacing w:val="-4"/>
        </w:rPr>
        <w:t xml:space="preserve"> </w:t>
      </w:r>
      <w:r>
        <w:t>Learning</w:t>
      </w:r>
      <w:r>
        <w:rPr>
          <w:spacing w:val="-4"/>
        </w:rPr>
        <w:t xml:space="preserve"> </w:t>
      </w:r>
      <w:r>
        <w:t>(MERL)</w:t>
      </w:r>
      <w:r>
        <w:rPr>
          <w:spacing w:val="-3"/>
        </w:rPr>
        <w:t xml:space="preserve"> </w:t>
      </w:r>
      <w:r>
        <w:t>framework</w:t>
      </w:r>
      <w:r>
        <w:rPr>
          <w:spacing w:val="-3"/>
        </w:rPr>
        <w:t xml:space="preserve"> </w:t>
      </w:r>
      <w:r>
        <w:t>fit</w:t>
      </w:r>
      <w:r>
        <w:rPr>
          <w:spacing w:val="-4"/>
        </w:rPr>
        <w:t xml:space="preserve"> </w:t>
      </w:r>
      <w:r>
        <w:t>for</w:t>
      </w:r>
      <w:r>
        <w:rPr>
          <w:spacing w:val="-1"/>
        </w:rPr>
        <w:t xml:space="preserve"> </w:t>
      </w:r>
      <w:r>
        <w:t>purpose?</w:t>
      </w:r>
      <w:r>
        <w:rPr>
          <w:spacing w:val="-4"/>
        </w:rPr>
        <w:t xml:space="preserve"> </w:t>
      </w:r>
      <w:r>
        <w:t>(3.1.3)</w:t>
      </w:r>
    </w:p>
    <w:p w14:paraId="14B90554" w14:textId="77777777" w:rsidR="009C36E3" w:rsidRDefault="000E7207">
      <w:pPr>
        <w:pStyle w:val="Heading6"/>
        <w:numPr>
          <w:ilvl w:val="2"/>
          <w:numId w:val="33"/>
        </w:numPr>
        <w:tabs>
          <w:tab w:val="left" w:pos="1491"/>
        </w:tabs>
        <w:spacing w:before="2"/>
        <w:ind w:left="1491" w:hanging="719"/>
      </w:pPr>
      <w:bookmarkStart w:id="28" w:name="3.1.1_Achieving_EOPOs_and_IOs"/>
      <w:bookmarkEnd w:id="28"/>
      <w:r>
        <w:rPr>
          <w:color w:val="007B92"/>
        </w:rPr>
        <w:t>Achieving</w:t>
      </w:r>
      <w:r>
        <w:rPr>
          <w:color w:val="007B92"/>
          <w:spacing w:val="-6"/>
        </w:rPr>
        <w:t xml:space="preserve"> </w:t>
      </w:r>
      <w:r>
        <w:rPr>
          <w:color w:val="007B92"/>
        </w:rPr>
        <w:t>EOPOs</w:t>
      </w:r>
      <w:r>
        <w:rPr>
          <w:color w:val="007B92"/>
          <w:spacing w:val="-5"/>
        </w:rPr>
        <w:t xml:space="preserve"> </w:t>
      </w:r>
      <w:r>
        <w:rPr>
          <w:color w:val="007B92"/>
        </w:rPr>
        <w:t>and</w:t>
      </w:r>
      <w:r>
        <w:rPr>
          <w:color w:val="007B92"/>
          <w:spacing w:val="-4"/>
        </w:rPr>
        <w:t xml:space="preserve"> </w:t>
      </w:r>
      <w:r>
        <w:rPr>
          <w:color w:val="007B92"/>
          <w:spacing w:val="-5"/>
        </w:rPr>
        <w:t>IOs</w:t>
      </w:r>
    </w:p>
    <w:p w14:paraId="190E1620" w14:textId="77777777" w:rsidR="009C36E3" w:rsidRDefault="000E7207">
      <w:pPr>
        <w:spacing w:before="119"/>
        <w:ind w:left="771" w:right="120"/>
        <w:rPr>
          <w:sz w:val="20"/>
        </w:rPr>
      </w:pPr>
      <w:r>
        <w:rPr>
          <w:sz w:val="20"/>
        </w:rPr>
        <w:t>This</w:t>
      </w:r>
      <w:r>
        <w:rPr>
          <w:spacing w:val="-3"/>
          <w:sz w:val="20"/>
        </w:rPr>
        <w:t xml:space="preserve"> </w:t>
      </w:r>
      <w:r>
        <w:rPr>
          <w:sz w:val="20"/>
        </w:rPr>
        <w:t>subsection</w:t>
      </w:r>
      <w:r>
        <w:rPr>
          <w:spacing w:val="-2"/>
          <w:sz w:val="20"/>
        </w:rPr>
        <w:t xml:space="preserve"> </w:t>
      </w:r>
      <w:r>
        <w:rPr>
          <w:sz w:val="20"/>
        </w:rPr>
        <w:t xml:space="preserve">addresses </w:t>
      </w:r>
      <w:r>
        <w:rPr>
          <w:b/>
          <w:sz w:val="20"/>
        </w:rPr>
        <w:t>KRQ</w:t>
      </w:r>
      <w:r>
        <w:rPr>
          <w:b/>
          <w:spacing w:val="-3"/>
          <w:sz w:val="20"/>
        </w:rPr>
        <w:t xml:space="preserve"> </w:t>
      </w:r>
      <w:r>
        <w:rPr>
          <w:b/>
          <w:sz w:val="20"/>
        </w:rPr>
        <w:t>1.1</w:t>
      </w:r>
      <w:r>
        <w:rPr>
          <w:b/>
          <w:spacing w:val="-4"/>
          <w:sz w:val="20"/>
        </w:rPr>
        <w:t xml:space="preserve"> </w:t>
      </w:r>
      <w:r>
        <w:rPr>
          <w:b/>
          <w:sz w:val="20"/>
        </w:rPr>
        <w:t>To</w:t>
      </w:r>
      <w:r>
        <w:rPr>
          <w:b/>
          <w:spacing w:val="-3"/>
          <w:sz w:val="20"/>
        </w:rPr>
        <w:t xml:space="preserve"> </w:t>
      </w:r>
      <w:r>
        <w:rPr>
          <w:b/>
          <w:sz w:val="20"/>
        </w:rPr>
        <w:t>what</w:t>
      </w:r>
      <w:r>
        <w:rPr>
          <w:b/>
          <w:spacing w:val="-1"/>
          <w:sz w:val="20"/>
        </w:rPr>
        <w:t xml:space="preserve"> </w:t>
      </w:r>
      <w:r>
        <w:rPr>
          <w:b/>
          <w:sz w:val="20"/>
        </w:rPr>
        <w:t>extent</w:t>
      </w:r>
      <w:r>
        <w:rPr>
          <w:b/>
          <w:spacing w:val="-3"/>
          <w:sz w:val="20"/>
        </w:rPr>
        <w:t xml:space="preserve"> </w:t>
      </w:r>
      <w:r>
        <w:rPr>
          <w:b/>
          <w:sz w:val="20"/>
        </w:rPr>
        <w:t>is</w:t>
      </w:r>
      <w:r>
        <w:rPr>
          <w:b/>
          <w:spacing w:val="-2"/>
          <w:sz w:val="20"/>
        </w:rPr>
        <w:t xml:space="preserve"> </w:t>
      </w:r>
      <w:r>
        <w:rPr>
          <w:b/>
          <w:sz w:val="20"/>
        </w:rPr>
        <w:t>VAPJP</w:t>
      </w:r>
      <w:r>
        <w:rPr>
          <w:b/>
          <w:spacing w:val="-2"/>
          <w:sz w:val="20"/>
        </w:rPr>
        <w:t xml:space="preserve"> </w:t>
      </w:r>
      <w:r>
        <w:rPr>
          <w:b/>
          <w:sz w:val="20"/>
        </w:rPr>
        <w:t>achieving</w:t>
      </w:r>
      <w:r>
        <w:rPr>
          <w:b/>
          <w:spacing w:val="-3"/>
          <w:sz w:val="20"/>
        </w:rPr>
        <w:t xml:space="preserve"> </w:t>
      </w:r>
      <w:r>
        <w:rPr>
          <w:b/>
          <w:sz w:val="20"/>
        </w:rPr>
        <w:t>its</w:t>
      </w:r>
      <w:r>
        <w:rPr>
          <w:b/>
          <w:spacing w:val="-2"/>
          <w:sz w:val="20"/>
        </w:rPr>
        <w:t xml:space="preserve"> </w:t>
      </w:r>
      <w:r>
        <w:rPr>
          <w:b/>
          <w:sz w:val="20"/>
        </w:rPr>
        <w:t>EOPOs</w:t>
      </w:r>
      <w:r>
        <w:rPr>
          <w:b/>
          <w:spacing w:val="-4"/>
          <w:sz w:val="20"/>
        </w:rPr>
        <w:t xml:space="preserve"> </w:t>
      </w:r>
      <w:r>
        <w:rPr>
          <w:b/>
          <w:sz w:val="20"/>
        </w:rPr>
        <w:t>and</w:t>
      </w:r>
      <w:r>
        <w:rPr>
          <w:b/>
          <w:spacing w:val="-3"/>
          <w:sz w:val="20"/>
        </w:rPr>
        <w:t xml:space="preserve"> </w:t>
      </w:r>
      <w:r>
        <w:rPr>
          <w:b/>
          <w:sz w:val="20"/>
        </w:rPr>
        <w:t>IOs?</w:t>
      </w:r>
      <w:r>
        <w:rPr>
          <w:b/>
          <w:spacing w:val="-3"/>
          <w:sz w:val="20"/>
        </w:rPr>
        <w:t xml:space="preserve"> </w:t>
      </w:r>
      <w:r>
        <w:rPr>
          <w:sz w:val="20"/>
        </w:rPr>
        <w:t>and</w:t>
      </w:r>
      <w:r>
        <w:rPr>
          <w:spacing w:val="-4"/>
          <w:sz w:val="20"/>
        </w:rPr>
        <w:t xml:space="preserve"> </w:t>
      </w:r>
      <w:r>
        <w:rPr>
          <w:sz w:val="20"/>
        </w:rPr>
        <w:t xml:space="preserve">provides higher level findings, discusses </w:t>
      </w:r>
      <w:r>
        <w:rPr>
          <w:b/>
          <w:sz w:val="20"/>
        </w:rPr>
        <w:t xml:space="preserve">the scope of the program, challenges in achieving and demonstrating outcomes and examines each of EOPO1-3 </w:t>
      </w:r>
      <w:r>
        <w:rPr>
          <w:sz w:val="20"/>
        </w:rPr>
        <w:t>(See Annex 4 Design Update One page overview).</w:t>
      </w:r>
    </w:p>
    <w:p w14:paraId="4C737C5A" w14:textId="77777777" w:rsidR="009C36E3" w:rsidRDefault="000E7207">
      <w:pPr>
        <w:pStyle w:val="BodyText"/>
        <w:spacing w:before="121"/>
      </w:pPr>
      <w:r>
        <w:t>It</w:t>
      </w:r>
      <w:r>
        <w:rPr>
          <w:spacing w:val="-3"/>
        </w:rPr>
        <w:t xml:space="preserve"> </w:t>
      </w:r>
      <w:r>
        <w:t>is</w:t>
      </w:r>
      <w:r>
        <w:rPr>
          <w:spacing w:val="-2"/>
        </w:rPr>
        <w:t xml:space="preserve"> </w:t>
      </w:r>
      <w:r>
        <w:t>noted</w:t>
      </w:r>
      <w:r>
        <w:rPr>
          <w:spacing w:val="-1"/>
        </w:rPr>
        <w:t xml:space="preserve"> </w:t>
      </w:r>
      <w:r>
        <w:t>that</w:t>
      </w:r>
      <w:r>
        <w:rPr>
          <w:spacing w:val="-3"/>
        </w:rPr>
        <w:t xml:space="preserve"> </w:t>
      </w:r>
      <w:r>
        <w:t>program</w:t>
      </w:r>
      <w:r>
        <w:rPr>
          <w:spacing w:val="-1"/>
        </w:rPr>
        <w:t xml:space="preserve"> </w:t>
      </w:r>
      <w:r>
        <w:t>outcomes</w:t>
      </w:r>
      <w:r>
        <w:rPr>
          <w:spacing w:val="-2"/>
        </w:rPr>
        <w:t xml:space="preserve"> </w:t>
      </w:r>
      <w:r>
        <w:t>do</w:t>
      </w:r>
      <w:r>
        <w:rPr>
          <w:spacing w:val="-1"/>
        </w:rPr>
        <w:t xml:space="preserve"> </w:t>
      </w:r>
      <w:r>
        <w:t>not</w:t>
      </w:r>
      <w:r>
        <w:rPr>
          <w:spacing w:val="-1"/>
        </w:rPr>
        <w:t xml:space="preserve"> </w:t>
      </w:r>
      <w:r>
        <w:t>fit</w:t>
      </w:r>
      <w:r>
        <w:rPr>
          <w:spacing w:val="-1"/>
        </w:rPr>
        <w:t xml:space="preserve"> </w:t>
      </w:r>
      <w:r>
        <w:t>neatly</w:t>
      </w:r>
      <w:r>
        <w:rPr>
          <w:spacing w:val="-2"/>
        </w:rPr>
        <w:t xml:space="preserve"> </w:t>
      </w:r>
      <w:r>
        <w:t>against</w:t>
      </w:r>
      <w:r>
        <w:rPr>
          <w:spacing w:val="-3"/>
        </w:rPr>
        <w:t xml:space="preserve"> </w:t>
      </w:r>
      <w:r>
        <w:t>the</w:t>
      </w:r>
      <w:r>
        <w:rPr>
          <w:spacing w:val="-3"/>
        </w:rPr>
        <w:t xml:space="preserve"> </w:t>
      </w:r>
      <w:r>
        <w:t>three</w:t>
      </w:r>
      <w:r>
        <w:rPr>
          <w:spacing w:val="-1"/>
        </w:rPr>
        <w:t xml:space="preserve"> </w:t>
      </w:r>
      <w:r>
        <w:t>EOPOs,</w:t>
      </w:r>
      <w:r>
        <w:rPr>
          <w:spacing w:val="-1"/>
        </w:rPr>
        <w:t xml:space="preserve"> </w:t>
      </w:r>
      <w:r>
        <w:t>and</w:t>
      </w:r>
      <w:r>
        <w:rPr>
          <w:spacing w:val="-1"/>
        </w:rPr>
        <w:t xml:space="preserve"> </w:t>
      </w:r>
      <w:r>
        <w:t>there</w:t>
      </w:r>
      <w:r>
        <w:rPr>
          <w:spacing w:val="-3"/>
        </w:rPr>
        <w:t xml:space="preserve"> </w:t>
      </w:r>
      <w:r>
        <w:t>is a</w:t>
      </w:r>
      <w:r>
        <w:rPr>
          <w:spacing w:val="-3"/>
        </w:rPr>
        <w:t xml:space="preserve"> </w:t>
      </w:r>
      <w:r>
        <w:t>high</w:t>
      </w:r>
      <w:r>
        <w:rPr>
          <w:spacing w:val="-1"/>
        </w:rPr>
        <w:t xml:space="preserve"> </w:t>
      </w:r>
      <w:r>
        <w:t>degree</w:t>
      </w:r>
      <w:r>
        <w:rPr>
          <w:spacing w:val="-1"/>
        </w:rPr>
        <w:t xml:space="preserve"> </w:t>
      </w:r>
      <w:r>
        <w:t>of</w:t>
      </w:r>
      <w:r>
        <w:rPr>
          <w:spacing w:val="-3"/>
        </w:rPr>
        <w:t xml:space="preserve"> </w:t>
      </w:r>
      <w:r>
        <w:t>overlap. This is in many ways positive as it indicates the extent to which the program is attempting integration across a complex</w:t>
      </w:r>
      <w:r>
        <w:rPr>
          <w:spacing w:val="-1"/>
        </w:rPr>
        <w:t xml:space="preserve"> </w:t>
      </w:r>
      <w:r>
        <w:t>context and sector.</w:t>
      </w:r>
      <w:r>
        <w:rPr>
          <w:spacing w:val="-2"/>
        </w:rPr>
        <w:t xml:space="preserve"> </w:t>
      </w:r>
      <w:r>
        <w:t>Given</w:t>
      </w:r>
      <w:r>
        <w:rPr>
          <w:spacing w:val="-2"/>
        </w:rPr>
        <w:t xml:space="preserve"> </w:t>
      </w:r>
      <w:r>
        <w:t>that all</w:t>
      </w:r>
      <w:r>
        <w:rPr>
          <w:spacing w:val="-3"/>
        </w:rPr>
        <w:t xml:space="preserve"> </w:t>
      </w:r>
      <w:r>
        <w:t>IOs</w:t>
      </w:r>
      <w:r>
        <w:rPr>
          <w:spacing w:val="-1"/>
        </w:rPr>
        <w:t xml:space="preserve"> </w:t>
      </w:r>
      <w:r>
        <w:t>contribute</w:t>
      </w:r>
      <w:r>
        <w:rPr>
          <w:spacing w:val="-2"/>
        </w:rPr>
        <w:t xml:space="preserve"> </w:t>
      </w:r>
      <w:r>
        <w:t>to all</w:t>
      </w:r>
      <w:r>
        <w:rPr>
          <w:spacing w:val="-3"/>
        </w:rPr>
        <w:t xml:space="preserve"> </w:t>
      </w:r>
      <w:r>
        <w:t>EOPOs,</w:t>
      </w:r>
      <w:r>
        <w:rPr>
          <w:spacing w:val="-2"/>
        </w:rPr>
        <w:t xml:space="preserve"> </w:t>
      </w:r>
      <w:r>
        <w:t>and</w:t>
      </w:r>
      <w:r>
        <w:rPr>
          <w:spacing w:val="-2"/>
        </w:rPr>
        <w:t xml:space="preserve"> </w:t>
      </w:r>
      <w:r>
        <w:t>the</w:t>
      </w:r>
      <w:r>
        <w:rPr>
          <w:spacing w:val="-2"/>
        </w:rPr>
        <w:t xml:space="preserve"> </w:t>
      </w:r>
      <w:r>
        <w:t>IOs</w:t>
      </w:r>
      <w:r>
        <w:rPr>
          <w:spacing w:val="-1"/>
        </w:rPr>
        <w:t xml:space="preserve"> </w:t>
      </w:r>
      <w:r>
        <w:t>are</w:t>
      </w:r>
      <w:r>
        <w:rPr>
          <w:spacing w:val="-2"/>
        </w:rPr>
        <w:t xml:space="preserve"> </w:t>
      </w:r>
      <w:r>
        <w:t>each</w:t>
      </w:r>
      <w:r>
        <w:rPr>
          <w:spacing w:val="-2"/>
        </w:rPr>
        <w:t xml:space="preserve"> </w:t>
      </w:r>
      <w:r>
        <w:t>very</w:t>
      </w:r>
      <w:r>
        <w:rPr>
          <w:spacing w:val="-1"/>
        </w:rPr>
        <w:t xml:space="preserve"> </w:t>
      </w:r>
      <w:r>
        <w:t>broad, the MTR team made a considered decision not to cover IOs separately in this section, but rather cover everything via the EOPOs. In addition, it should be noted that this section does not attempt to comprehensively cover the many activities of the program.</w:t>
      </w:r>
    </w:p>
    <w:p w14:paraId="0576616A" w14:textId="77777777" w:rsidR="009C36E3" w:rsidRDefault="000E7207">
      <w:pPr>
        <w:pStyle w:val="Heading7"/>
      </w:pPr>
      <w:r>
        <w:t>Higher</w:t>
      </w:r>
      <w:r>
        <w:rPr>
          <w:spacing w:val="-9"/>
        </w:rPr>
        <w:t xml:space="preserve"> </w:t>
      </w:r>
      <w:r>
        <w:t>level</w:t>
      </w:r>
      <w:r>
        <w:rPr>
          <w:spacing w:val="-6"/>
        </w:rPr>
        <w:t xml:space="preserve"> </w:t>
      </w:r>
      <w:r>
        <w:rPr>
          <w:spacing w:val="-2"/>
        </w:rPr>
        <w:t>findings</w:t>
      </w:r>
    </w:p>
    <w:p w14:paraId="2983D562" w14:textId="77777777" w:rsidR="009C36E3" w:rsidRDefault="000E7207">
      <w:pPr>
        <w:spacing w:before="118"/>
        <w:ind w:left="1491" w:right="120"/>
        <w:rPr>
          <w:i/>
          <w:sz w:val="20"/>
        </w:rPr>
      </w:pPr>
      <w:r>
        <w:rPr>
          <w:noProof/>
        </w:rPr>
        <mc:AlternateContent>
          <mc:Choice Requires="wps">
            <w:drawing>
              <wp:anchor distT="0" distB="0" distL="0" distR="0" simplePos="0" relativeHeight="251625472" behindDoc="0" locked="0" layoutInCell="1" allowOverlap="1" wp14:anchorId="1F057D87" wp14:editId="3F19ECB3">
                <wp:simplePos x="0" y="0"/>
                <wp:positionH relativeFrom="page">
                  <wp:posOffset>573317</wp:posOffset>
                </wp:positionH>
                <wp:positionV relativeFrom="paragraph">
                  <wp:posOffset>124297</wp:posOffset>
                </wp:positionV>
                <wp:extent cx="275590" cy="274955"/>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5061ADB0" id="Graphic 17" o:spid="_x0000_s1026" alt="&quot;&quot;" style="position:absolute;margin-left:45.15pt;margin-top:9.8pt;width:21.7pt;height:21.65pt;z-index:15728128;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The program has some very credible achievements and has done well to keep operating in exceptionally</w:t>
      </w:r>
      <w:r>
        <w:rPr>
          <w:i/>
          <w:color w:val="007B92"/>
          <w:spacing w:val="-3"/>
          <w:sz w:val="20"/>
        </w:rPr>
        <w:t xml:space="preserve"> </w:t>
      </w:r>
      <w:r>
        <w:rPr>
          <w:i/>
          <w:color w:val="007B92"/>
          <w:sz w:val="20"/>
        </w:rPr>
        <w:t>challenging</w:t>
      </w:r>
      <w:r>
        <w:rPr>
          <w:i/>
          <w:color w:val="007B92"/>
          <w:spacing w:val="-4"/>
          <w:sz w:val="20"/>
        </w:rPr>
        <w:t xml:space="preserve"> </w:t>
      </w:r>
      <w:r>
        <w:rPr>
          <w:i/>
          <w:color w:val="007B92"/>
          <w:sz w:val="20"/>
        </w:rPr>
        <w:t>circumstances.</w:t>
      </w:r>
      <w:r>
        <w:rPr>
          <w:i/>
          <w:color w:val="007B92"/>
          <w:spacing w:val="-4"/>
          <w:sz w:val="20"/>
        </w:rPr>
        <w:t xml:space="preserve"> </w:t>
      </w:r>
      <w:r>
        <w:rPr>
          <w:i/>
          <w:color w:val="007B92"/>
          <w:sz w:val="20"/>
        </w:rPr>
        <w:t>The</w:t>
      </w:r>
      <w:r>
        <w:rPr>
          <w:i/>
          <w:color w:val="007B92"/>
          <w:spacing w:val="-2"/>
          <w:sz w:val="20"/>
        </w:rPr>
        <w:t xml:space="preserve"> </w:t>
      </w:r>
      <w:r>
        <w:rPr>
          <w:i/>
          <w:color w:val="007B92"/>
          <w:sz w:val="20"/>
        </w:rPr>
        <w:t>needs</w:t>
      </w:r>
      <w:r>
        <w:rPr>
          <w:i/>
          <w:color w:val="007B92"/>
          <w:spacing w:val="-3"/>
          <w:sz w:val="20"/>
        </w:rPr>
        <w:t xml:space="preserve"> </w:t>
      </w:r>
      <w:r>
        <w:rPr>
          <w:i/>
          <w:color w:val="007B92"/>
          <w:sz w:val="20"/>
        </w:rPr>
        <w:t>of</w:t>
      </w:r>
      <w:r>
        <w:rPr>
          <w:i/>
          <w:color w:val="007B92"/>
          <w:spacing w:val="-2"/>
          <w:sz w:val="20"/>
        </w:rPr>
        <w:t xml:space="preserve"> </w:t>
      </w:r>
      <w:r>
        <w:rPr>
          <w:i/>
          <w:color w:val="007B92"/>
          <w:sz w:val="20"/>
        </w:rPr>
        <w:t>the</w:t>
      </w:r>
      <w:r>
        <w:rPr>
          <w:i/>
          <w:color w:val="007B92"/>
          <w:spacing w:val="-2"/>
          <w:sz w:val="20"/>
        </w:rPr>
        <w:t xml:space="preserve"> </w:t>
      </w:r>
      <w:r>
        <w:rPr>
          <w:i/>
          <w:color w:val="007B92"/>
          <w:sz w:val="20"/>
        </w:rPr>
        <w:t>law</w:t>
      </w:r>
      <w:r>
        <w:rPr>
          <w:i/>
          <w:color w:val="007B92"/>
          <w:spacing w:val="-2"/>
          <w:sz w:val="20"/>
        </w:rPr>
        <w:t xml:space="preserve"> </w:t>
      </w:r>
      <w:r>
        <w:rPr>
          <w:i/>
          <w:color w:val="007B92"/>
          <w:sz w:val="20"/>
        </w:rPr>
        <w:t>and</w:t>
      </w:r>
      <w:r>
        <w:rPr>
          <w:i/>
          <w:color w:val="007B92"/>
          <w:spacing w:val="-2"/>
          <w:sz w:val="20"/>
        </w:rPr>
        <w:t xml:space="preserve"> </w:t>
      </w:r>
      <w:r>
        <w:rPr>
          <w:i/>
          <w:color w:val="007B92"/>
          <w:sz w:val="20"/>
        </w:rPr>
        <w:t>justice</w:t>
      </w:r>
      <w:r>
        <w:rPr>
          <w:i/>
          <w:color w:val="007B92"/>
          <w:spacing w:val="-4"/>
          <w:sz w:val="20"/>
        </w:rPr>
        <w:t xml:space="preserve"> </w:t>
      </w:r>
      <w:r>
        <w:rPr>
          <w:i/>
          <w:color w:val="007B92"/>
          <w:sz w:val="20"/>
        </w:rPr>
        <w:t>and</w:t>
      </w:r>
      <w:r>
        <w:rPr>
          <w:i/>
          <w:color w:val="007B92"/>
          <w:spacing w:val="-2"/>
          <w:sz w:val="20"/>
        </w:rPr>
        <w:t xml:space="preserve"> </w:t>
      </w:r>
      <w:r>
        <w:rPr>
          <w:i/>
          <w:color w:val="007B92"/>
          <w:sz w:val="20"/>
        </w:rPr>
        <w:t>policing</w:t>
      </w:r>
      <w:r>
        <w:rPr>
          <w:i/>
          <w:color w:val="007B92"/>
          <w:spacing w:val="-2"/>
          <w:sz w:val="20"/>
        </w:rPr>
        <w:t xml:space="preserve"> </w:t>
      </w:r>
      <w:r>
        <w:rPr>
          <w:i/>
          <w:color w:val="007B92"/>
          <w:sz w:val="20"/>
        </w:rPr>
        <w:t>sector</w:t>
      </w:r>
      <w:r>
        <w:rPr>
          <w:i/>
          <w:color w:val="007B92"/>
          <w:spacing w:val="-3"/>
          <w:sz w:val="20"/>
        </w:rPr>
        <w:t xml:space="preserve"> </w:t>
      </w:r>
      <w:r>
        <w:rPr>
          <w:i/>
          <w:color w:val="007B92"/>
          <w:sz w:val="20"/>
        </w:rPr>
        <w:t>in</w:t>
      </w:r>
      <w:r>
        <w:rPr>
          <w:i/>
          <w:color w:val="007B92"/>
          <w:spacing w:val="-4"/>
          <w:sz w:val="20"/>
        </w:rPr>
        <w:t xml:space="preserve"> </w:t>
      </w:r>
      <w:r>
        <w:rPr>
          <w:i/>
          <w:color w:val="007B92"/>
          <w:sz w:val="20"/>
        </w:rPr>
        <w:t>Vanuatu are extensive, and intertwined, and VAPJP has sought to respond to many of these needs, while</w:t>
      </w:r>
    </w:p>
    <w:p w14:paraId="419DDB15" w14:textId="77777777" w:rsidR="009C36E3" w:rsidRDefault="000E7207">
      <w:pPr>
        <w:spacing w:before="1"/>
        <w:ind w:left="771"/>
        <w:rPr>
          <w:i/>
          <w:sz w:val="20"/>
        </w:rPr>
      </w:pPr>
      <w:r>
        <w:rPr>
          <w:i/>
          <w:color w:val="007B92"/>
          <w:sz w:val="20"/>
        </w:rPr>
        <w:t>maintaining</w:t>
      </w:r>
      <w:r>
        <w:rPr>
          <w:i/>
          <w:color w:val="007B92"/>
          <w:spacing w:val="-2"/>
          <w:sz w:val="20"/>
        </w:rPr>
        <w:t xml:space="preserve"> </w:t>
      </w:r>
      <w:r>
        <w:rPr>
          <w:i/>
          <w:color w:val="007B92"/>
          <w:sz w:val="20"/>
        </w:rPr>
        <w:t>a</w:t>
      </w:r>
      <w:r>
        <w:rPr>
          <w:i/>
          <w:color w:val="007B92"/>
          <w:spacing w:val="-4"/>
          <w:sz w:val="20"/>
        </w:rPr>
        <w:t xml:space="preserve"> </w:t>
      </w:r>
      <w:r>
        <w:rPr>
          <w:i/>
          <w:color w:val="007B92"/>
          <w:sz w:val="20"/>
        </w:rPr>
        <w:t>high</w:t>
      </w:r>
      <w:r>
        <w:rPr>
          <w:i/>
          <w:color w:val="007B92"/>
          <w:spacing w:val="-2"/>
          <w:sz w:val="20"/>
        </w:rPr>
        <w:t xml:space="preserve"> </w:t>
      </w:r>
      <w:r>
        <w:rPr>
          <w:i/>
          <w:color w:val="007B92"/>
          <w:sz w:val="20"/>
        </w:rPr>
        <w:t>degree</w:t>
      </w:r>
      <w:r>
        <w:rPr>
          <w:i/>
          <w:color w:val="007B92"/>
          <w:spacing w:val="-2"/>
          <w:sz w:val="20"/>
        </w:rPr>
        <w:t xml:space="preserve"> </w:t>
      </w:r>
      <w:r>
        <w:rPr>
          <w:i/>
          <w:color w:val="007B92"/>
          <w:sz w:val="20"/>
        </w:rPr>
        <w:t>of</w:t>
      </w:r>
      <w:r>
        <w:rPr>
          <w:i/>
          <w:color w:val="007B92"/>
          <w:spacing w:val="-4"/>
          <w:sz w:val="20"/>
        </w:rPr>
        <w:t xml:space="preserve"> </w:t>
      </w:r>
      <w:r>
        <w:rPr>
          <w:i/>
          <w:color w:val="007B92"/>
          <w:sz w:val="20"/>
        </w:rPr>
        <w:t>flexibility.</w:t>
      </w:r>
      <w:r>
        <w:rPr>
          <w:i/>
          <w:color w:val="007B92"/>
          <w:spacing w:val="-4"/>
          <w:sz w:val="20"/>
        </w:rPr>
        <w:t xml:space="preserve"> </w:t>
      </w:r>
      <w:r>
        <w:rPr>
          <w:i/>
          <w:color w:val="007B92"/>
          <w:sz w:val="20"/>
        </w:rPr>
        <w:t>The</w:t>
      </w:r>
      <w:r>
        <w:rPr>
          <w:i/>
          <w:color w:val="007B92"/>
          <w:spacing w:val="-2"/>
          <w:sz w:val="20"/>
        </w:rPr>
        <w:t xml:space="preserve"> </w:t>
      </w:r>
      <w:r>
        <w:rPr>
          <w:i/>
          <w:color w:val="007B92"/>
          <w:sz w:val="20"/>
        </w:rPr>
        <w:t>policing</w:t>
      </w:r>
      <w:r>
        <w:rPr>
          <w:i/>
          <w:color w:val="007B92"/>
          <w:spacing w:val="-4"/>
          <w:sz w:val="20"/>
        </w:rPr>
        <w:t xml:space="preserve"> </w:t>
      </w:r>
      <w:r>
        <w:rPr>
          <w:i/>
          <w:color w:val="007B92"/>
          <w:sz w:val="20"/>
        </w:rPr>
        <w:t>stream</w:t>
      </w:r>
      <w:r>
        <w:rPr>
          <w:i/>
          <w:color w:val="007B92"/>
          <w:spacing w:val="-2"/>
          <w:sz w:val="20"/>
        </w:rPr>
        <w:t xml:space="preserve"> </w:t>
      </w:r>
      <w:r>
        <w:rPr>
          <w:i/>
          <w:color w:val="007B92"/>
          <w:sz w:val="20"/>
        </w:rPr>
        <w:t>appears</w:t>
      </w:r>
      <w:r>
        <w:rPr>
          <w:i/>
          <w:color w:val="007B92"/>
          <w:spacing w:val="-3"/>
          <w:sz w:val="20"/>
        </w:rPr>
        <w:t xml:space="preserve"> </w:t>
      </w:r>
      <w:r>
        <w:rPr>
          <w:i/>
          <w:color w:val="007B92"/>
          <w:sz w:val="20"/>
        </w:rPr>
        <w:t>to</w:t>
      </w:r>
      <w:r>
        <w:rPr>
          <w:i/>
          <w:color w:val="007B92"/>
          <w:spacing w:val="-4"/>
          <w:sz w:val="20"/>
        </w:rPr>
        <w:t xml:space="preserve"> </w:t>
      </w:r>
      <w:r>
        <w:rPr>
          <w:i/>
          <w:color w:val="007B92"/>
          <w:sz w:val="20"/>
        </w:rPr>
        <w:t>strike</w:t>
      </w:r>
      <w:r>
        <w:rPr>
          <w:i/>
          <w:color w:val="007B92"/>
          <w:spacing w:val="-2"/>
          <w:sz w:val="20"/>
        </w:rPr>
        <w:t xml:space="preserve"> </w:t>
      </w:r>
      <w:r>
        <w:rPr>
          <w:i/>
          <w:color w:val="007B92"/>
          <w:sz w:val="20"/>
        </w:rPr>
        <w:t>a</w:t>
      </w:r>
      <w:r>
        <w:rPr>
          <w:i/>
          <w:color w:val="007B92"/>
          <w:spacing w:val="-4"/>
          <w:sz w:val="20"/>
        </w:rPr>
        <w:t xml:space="preserve"> </w:t>
      </w:r>
      <w:r>
        <w:rPr>
          <w:i/>
          <w:color w:val="007B92"/>
          <w:sz w:val="20"/>
        </w:rPr>
        <w:t>balance</w:t>
      </w:r>
      <w:r>
        <w:rPr>
          <w:i/>
          <w:color w:val="007B92"/>
          <w:spacing w:val="-4"/>
          <w:sz w:val="20"/>
        </w:rPr>
        <w:t xml:space="preserve"> </w:t>
      </w:r>
      <w:r>
        <w:rPr>
          <w:i/>
          <w:color w:val="007B92"/>
          <w:sz w:val="20"/>
        </w:rPr>
        <w:t>between</w:t>
      </w:r>
      <w:r>
        <w:rPr>
          <w:i/>
          <w:color w:val="007B92"/>
          <w:spacing w:val="-4"/>
          <w:sz w:val="20"/>
        </w:rPr>
        <w:t xml:space="preserve"> </w:t>
      </w:r>
      <w:r>
        <w:rPr>
          <w:i/>
          <w:color w:val="007B92"/>
          <w:sz w:val="20"/>
        </w:rPr>
        <w:t>a</w:t>
      </w:r>
      <w:r>
        <w:rPr>
          <w:i/>
          <w:color w:val="007B92"/>
          <w:spacing w:val="-2"/>
          <w:sz w:val="20"/>
        </w:rPr>
        <w:t xml:space="preserve"> </w:t>
      </w:r>
      <w:r>
        <w:rPr>
          <w:i/>
          <w:color w:val="007B92"/>
          <w:sz w:val="20"/>
        </w:rPr>
        <w:t>deliberate</w:t>
      </w:r>
      <w:r>
        <w:rPr>
          <w:i/>
          <w:color w:val="007B92"/>
          <w:spacing w:val="-2"/>
          <w:sz w:val="20"/>
        </w:rPr>
        <w:t xml:space="preserve"> </w:t>
      </w:r>
      <w:r>
        <w:rPr>
          <w:i/>
          <w:color w:val="007B92"/>
          <w:sz w:val="20"/>
        </w:rPr>
        <w:t>focus and maintaining an operational responsiveness appropriate both to a police service and to principles of locally led development. However,</w:t>
      </w:r>
      <w:r>
        <w:rPr>
          <w:i/>
          <w:color w:val="007B92"/>
          <w:spacing w:val="-2"/>
          <w:sz w:val="20"/>
        </w:rPr>
        <w:t xml:space="preserve"> </w:t>
      </w:r>
      <w:r>
        <w:rPr>
          <w:i/>
          <w:color w:val="007B92"/>
          <w:sz w:val="20"/>
        </w:rPr>
        <w:t>while acknowledging</w:t>
      </w:r>
      <w:r>
        <w:rPr>
          <w:i/>
          <w:color w:val="007B92"/>
          <w:spacing w:val="-2"/>
          <w:sz w:val="20"/>
        </w:rPr>
        <w:t xml:space="preserve"> </w:t>
      </w:r>
      <w:r>
        <w:rPr>
          <w:i/>
          <w:color w:val="007B92"/>
          <w:sz w:val="20"/>
        </w:rPr>
        <w:t>the</w:t>
      </w:r>
      <w:r>
        <w:rPr>
          <w:i/>
          <w:color w:val="007B92"/>
          <w:spacing w:val="-2"/>
          <w:sz w:val="20"/>
        </w:rPr>
        <w:t xml:space="preserve"> </w:t>
      </w:r>
      <w:r>
        <w:rPr>
          <w:i/>
          <w:color w:val="007B92"/>
          <w:sz w:val="20"/>
        </w:rPr>
        <w:t>more challenging</w:t>
      </w:r>
      <w:r>
        <w:rPr>
          <w:i/>
          <w:color w:val="007B92"/>
          <w:spacing w:val="-1"/>
          <w:sz w:val="20"/>
        </w:rPr>
        <w:t xml:space="preserve"> </w:t>
      </w:r>
      <w:r>
        <w:rPr>
          <w:i/>
          <w:color w:val="007B92"/>
          <w:sz w:val="20"/>
        </w:rPr>
        <w:t>operating environment</w:t>
      </w:r>
      <w:r>
        <w:rPr>
          <w:i/>
          <w:color w:val="007B92"/>
          <w:spacing w:val="-2"/>
          <w:sz w:val="20"/>
        </w:rPr>
        <w:t xml:space="preserve"> </w:t>
      </w:r>
      <w:r>
        <w:rPr>
          <w:i/>
          <w:color w:val="007B92"/>
          <w:sz w:val="20"/>
        </w:rPr>
        <w:t>for</w:t>
      </w:r>
      <w:r>
        <w:rPr>
          <w:i/>
          <w:color w:val="007B92"/>
          <w:spacing w:val="-1"/>
          <w:sz w:val="20"/>
        </w:rPr>
        <w:t xml:space="preserve"> </w:t>
      </w:r>
      <w:r>
        <w:rPr>
          <w:i/>
          <w:color w:val="007B92"/>
          <w:sz w:val="20"/>
        </w:rPr>
        <w:t>the justice</w:t>
      </w:r>
      <w:r>
        <w:rPr>
          <w:i/>
          <w:color w:val="007B92"/>
          <w:spacing w:val="-2"/>
          <w:sz w:val="20"/>
        </w:rPr>
        <w:t xml:space="preserve"> </w:t>
      </w:r>
      <w:r>
        <w:rPr>
          <w:i/>
          <w:color w:val="007B92"/>
          <w:sz w:val="20"/>
        </w:rPr>
        <w:t>stream,</w:t>
      </w:r>
      <w:r>
        <w:rPr>
          <w:i/>
          <w:color w:val="007B92"/>
          <w:spacing w:val="-2"/>
          <w:sz w:val="20"/>
        </w:rPr>
        <w:t xml:space="preserve"> </w:t>
      </w:r>
      <w:r>
        <w:rPr>
          <w:i/>
          <w:color w:val="007B92"/>
          <w:sz w:val="20"/>
        </w:rPr>
        <w:t>it does still appear to be overextended and hampered by a lack of focus.</w:t>
      </w:r>
    </w:p>
    <w:p w14:paraId="5FEA7D3C" w14:textId="77777777" w:rsidR="009C36E3" w:rsidRDefault="000E7207">
      <w:pPr>
        <w:pStyle w:val="Heading7"/>
        <w:spacing w:before="120"/>
        <w:ind w:left="772"/>
      </w:pPr>
      <w:r>
        <w:t>Reporting</w:t>
      </w:r>
      <w:r>
        <w:rPr>
          <w:spacing w:val="-10"/>
        </w:rPr>
        <w:t xml:space="preserve"> </w:t>
      </w:r>
      <w:r>
        <w:t>challenges</w:t>
      </w:r>
      <w:r>
        <w:rPr>
          <w:spacing w:val="-10"/>
        </w:rPr>
        <w:t xml:space="preserve"> </w:t>
      </w:r>
      <w:r>
        <w:t>and</w:t>
      </w:r>
      <w:r>
        <w:rPr>
          <w:spacing w:val="-8"/>
        </w:rPr>
        <w:t xml:space="preserve"> </w:t>
      </w:r>
      <w:r>
        <w:rPr>
          <w:spacing w:val="-2"/>
        </w:rPr>
        <w:t>constraints</w:t>
      </w:r>
    </w:p>
    <w:p w14:paraId="41D34103" w14:textId="77777777" w:rsidR="009C36E3" w:rsidRDefault="000E7207">
      <w:pPr>
        <w:spacing w:before="120"/>
        <w:ind w:left="1492"/>
        <w:rPr>
          <w:i/>
          <w:sz w:val="20"/>
        </w:rPr>
      </w:pPr>
      <w:r>
        <w:rPr>
          <w:noProof/>
        </w:rPr>
        <mc:AlternateContent>
          <mc:Choice Requires="wps">
            <w:drawing>
              <wp:anchor distT="0" distB="0" distL="0" distR="0" simplePos="0" relativeHeight="251626496" behindDoc="0" locked="0" layoutInCell="1" allowOverlap="1" wp14:anchorId="06CF464D" wp14:editId="609A6857">
                <wp:simplePos x="0" y="0"/>
                <wp:positionH relativeFrom="page">
                  <wp:posOffset>573317</wp:posOffset>
                </wp:positionH>
                <wp:positionV relativeFrom="paragraph">
                  <wp:posOffset>241135</wp:posOffset>
                </wp:positionV>
                <wp:extent cx="275590" cy="274955"/>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173468B0" id="Graphic 18" o:spid="_x0000_s1026" alt="&quot;&quot;" style="position:absolute;margin-left:45.15pt;margin-top:19pt;width:21.7pt;height:21.65pt;z-index:15728640;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3"/>
          <w:sz w:val="20"/>
        </w:rPr>
        <w:t xml:space="preserve"> </w:t>
      </w:r>
      <w:r>
        <w:rPr>
          <w:i/>
          <w:color w:val="007B92"/>
          <w:sz w:val="20"/>
        </w:rPr>
        <w:t>The</w:t>
      </w:r>
      <w:r>
        <w:rPr>
          <w:i/>
          <w:color w:val="007B92"/>
          <w:spacing w:val="-4"/>
          <w:sz w:val="20"/>
        </w:rPr>
        <w:t xml:space="preserve"> </w:t>
      </w:r>
      <w:r>
        <w:rPr>
          <w:i/>
          <w:color w:val="007B92"/>
          <w:sz w:val="20"/>
        </w:rPr>
        <w:t>MTR</w:t>
      </w:r>
      <w:r>
        <w:rPr>
          <w:i/>
          <w:color w:val="007B92"/>
          <w:spacing w:val="-4"/>
          <w:sz w:val="20"/>
        </w:rPr>
        <w:t xml:space="preserve"> </w:t>
      </w:r>
      <w:r>
        <w:rPr>
          <w:i/>
          <w:color w:val="007B92"/>
          <w:sz w:val="20"/>
        </w:rPr>
        <w:t>team</w:t>
      </w:r>
      <w:r>
        <w:rPr>
          <w:i/>
          <w:color w:val="007B92"/>
          <w:spacing w:val="-2"/>
          <w:sz w:val="20"/>
        </w:rPr>
        <w:t xml:space="preserve"> </w:t>
      </w:r>
      <w:r>
        <w:rPr>
          <w:i/>
          <w:color w:val="007B92"/>
          <w:sz w:val="20"/>
        </w:rPr>
        <w:t>appreciates</w:t>
      </w:r>
      <w:r>
        <w:rPr>
          <w:i/>
          <w:color w:val="007B92"/>
          <w:spacing w:val="-3"/>
          <w:sz w:val="20"/>
        </w:rPr>
        <w:t xml:space="preserve"> </w:t>
      </w:r>
      <w:r>
        <w:rPr>
          <w:i/>
          <w:color w:val="007B92"/>
          <w:sz w:val="20"/>
        </w:rPr>
        <w:t>the</w:t>
      </w:r>
      <w:r>
        <w:rPr>
          <w:i/>
          <w:color w:val="007B92"/>
          <w:spacing w:val="-4"/>
          <w:sz w:val="20"/>
        </w:rPr>
        <w:t xml:space="preserve"> </w:t>
      </w:r>
      <w:r>
        <w:rPr>
          <w:i/>
          <w:color w:val="007B92"/>
          <w:sz w:val="20"/>
        </w:rPr>
        <w:t>challenges</w:t>
      </w:r>
      <w:r>
        <w:rPr>
          <w:i/>
          <w:color w:val="007B92"/>
          <w:spacing w:val="-3"/>
          <w:sz w:val="20"/>
        </w:rPr>
        <w:t xml:space="preserve"> </w:t>
      </w:r>
      <w:r>
        <w:rPr>
          <w:i/>
          <w:color w:val="007B92"/>
          <w:sz w:val="20"/>
        </w:rPr>
        <w:t>the</w:t>
      </w:r>
      <w:r>
        <w:rPr>
          <w:i/>
          <w:color w:val="007B92"/>
          <w:spacing w:val="-4"/>
          <w:sz w:val="20"/>
        </w:rPr>
        <w:t xml:space="preserve"> </w:t>
      </w:r>
      <w:r>
        <w:rPr>
          <w:i/>
          <w:color w:val="007B92"/>
          <w:sz w:val="20"/>
        </w:rPr>
        <w:t>program</w:t>
      </w:r>
      <w:r>
        <w:rPr>
          <w:i/>
          <w:color w:val="007B92"/>
          <w:spacing w:val="-4"/>
          <w:sz w:val="20"/>
        </w:rPr>
        <w:t xml:space="preserve"> </w:t>
      </w:r>
      <w:r>
        <w:rPr>
          <w:i/>
          <w:color w:val="007B92"/>
          <w:sz w:val="20"/>
        </w:rPr>
        <w:t>has</w:t>
      </w:r>
      <w:r>
        <w:rPr>
          <w:i/>
          <w:color w:val="007B92"/>
          <w:spacing w:val="-3"/>
          <w:sz w:val="20"/>
        </w:rPr>
        <w:t xml:space="preserve"> </w:t>
      </w:r>
      <w:r>
        <w:rPr>
          <w:i/>
          <w:color w:val="007B92"/>
          <w:sz w:val="20"/>
        </w:rPr>
        <w:t>in</w:t>
      </w:r>
      <w:r>
        <w:rPr>
          <w:i/>
          <w:color w:val="007B92"/>
          <w:spacing w:val="-2"/>
          <w:sz w:val="20"/>
        </w:rPr>
        <w:t xml:space="preserve"> </w:t>
      </w:r>
      <w:r>
        <w:rPr>
          <w:i/>
          <w:color w:val="007B92"/>
          <w:sz w:val="20"/>
        </w:rPr>
        <w:t>demonstrating</w:t>
      </w:r>
      <w:r>
        <w:rPr>
          <w:i/>
          <w:color w:val="007B92"/>
          <w:spacing w:val="-4"/>
          <w:sz w:val="20"/>
        </w:rPr>
        <w:t xml:space="preserve"> </w:t>
      </w:r>
      <w:r>
        <w:rPr>
          <w:i/>
          <w:color w:val="007B92"/>
          <w:sz w:val="20"/>
        </w:rPr>
        <w:t>progress</w:t>
      </w:r>
      <w:r>
        <w:rPr>
          <w:i/>
          <w:color w:val="007B92"/>
          <w:spacing w:val="-3"/>
          <w:sz w:val="20"/>
        </w:rPr>
        <w:t xml:space="preserve"> </w:t>
      </w:r>
      <w:r>
        <w:rPr>
          <w:i/>
          <w:color w:val="007B92"/>
          <w:sz w:val="20"/>
        </w:rPr>
        <w:t>towards EOPOs due to the combined effect of data loss from the November 2022 cyber-attack, notably from the Police Information Management System (PIMS) and Court Case Management System (CMS), and new baselines for new and amended indicators.</w:t>
      </w:r>
    </w:p>
    <w:p w14:paraId="6071DE3D" w14:textId="77777777" w:rsidR="009C36E3" w:rsidRDefault="000E7207">
      <w:pPr>
        <w:spacing w:before="120"/>
        <w:ind w:left="1492"/>
        <w:rPr>
          <w:i/>
          <w:sz w:val="20"/>
        </w:rPr>
      </w:pPr>
      <w:r>
        <w:rPr>
          <w:noProof/>
        </w:rPr>
        <mc:AlternateContent>
          <mc:Choice Requires="wps">
            <w:drawing>
              <wp:anchor distT="0" distB="0" distL="0" distR="0" simplePos="0" relativeHeight="251624448" behindDoc="0" locked="0" layoutInCell="1" allowOverlap="1" wp14:anchorId="2440F9A4" wp14:editId="33DCF7C4">
                <wp:simplePos x="0" y="0"/>
                <wp:positionH relativeFrom="page">
                  <wp:posOffset>573317</wp:posOffset>
                </wp:positionH>
                <wp:positionV relativeFrom="paragraph">
                  <wp:posOffset>131917</wp:posOffset>
                </wp:positionV>
                <wp:extent cx="275590" cy="27495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0724F231" id="Graphic 19" o:spid="_x0000_s1026" alt="&quot;&quot;" style="position:absolute;margin-left:45.15pt;margin-top:10.4pt;width:21.7pt;height:21.65pt;z-index:15727616;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&#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2"/>
          <w:sz w:val="20"/>
        </w:rPr>
        <w:t xml:space="preserve"> </w:t>
      </w:r>
      <w:r>
        <w:rPr>
          <w:i/>
          <w:color w:val="007B92"/>
          <w:sz w:val="20"/>
        </w:rPr>
        <w:t>The</w:t>
      </w:r>
      <w:r>
        <w:rPr>
          <w:i/>
          <w:color w:val="007B92"/>
          <w:spacing w:val="-3"/>
          <w:sz w:val="20"/>
        </w:rPr>
        <w:t xml:space="preserve"> </w:t>
      </w:r>
      <w:r>
        <w:rPr>
          <w:i/>
          <w:color w:val="007B92"/>
          <w:sz w:val="20"/>
        </w:rPr>
        <w:t>program</w:t>
      </w:r>
      <w:r>
        <w:rPr>
          <w:i/>
          <w:color w:val="007B92"/>
          <w:spacing w:val="-3"/>
          <w:sz w:val="20"/>
        </w:rPr>
        <w:t xml:space="preserve"> </w:t>
      </w:r>
      <w:r>
        <w:rPr>
          <w:i/>
          <w:color w:val="007B92"/>
          <w:sz w:val="20"/>
        </w:rPr>
        <w:t>M&amp;E</w:t>
      </w:r>
      <w:r>
        <w:rPr>
          <w:i/>
          <w:color w:val="007B92"/>
          <w:spacing w:val="-4"/>
          <w:sz w:val="20"/>
        </w:rPr>
        <w:t xml:space="preserve"> </w:t>
      </w:r>
      <w:r>
        <w:rPr>
          <w:i/>
          <w:color w:val="007B92"/>
          <w:sz w:val="20"/>
        </w:rPr>
        <w:t>and</w:t>
      </w:r>
      <w:r>
        <w:rPr>
          <w:i/>
          <w:color w:val="007B92"/>
          <w:spacing w:val="-3"/>
          <w:sz w:val="20"/>
        </w:rPr>
        <w:t xml:space="preserve"> </w:t>
      </w:r>
      <w:r>
        <w:rPr>
          <w:i/>
          <w:color w:val="007B92"/>
          <w:sz w:val="20"/>
        </w:rPr>
        <w:t>reporting</w:t>
      </w:r>
      <w:r>
        <w:rPr>
          <w:i/>
          <w:color w:val="007B92"/>
          <w:spacing w:val="-1"/>
          <w:sz w:val="20"/>
        </w:rPr>
        <w:t xml:space="preserve"> </w:t>
      </w:r>
      <w:r>
        <w:rPr>
          <w:i/>
          <w:color w:val="007B92"/>
          <w:sz w:val="20"/>
        </w:rPr>
        <w:t>is</w:t>
      </w:r>
      <w:r>
        <w:rPr>
          <w:i/>
          <w:color w:val="007B92"/>
          <w:spacing w:val="-2"/>
          <w:sz w:val="20"/>
        </w:rPr>
        <w:t xml:space="preserve"> </w:t>
      </w:r>
      <w:r>
        <w:rPr>
          <w:i/>
          <w:color w:val="007B92"/>
          <w:sz w:val="20"/>
        </w:rPr>
        <w:t>not</w:t>
      </w:r>
      <w:r>
        <w:rPr>
          <w:i/>
          <w:color w:val="007B92"/>
          <w:spacing w:val="-3"/>
          <w:sz w:val="20"/>
        </w:rPr>
        <w:t xml:space="preserve"> </w:t>
      </w:r>
      <w:r>
        <w:rPr>
          <w:i/>
          <w:color w:val="007B92"/>
          <w:sz w:val="20"/>
        </w:rPr>
        <w:t>currently</w:t>
      </w:r>
      <w:r>
        <w:rPr>
          <w:i/>
          <w:color w:val="007B92"/>
          <w:spacing w:val="-2"/>
          <w:sz w:val="20"/>
        </w:rPr>
        <w:t xml:space="preserve"> </w:t>
      </w:r>
      <w:r>
        <w:rPr>
          <w:i/>
          <w:color w:val="007B92"/>
          <w:sz w:val="20"/>
        </w:rPr>
        <w:t>serving</w:t>
      </w:r>
      <w:r>
        <w:rPr>
          <w:i/>
          <w:color w:val="007B92"/>
          <w:spacing w:val="-3"/>
          <w:sz w:val="20"/>
        </w:rPr>
        <w:t xml:space="preserve"> </w:t>
      </w:r>
      <w:r>
        <w:rPr>
          <w:i/>
          <w:color w:val="007B92"/>
          <w:sz w:val="20"/>
        </w:rPr>
        <w:t>the</w:t>
      </w:r>
      <w:r>
        <w:rPr>
          <w:i/>
          <w:color w:val="007B92"/>
          <w:spacing w:val="-3"/>
          <w:sz w:val="20"/>
        </w:rPr>
        <w:t xml:space="preserve"> </w:t>
      </w:r>
      <w:r>
        <w:rPr>
          <w:i/>
          <w:color w:val="007B92"/>
          <w:sz w:val="20"/>
        </w:rPr>
        <w:t>needs</w:t>
      </w:r>
      <w:r>
        <w:rPr>
          <w:i/>
          <w:color w:val="007B92"/>
          <w:spacing w:val="-2"/>
          <w:sz w:val="20"/>
        </w:rPr>
        <w:t xml:space="preserve"> </w:t>
      </w:r>
      <w:r>
        <w:rPr>
          <w:i/>
          <w:color w:val="007B92"/>
          <w:sz w:val="20"/>
        </w:rPr>
        <w:t>of</w:t>
      </w:r>
      <w:r>
        <w:rPr>
          <w:i/>
          <w:color w:val="007B92"/>
          <w:spacing w:val="-1"/>
          <w:sz w:val="20"/>
        </w:rPr>
        <w:t xml:space="preserve"> </w:t>
      </w:r>
      <w:r>
        <w:rPr>
          <w:i/>
          <w:color w:val="007B92"/>
          <w:sz w:val="20"/>
        </w:rPr>
        <w:t>DFAT,</w:t>
      </w:r>
      <w:r>
        <w:rPr>
          <w:i/>
          <w:color w:val="007B92"/>
          <w:spacing w:val="-3"/>
          <w:sz w:val="20"/>
        </w:rPr>
        <w:t xml:space="preserve"> </w:t>
      </w:r>
      <w:r>
        <w:rPr>
          <w:i/>
          <w:color w:val="007B92"/>
          <w:sz w:val="20"/>
        </w:rPr>
        <w:t>AFP</w:t>
      </w:r>
      <w:r>
        <w:rPr>
          <w:i/>
          <w:color w:val="007B92"/>
          <w:spacing w:val="-4"/>
          <w:sz w:val="20"/>
        </w:rPr>
        <w:t xml:space="preserve"> </w:t>
      </w:r>
      <w:r>
        <w:rPr>
          <w:i/>
          <w:color w:val="007B92"/>
          <w:sz w:val="20"/>
        </w:rPr>
        <w:t>or VAPJP</w:t>
      </w:r>
      <w:r>
        <w:rPr>
          <w:i/>
          <w:color w:val="007B92"/>
          <w:spacing w:val="-1"/>
          <w:sz w:val="20"/>
        </w:rPr>
        <w:t xml:space="preserve"> </w:t>
      </w:r>
      <w:r>
        <w:rPr>
          <w:i/>
          <w:color w:val="007B92"/>
          <w:sz w:val="20"/>
        </w:rPr>
        <w:t>well. While VAPJP is making progress towards the broad outcomes of the program, making a meaningful determination of the extent to which VAPJP is achieving outcomes is undermined by a lack of shared</w:t>
      </w:r>
    </w:p>
    <w:p w14:paraId="0B67B550" w14:textId="77777777" w:rsidR="009C36E3" w:rsidRDefault="000E7207">
      <w:pPr>
        <w:spacing w:before="1"/>
        <w:ind w:left="772" w:right="167"/>
        <w:rPr>
          <w:i/>
          <w:sz w:val="20"/>
        </w:rPr>
      </w:pPr>
      <w:r>
        <w:rPr>
          <w:i/>
          <w:color w:val="007B92"/>
          <w:sz w:val="20"/>
        </w:rPr>
        <w:t>understanding</w:t>
      </w:r>
      <w:r>
        <w:rPr>
          <w:i/>
          <w:color w:val="007B92"/>
          <w:spacing w:val="-2"/>
          <w:sz w:val="20"/>
        </w:rPr>
        <w:t xml:space="preserve"> </w:t>
      </w:r>
      <w:r>
        <w:rPr>
          <w:i/>
          <w:color w:val="007B92"/>
          <w:sz w:val="20"/>
        </w:rPr>
        <w:t>or</w:t>
      </w:r>
      <w:r>
        <w:rPr>
          <w:i/>
          <w:color w:val="007B92"/>
          <w:spacing w:val="-3"/>
          <w:sz w:val="20"/>
        </w:rPr>
        <w:t xml:space="preserve"> </w:t>
      </w:r>
      <w:r>
        <w:rPr>
          <w:i/>
          <w:color w:val="007B92"/>
          <w:sz w:val="20"/>
        </w:rPr>
        <w:t>measurable</w:t>
      </w:r>
      <w:r>
        <w:rPr>
          <w:i/>
          <w:color w:val="007B92"/>
          <w:spacing w:val="-2"/>
          <w:sz w:val="20"/>
        </w:rPr>
        <w:t xml:space="preserve"> </w:t>
      </w:r>
      <w:r>
        <w:rPr>
          <w:i/>
          <w:color w:val="007B92"/>
          <w:sz w:val="20"/>
        </w:rPr>
        <w:t>indicators</w:t>
      </w:r>
      <w:r>
        <w:rPr>
          <w:i/>
          <w:color w:val="007B92"/>
          <w:spacing w:val="-3"/>
          <w:sz w:val="20"/>
        </w:rPr>
        <w:t xml:space="preserve"> </w:t>
      </w:r>
      <w:r>
        <w:rPr>
          <w:i/>
          <w:color w:val="007B92"/>
          <w:sz w:val="20"/>
        </w:rPr>
        <w:t>related</w:t>
      </w:r>
      <w:r>
        <w:rPr>
          <w:i/>
          <w:color w:val="007B92"/>
          <w:spacing w:val="-4"/>
          <w:sz w:val="20"/>
        </w:rPr>
        <w:t xml:space="preserve"> </w:t>
      </w:r>
      <w:r>
        <w:rPr>
          <w:i/>
          <w:color w:val="007B92"/>
          <w:sz w:val="20"/>
        </w:rPr>
        <w:t>to</w:t>
      </w:r>
      <w:r>
        <w:rPr>
          <w:i/>
          <w:color w:val="007B92"/>
          <w:spacing w:val="-2"/>
          <w:sz w:val="20"/>
        </w:rPr>
        <w:t xml:space="preserve"> </w:t>
      </w:r>
      <w:r>
        <w:rPr>
          <w:i/>
          <w:color w:val="007B92"/>
          <w:sz w:val="20"/>
        </w:rPr>
        <w:t>quality</w:t>
      </w:r>
      <w:r>
        <w:rPr>
          <w:i/>
          <w:color w:val="007B92"/>
          <w:spacing w:val="-3"/>
          <w:sz w:val="20"/>
        </w:rPr>
        <w:t xml:space="preserve"> </w:t>
      </w:r>
      <w:r>
        <w:rPr>
          <w:i/>
          <w:color w:val="007B92"/>
          <w:sz w:val="20"/>
        </w:rPr>
        <w:t>and</w:t>
      </w:r>
      <w:r>
        <w:rPr>
          <w:i/>
          <w:color w:val="007B92"/>
          <w:spacing w:val="-4"/>
          <w:sz w:val="20"/>
        </w:rPr>
        <w:t xml:space="preserve"> </w:t>
      </w:r>
      <w:r>
        <w:rPr>
          <w:i/>
          <w:color w:val="007B92"/>
          <w:sz w:val="20"/>
        </w:rPr>
        <w:t>sustainability</w:t>
      </w:r>
      <w:r>
        <w:rPr>
          <w:i/>
          <w:color w:val="007B92"/>
          <w:spacing w:val="-3"/>
          <w:sz w:val="20"/>
        </w:rPr>
        <w:t xml:space="preserve"> </w:t>
      </w:r>
      <w:r>
        <w:rPr>
          <w:i/>
          <w:color w:val="007B92"/>
          <w:sz w:val="20"/>
        </w:rPr>
        <w:t>of</w:t>
      </w:r>
      <w:r>
        <w:rPr>
          <w:i/>
          <w:color w:val="007B92"/>
          <w:spacing w:val="-4"/>
          <w:sz w:val="20"/>
        </w:rPr>
        <w:t xml:space="preserve"> </w:t>
      </w:r>
      <w:r>
        <w:rPr>
          <w:i/>
          <w:color w:val="007B92"/>
          <w:sz w:val="20"/>
        </w:rPr>
        <w:t>activities</w:t>
      </w:r>
      <w:r>
        <w:rPr>
          <w:i/>
          <w:color w:val="007B92"/>
          <w:spacing w:val="-3"/>
          <w:sz w:val="20"/>
        </w:rPr>
        <w:t xml:space="preserve"> </w:t>
      </w:r>
      <w:r>
        <w:rPr>
          <w:i/>
          <w:color w:val="007B92"/>
          <w:sz w:val="20"/>
        </w:rPr>
        <w:t>undertaken</w:t>
      </w:r>
      <w:r>
        <w:rPr>
          <w:i/>
          <w:color w:val="007B92"/>
          <w:spacing w:val="-2"/>
          <w:sz w:val="20"/>
        </w:rPr>
        <w:t xml:space="preserve"> </w:t>
      </w:r>
      <w:r>
        <w:rPr>
          <w:i/>
          <w:color w:val="007B92"/>
          <w:sz w:val="20"/>
        </w:rPr>
        <w:t>and</w:t>
      </w:r>
      <w:r>
        <w:rPr>
          <w:i/>
          <w:color w:val="007B92"/>
          <w:spacing w:val="-4"/>
          <w:sz w:val="20"/>
        </w:rPr>
        <w:t xml:space="preserve"> </w:t>
      </w:r>
      <w:r>
        <w:rPr>
          <w:i/>
          <w:color w:val="007B92"/>
          <w:sz w:val="20"/>
        </w:rPr>
        <w:t>results achieved. This is further reflected in overly detailed and repetitive reporting, which does not effectively communicate how activities contribute to outcomes.</w:t>
      </w:r>
    </w:p>
    <w:p w14:paraId="24A367CD" w14:textId="77777777" w:rsidR="009C36E3" w:rsidRDefault="000E7207">
      <w:pPr>
        <w:spacing w:before="119"/>
        <w:ind w:left="1492" w:right="120"/>
        <w:rPr>
          <w:i/>
          <w:sz w:val="20"/>
        </w:rPr>
      </w:pPr>
      <w:r>
        <w:rPr>
          <w:noProof/>
        </w:rPr>
        <mc:AlternateContent>
          <mc:Choice Requires="wps">
            <w:drawing>
              <wp:anchor distT="0" distB="0" distL="0" distR="0" simplePos="0" relativeHeight="251629568" behindDoc="0" locked="0" layoutInCell="1" allowOverlap="1" wp14:anchorId="3B6B782A" wp14:editId="1B028685">
                <wp:simplePos x="0" y="0"/>
                <wp:positionH relativeFrom="page">
                  <wp:posOffset>573317</wp:posOffset>
                </wp:positionH>
                <wp:positionV relativeFrom="paragraph">
                  <wp:posOffset>131282</wp:posOffset>
                </wp:positionV>
                <wp:extent cx="275590" cy="274955"/>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01368156" id="Graphic 20" o:spid="_x0000_s1026" alt="&quot;&quot;" style="position:absolute;margin-left:45.15pt;margin-top:10.35pt;width:21.7pt;height:2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&#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2"/>
          <w:sz w:val="20"/>
        </w:rPr>
        <w:t xml:space="preserve"> </w:t>
      </w:r>
      <w:r>
        <w:rPr>
          <w:i/>
          <w:color w:val="007B92"/>
          <w:sz w:val="20"/>
        </w:rPr>
        <w:t>Given</w:t>
      </w:r>
      <w:r>
        <w:rPr>
          <w:i/>
          <w:color w:val="007B92"/>
          <w:spacing w:val="-3"/>
          <w:sz w:val="20"/>
        </w:rPr>
        <w:t xml:space="preserve"> </w:t>
      </w:r>
      <w:r>
        <w:rPr>
          <w:i/>
          <w:color w:val="007B92"/>
          <w:sz w:val="20"/>
        </w:rPr>
        <w:t>that</w:t>
      </w:r>
      <w:r>
        <w:rPr>
          <w:i/>
          <w:color w:val="007B92"/>
          <w:spacing w:val="-3"/>
          <w:sz w:val="20"/>
        </w:rPr>
        <w:t xml:space="preserve"> </w:t>
      </w:r>
      <w:r>
        <w:rPr>
          <w:i/>
          <w:color w:val="007B92"/>
          <w:sz w:val="20"/>
        </w:rPr>
        <w:t>there</w:t>
      </w:r>
      <w:r>
        <w:rPr>
          <w:i/>
          <w:color w:val="007B92"/>
          <w:spacing w:val="-3"/>
          <w:sz w:val="20"/>
        </w:rPr>
        <w:t xml:space="preserve"> </w:t>
      </w:r>
      <w:r>
        <w:rPr>
          <w:i/>
          <w:color w:val="007B92"/>
          <w:sz w:val="20"/>
        </w:rPr>
        <w:t>is</w:t>
      </w:r>
      <w:r>
        <w:rPr>
          <w:i/>
          <w:color w:val="007B92"/>
          <w:spacing w:val="-2"/>
          <w:sz w:val="20"/>
        </w:rPr>
        <w:t xml:space="preserve"> </w:t>
      </w:r>
      <w:r>
        <w:rPr>
          <w:i/>
          <w:color w:val="007B92"/>
          <w:sz w:val="20"/>
        </w:rPr>
        <w:t>less</w:t>
      </w:r>
      <w:r>
        <w:rPr>
          <w:i/>
          <w:color w:val="007B92"/>
          <w:spacing w:val="-2"/>
          <w:sz w:val="20"/>
        </w:rPr>
        <w:t xml:space="preserve"> </w:t>
      </w:r>
      <w:r>
        <w:rPr>
          <w:i/>
          <w:color w:val="007B92"/>
          <w:sz w:val="20"/>
        </w:rPr>
        <w:t>than</w:t>
      </w:r>
      <w:r>
        <w:rPr>
          <w:i/>
          <w:color w:val="007B92"/>
          <w:spacing w:val="-1"/>
          <w:sz w:val="20"/>
        </w:rPr>
        <w:t xml:space="preserve"> </w:t>
      </w:r>
      <w:r>
        <w:rPr>
          <w:i/>
          <w:color w:val="007B92"/>
          <w:sz w:val="20"/>
        </w:rPr>
        <w:t>a</w:t>
      </w:r>
      <w:r>
        <w:rPr>
          <w:i/>
          <w:color w:val="007B92"/>
          <w:spacing w:val="-3"/>
          <w:sz w:val="20"/>
        </w:rPr>
        <w:t xml:space="preserve"> </w:t>
      </w:r>
      <w:r>
        <w:rPr>
          <w:i/>
          <w:color w:val="007B92"/>
          <w:sz w:val="20"/>
        </w:rPr>
        <w:t>year</w:t>
      </w:r>
      <w:r>
        <w:rPr>
          <w:i/>
          <w:color w:val="007B92"/>
          <w:spacing w:val="-2"/>
          <w:sz w:val="20"/>
        </w:rPr>
        <w:t xml:space="preserve"> </w:t>
      </w:r>
      <w:r>
        <w:rPr>
          <w:i/>
          <w:color w:val="007B92"/>
          <w:sz w:val="20"/>
        </w:rPr>
        <w:t>for</w:t>
      </w:r>
      <w:r>
        <w:rPr>
          <w:i/>
          <w:color w:val="007B92"/>
          <w:spacing w:val="-2"/>
          <w:sz w:val="20"/>
        </w:rPr>
        <w:t xml:space="preserve"> </w:t>
      </w:r>
      <w:r>
        <w:rPr>
          <w:i/>
          <w:color w:val="007B92"/>
          <w:sz w:val="20"/>
        </w:rPr>
        <w:t>the</w:t>
      </w:r>
      <w:r>
        <w:rPr>
          <w:i/>
          <w:color w:val="007B92"/>
          <w:spacing w:val="-3"/>
          <w:sz w:val="20"/>
        </w:rPr>
        <w:t xml:space="preserve"> </w:t>
      </w:r>
      <w:r>
        <w:rPr>
          <w:i/>
          <w:color w:val="007B92"/>
          <w:sz w:val="20"/>
        </w:rPr>
        <w:t>program</w:t>
      </w:r>
      <w:r>
        <w:rPr>
          <w:i/>
          <w:color w:val="007B92"/>
          <w:spacing w:val="-1"/>
          <w:sz w:val="20"/>
        </w:rPr>
        <w:t xml:space="preserve"> </w:t>
      </w:r>
      <w:r>
        <w:rPr>
          <w:i/>
          <w:color w:val="007B92"/>
          <w:sz w:val="20"/>
        </w:rPr>
        <w:t>to</w:t>
      </w:r>
      <w:r>
        <w:rPr>
          <w:i/>
          <w:color w:val="007B92"/>
          <w:spacing w:val="-3"/>
          <w:sz w:val="20"/>
        </w:rPr>
        <w:t xml:space="preserve"> </w:t>
      </w:r>
      <w:r>
        <w:rPr>
          <w:i/>
          <w:color w:val="007B92"/>
          <w:sz w:val="20"/>
        </w:rPr>
        <w:t>run,</w:t>
      </w:r>
      <w:r>
        <w:rPr>
          <w:i/>
          <w:color w:val="007B92"/>
          <w:spacing w:val="-3"/>
          <w:sz w:val="20"/>
        </w:rPr>
        <w:t xml:space="preserve"> </w:t>
      </w:r>
      <w:r>
        <w:rPr>
          <w:i/>
          <w:color w:val="007B92"/>
          <w:sz w:val="20"/>
        </w:rPr>
        <w:t>consideration</w:t>
      </w:r>
      <w:r>
        <w:rPr>
          <w:i/>
          <w:color w:val="007B92"/>
          <w:spacing w:val="-1"/>
          <w:sz w:val="20"/>
        </w:rPr>
        <w:t xml:space="preserve"> </w:t>
      </w:r>
      <w:r>
        <w:rPr>
          <w:i/>
          <w:color w:val="007B92"/>
          <w:sz w:val="20"/>
        </w:rPr>
        <w:t>will</w:t>
      </w:r>
      <w:r>
        <w:rPr>
          <w:i/>
          <w:color w:val="007B92"/>
          <w:spacing w:val="-4"/>
          <w:sz w:val="20"/>
        </w:rPr>
        <w:t xml:space="preserve"> </w:t>
      </w:r>
      <w:r>
        <w:rPr>
          <w:i/>
          <w:color w:val="007B92"/>
          <w:sz w:val="20"/>
        </w:rPr>
        <w:t>need</w:t>
      </w:r>
      <w:r>
        <w:rPr>
          <w:i/>
          <w:color w:val="007B92"/>
          <w:spacing w:val="-1"/>
          <w:sz w:val="20"/>
        </w:rPr>
        <w:t xml:space="preserve"> </w:t>
      </w:r>
      <w:r>
        <w:rPr>
          <w:i/>
          <w:color w:val="007B92"/>
          <w:sz w:val="20"/>
        </w:rPr>
        <w:t>to</w:t>
      </w:r>
      <w:r>
        <w:rPr>
          <w:i/>
          <w:color w:val="007B92"/>
          <w:spacing w:val="-1"/>
          <w:sz w:val="20"/>
        </w:rPr>
        <w:t xml:space="preserve"> </w:t>
      </w:r>
      <w:r>
        <w:rPr>
          <w:i/>
          <w:color w:val="007B92"/>
          <w:sz w:val="20"/>
        </w:rPr>
        <w:t>be</w:t>
      </w:r>
      <w:r>
        <w:rPr>
          <w:i/>
          <w:color w:val="007B92"/>
          <w:spacing w:val="-3"/>
          <w:sz w:val="20"/>
        </w:rPr>
        <w:t xml:space="preserve"> </w:t>
      </w:r>
      <w:r>
        <w:rPr>
          <w:i/>
          <w:color w:val="007B92"/>
          <w:sz w:val="20"/>
        </w:rPr>
        <w:t>given</w:t>
      </w:r>
      <w:r>
        <w:rPr>
          <w:i/>
          <w:color w:val="007B92"/>
          <w:spacing w:val="-1"/>
          <w:sz w:val="20"/>
        </w:rPr>
        <w:t xml:space="preserve"> </w:t>
      </w:r>
      <w:r>
        <w:rPr>
          <w:i/>
          <w:color w:val="007B92"/>
          <w:sz w:val="20"/>
        </w:rPr>
        <w:t>to the utility of investing heavily in ToC development at this stage. However, the possibility of undertaking a simplified development of a ToC which could both improve effectiveness of the current program and</w:t>
      </w:r>
    </w:p>
    <w:p w14:paraId="2BD1DD9E" w14:textId="77777777" w:rsidR="009C36E3" w:rsidRDefault="000E7207">
      <w:pPr>
        <w:spacing w:before="2"/>
        <w:ind w:left="772"/>
        <w:rPr>
          <w:i/>
          <w:sz w:val="20"/>
        </w:rPr>
      </w:pPr>
      <w:r>
        <w:rPr>
          <w:i/>
          <w:color w:val="007B92"/>
          <w:sz w:val="20"/>
        </w:rPr>
        <w:t>contribute</w:t>
      </w:r>
      <w:r>
        <w:rPr>
          <w:i/>
          <w:color w:val="007B92"/>
          <w:spacing w:val="-6"/>
          <w:sz w:val="20"/>
        </w:rPr>
        <w:t xml:space="preserve"> </w:t>
      </w:r>
      <w:r>
        <w:rPr>
          <w:i/>
          <w:color w:val="007B92"/>
          <w:sz w:val="20"/>
        </w:rPr>
        <w:t>to</w:t>
      </w:r>
      <w:r>
        <w:rPr>
          <w:i/>
          <w:color w:val="007B92"/>
          <w:spacing w:val="-5"/>
          <w:sz w:val="20"/>
        </w:rPr>
        <w:t xml:space="preserve"> </w:t>
      </w:r>
      <w:r>
        <w:rPr>
          <w:i/>
          <w:color w:val="007B92"/>
          <w:sz w:val="20"/>
        </w:rPr>
        <w:t>the</w:t>
      </w:r>
      <w:r>
        <w:rPr>
          <w:i/>
          <w:color w:val="007B92"/>
          <w:spacing w:val="-5"/>
          <w:sz w:val="20"/>
        </w:rPr>
        <w:t xml:space="preserve"> </w:t>
      </w:r>
      <w:r>
        <w:rPr>
          <w:i/>
          <w:color w:val="007B92"/>
          <w:sz w:val="20"/>
        </w:rPr>
        <w:t>new</w:t>
      </w:r>
      <w:r>
        <w:rPr>
          <w:i/>
          <w:color w:val="007B92"/>
          <w:spacing w:val="-5"/>
          <w:sz w:val="20"/>
        </w:rPr>
        <w:t xml:space="preserve"> </w:t>
      </w:r>
      <w:r>
        <w:rPr>
          <w:i/>
          <w:color w:val="007B92"/>
          <w:sz w:val="20"/>
        </w:rPr>
        <w:t>design</w:t>
      </w:r>
      <w:r>
        <w:rPr>
          <w:i/>
          <w:color w:val="007B92"/>
          <w:spacing w:val="-6"/>
          <w:sz w:val="20"/>
        </w:rPr>
        <w:t xml:space="preserve"> </w:t>
      </w:r>
      <w:r>
        <w:rPr>
          <w:i/>
          <w:color w:val="007B92"/>
          <w:sz w:val="20"/>
        </w:rPr>
        <w:t>process</w:t>
      </w:r>
      <w:r>
        <w:rPr>
          <w:i/>
          <w:color w:val="007B92"/>
          <w:spacing w:val="-4"/>
          <w:sz w:val="20"/>
        </w:rPr>
        <w:t xml:space="preserve"> </w:t>
      </w:r>
      <w:r>
        <w:rPr>
          <w:i/>
          <w:color w:val="007B92"/>
          <w:sz w:val="20"/>
        </w:rPr>
        <w:t>could</w:t>
      </w:r>
      <w:r>
        <w:rPr>
          <w:i/>
          <w:color w:val="007B92"/>
          <w:spacing w:val="-5"/>
          <w:sz w:val="20"/>
        </w:rPr>
        <w:t xml:space="preserve"> </w:t>
      </w:r>
      <w:r>
        <w:rPr>
          <w:i/>
          <w:color w:val="007B92"/>
          <w:sz w:val="20"/>
        </w:rPr>
        <w:t>be</w:t>
      </w:r>
      <w:r>
        <w:rPr>
          <w:i/>
          <w:color w:val="007B92"/>
          <w:spacing w:val="-5"/>
          <w:sz w:val="20"/>
        </w:rPr>
        <w:t xml:space="preserve"> </w:t>
      </w:r>
      <w:r>
        <w:rPr>
          <w:i/>
          <w:color w:val="007B92"/>
          <w:spacing w:val="-2"/>
          <w:sz w:val="20"/>
        </w:rPr>
        <w:t>considered.</w:t>
      </w:r>
    </w:p>
    <w:p w14:paraId="2D2FCE71" w14:textId="77777777" w:rsidR="009C36E3" w:rsidRDefault="000E7207">
      <w:pPr>
        <w:pStyle w:val="Heading7"/>
        <w:spacing w:before="120"/>
        <w:ind w:left="772"/>
      </w:pPr>
      <w:r>
        <w:t>Scope</w:t>
      </w:r>
      <w:r>
        <w:rPr>
          <w:spacing w:val="-6"/>
        </w:rPr>
        <w:t xml:space="preserve"> </w:t>
      </w:r>
      <w:r>
        <w:t>of</w:t>
      </w:r>
      <w:r>
        <w:rPr>
          <w:spacing w:val="-4"/>
        </w:rPr>
        <w:t xml:space="preserve"> </w:t>
      </w:r>
      <w:r>
        <w:t>the</w:t>
      </w:r>
      <w:r>
        <w:rPr>
          <w:spacing w:val="-5"/>
        </w:rPr>
        <w:t xml:space="preserve"> </w:t>
      </w:r>
      <w:r>
        <w:rPr>
          <w:spacing w:val="-2"/>
        </w:rPr>
        <w:t>program</w:t>
      </w:r>
    </w:p>
    <w:p w14:paraId="1E0F88F0" w14:textId="77777777" w:rsidR="009C36E3" w:rsidRDefault="000E7207">
      <w:pPr>
        <w:spacing w:before="118"/>
        <w:ind w:left="1492" w:right="192"/>
        <w:rPr>
          <w:i/>
          <w:sz w:val="20"/>
        </w:rPr>
      </w:pPr>
      <w:r>
        <w:rPr>
          <w:noProof/>
        </w:rPr>
        <mc:AlternateContent>
          <mc:Choice Requires="wps">
            <w:drawing>
              <wp:anchor distT="0" distB="0" distL="0" distR="0" simplePos="0" relativeHeight="251627520" behindDoc="0" locked="0" layoutInCell="1" allowOverlap="1" wp14:anchorId="4F7C39C1" wp14:editId="1EA1BF3A">
                <wp:simplePos x="0" y="0"/>
                <wp:positionH relativeFrom="page">
                  <wp:posOffset>573317</wp:posOffset>
                </wp:positionH>
                <wp:positionV relativeFrom="paragraph">
                  <wp:posOffset>130647</wp:posOffset>
                </wp:positionV>
                <wp:extent cx="275590" cy="274955"/>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48FB55EE" id="Graphic 21" o:spid="_x0000_s1026" alt="&quot;&quot;" style="position:absolute;margin-left:45.15pt;margin-top:10.3pt;width:21.7pt;height:21.65pt;z-index:15729152;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It is the view of the MTR Team that if the number of activities in the justice stream was decreased,</w:t>
      </w:r>
      <w:r>
        <w:rPr>
          <w:i/>
          <w:color w:val="007B92"/>
          <w:spacing w:val="-3"/>
          <w:sz w:val="20"/>
        </w:rPr>
        <w:t xml:space="preserve"> </w:t>
      </w:r>
      <w:r>
        <w:rPr>
          <w:i/>
          <w:color w:val="007B92"/>
          <w:sz w:val="20"/>
        </w:rPr>
        <w:t>focused;</w:t>
      </w:r>
      <w:r>
        <w:rPr>
          <w:i/>
          <w:color w:val="007B92"/>
          <w:spacing w:val="-5"/>
          <w:sz w:val="20"/>
        </w:rPr>
        <w:t xml:space="preserve"> </w:t>
      </w:r>
      <w:r>
        <w:rPr>
          <w:i/>
          <w:color w:val="007B92"/>
          <w:sz w:val="20"/>
        </w:rPr>
        <w:t>and</w:t>
      </w:r>
      <w:r>
        <w:rPr>
          <w:i/>
          <w:color w:val="007B92"/>
          <w:spacing w:val="-5"/>
          <w:sz w:val="20"/>
        </w:rPr>
        <w:t xml:space="preserve"> </w:t>
      </w:r>
      <w:r>
        <w:rPr>
          <w:i/>
          <w:color w:val="007B92"/>
          <w:sz w:val="20"/>
        </w:rPr>
        <w:t>greater</w:t>
      </w:r>
      <w:r>
        <w:rPr>
          <w:i/>
          <w:color w:val="007B92"/>
          <w:spacing w:val="-4"/>
          <w:sz w:val="20"/>
        </w:rPr>
        <w:t xml:space="preserve"> </w:t>
      </w:r>
      <w:r>
        <w:rPr>
          <w:i/>
          <w:color w:val="007B92"/>
          <w:sz w:val="20"/>
        </w:rPr>
        <w:t>emphasis</w:t>
      </w:r>
      <w:r>
        <w:rPr>
          <w:i/>
          <w:color w:val="007B92"/>
          <w:spacing w:val="-4"/>
          <w:sz w:val="20"/>
        </w:rPr>
        <w:t xml:space="preserve"> </w:t>
      </w:r>
      <w:r>
        <w:rPr>
          <w:i/>
          <w:color w:val="007B92"/>
          <w:sz w:val="20"/>
        </w:rPr>
        <w:t>was</w:t>
      </w:r>
      <w:r>
        <w:rPr>
          <w:i/>
          <w:color w:val="007B92"/>
          <w:spacing w:val="-1"/>
          <w:sz w:val="20"/>
        </w:rPr>
        <w:t xml:space="preserve"> </w:t>
      </w:r>
      <w:r>
        <w:rPr>
          <w:i/>
          <w:color w:val="007B92"/>
          <w:sz w:val="20"/>
        </w:rPr>
        <w:t>placed</w:t>
      </w:r>
      <w:r>
        <w:rPr>
          <w:i/>
          <w:color w:val="007B92"/>
          <w:spacing w:val="-3"/>
          <w:sz w:val="20"/>
        </w:rPr>
        <w:t xml:space="preserve"> </w:t>
      </w:r>
      <w:r>
        <w:rPr>
          <w:i/>
          <w:color w:val="007B92"/>
          <w:sz w:val="20"/>
        </w:rPr>
        <w:t>in</w:t>
      </w:r>
      <w:r>
        <w:rPr>
          <w:i/>
          <w:color w:val="007B92"/>
          <w:spacing w:val="-3"/>
          <w:sz w:val="20"/>
        </w:rPr>
        <w:t xml:space="preserve"> </w:t>
      </w:r>
      <w:r>
        <w:rPr>
          <w:i/>
          <w:color w:val="007B92"/>
          <w:sz w:val="20"/>
        </w:rPr>
        <w:t>both</w:t>
      </w:r>
      <w:r>
        <w:rPr>
          <w:i/>
          <w:color w:val="007B92"/>
          <w:spacing w:val="-3"/>
          <w:sz w:val="20"/>
        </w:rPr>
        <w:t xml:space="preserve"> </w:t>
      </w:r>
      <w:r>
        <w:rPr>
          <w:i/>
          <w:color w:val="007B92"/>
          <w:sz w:val="20"/>
        </w:rPr>
        <w:t>streams</w:t>
      </w:r>
      <w:r>
        <w:rPr>
          <w:i/>
          <w:color w:val="007B92"/>
          <w:spacing w:val="-4"/>
          <w:sz w:val="20"/>
        </w:rPr>
        <w:t xml:space="preserve"> </w:t>
      </w:r>
      <w:r>
        <w:rPr>
          <w:i/>
          <w:color w:val="007B92"/>
          <w:sz w:val="20"/>
        </w:rPr>
        <w:t>on</w:t>
      </w:r>
      <w:r>
        <w:rPr>
          <w:i/>
          <w:color w:val="007B92"/>
          <w:spacing w:val="-5"/>
          <w:sz w:val="20"/>
        </w:rPr>
        <w:t xml:space="preserve"> </w:t>
      </w:r>
      <w:r>
        <w:rPr>
          <w:i/>
          <w:color w:val="007B92"/>
          <w:sz w:val="20"/>
        </w:rPr>
        <w:t>ascertaining</w:t>
      </w:r>
      <w:r>
        <w:rPr>
          <w:i/>
          <w:color w:val="007B92"/>
          <w:spacing w:val="-5"/>
          <w:sz w:val="20"/>
        </w:rPr>
        <w:t xml:space="preserve"> </w:t>
      </w:r>
      <w:r>
        <w:rPr>
          <w:i/>
          <w:color w:val="007B92"/>
          <w:sz w:val="20"/>
        </w:rPr>
        <w:t>the</w:t>
      </w:r>
      <w:r>
        <w:rPr>
          <w:i/>
          <w:color w:val="007B92"/>
          <w:spacing w:val="-3"/>
          <w:sz w:val="20"/>
        </w:rPr>
        <w:t xml:space="preserve"> </w:t>
      </w:r>
      <w:r>
        <w:rPr>
          <w:i/>
          <w:color w:val="007B92"/>
          <w:sz w:val="20"/>
        </w:rPr>
        <w:t>quality</w:t>
      </w:r>
      <w:r>
        <w:rPr>
          <w:i/>
          <w:color w:val="007B92"/>
          <w:spacing w:val="-1"/>
          <w:sz w:val="20"/>
        </w:rPr>
        <w:t xml:space="preserve"> </w:t>
      </w:r>
      <w:r>
        <w:rPr>
          <w:i/>
          <w:color w:val="007B92"/>
          <w:sz w:val="20"/>
        </w:rPr>
        <w:t>and outcomes of initiatives, that this would benefit the program. It is understood that VAPJP also needs to</w:t>
      </w:r>
    </w:p>
    <w:p w14:paraId="55052864" w14:textId="77777777" w:rsidR="009C36E3" w:rsidRDefault="000E7207">
      <w:pPr>
        <w:spacing w:before="2"/>
        <w:ind w:left="772"/>
        <w:rPr>
          <w:i/>
          <w:sz w:val="20"/>
        </w:rPr>
      </w:pPr>
      <w:r>
        <w:rPr>
          <w:i/>
          <w:color w:val="007B92"/>
          <w:sz w:val="20"/>
        </w:rPr>
        <w:t>remain</w:t>
      </w:r>
      <w:r>
        <w:rPr>
          <w:i/>
          <w:color w:val="007B92"/>
          <w:spacing w:val="-8"/>
          <w:sz w:val="20"/>
        </w:rPr>
        <w:t xml:space="preserve"> </w:t>
      </w:r>
      <w:r>
        <w:rPr>
          <w:i/>
          <w:color w:val="007B92"/>
          <w:sz w:val="20"/>
        </w:rPr>
        <w:t>responsive</w:t>
      </w:r>
      <w:r>
        <w:rPr>
          <w:i/>
          <w:color w:val="007B92"/>
          <w:spacing w:val="-7"/>
          <w:sz w:val="20"/>
        </w:rPr>
        <w:t xml:space="preserve"> </w:t>
      </w:r>
      <w:r>
        <w:rPr>
          <w:i/>
          <w:color w:val="007B92"/>
          <w:sz w:val="20"/>
        </w:rPr>
        <w:t>to</w:t>
      </w:r>
      <w:r>
        <w:rPr>
          <w:i/>
          <w:color w:val="007B92"/>
          <w:spacing w:val="-8"/>
          <w:sz w:val="20"/>
        </w:rPr>
        <w:t xml:space="preserve"> </w:t>
      </w:r>
      <w:r>
        <w:rPr>
          <w:i/>
          <w:color w:val="007B92"/>
          <w:sz w:val="20"/>
        </w:rPr>
        <w:t>changing</w:t>
      </w:r>
      <w:r>
        <w:rPr>
          <w:i/>
          <w:color w:val="007B92"/>
          <w:spacing w:val="-7"/>
          <w:sz w:val="20"/>
        </w:rPr>
        <w:t xml:space="preserve"> </w:t>
      </w:r>
      <w:r>
        <w:rPr>
          <w:i/>
          <w:color w:val="007B92"/>
          <w:spacing w:val="-2"/>
          <w:sz w:val="20"/>
        </w:rPr>
        <w:t>circumstances.</w:t>
      </w:r>
    </w:p>
    <w:p w14:paraId="41EB6FED" w14:textId="77777777" w:rsidR="009C36E3" w:rsidRDefault="000E7207">
      <w:pPr>
        <w:spacing w:before="120"/>
        <w:ind w:left="1492" w:right="120"/>
        <w:rPr>
          <w:i/>
          <w:sz w:val="20"/>
        </w:rPr>
      </w:pPr>
      <w:r>
        <w:rPr>
          <w:noProof/>
        </w:rPr>
        <mc:AlternateContent>
          <mc:Choice Requires="wps">
            <w:drawing>
              <wp:anchor distT="0" distB="0" distL="0" distR="0" simplePos="0" relativeHeight="251628544" behindDoc="0" locked="0" layoutInCell="1" allowOverlap="1" wp14:anchorId="52287516" wp14:editId="3E31E3F2">
                <wp:simplePos x="0" y="0"/>
                <wp:positionH relativeFrom="page">
                  <wp:posOffset>573317</wp:posOffset>
                </wp:positionH>
                <wp:positionV relativeFrom="paragraph">
                  <wp:posOffset>130647</wp:posOffset>
                </wp:positionV>
                <wp:extent cx="275590" cy="274955"/>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5CC1E8C2" id="Graphic 22" o:spid="_x0000_s1026" alt="&quot;&quot;" style="position:absolute;margin-left:45.15pt;margin-top:10.3pt;width:21.7pt;height:2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Some of the activities supported through the Justice stream of work do not make a clear contribution to the VAPJP EOPOs and IOs, which provide for targeted and practical support for Vanuatu legal</w:t>
      </w:r>
      <w:r>
        <w:rPr>
          <w:i/>
          <w:color w:val="007B92"/>
          <w:spacing w:val="-3"/>
          <w:sz w:val="20"/>
        </w:rPr>
        <w:t xml:space="preserve"> </w:t>
      </w:r>
      <w:r>
        <w:rPr>
          <w:i/>
          <w:color w:val="007B92"/>
          <w:sz w:val="20"/>
        </w:rPr>
        <w:t>agencies,</w:t>
      </w:r>
      <w:r>
        <w:rPr>
          <w:i/>
          <w:color w:val="007B92"/>
          <w:spacing w:val="-2"/>
          <w:sz w:val="20"/>
        </w:rPr>
        <w:t xml:space="preserve"> </w:t>
      </w:r>
      <w:r>
        <w:rPr>
          <w:i/>
          <w:color w:val="007B92"/>
          <w:sz w:val="20"/>
        </w:rPr>
        <w:t>legal</w:t>
      </w:r>
      <w:r>
        <w:rPr>
          <w:i/>
          <w:color w:val="007B92"/>
          <w:spacing w:val="-5"/>
          <w:sz w:val="20"/>
        </w:rPr>
        <w:t xml:space="preserve"> </w:t>
      </w:r>
      <w:r>
        <w:rPr>
          <w:i/>
          <w:color w:val="007B92"/>
          <w:sz w:val="20"/>
        </w:rPr>
        <w:t>specialists</w:t>
      </w:r>
      <w:r>
        <w:rPr>
          <w:i/>
          <w:color w:val="007B92"/>
          <w:spacing w:val="-3"/>
          <w:sz w:val="20"/>
        </w:rPr>
        <w:t xml:space="preserve"> </w:t>
      </w:r>
      <w:r>
        <w:rPr>
          <w:i/>
          <w:color w:val="007B92"/>
          <w:sz w:val="20"/>
        </w:rPr>
        <w:t>and</w:t>
      </w:r>
      <w:r>
        <w:rPr>
          <w:i/>
          <w:color w:val="007B92"/>
          <w:spacing w:val="-4"/>
          <w:sz w:val="20"/>
        </w:rPr>
        <w:t xml:space="preserve"> </w:t>
      </w:r>
      <w:r>
        <w:rPr>
          <w:i/>
          <w:color w:val="007B92"/>
          <w:sz w:val="20"/>
        </w:rPr>
        <w:t>management</w:t>
      </w:r>
      <w:r>
        <w:rPr>
          <w:i/>
          <w:color w:val="007B92"/>
          <w:spacing w:val="-2"/>
          <w:sz w:val="20"/>
        </w:rPr>
        <w:t xml:space="preserve"> </w:t>
      </w:r>
      <w:r>
        <w:rPr>
          <w:i/>
          <w:color w:val="007B92"/>
          <w:sz w:val="20"/>
        </w:rPr>
        <w:t>practice,</w:t>
      </w:r>
      <w:r>
        <w:rPr>
          <w:i/>
          <w:color w:val="007B92"/>
          <w:spacing w:val="-4"/>
          <w:sz w:val="20"/>
        </w:rPr>
        <w:t xml:space="preserve"> </w:t>
      </w:r>
      <w:r>
        <w:rPr>
          <w:i/>
          <w:color w:val="007B92"/>
          <w:sz w:val="20"/>
        </w:rPr>
        <w:t>as outlined</w:t>
      </w:r>
      <w:r>
        <w:rPr>
          <w:i/>
          <w:color w:val="007B92"/>
          <w:spacing w:val="-2"/>
          <w:sz w:val="20"/>
        </w:rPr>
        <w:t xml:space="preserve"> </w:t>
      </w:r>
      <w:r>
        <w:rPr>
          <w:i/>
          <w:color w:val="007B92"/>
          <w:sz w:val="20"/>
        </w:rPr>
        <w:t>in</w:t>
      </w:r>
      <w:r>
        <w:rPr>
          <w:i/>
          <w:color w:val="007B92"/>
          <w:spacing w:val="-4"/>
          <w:sz w:val="20"/>
        </w:rPr>
        <w:t xml:space="preserve"> </w:t>
      </w:r>
      <w:r>
        <w:rPr>
          <w:i/>
          <w:color w:val="007B92"/>
          <w:sz w:val="20"/>
        </w:rPr>
        <w:t>the</w:t>
      </w:r>
      <w:r>
        <w:rPr>
          <w:i/>
          <w:color w:val="007B92"/>
          <w:spacing w:val="-4"/>
          <w:sz w:val="20"/>
        </w:rPr>
        <w:t xml:space="preserve"> </w:t>
      </w:r>
      <w:r>
        <w:rPr>
          <w:i/>
          <w:color w:val="007B92"/>
          <w:sz w:val="20"/>
        </w:rPr>
        <w:t>relevant</w:t>
      </w:r>
      <w:r>
        <w:rPr>
          <w:i/>
          <w:color w:val="007B92"/>
          <w:spacing w:val="-4"/>
          <w:sz w:val="20"/>
        </w:rPr>
        <w:t xml:space="preserve"> </w:t>
      </w:r>
      <w:r>
        <w:rPr>
          <w:i/>
          <w:color w:val="007B92"/>
          <w:sz w:val="20"/>
        </w:rPr>
        <w:t>IO:</w:t>
      </w:r>
      <w:r>
        <w:rPr>
          <w:i/>
          <w:color w:val="007B92"/>
          <w:spacing w:val="-4"/>
          <w:sz w:val="20"/>
        </w:rPr>
        <w:t xml:space="preserve"> </w:t>
      </w:r>
      <w:r>
        <w:rPr>
          <w:i/>
          <w:color w:val="007B92"/>
          <w:sz w:val="20"/>
        </w:rPr>
        <w:t>Justice</w:t>
      </w:r>
      <w:r>
        <w:rPr>
          <w:i/>
          <w:color w:val="007B92"/>
          <w:spacing w:val="-4"/>
          <w:sz w:val="20"/>
        </w:rPr>
        <w:t xml:space="preserve"> </w:t>
      </w:r>
      <w:r>
        <w:rPr>
          <w:i/>
          <w:color w:val="007B92"/>
          <w:sz w:val="20"/>
        </w:rPr>
        <w:t>agencies</w:t>
      </w:r>
    </w:p>
    <w:p w14:paraId="0031AAA6" w14:textId="77777777" w:rsidR="009C36E3" w:rsidRDefault="000E7207">
      <w:pPr>
        <w:ind w:left="772"/>
        <w:rPr>
          <w:i/>
          <w:sz w:val="20"/>
        </w:rPr>
      </w:pPr>
      <w:r>
        <w:rPr>
          <w:i/>
          <w:color w:val="007B92"/>
          <w:sz w:val="20"/>
        </w:rPr>
        <w:t>provide timely and professional services in line with their mandate and legislative functions, particularly involving services</w:t>
      </w:r>
      <w:r>
        <w:rPr>
          <w:i/>
          <w:color w:val="007B92"/>
          <w:spacing w:val="-3"/>
          <w:sz w:val="20"/>
        </w:rPr>
        <w:t xml:space="preserve"> </w:t>
      </w:r>
      <w:r>
        <w:rPr>
          <w:i/>
          <w:color w:val="007B92"/>
          <w:sz w:val="20"/>
        </w:rPr>
        <w:t>for</w:t>
      </w:r>
      <w:r>
        <w:rPr>
          <w:i/>
          <w:color w:val="007B92"/>
          <w:spacing w:val="-3"/>
          <w:sz w:val="20"/>
        </w:rPr>
        <w:t xml:space="preserve"> </w:t>
      </w:r>
      <w:r>
        <w:rPr>
          <w:i/>
          <w:color w:val="007B92"/>
          <w:sz w:val="20"/>
        </w:rPr>
        <w:t>women</w:t>
      </w:r>
      <w:r>
        <w:rPr>
          <w:i/>
          <w:color w:val="007B92"/>
          <w:spacing w:val="-4"/>
          <w:sz w:val="20"/>
        </w:rPr>
        <w:t xml:space="preserve"> </w:t>
      </w:r>
      <w:r>
        <w:rPr>
          <w:i/>
          <w:color w:val="007B92"/>
          <w:sz w:val="20"/>
        </w:rPr>
        <w:t>and</w:t>
      </w:r>
      <w:r>
        <w:rPr>
          <w:i/>
          <w:color w:val="007B92"/>
          <w:spacing w:val="-4"/>
          <w:sz w:val="20"/>
        </w:rPr>
        <w:t xml:space="preserve"> </w:t>
      </w:r>
      <w:r>
        <w:rPr>
          <w:i/>
          <w:color w:val="007B92"/>
          <w:sz w:val="20"/>
        </w:rPr>
        <w:t>children.</w:t>
      </w:r>
      <w:r>
        <w:rPr>
          <w:i/>
          <w:color w:val="007B92"/>
          <w:spacing w:val="-2"/>
          <w:sz w:val="20"/>
        </w:rPr>
        <w:t xml:space="preserve"> </w:t>
      </w:r>
      <w:r>
        <w:rPr>
          <w:i/>
          <w:color w:val="007B92"/>
          <w:sz w:val="20"/>
        </w:rPr>
        <w:t>The</w:t>
      </w:r>
      <w:r>
        <w:rPr>
          <w:i/>
          <w:color w:val="007B92"/>
          <w:spacing w:val="-2"/>
          <w:sz w:val="20"/>
        </w:rPr>
        <w:t xml:space="preserve"> </w:t>
      </w:r>
      <w:r>
        <w:rPr>
          <w:i/>
          <w:color w:val="007B92"/>
          <w:sz w:val="20"/>
        </w:rPr>
        <w:t>program</w:t>
      </w:r>
      <w:r>
        <w:rPr>
          <w:i/>
          <w:color w:val="007B92"/>
          <w:spacing w:val="-4"/>
          <w:sz w:val="20"/>
        </w:rPr>
        <w:t xml:space="preserve"> </w:t>
      </w:r>
      <w:r>
        <w:rPr>
          <w:i/>
          <w:color w:val="007B92"/>
          <w:sz w:val="20"/>
        </w:rPr>
        <w:t>is</w:t>
      </w:r>
      <w:r>
        <w:rPr>
          <w:i/>
          <w:color w:val="007B92"/>
          <w:spacing w:val="-3"/>
          <w:sz w:val="20"/>
        </w:rPr>
        <w:t xml:space="preserve"> </w:t>
      </w:r>
      <w:r>
        <w:rPr>
          <w:i/>
          <w:color w:val="007B92"/>
          <w:sz w:val="20"/>
        </w:rPr>
        <w:t>currently</w:t>
      </w:r>
      <w:r>
        <w:rPr>
          <w:i/>
          <w:color w:val="007B92"/>
          <w:spacing w:val="-3"/>
          <w:sz w:val="20"/>
        </w:rPr>
        <w:t xml:space="preserve"> </w:t>
      </w:r>
      <w:r>
        <w:rPr>
          <w:i/>
          <w:color w:val="007B92"/>
          <w:sz w:val="20"/>
        </w:rPr>
        <w:t>pursuing</w:t>
      </w:r>
      <w:r>
        <w:rPr>
          <w:i/>
          <w:color w:val="007B92"/>
          <w:spacing w:val="-4"/>
          <w:sz w:val="20"/>
        </w:rPr>
        <w:t xml:space="preserve"> </w:t>
      </w:r>
      <w:r>
        <w:rPr>
          <w:i/>
          <w:color w:val="007B92"/>
          <w:sz w:val="20"/>
        </w:rPr>
        <w:t>a</w:t>
      </w:r>
      <w:r>
        <w:rPr>
          <w:i/>
          <w:color w:val="007B92"/>
          <w:spacing w:val="-2"/>
          <w:sz w:val="20"/>
        </w:rPr>
        <w:t xml:space="preserve"> </w:t>
      </w:r>
      <w:r>
        <w:rPr>
          <w:i/>
          <w:color w:val="007B92"/>
          <w:sz w:val="20"/>
        </w:rPr>
        <w:t>number</w:t>
      </w:r>
      <w:r>
        <w:rPr>
          <w:i/>
          <w:color w:val="007B92"/>
          <w:spacing w:val="-3"/>
          <w:sz w:val="20"/>
        </w:rPr>
        <w:t xml:space="preserve"> </w:t>
      </w:r>
      <w:r>
        <w:rPr>
          <w:i/>
          <w:color w:val="007B92"/>
          <w:sz w:val="20"/>
        </w:rPr>
        <w:t>of</w:t>
      </w:r>
      <w:r>
        <w:rPr>
          <w:i/>
          <w:color w:val="007B92"/>
          <w:spacing w:val="-2"/>
          <w:sz w:val="20"/>
        </w:rPr>
        <w:t xml:space="preserve"> </w:t>
      </w:r>
      <w:r>
        <w:rPr>
          <w:i/>
          <w:color w:val="007B92"/>
          <w:sz w:val="20"/>
        </w:rPr>
        <w:t>regional</w:t>
      </w:r>
      <w:r>
        <w:rPr>
          <w:i/>
          <w:color w:val="007B92"/>
          <w:spacing w:val="-4"/>
          <w:sz w:val="20"/>
        </w:rPr>
        <w:t xml:space="preserve"> </w:t>
      </w:r>
      <w:r>
        <w:rPr>
          <w:i/>
          <w:color w:val="007B92"/>
          <w:sz w:val="20"/>
        </w:rPr>
        <w:t>and</w:t>
      </w:r>
      <w:r>
        <w:rPr>
          <w:i/>
          <w:color w:val="007B92"/>
          <w:spacing w:val="-4"/>
          <w:sz w:val="20"/>
        </w:rPr>
        <w:t xml:space="preserve"> </w:t>
      </w:r>
      <w:r>
        <w:rPr>
          <w:i/>
          <w:color w:val="007B92"/>
          <w:sz w:val="20"/>
        </w:rPr>
        <w:t>global</w:t>
      </w:r>
      <w:r>
        <w:rPr>
          <w:i/>
          <w:color w:val="007B92"/>
          <w:spacing w:val="-4"/>
          <w:sz w:val="20"/>
        </w:rPr>
        <w:t xml:space="preserve"> </w:t>
      </w:r>
      <w:r>
        <w:rPr>
          <w:i/>
          <w:color w:val="007B92"/>
          <w:sz w:val="20"/>
        </w:rPr>
        <w:t>partnerships, global conferences and ad hoc initiatives, which should be reviewed to ensure they are the most relevant and effective way of contributing to VAPJP outcomes.</w:t>
      </w:r>
    </w:p>
    <w:p w14:paraId="0C6C43BA" w14:textId="77777777" w:rsidR="009C36E3" w:rsidRDefault="009C36E3">
      <w:pPr>
        <w:rPr>
          <w:sz w:val="20"/>
        </w:rPr>
        <w:sectPr w:rsidR="009C36E3">
          <w:pgSz w:w="11910" w:h="16850"/>
          <w:pgMar w:top="1040" w:right="740" w:bottom="740" w:left="80" w:header="552" w:footer="559" w:gutter="0"/>
          <w:cols w:space="720"/>
        </w:sectPr>
      </w:pPr>
    </w:p>
    <w:p w14:paraId="306EEA80" w14:textId="77777777" w:rsidR="009C36E3" w:rsidRDefault="000E7207">
      <w:pPr>
        <w:pStyle w:val="Heading7"/>
        <w:spacing w:before="91"/>
        <w:ind w:left="772"/>
      </w:pPr>
      <w:r>
        <w:rPr>
          <w:spacing w:val="-4"/>
        </w:rPr>
        <w:t>Scope</w:t>
      </w:r>
    </w:p>
    <w:p w14:paraId="2A26EDA2" w14:textId="77777777" w:rsidR="009C36E3" w:rsidRDefault="000E7207">
      <w:pPr>
        <w:pStyle w:val="BodyText"/>
        <w:spacing w:before="120"/>
        <w:ind w:left="772" w:right="167"/>
      </w:pPr>
      <w:r>
        <w:t xml:space="preserve">The 2020 VAPJP Design Update (“the Update”) was deliberate in its choice of an open and broad scope for the program, while recognising that with limited resources activities would need to be prioritised, and that the scope described in the Update related to a broad outer limit of what VAPJP </w:t>
      </w:r>
      <w:r>
        <w:rPr>
          <w:i/>
        </w:rPr>
        <w:t>could do</w:t>
      </w:r>
      <w:r>
        <w:t xml:space="preserve">, without being prescriptive about what the program </w:t>
      </w:r>
      <w:r>
        <w:rPr>
          <w:i/>
        </w:rPr>
        <w:t>must do</w:t>
      </w:r>
      <w:r>
        <w:t>. It was intended that access to justice for women, children, youth, and persons with disabilities</w:t>
      </w:r>
      <w:r>
        <w:rPr>
          <w:spacing w:val="-3"/>
        </w:rPr>
        <w:t xml:space="preserve"> </w:t>
      </w:r>
      <w:r>
        <w:t>should</w:t>
      </w:r>
      <w:r>
        <w:rPr>
          <w:spacing w:val="-2"/>
        </w:rPr>
        <w:t xml:space="preserve"> </w:t>
      </w:r>
      <w:r>
        <w:t>be</w:t>
      </w:r>
      <w:r>
        <w:rPr>
          <w:spacing w:val="-2"/>
        </w:rPr>
        <w:t xml:space="preserve"> </w:t>
      </w:r>
      <w:r>
        <w:t>prioritised,</w:t>
      </w:r>
      <w:r>
        <w:rPr>
          <w:spacing w:val="-4"/>
        </w:rPr>
        <w:t xml:space="preserve"> </w:t>
      </w:r>
      <w:r>
        <w:t>while</w:t>
      </w:r>
      <w:r>
        <w:rPr>
          <w:spacing w:val="-4"/>
        </w:rPr>
        <w:t xml:space="preserve"> </w:t>
      </w:r>
      <w:r>
        <w:t>being</w:t>
      </w:r>
      <w:r>
        <w:rPr>
          <w:spacing w:val="-4"/>
        </w:rPr>
        <w:t xml:space="preserve"> </w:t>
      </w:r>
      <w:r>
        <w:t>responsive</w:t>
      </w:r>
      <w:r>
        <w:rPr>
          <w:spacing w:val="-4"/>
        </w:rPr>
        <w:t xml:space="preserve"> </w:t>
      </w:r>
      <w:r>
        <w:t>to</w:t>
      </w:r>
      <w:r>
        <w:rPr>
          <w:spacing w:val="-4"/>
        </w:rPr>
        <w:t xml:space="preserve"> </w:t>
      </w:r>
      <w:r>
        <w:t>changing</w:t>
      </w:r>
      <w:r>
        <w:rPr>
          <w:spacing w:val="-2"/>
        </w:rPr>
        <w:t xml:space="preserve"> </w:t>
      </w:r>
      <w:r>
        <w:t>circumstances</w:t>
      </w:r>
      <w:r>
        <w:rPr>
          <w:spacing w:val="-3"/>
        </w:rPr>
        <w:t xml:space="preserve"> </w:t>
      </w:r>
      <w:r>
        <w:t>and</w:t>
      </w:r>
      <w:r>
        <w:rPr>
          <w:spacing w:val="-4"/>
        </w:rPr>
        <w:t xml:space="preserve"> </w:t>
      </w:r>
      <w:r>
        <w:t>policy</w:t>
      </w:r>
      <w:r>
        <w:rPr>
          <w:spacing w:val="-3"/>
        </w:rPr>
        <w:t xml:space="preserve"> </w:t>
      </w:r>
      <w:r>
        <w:t>priorities</w:t>
      </w:r>
      <w:r>
        <w:rPr>
          <w:spacing w:val="-3"/>
        </w:rPr>
        <w:t xml:space="preserve"> </w:t>
      </w:r>
      <w:r>
        <w:t>of</w:t>
      </w:r>
      <w:r>
        <w:rPr>
          <w:spacing w:val="-4"/>
        </w:rPr>
        <w:t xml:space="preserve"> </w:t>
      </w:r>
      <w:r>
        <w:t>both</w:t>
      </w:r>
      <w:r>
        <w:rPr>
          <w:spacing w:val="-4"/>
        </w:rPr>
        <w:t xml:space="preserve"> </w:t>
      </w:r>
      <w:r>
        <w:t>the GoV and GoA. The AWP is the primary planning tool for VAPJP (VAPJP, 2020).</w:t>
      </w:r>
    </w:p>
    <w:p w14:paraId="327732D6" w14:textId="77777777" w:rsidR="009C36E3" w:rsidRDefault="000E7207">
      <w:pPr>
        <w:pStyle w:val="BodyText"/>
        <w:spacing w:before="120"/>
        <w:ind w:left="772" w:right="167"/>
      </w:pPr>
      <w:r>
        <w:t>The</w:t>
      </w:r>
      <w:r>
        <w:rPr>
          <w:spacing w:val="-3"/>
        </w:rPr>
        <w:t xml:space="preserve"> </w:t>
      </w:r>
      <w:r>
        <w:t>program</w:t>
      </w:r>
      <w:r>
        <w:rPr>
          <w:spacing w:val="-3"/>
        </w:rPr>
        <w:t xml:space="preserve"> </w:t>
      </w:r>
      <w:r>
        <w:t>continues</w:t>
      </w:r>
      <w:r>
        <w:rPr>
          <w:spacing w:val="-2"/>
        </w:rPr>
        <w:t xml:space="preserve"> </w:t>
      </w:r>
      <w:r>
        <w:t>to</w:t>
      </w:r>
      <w:r>
        <w:rPr>
          <w:spacing w:val="-2"/>
        </w:rPr>
        <w:t xml:space="preserve"> </w:t>
      </w:r>
      <w:r>
        <w:t>manage</w:t>
      </w:r>
      <w:r>
        <w:rPr>
          <w:spacing w:val="-2"/>
        </w:rPr>
        <w:t xml:space="preserve"> </w:t>
      </w:r>
      <w:r>
        <w:t>a</w:t>
      </w:r>
      <w:r>
        <w:rPr>
          <w:spacing w:val="-3"/>
        </w:rPr>
        <w:t xml:space="preserve"> </w:t>
      </w:r>
      <w:r>
        <w:t>dizzying</w:t>
      </w:r>
      <w:r>
        <w:rPr>
          <w:spacing w:val="-3"/>
        </w:rPr>
        <w:t xml:space="preserve"> </w:t>
      </w:r>
      <w:r>
        <w:t>number</w:t>
      </w:r>
      <w:r>
        <w:rPr>
          <w:spacing w:val="-1"/>
        </w:rPr>
        <w:t xml:space="preserve"> </w:t>
      </w:r>
      <w:r>
        <w:t>of</w:t>
      </w:r>
      <w:r>
        <w:rPr>
          <w:spacing w:val="-3"/>
        </w:rPr>
        <w:t xml:space="preserve"> </w:t>
      </w:r>
      <w:r>
        <w:t>activities</w:t>
      </w:r>
      <w:r>
        <w:rPr>
          <w:spacing w:val="-2"/>
        </w:rPr>
        <w:t xml:space="preserve"> </w:t>
      </w:r>
      <w:r>
        <w:t>through</w:t>
      </w:r>
      <w:r>
        <w:rPr>
          <w:spacing w:val="-3"/>
        </w:rPr>
        <w:t xml:space="preserve"> </w:t>
      </w:r>
      <w:r>
        <w:t>the</w:t>
      </w:r>
      <w:r>
        <w:rPr>
          <w:spacing w:val="-2"/>
        </w:rPr>
        <w:t xml:space="preserve"> </w:t>
      </w:r>
      <w:r>
        <w:t>AWP.</w:t>
      </w:r>
      <w:r>
        <w:rPr>
          <w:spacing w:val="-1"/>
        </w:rPr>
        <w:t xml:space="preserve"> </w:t>
      </w:r>
      <w:r>
        <w:t>In</w:t>
      </w:r>
      <w:r>
        <w:rPr>
          <w:spacing w:val="-2"/>
        </w:rPr>
        <w:t xml:space="preserve"> </w:t>
      </w:r>
      <w:r>
        <w:t>2023</w:t>
      </w:r>
      <w:r>
        <w:rPr>
          <w:spacing w:val="-3"/>
        </w:rPr>
        <w:t xml:space="preserve"> </w:t>
      </w:r>
      <w:r>
        <w:t>the</w:t>
      </w:r>
      <w:r>
        <w:rPr>
          <w:spacing w:val="-3"/>
        </w:rPr>
        <w:t xml:space="preserve"> </w:t>
      </w:r>
      <w:r>
        <w:t>AWP</w:t>
      </w:r>
      <w:r>
        <w:rPr>
          <w:spacing w:val="-4"/>
        </w:rPr>
        <w:t xml:space="preserve"> </w:t>
      </w:r>
      <w:r>
        <w:t>contained 173 activities. This was 186 in 2022, and 168 in 2021.</w:t>
      </w:r>
    </w:p>
    <w:p w14:paraId="2A84737A" w14:textId="77777777" w:rsidR="00A33D64" w:rsidRDefault="00A33D64" w:rsidP="00A33D64">
      <w:pPr>
        <w:pStyle w:val="BodyText"/>
        <w:spacing w:before="121"/>
        <w:ind w:left="772" w:right="192" w:hanging="1"/>
      </w:pPr>
      <w:r>
        <w:t>VAPJP has noted in the 2023 Six-month Progress Report (SMPR) that it is challenged to provide comprehensive support to the justice sector due to what it describes as its limited interaction with key agencies such as the Public Solicitor’s</w:t>
      </w:r>
      <w:r>
        <w:rPr>
          <w:spacing w:val="-2"/>
        </w:rPr>
        <w:t xml:space="preserve"> </w:t>
      </w:r>
      <w:r>
        <w:t>Office</w:t>
      </w:r>
      <w:r>
        <w:rPr>
          <w:spacing w:val="-1"/>
        </w:rPr>
        <w:t xml:space="preserve"> </w:t>
      </w:r>
      <w:r>
        <w:t>(PSO)</w:t>
      </w:r>
      <w:hyperlink w:anchor="_bookmark19" w:history="1">
        <w:r>
          <w:rPr>
            <w:position w:val="6"/>
            <w:sz w:val="13"/>
          </w:rPr>
          <w:t>9</w:t>
        </w:r>
      </w:hyperlink>
      <w:r>
        <w:rPr>
          <w:spacing w:val="-3"/>
          <w:position w:val="6"/>
          <w:sz w:val="13"/>
        </w:rPr>
        <w:t xml:space="preserve"> </w:t>
      </w:r>
      <w:r>
        <w:t>and</w:t>
      </w:r>
      <w:r>
        <w:rPr>
          <w:spacing w:val="-1"/>
        </w:rPr>
        <w:t xml:space="preserve"> </w:t>
      </w:r>
      <w:r>
        <w:t>with</w:t>
      </w:r>
      <w:r>
        <w:rPr>
          <w:spacing w:val="-1"/>
        </w:rPr>
        <w:t xml:space="preserve"> </w:t>
      </w:r>
      <w:r>
        <w:t>the</w:t>
      </w:r>
      <w:r>
        <w:rPr>
          <w:spacing w:val="-1"/>
        </w:rPr>
        <w:t xml:space="preserve"> </w:t>
      </w:r>
      <w:r>
        <w:t>Courts,</w:t>
      </w:r>
      <w:r>
        <w:rPr>
          <w:spacing w:val="-1"/>
        </w:rPr>
        <w:t xml:space="preserve"> </w:t>
      </w:r>
      <w:r>
        <w:t>and</w:t>
      </w:r>
      <w:r>
        <w:rPr>
          <w:spacing w:val="-1"/>
        </w:rPr>
        <w:t xml:space="preserve"> </w:t>
      </w:r>
      <w:r>
        <w:t>that</w:t>
      </w:r>
      <w:r>
        <w:rPr>
          <w:spacing w:val="-3"/>
        </w:rPr>
        <w:t xml:space="preserve"> </w:t>
      </w:r>
      <w:r>
        <w:t>this</w:t>
      </w:r>
      <w:r>
        <w:rPr>
          <w:spacing w:val="-2"/>
        </w:rPr>
        <w:t xml:space="preserve"> </w:t>
      </w:r>
      <w:r>
        <w:t>makes</w:t>
      </w:r>
      <w:r>
        <w:rPr>
          <w:spacing w:val="-2"/>
        </w:rPr>
        <w:t xml:space="preserve"> </w:t>
      </w:r>
      <w:r>
        <w:t>tracing</w:t>
      </w:r>
      <w:r>
        <w:rPr>
          <w:spacing w:val="-1"/>
        </w:rPr>
        <w:t xml:space="preserve"> </w:t>
      </w:r>
      <w:r>
        <w:t>and</w:t>
      </w:r>
      <w:r>
        <w:rPr>
          <w:spacing w:val="-3"/>
        </w:rPr>
        <w:t xml:space="preserve"> </w:t>
      </w:r>
      <w:r>
        <w:t>communicating</w:t>
      </w:r>
      <w:r>
        <w:rPr>
          <w:spacing w:val="-3"/>
        </w:rPr>
        <w:t xml:space="preserve"> </w:t>
      </w:r>
      <w:r>
        <w:t>direct</w:t>
      </w:r>
      <w:r>
        <w:rPr>
          <w:spacing w:val="-3"/>
        </w:rPr>
        <w:t xml:space="preserve"> </w:t>
      </w:r>
      <w:r>
        <w:t>contributions</w:t>
      </w:r>
      <w:r>
        <w:rPr>
          <w:spacing w:val="-2"/>
        </w:rPr>
        <w:t xml:space="preserve"> </w:t>
      </w:r>
      <w:r>
        <w:t>in general justice sector process improvements an ongoing challenge. Certainly, the high level of turnover of MJCS Directors-General (DG), the current lack of a substantive DG, and limited GoV funding divided across many agencies</w:t>
      </w:r>
      <w:hyperlink w:anchor="_bookmark20" w:history="1">
        <w:r>
          <w:rPr>
            <w:position w:val="6"/>
            <w:sz w:val="13"/>
          </w:rPr>
          <w:t>10</w:t>
        </w:r>
      </w:hyperlink>
      <w:r>
        <w:rPr>
          <w:position w:val="6"/>
          <w:sz w:val="13"/>
        </w:rPr>
        <w:t xml:space="preserve"> </w:t>
      </w:r>
      <w:r>
        <w:t>add to this difficulty.</w:t>
      </w:r>
    </w:p>
    <w:p w14:paraId="10ECACDB" w14:textId="7D32FC12" w:rsidR="009C36E3" w:rsidRDefault="000E7207">
      <w:pPr>
        <w:pStyle w:val="BodyText"/>
        <w:spacing w:before="120"/>
        <w:ind w:right="192"/>
      </w:pPr>
      <w:r>
        <w:rPr>
          <w:b/>
        </w:rPr>
        <w:t xml:space="preserve">Some of the activities supported through the Justice stream of work do not make a clear contribution to the VAPJP EOPOs and IOs. </w:t>
      </w:r>
      <w:r>
        <w:t>Examples include, but are not limited to, participating in the Working Group on Customary and Informal Justice and SDG 16+, and supporting MNCC to participate in international customary law events. The MTR team, however, appreciates that a range of targeted international partnerships including with the Victorian Bar Association, the GoA Attorney-General’s Department, and</w:t>
      </w:r>
      <w:r>
        <w:rPr>
          <w:spacing w:val="-3"/>
        </w:rPr>
        <w:t xml:space="preserve"> </w:t>
      </w:r>
      <w:r>
        <w:t>regional</w:t>
      </w:r>
      <w:r>
        <w:rPr>
          <w:spacing w:val="-4"/>
        </w:rPr>
        <w:t xml:space="preserve"> </w:t>
      </w:r>
      <w:r>
        <w:t>initiatives</w:t>
      </w:r>
      <w:r>
        <w:rPr>
          <w:spacing w:val="-2"/>
        </w:rPr>
        <w:t xml:space="preserve"> </w:t>
      </w:r>
      <w:r>
        <w:t>such</w:t>
      </w:r>
      <w:r>
        <w:rPr>
          <w:spacing w:val="-3"/>
        </w:rPr>
        <w:t xml:space="preserve"> </w:t>
      </w:r>
      <w:r>
        <w:t>as</w:t>
      </w:r>
      <w:r>
        <w:rPr>
          <w:spacing w:val="-2"/>
        </w:rPr>
        <w:t xml:space="preserve"> </w:t>
      </w:r>
      <w:r>
        <w:t>the</w:t>
      </w:r>
      <w:r>
        <w:rPr>
          <w:spacing w:val="-3"/>
        </w:rPr>
        <w:t xml:space="preserve"> </w:t>
      </w:r>
      <w:r>
        <w:t>Pacific</w:t>
      </w:r>
      <w:r>
        <w:rPr>
          <w:spacing w:val="-2"/>
        </w:rPr>
        <w:t xml:space="preserve"> </w:t>
      </w:r>
      <w:r>
        <w:t>Islands</w:t>
      </w:r>
      <w:r>
        <w:rPr>
          <w:spacing w:val="-2"/>
        </w:rPr>
        <w:t xml:space="preserve"> </w:t>
      </w:r>
      <w:r>
        <w:t>Chiefs</w:t>
      </w:r>
      <w:r>
        <w:rPr>
          <w:spacing w:val="-2"/>
        </w:rPr>
        <w:t xml:space="preserve"> </w:t>
      </w:r>
      <w:r>
        <w:t>of</w:t>
      </w:r>
      <w:r>
        <w:rPr>
          <w:spacing w:val="-1"/>
        </w:rPr>
        <w:t xml:space="preserve"> </w:t>
      </w:r>
      <w:r>
        <w:t>Police</w:t>
      </w:r>
      <w:r>
        <w:rPr>
          <w:spacing w:val="-3"/>
        </w:rPr>
        <w:t xml:space="preserve"> </w:t>
      </w:r>
      <w:r>
        <w:t>plays</w:t>
      </w:r>
      <w:r>
        <w:rPr>
          <w:spacing w:val="-2"/>
        </w:rPr>
        <w:t xml:space="preserve"> </w:t>
      </w:r>
      <w:r>
        <w:t>an</w:t>
      </w:r>
      <w:r>
        <w:rPr>
          <w:spacing w:val="-3"/>
        </w:rPr>
        <w:t xml:space="preserve"> </w:t>
      </w:r>
      <w:r>
        <w:t>important</w:t>
      </w:r>
      <w:r>
        <w:rPr>
          <w:spacing w:val="-3"/>
        </w:rPr>
        <w:t xml:space="preserve"> </w:t>
      </w:r>
      <w:r>
        <w:t>role</w:t>
      </w:r>
      <w:r>
        <w:rPr>
          <w:spacing w:val="-1"/>
        </w:rPr>
        <w:t xml:space="preserve"> </w:t>
      </w:r>
      <w:r>
        <w:t>in</w:t>
      </w:r>
      <w:r>
        <w:rPr>
          <w:spacing w:val="-3"/>
        </w:rPr>
        <w:t xml:space="preserve"> </w:t>
      </w:r>
      <w:r>
        <w:t>supporting</w:t>
      </w:r>
      <w:r>
        <w:rPr>
          <w:spacing w:val="-1"/>
        </w:rPr>
        <w:t xml:space="preserve"> </w:t>
      </w:r>
      <w:r>
        <w:t>improved capacity of GoV agencies. Similarly, the importance of maintaining engagement and coordination with other relevant donor agencies and initiatives is recognised. Greater resourcing of oversight by DFAT to ensure the program does not experience ‘scope creep’ would be beneficial.</w:t>
      </w:r>
    </w:p>
    <w:p w14:paraId="62AFF981" w14:textId="27FD2CE9" w:rsidR="009C36E3" w:rsidRDefault="000E7207">
      <w:pPr>
        <w:pStyle w:val="BodyText"/>
        <w:spacing w:before="120"/>
        <w:ind w:right="148"/>
      </w:pPr>
      <w:r>
        <w:t>One of the things that the MTR team was asked to consider was whether VAPJP should consider engaging more with the Department of Corrective Services (DKBS). For many years support to the Department has been provided by Government of New Zealand but this is now winding down and transitioning to a twinning arrangement. The Director of Corrections is reported to have highlighted the need for VAPJP to engage more with this Department. As mentioned below, the Community Access to Justice team (CA2J) team has engaged with DKBS on a well- regarded program for parolees, some of whom have become influencers in their own communities (and consider that the program could have a preventative function, in particular with youth). With MNCC and DKBS having developed a draft MOU to formalise a system for community-based reintegration programming, and parole management, there is an obvious fit with the other work undertaken by the CA2J team at the community level. The MTR</w:t>
      </w:r>
      <w:r>
        <w:rPr>
          <w:spacing w:val="-4"/>
        </w:rPr>
        <w:t xml:space="preserve"> </w:t>
      </w:r>
      <w:r>
        <w:t>team</w:t>
      </w:r>
      <w:r>
        <w:rPr>
          <w:spacing w:val="-4"/>
        </w:rPr>
        <w:t xml:space="preserve"> </w:t>
      </w:r>
      <w:r>
        <w:t>arranged</w:t>
      </w:r>
      <w:r>
        <w:rPr>
          <w:spacing w:val="-4"/>
        </w:rPr>
        <w:t xml:space="preserve"> </w:t>
      </w:r>
      <w:r>
        <w:t>meetings</w:t>
      </w:r>
      <w:r>
        <w:rPr>
          <w:spacing w:val="-3"/>
        </w:rPr>
        <w:t xml:space="preserve"> </w:t>
      </w:r>
      <w:r>
        <w:t>on</w:t>
      </w:r>
      <w:r>
        <w:rPr>
          <w:spacing w:val="-4"/>
        </w:rPr>
        <w:t xml:space="preserve"> </w:t>
      </w:r>
      <w:r>
        <w:t>three</w:t>
      </w:r>
      <w:r>
        <w:rPr>
          <w:spacing w:val="-4"/>
        </w:rPr>
        <w:t xml:space="preserve"> </w:t>
      </w:r>
      <w:r>
        <w:t>occasions</w:t>
      </w:r>
      <w:r>
        <w:rPr>
          <w:spacing w:val="-3"/>
        </w:rPr>
        <w:t xml:space="preserve"> </w:t>
      </w:r>
      <w:r>
        <w:t>with</w:t>
      </w:r>
      <w:r>
        <w:rPr>
          <w:spacing w:val="-2"/>
        </w:rPr>
        <w:t xml:space="preserve"> </w:t>
      </w:r>
      <w:r>
        <w:t>the</w:t>
      </w:r>
      <w:r>
        <w:rPr>
          <w:spacing w:val="-4"/>
        </w:rPr>
        <w:t xml:space="preserve"> </w:t>
      </w:r>
      <w:r>
        <w:t>Director,</w:t>
      </w:r>
      <w:r>
        <w:rPr>
          <w:spacing w:val="-4"/>
        </w:rPr>
        <w:t xml:space="preserve"> </w:t>
      </w:r>
      <w:r>
        <w:t>Department</w:t>
      </w:r>
      <w:r>
        <w:rPr>
          <w:spacing w:val="-2"/>
        </w:rPr>
        <w:t xml:space="preserve"> </w:t>
      </w:r>
      <w:r>
        <w:t>of</w:t>
      </w:r>
      <w:r>
        <w:rPr>
          <w:spacing w:val="-2"/>
        </w:rPr>
        <w:t xml:space="preserve"> </w:t>
      </w:r>
      <w:r>
        <w:t>Corrective</w:t>
      </w:r>
      <w:r>
        <w:rPr>
          <w:spacing w:val="-2"/>
        </w:rPr>
        <w:t xml:space="preserve"> </w:t>
      </w:r>
      <w:r>
        <w:t>Services</w:t>
      </w:r>
      <w:r>
        <w:rPr>
          <w:spacing w:val="-3"/>
        </w:rPr>
        <w:t xml:space="preserve"> </w:t>
      </w:r>
      <w:r>
        <w:t>(DKBS),</w:t>
      </w:r>
      <w:r>
        <w:rPr>
          <w:spacing w:val="-4"/>
        </w:rPr>
        <w:t xml:space="preserve"> </w:t>
      </w:r>
      <w:r>
        <w:t>but he was not available to meet with us. This may be something that can be followed up in the Design for a new</w:t>
      </w:r>
      <w:r>
        <w:rPr>
          <w:spacing w:val="40"/>
        </w:rPr>
        <w:t xml:space="preserve"> </w:t>
      </w:r>
      <w:r>
        <w:t>phase of the program.</w:t>
      </w:r>
    </w:p>
    <w:p w14:paraId="1403A4F1" w14:textId="77777777" w:rsidR="009C36E3" w:rsidRDefault="000E7207">
      <w:pPr>
        <w:pStyle w:val="Heading7"/>
      </w:pPr>
      <w:r>
        <w:t>Challenges</w:t>
      </w:r>
      <w:r>
        <w:rPr>
          <w:spacing w:val="-10"/>
        </w:rPr>
        <w:t xml:space="preserve"> </w:t>
      </w:r>
      <w:r>
        <w:t>in</w:t>
      </w:r>
      <w:r>
        <w:rPr>
          <w:spacing w:val="-9"/>
        </w:rPr>
        <w:t xml:space="preserve"> </w:t>
      </w:r>
      <w:r>
        <w:t>achieving</w:t>
      </w:r>
      <w:r>
        <w:rPr>
          <w:spacing w:val="-9"/>
        </w:rPr>
        <w:t xml:space="preserve"> </w:t>
      </w:r>
      <w:r>
        <w:t>and</w:t>
      </w:r>
      <w:r>
        <w:rPr>
          <w:spacing w:val="-10"/>
        </w:rPr>
        <w:t xml:space="preserve"> </w:t>
      </w:r>
      <w:r>
        <w:t>demonstrating</w:t>
      </w:r>
      <w:r>
        <w:rPr>
          <w:spacing w:val="-9"/>
        </w:rPr>
        <w:t xml:space="preserve"> </w:t>
      </w:r>
      <w:r>
        <w:rPr>
          <w:spacing w:val="-2"/>
        </w:rPr>
        <w:t>outcomes</w:t>
      </w:r>
    </w:p>
    <w:p w14:paraId="6ADB6FE4" w14:textId="77777777" w:rsidR="009C36E3" w:rsidRDefault="000E7207">
      <w:pPr>
        <w:pStyle w:val="BodyText"/>
        <w:spacing w:before="121"/>
        <w:ind w:right="157"/>
      </w:pPr>
      <w:r>
        <w:t>VAPJP and the GoV have together experienced an extraordinary range of challenges since the commencement of this Phase of the program, including the COVID19 crisis, increased frequency and severity of natural disasters (including TCs Kevin, Judy and Lola in 2023), a prolonged period of political instability, lack of leadership certainty in</w:t>
      </w:r>
      <w:r>
        <w:rPr>
          <w:spacing w:val="-3"/>
        </w:rPr>
        <w:t xml:space="preserve"> </w:t>
      </w:r>
      <w:r>
        <w:t>MJCS,</w:t>
      </w:r>
      <w:r>
        <w:rPr>
          <w:spacing w:val="-1"/>
        </w:rPr>
        <w:t xml:space="preserve"> </w:t>
      </w:r>
      <w:r>
        <w:t>unreliable</w:t>
      </w:r>
      <w:r>
        <w:rPr>
          <w:spacing w:val="-3"/>
        </w:rPr>
        <w:t xml:space="preserve"> </w:t>
      </w:r>
      <w:r>
        <w:t>air</w:t>
      </w:r>
      <w:r>
        <w:rPr>
          <w:spacing w:val="-2"/>
        </w:rPr>
        <w:t xml:space="preserve"> </w:t>
      </w:r>
      <w:r>
        <w:t>transport;</w:t>
      </w:r>
      <w:r>
        <w:rPr>
          <w:spacing w:val="-3"/>
        </w:rPr>
        <w:t xml:space="preserve"> </w:t>
      </w:r>
      <w:r>
        <w:t>and</w:t>
      </w:r>
      <w:r>
        <w:rPr>
          <w:spacing w:val="-3"/>
        </w:rPr>
        <w:t xml:space="preserve"> </w:t>
      </w:r>
      <w:r>
        <w:t>a</w:t>
      </w:r>
      <w:r>
        <w:rPr>
          <w:spacing w:val="-3"/>
        </w:rPr>
        <w:t xml:space="preserve"> </w:t>
      </w:r>
      <w:r>
        <w:t>GoV</w:t>
      </w:r>
      <w:r>
        <w:rPr>
          <w:spacing w:val="-4"/>
        </w:rPr>
        <w:t xml:space="preserve"> </w:t>
      </w:r>
      <w:r>
        <w:t>wide</w:t>
      </w:r>
      <w:r>
        <w:rPr>
          <w:spacing w:val="-3"/>
        </w:rPr>
        <w:t xml:space="preserve"> </w:t>
      </w:r>
      <w:r>
        <w:t>cyber-attack;</w:t>
      </w:r>
      <w:r>
        <w:rPr>
          <w:spacing w:val="-3"/>
        </w:rPr>
        <w:t xml:space="preserve"> </w:t>
      </w:r>
      <w:r>
        <w:t>as</w:t>
      </w:r>
      <w:r>
        <w:rPr>
          <w:spacing w:val="-2"/>
        </w:rPr>
        <w:t xml:space="preserve"> </w:t>
      </w:r>
      <w:r>
        <w:t>well</w:t>
      </w:r>
      <w:r>
        <w:rPr>
          <w:spacing w:val="-2"/>
        </w:rPr>
        <w:t xml:space="preserve"> </w:t>
      </w:r>
      <w:r>
        <w:t>as</w:t>
      </w:r>
      <w:r>
        <w:rPr>
          <w:spacing w:val="-2"/>
        </w:rPr>
        <w:t xml:space="preserve"> </w:t>
      </w:r>
      <w:r>
        <w:t>being affected</w:t>
      </w:r>
      <w:r>
        <w:rPr>
          <w:spacing w:val="-3"/>
        </w:rPr>
        <w:t xml:space="preserve"> </w:t>
      </w:r>
      <w:r>
        <w:t>by</w:t>
      </w:r>
      <w:r>
        <w:rPr>
          <w:spacing w:val="-2"/>
        </w:rPr>
        <w:t xml:space="preserve"> </w:t>
      </w:r>
      <w:r>
        <w:t>the</w:t>
      </w:r>
      <w:r>
        <w:rPr>
          <w:spacing w:val="-3"/>
        </w:rPr>
        <w:t xml:space="preserve"> </w:t>
      </w:r>
      <w:r>
        <w:t>war in</w:t>
      </w:r>
      <w:r>
        <w:rPr>
          <w:spacing w:val="-1"/>
        </w:rPr>
        <w:t xml:space="preserve"> </w:t>
      </w:r>
      <w:r>
        <w:t>Ukraine</w:t>
      </w:r>
      <w:r>
        <w:rPr>
          <w:spacing w:val="-3"/>
        </w:rPr>
        <w:t xml:space="preserve"> </w:t>
      </w:r>
      <w:r>
        <w:t>and the large number of seasonal workers out of the country. The flow on impacts have included increased costs of fuel, commodities, and building materials; shortage of labour for infrastructure; loss of data; delays in deploying advisers and associated movement; difficulty engaging with counterparts; and changing priorities. These occurrences compound existing structural challenges including the archipelagic nature of Vanuatu, that over 70% of the population live in rural and remote areas, and the absence of key personnel in critical roles in both VPF and MJCS, affecting the ability to focus on priority areas.</w:t>
      </w:r>
    </w:p>
    <w:p w14:paraId="7F605C76" w14:textId="7C825266" w:rsidR="009C36E3" w:rsidRDefault="000E7207">
      <w:pPr>
        <w:pStyle w:val="BodyText"/>
        <w:spacing w:before="120"/>
        <w:ind w:left="770" w:right="167"/>
      </w:pPr>
      <w:r>
        <w:t>Unsurprisingly the program has needed to be flexible and responsive. The program has pivoted creditably to natural</w:t>
      </w:r>
      <w:r>
        <w:rPr>
          <w:spacing w:val="-4"/>
        </w:rPr>
        <w:t xml:space="preserve"> </w:t>
      </w:r>
      <w:r>
        <w:t>disasters,</w:t>
      </w:r>
      <w:r>
        <w:rPr>
          <w:spacing w:val="-3"/>
        </w:rPr>
        <w:t xml:space="preserve"> </w:t>
      </w:r>
      <w:r>
        <w:t>the</w:t>
      </w:r>
      <w:r>
        <w:rPr>
          <w:spacing w:val="-3"/>
        </w:rPr>
        <w:t xml:space="preserve"> </w:t>
      </w:r>
      <w:r>
        <w:t>barriers</w:t>
      </w:r>
      <w:r>
        <w:rPr>
          <w:spacing w:val="-2"/>
        </w:rPr>
        <w:t xml:space="preserve"> </w:t>
      </w:r>
      <w:r>
        <w:t>imposed</w:t>
      </w:r>
      <w:r>
        <w:rPr>
          <w:spacing w:val="-3"/>
        </w:rPr>
        <w:t xml:space="preserve"> </w:t>
      </w:r>
      <w:r>
        <w:t>by</w:t>
      </w:r>
      <w:r>
        <w:rPr>
          <w:spacing w:val="-2"/>
        </w:rPr>
        <w:t xml:space="preserve"> </w:t>
      </w:r>
      <w:r>
        <w:t>COVID-19</w:t>
      </w:r>
      <w:r>
        <w:rPr>
          <w:spacing w:val="-1"/>
        </w:rPr>
        <w:t xml:space="preserve"> </w:t>
      </w:r>
      <w:r>
        <w:t>and</w:t>
      </w:r>
      <w:r>
        <w:rPr>
          <w:spacing w:val="-3"/>
        </w:rPr>
        <w:t xml:space="preserve"> </w:t>
      </w:r>
      <w:r>
        <w:t>a</w:t>
      </w:r>
      <w:r>
        <w:rPr>
          <w:spacing w:val="-3"/>
        </w:rPr>
        <w:t xml:space="preserve"> </w:t>
      </w:r>
      <w:r>
        <w:t>range</w:t>
      </w:r>
      <w:r>
        <w:rPr>
          <w:spacing w:val="-3"/>
        </w:rPr>
        <w:t xml:space="preserve"> </w:t>
      </w:r>
      <w:r>
        <w:t>of</w:t>
      </w:r>
      <w:r>
        <w:rPr>
          <w:spacing w:val="-1"/>
        </w:rPr>
        <w:t xml:space="preserve"> </w:t>
      </w:r>
      <w:r>
        <w:t>other</w:t>
      </w:r>
      <w:r>
        <w:rPr>
          <w:spacing w:val="-2"/>
        </w:rPr>
        <w:t xml:space="preserve"> </w:t>
      </w:r>
      <w:r>
        <w:t>challenges.</w:t>
      </w:r>
      <w:r>
        <w:rPr>
          <w:spacing w:val="-3"/>
        </w:rPr>
        <w:t xml:space="preserve"> </w:t>
      </w:r>
      <w:r>
        <w:t>AFP</w:t>
      </w:r>
      <w:r>
        <w:rPr>
          <w:spacing w:val="-4"/>
        </w:rPr>
        <w:t xml:space="preserve"> </w:t>
      </w:r>
      <w:r>
        <w:t>programs in</w:t>
      </w:r>
      <w:r>
        <w:rPr>
          <w:spacing w:val="-3"/>
        </w:rPr>
        <w:t xml:space="preserve"> </w:t>
      </w:r>
      <w:r>
        <w:t>a</w:t>
      </w:r>
      <w:r>
        <w:rPr>
          <w:spacing w:val="-1"/>
        </w:rPr>
        <w:t xml:space="preserve"> </w:t>
      </w:r>
      <w:r>
        <w:t>range</w:t>
      </w:r>
      <w:r>
        <w:rPr>
          <w:spacing w:val="-3"/>
        </w:rPr>
        <w:t xml:space="preserve"> </w:t>
      </w:r>
      <w:r>
        <w:t xml:space="preserve">of locations have historically expressed the need for greater flexibility than that found within what is possible in an ODA context, and in VAPJP there is some frustration with the slowness of procurement systems and the lack of </w:t>
      </w:r>
      <w:r>
        <w:rPr>
          <w:spacing w:val="-2"/>
        </w:rPr>
        <w:t>autonomy.</w:t>
      </w:r>
    </w:p>
    <w:p w14:paraId="1EDAE0AE" w14:textId="0A637BAC" w:rsidR="009C36E3" w:rsidRDefault="00653ACF" w:rsidP="00653ACF">
      <w:pPr>
        <w:pStyle w:val="BodyText"/>
        <w:spacing w:before="216"/>
        <w:rPr>
          <w:sz w:val="18"/>
        </w:rPr>
      </w:pPr>
      <w:r>
        <w:rPr>
          <w:noProof/>
        </w:rPr>
        <mc:AlternateContent>
          <mc:Choice Requires="wps">
            <w:drawing>
              <wp:anchor distT="0" distB="0" distL="0" distR="0" simplePos="0" relativeHeight="251670528" behindDoc="1" locked="0" layoutInCell="1" allowOverlap="1" wp14:anchorId="04506127" wp14:editId="62028CF7">
                <wp:simplePos x="0" y="0"/>
                <wp:positionH relativeFrom="page">
                  <wp:posOffset>540385</wp:posOffset>
                </wp:positionH>
                <wp:positionV relativeFrom="paragraph">
                  <wp:posOffset>220560</wp:posOffset>
                </wp:positionV>
                <wp:extent cx="1828800" cy="6350"/>
                <wp:effectExtent l="0" t="0" r="0" b="0"/>
                <wp:wrapTopAndBottom/>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B1EBDA" id="Graphic 23" o:spid="_x0000_s1026" alt="&quot;&quot;" style="position:absolute;margin-left:42.55pt;margin-top:17.35pt;width:2in;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" path="m1828800,l,,,6108r1828800,l1828800,xe" fillcolor="black" stroked="f">
                <v:path arrowok="t"/>
                <w10:wrap type="topAndBottom" anchorx="page"/>
              </v:shape>
            </w:pict>
          </mc:Fallback>
        </mc:AlternateContent>
      </w:r>
      <w:bookmarkStart w:id="29" w:name="_bookmark19"/>
      <w:bookmarkEnd w:id="29"/>
      <w:r w:rsidR="000E7207">
        <w:rPr>
          <w:position w:val="6"/>
          <w:sz w:val="13"/>
        </w:rPr>
        <w:t>9</w:t>
      </w:r>
      <w:r w:rsidR="000E7207">
        <w:rPr>
          <w:spacing w:val="15"/>
          <w:position w:val="6"/>
          <w:sz w:val="13"/>
        </w:rPr>
        <w:t xml:space="preserve"> </w:t>
      </w:r>
      <w:r w:rsidR="000E7207">
        <w:rPr>
          <w:sz w:val="18"/>
        </w:rPr>
        <w:t>VAPJP</w:t>
      </w:r>
      <w:r w:rsidR="000E7207">
        <w:rPr>
          <w:spacing w:val="-2"/>
          <w:sz w:val="18"/>
        </w:rPr>
        <w:t xml:space="preserve"> </w:t>
      </w:r>
      <w:r w:rsidR="000E7207">
        <w:rPr>
          <w:sz w:val="18"/>
        </w:rPr>
        <w:t>has,</w:t>
      </w:r>
      <w:r w:rsidR="000E7207">
        <w:rPr>
          <w:spacing w:val="-2"/>
          <w:sz w:val="18"/>
        </w:rPr>
        <w:t xml:space="preserve"> </w:t>
      </w:r>
      <w:r w:rsidR="000E7207">
        <w:rPr>
          <w:sz w:val="18"/>
        </w:rPr>
        <w:t>however,</w:t>
      </w:r>
      <w:r w:rsidR="000E7207">
        <w:rPr>
          <w:spacing w:val="-4"/>
          <w:sz w:val="18"/>
        </w:rPr>
        <w:t xml:space="preserve"> </w:t>
      </w:r>
      <w:r w:rsidR="000E7207">
        <w:rPr>
          <w:sz w:val="18"/>
        </w:rPr>
        <w:t>provided</w:t>
      </w:r>
      <w:r w:rsidR="000E7207">
        <w:rPr>
          <w:spacing w:val="-1"/>
          <w:sz w:val="18"/>
        </w:rPr>
        <w:t xml:space="preserve"> </w:t>
      </w:r>
      <w:r w:rsidR="000E7207">
        <w:rPr>
          <w:sz w:val="18"/>
        </w:rPr>
        <w:t>a</w:t>
      </w:r>
      <w:r w:rsidR="000E7207">
        <w:rPr>
          <w:spacing w:val="-1"/>
          <w:sz w:val="18"/>
        </w:rPr>
        <w:t xml:space="preserve"> </w:t>
      </w:r>
      <w:r w:rsidR="000E7207">
        <w:rPr>
          <w:sz w:val="18"/>
        </w:rPr>
        <w:t>well-regarded</w:t>
      </w:r>
      <w:r w:rsidR="000E7207">
        <w:rPr>
          <w:spacing w:val="-4"/>
          <w:sz w:val="18"/>
        </w:rPr>
        <w:t xml:space="preserve"> </w:t>
      </w:r>
      <w:r w:rsidR="000E7207">
        <w:rPr>
          <w:sz w:val="18"/>
        </w:rPr>
        <w:t>adviser</w:t>
      </w:r>
      <w:r w:rsidR="000E7207">
        <w:rPr>
          <w:spacing w:val="-2"/>
          <w:sz w:val="18"/>
        </w:rPr>
        <w:t xml:space="preserve"> </w:t>
      </w:r>
      <w:r w:rsidR="000E7207">
        <w:rPr>
          <w:sz w:val="18"/>
        </w:rPr>
        <w:t>to</w:t>
      </w:r>
      <w:r w:rsidR="000E7207">
        <w:rPr>
          <w:spacing w:val="-4"/>
          <w:sz w:val="18"/>
        </w:rPr>
        <w:t xml:space="preserve"> </w:t>
      </w:r>
      <w:r w:rsidR="000E7207">
        <w:rPr>
          <w:sz w:val="18"/>
        </w:rPr>
        <w:t>the</w:t>
      </w:r>
      <w:r w:rsidR="000E7207">
        <w:rPr>
          <w:spacing w:val="-1"/>
          <w:sz w:val="18"/>
        </w:rPr>
        <w:t xml:space="preserve"> </w:t>
      </w:r>
      <w:r w:rsidR="000E7207">
        <w:rPr>
          <w:spacing w:val="-4"/>
          <w:sz w:val="18"/>
        </w:rPr>
        <w:t>PSO.</w:t>
      </w:r>
    </w:p>
    <w:p w14:paraId="2EA693E6" w14:textId="00AF699D" w:rsidR="009C36E3" w:rsidRDefault="000E7207" w:rsidP="007E5EDB">
      <w:pPr>
        <w:spacing w:before="130" w:line="244" w:lineRule="auto"/>
        <w:ind w:left="772" w:hanging="1"/>
        <w:rPr>
          <w:sz w:val="18"/>
        </w:rPr>
        <w:sectPr w:rsidR="009C36E3">
          <w:pgSz w:w="11910" w:h="16850"/>
          <w:pgMar w:top="1040" w:right="740" w:bottom="740" w:left="80" w:header="552" w:footer="559" w:gutter="0"/>
          <w:cols w:space="720"/>
        </w:sectPr>
      </w:pPr>
      <w:bookmarkStart w:id="30" w:name="_bookmark20"/>
      <w:bookmarkEnd w:id="30"/>
      <w:r>
        <w:rPr>
          <w:position w:val="6"/>
          <w:sz w:val="13"/>
        </w:rPr>
        <w:t>10</w:t>
      </w:r>
      <w:r>
        <w:rPr>
          <w:spacing w:val="16"/>
          <w:position w:val="6"/>
          <w:sz w:val="13"/>
        </w:rPr>
        <w:t xml:space="preserve"> </w:t>
      </w:r>
      <w:r>
        <w:rPr>
          <w:sz w:val="18"/>
        </w:rPr>
        <w:t>One</w:t>
      </w:r>
      <w:r>
        <w:rPr>
          <w:spacing w:val="-1"/>
          <w:sz w:val="18"/>
        </w:rPr>
        <w:t xml:space="preserve"> </w:t>
      </w:r>
      <w:r>
        <w:rPr>
          <w:sz w:val="18"/>
        </w:rPr>
        <w:t>senior</w:t>
      </w:r>
      <w:r>
        <w:rPr>
          <w:spacing w:val="-2"/>
          <w:sz w:val="18"/>
        </w:rPr>
        <w:t xml:space="preserve"> </w:t>
      </w:r>
      <w:r>
        <w:rPr>
          <w:sz w:val="18"/>
        </w:rPr>
        <w:t>agency</w:t>
      </w:r>
      <w:r>
        <w:rPr>
          <w:spacing w:val="-3"/>
          <w:sz w:val="18"/>
        </w:rPr>
        <w:t xml:space="preserve"> </w:t>
      </w:r>
      <w:r>
        <w:rPr>
          <w:sz w:val="18"/>
        </w:rPr>
        <w:t>official</w:t>
      </w:r>
      <w:r>
        <w:rPr>
          <w:spacing w:val="-1"/>
          <w:sz w:val="18"/>
        </w:rPr>
        <w:t xml:space="preserve"> </w:t>
      </w:r>
      <w:r>
        <w:rPr>
          <w:sz w:val="18"/>
        </w:rPr>
        <w:t>noted</w:t>
      </w:r>
      <w:r>
        <w:rPr>
          <w:spacing w:val="-1"/>
          <w:sz w:val="18"/>
        </w:rPr>
        <w:t xml:space="preserve"> </w:t>
      </w:r>
      <w:r>
        <w:rPr>
          <w:sz w:val="18"/>
        </w:rPr>
        <w:t>that</w:t>
      </w:r>
      <w:r>
        <w:rPr>
          <w:spacing w:val="-2"/>
          <w:sz w:val="18"/>
        </w:rPr>
        <w:t xml:space="preserve"> </w:t>
      </w:r>
      <w:r>
        <w:rPr>
          <w:sz w:val="18"/>
        </w:rPr>
        <w:t>each</w:t>
      </w:r>
      <w:r>
        <w:rPr>
          <w:spacing w:val="-4"/>
          <w:sz w:val="18"/>
        </w:rPr>
        <w:t xml:space="preserve"> </w:t>
      </w:r>
      <w:r>
        <w:rPr>
          <w:sz w:val="18"/>
        </w:rPr>
        <w:t>year</w:t>
      </w:r>
      <w:r>
        <w:rPr>
          <w:spacing w:val="-4"/>
          <w:sz w:val="18"/>
        </w:rPr>
        <w:t xml:space="preserve"> </w:t>
      </w:r>
      <w:r>
        <w:rPr>
          <w:sz w:val="18"/>
        </w:rPr>
        <w:t>agencies</w:t>
      </w:r>
      <w:r>
        <w:rPr>
          <w:spacing w:val="-3"/>
          <w:sz w:val="18"/>
        </w:rPr>
        <w:t xml:space="preserve"> </w:t>
      </w:r>
      <w:r>
        <w:rPr>
          <w:sz w:val="18"/>
        </w:rPr>
        <w:t>only</w:t>
      </w:r>
      <w:r>
        <w:rPr>
          <w:spacing w:val="-1"/>
          <w:sz w:val="18"/>
        </w:rPr>
        <w:t xml:space="preserve"> </w:t>
      </w:r>
      <w:r>
        <w:rPr>
          <w:sz w:val="18"/>
        </w:rPr>
        <w:t>receive</w:t>
      </w:r>
      <w:r>
        <w:rPr>
          <w:spacing w:val="-1"/>
          <w:sz w:val="18"/>
        </w:rPr>
        <w:t xml:space="preserve"> </w:t>
      </w:r>
      <w:r>
        <w:rPr>
          <w:sz w:val="18"/>
        </w:rPr>
        <w:t>a</w:t>
      </w:r>
      <w:r>
        <w:rPr>
          <w:spacing w:val="-4"/>
          <w:sz w:val="18"/>
        </w:rPr>
        <w:t xml:space="preserve"> </w:t>
      </w:r>
      <w:r>
        <w:rPr>
          <w:sz w:val="18"/>
        </w:rPr>
        <w:t>very</w:t>
      </w:r>
      <w:r>
        <w:rPr>
          <w:spacing w:val="-1"/>
          <w:sz w:val="18"/>
        </w:rPr>
        <w:t xml:space="preserve"> </w:t>
      </w:r>
      <w:r>
        <w:rPr>
          <w:sz w:val="18"/>
        </w:rPr>
        <w:t>small</w:t>
      </w:r>
      <w:r>
        <w:rPr>
          <w:spacing w:val="-1"/>
          <w:sz w:val="18"/>
        </w:rPr>
        <w:t xml:space="preserve"> </w:t>
      </w:r>
      <w:r>
        <w:rPr>
          <w:sz w:val="18"/>
        </w:rPr>
        <w:t>amount</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GoV</w:t>
      </w:r>
      <w:r>
        <w:rPr>
          <w:spacing w:val="-5"/>
          <w:sz w:val="18"/>
        </w:rPr>
        <w:t xml:space="preserve"> </w:t>
      </w:r>
      <w:r>
        <w:rPr>
          <w:sz w:val="18"/>
        </w:rPr>
        <w:t>national</w:t>
      </w:r>
      <w:r>
        <w:rPr>
          <w:spacing w:val="-1"/>
          <w:sz w:val="18"/>
        </w:rPr>
        <w:t xml:space="preserve"> </w:t>
      </w:r>
      <w:r>
        <w:rPr>
          <w:sz w:val="18"/>
        </w:rPr>
        <w:t>policy</w:t>
      </w:r>
      <w:r>
        <w:rPr>
          <w:spacing w:val="-3"/>
          <w:sz w:val="18"/>
        </w:rPr>
        <w:t xml:space="preserve"> </w:t>
      </w:r>
      <w:r>
        <w:rPr>
          <w:sz w:val="18"/>
        </w:rPr>
        <w:t>budget, and that it may be more effective to break agencies into two groups and funding be allocated in alternating years.</w:t>
      </w:r>
    </w:p>
    <w:p w14:paraId="4784AC1B" w14:textId="77777777" w:rsidR="009C36E3" w:rsidRDefault="000E7207">
      <w:pPr>
        <w:pStyle w:val="BodyText"/>
        <w:spacing w:before="91"/>
        <w:ind w:right="125"/>
      </w:pPr>
      <w:r>
        <w:t>Given that there is less than a year for the program to run, consideration will need to be given to the utility of investing heavily in ToC development at this stage. However, the possibility of undertaking a simplified development of a ToC which could both improve effectiveness of the current program and inform the new design process could be considered. DFAT, AFP and VAPJP all acknowledge that the design of the program did not include a ‘theory of change (ToC)’, or a ‘pathway to change’, as expected in DFAT development programs at least as</w:t>
      </w:r>
      <w:r>
        <w:rPr>
          <w:spacing w:val="-2"/>
        </w:rPr>
        <w:t xml:space="preserve"> </w:t>
      </w:r>
      <w:r>
        <w:t>far</w:t>
      </w:r>
      <w:r>
        <w:rPr>
          <w:spacing w:val="-2"/>
        </w:rPr>
        <w:t xml:space="preserve"> </w:t>
      </w:r>
      <w:r>
        <w:t>back</w:t>
      </w:r>
      <w:r>
        <w:rPr>
          <w:spacing w:val="-2"/>
        </w:rPr>
        <w:t xml:space="preserve"> </w:t>
      </w:r>
      <w:r>
        <w:t>as</w:t>
      </w:r>
      <w:r>
        <w:rPr>
          <w:spacing w:val="-2"/>
        </w:rPr>
        <w:t xml:space="preserve"> </w:t>
      </w:r>
      <w:r>
        <w:t>2017</w:t>
      </w:r>
      <w:r>
        <w:rPr>
          <w:spacing w:val="-1"/>
        </w:rPr>
        <w:t xml:space="preserve"> </w:t>
      </w:r>
      <w:r>
        <w:t>(DFAT,</w:t>
      </w:r>
      <w:r>
        <w:rPr>
          <w:spacing w:val="-1"/>
        </w:rPr>
        <w:t xml:space="preserve"> </w:t>
      </w:r>
      <w:r>
        <w:t>2017;</w:t>
      </w:r>
      <w:r>
        <w:rPr>
          <w:spacing w:val="-3"/>
        </w:rPr>
        <w:t xml:space="preserve"> </w:t>
      </w:r>
      <w:r>
        <w:t>DFAT,</w:t>
      </w:r>
      <w:r>
        <w:rPr>
          <w:spacing w:val="-3"/>
        </w:rPr>
        <w:t xml:space="preserve"> </w:t>
      </w:r>
      <w:r>
        <w:t>2023c),</w:t>
      </w:r>
      <w:r>
        <w:rPr>
          <w:spacing w:val="-3"/>
        </w:rPr>
        <w:t xml:space="preserve"> </w:t>
      </w:r>
      <w:r>
        <w:t>making</w:t>
      </w:r>
      <w:r>
        <w:rPr>
          <w:spacing w:val="-3"/>
        </w:rPr>
        <w:t xml:space="preserve"> </w:t>
      </w:r>
      <w:r>
        <w:t>it</w:t>
      </w:r>
      <w:r>
        <w:rPr>
          <w:spacing w:val="-3"/>
        </w:rPr>
        <w:t xml:space="preserve"> </w:t>
      </w:r>
      <w:r>
        <w:t>difficult</w:t>
      </w:r>
      <w:r>
        <w:rPr>
          <w:spacing w:val="-3"/>
        </w:rPr>
        <w:t xml:space="preserve"> </w:t>
      </w:r>
      <w:r>
        <w:t>to</w:t>
      </w:r>
      <w:r>
        <w:rPr>
          <w:spacing w:val="-3"/>
        </w:rPr>
        <w:t xml:space="preserve"> </w:t>
      </w:r>
      <w:r>
        <w:t>assess</w:t>
      </w:r>
      <w:r>
        <w:rPr>
          <w:spacing w:val="-2"/>
        </w:rPr>
        <w:t xml:space="preserve"> </w:t>
      </w:r>
      <w:r>
        <w:t>or</w:t>
      </w:r>
      <w:r>
        <w:rPr>
          <w:spacing w:val="-2"/>
        </w:rPr>
        <w:t xml:space="preserve"> </w:t>
      </w:r>
      <w:r>
        <w:t>clearly</w:t>
      </w:r>
      <w:r>
        <w:rPr>
          <w:spacing w:val="-2"/>
        </w:rPr>
        <w:t xml:space="preserve"> </w:t>
      </w:r>
      <w:r>
        <w:t>determine</w:t>
      </w:r>
      <w:r>
        <w:rPr>
          <w:spacing w:val="-1"/>
        </w:rPr>
        <w:t xml:space="preserve"> </w:t>
      </w:r>
      <w:r>
        <w:t>progress</w:t>
      </w:r>
      <w:r>
        <w:rPr>
          <w:spacing w:val="-2"/>
        </w:rPr>
        <w:t xml:space="preserve"> </w:t>
      </w:r>
      <w:r>
        <w:t>towards EOPOs. The indicators have not been designed to measure the program’s progress to achieving IOs or EOPOs, nor have they been designed with benchmark, baselines, or targets.</w:t>
      </w:r>
    </w:p>
    <w:p w14:paraId="47CB6193" w14:textId="77777777" w:rsidR="009C36E3" w:rsidRDefault="000E7207">
      <w:pPr>
        <w:pStyle w:val="BodyText"/>
        <w:spacing w:before="121"/>
        <w:ind w:right="137"/>
      </w:pPr>
      <w:r>
        <w:t>The loss of data from the cyber-attack has compounded the difficulty of VAPJP</w:t>
      </w:r>
      <w:r>
        <w:rPr>
          <w:spacing w:val="-1"/>
        </w:rPr>
        <w:t xml:space="preserve"> </w:t>
      </w:r>
      <w:r>
        <w:rPr>
          <w:b/>
        </w:rPr>
        <w:t xml:space="preserve">demonstrating outcomes </w:t>
      </w:r>
      <w:r>
        <w:t>within a very broad program and a largely anecdotal approach to quality. While the Program planned to remedy this situation in 2022 this has been delayed (VAPJP, 2023a). Consequently, the majority of reporting is quantitative, with little substantiated outcome data. Training and community awareness activities in particular suffer from being limited to the presentation of output data, together with a limited amount of pre-post data. Intended or achieved changes in attitude or behaviour are largely anecdotal. Plans for a holistic assessment of training impact in 2024, would appear to be too late to assist in demonstrating outcomes and contributing to adaptive learning for the program</w:t>
      </w:r>
      <w:r>
        <w:rPr>
          <w:spacing w:val="-3"/>
        </w:rPr>
        <w:t xml:space="preserve"> </w:t>
      </w:r>
      <w:r>
        <w:t>(VAPJP,</w:t>
      </w:r>
      <w:r>
        <w:rPr>
          <w:spacing w:val="-1"/>
        </w:rPr>
        <w:t xml:space="preserve"> </w:t>
      </w:r>
      <w:r>
        <w:t>2023c)).</w:t>
      </w:r>
      <w:r>
        <w:rPr>
          <w:spacing w:val="-3"/>
        </w:rPr>
        <w:t xml:space="preserve"> </w:t>
      </w:r>
      <w:r>
        <w:t>The</w:t>
      </w:r>
      <w:r>
        <w:rPr>
          <w:spacing w:val="-3"/>
        </w:rPr>
        <w:t xml:space="preserve"> </w:t>
      </w:r>
      <w:r>
        <w:t>stories</w:t>
      </w:r>
      <w:r>
        <w:rPr>
          <w:spacing w:val="-2"/>
        </w:rPr>
        <w:t xml:space="preserve"> </w:t>
      </w:r>
      <w:r>
        <w:t>of</w:t>
      </w:r>
      <w:r>
        <w:rPr>
          <w:spacing w:val="-3"/>
        </w:rPr>
        <w:t xml:space="preserve"> </w:t>
      </w:r>
      <w:r>
        <w:t>change</w:t>
      </w:r>
      <w:r>
        <w:rPr>
          <w:spacing w:val="-1"/>
        </w:rPr>
        <w:t xml:space="preserve"> </w:t>
      </w:r>
      <w:r>
        <w:t>presented</w:t>
      </w:r>
      <w:r>
        <w:rPr>
          <w:spacing w:val="-3"/>
        </w:rPr>
        <w:t xml:space="preserve"> </w:t>
      </w:r>
      <w:r>
        <w:t>in</w:t>
      </w:r>
      <w:r>
        <w:rPr>
          <w:spacing w:val="-3"/>
        </w:rPr>
        <w:t xml:space="preserve"> </w:t>
      </w:r>
      <w:r>
        <w:t>the</w:t>
      </w:r>
      <w:r>
        <w:rPr>
          <w:spacing w:val="-3"/>
        </w:rPr>
        <w:t xml:space="preserve"> </w:t>
      </w:r>
      <w:r>
        <w:t>2023</w:t>
      </w:r>
      <w:r>
        <w:rPr>
          <w:spacing w:val="-1"/>
        </w:rPr>
        <w:t xml:space="preserve"> </w:t>
      </w:r>
      <w:r>
        <w:t>SMPR</w:t>
      </w:r>
      <w:r>
        <w:rPr>
          <w:spacing w:val="-3"/>
        </w:rPr>
        <w:t xml:space="preserve"> </w:t>
      </w:r>
      <w:r>
        <w:t>related</w:t>
      </w:r>
      <w:r>
        <w:rPr>
          <w:spacing w:val="-3"/>
        </w:rPr>
        <w:t xml:space="preserve"> </w:t>
      </w:r>
      <w:r>
        <w:t>to</w:t>
      </w:r>
      <w:r>
        <w:rPr>
          <w:spacing w:val="-1"/>
        </w:rPr>
        <w:t xml:space="preserve"> </w:t>
      </w:r>
      <w:r>
        <w:t>sector</w:t>
      </w:r>
      <w:r>
        <w:rPr>
          <w:spacing w:val="-2"/>
        </w:rPr>
        <w:t xml:space="preserve"> </w:t>
      </w:r>
      <w:r>
        <w:t>coordination do</w:t>
      </w:r>
      <w:r>
        <w:rPr>
          <w:spacing w:val="-3"/>
        </w:rPr>
        <w:t xml:space="preserve"> </w:t>
      </w:r>
      <w:r>
        <w:t>not appear to provide clear evidence of addressing gaps in the justice system; GoV officers working collaboratively across the sector towards common objectives; or of incidents being progressed through investigation to</w:t>
      </w:r>
      <w:r>
        <w:rPr>
          <w:spacing w:val="40"/>
        </w:rPr>
        <w:t xml:space="preserve"> </w:t>
      </w:r>
      <w:r>
        <w:t>prosecution and court outcomes.The Policing and Justice Services Study (PJSS) (Putt and Dinnen, 2023)</w:t>
      </w:r>
      <w:r>
        <w:rPr>
          <w:spacing w:val="-9"/>
        </w:rPr>
        <w:t xml:space="preserve"> </w:t>
      </w:r>
      <w:r>
        <w:t>provides an important baseline against which to measure a change in the public’s perception of key matters relating to the law and justice sector and can assist in evaluating the extent to which VAPJP EOPOs are met when it is repeated in 2024 but it is insufficient on its own.</w:t>
      </w:r>
    </w:p>
    <w:p w14:paraId="606B0F1B" w14:textId="77777777" w:rsidR="009C36E3" w:rsidRDefault="000E7207">
      <w:pPr>
        <w:pStyle w:val="BodyText"/>
        <w:spacing w:before="120"/>
        <w:ind w:right="120"/>
      </w:pPr>
      <w:r>
        <w:t>While</w:t>
      </w:r>
      <w:r>
        <w:rPr>
          <w:spacing w:val="-2"/>
        </w:rPr>
        <w:t xml:space="preserve"> </w:t>
      </w:r>
      <w:r>
        <w:t>VAPJP</w:t>
      </w:r>
      <w:r>
        <w:rPr>
          <w:spacing w:val="-5"/>
        </w:rPr>
        <w:t xml:space="preserve"> </w:t>
      </w:r>
      <w:r>
        <w:t>has provided</w:t>
      </w:r>
      <w:r>
        <w:rPr>
          <w:spacing w:val="-2"/>
        </w:rPr>
        <w:t xml:space="preserve"> </w:t>
      </w:r>
      <w:r>
        <w:t>considerable</w:t>
      </w:r>
      <w:r>
        <w:rPr>
          <w:spacing w:val="-4"/>
        </w:rPr>
        <w:t xml:space="preserve"> </w:t>
      </w:r>
      <w:r>
        <w:t>support</w:t>
      </w:r>
      <w:r>
        <w:rPr>
          <w:spacing w:val="-4"/>
        </w:rPr>
        <w:t xml:space="preserve"> </w:t>
      </w:r>
      <w:r>
        <w:t>to</w:t>
      </w:r>
      <w:r>
        <w:rPr>
          <w:spacing w:val="-2"/>
        </w:rPr>
        <w:t xml:space="preserve"> </w:t>
      </w:r>
      <w:r>
        <w:t>the</w:t>
      </w:r>
      <w:r>
        <w:rPr>
          <w:spacing w:val="-2"/>
        </w:rPr>
        <w:t xml:space="preserve"> </w:t>
      </w:r>
      <w:r>
        <w:t>back</w:t>
      </w:r>
      <w:r>
        <w:rPr>
          <w:spacing w:val="-3"/>
        </w:rPr>
        <w:t xml:space="preserve"> </w:t>
      </w:r>
      <w:r>
        <w:t>capture</w:t>
      </w:r>
      <w:r>
        <w:rPr>
          <w:spacing w:val="-2"/>
        </w:rPr>
        <w:t xml:space="preserve"> </w:t>
      </w:r>
      <w:r>
        <w:t>of</w:t>
      </w:r>
      <w:r>
        <w:rPr>
          <w:spacing w:val="-2"/>
        </w:rPr>
        <w:t xml:space="preserve"> </w:t>
      </w:r>
      <w:r>
        <w:t>lost</w:t>
      </w:r>
      <w:r>
        <w:rPr>
          <w:spacing w:val="-2"/>
        </w:rPr>
        <w:t xml:space="preserve"> </w:t>
      </w:r>
      <w:r>
        <w:t>PIMS</w:t>
      </w:r>
      <w:r>
        <w:rPr>
          <w:spacing w:val="-2"/>
        </w:rPr>
        <w:t xml:space="preserve"> </w:t>
      </w:r>
      <w:r>
        <w:t>data,</w:t>
      </w:r>
      <w:r>
        <w:rPr>
          <w:spacing w:val="-2"/>
        </w:rPr>
        <w:t xml:space="preserve"> </w:t>
      </w:r>
      <w:r>
        <w:t>it</w:t>
      </w:r>
      <w:r>
        <w:rPr>
          <w:spacing w:val="-2"/>
        </w:rPr>
        <w:t xml:space="preserve"> </w:t>
      </w:r>
      <w:r>
        <w:t>is</w:t>
      </w:r>
      <w:r>
        <w:rPr>
          <w:spacing w:val="-3"/>
        </w:rPr>
        <w:t xml:space="preserve"> </w:t>
      </w:r>
      <w:r>
        <w:t>of</w:t>
      </w:r>
      <w:r>
        <w:rPr>
          <w:spacing w:val="-2"/>
        </w:rPr>
        <w:t xml:space="preserve"> </w:t>
      </w:r>
      <w:r>
        <w:t>note</w:t>
      </w:r>
      <w:r>
        <w:rPr>
          <w:spacing w:val="-4"/>
        </w:rPr>
        <w:t xml:space="preserve"> </w:t>
      </w:r>
      <w:r>
        <w:t>that</w:t>
      </w:r>
      <w:r>
        <w:rPr>
          <w:spacing w:val="-4"/>
        </w:rPr>
        <w:t xml:space="preserve"> </w:t>
      </w:r>
      <w:r>
        <w:t>reportedly the use and uptake of PIMS is inconsistent, and VPF resourcing is inadequate for it to be utilised in the manner intended. Monthly reporting has lapsed due to its perceived complexity. It is thus an open question to what extent VAPJP (and of course VPF) can rely on this data for accountability and decision making in the future.</w:t>
      </w:r>
    </w:p>
    <w:p w14:paraId="062F5C53" w14:textId="5F8A5FE6" w:rsidR="009C36E3" w:rsidRDefault="000E7207">
      <w:pPr>
        <w:pStyle w:val="BodyText"/>
        <w:spacing w:before="122"/>
        <w:ind w:right="120"/>
      </w:pPr>
      <w:r>
        <w:t>The Update allocates 50% of funding to policing and 50% to everything else (Justice, Community, Sector Coordination). In practice about 35% is allocated to the Justice component, although the program notes that this does not take into consideration the infrastructure allocation for any particular financial or calendar year which skews the % allocation and makes community and sector coordination, where there is no infrastructure, look diminutive. There is a widely held perception among justice stakeholders that the great majority of funding is allocated to policing, with one senior GoV justice agency official telling the review team that ‘policing is the main game’ for VAPJP. Some stakeholders attributed people’s concern about a perceived unfairness in resource allocation to it being easier for the policing stream to gain attention and demonstrate their value, with new mobility assets</w:t>
      </w:r>
      <w:r>
        <w:rPr>
          <w:spacing w:val="-4"/>
        </w:rPr>
        <w:t xml:space="preserve"> </w:t>
      </w:r>
      <w:r>
        <w:t>being</w:t>
      </w:r>
      <w:r>
        <w:rPr>
          <w:spacing w:val="-5"/>
        </w:rPr>
        <w:t xml:space="preserve"> </w:t>
      </w:r>
      <w:r>
        <w:t>particularly</w:t>
      </w:r>
      <w:r>
        <w:rPr>
          <w:spacing w:val="-1"/>
        </w:rPr>
        <w:t xml:space="preserve"> </w:t>
      </w:r>
      <w:r>
        <w:t>photogenic</w:t>
      </w:r>
      <w:r>
        <w:rPr>
          <w:spacing w:val="-1"/>
        </w:rPr>
        <w:t xml:space="preserve"> </w:t>
      </w:r>
      <w:r>
        <w:t>and</w:t>
      </w:r>
      <w:r>
        <w:rPr>
          <w:spacing w:val="-3"/>
        </w:rPr>
        <w:t xml:space="preserve"> </w:t>
      </w:r>
      <w:r>
        <w:t>newsworthy;</w:t>
      </w:r>
      <w:r>
        <w:rPr>
          <w:spacing w:val="-3"/>
        </w:rPr>
        <w:t xml:space="preserve"> </w:t>
      </w:r>
      <w:r>
        <w:t>and</w:t>
      </w:r>
      <w:r>
        <w:rPr>
          <w:spacing w:val="-3"/>
        </w:rPr>
        <w:t xml:space="preserve"> </w:t>
      </w:r>
      <w:r>
        <w:t>a</w:t>
      </w:r>
      <w:r>
        <w:rPr>
          <w:spacing w:val="-5"/>
        </w:rPr>
        <w:t xml:space="preserve"> </w:t>
      </w:r>
      <w:r>
        <w:t>higher</w:t>
      </w:r>
      <w:r>
        <w:rPr>
          <w:spacing w:val="-4"/>
        </w:rPr>
        <w:t xml:space="preserve"> </w:t>
      </w:r>
      <w:r>
        <w:t>public</w:t>
      </w:r>
      <w:r>
        <w:rPr>
          <w:spacing w:val="-4"/>
        </w:rPr>
        <w:t xml:space="preserve"> </w:t>
      </w:r>
      <w:r>
        <w:t>profile aided</w:t>
      </w:r>
      <w:r>
        <w:rPr>
          <w:spacing w:val="-5"/>
        </w:rPr>
        <w:t xml:space="preserve"> </w:t>
      </w:r>
      <w:r>
        <w:t>by a</w:t>
      </w:r>
      <w:r>
        <w:rPr>
          <w:spacing w:val="-5"/>
        </w:rPr>
        <w:t xml:space="preserve"> </w:t>
      </w:r>
      <w:r>
        <w:t>competent</w:t>
      </w:r>
      <w:r>
        <w:rPr>
          <w:spacing w:val="-3"/>
        </w:rPr>
        <w:t xml:space="preserve"> </w:t>
      </w:r>
      <w:r>
        <w:t>VPF</w:t>
      </w:r>
      <w:r>
        <w:rPr>
          <w:spacing w:val="-2"/>
        </w:rPr>
        <w:t xml:space="preserve"> </w:t>
      </w:r>
      <w:r>
        <w:t xml:space="preserve">media team, who are well supported by the </w:t>
      </w:r>
      <w:r w:rsidR="002E5B5C">
        <w:t>AFP.</w:t>
      </w:r>
      <w:r>
        <w:rPr>
          <w:spacing w:val="-22"/>
          <w:position w:val="6"/>
          <w:sz w:val="13"/>
        </w:rPr>
        <w:t xml:space="preserve"> </w:t>
      </w:r>
      <w:hyperlink w:anchor="_bookmark22" w:history="1">
        <w:r>
          <w:rPr>
            <w:position w:val="6"/>
            <w:sz w:val="13"/>
          </w:rPr>
          <w:t>11</w:t>
        </w:r>
      </w:hyperlink>
      <w:r>
        <w:rPr>
          <w:spacing w:val="37"/>
          <w:position w:val="6"/>
          <w:sz w:val="13"/>
        </w:rPr>
        <w:t xml:space="preserve"> </w:t>
      </w:r>
      <w:r>
        <w:t>Others attributed this perceived imbalance to the fact that the AFP is contributing resources beyond those available through VAPJP, with stakeholders being unaware of the different sources of funding. More work is needed to promote justice outcomes to address these perceptions of inequity between the program streams.</w:t>
      </w:r>
    </w:p>
    <w:p w14:paraId="61F583A3" w14:textId="322F076F" w:rsidR="009C36E3" w:rsidRDefault="000E7207">
      <w:pPr>
        <w:pStyle w:val="BodyText"/>
        <w:spacing w:before="119"/>
        <w:ind w:right="120"/>
      </w:pPr>
      <w:r>
        <w:t>In discussions with GoV counterparts it became apparent that some were more familiar with what the program had done in previous iterations, than what it was doing now, including many stakeholders perceiving that previously there was a known budget that was available for their area, whereas now it was not so apparent. The chain-of- justice</w:t>
      </w:r>
      <w:r>
        <w:rPr>
          <w:spacing w:val="-3"/>
        </w:rPr>
        <w:t xml:space="preserve"> </w:t>
      </w:r>
      <w:r>
        <w:t>approach</w:t>
      </w:r>
      <w:r>
        <w:rPr>
          <w:spacing w:val="-3"/>
        </w:rPr>
        <w:t xml:space="preserve"> </w:t>
      </w:r>
      <w:r>
        <w:t>of</w:t>
      </w:r>
      <w:r>
        <w:rPr>
          <w:spacing w:val="-3"/>
        </w:rPr>
        <w:t xml:space="preserve"> </w:t>
      </w:r>
      <w:r>
        <w:t>VAPJP</w:t>
      </w:r>
      <w:r>
        <w:rPr>
          <w:spacing w:val="-1"/>
        </w:rPr>
        <w:t xml:space="preserve"> </w:t>
      </w:r>
      <w:r>
        <w:t>is</w:t>
      </w:r>
      <w:r>
        <w:rPr>
          <w:spacing w:val="-2"/>
        </w:rPr>
        <w:t xml:space="preserve"> </w:t>
      </w:r>
      <w:r>
        <w:t>not</w:t>
      </w:r>
      <w:r>
        <w:rPr>
          <w:spacing w:val="-1"/>
        </w:rPr>
        <w:t xml:space="preserve"> </w:t>
      </w:r>
      <w:r>
        <w:t>as</w:t>
      </w:r>
      <w:r>
        <w:rPr>
          <w:spacing w:val="-2"/>
        </w:rPr>
        <w:t xml:space="preserve"> </w:t>
      </w:r>
      <w:r>
        <w:t>well</w:t>
      </w:r>
      <w:r>
        <w:rPr>
          <w:spacing w:val="-2"/>
        </w:rPr>
        <w:t xml:space="preserve"> </w:t>
      </w:r>
      <w:r>
        <w:t>understood</w:t>
      </w:r>
      <w:r>
        <w:rPr>
          <w:spacing w:val="-1"/>
        </w:rPr>
        <w:t xml:space="preserve"> </w:t>
      </w:r>
      <w:r>
        <w:t>by</w:t>
      </w:r>
      <w:r>
        <w:rPr>
          <w:spacing w:val="-2"/>
        </w:rPr>
        <w:t xml:space="preserve"> </w:t>
      </w:r>
      <w:r>
        <w:t>advisers</w:t>
      </w:r>
      <w:r>
        <w:rPr>
          <w:spacing w:val="-2"/>
        </w:rPr>
        <w:t xml:space="preserve"> </w:t>
      </w:r>
      <w:r>
        <w:t>or</w:t>
      </w:r>
      <w:r>
        <w:rPr>
          <w:spacing w:val="-2"/>
        </w:rPr>
        <w:t xml:space="preserve"> </w:t>
      </w:r>
      <w:r>
        <w:t>the</w:t>
      </w:r>
      <w:r>
        <w:rPr>
          <w:spacing w:val="-1"/>
        </w:rPr>
        <w:t xml:space="preserve"> </w:t>
      </w:r>
      <w:r>
        <w:t>sector</w:t>
      </w:r>
      <w:r>
        <w:rPr>
          <w:spacing w:val="-2"/>
        </w:rPr>
        <w:t xml:space="preserve"> </w:t>
      </w:r>
      <w:r>
        <w:t>as might</w:t>
      </w:r>
      <w:r>
        <w:rPr>
          <w:spacing w:val="-3"/>
        </w:rPr>
        <w:t xml:space="preserve"> </w:t>
      </w:r>
      <w:r>
        <w:t>be</w:t>
      </w:r>
      <w:r>
        <w:rPr>
          <w:spacing w:val="-3"/>
        </w:rPr>
        <w:t xml:space="preserve"> </w:t>
      </w:r>
      <w:r>
        <w:t>expected</w:t>
      </w:r>
      <w:r>
        <w:rPr>
          <w:spacing w:val="-1"/>
        </w:rPr>
        <w:t xml:space="preserve"> </w:t>
      </w:r>
      <w:r>
        <w:t>and</w:t>
      </w:r>
      <w:r>
        <w:rPr>
          <w:spacing w:val="-1"/>
        </w:rPr>
        <w:t xml:space="preserve"> </w:t>
      </w:r>
      <w:r>
        <w:t>there</w:t>
      </w:r>
      <w:r>
        <w:rPr>
          <w:spacing w:val="-3"/>
        </w:rPr>
        <w:t xml:space="preserve"> </w:t>
      </w:r>
      <w:r>
        <w:t>is</w:t>
      </w:r>
      <w:r>
        <w:rPr>
          <w:spacing w:val="-2"/>
        </w:rPr>
        <w:t xml:space="preserve"> </w:t>
      </w:r>
      <w:r>
        <w:t>no agreed definition or framework of a ‘chain-of-justice’ in the project documentation.</w:t>
      </w:r>
    </w:p>
    <w:p w14:paraId="22C7F9DB" w14:textId="2A4624FF" w:rsidR="009C36E3" w:rsidRDefault="000E7207">
      <w:pPr>
        <w:pStyle w:val="BodyText"/>
        <w:spacing w:before="120"/>
      </w:pPr>
      <w:r>
        <w:t>Despite</w:t>
      </w:r>
      <w:r>
        <w:rPr>
          <w:spacing w:val="-4"/>
        </w:rPr>
        <w:t xml:space="preserve"> </w:t>
      </w:r>
      <w:r>
        <w:t>challenges,</w:t>
      </w:r>
      <w:r>
        <w:rPr>
          <w:spacing w:val="-4"/>
        </w:rPr>
        <w:t xml:space="preserve"> </w:t>
      </w:r>
      <w:r>
        <w:t>there</w:t>
      </w:r>
      <w:r>
        <w:rPr>
          <w:spacing w:val="-2"/>
        </w:rPr>
        <w:t xml:space="preserve"> </w:t>
      </w:r>
      <w:r>
        <w:t>is</w:t>
      </w:r>
      <w:r>
        <w:rPr>
          <w:spacing w:val="-3"/>
        </w:rPr>
        <w:t xml:space="preserve"> </w:t>
      </w:r>
      <w:r>
        <w:t>evidence</w:t>
      </w:r>
      <w:r>
        <w:rPr>
          <w:spacing w:val="-2"/>
        </w:rPr>
        <w:t xml:space="preserve"> </w:t>
      </w:r>
      <w:r>
        <w:t>that</w:t>
      </w:r>
      <w:r>
        <w:rPr>
          <w:spacing w:val="-4"/>
        </w:rPr>
        <w:t xml:space="preserve"> </w:t>
      </w:r>
      <w:r>
        <w:t>the</w:t>
      </w:r>
      <w:r>
        <w:rPr>
          <w:spacing w:val="-4"/>
        </w:rPr>
        <w:t xml:space="preserve"> </w:t>
      </w:r>
      <w:r>
        <w:t>program</w:t>
      </w:r>
      <w:r>
        <w:rPr>
          <w:spacing w:val="-4"/>
        </w:rPr>
        <w:t xml:space="preserve"> </w:t>
      </w:r>
      <w:r>
        <w:t>has made</w:t>
      </w:r>
      <w:r>
        <w:rPr>
          <w:spacing w:val="-4"/>
        </w:rPr>
        <w:t xml:space="preserve"> </w:t>
      </w:r>
      <w:r>
        <w:t>considerable</w:t>
      </w:r>
      <w:r>
        <w:rPr>
          <w:spacing w:val="-1"/>
        </w:rPr>
        <w:t xml:space="preserve"> </w:t>
      </w:r>
      <w:r>
        <w:t>achievements,</w:t>
      </w:r>
      <w:r>
        <w:rPr>
          <w:spacing w:val="-4"/>
        </w:rPr>
        <w:t xml:space="preserve"> </w:t>
      </w:r>
      <w:r>
        <w:t>which</w:t>
      </w:r>
      <w:r>
        <w:rPr>
          <w:spacing w:val="-4"/>
        </w:rPr>
        <w:t xml:space="preserve"> </w:t>
      </w:r>
      <w:r>
        <w:t>are</w:t>
      </w:r>
      <w:r>
        <w:rPr>
          <w:spacing w:val="-2"/>
        </w:rPr>
        <w:t xml:space="preserve"> </w:t>
      </w:r>
      <w:r>
        <w:t>detailed further in the discussion below. A summary of highlights is presented in Figure 1, below.</w:t>
      </w:r>
    </w:p>
    <w:p w14:paraId="6CC900C7" w14:textId="3E8FAD74" w:rsidR="009C36E3" w:rsidRDefault="000E7207" w:rsidP="007E5EDB">
      <w:pPr>
        <w:spacing w:before="119" w:after="120"/>
        <w:ind w:left="771"/>
        <w:rPr>
          <w:i/>
          <w:spacing w:val="-2"/>
          <w:sz w:val="16"/>
        </w:rPr>
      </w:pPr>
      <w:bookmarkStart w:id="31" w:name="_bookmark21"/>
      <w:bookmarkEnd w:id="31"/>
      <w:r>
        <w:rPr>
          <w:i/>
          <w:sz w:val="16"/>
        </w:rPr>
        <w:t>Figure</w:t>
      </w:r>
      <w:r>
        <w:rPr>
          <w:i/>
          <w:spacing w:val="-3"/>
          <w:sz w:val="16"/>
        </w:rPr>
        <w:t xml:space="preserve"> </w:t>
      </w:r>
      <w:r>
        <w:rPr>
          <w:i/>
          <w:sz w:val="16"/>
        </w:rPr>
        <w:t>1:</w:t>
      </w:r>
      <w:r>
        <w:rPr>
          <w:i/>
          <w:spacing w:val="-4"/>
          <w:sz w:val="16"/>
        </w:rPr>
        <w:t xml:space="preserve"> </w:t>
      </w:r>
      <w:r>
        <w:rPr>
          <w:i/>
          <w:sz w:val="16"/>
        </w:rPr>
        <w:t>A</w:t>
      </w:r>
      <w:r>
        <w:rPr>
          <w:i/>
          <w:spacing w:val="-4"/>
          <w:sz w:val="16"/>
        </w:rPr>
        <w:t xml:space="preserve"> </w:t>
      </w:r>
      <w:r>
        <w:rPr>
          <w:i/>
          <w:sz w:val="16"/>
        </w:rPr>
        <w:t>snapshot</w:t>
      </w:r>
      <w:r>
        <w:rPr>
          <w:i/>
          <w:spacing w:val="-1"/>
          <w:sz w:val="16"/>
        </w:rPr>
        <w:t xml:space="preserve"> </w:t>
      </w:r>
      <w:r>
        <w:rPr>
          <w:i/>
          <w:sz w:val="16"/>
        </w:rPr>
        <w:t>of</w:t>
      </w:r>
      <w:r>
        <w:rPr>
          <w:i/>
          <w:spacing w:val="-4"/>
          <w:sz w:val="16"/>
        </w:rPr>
        <w:t xml:space="preserve"> </w:t>
      </w:r>
      <w:r>
        <w:rPr>
          <w:i/>
          <w:sz w:val="16"/>
        </w:rPr>
        <w:t>VAPJP</w:t>
      </w:r>
      <w:r>
        <w:rPr>
          <w:i/>
          <w:spacing w:val="-2"/>
          <w:sz w:val="16"/>
        </w:rPr>
        <w:t xml:space="preserve"> achievements</w:t>
      </w:r>
    </w:p>
    <w:p w14:paraId="1F4AD282" w14:textId="4EBE8DDB" w:rsidR="00D5593E" w:rsidRDefault="00D5593E" w:rsidP="009E1A57">
      <w:pPr>
        <w:spacing w:before="119"/>
        <w:ind w:left="771"/>
        <w:rPr>
          <w:b/>
          <w:color w:val="000000"/>
          <w:sz w:val="20"/>
        </w:rPr>
      </w:pPr>
      <w:r>
        <w:rPr>
          <w:b/>
          <w:color w:val="0064BB"/>
          <w:sz w:val="20"/>
        </w:rPr>
        <w:t>Highlights</w:t>
      </w:r>
      <w:r>
        <w:rPr>
          <w:b/>
          <w:color w:val="0064BB"/>
          <w:spacing w:val="-7"/>
          <w:sz w:val="20"/>
        </w:rPr>
        <w:t xml:space="preserve"> </w:t>
      </w:r>
      <w:r>
        <w:rPr>
          <w:b/>
          <w:color w:val="0064BB"/>
          <w:sz w:val="20"/>
        </w:rPr>
        <w:t>–</w:t>
      </w:r>
      <w:r>
        <w:rPr>
          <w:b/>
          <w:color w:val="0064BB"/>
          <w:spacing w:val="-6"/>
          <w:sz w:val="20"/>
        </w:rPr>
        <w:t xml:space="preserve"> </w:t>
      </w:r>
      <w:r>
        <w:rPr>
          <w:b/>
          <w:color w:val="0064BB"/>
          <w:sz w:val="20"/>
        </w:rPr>
        <w:t>some</w:t>
      </w:r>
      <w:r>
        <w:rPr>
          <w:b/>
          <w:color w:val="0064BB"/>
          <w:spacing w:val="-6"/>
          <w:sz w:val="20"/>
        </w:rPr>
        <w:t xml:space="preserve"> </w:t>
      </w:r>
      <w:r>
        <w:rPr>
          <w:b/>
          <w:color w:val="0064BB"/>
          <w:sz w:val="20"/>
        </w:rPr>
        <w:t>key</w:t>
      </w:r>
      <w:r>
        <w:rPr>
          <w:b/>
          <w:color w:val="0064BB"/>
          <w:spacing w:val="-6"/>
          <w:sz w:val="20"/>
        </w:rPr>
        <w:t xml:space="preserve"> </w:t>
      </w:r>
      <w:r>
        <w:rPr>
          <w:b/>
          <w:color w:val="0064BB"/>
          <w:spacing w:val="-2"/>
          <w:sz w:val="20"/>
        </w:rPr>
        <w:t>achievements</w:t>
      </w:r>
    </w:p>
    <w:p w14:paraId="147A93C1" w14:textId="77777777" w:rsidR="00D5593E" w:rsidRDefault="00D5593E" w:rsidP="009E1A57">
      <w:pPr>
        <w:pStyle w:val="BodyText"/>
        <w:numPr>
          <w:ilvl w:val="0"/>
          <w:numId w:val="29"/>
        </w:numPr>
        <w:tabs>
          <w:tab w:val="left" w:pos="1134"/>
        </w:tabs>
        <w:spacing w:before="126" w:line="235" w:lineRule="auto"/>
        <w:ind w:left="1078" w:right="831" w:hanging="284"/>
        <w:rPr>
          <w:color w:val="000000"/>
        </w:rPr>
      </w:pPr>
      <w:r>
        <w:rPr>
          <w:color w:val="000000"/>
        </w:rPr>
        <w:t>Flexible,</w:t>
      </w:r>
      <w:r>
        <w:rPr>
          <w:color w:val="000000"/>
          <w:spacing w:val="-5"/>
        </w:rPr>
        <w:t xml:space="preserve"> </w:t>
      </w:r>
      <w:r>
        <w:rPr>
          <w:color w:val="000000"/>
        </w:rPr>
        <w:t>responsive</w:t>
      </w:r>
      <w:r>
        <w:rPr>
          <w:color w:val="000000"/>
          <w:spacing w:val="-5"/>
        </w:rPr>
        <w:t xml:space="preserve"> </w:t>
      </w:r>
      <w:r>
        <w:rPr>
          <w:color w:val="000000"/>
        </w:rPr>
        <w:t>program</w:t>
      </w:r>
      <w:r>
        <w:rPr>
          <w:color w:val="000000"/>
          <w:spacing w:val="-5"/>
        </w:rPr>
        <w:t xml:space="preserve"> </w:t>
      </w:r>
      <w:r>
        <w:rPr>
          <w:color w:val="000000"/>
        </w:rPr>
        <w:t>management</w:t>
      </w:r>
      <w:r>
        <w:rPr>
          <w:color w:val="000000"/>
          <w:spacing w:val="-3"/>
        </w:rPr>
        <w:t xml:space="preserve"> </w:t>
      </w:r>
      <w:r>
        <w:rPr>
          <w:color w:val="000000"/>
        </w:rPr>
        <w:t>enables</w:t>
      </w:r>
      <w:r>
        <w:rPr>
          <w:color w:val="000000"/>
          <w:spacing w:val="-1"/>
        </w:rPr>
        <w:t xml:space="preserve"> </w:t>
      </w:r>
      <w:r>
        <w:rPr>
          <w:color w:val="000000"/>
        </w:rPr>
        <w:t>adaptation</w:t>
      </w:r>
      <w:r>
        <w:rPr>
          <w:color w:val="000000"/>
          <w:spacing w:val="-5"/>
        </w:rPr>
        <w:t xml:space="preserve"> </w:t>
      </w:r>
      <w:r>
        <w:rPr>
          <w:color w:val="000000"/>
        </w:rPr>
        <w:t>and</w:t>
      </w:r>
      <w:r>
        <w:rPr>
          <w:color w:val="000000"/>
          <w:spacing w:val="-5"/>
        </w:rPr>
        <w:t xml:space="preserve"> </w:t>
      </w:r>
      <w:r>
        <w:rPr>
          <w:color w:val="000000"/>
        </w:rPr>
        <w:t>continuity</w:t>
      </w:r>
      <w:r>
        <w:rPr>
          <w:color w:val="000000"/>
          <w:spacing w:val="-1"/>
        </w:rPr>
        <w:t xml:space="preserve"> </w:t>
      </w:r>
      <w:r>
        <w:rPr>
          <w:color w:val="000000"/>
        </w:rPr>
        <w:t>in</w:t>
      </w:r>
      <w:r>
        <w:rPr>
          <w:color w:val="000000"/>
          <w:spacing w:val="-5"/>
        </w:rPr>
        <w:t xml:space="preserve"> </w:t>
      </w:r>
      <w:r>
        <w:rPr>
          <w:color w:val="000000"/>
        </w:rPr>
        <w:t>the</w:t>
      </w:r>
      <w:r>
        <w:rPr>
          <w:color w:val="000000"/>
          <w:spacing w:val="-5"/>
        </w:rPr>
        <w:t xml:space="preserve"> </w:t>
      </w:r>
      <w:r>
        <w:rPr>
          <w:color w:val="000000"/>
        </w:rPr>
        <w:t>face</w:t>
      </w:r>
      <w:r>
        <w:rPr>
          <w:color w:val="000000"/>
          <w:spacing w:val="-3"/>
        </w:rPr>
        <w:t xml:space="preserve"> </w:t>
      </w:r>
      <w:r>
        <w:rPr>
          <w:color w:val="000000"/>
        </w:rPr>
        <w:t>of</w:t>
      </w:r>
      <w:r>
        <w:rPr>
          <w:color w:val="000000"/>
          <w:spacing w:val="-5"/>
        </w:rPr>
        <w:t xml:space="preserve"> </w:t>
      </w:r>
      <w:r>
        <w:rPr>
          <w:color w:val="000000"/>
        </w:rPr>
        <w:t>changing sectoral leadership and emergencies</w:t>
      </w:r>
    </w:p>
    <w:p w14:paraId="3D831460" w14:textId="77777777" w:rsidR="00D5593E" w:rsidRDefault="00D5593E" w:rsidP="009E1A57">
      <w:pPr>
        <w:pStyle w:val="BodyText"/>
        <w:numPr>
          <w:ilvl w:val="0"/>
          <w:numId w:val="29"/>
        </w:numPr>
        <w:tabs>
          <w:tab w:val="left" w:pos="1134"/>
        </w:tabs>
        <w:spacing w:before="3" w:line="245" w:lineRule="exact"/>
        <w:ind w:left="1078" w:hanging="284"/>
        <w:rPr>
          <w:color w:val="000000"/>
        </w:rPr>
      </w:pPr>
      <w:r>
        <w:rPr>
          <w:color w:val="000000"/>
        </w:rPr>
        <w:t>Continuity</w:t>
      </w:r>
      <w:r>
        <w:rPr>
          <w:color w:val="000000"/>
          <w:spacing w:val="-8"/>
        </w:rPr>
        <w:t xml:space="preserve"> </w:t>
      </w:r>
      <w:r>
        <w:rPr>
          <w:color w:val="000000"/>
        </w:rPr>
        <w:t>of</w:t>
      </w:r>
      <w:r>
        <w:rPr>
          <w:color w:val="000000"/>
          <w:spacing w:val="-8"/>
        </w:rPr>
        <w:t xml:space="preserve"> </w:t>
      </w:r>
      <w:r>
        <w:rPr>
          <w:color w:val="000000"/>
        </w:rPr>
        <w:t>justice</w:t>
      </w:r>
      <w:r>
        <w:rPr>
          <w:color w:val="000000"/>
          <w:spacing w:val="-8"/>
        </w:rPr>
        <w:t xml:space="preserve"> </w:t>
      </w:r>
      <w:r>
        <w:rPr>
          <w:color w:val="000000"/>
        </w:rPr>
        <w:t>and</w:t>
      </w:r>
      <w:r>
        <w:rPr>
          <w:color w:val="000000"/>
          <w:spacing w:val="-9"/>
        </w:rPr>
        <w:t xml:space="preserve"> </w:t>
      </w:r>
      <w:r>
        <w:rPr>
          <w:color w:val="000000"/>
        </w:rPr>
        <w:t>policing</w:t>
      </w:r>
      <w:r>
        <w:rPr>
          <w:color w:val="000000"/>
          <w:spacing w:val="-6"/>
        </w:rPr>
        <w:t xml:space="preserve"> </w:t>
      </w:r>
      <w:r>
        <w:rPr>
          <w:color w:val="000000"/>
        </w:rPr>
        <w:t>services</w:t>
      </w:r>
      <w:r>
        <w:rPr>
          <w:color w:val="000000"/>
          <w:spacing w:val="-7"/>
        </w:rPr>
        <w:t xml:space="preserve"> </w:t>
      </w:r>
      <w:r>
        <w:rPr>
          <w:color w:val="000000"/>
        </w:rPr>
        <w:t>through</w:t>
      </w:r>
      <w:r>
        <w:rPr>
          <w:color w:val="000000"/>
          <w:spacing w:val="-7"/>
        </w:rPr>
        <w:t xml:space="preserve"> </w:t>
      </w:r>
      <w:r>
        <w:rPr>
          <w:color w:val="000000"/>
        </w:rPr>
        <w:t>effective</w:t>
      </w:r>
      <w:r>
        <w:rPr>
          <w:color w:val="000000"/>
          <w:spacing w:val="-8"/>
        </w:rPr>
        <w:t xml:space="preserve"> </w:t>
      </w:r>
      <w:r>
        <w:rPr>
          <w:color w:val="000000"/>
        </w:rPr>
        <w:t>disaster</w:t>
      </w:r>
      <w:r>
        <w:rPr>
          <w:color w:val="000000"/>
          <w:spacing w:val="-7"/>
        </w:rPr>
        <w:t xml:space="preserve"> </w:t>
      </w:r>
      <w:r>
        <w:rPr>
          <w:color w:val="000000"/>
          <w:spacing w:val="-2"/>
        </w:rPr>
        <w:t>response</w:t>
      </w:r>
    </w:p>
    <w:p w14:paraId="68B188BB" w14:textId="2B493050" w:rsidR="00D5593E" w:rsidRDefault="00F46480" w:rsidP="009E1A57">
      <w:pPr>
        <w:pStyle w:val="BodyText"/>
        <w:numPr>
          <w:ilvl w:val="0"/>
          <w:numId w:val="29"/>
        </w:numPr>
        <w:tabs>
          <w:tab w:val="left" w:pos="1134"/>
        </w:tabs>
        <w:spacing w:before="4" w:line="235" w:lineRule="auto"/>
        <w:ind w:left="1078" w:right="1056" w:hanging="284"/>
        <w:rPr>
          <w:color w:val="000000"/>
        </w:rPr>
      </w:pPr>
      <w:r>
        <w:rPr>
          <w:noProof/>
        </w:rPr>
        <mc:AlternateContent>
          <mc:Choice Requires="wps">
            <w:drawing>
              <wp:anchor distT="0" distB="0" distL="0" distR="0" simplePos="0" relativeHeight="251673600" behindDoc="1" locked="0" layoutInCell="1" allowOverlap="1" wp14:anchorId="213CF8C7" wp14:editId="74566653">
                <wp:simplePos x="0" y="0"/>
                <wp:positionH relativeFrom="page">
                  <wp:posOffset>568960</wp:posOffset>
                </wp:positionH>
                <wp:positionV relativeFrom="paragraph">
                  <wp:posOffset>648970</wp:posOffset>
                </wp:positionV>
                <wp:extent cx="1828800" cy="6350"/>
                <wp:effectExtent l="0" t="0" r="0" b="0"/>
                <wp:wrapTopAndBottom/>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4C14C1" id="Graphic 26" o:spid="_x0000_s1026" alt="&quot;&quot;" style="position:absolute;margin-left:44.8pt;margin-top:51.1pt;width:2in;height:.5pt;z-index:-25164288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" path="m1828800,l,,,6095r1828800,l1828800,xe" fillcolor="black" stroked="f">
                <v:path arrowok="t"/>
                <w10:wrap type="topAndBottom" anchorx="page"/>
              </v:shape>
            </w:pict>
          </mc:Fallback>
        </mc:AlternateContent>
      </w:r>
      <w:r w:rsidR="00D5593E">
        <w:rPr>
          <w:color w:val="000000"/>
        </w:rPr>
        <w:t>Increased</w:t>
      </w:r>
      <w:r w:rsidR="00D5593E">
        <w:rPr>
          <w:color w:val="000000"/>
          <w:spacing w:val="-5"/>
        </w:rPr>
        <w:t xml:space="preserve"> </w:t>
      </w:r>
      <w:r w:rsidR="00D5593E">
        <w:rPr>
          <w:color w:val="000000"/>
        </w:rPr>
        <w:t>capacity</w:t>
      </w:r>
      <w:r w:rsidR="00D5593E">
        <w:rPr>
          <w:color w:val="000000"/>
          <w:spacing w:val="-4"/>
        </w:rPr>
        <w:t xml:space="preserve"> </w:t>
      </w:r>
      <w:r w:rsidR="00D5593E">
        <w:rPr>
          <w:color w:val="000000"/>
        </w:rPr>
        <w:t>and</w:t>
      </w:r>
      <w:r w:rsidR="00D5593E">
        <w:rPr>
          <w:color w:val="000000"/>
          <w:spacing w:val="-3"/>
        </w:rPr>
        <w:t xml:space="preserve"> </w:t>
      </w:r>
      <w:r w:rsidR="00D5593E">
        <w:rPr>
          <w:color w:val="000000"/>
        </w:rPr>
        <w:t>leadership</w:t>
      </w:r>
      <w:r w:rsidR="00D5593E">
        <w:rPr>
          <w:color w:val="000000"/>
          <w:spacing w:val="-3"/>
        </w:rPr>
        <w:t xml:space="preserve"> </w:t>
      </w:r>
      <w:r w:rsidR="00D5593E">
        <w:rPr>
          <w:color w:val="000000"/>
        </w:rPr>
        <w:t>opportunities</w:t>
      </w:r>
      <w:r w:rsidR="00D5593E">
        <w:rPr>
          <w:color w:val="000000"/>
          <w:spacing w:val="-4"/>
        </w:rPr>
        <w:t xml:space="preserve"> </w:t>
      </w:r>
      <w:r w:rsidR="00D5593E">
        <w:rPr>
          <w:color w:val="000000"/>
        </w:rPr>
        <w:t>for</w:t>
      </w:r>
      <w:r w:rsidR="00D5593E">
        <w:rPr>
          <w:color w:val="000000"/>
          <w:spacing w:val="-4"/>
        </w:rPr>
        <w:t xml:space="preserve"> </w:t>
      </w:r>
      <w:r w:rsidR="00D5593E">
        <w:rPr>
          <w:color w:val="000000"/>
        </w:rPr>
        <w:t>justice</w:t>
      </w:r>
      <w:r w:rsidR="00D5593E">
        <w:rPr>
          <w:color w:val="000000"/>
          <w:spacing w:val="-5"/>
        </w:rPr>
        <w:t xml:space="preserve"> </w:t>
      </w:r>
      <w:r w:rsidR="00D5593E">
        <w:rPr>
          <w:color w:val="000000"/>
        </w:rPr>
        <w:t>agency</w:t>
      </w:r>
      <w:r w:rsidR="00D5593E">
        <w:rPr>
          <w:color w:val="000000"/>
          <w:spacing w:val="-4"/>
        </w:rPr>
        <w:t xml:space="preserve"> </w:t>
      </w:r>
      <w:r w:rsidR="00D5593E">
        <w:rPr>
          <w:color w:val="000000"/>
        </w:rPr>
        <w:t>staff,</w:t>
      </w:r>
      <w:r w:rsidR="00D5593E">
        <w:rPr>
          <w:color w:val="000000"/>
          <w:spacing w:val="-3"/>
        </w:rPr>
        <w:t xml:space="preserve"> </w:t>
      </w:r>
      <w:r w:rsidR="00D5593E">
        <w:rPr>
          <w:color w:val="000000"/>
        </w:rPr>
        <w:t>including</w:t>
      </w:r>
      <w:r w:rsidR="00D5593E">
        <w:rPr>
          <w:color w:val="000000"/>
          <w:spacing w:val="-3"/>
        </w:rPr>
        <w:t xml:space="preserve"> </w:t>
      </w:r>
      <w:r w:rsidR="00D5593E">
        <w:rPr>
          <w:color w:val="000000"/>
        </w:rPr>
        <w:t>women,</w:t>
      </w:r>
      <w:r w:rsidR="00D5593E">
        <w:rPr>
          <w:color w:val="000000"/>
          <w:spacing w:val="-5"/>
        </w:rPr>
        <w:t xml:space="preserve"> </w:t>
      </w:r>
      <w:r w:rsidR="00D5593E">
        <w:rPr>
          <w:color w:val="000000"/>
        </w:rPr>
        <w:t>through mentoring, the Criminal Law Conference and access to opportunities for promotion</w:t>
      </w:r>
    </w:p>
    <w:p w14:paraId="4861FACF" w14:textId="0FFE5680" w:rsidR="009C36E3" w:rsidRDefault="000E7207" w:rsidP="00590238">
      <w:pPr>
        <w:pStyle w:val="BodyText"/>
        <w:spacing w:before="360"/>
        <w:rPr>
          <w:sz w:val="18"/>
        </w:rPr>
        <w:sectPr w:rsidR="009C36E3">
          <w:pgSz w:w="11910" w:h="16850"/>
          <w:pgMar w:top="1040" w:right="740" w:bottom="740" w:left="80" w:header="552" w:footer="559" w:gutter="0"/>
          <w:cols w:space="720"/>
        </w:sectPr>
      </w:pPr>
      <w:bookmarkStart w:id="32" w:name="_bookmark22"/>
      <w:bookmarkEnd w:id="32"/>
      <w:r>
        <w:rPr>
          <w:position w:val="6"/>
          <w:sz w:val="13"/>
        </w:rPr>
        <w:t>11</w:t>
      </w:r>
      <w:r>
        <w:rPr>
          <w:spacing w:val="17"/>
          <w:position w:val="6"/>
          <w:sz w:val="13"/>
        </w:rPr>
        <w:t xml:space="preserve"> </w:t>
      </w:r>
      <w:r>
        <w:rPr>
          <w:sz w:val="18"/>
        </w:rPr>
        <w:t>With the move</w:t>
      </w:r>
      <w:r>
        <w:rPr>
          <w:spacing w:val="-3"/>
          <w:sz w:val="18"/>
        </w:rPr>
        <w:t xml:space="preserve"> </w:t>
      </w:r>
      <w:r>
        <w:rPr>
          <w:sz w:val="18"/>
        </w:rPr>
        <w:t>to</w:t>
      </w:r>
      <w:r>
        <w:rPr>
          <w:spacing w:val="-3"/>
          <w:sz w:val="18"/>
        </w:rPr>
        <w:t xml:space="preserve"> </w:t>
      </w:r>
      <w:r>
        <w:rPr>
          <w:sz w:val="18"/>
        </w:rPr>
        <w:t>greater</w:t>
      </w:r>
      <w:r>
        <w:rPr>
          <w:spacing w:val="-1"/>
          <w:sz w:val="18"/>
        </w:rPr>
        <w:t xml:space="preserve"> </w:t>
      </w:r>
      <w:r>
        <w:rPr>
          <w:sz w:val="18"/>
        </w:rPr>
        <w:t>decentralisation,</w:t>
      </w:r>
      <w:r>
        <w:rPr>
          <w:spacing w:val="-1"/>
          <w:sz w:val="18"/>
        </w:rPr>
        <w:t xml:space="preserve"> </w:t>
      </w:r>
      <w:r>
        <w:rPr>
          <w:sz w:val="18"/>
        </w:rPr>
        <w:t>it</w:t>
      </w:r>
      <w:r>
        <w:rPr>
          <w:spacing w:val="-3"/>
          <w:sz w:val="18"/>
        </w:rPr>
        <w:t xml:space="preserve"> </w:t>
      </w:r>
      <w:r>
        <w:rPr>
          <w:sz w:val="18"/>
        </w:rPr>
        <w:t>will</w:t>
      </w:r>
      <w:r>
        <w:rPr>
          <w:spacing w:val="-3"/>
          <w:sz w:val="18"/>
        </w:rPr>
        <w:t xml:space="preserve"> </w:t>
      </w:r>
      <w:r>
        <w:rPr>
          <w:sz w:val="18"/>
        </w:rPr>
        <w:t>be</w:t>
      </w:r>
      <w:r>
        <w:rPr>
          <w:spacing w:val="-3"/>
          <w:sz w:val="18"/>
        </w:rPr>
        <w:t xml:space="preserve"> </w:t>
      </w:r>
      <w:r>
        <w:rPr>
          <w:sz w:val="18"/>
        </w:rPr>
        <w:t>important</w:t>
      </w:r>
      <w:r>
        <w:rPr>
          <w:spacing w:val="-1"/>
          <w:sz w:val="18"/>
        </w:rPr>
        <w:t xml:space="preserve"> </w:t>
      </w:r>
      <w:r>
        <w:rPr>
          <w:sz w:val="18"/>
        </w:rPr>
        <w:t>to</w:t>
      </w:r>
      <w:r>
        <w:rPr>
          <w:spacing w:val="-3"/>
          <w:sz w:val="18"/>
        </w:rPr>
        <w:t xml:space="preserve"> </w:t>
      </w:r>
      <w:r>
        <w:rPr>
          <w:sz w:val="18"/>
        </w:rPr>
        <w:t>keep methods of</w:t>
      </w:r>
      <w:r>
        <w:rPr>
          <w:spacing w:val="-1"/>
          <w:sz w:val="18"/>
        </w:rPr>
        <w:t xml:space="preserve"> </w:t>
      </w:r>
      <w:r>
        <w:rPr>
          <w:sz w:val="18"/>
        </w:rPr>
        <w:t>awareness raising</w:t>
      </w:r>
      <w:r>
        <w:rPr>
          <w:spacing w:val="-3"/>
          <w:sz w:val="18"/>
        </w:rPr>
        <w:t xml:space="preserve"> </w:t>
      </w:r>
      <w:r>
        <w:rPr>
          <w:sz w:val="18"/>
        </w:rPr>
        <w:t>relevant.</w:t>
      </w:r>
      <w:r>
        <w:rPr>
          <w:spacing w:val="-1"/>
          <w:sz w:val="18"/>
        </w:rPr>
        <w:t xml:space="preserve"> </w:t>
      </w:r>
      <w:r>
        <w:rPr>
          <w:sz w:val="18"/>
        </w:rPr>
        <w:t>VPF</w:t>
      </w:r>
      <w:r>
        <w:rPr>
          <w:spacing w:val="-3"/>
          <w:sz w:val="18"/>
        </w:rPr>
        <w:t xml:space="preserve"> </w:t>
      </w:r>
      <w:r>
        <w:rPr>
          <w:sz w:val="18"/>
        </w:rPr>
        <w:t>is</w:t>
      </w:r>
      <w:r>
        <w:rPr>
          <w:spacing w:val="-2"/>
          <w:sz w:val="18"/>
        </w:rPr>
        <w:t xml:space="preserve"> </w:t>
      </w:r>
      <w:r>
        <w:rPr>
          <w:sz w:val="18"/>
        </w:rPr>
        <w:t>currently focused on Facebook but given that only 26.2% of the population access the internet, and this is down to 19.7% of the rural population it could be investigated whether greater reach can be achieved through radio (Vanuatu Bureau of Statistics and the Pacific Community, 2020).</w:t>
      </w:r>
    </w:p>
    <w:p w14:paraId="50D0E009" w14:textId="77777777" w:rsidR="00C76722" w:rsidRDefault="00C76722" w:rsidP="005C1130">
      <w:pPr>
        <w:pStyle w:val="BodyText"/>
        <w:numPr>
          <w:ilvl w:val="0"/>
          <w:numId w:val="28"/>
        </w:numPr>
        <w:tabs>
          <w:tab w:val="left" w:pos="851"/>
        </w:tabs>
        <w:ind w:left="1078" w:right="833" w:hanging="284"/>
        <w:rPr>
          <w:color w:val="000000"/>
        </w:rPr>
      </w:pPr>
      <w:r>
        <w:rPr>
          <w:color w:val="000000"/>
        </w:rPr>
        <w:t>Increased</w:t>
      </w:r>
      <w:r>
        <w:rPr>
          <w:color w:val="000000"/>
          <w:spacing w:val="-5"/>
        </w:rPr>
        <w:t xml:space="preserve"> </w:t>
      </w:r>
      <w:r>
        <w:rPr>
          <w:color w:val="000000"/>
        </w:rPr>
        <w:t>recruitment,</w:t>
      </w:r>
      <w:r>
        <w:rPr>
          <w:color w:val="000000"/>
          <w:spacing w:val="-3"/>
        </w:rPr>
        <w:t xml:space="preserve"> </w:t>
      </w:r>
      <w:r>
        <w:rPr>
          <w:color w:val="000000"/>
        </w:rPr>
        <w:t>deployment,</w:t>
      </w:r>
      <w:r>
        <w:rPr>
          <w:color w:val="000000"/>
          <w:spacing w:val="-2"/>
        </w:rPr>
        <w:t xml:space="preserve"> </w:t>
      </w:r>
      <w:r>
        <w:rPr>
          <w:color w:val="000000"/>
        </w:rPr>
        <w:t>and</w:t>
      </w:r>
      <w:r>
        <w:rPr>
          <w:color w:val="000000"/>
          <w:spacing w:val="-5"/>
        </w:rPr>
        <w:t xml:space="preserve"> </w:t>
      </w:r>
      <w:r>
        <w:rPr>
          <w:color w:val="000000"/>
        </w:rPr>
        <w:t>participation</w:t>
      </w:r>
      <w:r>
        <w:rPr>
          <w:color w:val="000000"/>
          <w:spacing w:val="-3"/>
        </w:rPr>
        <w:t xml:space="preserve"> </w:t>
      </w:r>
      <w:r>
        <w:rPr>
          <w:color w:val="000000"/>
        </w:rPr>
        <w:t>of</w:t>
      </w:r>
      <w:r>
        <w:rPr>
          <w:color w:val="000000"/>
          <w:spacing w:val="-5"/>
        </w:rPr>
        <w:t xml:space="preserve"> </w:t>
      </w:r>
      <w:r>
        <w:rPr>
          <w:color w:val="000000"/>
        </w:rPr>
        <w:t>women</w:t>
      </w:r>
      <w:r>
        <w:rPr>
          <w:color w:val="000000"/>
          <w:spacing w:val="-3"/>
        </w:rPr>
        <w:t xml:space="preserve"> </w:t>
      </w:r>
      <w:r>
        <w:rPr>
          <w:color w:val="000000"/>
        </w:rPr>
        <w:t>in</w:t>
      </w:r>
      <w:r>
        <w:rPr>
          <w:color w:val="000000"/>
          <w:spacing w:val="-5"/>
        </w:rPr>
        <w:t xml:space="preserve"> </w:t>
      </w:r>
      <w:r>
        <w:rPr>
          <w:color w:val="000000"/>
        </w:rPr>
        <w:t>the</w:t>
      </w:r>
      <w:r>
        <w:rPr>
          <w:color w:val="000000"/>
          <w:spacing w:val="-3"/>
        </w:rPr>
        <w:t xml:space="preserve"> </w:t>
      </w:r>
      <w:r>
        <w:rPr>
          <w:color w:val="000000"/>
        </w:rPr>
        <w:t>VPF</w:t>
      </w:r>
      <w:r>
        <w:rPr>
          <w:color w:val="000000"/>
          <w:spacing w:val="-1"/>
        </w:rPr>
        <w:t xml:space="preserve"> </w:t>
      </w:r>
      <w:r>
        <w:rPr>
          <w:color w:val="000000"/>
        </w:rPr>
        <w:t>makes</w:t>
      </w:r>
      <w:r>
        <w:rPr>
          <w:color w:val="000000"/>
          <w:spacing w:val="-1"/>
        </w:rPr>
        <w:t xml:space="preserve"> </w:t>
      </w:r>
      <w:r>
        <w:rPr>
          <w:color w:val="000000"/>
        </w:rPr>
        <w:t>an</w:t>
      </w:r>
      <w:r>
        <w:rPr>
          <w:color w:val="000000"/>
          <w:spacing w:val="-5"/>
        </w:rPr>
        <w:t xml:space="preserve"> </w:t>
      </w:r>
      <w:r>
        <w:rPr>
          <w:color w:val="000000"/>
        </w:rPr>
        <w:t>important</w:t>
      </w:r>
      <w:r>
        <w:rPr>
          <w:color w:val="000000"/>
          <w:spacing w:val="-5"/>
        </w:rPr>
        <w:t xml:space="preserve"> </w:t>
      </w:r>
      <w:r>
        <w:rPr>
          <w:color w:val="000000"/>
        </w:rPr>
        <w:t>contribution to all EOPOs</w:t>
      </w:r>
    </w:p>
    <w:p w14:paraId="782F8997" w14:textId="77777777" w:rsidR="00C76722" w:rsidRDefault="00C76722" w:rsidP="005C1130">
      <w:pPr>
        <w:pStyle w:val="BodyText"/>
        <w:numPr>
          <w:ilvl w:val="0"/>
          <w:numId w:val="28"/>
        </w:numPr>
        <w:tabs>
          <w:tab w:val="left" w:pos="851"/>
        </w:tabs>
        <w:spacing w:before="4" w:line="235" w:lineRule="auto"/>
        <w:ind w:left="1078" w:right="833" w:hanging="284"/>
        <w:rPr>
          <w:color w:val="000000"/>
        </w:rPr>
      </w:pPr>
      <w:r>
        <w:rPr>
          <w:color w:val="000000"/>
        </w:rPr>
        <w:t>Increased</w:t>
      </w:r>
      <w:r>
        <w:rPr>
          <w:color w:val="000000"/>
          <w:spacing w:val="-5"/>
        </w:rPr>
        <w:t xml:space="preserve"> </w:t>
      </w:r>
      <w:r>
        <w:rPr>
          <w:color w:val="000000"/>
        </w:rPr>
        <w:t>recognition</w:t>
      </w:r>
      <w:r>
        <w:rPr>
          <w:color w:val="000000"/>
          <w:spacing w:val="-5"/>
        </w:rPr>
        <w:t xml:space="preserve"> </w:t>
      </w:r>
      <w:r>
        <w:rPr>
          <w:color w:val="000000"/>
        </w:rPr>
        <w:t>and</w:t>
      </w:r>
      <w:r>
        <w:rPr>
          <w:color w:val="000000"/>
          <w:spacing w:val="-3"/>
        </w:rPr>
        <w:t xml:space="preserve"> </w:t>
      </w:r>
      <w:r>
        <w:rPr>
          <w:color w:val="000000"/>
        </w:rPr>
        <w:t>support</w:t>
      </w:r>
      <w:r>
        <w:rPr>
          <w:color w:val="000000"/>
          <w:spacing w:val="-5"/>
        </w:rPr>
        <w:t xml:space="preserve"> </w:t>
      </w:r>
      <w:r>
        <w:rPr>
          <w:color w:val="000000"/>
        </w:rPr>
        <w:t>for</w:t>
      </w:r>
      <w:r>
        <w:rPr>
          <w:color w:val="000000"/>
          <w:spacing w:val="-4"/>
        </w:rPr>
        <w:t xml:space="preserve"> </w:t>
      </w:r>
      <w:r>
        <w:rPr>
          <w:color w:val="000000"/>
        </w:rPr>
        <w:t>women</w:t>
      </w:r>
      <w:r>
        <w:rPr>
          <w:color w:val="000000"/>
          <w:spacing w:val="-3"/>
        </w:rPr>
        <w:t xml:space="preserve"> </w:t>
      </w:r>
      <w:r>
        <w:rPr>
          <w:color w:val="000000"/>
        </w:rPr>
        <w:t>police</w:t>
      </w:r>
      <w:r>
        <w:rPr>
          <w:color w:val="000000"/>
          <w:spacing w:val="-5"/>
        </w:rPr>
        <w:t xml:space="preserve"> </w:t>
      </w:r>
      <w:r>
        <w:rPr>
          <w:color w:val="000000"/>
        </w:rPr>
        <w:t>through</w:t>
      </w:r>
      <w:r>
        <w:rPr>
          <w:color w:val="000000"/>
          <w:spacing w:val="-5"/>
        </w:rPr>
        <w:t xml:space="preserve"> </w:t>
      </w:r>
      <w:r>
        <w:rPr>
          <w:color w:val="000000"/>
        </w:rPr>
        <w:t>the</w:t>
      </w:r>
      <w:r>
        <w:rPr>
          <w:color w:val="000000"/>
          <w:spacing w:val="-5"/>
        </w:rPr>
        <w:t xml:space="preserve"> </w:t>
      </w:r>
      <w:r>
        <w:rPr>
          <w:color w:val="000000"/>
        </w:rPr>
        <w:t>Women’s</w:t>
      </w:r>
      <w:r>
        <w:rPr>
          <w:color w:val="000000"/>
          <w:spacing w:val="-1"/>
        </w:rPr>
        <w:t xml:space="preserve"> </w:t>
      </w:r>
      <w:r>
        <w:rPr>
          <w:color w:val="000000"/>
        </w:rPr>
        <w:t>Advisory</w:t>
      </w:r>
      <w:r>
        <w:rPr>
          <w:color w:val="000000"/>
          <w:spacing w:val="-4"/>
        </w:rPr>
        <w:t xml:space="preserve"> </w:t>
      </w:r>
      <w:r>
        <w:rPr>
          <w:color w:val="000000"/>
        </w:rPr>
        <w:t>Network</w:t>
      </w:r>
      <w:r>
        <w:rPr>
          <w:color w:val="000000"/>
          <w:spacing w:val="-4"/>
        </w:rPr>
        <w:t xml:space="preserve"> </w:t>
      </w:r>
      <w:r>
        <w:rPr>
          <w:color w:val="000000"/>
        </w:rPr>
        <w:t>(WAN) activities and the WAN conference</w:t>
      </w:r>
    </w:p>
    <w:p w14:paraId="52BE5B44" w14:textId="77777777" w:rsidR="00C76722" w:rsidRDefault="00C76722" w:rsidP="005C1130">
      <w:pPr>
        <w:pStyle w:val="BodyText"/>
        <w:numPr>
          <w:ilvl w:val="0"/>
          <w:numId w:val="28"/>
        </w:numPr>
        <w:tabs>
          <w:tab w:val="left" w:pos="851"/>
        </w:tabs>
        <w:spacing w:before="4" w:line="244" w:lineRule="exact"/>
        <w:ind w:left="1078" w:right="833" w:hanging="284"/>
        <w:rPr>
          <w:color w:val="000000"/>
        </w:rPr>
      </w:pPr>
      <w:r>
        <w:rPr>
          <w:color w:val="000000"/>
        </w:rPr>
        <w:t>Strong</w:t>
      </w:r>
      <w:r>
        <w:rPr>
          <w:color w:val="000000"/>
          <w:spacing w:val="-8"/>
        </w:rPr>
        <w:t xml:space="preserve"> </w:t>
      </w:r>
      <w:r>
        <w:rPr>
          <w:color w:val="000000"/>
        </w:rPr>
        <w:t>relationships</w:t>
      </w:r>
      <w:r>
        <w:rPr>
          <w:color w:val="000000"/>
          <w:spacing w:val="-7"/>
        </w:rPr>
        <w:t xml:space="preserve"> </w:t>
      </w:r>
      <w:r>
        <w:rPr>
          <w:color w:val="000000"/>
        </w:rPr>
        <w:t>between</w:t>
      </w:r>
      <w:r>
        <w:rPr>
          <w:color w:val="000000"/>
          <w:spacing w:val="-7"/>
        </w:rPr>
        <w:t xml:space="preserve"> </w:t>
      </w:r>
      <w:r>
        <w:rPr>
          <w:color w:val="000000"/>
        </w:rPr>
        <w:t>VAPJP</w:t>
      </w:r>
      <w:r>
        <w:rPr>
          <w:color w:val="000000"/>
          <w:spacing w:val="-9"/>
        </w:rPr>
        <w:t xml:space="preserve"> </w:t>
      </w:r>
      <w:r>
        <w:rPr>
          <w:color w:val="000000"/>
        </w:rPr>
        <w:t>advisers</w:t>
      </w:r>
      <w:r>
        <w:rPr>
          <w:color w:val="000000"/>
          <w:spacing w:val="-7"/>
        </w:rPr>
        <w:t xml:space="preserve"> </w:t>
      </w:r>
      <w:r>
        <w:rPr>
          <w:color w:val="000000"/>
        </w:rPr>
        <w:t>and</w:t>
      </w:r>
      <w:r>
        <w:rPr>
          <w:color w:val="000000"/>
          <w:spacing w:val="-7"/>
        </w:rPr>
        <w:t xml:space="preserve"> </w:t>
      </w:r>
      <w:r>
        <w:rPr>
          <w:color w:val="000000"/>
        </w:rPr>
        <w:t>their</w:t>
      </w:r>
      <w:r>
        <w:rPr>
          <w:color w:val="000000"/>
          <w:spacing w:val="-7"/>
        </w:rPr>
        <w:t xml:space="preserve"> </w:t>
      </w:r>
      <w:r>
        <w:rPr>
          <w:color w:val="000000"/>
        </w:rPr>
        <w:t>counterparts,</w:t>
      </w:r>
      <w:r>
        <w:rPr>
          <w:color w:val="000000"/>
          <w:spacing w:val="-8"/>
        </w:rPr>
        <w:t xml:space="preserve"> </w:t>
      </w:r>
      <w:r>
        <w:rPr>
          <w:color w:val="000000"/>
        </w:rPr>
        <w:t>and</w:t>
      </w:r>
      <w:r>
        <w:rPr>
          <w:color w:val="000000"/>
          <w:spacing w:val="-5"/>
        </w:rPr>
        <w:t xml:space="preserve"> </w:t>
      </w:r>
      <w:r>
        <w:rPr>
          <w:color w:val="000000"/>
        </w:rPr>
        <w:t>advisers</w:t>
      </w:r>
      <w:r>
        <w:rPr>
          <w:color w:val="000000"/>
          <w:spacing w:val="-7"/>
        </w:rPr>
        <w:t xml:space="preserve"> </w:t>
      </w:r>
      <w:r>
        <w:rPr>
          <w:color w:val="000000"/>
        </w:rPr>
        <w:t>and</w:t>
      </w:r>
      <w:r>
        <w:rPr>
          <w:color w:val="000000"/>
          <w:spacing w:val="-8"/>
        </w:rPr>
        <w:t xml:space="preserve"> </w:t>
      </w:r>
      <w:r>
        <w:rPr>
          <w:color w:val="000000"/>
        </w:rPr>
        <w:t>other</w:t>
      </w:r>
      <w:r>
        <w:rPr>
          <w:color w:val="000000"/>
          <w:spacing w:val="-7"/>
        </w:rPr>
        <w:t xml:space="preserve"> </w:t>
      </w:r>
      <w:r>
        <w:rPr>
          <w:color w:val="000000"/>
          <w:spacing w:val="-2"/>
        </w:rPr>
        <w:t>stakeholders</w:t>
      </w:r>
    </w:p>
    <w:p w14:paraId="6BC031D1" w14:textId="77777777" w:rsidR="00C76722" w:rsidRDefault="00C76722" w:rsidP="005C1130">
      <w:pPr>
        <w:pStyle w:val="BodyText"/>
        <w:numPr>
          <w:ilvl w:val="0"/>
          <w:numId w:val="28"/>
        </w:numPr>
        <w:tabs>
          <w:tab w:val="left" w:pos="851"/>
        </w:tabs>
        <w:ind w:left="1078" w:right="833" w:hanging="284"/>
        <w:rPr>
          <w:color w:val="000000"/>
        </w:rPr>
      </w:pPr>
      <w:r>
        <w:rPr>
          <w:color w:val="000000"/>
        </w:rPr>
        <w:t>Having</w:t>
      </w:r>
      <w:r>
        <w:rPr>
          <w:color w:val="000000"/>
          <w:spacing w:val="-2"/>
        </w:rPr>
        <w:t xml:space="preserve"> </w:t>
      </w:r>
      <w:r>
        <w:rPr>
          <w:color w:val="000000"/>
        </w:rPr>
        <w:t>the</w:t>
      </w:r>
      <w:r>
        <w:rPr>
          <w:color w:val="000000"/>
          <w:spacing w:val="-2"/>
        </w:rPr>
        <w:t xml:space="preserve"> </w:t>
      </w:r>
      <w:r>
        <w:rPr>
          <w:color w:val="000000"/>
        </w:rPr>
        <w:t>first</w:t>
      </w:r>
      <w:r>
        <w:rPr>
          <w:color w:val="000000"/>
          <w:spacing w:val="-4"/>
        </w:rPr>
        <w:t xml:space="preserve"> </w:t>
      </w:r>
      <w:r>
        <w:rPr>
          <w:color w:val="000000"/>
        </w:rPr>
        <w:t>female</w:t>
      </w:r>
      <w:r>
        <w:rPr>
          <w:color w:val="000000"/>
          <w:spacing w:val="-2"/>
        </w:rPr>
        <w:t xml:space="preserve"> </w:t>
      </w:r>
      <w:r>
        <w:rPr>
          <w:color w:val="000000"/>
        </w:rPr>
        <w:t>in</w:t>
      </w:r>
      <w:r>
        <w:rPr>
          <w:color w:val="000000"/>
          <w:spacing w:val="-4"/>
        </w:rPr>
        <w:t xml:space="preserve"> </w:t>
      </w:r>
      <w:r>
        <w:rPr>
          <w:color w:val="000000"/>
        </w:rPr>
        <w:t>the</w:t>
      </w:r>
      <w:r>
        <w:rPr>
          <w:color w:val="000000"/>
          <w:spacing w:val="-4"/>
        </w:rPr>
        <w:t xml:space="preserve"> </w:t>
      </w:r>
      <w:r>
        <w:rPr>
          <w:color w:val="000000"/>
        </w:rPr>
        <w:t>position</w:t>
      </w:r>
      <w:r>
        <w:rPr>
          <w:color w:val="000000"/>
          <w:spacing w:val="-4"/>
        </w:rPr>
        <w:t xml:space="preserve"> </w:t>
      </w:r>
      <w:r>
        <w:rPr>
          <w:color w:val="000000"/>
        </w:rPr>
        <w:t>of</w:t>
      </w:r>
      <w:r>
        <w:rPr>
          <w:color w:val="000000"/>
          <w:spacing w:val="-2"/>
        </w:rPr>
        <w:t xml:space="preserve"> </w:t>
      </w:r>
      <w:r>
        <w:rPr>
          <w:color w:val="000000"/>
        </w:rPr>
        <w:t>PC</w:t>
      </w:r>
      <w:r>
        <w:rPr>
          <w:color w:val="000000"/>
          <w:spacing w:val="-4"/>
        </w:rPr>
        <w:t xml:space="preserve"> </w:t>
      </w:r>
      <w:r>
        <w:rPr>
          <w:color w:val="000000"/>
        </w:rPr>
        <w:t>(Policing)</w:t>
      </w:r>
      <w:r>
        <w:rPr>
          <w:color w:val="000000"/>
          <w:spacing w:val="-1"/>
        </w:rPr>
        <w:t xml:space="preserve"> </w:t>
      </w:r>
      <w:r>
        <w:rPr>
          <w:color w:val="000000"/>
        </w:rPr>
        <w:t>has</w:t>
      </w:r>
      <w:r>
        <w:rPr>
          <w:color w:val="000000"/>
          <w:spacing w:val="-3"/>
        </w:rPr>
        <w:t xml:space="preserve"> </w:t>
      </w:r>
      <w:r>
        <w:rPr>
          <w:color w:val="000000"/>
        </w:rPr>
        <w:t>provided</w:t>
      </w:r>
      <w:r>
        <w:rPr>
          <w:color w:val="000000"/>
          <w:spacing w:val="-1"/>
        </w:rPr>
        <w:t xml:space="preserve"> </w:t>
      </w:r>
      <w:r>
        <w:rPr>
          <w:color w:val="000000"/>
        </w:rPr>
        <w:t>important</w:t>
      </w:r>
      <w:r>
        <w:rPr>
          <w:color w:val="000000"/>
          <w:spacing w:val="-4"/>
        </w:rPr>
        <w:t xml:space="preserve"> </w:t>
      </w:r>
      <w:r>
        <w:rPr>
          <w:color w:val="000000"/>
        </w:rPr>
        <w:t>role</w:t>
      </w:r>
      <w:r>
        <w:rPr>
          <w:color w:val="000000"/>
          <w:spacing w:val="-2"/>
        </w:rPr>
        <w:t xml:space="preserve"> </w:t>
      </w:r>
      <w:r>
        <w:rPr>
          <w:color w:val="000000"/>
        </w:rPr>
        <w:t>modelling</w:t>
      </w:r>
      <w:r>
        <w:rPr>
          <w:color w:val="000000"/>
          <w:spacing w:val="-4"/>
        </w:rPr>
        <w:t xml:space="preserve"> </w:t>
      </w:r>
      <w:r>
        <w:rPr>
          <w:color w:val="000000"/>
        </w:rPr>
        <w:t>for</w:t>
      </w:r>
      <w:r>
        <w:rPr>
          <w:color w:val="000000"/>
          <w:spacing w:val="-3"/>
        </w:rPr>
        <w:t xml:space="preserve"> </w:t>
      </w:r>
      <w:r>
        <w:rPr>
          <w:color w:val="000000"/>
        </w:rPr>
        <w:t>both</w:t>
      </w:r>
      <w:r>
        <w:rPr>
          <w:color w:val="000000"/>
          <w:spacing w:val="-4"/>
        </w:rPr>
        <w:t xml:space="preserve"> </w:t>
      </w:r>
      <w:r>
        <w:rPr>
          <w:color w:val="000000"/>
        </w:rPr>
        <w:t>female and male VPF, with WAN members reporting that seeing her in that role was very empowering</w:t>
      </w:r>
    </w:p>
    <w:p w14:paraId="47441144" w14:textId="77777777" w:rsidR="00C76722" w:rsidRDefault="00C76722" w:rsidP="005C1130">
      <w:pPr>
        <w:pStyle w:val="BodyText"/>
        <w:numPr>
          <w:ilvl w:val="0"/>
          <w:numId w:val="28"/>
        </w:numPr>
        <w:tabs>
          <w:tab w:val="left" w:pos="851"/>
        </w:tabs>
        <w:spacing w:before="3" w:line="235" w:lineRule="auto"/>
        <w:ind w:left="1078" w:right="833" w:hanging="284"/>
        <w:rPr>
          <w:color w:val="000000"/>
        </w:rPr>
      </w:pPr>
      <w:r>
        <w:rPr>
          <w:color w:val="000000"/>
        </w:rPr>
        <w:t>Increased</w:t>
      </w:r>
      <w:r>
        <w:rPr>
          <w:color w:val="000000"/>
          <w:spacing w:val="-5"/>
        </w:rPr>
        <w:t xml:space="preserve"> </w:t>
      </w:r>
      <w:r>
        <w:rPr>
          <w:color w:val="000000"/>
        </w:rPr>
        <w:t>capacity</w:t>
      </w:r>
      <w:r>
        <w:rPr>
          <w:color w:val="000000"/>
          <w:spacing w:val="-4"/>
        </w:rPr>
        <w:t xml:space="preserve"> </w:t>
      </w:r>
      <w:r>
        <w:rPr>
          <w:color w:val="000000"/>
        </w:rPr>
        <w:t>of</w:t>
      </w:r>
      <w:r>
        <w:rPr>
          <w:color w:val="000000"/>
          <w:spacing w:val="-5"/>
        </w:rPr>
        <w:t xml:space="preserve"> </w:t>
      </w:r>
      <w:r>
        <w:rPr>
          <w:color w:val="000000"/>
        </w:rPr>
        <w:t>key</w:t>
      </w:r>
      <w:r>
        <w:rPr>
          <w:color w:val="000000"/>
          <w:spacing w:val="-4"/>
        </w:rPr>
        <w:t xml:space="preserve"> </w:t>
      </w:r>
      <w:r>
        <w:rPr>
          <w:color w:val="000000"/>
        </w:rPr>
        <w:t>policing</w:t>
      </w:r>
      <w:r>
        <w:rPr>
          <w:color w:val="000000"/>
          <w:spacing w:val="-3"/>
        </w:rPr>
        <w:t xml:space="preserve"> </w:t>
      </w:r>
      <w:r>
        <w:rPr>
          <w:color w:val="000000"/>
        </w:rPr>
        <w:t>functions</w:t>
      </w:r>
      <w:r>
        <w:rPr>
          <w:color w:val="000000"/>
          <w:spacing w:val="-4"/>
        </w:rPr>
        <w:t xml:space="preserve"> </w:t>
      </w:r>
      <w:r>
        <w:rPr>
          <w:color w:val="000000"/>
        </w:rPr>
        <w:t>through</w:t>
      </w:r>
      <w:r>
        <w:rPr>
          <w:color w:val="000000"/>
          <w:spacing w:val="-5"/>
        </w:rPr>
        <w:t xml:space="preserve"> </w:t>
      </w:r>
      <w:r>
        <w:rPr>
          <w:color w:val="000000"/>
        </w:rPr>
        <w:t>training</w:t>
      </w:r>
      <w:r>
        <w:rPr>
          <w:color w:val="000000"/>
          <w:spacing w:val="-3"/>
        </w:rPr>
        <w:t xml:space="preserve"> </w:t>
      </w:r>
      <w:r>
        <w:rPr>
          <w:color w:val="000000"/>
        </w:rPr>
        <w:t>and</w:t>
      </w:r>
      <w:r>
        <w:rPr>
          <w:color w:val="000000"/>
          <w:spacing w:val="-3"/>
        </w:rPr>
        <w:t xml:space="preserve"> </w:t>
      </w:r>
      <w:r>
        <w:rPr>
          <w:color w:val="000000"/>
        </w:rPr>
        <w:t>mentoring,</w:t>
      </w:r>
      <w:r>
        <w:rPr>
          <w:color w:val="000000"/>
          <w:spacing w:val="-3"/>
        </w:rPr>
        <w:t xml:space="preserve"> </w:t>
      </w:r>
      <w:r>
        <w:rPr>
          <w:color w:val="000000"/>
        </w:rPr>
        <w:t>including</w:t>
      </w:r>
      <w:r>
        <w:rPr>
          <w:color w:val="000000"/>
          <w:spacing w:val="-5"/>
        </w:rPr>
        <w:t xml:space="preserve"> </w:t>
      </w:r>
      <w:r>
        <w:rPr>
          <w:color w:val="000000"/>
        </w:rPr>
        <w:t>detective</w:t>
      </w:r>
      <w:r>
        <w:rPr>
          <w:color w:val="000000"/>
          <w:spacing w:val="-3"/>
        </w:rPr>
        <w:t xml:space="preserve"> </w:t>
      </w:r>
      <w:r>
        <w:rPr>
          <w:color w:val="000000"/>
        </w:rPr>
        <w:t>work, forensics, family protection</w:t>
      </w:r>
    </w:p>
    <w:p w14:paraId="19573EBD" w14:textId="77777777" w:rsidR="00C76722" w:rsidRDefault="00C76722" w:rsidP="005C1130">
      <w:pPr>
        <w:pStyle w:val="BodyText"/>
        <w:numPr>
          <w:ilvl w:val="0"/>
          <w:numId w:val="28"/>
        </w:numPr>
        <w:tabs>
          <w:tab w:val="left" w:pos="851"/>
        </w:tabs>
        <w:spacing w:before="7" w:line="235" w:lineRule="auto"/>
        <w:ind w:left="1078" w:right="833" w:hanging="284"/>
        <w:rPr>
          <w:color w:val="000000"/>
        </w:rPr>
      </w:pPr>
      <w:r>
        <w:rPr>
          <w:color w:val="000000"/>
        </w:rPr>
        <w:t>Increased</w:t>
      </w:r>
      <w:r>
        <w:rPr>
          <w:color w:val="000000"/>
          <w:spacing w:val="-5"/>
        </w:rPr>
        <w:t xml:space="preserve"> </w:t>
      </w:r>
      <w:r>
        <w:rPr>
          <w:color w:val="000000"/>
        </w:rPr>
        <w:t>reach</w:t>
      </w:r>
      <w:r>
        <w:rPr>
          <w:color w:val="000000"/>
          <w:spacing w:val="-5"/>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VPF</w:t>
      </w:r>
      <w:r>
        <w:rPr>
          <w:color w:val="000000"/>
          <w:spacing w:val="-2"/>
        </w:rPr>
        <w:t xml:space="preserve"> </w:t>
      </w:r>
      <w:r>
        <w:rPr>
          <w:color w:val="000000"/>
        </w:rPr>
        <w:t>through</w:t>
      </w:r>
      <w:r>
        <w:rPr>
          <w:color w:val="000000"/>
          <w:spacing w:val="-5"/>
        </w:rPr>
        <w:t xml:space="preserve"> </w:t>
      </w:r>
      <w:r>
        <w:rPr>
          <w:color w:val="000000"/>
        </w:rPr>
        <w:t>provision</w:t>
      </w:r>
      <w:r>
        <w:rPr>
          <w:color w:val="000000"/>
          <w:spacing w:val="-3"/>
        </w:rPr>
        <w:t xml:space="preserve"> </w:t>
      </w:r>
      <w:r>
        <w:rPr>
          <w:color w:val="000000"/>
        </w:rPr>
        <w:t>of</w:t>
      </w:r>
      <w:r>
        <w:rPr>
          <w:color w:val="000000"/>
          <w:spacing w:val="-3"/>
        </w:rPr>
        <w:t xml:space="preserve"> </w:t>
      </w:r>
      <w:r>
        <w:rPr>
          <w:color w:val="000000"/>
        </w:rPr>
        <w:t>equipment</w:t>
      </w:r>
      <w:r>
        <w:rPr>
          <w:color w:val="000000"/>
          <w:spacing w:val="-3"/>
        </w:rPr>
        <w:t xml:space="preserve"> </w:t>
      </w:r>
      <w:r>
        <w:rPr>
          <w:color w:val="000000"/>
        </w:rPr>
        <w:t>and</w:t>
      </w:r>
      <w:r>
        <w:rPr>
          <w:color w:val="000000"/>
          <w:spacing w:val="-3"/>
        </w:rPr>
        <w:t xml:space="preserve"> </w:t>
      </w:r>
      <w:r>
        <w:rPr>
          <w:color w:val="000000"/>
        </w:rPr>
        <w:t>support</w:t>
      </w:r>
      <w:r>
        <w:rPr>
          <w:color w:val="000000"/>
          <w:spacing w:val="-5"/>
        </w:rPr>
        <w:t xml:space="preserve"> </w:t>
      </w:r>
      <w:r>
        <w:rPr>
          <w:color w:val="000000"/>
        </w:rPr>
        <w:t>for</w:t>
      </w:r>
      <w:r>
        <w:rPr>
          <w:color w:val="000000"/>
          <w:spacing w:val="-2"/>
        </w:rPr>
        <w:t xml:space="preserve"> </w:t>
      </w:r>
      <w:r>
        <w:rPr>
          <w:color w:val="000000"/>
        </w:rPr>
        <w:t>deployments</w:t>
      </w:r>
      <w:r>
        <w:rPr>
          <w:color w:val="000000"/>
          <w:spacing w:val="-4"/>
        </w:rPr>
        <w:t xml:space="preserve"> </w:t>
      </w:r>
      <w:r>
        <w:rPr>
          <w:color w:val="000000"/>
        </w:rPr>
        <w:t>to</w:t>
      </w:r>
      <w:r>
        <w:rPr>
          <w:color w:val="000000"/>
          <w:spacing w:val="-3"/>
        </w:rPr>
        <w:t xml:space="preserve"> </w:t>
      </w:r>
      <w:r>
        <w:rPr>
          <w:color w:val="000000"/>
        </w:rPr>
        <w:t>provinces</w:t>
      </w:r>
      <w:r>
        <w:rPr>
          <w:color w:val="000000"/>
          <w:spacing w:val="-1"/>
        </w:rPr>
        <w:t xml:space="preserve"> </w:t>
      </w:r>
      <w:r>
        <w:rPr>
          <w:color w:val="000000"/>
        </w:rPr>
        <w:t xml:space="preserve">and </w:t>
      </w:r>
      <w:r>
        <w:rPr>
          <w:color w:val="000000"/>
          <w:spacing w:val="-2"/>
        </w:rPr>
        <w:t>posts</w:t>
      </w:r>
    </w:p>
    <w:p w14:paraId="430E94C1" w14:textId="77777777" w:rsidR="00C76722" w:rsidRDefault="00C76722" w:rsidP="005C1130">
      <w:pPr>
        <w:pStyle w:val="BodyText"/>
        <w:numPr>
          <w:ilvl w:val="0"/>
          <w:numId w:val="28"/>
        </w:numPr>
        <w:tabs>
          <w:tab w:val="left" w:pos="851"/>
        </w:tabs>
        <w:spacing w:before="3"/>
        <w:ind w:left="1078" w:right="833" w:hanging="284"/>
        <w:rPr>
          <w:color w:val="000000"/>
        </w:rPr>
      </w:pPr>
      <w:r>
        <w:rPr>
          <w:color w:val="000000"/>
        </w:rPr>
        <w:t>Increased</w:t>
      </w:r>
      <w:r>
        <w:rPr>
          <w:color w:val="000000"/>
          <w:spacing w:val="-4"/>
        </w:rPr>
        <w:t xml:space="preserve"> </w:t>
      </w:r>
      <w:r>
        <w:rPr>
          <w:color w:val="000000"/>
        </w:rPr>
        <w:t>engagement</w:t>
      </w:r>
      <w:r>
        <w:rPr>
          <w:color w:val="000000"/>
          <w:spacing w:val="-4"/>
        </w:rPr>
        <w:t xml:space="preserve"> </w:t>
      </w:r>
      <w:r>
        <w:rPr>
          <w:color w:val="000000"/>
        </w:rPr>
        <w:t>with</w:t>
      </w:r>
      <w:r>
        <w:rPr>
          <w:color w:val="000000"/>
          <w:spacing w:val="-4"/>
        </w:rPr>
        <w:t xml:space="preserve"> </w:t>
      </w:r>
      <w:r>
        <w:rPr>
          <w:color w:val="000000"/>
        </w:rPr>
        <w:t>and</w:t>
      </w:r>
      <w:r>
        <w:rPr>
          <w:color w:val="000000"/>
          <w:spacing w:val="-4"/>
        </w:rPr>
        <w:t xml:space="preserve"> </w:t>
      </w:r>
      <w:r>
        <w:rPr>
          <w:color w:val="000000"/>
        </w:rPr>
        <w:t>support</w:t>
      </w:r>
      <w:r>
        <w:rPr>
          <w:color w:val="000000"/>
          <w:spacing w:val="-4"/>
        </w:rPr>
        <w:t xml:space="preserve"> </w:t>
      </w:r>
      <w:r>
        <w:rPr>
          <w:color w:val="000000"/>
        </w:rPr>
        <w:t>from</w:t>
      </w:r>
      <w:r>
        <w:rPr>
          <w:color w:val="000000"/>
          <w:spacing w:val="-4"/>
        </w:rPr>
        <w:t xml:space="preserve"> </w:t>
      </w:r>
      <w:r>
        <w:rPr>
          <w:color w:val="000000"/>
        </w:rPr>
        <w:t>Chiefs</w:t>
      </w:r>
      <w:r>
        <w:rPr>
          <w:color w:val="000000"/>
          <w:spacing w:val="-3"/>
        </w:rPr>
        <w:t xml:space="preserve"> </w:t>
      </w:r>
      <w:r>
        <w:rPr>
          <w:color w:val="000000"/>
        </w:rPr>
        <w:t>to</w:t>
      </w:r>
      <w:r>
        <w:rPr>
          <w:color w:val="000000"/>
          <w:spacing w:val="-4"/>
        </w:rPr>
        <w:t xml:space="preserve"> </w:t>
      </w:r>
      <w:r>
        <w:rPr>
          <w:color w:val="000000"/>
        </w:rPr>
        <w:t>facilitate</w:t>
      </w:r>
      <w:r>
        <w:rPr>
          <w:color w:val="000000"/>
          <w:spacing w:val="-2"/>
        </w:rPr>
        <w:t xml:space="preserve"> </w:t>
      </w:r>
      <w:r>
        <w:rPr>
          <w:color w:val="000000"/>
        </w:rPr>
        <w:t>expansion</w:t>
      </w:r>
      <w:r>
        <w:rPr>
          <w:color w:val="000000"/>
          <w:spacing w:val="-2"/>
        </w:rPr>
        <w:t xml:space="preserve"> </w:t>
      </w:r>
      <w:r>
        <w:rPr>
          <w:color w:val="000000"/>
        </w:rPr>
        <w:t>of</w:t>
      </w:r>
      <w:r>
        <w:rPr>
          <w:color w:val="000000"/>
          <w:spacing w:val="-4"/>
        </w:rPr>
        <w:t xml:space="preserve"> </w:t>
      </w:r>
      <w:r>
        <w:rPr>
          <w:color w:val="000000"/>
        </w:rPr>
        <w:t>the</w:t>
      </w:r>
      <w:r>
        <w:rPr>
          <w:color w:val="000000"/>
          <w:spacing w:val="-2"/>
        </w:rPr>
        <w:t xml:space="preserve"> </w:t>
      </w:r>
      <w:r>
        <w:rPr>
          <w:color w:val="000000"/>
        </w:rPr>
        <w:t>Authorised</w:t>
      </w:r>
      <w:r>
        <w:rPr>
          <w:color w:val="000000"/>
          <w:spacing w:val="-4"/>
        </w:rPr>
        <w:t xml:space="preserve"> </w:t>
      </w:r>
      <w:r>
        <w:rPr>
          <w:color w:val="000000"/>
        </w:rPr>
        <w:t xml:space="preserve">Persons </w:t>
      </w:r>
      <w:r>
        <w:rPr>
          <w:color w:val="000000"/>
          <w:spacing w:val="-2"/>
        </w:rPr>
        <w:t>program</w:t>
      </w:r>
    </w:p>
    <w:p w14:paraId="216D7D84" w14:textId="77777777" w:rsidR="00C76722" w:rsidRDefault="00C76722" w:rsidP="005C1130">
      <w:pPr>
        <w:pStyle w:val="BodyText"/>
        <w:numPr>
          <w:ilvl w:val="0"/>
          <w:numId w:val="28"/>
        </w:numPr>
        <w:tabs>
          <w:tab w:val="left" w:pos="851"/>
        </w:tabs>
        <w:spacing w:before="4" w:line="235" w:lineRule="auto"/>
        <w:ind w:left="1078" w:right="833" w:hanging="284"/>
        <w:rPr>
          <w:color w:val="000000"/>
        </w:rPr>
      </w:pPr>
      <w:r>
        <w:rPr>
          <w:color w:val="000000"/>
        </w:rPr>
        <w:t>Design</w:t>
      </w:r>
      <w:r>
        <w:rPr>
          <w:color w:val="000000"/>
          <w:spacing w:val="-2"/>
        </w:rPr>
        <w:t xml:space="preserve"> </w:t>
      </w:r>
      <w:r>
        <w:rPr>
          <w:color w:val="000000"/>
        </w:rPr>
        <w:t>and</w:t>
      </w:r>
      <w:r>
        <w:rPr>
          <w:color w:val="000000"/>
          <w:spacing w:val="-4"/>
        </w:rPr>
        <w:t xml:space="preserve"> </w:t>
      </w:r>
      <w:r>
        <w:rPr>
          <w:color w:val="000000"/>
        </w:rPr>
        <w:t>delivery</w:t>
      </w:r>
      <w:r>
        <w:rPr>
          <w:color w:val="000000"/>
          <w:spacing w:val="-3"/>
        </w:rPr>
        <w:t xml:space="preserve"> </w:t>
      </w:r>
      <w:r>
        <w:rPr>
          <w:color w:val="000000"/>
        </w:rPr>
        <w:t>of</w:t>
      </w:r>
      <w:r>
        <w:rPr>
          <w:color w:val="000000"/>
          <w:spacing w:val="-4"/>
        </w:rPr>
        <w:t xml:space="preserve"> </w:t>
      </w:r>
      <w:r>
        <w:rPr>
          <w:color w:val="000000"/>
        </w:rPr>
        <w:t>infrastructure</w:t>
      </w:r>
      <w:r>
        <w:rPr>
          <w:color w:val="000000"/>
          <w:spacing w:val="-4"/>
        </w:rPr>
        <w:t xml:space="preserve"> </w:t>
      </w:r>
      <w:r>
        <w:rPr>
          <w:color w:val="000000"/>
        </w:rPr>
        <w:t>projects</w:t>
      </w:r>
      <w:r>
        <w:rPr>
          <w:color w:val="000000"/>
          <w:spacing w:val="-3"/>
        </w:rPr>
        <w:t xml:space="preserve"> </w:t>
      </w:r>
      <w:r>
        <w:rPr>
          <w:color w:val="000000"/>
        </w:rPr>
        <w:t>in</w:t>
      </w:r>
      <w:r>
        <w:rPr>
          <w:color w:val="000000"/>
          <w:spacing w:val="-4"/>
        </w:rPr>
        <w:t xml:space="preserve"> </w:t>
      </w:r>
      <w:r>
        <w:rPr>
          <w:color w:val="000000"/>
        </w:rPr>
        <w:t>response</w:t>
      </w:r>
      <w:r>
        <w:rPr>
          <w:color w:val="000000"/>
          <w:spacing w:val="-4"/>
        </w:rPr>
        <w:t xml:space="preserve"> </w:t>
      </w:r>
      <w:r>
        <w:rPr>
          <w:color w:val="000000"/>
        </w:rPr>
        <w:t>to</w:t>
      </w:r>
      <w:r>
        <w:rPr>
          <w:color w:val="000000"/>
          <w:spacing w:val="-4"/>
        </w:rPr>
        <w:t xml:space="preserve"> </w:t>
      </w:r>
      <w:r>
        <w:rPr>
          <w:color w:val="000000"/>
        </w:rPr>
        <w:t>requests</w:t>
      </w:r>
      <w:r>
        <w:rPr>
          <w:color w:val="000000"/>
          <w:spacing w:val="-3"/>
        </w:rPr>
        <w:t xml:space="preserve"> </w:t>
      </w:r>
      <w:r>
        <w:rPr>
          <w:color w:val="000000"/>
        </w:rPr>
        <w:t>from</w:t>
      </w:r>
      <w:r>
        <w:rPr>
          <w:color w:val="000000"/>
          <w:spacing w:val="-2"/>
        </w:rPr>
        <w:t xml:space="preserve"> </w:t>
      </w:r>
      <w:r>
        <w:rPr>
          <w:color w:val="000000"/>
        </w:rPr>
        <w:t>the</w:t>
      </w:r>
      <w:r>
        <w:rPr>
          <w:color w:val="000000"/>
          <w:spacing w:val="-2"/>
        </w:rPr>
        <w:t xml:space="preserve"> </w:t>
      </w:r>
      <w:r>
        <w:rPr>
          <w:color w:val="000000"/>
        </w:rPr>
        <w:t>VPF</w:t>
      </w:r>
      <w:r>
        <w:rPr>
          <w:color w:val="000000"/>
          <w:spacing w:val="-3"/>
        </w:rPr>
        <w:t xml:space="preserve"> </w:t>
      </w:r>
      <w:r>
        <w:rPr>
          <w:color w:val="000000"/>
        </w:rPr>
        <w:t>and</w:t>
      </w:r>
      <w:r>
        <w:rPr>
          <w:color w:val="000000"/>
          <w:spacing w:val="-4"/>
        </w:rPr>
        <w:t xml:space="preserve"> </w:t>
      </w:r>
      <w:r>
        <w:rPr>
          <w:color w:val="000000"/>
        </w:rPr>
        <w:t>justice</w:t>
      </w:r>
      <w:r>
        <w:rPr>
          <w:color w:val="000000"/>
          <w:spacing w:val="-2"/>
        </w:rPr>
        <w:t xml:space="preserve"> </w:t>
      </w:r>
      <w:r>
        <w:rPr>
          <w:color w:val="000000"/>
        </w:rPr>
        <w:t>agencies, including promoting accessibility standards and co-located Justice and Policing services in Epi</w:t>
      </w:r>
    </w:p>
    <w:p w14:paraId="0074FCC9" w14:textId="77777777" w:rsidR="00C76722" w:rsidRDefault="00C76722" w:rsidP="005C1130">
      <w:pPr>
        <w:pStyle w:val="BodyText"/>
        <w:numPr>
          <w:ilvl w:val="0"/>
          <w:numId w:val="28"/>
        </w:numPr>
        <w:tabs>
          <w:tab w:val="left" w:pos="851"/>
        </w:tabs>
        <w:spacing w:before="8" w:line="235" w:lineRule="auto"/>
        <w:ind w:left="1078" w:right="833" w:hanging="284"/>
        <w:rPr>
          <w:color w:val="000000"/>
        </w:rPr>
      </w:pPr>
      <w:r>
        <w:rPr>
          <w:color w:val="000000"/>
        </w:rPr>
        <w:t>Data</w:t>
      </w:r>
      <w:r>
        <w:rPr>
          <w:color w:val="000000"/>
          <w:spacing w:val="-4"/>
        </w:rPr>
        <w:t xml:space="preserve"> </w:t>
      </w:r>
      <w:r>
        <w:rPr>
          <w:color w:val="000000"/>
        </w:rPr>
        <w:t>recovery</w:t>
      </w:r>
      <w:r>
        <w:rPr>
          <w:color w:val="000000"/>
          <w:spacing w:val="-3"/>
        </w:rPr>
        <w:t xml:space="preserve"> </w:t>
      </w:r>
      <w:r>
        <w:rPr>
          <w:color w:val="000000"/>
        </w:rPr>
        <w:t>and</w:t>
      </w:r>
      <w:r>
        <w:rPr>
          <w:color w:val="000000"/>
          <w:spacing w:val="-4"/>
        </w:rPr>
        <w:t xml:space="preserve"> </w:t>
      </w:r>
      <w:r>
        <w:rPr>
          <w:color w:val="000000"/>
        </w:rPr>
        <w:t>systems</w:t>
      </w:r>
      <w:r>
        <w:rPr>
          <w:color w:val="000000"/>
          <w:spacing w:val="-1"/>
        </w:rPr>
        <w:t xml:space="preserve"> </w:t>
      </w:r>
      <w:r>
        <w:rPr>
          <w:color w:val="000000"/>
        </w:rPr>
        <w:t>strengthening</w:t>
      </w:r>
      <w:r>
        <w:rPr>
          <w:color w:val="000000"/>
          <w:spacing w:val="-2"/>
        </w:rPr>
        <w:t xml:space="preserve"> </w:t>
      </w:r>
      <w:r>
        <w:rPr>
          <w:color w:val="000000"/>
        </w:rPr>
        <w:t>for</w:t>
      </w:r>
      <w:r>
        <w:rPr>
          <w:color w:val="000000"/>
          <w:spacing w:val="-3"/>
        </w:rPr>
        <w:t xml:space="preserve"> </w:t>
      </w:r>
      <w:r>
        <w:rPr>
          <w:color w:val="000000"/>
        </w:rPr>
        <w:t>GoV</w:t>
      </w:r>
      <w:r>
        <w:rPr>
          <w:color w:val="000000"/>
          <w:spacing w:val="-4"/>
        </w:rPr>
        <w:t xml:space="preserve"> </w:t>
      </w:r>
      <w:r>
        <w:rPr>
          <w:color w:val="000000"/>
        </w:rPr>
        <w:t>Police</w:t>
      </w:r>
      <w:r>
        <w:rPr>
          <w:color w:val="000000"/>
          <w:spacing w:val="-4"/>
        </w:rPr>
        <w:t xml:space="preserve"> </w:t>
      </w:r>
      <w:r>
        <w:rPr>
          <w:color w:val="000000"/>
        </w:rPr>
        <w:t>Information</w:t>
      </w:r>
      <w:r>
        <w:rPr>
          <w:color w:val="000000"/>
          <w:spacing w:val="-2"/>
        </w:rPr>
        <w:t xml:space="preserve"> </w:t>
      </w:r>
      <w:r>
        <w:rPr>
          <w:color w:val="000000"/>
        </w:rPr>
        <w:t>Management</w:t>
      </w:r>
      <w:r>
        <w:rPr>
          <w:color w:val="000000"/>
          <w:spacing w:val="-4"/>
        </w:rPr>
        <w:t xml:space="preserve"> </w:t>
      </w:r>
      <w:r>
        <w:rPr>
          <w:color w:val="000000"/>
        </w:rPr>
        <w:t>System</w:t>
      </w:r>
      <w:r>
        <w:rPr>
          <w:color w:val="000000"/>
          <w:spacing w:val="-4"/>
        </w:rPr>
        <w:t xml:space="preserve"> </w:t>
      </w:r>
      <w:r>
        <w:rPr>
          <w:color w:val="000000"/>
        </w:rPr>
        <w:t>(PIMS)</w:t>
      </w:r>
      <w:r>
        <w:rPr>
          <w:color w:val="000000"/>
          <w:spacing w:val="-3"/>
        </w:rPr>
        <w:t xml:space="preserve"> </w:t>
      </w:r>
      <w:r>
        <w:rPr>
          <w:color w:val="000000"/>
        </w:rPr>
        <w:t>and Case Management System (CMS)</w:t>
      </w:r>
    </w:p>
    <w:p w14:paraId="2312579B" w14:textId="77777777" w:rsidR="00C76722" w:rsidRDefault="00C76722" w:rsidP="005C1130">
      <w:pPr>
        <w:pStyle w:val="BodyText"/>
        <w:numPr>
          <w:ilvl w:val="0"/>
          <w:numId w:val="28"/>
        </w:numPr>
        <w:tabs>
          <w:tab w:val="left" w:pos="851"/>
        </w:tabs>
        <w:spacing w:before="7" w:line="235" w:lineRule="auto"/>
        <w:ind w:left="1078" w:right="833" w:hanging="284"/>
        <w:rPr>
          <w:color w:val="000000"/>
        </w:rPr>
      </w:pPr>
      <w:r>
        <w:rPr>
          <w:color w:val="000000"/>
        </w:rPr>
        <w:t>Increased</w:t>
      </w:r>
      <w:r>
        <w:rPr>
          <w:color w:val="000000"/>
          <w:spacing w:val="-4"/>
        </w:rPr>
        <w:t xml:space="preserve"> </w:t>
      </w:r>
      <w:r>
        <w:rPr>
          <w:color w:val="000000"/>
        </w:rPr>
        <w:t>community</w:t>
      </w:r>
      <w:r>
        <w:rPr>
          <w:color w:val="000000"/>
          <w:spacing w:val="-1"/>
        </w:rPr>
        <w:t xml:space="preserve"> </w:t>
      </w:r>
      <w:r>
        <w:rPr>
          <w:color w:val="000000"/>
        </w:rPr>
        <w:t>outreach</w:t>
      </w:r>
      <w:r>
        <w:rPr>
          <w:color w:val="000000"/>
          <w:spacing w:val="-4"/>
        </w:rPr>
        <w:t xml:space="preserve"> </w:t>
      </w:r>
      <w:r>
        <w:rPr>
          <w:color w:val="000000"/>
        </w:rPr>
        <w:t>on</w:t>
      </w:r>
      <w:r>
        <w:rPr>
          <w:color w:val="000000"/>
          <w:spacing w:val="-2"/>
        </w:rPr>
        <w:t xml:space="preserve"> </w:t>
      </w:r>
      <w:r>
        <w:rPr>
          <w:color w:val="000000"/>
        </w:rPr>
        <w:t>policing,</w:t>
      </w:r>
      <w:r>
        <w:rPr>
          <w:color w:val="000000"/>
          <w:spacing w:val="-4"/>
        </w:rPr>
        <w:t xml:space="preserve"> </w:t>
      </w:r>
      <w:r>
        <w:rPr>
          <w:color w:val="000000"/>
        </w:rPr>
        <w:t>justice</w:t>
      </w:r>
      <w:r>
        <w:rPr>
          <w:color w:val="000000"/>
          <w:spacing w:val="-4"/>
        </w:rPr>
        <w:t xml:space="preserve"> </w:t>
      </w:r>
      <w:r>
        <w:rPr>
          <w:color w:val="000000"/>
        </w:rPr>
        <w:t>and</w:t>
      </w:r>
      <w:r>
        <w:rPr>
          <w:color w:val="000000"/>
          <w:spacing w:val="-2"/>
        </w:rPr>
        <w:t xml:space="preserve"> </w:t>
      </w:r>
      <w:r>
        <w:rPr>
          <w:color w:val="000000"/>
        </w:rPr>
        <w:t>laws</w:t>
      </w:r>
      <w:r>
        <w:rPr>
          <w:color w:val="000000"/>
          <w:spacing w:val="-3"/>
        </w:rPr>
        <w:t xml:space="preserve"> </w:t>
      </w:r>
      <w:r>
        <w:rPr>
          <w:color w:val="000000"/>
        </w:rPr>
        <w:t>related</w:t>
      </w:r>
      <w:r>
        <w:rPr>
          <w:color w:val="000000"/>
          <w:spacing w:val="-4"/>
        </w:rPr>
        <w:t xml:space="preserve"> </w:t>
      </w:r>
      <w:r>
        <w:rPr>
          <w:color w:val="000000"/>
        </w:rPr>
        <w:t>to</w:t>
      </w:r>
      <w:r>
        <w:rPr>
          <w:color w:val="000000"/>
          <w:spacing w:val="-4"/>
        </w:rPr>
        <w:t xml:space="preserve"> </w:t>
      </w:r>
      <w:r>
        <w:rPr>
          <w:color w:val="000000"/>
        </w:rPr>
        <w:t>VAWC</w:t>
      </w:r>
      <w:r>
        <w:rPr>
          <w:color w:val="000000"/>
          <w:spacing w:val="-3"/>
        </w:rPr>
        <w:t xml:space="preserve"> </w:t>
      </w:r>
      <w:r>
        <w:rPr>
          <w:color w:val="000000"/>
        </w:rPr>
        <w:t>through</w:t>
      </w:r>
      <w:r>
        <w:rPr>
          <w:color w:val="000000"/>
          <w:spacing w:val="-4"/>
        </w:rPr>
        <w:t xml:space="preserve"> </w:t>
      </w:r>
      <w:r>
        <w:rPr>
          <w:color w:val="000000"/>
        </w:rPr>
        <w:t>joint</w:t>
      </w:r>
      <w:r>
        <w:rPr>
          <w:color w:val="000000"/>
          <w:spacing w:val="-4"/>
        </w:rPr>
        <w:t xml:space="preserve"> </w:t>
      </w:r>
      <w:r>
        <w:rPr>
          <w:color w:val="000000"/>
        </w:rPr>
        <w:t>community, justice and policing rotations</w:t>
      </w:r>
    </w:p>
    <w:p w14:paraId="11B78BB6" w14:textId="77777777" w:rsidR="00C76722" w:rsidRDefault="00C76722" w:rsidP="005C1130">
      <w:pPr>
        <w:pStyle w:val="BodyText"/>
        <w:numPr>
          <w:ilvl w:val="0"/>
          <w:numId w:val="28"/>
        </w:numPr>
        <w:tabs>
          <w:tab w:val="left" w:pos="851"/>
        </w:tabs>
        <w:spacing w:before="3" w:line="245" w:lineRule="exact"/>
        <w:ind w:left="1078" w:right="833" w:hanging="284"/>
        <w:rPr>
          <w:color w:val="000000"/>
        </w:rPr>
      </w:pPr>
      <w:r>
        <w:rPr>
          <w:color w:val="000000"/>
        </w:rPr>
        <w:t>Awareness</w:t>
      </w:r>
      <w:r>
        <w:rPr>
          <w:color w:val="000000"/>
          <w:spacing w:val="-6"/>
        </w:rPr>
        <w:t xml:space="preserve"> </w:t>
      </w:r>
      <w:r>
        <w:rPr>
          <w:color w:val="000000"/>
        </w:rPr>
        <w:t>raising</w:t>
      </w:r>
      <w:r>
        <w:rPr>
          <w:color w:val="000000"/>
          <w:spacing w:val="-6"/>
        </w:rPr>
        <w:t xml:space="preserve"> </w:t>
      </w:r>
      <w:r>
        <w:rPr>
          <w:color w:val="000000"/>
        </w:rPr>
        <w:t>within</w:t>
      </w:r>
      <w:r>
        <w:rPr>
          <w:color w:val="000000"/>
          <w:spacing w:val="-6"/>
        </w:rPr>
        <w:t xml:space="preserve"> </w:t>
      </w:r>
      <w:r>
        <w:rPr>
          <w:color w:val="000000"/>
        </w:rPr>
        <w:t>the</w:t>
      </w:r>
      <w:r>
        <w:rPr>
          <w:color w:val="000000"/>
          <w:spacing w:val="-6"/>
        </w:rPr>
        <w:t xml:space="preserve"> </w:t>
      </w:r>
      <w:r>
        <w:rPr>
          <w:color w:val="000000"/>
        </w:rPr>
        <w:t>sector</w:t>
      </w:r>
      <w:r>
        <w:rPr>
          <w:color w:val="000000"/>
          <w:spacing w:val="-5"/>
        </w:rPr>
        <w:t xml:space="preserve"> </w:t>
      </w:r>
      <w:r>
        <w:rPr>
          <w:color w:val="000000"/>
        </w:rPr>
        <w:t>and</w:t>
      </w:r>
      <w:r>
        <w:rPr>
          <w:color w:val="000000"/>
          <w:spacing w:val="-7"/>
        </w:rPr>
        <w:t xml:space="preserve"> </w:t>
      </w:r>
      <w:r>
        <w:rPr>
          <w:color w:val="000000"/>
        </w:rPr>
        <w:t>communities</w:t>
      </w:r>
      <w:r>
        <w:rPr>
          <w:color w:val="000000"/>
          <w:spacing w:val="-5"/>
        </w:rPr>
        <w:t xml:space="preserve"> </w:t>
      </w:r>
      <w:r>
        <w:rPr>
          <w:color w:val="000000"/>
        </w:rPr>
        <w:t>on</w:t>
      </w:r>
      <w:r>
        <w:rPr>
          <w:color w:val="000000"/>
          <w:spacing w:val="-6"/>
        </w:rPr>
        <w:t xml:space="preserve"> </w:t>
      </w:r>
      <w:r>
        <w:rPr>
          <w:color w:val="000000"/>
        </w:rPr>
        <w:t>the</w:t>
      </w:r>
      <w:r>
        <w:rPr>
          <w:color w:val="000000"/>
          <w:spacing w:val="-4"/>
        </w:rPr>
        <w:t xml:space="preserve"> </w:t>
      </w:r>
      <w:r>
        <w:rPr>
          <w:color w:val="000000"/>
        </w:rPr>
        <w:t>rights</w:t>
      </w:r>
      <w:r>
        <w:rPr>
          <w:color w:val="000000"/>
          <w:spacing w:val="-6"/>
        </w:rPr>
        <w:t xml:space="preserve"> </w:t>
      </w:r>
      <w:r>
        <w:rPr>
          <w:color w:val="000000"/>
        </w:rPr>
        <w:t>of</w:t>
      </w:r>
      <w:r>
        <w:rPr>
          <w:color w:val="000000"/>
          <w:spacing w:val="-6"/>
        </w:rPr>
        <w:t xml:space="preserve"> </w:t>
      </w:r>
      <w:r>
        <w:rPr>
          <w:color w:val="000000"/>
        </w:rPr>
        <w:t>people</w:t>
      </w:r>
      <w:r>
        <w:rPr>
          <w:color w:val="000000"/>
          <w:spacing w:val="-4"/>
        </w:rPr>
        <w:t xml:space="preserve"> </w:t>
      </w:r>
      <w:r>
        <w:rPr>
          <w:color w:val="000000"/>
        </w:rPr>
        <w:t>with</w:t>
      </w:r>
      <w:r>
        <w:rPr>
          <w:color w:val="000000"/>
          <w:spacing w:val="-6"/>
        </w:rPr>
        <w:t xml:space="preserve"> </w:t>
      </w:r>
      <w:r>
        <w:rPr>
          <w:color w:val="000000"/>
          <w:spacing w:val="-2"/>
        </w:rPr>
        <w:t>disabilities</w:t>
      </w:r>
    </w:p>
    <w:p w14:paraId="49777F26" w14:textId="77777777" w:rsidR="00C76722" w:rsidRDefault="00C76722" w:rsidP="005C1130">
      <w:pPr>
        <w:pStyle w:val="BodyText"/>
        <w:numPr>
          <w:ilvl w:val="0"/>
          <w:numId w:val="28"/>
        </w:numPr>
        <w:tabs>
          <w:tab w:val="left" w:pos="851"/>
        </w:tabs>
        <w:ind w:left="1078" w:right="833" w:hanging="284"/>
        <w:rPr>
          <w:color w:val="000000"/>
        </w:rPr>
      </w:pPr>
      <w:r>
        <w:rPr>
          <w:color w:val="000000"/>
        </w:rPr>
        <w:t>Increased</w:t>
      </w:r>
      <w:r>
        <w:rPr>
          <w:color w:val="000000"/>
          <w:spacing w:val="-7"/>
        </w:rPr>
        <w:t xml:space="preserve"> </w:t>
      </w:r>
      <w:r>
        <w:rPr>
          <w:color w:val="000000"/>
        </w:rPr>
        <w:t>support</w:t>
      </w:r>
      <w:r>
        <w:rPr>
          <w:color w:val="000000"/>
          <w:spacing w:val="-7"/>
        </w:rPr>
        <w:t xml:space="preserve"> </w:t>
      </w:r>
      <w:r>
        <w:rPr>
          <w:color w:val="000000"/>
        </w:rPr>
        <w:t>to</w:t>
      </w:r>
      <w:r>
        <w:rPr>
          <w:color w:val="000000"/>
          <w:spacing w:val="-6"/>
        </w:rPr>
        <w:t xml:space="preserve"> </w:t>
      </w:r>
      <w:r>
        <w:rPr>
          <w:color w:val="000000"/>
        </w:rPr>
        <w:t>children</w:t>
      </w:r>
      <w:r>
        <w:rPr>
          <w:color w:val="000000"/>
          <w:spacing w:val="-7"/>
        </w:rPr>
        <w:t xml:space="preserve"> </w:t>
      </w:r>
      <w:r>
        <w:rPr>
          <w:color w:val="000000"/>
        </w:rPr>
        <w:t>and</w:t>
      </w:r>
      <w:r>
        <w:rPr>
          <w:color w:val="000000"/>
          <w:spacing w:val="-6"/>
        </w:rPr>
        <w:t xml:space="preserve"> </w:t>
      </w:r>
      <w:r>
        <w:rPr>
          <w:color w:val="000000"/>
        </w:rPr>
        <w:t>child</w:t>
      </w:r>
      <w:r>
        <w:rPr>
          <w:color w:val="000000"/>
          <w:spacing w:val="-5"/>
        </w:rPr>
        <w:t xml:space="preserve"> </w:t>
      </w:r>
      <w:r>
        <w:rPr>
          <w:color w:val="000000"/>
        </w:rPr>
        <w:t>rights</w:t>
      </w:r>
      <w:r>
        <w:rPr>
          <w:color w:val="000000"/>
          <w:spacing w:val="-5"/>
        </w:rPr>
        <w:t xml:space="preserve"> </w:t>
      </w:r>
      <w:r>
        <w:rPr>
          <w:color w:val="000000"/>
        </w:rPr>
        <w:t>across</w:t>
      </w:r>
      <w:r>
        <w:rPr>
          <w:color w:val="000000"/>
          <w:spacing w:val="-6"/>
        </w:rPr>
        <w:t xml:space="preserve"> </w:t>
      </w:r>
      <w:r>
        <w:rPr>
          <w:color w:val="000000"/>
        </w:rPr>
        <w:t>the</w:t>
      </w:r>
      <w:r>
        <w:rPr>
          <w:color w:val="000000"/>
          <w:spacing w:val="-7"/>
        </w:rPr>
        <w:t xml:space="preserve"> </w:t>
      </w:r>
      <w:r>
        <w:rPr>
          <w:color w:val="000000"/>
          <w:spacing w:val="-2"/>
        </w:rPr>
        <w:t>sector</w:t>
      </w:r>
    </w:p>
    <w:p w14:paraId="2B391998" w14:textId="5962466A" w:rsidR="009C36E3" w:rsidRDefault="009C36E3">
      <w:pPr>
        <w:pStyle w:val="BodyText"/>
        <w:ind w:left="772"/>
      </w:pPr>
    </w:p>
    <w:p w14:paraId="4897A8DF" w14:textId="77777777" w:rsidR="009C36E3" w:rsidRDefault="000E7207">
      <w:pPr>
        <w:pStyle w:val="Heading7"/>
        <w:spacing w:before="101"/>
        <w:ind w:left="772"/>
      </w:pPr>
      <w:r>
        <w:t>EOPO1:</w:t>
      </w:r>
      <w:r>
        <w:rPr>
          <w:spacing w:val="-3"/>
        </w:rPr>
        <w:t xml:space="preserve"> </w:t>
      </w:r>
      <w:r>
        <w:t>Justice</w:t>
      </w:r>
      <w:r>
        <w:rPr>
          <w:spacing w:val="-2"/>
        </w:rPr>
        <w:t xml:space="preserve"> </w:t>
      </w:r>
      <w:r>
        <w:t>and</w:t>
      </w:r>
      <w:r>
        <w:rPr>
          <w:spacing w:val="-3"/>
        </w:rPr>
        <w:t xml:space="preserve"> </w:t>
      </w:r>
      <w:r>
        <w:t>policing</w:t>
      </w:r>
      <w:r>
        <w:rPr>
          <w:spacing w:val="-3"/>
        </w:rPr>
        <w:t xml:space="preserve"> </w:t>
      </w:r>
      <w:r>
        <w:t>agencies</w:t>
      </w:r>
      <w:r>
        <w:rPr>
          <w:spacing w:val="-4"/>
        </w:rPr>
        <w:t xml:space="preserve"> </w:t>
      </w:r>
      <w:r>
        <w:t>improve</w:t>
      </w:r>
      <w:r>
        <w:rPr>
          <w:spacing w:val="-4"/>
        </w:rPr>
        <w:t xml:space="preserve"> </w:t>
      </w:r>
      <w:r>
        <w:t>quality</w:t>
      </w:r>
      <w:r>
        <w:rPr>
          <w:spacing w:val="-4"/>
        </w:rPr>
        <w:t xml:space="preserve"> </w:t>
      </w:r>
      <w:r>
        <w:t>and</w:t>
      </w:r>
      <w:r>
        <w:rPr>
          <w:spacing w:val="-1"/>
        </w:rPr>
        <w:t xml:space="preserve"> </w:t>
      </w:r>
      <w:r>
        <w:t>reach</w:t>
      </w:r>
      <w:r>
        <w:rPr>
          <w:spacing w:val="-3"/>
        </w:rPr>
        <w:t xml:space="preserve"> </w:t>
      </w:r>
      <w:r>
        <w:t>of</w:t>
      </w:r>
      <w:r>
        <w:rPr>
          <w:spacing w:val="-3"/>
        </w:rPr>
        <w:t xml:space="preserve"> </w:t>
      </w:r>
      <w:r>
        <w:t>services</w:t>
      </w:r>
      <w:r>
        <w:rPr>
          <w:spacing w:val="-4"/>
        </w:rPr>
        <w:t xml:space="preserve"> </w:t>
      </w:r>
      <w:r>
        <w:t>to</w:t>
      </w:r>
      <w:r>
        <w:rPr>
          <w:spacing w:val="-3"/>
        </w:rPr>
        <w:t xml:space="preserve"> </w:t>
      </w:r>
      <w:r>
        <w:t>Vanuatu</w:t>
      </w:r>
      <w:r>
        <w:rPr>
          <w:spacing w:val="-1"/>
        </w:rPr>
        <w:t xml:space="preserve"> </w:t>
      </w:r>
      <w:r>
        <w:t>communities, particularly in their handling of cases involving women, children and youth.</w:t>
      </w:r>
    </w:p>
    <w:p w14:paraId="7D3645E1" w14:textId="77777777" w:rsidR="009C36E3" w:rsidRDefault="000E7207" w:rsidP="009530BC">
      <w:pPr>
        <w:pStyle w:val="BodyText"/>
        <w:spacing w:before="121" w:after="240"/>
        <w:ind w:right="119"/>
      </w:pPr>
      <w:r>
        <w:t>This</w:t>
      </w:r>
      <w:r>
        <w:rPr>
          <w:spacing w:val="-3"/>
        </w:rPr>
        <w:t xml:space="preserve"> </w:t>
      </w:r>
      <w:r>
        <w:t>section</w:t>
      </w:r>
      <w:r>
        <w:rPr>
          <w:spacing w:val="-4"/>
        </w:rPr>
        <w:t xml:space="preserve"> </w:t>
      </w:r>
      <w:r>
        <w:t>examines</w:t>
      </w:r>
      <w:r>
        <w:rPr>
          <w:spacing w:val="-3"/>
        </w:rPr>
        <w:t xml:space="preserve"> </w:t>
      </w:r>
      <w:r>
        <w:t>EOPO1</w:t>
      </w:r>
      <w:r>
        <w:rPr>
          <w:spacing w:val="-4"/>
        </w:rPr>
        <w:t xml:space="preserve"> </w:t>
      </w:r>
      <w:r>
        <w:t>with</w:t>
      </w:r>
      <w:r>
        <w:rPr>
          <w:spacing w:val="-2"/>
        </w:rPr>
        <w:t xml:space="preserve"> </w:t>
      </w:r>
      <w:r>
        <w:t>an</w:t>
      </w:r>
      <w:r>
        <w:rPr>
          <w:spacing w:val="-4"/>
        </w:rPr>
        <w:t xml:space="preserve"> </w:t>
      </w:r>
      <w:r>
        <w:t>emphasis</w:t>
      </w:r>
      <w:r>
        <w:rPr>
          <w:spacing w:val="-3"/>
        </w:rPr>
        <w:t xml:space="preserve"> </w:t>
      </w:r>
      <w:r>
        <w:t>on</w:t>
      </w:r>
      <w:r>
        <w:rPr>
          <w:spacing w:val="-4"/>
        </w:rPr>
        <w:t xml:space="preserve"> </w:t>
      </w:r>
      <w:r>
        <w:rPr>
          <w:b/>
        </w:rPr>
        <w:t>reach</w:t>
      </w:r>
      <w:r>
        <w:rPr>
          <w:b/>
          <w:spacing w:val="-3"/>
        </w:rPr>
        <w:t xml:space="preserve"> </w:t>
      </w:r>
      <w:r>
        <w:rPr>
          <w:b/>
        </w:rPr>
        <w:t>and</w:t>
      </w:r>
      <w:r>
        <w:rPr>
          <w:b/>
          <w:spacing w:val="-3"/>
        </w:rPr>
        <w:t xml:space="preserve"> </w:t>
      </w:r>
      <w:r>
        <w:rPr>
          <w:b/>
        </w:rPr>
        <w:t>quality</w:t>
      </w:r>
      <w:r>
        <w:t>,</w:t>
      </w:r>
      <w:r>
        <w:rPr>
          <w:spacing w:val="-2"/>
        </w:rPr>
        <w:t xml:space="preserve"> </w:t>
      </w:r>
      <w:r>
        <w:t>and</w:t>
      </w:r>
      <w:r>
        <w:rPr>
          <w:spacing w:val="-2"/>
        </w:rPr>
        <w:t xml:space="preserve"> </w:t>
      </w:r>
      <w:r>
        <w:t>some</w:t>
      </w:r>
      <w:r>
        <w:rPr>
          <w:spacing w:val="-4"/>
        </w:rPr>
        <w:t xml:space="preserve"> </w:t>
      </w:r>
      <w:r>
        <w:t>particular</w:t>
      </w:r>
      <w:r>
        <w:rPr>
          <w:spacing w:val="-3"/>
        </w:rPr>
        <w:t xml:space="preserve"> </w:t>
      </w:r>
      <w:r>
        <w:t>focus</w:t>
      </w:r>
      <w:r>
        <w:rPr>
          <w:spacing w:val="-3"/>
        </w:rPr>
        <w:t xml:space="preserve"> </w:t>
      </w:r>
      <w:r>
        <w:t>on</w:t>
      </w:r>
      <w:r>
        <w:rPr>
          <w:spacing w:val="-2"/>
        </w:rPr>
        <w:t xml:space="preserve"> </w:t>
      </w:r>
      <w:r>
        <w:t>the</w:t>
      </w:r>
      <w:r>
        <w:rPr>
          <w:spacing w:val="-2"/>
        </w:rPr>
        <w:t xml:space="preserve"> </w:t>
      </w:r>
      <w:r>
        <w:t xml:space="preserve">handling of cases involving </w:t>
      </w:r>
      <w:r>
        <w:rPr>
          <w:b/>
        </w:rPr>
        <w:t>women, children and youth</w:t>
      </w:r>
      <w:r>
        <w:t>. It has previously been noted that little assessment of quality has been made by the program itself, which cannot be fully redressed in the process of conducting an MTR.</w:t>
      </w:r>
    </w:p>
    <w:p w14:paraId="113EC8E0" w14:textId="77777777" w:rsidR="009C36E3" w:rsidRDefault="000E7207">
      <w:pPr>
        <w:spacing w:before="1"/>
        <w:ind w:left="1491" w:right="120"/>
        <w:rPr>
          <w:i/>
          <w:sz w:val="20"/>
        </w:rPr>
      </w:pPr>
      <w:r>
        <w:rPr>
          <w:noProof/>
        </w:rPr>
        <mc:AlternateContent>
          <mc:Choice Requires="wps">
            <w:drawing>
              <wp:anchor distT="0" distB="0" distL="0" distR="0" simplePos="0" relativeHeight="251630592" behindDoc="0" locked="0" layoutInCell="1" allowOverlap="1" wp14:anchorId="7D64F2F4" wp14:editId="4AEF5A5B">
                <wp:simplePos x="0" y="0"/>
                <wp:positionH relativeFrom="page">
                  <wp:posOffset>573317</wp:posOffset>
                </wp:positionH>
                <wp:positionV relativeFrom="paragraph">
                  <wp:posOffset>42382</wp:posOffset>
                </wp:positionV>
                <wp:extent cx="275590" cy="274955"/>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1EB93C43" id="Graphic 28" o:spid="_x0000_s1026" alt="&quot;&quot;" style="position:absolute;margin-left:45.15pt;margin-top:3.35pt;width:21.7pt;height:21.65pt;z-index:15733760;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3"/>
          <w:sz w:val="20"/>
        </w:rPr>
        <w:t xml:space="preserve"> </w:t>
      </w:r>
      <w:r>
        <w:rPr>
          <w:i/>
          <w:color w:val="007B92"/>
          <w:sz w:val="20"/>
        </w:rPr>
        <w:t>VAPJP</w:t>
      </w:r>
      <w:r>
        <w:rPr>
          <w:i/>
          <w:color w:val="007B92"/>
          <w:spacing w:val="-5"/>
          <w:sz w:val="20"/>
        </w:rPr>
        <w:t xml:space="preserve"> </w:t>
      </w:r>
      <w:r>
        <w:rPr>
          <w:i/>
          <w:color w:val="007B92"/>
          <w:sz w:val="20"/>
        </w:rPr>
        <w:t>has</w:t>
      </w:r>
      <w:r>
        <w:rPr>
          <w:i/>
          <w:color w:val="007B92"/>
          <w:spacing w:val="-3"/>
          <w:sz w:val="20"/>
        </w:rPr>
        <w:t xml:space="preserve"> </w:t>
      </w:r>
      <w:r>
        <w:rPr>
          <w:i/>
          <w:color w:val="007B92"/>
          <w:sz w:val="20"/>
        </w:rPr>
        <w:t>supported</w:t>
      </w:r>
      <w:r>
        <w:rPr>
          <w:i/>
          <w:color w:val="007B92"/>
          <w:spacing w:val="-4"/>
          <w:sz w:val="20"/>
        </w:rPr>
        <w:t xml:space="preserve"> </w:t>
      </w:r>
      <w:r>
        <w:rPr>
          <w:i/>
          <w:color w:val="007B92"/>
          <w:sz w:val="20"/>
        </w:rPr>
        <w:t>an</w:t>
      </w:r>
      <w:r>
        <w:rPr>
          <w:i/>
          <w:color w:val="007B92"/>
          <w:spacing w:val="-4"/>
          <w:sz w:val="20"/>
        </w:rPr>
        <w:t xml:space="preserve"> </w:t>
      </w:r>
      <w:r>
        <w:rPr>
          <w:i/>
          <w:color w:val="007B92"/>
          <w:sz w:val="20"/>
        </w:rPr>
        <w:t>improved</w:t>
      </w:r>
      <w:r>
        <w:rPr>
          <w:i/>
          <w:color w:val="007B92"/>
          <w:spacing w:val="-4"/>
          <w:sz w:val="20"/>
        </w:rPr>
        <w:t xml:space="preserve"> </w:t>
      </w:r>
      <w:r>
        <w:rPr>
          <w:i/>
          <w:color w:val="007B92"/>
          <w:sz w:val="20"/>
        </w:rPr>
        <w:t>reach</w:t>
      </w:r>
      <w:r>
        <w:rPr>
          <w:i/>
          <w:color w:val="007B92"/>
          <w:spacing w:val="-2"/>
          <w:sz w:val="20"/>
        </w:rPr>
        <w:t xml:space="preserve"> </w:t>
      </w:r>
      <w:r>
        <w:rPr>
          <w:i/>
          <w:color w:val="007B92"/>
          <w:sz w:val="20"/>
        </w:rPr>
        <w:t>of</w:t>
      </w:r>
      <w:r>
        <w:rPr>
          <w:i/>
          <w:color w:val="007B92"/>
          <w:spacing w:val="-2"/>
          <w:sz w:val="20"/>
        </w:rPr>
        <w:t xml:space="preserve"> </w:t>
      </w:r>
      <w:r>
        <w:rPr>
          <w:i/>
          <w:color w:val="007B92"/>
          <w:sz w:val="20"/>
        </w:rPr>
        <w:t>justice</w:t>
      </w:r>
      <w:r>
        <w:rPr>
          <w:i/>
          <w:color w:val="007B92"/>
          <w:spacing w:val="-2"/>
          <w:sz w:val="20"/>
        </w:rPr>
        <w:t xml:space="preserve"> </w:t>
      </w:r>
      <w:r>
        <w:rPr>
          <w:i/>
          <w:color w:val="007B92"/>
          <w:sz w:val="20"/>
        </w:rPr>
        <w:t>and</w:t>
      </w:r>
      <w:r>
        <w:rPr>
          <w:i/>
          <w:color w:val="007B92"/>
          <w:spacing w:val="-2"/>
          <w:sz w:val="20"/>
        </w:rPr>
        <w:t xml:space="preserve"> </w:t>
      </w:r>
      <w:r>
        <w:rPr>
          <w:i/>
          <w:color w:val="007B92"/>
          <w:sz w:val="20"/>
        </w:rPr>
        <w:t>policing</w:t>
      </w:r>
      <w:r>
        <w:rPr>
          <w:i/>
          <w:color w:val="007B92"/>
          <w:spacing w:val="-4"/>
          <w:sz w:val="20"/>
        </w:rPr>
        <w:t xml:space="preserve"> </w:t>
      </w:r>
      <w:r>
        <w:rPr>
          <w:i/>
          <w:color w:val="007B92"/>
          <w:sz w:val="20"/>
        </w:rPr>
        <w:t>services</w:t>
      </w:r>
      <w:r>
        <w:rPr>
          <w:i/>
          <w:color w:val="007B92"/>
          <w:spacing w:val="-3"/>
          <w:sz w:val="20"/>
        </w:rPr>
        <w:t xml:space="preserve"> </w:t>
      </w:r>
      <w:r>
        <w:rPr>
          <w:i/>
          <w:color w:val="007B92"/>
          <w:sz w:val="20"/>
        </w:rPr>
        <w:t>to</w:t>
      </w:r>
      <w:r>
        <w:rPr>
          <w:i/>
          <w:color w:val="007B92"/>
          <w:spacing w:val="-4"/>
          <w:sz w:val="20"/>
        </w:rPr>
        <w:t xml:space="preserve"> </w:t>
      </w:r>
      <w:r>
        <w:rPr>
          <w:i/>
          <w:color w:val="007B92"/>
          <w:sz w:val="20"/>
        </w:rPr>
        <w:t>Vanuatu</w:t>
      </w:r>
      <w:r>
        <w:rPr>
          <w:i/>
          <w:color w:val="007B92"/>
          <w:spacing w:val="-4"/>
          <w:sz w:val="20"/>
        </w:rPr>
        <w:t xml:space="preserve"> </w:t>
      </w:r>
      <w:r>
        <w:rPr>
          <w:i/>
          <w:color w:val="007B92"/>
          <w:sz w:val="20"/>
        </w:rPr>
        <w:t>communities through an extensive range of modalities, with some indications of improved quality. However, data has been difficult</w:t>
      </w:r>
      <w:r>
        <w:rPr>
          <w:i/>
          <w:color w:val="007B92"/>
          <w:spacing w:val="-1"/>
          <w:sz w:val="20"/>
        </w:rPr>
        <w:t xml:space="preserve"> </w:t>
      </w:r>
      <w:r>
        <w:rPr>
          <w:i/>
          <w:color w:val="007B92"/>
          <w:sz w:val="20"/>
        </w:rPr>
        <w:t>to</w:t>
      </w:r>
      <w:r>
        <w:rPr>
          <w:i/>
          <w:color w:val="007B92"/>
          <w:spacing w:val="-1"/>
          <w:sz w:val="20"/>
        </w:rPr>
        <w:t xml:space="preserve"> </w:t>
      </w:r>
      <w:r>
        <w:rPr>
          <w:i/>
          <w:color w:val="007B92"/>
          <w:sz w:val="20"/>
        </w:rPr>
        <w:t>identify due to</w:t>
      </w:r>
      <w:r>
        <w:rPr>
          <w:i/>
          <w:color w:val="007B92"/>
          <w:spacing w:val="-1"/>
          <w:sz w:val="20"/>
        </w:rPr>
        <w:t xml:space="preserve"> </w:t>
      </w:r>
      <w:r>
        <w:rPr>
          <w:i/>
          <w:color w:val="007B92"/>
          <w:sz w:val="20"/>
        </w:rPr>
        <w:t>the</w:t>
      </w:r>
      <w:r>
        <w:rPr>
          <w:i/>
          <w:color w:val="007B92"/>
          <w:spacing w:val="-1"/>
          <w:sz w:val="20"/>
        </w:rPr>
        <w:t xml:space="preserve"> </w:t>
      </w:r>
      <w:r>
        <w:rPr>
          <w:i/>
          <w:color w:val="007B92"/>
          <w:sz w:val="20"/>
        </w:rPr>
        <w:t>November 2022 cyber-attack,</w:t>
      </w:r>
      <w:r>
        <w:rPr>
          <w:i/>
          <w:color w:val="007B92"/>
          <w:spacing w:val="-1"/>
          <w:sz w:val="20"/>
        </w:rPr>
        <w:t xml:space="preserve"> </w:t>
      </w:r>
      <w:r>
        <w:rPr>
          <w:i/>
          <w:color w:val="007B92"/>
          <w:sz w:val="20"/>
        </w:rPr>
        <w:t>difficulties with</w:t>
      </w:r>
      <w:r>
        <w:rPr>
          <w:i/>
          <w:color w:val="007B92"/>
          <w:spacing w:val="-1"/>
          <w:sz w:val="20"/>
        </w:rPr>
        <w:t xml:space="preserve"> </w:t>
      </w:r>
      <w:r>
        <w:rPr>
          <w:i/>
          <w:color w:val="007B92"/>
          <w:sz w:val="20"/>
        </w:rPr>
        <w:t>the</w:t>
      </w:r>
      <w:r>
        <w:rPr>
          <w:i/>
          <w:color w:val="007B92"/>
          <w:spacing w:val="-1"/>
          <w:sz w:val="20"/>
        </w:rPr>
        <w:t xml:space="preserve"> </w:t>
      </w:r>
      <w:r>
        <w:rPr>
          <w:i/>
          <w:color w:val="007B92"/>
          <w:sz w:val="20"/>
        </w:rPr>
        <w:t>Monitoring, Evaluation,</w:t>
      </w:r>
    </w:p>
    <w:p w14:paraId="30ACEF40" w14:textId="77777777" w:rsidR="009C36E3" w:rsidRDefault="000E7207">
      <w:pPr>
        <w:spacing w:before="1"/>
        <w:ind w:left="772"/>
        <w:rPr>
          <w:i/>
          <w:sz w:val="20"/>
        </w:rPr>
      </w:pPr>
      <w:r>
        <w:rPr>
          <w:i/>
          <w:color w:val="007B92"/>
          <w:sz w:val="20"/>
        </w:rPr>
        <w:t>Research</w:t>
      </w:r>
      <w:r>
        <w:rPr>
          <w:i/>
          <w:color w:val="007B92"/>
          <w:spacing w:val="-8"/>
          <w:sz w:val="20"/>
        </w:rPr>
        <w:t xml:space="preserve"> </w:t>
      </w:r>
      <w:r>
        <w:rPr>
          <w:i/>
          <w:color w:val="007B92"/>
          <w:sz w:val="20"/>
        </w:rPr>
        <w:t>and</w:t>
      </w:r>
      <w:r>
        <w:rPr>
          <w:i/>
          <w:color w:val="007B92"/>
          <w:spacing w:val="-7"/>
          <w:sz w:val="20"/>
        </w:rPr>
        <w:t xml:space="preserve"> </w:t>
      </w:r>
      <w:r>
        <w:rPr>
          <w:i/>
          <w:color w:val="007B92"/>
          <w:sz w:val="20"/>
        </w:rPr>
        <w:t>Learning</w:t>
      </w:r>
      <w:r>
        <w:rPr>
          <w:i/>
          <w:color w:val="007B92"/>
          <w:spacing w:val="-5"/>
          <w:sz w:val="20"/>
        </w:rPr>
        <w:t xml:space="preserve"> </w:t>
      </w:r>
      <w:r>
        <w:rPr>
          <w:i/>
          <w:color w:val="007B92"/>
          <w:sz w:val="20"/>
        </w:rPr>
        <w:t>(MERL)</w:t>
      </w:r>
      <w:r>
        <w:rPr>
          <w:i/>
          <w:color w:val="007B92"/>
          <w:spacing w:val="-6"/>
          <w:sz w:val="20"/>
        </w:rPr>
        <w:t xml:space="preserve"> </w:t>
      </w:r>
      <w:r>
        <w:rPr>
          <w:i/>
          <w:color w:val="007B92"/>
          <w:sz w:val="20"/>
        </w:rPr>
        <w:t>system,</w:t>
      </w:r>
      <w:r>
        <w:rPr>
          <w:i/>
          <w:color w:val="007B92"/>
          <w:spacing w:val="-5"/>
          <w:sz w:val="20"/>
        </w:rPr>
        <w:t xml:space="preserve"> </w:t>
      </w:r>
      <w:r>
        <w:rPr>
          <w:i/>
          <w:color w:val="007B92"/>
          <w:sz w:val="20"/>
        </w:rPr>
        <w:t>and</w:t>
      </w:r>
      <w:r>
        <w:rPr>
          <w:i/>
          <w:color w:val="007B92"/>
          <w:spacing w:val="-5"/>
          <w:sz w:val="20"/>
        </w:rPr>
        <w:t xml:space="preserve"> </w:t>
      </w:r>
      <w:r>
        <w:rPr>
          <w:i/>
          <w:color w:val="007B92"/>
          <w:sz w:val="20"/>
        </w:rPr>
        <w:t>little</w:t>
      </w:r>
      <w:r>
        <w:rPr>
          <w:i/>
          <w:color w:val="007B92"/>
          <w:spacing w:val="-7"/>
          <w:sz w:val="20"/>
        </w:rPr>
        <w:t xml:space="preserve"> </w:t>
      </w:r>
      <w:r>
        <w:rPr>
          <w:i/>
          <w:color w:val="007B92"/>
          <w:sz w:val="20"/>
        </w:rPr>
        <w:t>systematic</w:t>
      </w:r>
      <w:r>
        <w:rPr>
          <w:i/>
          <w:color w:val="007B92"/>
          <w:spacing w:val="-6"/>
          <w:sz w:val="20"/>
        </w:rPr>
        <w:t xml:space="preserve"> </w:t>
      </w:r>
      <w:r>
        <w:rPr>
          <w:i/>
          <w:color w:val="007B92"/>
          <w:sz w:val="20"/>
        </w:rPr>
        <w:t>focus</w:t>
      </w:r>
      <w:r>
        <w:rPr>
          <w:i/>
          <w:color w:val="007B92"/>
          <w:spacing w:val="-7"/>
          <w:sz w:val="20"/>
        </w:rPr>
        <w:t xml:space="preserve"> </w:t>
      </w:r>
      <w:r>
        <w:rPr>
          <w:i/>
          <w:color w:val="007B92"/>
          <w:sz w:val="20"/>
        </w:rPr>
        <w:t>on</w:t>
      </w:r>
      <w:r>
        <w:rPr>
          <w:i/>
          <w:color w:val="007B92"/>
          <w:spacing w:val="-7"/>
          <w:sz w:val="20"/>
        </w:rPr>
        <w:t xml:space="preserve"> </w:t>
      </w:r>
      <w:r>
        <w:rPr>
          <w:i/>
          <w:color w:val="007B92"/>
          <w:sz w:val="20"/>
        </w:rPr>
        <w:t>quality</w:t>
      </w:r>
      <w:r>
        <w:rPr>
          <w:i/>
          <w:color w:val="007B92"/>
          <w:spacing w:val="-6"/>
          <w:sz w:val="20"/>
        </w:rPr>
        <w:t xml:space="preserve"> </w:t>
      </w:r>
      <w:r>
        <w:rPr>
          <w:i/>
          <w:color w:val="007B92"/>
          <w:sz w:val="20"/>
        </w:rPr>
        <w:t>or</w:t>
      </w:r>
      <w:r>
        <w:rPr>
          <w:i/>
          <w:color w:val="007B92"/>
          <w:spacing w:val="-6"/>
          <w:sz w:val="20"/>
        </w:rPr>
        <w:t xml:space="preserve"> </w:t>
      </w:r>
      <w:r>
        <w:rPr>
          <w:i/>
          <w:color w:val="007B92"/>
          <w:spacing w:val="-2"/>
          <w:sz w:val="20"/>
        </w:rPr>
        <w:t>outcomes.</w:t>
      </w:r>
    </w:p>
    <w:p w14:paraId="756334BA" w14:textId="77777777" w:rsidR="009C36E3" w:rsidRDefault="000E7207">
      <w:pPr>
        <w:spacing w:before="118"/>
        <w:ind w:left="1491" w:right="120"/>
        <w:rPr>
          <w:i/>
          <w:sz w:val="20"/>
        </w:rPr>
      </w:pPr>
      <w:r>
        <w:rPr>
          <w:noProof/>
        </w:rPr>
        <mc:AlternateContent>
          <mc:Choice Requires="wps">
            <w:drawing>
              <wp:anchor distT="0" distB="0" distL="0" distR="0" simplePos="0" relativeHeight="251631616" behindDoc="0" locked="0" layoutInCell="1" allowOverlap="1" wp14:anchorId="5FBFAAB2" wp14:editId="5B6A3E2E">
                <wp:simplePos x="0" y="0"/>
                <wp:positionH relativeFrom="page">
                  <wp:posOffset>573317</wp:posOffset>
                </wp:positionH>
                <wp:positionV relativeFrom="paragraph">
                  <wp:posOffset>117311</wp:posOffset>
                </wp:positionV>
                <wp:extent cx="275590" cy="274955"/>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2824A2D2" id="Graphic 29" o:spid="_x0000_s1026" alt="&quot;&quot;" style="position:absolute;margin-left:45.15pt;margin-top:9.25pt;width:21.7pt;height:21.65pt;z-index:15734272;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&#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2"/>
          <w:sz w:val="20"/>
        </w:rPr>
        <w:t xml:space="preserve"> </w:t>
      </w:r>
      <w:r>
        <w:rPr>
          <w:i/>
          <w:color w:val="007B92"/>
          <w:sz w:val="20"/>
        </w:rPr>
        <w:t>There</w:t>
      </w:r>
      <w:r>
        <w:rPr>
          <w:i/>
          <w:color w:val="007B92"/>
          <w:spacing w:val="-3"/>
          <w:sz w:val="20"/>
        </w:rPr>
        <w:t xml:space="preserve"> </w:t>
      </w:r>
      <w:r>
        <w:rPr>
          <w:i/>
          <w:color w:val="007B92"/>
          <w:sz w:val="20"/>
        </w:rPr>
        <w:t>has</w:t>
      </w:r>
      <w:r>
        <w:rPr>
          <w:i/>
          <w:color w:val="007B92"/>
          <w:spacing w:val="-2"/>
          <w:sz w:val="20"/>
        </w:rPr>
        <w:t xml:space="preserve"> </w:t>
      </w:r>
      <w:r>
        <w:rPr>
          <w:i/>
          <w:color w:val="007B92"/>
          <w:sz w:val="20"/>
        </w:rPr>
        <w:t>been</w:t>
      </w:r>
      <w:r>
        <w:rPr>
          <w:i/>
          <w:color w:val="007B92"/>
          <w:spacing w:val="-3"/>
          <w:sz w:val="20"/>
        </w:rPr>
        <w:t xml:space="preserve"> </w:t>
      </w:r>
      <w:r>
        <w:rPr>
          <w:i/>
          <w:color w:val="007B92"/>
          <w:sz w:val="20"/>
        </w:rPr>
        <w:t>an</w:t>
      </w:r>
      <w:r>
        <w:rPr>
          <w:i/>
          <w:color w:val="007B92"/>
          <w:spacing w:val="-3"/>
          <w:sz w:val="20"/>
        </w:rPr>
        <w:t xml:space="preserve"> </w:t>
      </w:r>
      <w:r>
        <w:rPr>
          <w:i/>
          <w:color w:val="007B92"/>
          <w:sz w:val="20"/>
        </w:rPr>
        <w:t>improvement</w:t>
      </w:r>
      <w:r>
        <w:rPr>
          <w:i/>
          <w:color w:val="007B92"/>
          <w:spacing w:val="-1"/>
          <w:sz w:val="20"/>
        </w:rPr>
        <w:t xml:space="preserve"> </w:t>
      </w:r>
      <w:r>
        <w:rPr>
          <w:i/>
          <w:color w:val="007B92"/>
          <w:sz w:val="20"/>
        </w:rPr>
        <w:t>in</w:t>
      </w:r>
      <w:r>
        <w:rPr>
          <w:i/>
          <w:color w:val="007B92"/>
          <w:spacing w:val="-1"/>
          <w:sz w:val="20"/>
        </w:rPr>
        <w:t xml:space="preserve"> </w:t>
      </w:r>
      <w:r>
        <w:rPr>
          <w:i/>
          <w:color w:val="007B92"/>
          <w:sz w:val="20"/>
        </w:rPr>
        <w:t>the</w:t>
      </w:r>
      <w:r>
        <w:rPr>
          <w:i/>
          <w:color w:val="007B92"/>
          <w:spacing w:val="-3"/>
          <w:sz w:val="20"/>
        </w:rPr>
        <w:t xml:space="preserve"> </w:t>
      </w:r>
      <w:r>
        <w:rPr>
          <w:i/>
          <w:color w:val="007B92"/>
          <w:sz w:val="20"/>
        </w:rPr>
        <w:t>reach</w:t>
      </w:r>
      <w:r>
        <w:rPr>
          <w:i/>
          <w:color w:val="007B92"/>
          <w:spacing w:val="-1"/>
          <w:sz w:val="20"/>
        </w:rPr>
        <w:t xml:space="preserve"> </w:t>
      </w:r>
      <w:r>
        <w:rPr>
          <w:i/>
          <w:color w:val="007B92"/>
          <w:sz w:val="20"/>
        </w:rPr>
        <w:t>and</w:t>
      </w:r>
      <w:r>
        <w:rPr>
          <w:i/>
          <w:color w:val="007B92"/>
          <w:spacing w:val="-1"/>
          <w:sz w:val="20"/>
        </w:rPr>
        <w:t xml:space="preserve"> </w:t>
      </w:r>
      <w:r>
        <w:rPr>
          <w:i/>
          <w:color w:val="007B92"/>
          <w:sz w:val="20"/>
        </w:rPr>
        <w:t>quality</w:t>
      </w:r>
      <w:r>
        <w:rPr>
          <w:i/>
          <w:color w:val="007B92"/>
          <w:spacing w:val="-2"/>
          <w:sz w:val="20"/>
        </w:rPr>
        <w:t xml:space="preserve"> </w:t>
      </w:r>
      <w:r>
        <w:rPr>
          <w:i/>
          <w:color w:val="007B92"/>
          <w:sz w:val="20"/>
        </w:rPr>
        <w:t>of</w:t>
      </w:r>
      <w:r>
        <w:rPr>
          <w:i/>
          <w:color w:val="007B92"/>
          <w:spacing w:val="-3"/>
          <w:sz w:val="20"/>
        </w:rPr>
        <w:t xml:space="preserve"> </w:t>
      </w:r>
      <w:r>
        <w:rPr>
          <w:i/>
          <w:color w:val="007B92"/>
          <w:sz w:val="20"/>
        </w:rPr>
        <w:t>policing</w:t>
      </w:r>
      <w:r>
        <w:rPr>
          <w:i/>
          <w:color w:val="007B92"/>
          <w:spacing w:val="-3"/>
          <w:sz w:val="20"/>
        </w:rPr>
        <w:t xml:space="preserve"> </w:t>
      </w:r>
      <w:r>
        <w:rPr>
          <w:i/>
          <w:color w:val="007B92"/>
          <w:sz w:val="20"/>
        </w:rPr>
        <w:t>facilitated</w:t>
      </w:r>
      <w:r>
        <w:rPr>
          <w:i/>
          <w:color w:val="007B92"/>
          <w:spacing w:val="-1"/>
          <w:sz w:val="20"/>
        </w:rPr>
        <w:t xml:space="preserve"> </w:t>
      </w:r>
      <w:r>
        <w:rPr>
          <w:i/>
          <w:color w:val="007B92"/>
          <w:sz w:val="20"/>
        </w:rPr>
        <w:t>by</w:t>
      </w:r>
      <w:r>
        <w:rPr>
          <w:i/>
          <w:color w:val="007B92"/>
          <w:spacing w:val="-2"/>
          <w:sz w:val="20"/>
        </w:rPr>
        <w:t xml:space="preserve"> </w:t>
      </w:r>
      <w:r>
        <w:rPr>
          <w:i/>
          <w:color w:val="007B92"/>
          <w:sz w:val="20"/>
        </w:rPr>
        <w:t>an</w:t>
      </w:r>
      <w:r>
        <w:rPr>
          <w:i/>
          <w:color w:val="007B92"/>
          <w:spacing w:val="-1"/>
          <w:sz w:val="20"/>
        </w:rPr>
        <w:t xml:space="preserve"> </w:t>
      </w:r>
      <w:r>
        <w:rPr>
          <w:i/>
          <w:color w:val="007B92"/>
          <w:sz w:val="20"/>
        </w:rPr>
        <w:t>increase</w:t>
      </w:r>
      <w:r>
        <w:rPr>
          <w:i/>
          <w:color w:val="007B92"/>
          <w:spacing w:val="-3"/>
          <w:sz w:val="20"/>
        </w:rPr>
        <w:t xml:space="preserve"> </w:t>
      </w:r>
      <w:r>
        <w:rPr>
          <w:i/>
          <w:color w:val="007B92"/>
          <w:sz w:val="20"/>
        </w:rPr>
        <w:t>in the number of VPF recruited, trained and deployed to outer islands (with a notable increase in women’s participation); deployment of police rotations and the Nasara program</w:t>
      </w:r>
      <w:hyperlink w:anchor="_bookmark23" w:history="1">
        <w:r>
          <w:rPr>
            <w:i/>
            <w:color w:val="007B92"/>
            <w:position w:val="6"/>
            <w:sz w:val="13"/>
          </w:rPr>
          <w:t>12</w:t>
        </w:r>
      </w:hyperlink>
      <w:r>
        <w:rPr>
          <w:i/>
          <w:color w:val="007B92"/>
          <w:spacing w:val="27"/>
          <w:position w:val="6"/>
          <w:sz w:val="13"/>
        </w:rPr>
        <w:t xml:space="preserve"> </w:t>
      </w:r>
      <w:r>
        <w:rPr>
          <w:i/>
          <w:color w:val="007B92"/>
          <w:sz w:val="20"/>
        </w:rPr>
        <w:t>to remote areas; significant</w:t>
      </w:r>
    </w:p>
    <w:p w14:paraId="79EAB289" w14:textId="77777777" w:rsidR="009C36E3" w:rsidRDefault="000E7207">
      <w:pPr>
        <w:spacing w:before="1"/>
        <w:ind w:left="771"/>
        <w:rPr>
          <w:i/>
          <w:sz w:val="13"/>
        </w:rPr>
      </w:pPr>
      <w:r>
        <w:rPr>
          <w:i/>
          <w:color w:val="007B92"/>
          <w:sz w:val="20"/>
        </w:rPr>
        <w:t>infrastructure construction and refurbishment, mobility assets (land cruisers, trucks, quad bikes, banana boats), technical</w:t>
      </w:r>
      <w:r>
        <w:rPr>
          <w:i/>
          <w:color w:val="007B92"/>
          <w:spacing w:val="-9"/>
          <w:sz w:val="20"/>
        </w:rPr>
        <w:t xml:space="preserve"> </w:t>
      </w:r>
      <w:r>
        <w:rPr>
          <w:i/>
          <w:color w:val="007B92"/>
          <w:sz w:val="20"/>
        </w:rPr>
        <w:t>advice</w:t>
      </w:r>
      <w:r>
        <w:rPr>
          <w:i/>
          <w:color w:val="007B92"/>
          <w:spacing w:val="-7"/>
          <w:sz w:val="20"/>
        </w:rPr>
        <w:t xml:space="preserve"> </w:t>
      </w:r>
      <w:r>
        <w:rPr>
          <w:i/>
          <w:color w:val="007B92"/>
          <w:sz w:val="20"/>
        </w:rPr>
        <w:t>and</w:t>
      </w:r>
      <w:r>
        <w:rPr>
          <w:i/>
          <w:color w:val="007B92"/>
          <w:spacing w:val="-7"/>
          <w:sz w:val="20"/>
        </w:rPr>
        <w:t xml:space="preserve"> </w:t>
      </w:r>
      <w:r>
        <w:rPr>
          <w:i/>
          <w:color w:val="007B92"/>
          <w:sz w:val="20"/>
        </w:rPr>
        <w:t>financial</w:t>
      </w:r>
      <w:r>
        <w:rPr>
          <w:i/>
          <w:color w:val="007B92"/>
          <w:spacing w:val="-8"/>
          <w:sz w:val="20"/>
        </w:rPr>
        <w:t xml:space="preserve"> </w:t>
      </w:r>
      <w:r>
        <w:rPr>
          <w:i/>
          <w:color w:val="007B92"/>
          <w:sz w:val="20"/>
        </w:rPr>
        <w:t>support</w:t>
      </w:r>
      <w:r>
        <w:rPr>
          <w:i/>
          <w:color w:val="007B92"/>
          <w:spacing w:val="-7"/>
          <w:sz w:val="20"/>
        </w:rPr>
        <w:t xml:space="preserve"> </w:t>
      </w:r>
      <w:r>
        <w:rPr>
          <w:i/>
          <w:color w:val="007B92"/>
          <w:sz w:val="20"/>
        </w:rPr>
        <w:t>for</w:t>
      </w:r>
      <w:r>
        <w:rPr>
          <w:i/>
          <w:color w:val="007B92"/>
          <w:spacing w:val="-6"/>
          <w:sz w:val="20"/>
        </w:rPr>
        <w:t xml:space="preserve"> </w:t>
      </w:r>
      <w:r>
        <w:rPr>
          <w:i/>
          <w:color w:val="007B92"/>
          <w:sz w:val="20"/>
        </w:rPr>
        <w:t>remote</w:t>
      </w:r>
      <w:r>
        <w:rPr>
          <w:i/>
          <w:color w:val="007B92"/>
          <w:spacing w:val="-8"/>
          <w:sz w:val="20"/>
        </w:rPr>
        <w:t xml:space="preserve"> </w:t>
      </w:r>
      <w:r>
        <w:rPr>
          <w:i/>
          <w:color w:val="007B92"/>
          <w:sz w:val="20"/>
        </w:rPr>
        <w:t>operations,</w:t>
      </w:r>
      <w:r>
        <w:rPr>
          <w:i/>
          <w:color w:val="007B92"/>
          <w:spacing w:val="-5"/>
          <w:sz w:val="20"/>
        </w:rPr>
        <w:t xml:space="preserve"> </w:t>
      </w:r>
      <w:r>
        <w:rPr>
          <w:i/>
          <w:color w:val="007B92"/>
          <w:sz w:val="20"/>
        </w:rPr>
        <w:t>and</w:t>
      </w:r>
      <w:r>
        <w:rPr>
          <w:i/>
          <w:color w:val="007B92"/>
          <w:spacing w:val="-5"/>
          <w:sz w:val="20"/>
        </w:rPr>
        <w:t xml:space="preserve"> </w:t>
      </w:r>
      <w:r>
        <w:rPr>
          <w:i/>
          <w:color w:val="007B92"/>
          <w:sz w:val="20"/>
        </w:rPr>
        <w:t>an</w:t>
      </w:r>
      <w:r>
        <w:rPr>
          <w:i/>
          <w:color w:val="007B92"/>
          <w:spacing w:val="-6"/>
          <w:sz w:val="20"/>
        </w:rPr>
        <w:t xml:space="preserve"> </w:t>
      </w:r>
      <w:r>
        <w:rPr>
          <w:i/>
          <w:color w:val="007B92"/>
          <w:sz w:val="20"/>
        </w:rPr>
        <w:t>improved</w:t>
      </w:r>
      <w:r>
        <w:rPr>
          <w:i/>
          <w:color w:val="007B92"/>
          <w:spacing w:val="-7"/>
          <w:sz w:val="20"/>
        </w:rPr>
        <w:t xml:space="preserve"> </w:t>
      </w:r>
      <w:r>
        <w:rPr>
          <w:i/>
          <w:color w:val="007B92"/>
          <w:sz w:val="20"/>
        </w:rPr>
        <w:t>focus</w:t>
      </w:r>
      <w:r>
        <w:rPr>
          <w:i/>
          <w:color w:val="007B92"/>
          <w:spacing w:val="-6"/>
          <w:sz w:val="20"/>
        </w:rPr>
        <w:t xml:space="preserve"> </w:t>
      </w:r>
      <w:r>
        <w:rPr>
          <w:i/>
          <w:color w:val="007B92"/>
          <w:sz w:val="20"/>
        </w:rPr>
        <w:t>on</w:t>
      </w:r>
      <w:r>
        <w:rPr>
          <w:i/>
          <w:color w:val="007B92"/>
          <w:spacing w:val="-7"/>
          <w:sz w:val="20"/>
        </w:rPr>
        <w:t xml:space="preserve"> </w:t>
      </w:r>
      <w:r>
        <w:rPr>
          <w:i/>
          <w:color w:val="007B92"/>
          <w:sz w:val="20"/>
        </w:rPr>
        <w:t>professional</w:t>
      </w:r>
      <w:r>
        <w:rPr>
          <w:i/>
          <w:color w:val="007B92"/>
          <w:spacing w:val="-7"/>
          <w:sz w:val="20"/>
        </w:rPr>
        <w:t xml:space="preserve"> </w:t>
      </w:r>
      <w:r>
        <w:rPr>
          <w:i/>
          <w:color w:val="007B92"/>
          <w:spacing w:val="-2"/>
          <w:sz w:val="20"/>
        </w:rPr>
        <w:t>standards.</w:t>
      </w:r>
      <w:hyperlink w:anchor="_bookmark24" w:history="1">
        <w:r>
          <w:rPr>
            <w:i/>
            <w:color w:val="007B92"/>
            <w:spacing w:val="-2"/>
            <w:position w:val="6"/>
            <w:sz w:val="13"/>
          </w:rPr>
          <w:t>13</w:t>
        </w:r>
      </w:hyperlink>
    </w:p>
    <w:p w14:paraId="3BD0326C" w14:textId="77777777" w:rsidR="009C36E3" w:rsidRDefault="000E7207">
      <w:pPr>
        <w:spacing w:before="118"/>
        <w:ind w:left="1491" w:right="120"/>
        <w:rPr>
          <w:i/>
          <w:sz w:val="20"/>
        </w:rPr>
      </w:pPr>
      <w:r>
        <w:rPr>
          <w:noProof/>
        </w:rPr>
        <mc:AlternateContent>
          <mc:Choice Requires="wps">
            <w:drawing>
              <wp:anchor distT="0" distB="0" distL="0" distR="0" simplePos="0" relativeHeight="251632640" behindDoc="0" locked="0" layoutInCell="1" allowOverlap="1" wp14:anchorId="5C49D86B" wp14:editId="15E064D9">
                <wp:simplePos x="0" y="0"/>
                <wp:positionH relativeFrom="page">
                  <wp:posOffset>573317</wp:posOffset>
                </wp:positionH>
                <wp:positionV relativeFrom="paragraph">
                  <wp:posOffset>117946</wp:posOffset>
                </wp:positionV>
                <wp:extent cx="275590" cy="274955"/>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1F3F5A90" id="Graphic 30" o:spid="_x0000_s1026" alt="&quot;&quot;" style="position:absolute;margin-left:45.15pt;margin-top:9.3pt;width:21.7pt;height:21.65pt;z-index:15734784;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&#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There has been an improvement in the reach and quality of justice through work undertaken by the justice, community and sector coordination components of VAPJP. The justice component has undertaken</w:t>
      </w:r>
      <w:r>
        <w:rPr>
          <w:i/>
          <w:color w:val="007B92"/>
          <w:spacing w:val="-4"/>
          <w:sz w:val="20"/>
        </w:rPr>
        <w:t xml:space="preserve"> </w:t>
      </w:r>
      <w:r>
        <w:rPr>
          <w:i/>
          <w:color w:val="007B92"/>
          <w:sz w:val="20"/>
        </w:rPr>
        <w:t>well-regarded</w:t>
      </w:r>
      <w:r>
        <w:rPr>
          <w:i/>
          <w:color w:val="007B92"/>
          <w:spacing w:val="-4"/>
          <w:sz w:val="20"/>
        </w:rPr>
        <w:t xml:space="preserve"> </w:t>
      </w:r>
      <w:r>
        <w:rPr>
          <w:i/>
          <w:color w:val="007B92"/>
          <w:sz w:val="20"/>
        </w:rPr>
        <w:t>continuing</w:t>
      </w:r>
      <w:r>
        <w:rPr>
          <w:i/>
          <w:color w:val="007B92"/>
          <w:spacing w:val="-2"/>
          <w:sz w:val="20"/>
        </w:rPr>
        <w:t xml:space="preserve"> </w:t>
      </w:r>
      <w:r>
        <w:rPr>
          <w:i/>
          <w:color w:val="007B92"/>
          <w:sz w:val="20"/>
        </w:rPr>
        <w:t>legal</w:t>
      </w:r>
      <w:r>
        <w:rPr>
          <w:i/>
          <w:color w:val="007B92"/>
          <w:spacing w:val="-5"/>
          <w:sz w:val="20"/>
        </w:rPr>
        <w:t xml:space="preserve"> </w:t>
      </w:r>
      <w:r>
        <w:rPr>
          <w:i/>
          <w:color w:val="007B92"/>
          <w:sz w:val="20"/>
        </w:rPr>
        <w:t>education</w:t>
      </w:r>
      <w:r>
        <w:rPr>
          <w:i/>
          <w:color w:val="007B92"/>
          <w:spacing w:val="-2"/>
          <w:sz w:val="20"/>
        </w:rPr>
        <w:t xml:space="preserve"> </w:t>
      </w:r>
      <w:r>
        <w:rPr>
          <w:i/>
          <w:color w:val="007B92"/>
          <w:sz w:val="20"/>
        </w:rPr>
        <w:t>and</w:t>
      </w:r>
      <w:r>
        <w:rPr>
          <w:i/>
          <w:color w:val="007B92"/>
          <w:spacing w:val="-4"/>
          <w:sz w:val="20"/>
        </w:rPr>
        <w:t xml:space="preserve"> </w:t>
      </w:r>
      <w:r>
        <w:rPr>
          <w:i/>
          <w:color w:val="007B92"/>
          <w:sz w:val="20"/>
        </w:rPr>
        <w:t>mentoring</w:t>
      </w:r>
      <w:r>
        <w:rPr>
          <w:i/>
          <w:color w:val="007B92"/>
          <w:spacing w:val="-2"/>
          <w:sz w:val="20"/>
        </w:rPr>
        <w:t xml:space="preserve"> </w:t>
      </w:r>
      <w:r>
        <w:rPr>
          <w:i/>
          <w:color w:val="007B92"/>
          <w:sz w:val="20"/>
        </w:rPr>
        <w:t>to</w:t>
      </w:r>
      <w:r>
        <w:rPr>
          <w:i/>
          <w:color w:val="007B92"/>
          <w:spacing w:val="-4"/>
          <w:sz w:val="20"/>
        </w:rPr>
        <w:t xml:space="preserve"> </w:t>
      </w:r>
      <w:r>
        <w:rPr>
          <w:i/>
          <w:color w:val="007B92"/>
          <w:sz w:val="20"/>
        </w:rPr>
        <w:t>strengthen</w:t>
      </w:r>
      <w:r>
        <w:rPr>
          <w:i/>
          <w:color w:val="007B92"/>
          <w:spacing w:val="-2"/>
          <w:sz w:val="20"/>
        </w:rPr>
        <w:t xml:space="preserve"> </w:t>
      </w:r>
      <w:r>
        <w:rPr>
          <w:i/>
          <w:color w:val="007B92"/>
          <w:sz w:val="20"/>
        </w:rPr>
        <w:t>the</w:t>
      </w:r>
      <w:r>
        <w:rPr>
          <w:i/>
          <w:color w:val="007B92"/>
          <w:spacing w:val="-4"/>
          <w:sz w:val="20"/>
        </w:rPr>
        <w:t xml:space="preserve"> </w:t>
      </w:r>
      <w:r>
        <w:rPr>
          <w:i/>
          <w:color w:val="007B92"/>
          <w:sz w:val="20"/>
        </w:rPr>
        <w:t>work</w:t>
      </w:r>
      <w:r>
        <w:rPr>
          <w:i/>
          <w:color w:val="007B92"/>
          <w:spacing w:val="-3"/>
          <w:sz w:val="20"/>
        </w:rPr>
        <w:t xml:space="preserve"> </w:t>
      </w:r>
      <w:r>
        <w:rPr>
          <w:i/>
          <w:color w:val="007B92"/>
          <w:sz w:val="20"/>
        </w:rPr>
        <w:t>of</w:t>
      </w:r>
      <w:r>
        <w:rPr>
          <w:i/>
          <w:color w:val="007B92"/>
          <w:spacing w:val="-4"/>
          <w:sz w:val="20"/>
        </w:rPr>
        <w:t xml:space="preserve"> </w:t>
      </w:r>
      <w:r>
        <w:rPr>
          <w:i/>
          <w:color w:val="007B92"/>
          <w:sz w:val="20"/>
        </w:rPr>
        <w:t>legal</w:t>
      </w:r>
      <w:r>
        <w:rPr>
          <w:i/>
          <w:color w:val="007B92"/>
          <w:spacing w:val="-5"/>
          <w:sz w:val="20"/>
        </w:rPr>
        <w:t xml:space="preserve"> </w:t>
      </w:r>
      <w:r>
        <w:rPr>
          <w:i/>
          <w:color w:val="007B92"/>
          <w:sz w:val="20"/>
        </w:rPr>
        <w:t>actors</w:t>
      </w:r>
    </w:p>
    <w:p w14:paraId="3D2B2E6E" w14:textId="77777777" w:rsidR="009C36E3" w:rsidRDefault="000E7207">
      <w:pPr>
        <w:spacing w:before="2"/>
        <w:ind w:left="771"/>
        <w:rPr>
          <w:i/>
          <w:sz w:val="20"/>
        </w:rPr>
      </w:pPr>
      <w:r>
        <w:rPr>
          <w:i/>
          <w:color w:val="007B92"/>
          <w:sz w:val="20"/>
        </w:rPr>
        <w:t>in</w:t>
      </w:r>
      <w:r>
        <w:rPr>
          <w:i/>
          <w:color w:val="007B92"/>
          <w:spacing w:val="-6"/>
          <w:sz w:val="20"/>
        </w:rPr>
        <w:t xml:space="preserve"> </w:t>
      </w:r>
      <w:r>
        <w:rPr>
          <w:i/>
          <w:color w:val="007B92"/>
          <w:sz w:val="20"/>
        </w:rPr>
        <w:t>the</w:t>
      </w:r>
      <w:r>
        <w:rPr>
          <w:i/>
          <w:color w:val="007B92"/>
          <w:spacing w:val="-6"/>
          <w:sz w:val="20"/>
        </w:rPr>
        <w:t xml:space="preserve"> </w:t>
      </w:r>
      <w:r>
        <w:rPr>
          <w:i/>
          <w:color w:val="007B92"/>
          <w:sz w:val="20"/>
        </w:rPr>
        <w:t>sector,</w:t>
      </w:r>
      <w:r>
        <w:rPr>
          <w:i/>
          <w:color w:val="007B92"/>
          <w:spacing w:val="-3"/>
          <w:sz w:val="20"/>
        </w:rPr>
        <w:t xml:space="preserve"> </w:t>
      </w:r>
      <w:r>
        <w:rPr>
          <w:i/>
          <w:color w:val="007B92"/>
          <w:sz w:val="20"/>
        </w:rPr>
        <w:t>and</w:t>
      </w:r>
      <w:r>
        <w:rPr>
          <w:i/>
          <w:color w:val="007B92"/>
          <w:spacing w:val="-4"/>
          <w:sz w:val="20"/>
        </w:rPr>
        <w:t xml:space="preserve"> </w:t>
      </w:r>
      <w:r>
        <w:rPr>
          <w:i/>
          <w:color w:val="007B92"/>
          <w:sz w:val="20"/>
        </w:rPr>
        <w:t>extend</w:t>
      </w:r>
      <w:r>
        <w:rPr>
          <w:i/>
          <w:color w:val="007B92"/>
          <w:spacing w:val="-6"/>
          <w:sz w:val="20"/>
        </w:rPr>
        <w:t xml:space="preserve"> </w:t>
      </w:r>
      <w:r>
        <w:rPr>
          <w:i/>
          <w:color w:val="007B92"/>
          <w:sz w:val="20"/>
        </w:rPr>
        <w:t>the</w:t>
      </w:r>
      <w:r>
        <w:rPr>
          <w:i/>
          <w:color w:val="007B92"/>
          <w:spacing w:val="-6"/>
          <w:sz w:val="20"/>
        </w:rPr>
        <w:t xml:space="preserve"> </w:t>
      </w:r>
      <w:r>
        <w:rPr>
          <w:i/>
          <w:color w:val="007B92"/>
          <w:sz w:val="20"/>
        </w:rPr>
        <w:t>reach</w:t>
      </w:r>
      <w:r>
        <w:rPr>
          <w:i/>
          <w:color w:val="007B92"/>
          <w:spacing w:val="-5"/>
          <w:sz w:val="20"/>
        </w:rPr>
        <w:t xml:space="preserve"> </w:t>
      </w:r>
      <w:r>
        <w:rPr>
          <w:i/>
          <w:color w:val="007B92"/>
          <w:sz w:val="20"/>
        </w:rPr>
        <w:t>of</w:t>
      </w:r>
      <w:r>
        <w:rPr>
          <w:i/>
          <w:color w:val="007B92"/>
          <w:spacing w:val="-6"/>
          <w:sz w:val="20"/>
        </w:rPr>
        <w:t xml:space="preserve"> </w:t>
      </w:r>
      <w:r>
        <w:rPr>
          <w:i/>
          <w:color w:val="007B92"/>
          <w:sz w:val="20"/>
        </w:rPr>
        <w:t>agencies</w:t>
      </w:r>
      <w:r>
        <w:rPr>
          <w:i/>
          <w:color w:val="007B92"/>
          <w:spacing w:val="-4"/>
          <w:sz w:val="20"/>
        </w:rPr>
        <w:t xml:space="preserve"> </w:t>
      </w:r>
      <w:r>
        <w:rPr>
          <w:i/>
          <w:color w:val="007B92"/>
          <w:sz w:val="20"/>
        </w:rPr>
        <w:t>both</w:t>
      </w:r>
      <w:r>
        <w:rPr>
          <w:i/>
          <w:color w:val="007B92"/>
          <w:spacing w:val="-6"/>
          <w:sz w:val="20"/>
        </w:rPr>
        <w:t xml:space="preserve"> </w:t>
      </w:r>
      <w:r>
        <w:rPr>
          <w:i/>
          <w:color w:val="007B92"/>
          <w:sz w:val="20"/>
        </w:rPr>
        <w:t>in</w:t>
      </w:r>
      <w:r>
        <w:rPr>
          <w:i/>
          <w:color w:val="007B92"/>
          <w:spacing w:val="-4"/>
          <w:sz w:val="20"/>
        </w:rPr>
        <w:t xml:space="preserve"> </w:t>
      </w:r>
      <w:r>
        <w:rPr>
          <w:i/>
          <w:color w:val="007B92"/>
          <w:sz w:val="20"/>
        </w:rPr>
        <w:t>Port</w:t>
      </w:r>
      <w:r>
        <w:rPr>
          <w:i/>
          <w:color w:val="007B92"/>
          <w:spacing w:val="-4"/>
          <w:sz w:val="20"/>
        </w:rPr>
        <w:t xml:space="preserve"> </w:t>
      </w:r>
      <w:r>
        <w:rPr>
          <w:i/>
          <w:color w:val="007B92"/>
          <w:sz w:val="20"/>
        </w:rPr>
        <w:t>Vila</w:t>
      </w:r>
      <w:r>
        <w:rPr>
          <w:i/>
          <w:color w:val="007B92"/>
          <w:spacing w:val="-3"/>
          <w:sz w:val="20"/>
        </w:rPr>
        <w:t xml:space="preserve"> </w:t>
      </w:r>
      <w:r>
        <w:rPr>
          <w:i/>
          <w:color w:val="007B92"/>
          <w:sz w:val="20"/>
        </w:rPr>
        <w:t>and</w:t>
      </w:r>
      <w:r>
        <w:rPr>
          <w:i/>
          <w:color w:val="007B92"/>
          <w:spacing w:val="-6"/>
          <w:sz w:val="20"/>
        </w:rPr>
        <w:t xml:space="preserve"> </w:t>
      </w:r>
      <w:r>
        <w:rPr>
          <w:i/>
          <w:color w:val="007B92"/>
          <w:sz w:val="20"/>
        </w:rPr>
        <w:t>selected</w:t>
      </w:r>
      <w:r>
        <w:rPr>
          <w:i/>
          <w:color w:val="007B92"/>
          <w:spacing w:val="-6"/>
          <w:sz w:val="20"/>
        </w:rPr>
        <w:t xml:space="preserve"> </w:t>
      </w:r>
      <w:r>
        <w:rPr>
          <w:i/>
          <w:color w:val="007B92"/>
          <w:sz w:val="20"/>
        </w:rPr>
        <w:t>provincial</w:t>
      </w:r>
      <w:r>
        <w:rPr>
          <w:i/>
          <w:color w:val="007B92"/>
          <w:spacing w:val="-4"/>
          <w:sz w:val="20"/>
        </w:rPr>
        <w:t xml:space="preserve"> </w:t>
      </w:r>
      <w:r>
        <w:rPr>
          <w:i/>
          <w:color w:val="007B92"/>
          <w:spacing w:val="-2"/>
          <w:sz w:val="20"/>
        </w:rPr>
        <w:t>locations.</w:t>
      </w:r>
    </w:p>
    <w:p w14:paraId="3CA0F998" w14:textId="77777777" w:rsidR="009C36E3" w:rsidRDefault="000E7207">
      <w:pPr>
        <w:spacing w:before="120"/>
        <w:ind w:left="1491" w:right="302"/>
        <w:jc w:val="both"/>
        <w:rPr>
          <w:i/>
          <w:sz w:val="20"/>
        </w:rPr>
      </w:pPr>
      <w:r>
        <w:rPr>
          <w:noProof/>
        </w:rPr>
        <mc:AlternateContent>
          <mc:Choice Requires="wps">
            <w:drawing>
              <wp:anchor distT="0" distB="0" distL="0" distR="0" simplePos="0" relativeHeight="251633664" behindDoc="0" locked="0" layoutInCell="1" allowOverlap="1" wp14:anchorId="643400CA" wp14:editId="5C898F27">
                <wp:simplePos x="0" y="0"/>
                <wp:positionH relativeFrom="page">
                  <wp:posOffset>573317</wp:posOffset>
                </wp:positionH>
                <wp:positionV relativeFrom="paragraph">
                  <wp:posOffset>117947</wp:posOffset>
                </wp:positionV>
                <wp:extent cx="275590" cy="274955"/>
                <wp:effectExtent l="0" t="0" r="0" b="0"/>
                <wp:wrapNone/>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5ADDAFEE" id="Graphic 31" o:spid="_x0000_s1026" alt="&quot;&quot;" style="position:absolute;margin-left:45.15pt;margin-top:9.3pt;width:21.7pt;height:21.65pt;z-index:15735296;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&#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The AP</w:t>
      </w:r>
      <w:r>
        <w:rPr>
          <w:i/>
          <w:color w:val="007B92"/>
          <w:spacing w:val="-1"/>
          <w:sz w:val="20"/>
        </w:rPr>
        <w:t xml:space="preserve"> </w:t>
      </w:r>
      <w:r>
        <w:rPr>
          <w:i/>
          <w:color w:val="007B92"/>
          <w:sz w:val="20"/>
        </w:rPr>
        <w:t>program is an important, well-regarded initiative which is prescribed through the Family Protection</w:t>
      </w:r>
      <w:r>
        <w:rPr>
          <w:i/>
          <w:color w:val="007B92"/>
          <w:spacing w:val="-2"/>
          <w:sz w:val="20"/>
        </w:rPr>
        <w:t xml:space="preserve"> </w:t>
      </w:r>
      <w:r>
        <w:rPr>
          <w:i/>
          <w:color w:val="007B92"/>
          <w:sz w:val="20"/>
        </w:rPr>
        <w:t>Act.</w:t>
      </w:r>
      <w:r>
        <w:rPr>
          <w:i/>
          <w:color w:val="007B92"/>
          <w:spacing w:val="-4"/>
          <w:sz w:val="20"/>
        </w:rPr>
        <w:t xml:space="preserve"> </w:t>
      </w:r>
      <w:r>
        <w:rPr>
          <w:i/>
          <w:color w:val="007B92"/>
          <w:sz w:val="20"/>
        </w:rPr>
        <w:t>It</w:t>
      </w:r>
      <w:r>
        <w:rPr>
          <w:i/>
          <w:color w:val="007B92"/>
          <w:spacing w:val="-2"/>
          <w:sz w:val="20"/>
        </w:rPr>
        <w:t xml:space="preserve"> </w:t>
      </w:r>
      <w:r>
        <w:rPr>
          <w:i/>
          <w:color w:val="007B92"/>
          <w:sz w:val="20"/>
        </w:rPr>
        <w:t>is</w:t>
      </w:r>
      <w:r>
        <w:rPr>
          <w:i/>
          <w:color w:val="007B92"/>
          <w:spacing w:val="-3"/>
          <w:sz w:val="20"/>
        </w:rPr>
        <w:t xml:space="preserve"> </w:t>
      </w:r>
      <w:r>
        <w:rPr>
          <w:i/>
          <w:color w:val="007B92"/>
          <w:sz w:val="20"/>
        </w:rPr>
        <w:t>the</w:t>
      </w:r>
      <w:r>
        <w:rPr>
          <w:i/>
          <w:color w:val="007B92"/>
          <w:spacing w:val="-4"/>
          <w:sz w:val="20"/>
        </w:rPr>
        <w:t xml:space="preserve"> </w:t>
      </w:r>
      <w:r>
        <w:rPr>
          <w:i/>
          <w:color w:val="007B92"/>
          <w:sz w:val="20"/>
        </w:rPr>
        <w:t>key contact</w:t>
      </w:r>
      <w:r>
        <w:rPr>
          <w:i/>
          <w:color w:val="007B92"/>
          <w:spacing w:val="-4"/>
          <w:sz w:val="20"/>
        </w:rPr>
        <w:t xml:space="preserve"> </w:t>
      </w:r>
      <w:r>
        <w:rPr>
          <w:i/>
          <w:color w:val="007B92"/>
          <w:sz w:val="20"/>
        </w:rPr>
        <w:t>point</w:t>
      </w:r>
      <w:r>
        <w:rPr>
          <w:i/>
          <w:color w:val="007B92"/>
          <w:spacing w:val="-4"/>
          <w:sz w:val="20"/>
        </w:rPr>
        <w:t xml:space="preserve"> </w:t>
      </w:r>
      <w:r>
        <w:rPr>
          <w:i/>
          <w:color w:val="007B92"/>
          <w:sz w:val="20"/>
        </w:rPr>
        <w:t>for</w:t>
      </w:r>
      <w:r>
        <w:rPr>
          <w:i/>
          <w:color w:val="007B92"/>
          <w:spacing w:val="-3"/>
          <w:sz w:val="20"/>
        </w:rPr>
        <w:t xml:space="preserve"> </w:t>
      </w:r>
      <w:r>
        <w:rPr>
          <w:i/>
          <w:color w:val="007B92"/>
          <w:sz w:val="20"/>
        </w:rPr>
        <w:t>communities</w:t>
      </w:r>
      <w:r>
        <w:rPr>
          <w:i/>
          <w:color w:val="007B92"/>
          <w:spacing w:val="-3"/>
          <w:sz w:val="20"/>
        </w:rPr>
        <w:t xml:space="preserve"> </w:t>
      </w:r>
      <w:r>
        <w:rPr>
          <w:i/>
          <w:color w:val="007B92"/>
          <w:sz w:val="20"/>
        </w:rPr>
        <w:t>to</w:t>
      </w:r>
      <w:r>
        <w:rPr>
          <w:i/>
          <w:color w:val="007B92"/>
          <w:spacing w:val="-4"/>
          <w:sz w:val="20"/>
        </w:rPr>
        <w:t xml:space="preserve"> </w:t>
      </w:r>
      <w:r>
        <w:rPr>
          <w:i/>
          <w:color w:val="007B92"/>
          <w:sz w:val="20"/>
        </w:rPr>
        <w:t>access</w:t>
      </w:r>
      <w:r>
        <w:rPr>
          <w:i/>
          <w:color w:val="007B92"/>
          <w:spacing w:val="-3"/>
          <w:sz w:val="20"/>
        </w:rPr>
        <w:t xml:space="preserve"> </w:t>
      </w:r>
      <w:r>
        <w:rPr>
          <w:i/>
          <w:color w:val="007B92"/>
          <w:sz w:val="20"/>
        </w:rPr>
        <w:t>essential</w:t>
      </w:r>
      <w:r>
        <w:rPr>
          <w:i/>
          <w:color w:val="007B92"/>
          <w:spacing w:val="-3"/>
          <w:sz w:val="20"/>
        </w:rPr>
        <w:t xml:space="preserve"> </w:t>
      </w:r>
      <w:r>
        <w:rPr>
          <w:i/>
          <w:color w:val="007B92"/>
          <w:sz w:val="20"/>
        </w:rPr>
        <w:t>access</w:t>
      </w:r>
      <w:r>
        <w:rPr>
          <w:i/>
          <w:color w:val="007B92"/>
          <w:spacing w:val="-3"/>
          <w:sz w:val="20"/>
        </w:rPr>
        <w:t xml:space="preserve"> </w:t>
      </w:r>
      <w:r>
        <w:rPr>
          <w:i/>
          <w:color w:val="007B92"/>
          <w:sz w:val="20"/>
        </w:rPr>
        <w:t>to</w:t>
      </w:r>
      <w:r>
        <w:rPr>
          <w:i/>
          <w:color w:val="007B92"/>
          <w:spacing w:val="-4"/>
          <w:sz w:val="20"/>
        </w:rPr>
        <w:t xml:space="preserve"> </w:t>
      </w:r>
      <w:r>
        <w:rPr>
          <w:i/>
          <w:color w:val="007B92"/>
          <w:sz w:val="20"/>
        </w:rPr>
        <w:t>justice</w:t>
      </w:r>
      <w:r>
        <w:rPr>
          <w:i/>
          <w:color w:val="007B92"/>
          <w:spacing w:val="-2"/>
          <w:sz w:val="20"/>
        </w:rPr>
        <w:t xml:space="preserve"> </w:t>
      </w:r>
      <w:r>
        <w:rPr>
          <w:i/>
          <w:color w:val="007B92"/>
          <w:sz w:val="20"/>
        </w:rPr>
        <w:t>services</w:t>
      </w:r>
      <w:r>
        <w:rPr>
          <w:i/>
          <w:color w:val="007B92"/>
          <w:spacing w:val="-3"/>
          <w:sz w:val="20"/>
        </w:rPr>
        <w:t xml:space="preserve"> </w:t>
      </w:r>
      <w:r>
        <w:rPr>
          <w:i/>
          <w:color w:val="007B92"/>
          <w:sz w:val="20"/>
        </w:rPr>
        <w:t>in situations of VAWC. The AP Program is increasingly respected by communities, police, chiefs and the</w:t>
      </w:r>
    </w:p>
    <w:p w14:paraId="06940893" w14:textId="77777777" w:rsidR="009C36E3" w:rsidRDefault="000E7207">
      <w:pPr>
        <w:ind w:left="771" w:right="1133"/>
        <w:jc w:val="both"/>
        <w:rPr>
          <w:i/>
          <w:sz w:val="20"/>
        </w:rPr>
      </w:pPr>
      <w:r>
        <w:rPr>
          <w:i/>
          <w:color w:val="007B92"/>
          <w:sz w:val="20"/>
        </w:rPr>
        <w:t>justice</w:t>
      </w:r>
      <w:r>
        <w:rPr>
          <w:i/>
          <w:color w:val="007B92"/>
          <w:spacing w:val="-3"/>
          <w:sz w:val="20"/>
        </w:rPr>
        <w:t xml:space="preserve"> </w:t>
      </w:r>
      <w:r>
        <w:rPr>
          <w:i/>
          <w:color w:val="007B92"/>
          <w:sz w:val="20"/>
        </w:rPr>
        <w:t>sector</w:t>
      </w:r>
      <w:r>
        <w:rPr>
          <w:i/>
          <w:color w:val="007B92"/>
          <w:spacing w:val="-3"/>
          <w:sz w:val="20"/>
        </w:rPr>
        <w:t xml:space="preserve"> </w:t>
      </w:r>
      <w:r>
        <w:rPr>
          <w:i/>
          <w:color w:val="007B92"/>
          <w:sz w:val="20"/>
        </w:rPr>
        <w:t>as</w:t>
      </w:r>
      <w:r>
        <w:rPr>
          <w:i/>
          <w:color w:val="007B92"/>
          <w:spacing w:val="-3"/>
          <w:sz w:val="20"/>
        </w:rPr>
        <w:t xml:space="preserve"> </w:t>
      </w:r>
      <w:r>
        <w:rPr>
          <w:i/>
          <w:color w:val="007B92"/>
          <w:sz w:val="20"/>
        </w:rPr>
        <w:t>a</w:t>
      </w:r>
      <w:r>
        <w:rPr>
          <w:i/>
          <w:color w:val="007B92"/>
          <w:spacing w:val="-3"/>
          <w:sz w:val="20"/>
        </w:rPr>
        <w:t xml:space="preserve"> </w:t>
      </w:r>
      <w:r>
        <w:rPr>
          <w:i/>
          <w:color w:val="007B92"/>
          <w:sz w:val="20"/>
        </w:rPr>
        <w:t>whole.</w:t>
      </w:r>
      <w:r>
        <w:rPr>
          <w:i/>
          <w:color w:val="007B92"/>
          <w:spacing w:val="-3"/>
          <w:sz w:val="20"/>
        </w:rPr>
        <w:t xml:space="preserve"> </w:t>
      </w:r>
      <w:r>
        <w:rPr>
          <w:i/>
          <w:color w:val="007B92"/>
          <w:sz w:val="20"/>
        </w:rPr>
        <w:t>Unfortunately,</w:t>
      </w:r>
      <w:r>
        <w:rPr>
          <w:i/>
          <w:color w:val="007B92"/>
          <w:spacing w:val="-3"/>
          <w:sz w:val="20"/>
        </w:rPr>
        <w:t xml:space="preserve"> </w:t>
      </w:r>
      <w:r>
        <w:rPr>
          <w:i/>
          <w:color w:val="007B92"/>
          <w:sz w:val="20"/>
        </w:rPr>
        <w:t>it</w:t>
      </w:r>
      <w:r>
        <w:rPr>
          <w:i/>
          <w:color w:val="007B92"/>
          <w:spacing w:val="-2"/>
          <w:sz w:val="20"/>
        </w:rPr>
        <w:t xml:space="preserve"> </w:t>
      </w:r>
      <w:r>
        <w:rPr>
          <w:i/>
          <w:color w:val="007B92"/>
          <w:sz w:val="20"/>
        </w:rPr>
        <w:t>has not</w:t>
      </w:r>
      <w:r>
        <w:rPr>
          <w:i/>
          <w:color w:val="007B92"/>
          <w:spacing w:val="-3"/>
          <w:sz w:val="20"/>
        </w:rPr>
        <w:t xml:space="preserve"> </w:t>
      </w:r>
      <w:r>
        <w:rPr>
          <w:i/>
          <w:color w:val="007B92"/>
          <w:sz w:val="20"/>
        </w:rPr>
        <w:t>yet</w:t>
      </w:r>
      <w:r>
        <w:rPr>
          <w:i/>
          <w:color w:val="007B92"/>
          <w:spacing w:val="-2"/>
          <w:sz w:val="20"/>
        </w:rPr>
        <w:t xml:space="preserve"> </w:t>
      </w:r>
      <w:r>
        <w:rPr>
          <w:i/>
          <w:color w:val="007B92"/>
          <w:sz w:val="20"/>
        </w:rPr>
        <w:t>been</w:t>
      </w:r>
      <w:r>
        <w:rPr>
          <w:i/>
          <w:color w:val="007B92"/>
          <w:spacing w:val="-2"/>
          <w:sz w:val="20"/>
        </w:rPr>
        <w:t xml:space="preserve"> </w:t>
      </w:r>
      <w:r>
        <w:rPr>
          <w:i/>
          <w:color w:val="007B92"/>
          <w:sz w:val="20"/>
        </w:rPr>
        <w:t>possible</w:t>
      </w:r>
      <w:r>
        <w:rPr>
          <w:i/>
          <w:color w:val="007B92"/>
          <w:spacing w:val="-2"/>
          <w:sz w:val="20"/>
        </w:rPr>
        <w:t xml:space="preserve"> </w:t>
      </w:r>
      <w:r>
        <w:rPr>
          <w:i/>
          <w:color w:val="007B92"/>
          <w:sz w:val="20"/>
        </w:rPr>
        <w:t>to</w:t>
      </w:r>
      <w:r>
        <w:rPr>
          <w:i/>
          <w:color w:val="007B92"/>
          <w:spacing w:val="-3"/>
          <w:sz w:val="20"/>
        </w:rPr>
        <w:t xml:space="preserve"> </w:t>
      </w:r>
      <w:r>
        <w:rPr>
          <w:i/>
          <w:color w:val="007B92"/>
          <w:sz w:val="20"/>
        </w:rPr>
        <w:t>finalise</w:t>
      </w:r>
      <w:r>
        <w:rPr>
          <w:i/>
          <w:color w:val="007B92"/>
          <w:spacing w:val="-3"/>
          <w:sz w:val="20"/>
        </w:rPr>
        <w:t xml:space="preserve"> </w:t>
      </w:r>
      <w:r>
        <w:rPr>
          <w:i/>
          <w:color w:val="007B92"/>
          <w:sz w:val="20"/>
        </w:rPr>
        <w:t>the</w:t>
      </w:r>
      <w:r>
        <w:rPr>
          <w:i/>
          <w:color w:val="007B92"/>
          <w:spacing w:val="-3"/>
          <w:sz w:val="20"/>
        </w:rPr>
        <w:t xml:space="preserve"> </w:t>
      </w:r>
      <w:r>
        <w:rPr>
          <w:i/>
          <w:color w:val="007B92"/>
          <w:sz w:val="20"/>
        </w:rPr>
        <w:t>planned</w:t>
      </w:r>
      <w:r>
        <w:rPr>
          <w:i/>
          <w:color w:val="007B92"/>
          <w:spacing w:val="-2"/>
          <w:sz w:val="20"/>
        </w:rPr>
        <w:t xml:space="preserve"> </w:t>
      </w:r>
      <w:r>
        <w:rPr>
          <w:i/>
          <w:color w:val="007B92"/>
          <w:sz w:val="20"/>
        </w:rPr>
        <w:t>hand</w:t>
      </w:r>
      <w:r>
        <w:rPr>
          <w:i/>
          <w:color w:val="007B92"/>
          <w:spacing w:val="-3"/>
          <w:sz w:val="20"/>
        </w:rPr>
        <w:t xml:space="preserve"> </w:t>
      </w:r>
      <w:r>
        <w:rPr>
          <w:i/>
          <w:color w:val="007B92"/>
          <w:sz w:val="20"/>
        </w:rPr>
        <w:t>over</w:t>
      </w:r>
      <w:r>
        <w:rPr>
          <w:i/>
          <w:color w:val="007B92"/>
          <w:spacing w:val="-3"/>
          <w:sz w:val="20"/>
        </w:rPr>
        <w:t xml:space="preserve"> </w:t>
      </w:r>
      <w:r>
        <w:rPr>
          <w:i/>
          <w:color w:val="007B92"/>
          <w:sz w:val="20"/>
        </w:rPr>
        <w:t>of management of the AP program with GoV.</w:t>
      </w:r>
    </w:p>
    <w:p w14:paraId="7819A666" w14:textId="77777777" w:rsidR="009C36E3" w:rsidRDefault="000E7207">
      <w:pPr>
        <w:spacing w:before="120"/>
        <w:ind w:left="1491" w:right="167"/>
        <w:rPr>
          <w:i/>
          <w:sz w:val="20"/>
        </w:rPr>
      </w:pPr>
      <w:r>
        <w:rPr>
          <w:noProof/>
        </w:rPr>
        <mc:AlternateContent>
          <mc:Choice Requires="wps">
            <w:drawing>
              <wp:anchor distT="0" distB="0" distL="0" distR="0" simplePos="0" relativeHeight="251634688" behindDoc="0" locked="0" layoutInCell="1" allowOverlap="1" wp14:anchorId="768E816E" wp14:editId="2445BF75">
                <wp:simplePos x="0" y="0"/>
                <wp:positionH relativeFrom="page">
                  <wp:posOffset>573317</wp:posOffset>
                </wp:positionH>
                <wp:positionV relativeFrom="paragraph">
                  <wp:posOffset>117947</wp:posOffset>
                </wp:positionV>
                <wp:extent cx="275590" cy="274955"/>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4BC0AB8A" id="Graphic 32" o:spid="_x0000_s1026" alt="&quot;&quot;" style="position:absolute;margin-left:45.15pt;margin-top:9.3pt;width:21.7pt;height:21.65pt;z-index:15735808;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&#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Noting the very high reliance on VAPJP to financially support the VPF to extend their reach and quality,</w:t>
      </w:r>
      <w:r>
        <w:rPr>
          <w:i/>
          <w:color w:val="007B92"/>
          <w:spacing w:val="-3"/>
          <w:sz w:val="20"/>
        </w:rPr>
        <w:t xml:space="preserve"> </w:t>
      </w:r>
      <w:r>
        <w:rPr>
          <w:i/>
          <w:color w:val="007B92"/>
          <w:sz w:val="20"/>
        </w:rPr>
        <w:t>the</w:t>
      </w:r>
      <w:r>
        <w:rPr>
          <w:i/>
          <w:color w:val="007B92"/>
          <w:spacing w:val="-2"/>
          <w:sz w:val="20"/>
        </w:rPr>
        <w:t xml:space="preserve"> </w:t>
      </w:r>
      <w:r>
        <w:rPr>
          <w:i/>
          <w:color w:val="007B92"/>
          <w:sz w:val="20"/>
        </w:rPr>
        <w:t>MTR</w:t>
      </w:r>
      <w:r>
        <w:rPr>
          <w:i/>
          <w:color w:val="007B92"/>
          <w:spacing w:val="-3"/>
          <w:sz w:val="20"/>
        </w:rPr>
        <w:t xml:space="preserve"> </w:t>
      </w:r>
      <w:r>
        <w:rPr>
          <w:i/>
          <w:color w:val="007B92"/>
          <w:sz w:val="20"/>
        </w:rPr>
        <w:t>team</w:t>
      </w:r>
      <w:r>
        <w:rPr>
          <w:i/>
          <w:color w:val="007B92"/>
          <w:spacing w:val="-3"/>
          <w:sz w:val="20"/>
        </w:rPr>
        <w:t xml:space="preserve"> </w:t>
      </w:r>
      <w:r>
        <w:rPr>
          <w:i/>
          <w:color w:val="007B92"/>
          <w:sz w:val="20"/>
        </w:rPr>
        <w:t>considered</w:t>
      </w:r>
      <w:r>
        <w:rPr>
          <w:i/>
          <w:color w:val="007B92"/>
          <w:spacing w:val="-3"/>
          <w:sz w:val="20"/>
        </w:rPr>
        <w:t xml:space="preserve"> </w:t>
      </w:r>
      <w:r>
        <w:rPr>
          <w:i/>
          <w:color w:val="007B92"/>
          <w:sz w:val="20"/>
        </w:rPr>
        <w:t>whether</w:t>
      </w:r>
      <w:r>
        <w:rPr>
          <w:i/>
          <w:color w:val="007B92"/>
          <w:spacing w:val="-3"/>
          <w:sz w:val="20"/>
        </w:rPr>
        <w:t xml:space="preserve"> </w:t>
      </w:r>
      <w:r>
        <w:rPr>
          <w:i/>
          <w:color w:val="007B92"/>
          <w:sz w:val="20"/>
        </w:rPr>
        <w:t>there</w:t>
      </w:r>
      <w:r>
        <w:rPr>
          <w:i/>
          <w:color w:val="007B92"/>
          <w:spacing w:val="-2"/>
          <w:sz w:val="20"/>
        </w:rPr>
        <w:t xml:space="preserve"> </w:t>
      </w:r>
      <w:r>
        <w:rPr>
          <w:i/>
          <w:color w:val="007B92"/>
          <w:sz w:val="20"/>
        </w:rPr>
        <w:t>was more</w:t>
      </w:r>
      <w:r>
        <w:rPr>
          <w:i/>
          <w:color w:val="007B92"/>
          <w:spacing w:val="-3"/>
          <w:sz w:val="20"/>
        </w:rPr>
        <w:t xml:space="preserve"> </w:t>
      </w:r>
      <w:r>
        <w:rPr>
          <w:i/>
          <w:color w:val="007B92"/>
          <w:sz w:val="20"/>
        </w:rPr>
        <w:t>that</w:t>
      </w:r>
      <w:r>
        <w:rPr>
          <w:i/>
          <w:color w:val="007B92"/>
          <w:spacing w:val="-2"/>
          <w:sz w:val="20"/>
        </w:rPr>
        <w:t xml:space="preserve"> </w:t>
      </w:r>
      <w:r>
        <w:rPr>
          <w:i/>
          <w:color w:val="007B92"/>
          <w:sz w:val="20"/>
        </w:rPr>
        <w:t>VAPJP</w:t>
      </w:r>
      <w:r>
        <w:rPr>
          <w:i/>
          <w:color w:val="007B92"/>
          <w:spacing w:val="-4"/>
          <w:sz w:val="20"/>
        </w:rPr>
        <w:t xml:space="preserve"> </w:t>
      </w:r>
      <w:r>
        <w:rPr>
          <w:i/>
          <w:color w:val="007B92"/>
          <w:sz w:val="20"/>
        </w:rPr>
        <w:t>could</w:t>
      </w:r>
      <w:r>
        <w:rPr>
          <w:i/>
          <w:color w:val="007B92"/>
          <w:spacing w:val="-3"/>
          <w:sz w:val="20"/>
        </w:rPr>
        <w:t xml:space="preserve"> </w:t>
      </w:r>
      <w:r>
        <w:rPr>
          <w:i/>
          <w:color w:val="007B92"/>
          <w:sz w:val="20"/>
        </w:rPr>
        <w:t>be doing</w:t>
      </w:r>
      <w:r>
        <w:rPr>
          <w:i/>
          <w:color w:val="007B92"/>
          <w:spacing w:val="-3"/>
          <w:sz w:val="20"/>
        </w:rPr>
        <w:t xml:space="preserve"> </w:t>
      </w:r>
      <w:r>
        <w:rPr>
          <w:i/>
          <w:color w:val="007B92"/>
          <w:sz w:val="20"/>
        </w:rPr>
        <w:t>to</w:t>
      </w:r>
      <w:r>
        <w:rPr>
          <w:i/>
          <w:color w:val="007B92"/>
          <w:spacing w:val="-3"/>
          <w:sz w:val="20"/>
        </w:rPr>
        <w:t xml:space="preserve"> </w:t>
      </w:r>
      <w:r>
        <w:rPr>
          <w:i/>
          <w:color w:val="007B92"/>
          <w:sz w:val="20"/>
        </w:rPr>
        <w:t>support</w:t>
      </w:r>
      <w:r>
        <w:rPr>
          <w:i/>
          <w:color w:val="007B92"/>
          <w:spacing w:val="-3"/>
          <w:sz w:val="20"/>
        </w:rPr>
        <w:t xml:space="preserve"> </w:t>
      </w:r>
      <w:r>
        <w:rPr>
          <w:i/>
          <w:color w:val="007B92"/>
          <w:sz w:val="20"/>
        </w:rPr>
        <w:t>the</w:t>
      </w:r>
      <w:r>
        <w:rPr>
          <w:i/>
          <w:color w:val="007B92"/>
          <w:spacing w:val="-3"/>
          <w:sz w:val="20"/>
        </w:rPr>
        <w:t xml:space="preserve"> </w:t>
      </w:r>
      <w:r>
        <w:rPr>
          <w:i/>
          <w:color w:val="007B92"/>
          <w:sz w:val="20"/>
        </w:rPr>
        <w:t>VPF in securing appropriate levels of budget support. The MTR Team did not become aware of any additional</w:t>
      </w:r>
    </w:p>
    <w:p w14:paraId="0B117D56" w14:textId="16365ACB" w:rsidR="009C36E3" w:rsidRDefault="00627C54" w:rsidP="00856902">
      <w:pPr>
        <w:spacing w:after="600" w:line="229" w:lineRule="exact"/>
        <w:ind w:left="771"/>
        <w:rPr>
          <w:i/>
          <w:sz w:val="20"/>
        </w:rPr>
      </w:pPr>
      <w:r>
        <w:rPr>
          <w:noProof/>
        </w:rPr>
        <mc:AlternateContent>
          <mc:Choice Requires="wps">
            <w:drawing>
              <wp:anchor distT="0" distB="0" distL="0" distR="0" simplePos="0" relativeHeight="251674624" behindDoc="1" locked="0" layoutInCell="1" allowOverlap="1" wp14:anchorId="5CA270D6" wp14:editId="7F9A85AF">
                <wp:simplePos x="0" y="0"/>
                <wp:positionH relativeFrom="page">
                  <wp:posOffset>539750</wp:posOffset>
                </wp:positionH>
                <wp:positionV relativeFrom="paragraph">
                  <wp:posOffset>384810</wp:posOffset>
                </wp:positionV>
                <wp:extent cx="1828800" cy="6350"/>
                <wp:effectExtent l="0" t="0" r="0" b="0"/>
                <wp:wrapTopAndBottom/>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BE4A2E" id="Graphic 33" o:spid="_x0000_s1026" alt="&quot;&quot;" style="position:absolute;margin-left:42.5pt;margin-top:30.3pt;width:2in;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" path="m1828800,l,,,6096r1828800,l1828800,xe" fillcolor="black" stroked="f">
                <v:path arrowok="t"/>
                <w10:wrap type="topAndBottom" anchorx="page"/>
              </v:shape>
            </w:pict>
          </mc:Fallback>
        </mc:AlternateContent>
      </w:r>
      <w:r w:rsidR="000E7207">
        <w:rPr>
          <w:i/>
          <w:color w:val="007B92"/>
          <w:sz w:val="20"/>
        </w:rPr>
        <w:t>opportunities</w:t>
      </w:r>
      <w:r w:rsidR="000E7207">
        <w:rPr>
          <w:i/>
          <w:color w:val="007B92"/>
          <w:spacing w:val="-7"/>
          <w:sz w:val="20"/>
        </w:rPr>
        <w:t xml:space="preserve"> </w:t>
      </w:r>
      <w:r w:rsidR="000E7207">
        <w:rPr>
          <w:i/>
          <w:color w:val="007B92"/>
          <w:sz w:val="20"/>
        </w:rPr>
        <w:t>for</w:t>
      </w:r>
      <w:r w:rsidR="000E7207">
        <w:rPr>
          <w:i/>
          <w:color w:val="007B92"/>
          <w:spacing w:val="-7"/>
          <w:sz w:val="20"/>
        </w:rPr>
        <w:t xml:space="preserve"> </w:t>
      </w:r>
      <w:r w:rsidR="000E7207">
        <w:rPr>
          <w:i/>
          <w:color w:val="007B92"/>
          <w:sz w:val="20"/>
        </w:rPr>
        <w:t>budget</w:t>
      </w:r>
      <w:r w:rsidR="000E7207">
        <w:rPr>
          <w:i/>
          <w:color w:val="007B92"/>
          <w:spacing w:val="-7"/>
          <w:sz w:val="20"/>
        </w:rPr>
        <w:t xml:space="preserve"> </w:t>
      </w:r>
      <w:r w:rsidR="000E7207">
        <w:rPr>
          <w:i/>
          <w:color w:val="007B92"/>
          <w:sz w:val="20"/>
        </w:rPr>
        <w:t>support</w:t>
      </w:r>
      <w:r w:rsidR="000E7207">
        <w:rPr>
          <w:i/>
          <w:color w:val="007B92"/>
          <w:spacing w:val="-7"/>
          <w:sz w:val="20"/>
        </w:rPr>
        <w:t xml:space="preserve"> </w:t>
      </w:r>
      <w:r w:rsidR="000E7207">
        <w:rPr>
          <w:i/>
          <w:color w:val="007B92"/>
          <w:sz w:val="20"/>
        </w:rPr>
        <w:t>that</w:t>
      </w:r>
      <w:r w:rsidR="000E7207">
        <w:rPr>
          <w:i/>
          <w:color w:val="007B92"/>
          <w:spacing w:val="-6"/>
          <w:sz w:val="20"/>
        </w:rPr>
        <w:t xml:space="preserve"> </w:t>
      </w:r>
      <w:r w:rsidR="000E7207">
        <w:rPr>
          <w:i/>
          <w:color w:val="007B92"/>
          <w:sz w:val="20"/>
        </w:rPr>
        <w:t>have</w:t>
      </w:r>
      <w:r w:rsidR="000E7207">
        <w:rPr>
          <w:i/>
          <w:color w:val="007B92"/>
          <w:spacing w:val="-7"/>
          <w:sz w:val="20"/>
        </w:rPr>
        <w:t xml:space="preserve"> </w:t>
      </w:r>
      <w:r w:rsidR="000E7207">
        <w:rPr>
          <w:i/>
          <w:color w:val="007B92"/>
          <w:sz w:val="20"/>
        </w:rPr>
        <w:t>not</w:t>
      </w:r>
      <w:r w:rsidR="000E7207">
        <w:rPr>
          <w:i/>
          <w:color w:val="007B92"/>
          <w:spacing w:val="-6"/>
          <w:sz w:val="20"/>
        </w:rPr>
        <w:t xml:space="preserve"> </w:t>
      </w:r>
      <w:r w:rsidR="000E7207">
        <w:rPr>
          <w:i/>
          <w:color w:val="007B92"/>
          <w:sz w:val="20"/>
        </w:rPr>
        <w:t>already</w:t>
      </w:r>
      <w:r w:rsidR="000E7207">
        <w:rPr>
          <w:i/>
          <w:color w:val="007B92"/>
          <w:spacing w:val="-4"/>
          <w:sz w:val="20"/>
        </w:rPr>
        <w:t xml:space="preserve"> </w:t>
      </w:r>
      <w:r w:rsidR="000E7207">
        <w:rPr>
          <w:i/>
          <w:color w:val="007B92"/>
          <w:sz w:val="20"/>
        </w:rPr>
        <w:t>been</w:t>
      </w:r>
      <w:r w:rsidR="000E7207">
        <w:rPr>
          <w:i/>
          <w:color w:val="007B92"/>
          <w:spacing w:val="-6"/>
          <w:sz w:val="20"/>
        </w:rPr>
        <w:t xml:space="preserve"> </w:t>
      </w:r>
      <w:r w:rsidR="000E7207">
        <w:rPr>
          <w:i/>
          <w:color w:val="007B92"/>
          <w:spacing w:val="-2"/>
          <w:sz w:val="20"/>
        </w:rPr>
        <w:t>attempted.</w:t>
      </w:r>
    </w:p>
    <w:p w14:paraId="04B5941D" w14:textId="77777777" w:rsidR="009C36E3" w:rsidRDefault="000E7207">
      <w:pPr>
        <w:spacing w:line="242" w:lineRule="auto"/>
        <w:ind w:left="771"/>
        <w:rPr>
          <w:sz w:val="18"/>
        </w:rPr>
      </w:pPr>
      <w:bookmarkStart w:id="33" w:name="_bookmark23"/>
      <w:bookmarkEnd w:id="33"/>
      <w:r>
        <w:rPr>
          <w:position w:val="6"/>
          <w:sz w:val="13"/>
        </w:rPr>
        <w:t>12</w:t>
      </w:r>
      <w:r>
        <w:rPr>
          <w:spacing w:val="17"/>
          <w:position w:val="6"/>
          <w:sz w:val="13"/>
        </w:rPr>
        <w:t xml:space="preserve"> </w:t>
      </w:r>
      <w:r>
        <w:rPr>
          <w:sz w:val="18"/>
        </w:rPr>
        <w:t>The VPF</w:t>
      </w:r>
      <w:r>
        <w:rPr>
          <w:spacing w:val="-1"/>
          <w:sz w:val="18"/>
        </w:rPr>
        <w:t xml:space="preserve"> </w:t>
      </w:r>
      <w:r>
        <w:rPr>
          <w:sz w:val="18"/>
        </w:rPr>
        <w:t>Nasara</w:t>
      </w:r>
      <w:r>
        <w:rPr>
          <w:spacing w:val="-3"/>
          <w:sz w:val="18"/>
        </w:rPr>
        <w:t xml:space="preserve"> </w:t>
      </w:r>
      <w:r>
        <w:rPr>
          <w:sz w:val="18"/>
        </w:rPr>
        <w:t>program was initiated</w:t>
      </w:r>
      <w:r>
        <w:rPr>
          <w:spacing w:val="-3"/>
          <w:sz w:val="18"/>
        </w:rPr>
        <w:t xml:space="preserve"> </w:t>
      </w:r>
      <w:r>
        <w:rPr>
          <w:sz w:val="18"/>
        </w:rPr>
        <w:t>by VPF</w:t>
      </w:r>
      <w:r>
        <w:rPr>
          <w:spacing w:val="-3"/>
          <w:sz w:val="18"/>
        </w:rPr>
        <w:t xml:space="preserve"> </w:t>
      </w:r>
      <w:r>
        <w:rPr>
          <w:sz w:val="18"/>
        </w:rPr>
        <w:t>in Santo</w:t>
      </w:r>
      <w:r>
        <w:rPr>
          <w:spacing w:val="-3"/>
          <w:sz w:val="18"/>
        </w:rPr>
        <w:t xml:space="preserve"> </w:t>
      </w:r>
      <w:r>
        <w:rPr>
          <w:sz w:val="18"/>
        </w:rPr>
        <w:t>to</w:t>
      </w:r>
      <w:r>
        <w:rPr>
          <w:spacing w:val="-3"/>
          <w:sz w:val="18"/>
        </w:rPr>
        <w:t xml:space="preserve"> </w:t>
      </w:r>
      <w:r>
        <w:rPr>
          <w:sz w:val="18"/>
        </w:rPr>
        <w:t>carry out</w:t>
      </w:r>
      <w:r>
        <w:rPr>
          <w:spacing w:val="-1"/>
          <w:sz w:val="18"/>
        </w:rPr>
        <w:t xml:space="preserve"> </w:t>
      </w:r>
      <w:r>
        <w:rPr>
          <w:sz w:val="18"/>
        </w:rPr>
        <w:t>a</w:t>
      </w:r>
      <w:r>
        <w:rPr>
          <w:spacing w:val="-3"/>
          <w:sz w:val="18"/>
        </w:rPr>
        <w:t xml:space="preserve"> </w:t>
      </w:r>
      <w:r>
        <w:rPr>
          <w:sz w:val="18"/>
        </w:rPr>
        <w:t>monthly rotation to</w:t>
      </w:r>
      <w:r>
        <w:rPr>
          <w:spacing w:val="-3"/>
          <w:sz w:val="18"/>
        </w:rPr>
        <w:t xml:space="preserve"> </w:t>
      </w:r>
      <w:r>
        <w:rPr>
          <w:sz w:val="18"/>
        </w:rPr>
        <w:t>areas with</w:t>
      </w:r>
      <w:r>
        <w:rPr>
          <w:spacing w:val="-3"/>
          <w:sz w:val="18"/>
        </w:rPr>
        <w:t xml:space="preserve"> </w:t>
      </w:r>
      <w:r>
        <w:rPr>
          <w:sz w:val="18"/>
        </w:rPr>
        <w:t>minimal or</w:t>
      </w:r>
      <w:r>
        <w:rPr>
          <w:spacing w:val="-3"/>
          <w:sz w:val="18"/>
        </w:rPr>
        <w:t xml:space="preserve"> </w:t>
      </w:r>
      <w:r>
        <w:rPr>
          <w:sz w:val="18"/>
        </w:rPr>
        <w:t>absent</w:t>
      </w:r>
      <w:r>
        <w:rPr>
          <w:spacing w:val="-3"/>
          <w:sz w:val="18"/>
        </w:rPr>
        <w:t xml:space="preserve"> </w:t>
      </w:r>
      <w:r>
        <w:rPr>
          <w:sz w:val="18"/>
        </w:rPr>
        <w:t>police, AP or Community Safety Team (CST) presence. Activities include discussions on VAWC, alcohol and drug use, and the law, school visits and conducting investigations into any complaints made.</w:t>
      </w:r>
    </w:p>
    <w:p w14:paraId="44FFDED9" w14:textId="77777777" w:rsidR="009C36E3" w:rsidRDefault="000E7207">
      <w:pPr>
        <w:spacing w:before="123" w:line="268" w:lineRule="auto"/>
        <w:ind w:left="771" w:right="353"/>
        <w:rPr>
          <w:sz w:val="18"/>
        </w:rPr>
      </w:pPr>
      <w:bookmarkStart w:id="34" w:name="_bookmark24"/>
      <w:bookmarkEnd w:id="34"/>
      <w:r>
        <w:rPr>
          <w:position w:val="6"/>
          <w:sz w:val="13"/>
        </w:rPr>
        <w:t>13</w:t>
      </w:r>
      <w:r>
        <w:rPr>
          <w:spacing w:val="16"/>
          <w:position w:val="6"/>
          <w:sz w:val="13"/>
        </w:rPr>
        <w:t xml:space="preserve"> </w:t>
      </w:r>
      <w:r>
        <w:rPr>
          <w:sz w:val="18"/>
        </w:rPr>
        <w:t>Mobility</w:t>
      </w:r>
      <w:r>
        <w:rPr>
          <w:spacing w:val="-1"/>
          <w:sz w:val="18"/>
        </w:rPr>
        <w:t xml:space="preserve"> </w:t>
      </w:r>
      <w:r>
        <w:rPr>
          <w:sz w:val="18"/>
        </w:rPr>
        <w:t>assets</w:t>
      </w:r>
      <w:r>
        <w:rPr>
          <w:spacing w:val="-1"/>
          <w:sz w:val="18"/>
        </w:rPr>
        <w:t xml:space="preserve"> </w:t>
      </w:r>
      <w:r>
        <w:rPr>
          <w:sz w:val="18"/>
        </w:rPr>
        <w:t>are</w:t>
      </w:r>
      <w:r>
        <w:rPr>
          <w:spacing w:val="-1"/>
          <w:sz w:val="18"/>
        </w:rPr>
        <w:t xml:space="preserve"> </w:t>
      </w:r>
      <w:r>
        <w:rPr>
          <w:sz w:val="18"/>
        </w:rPr>
        <w:t>a</w:t>
      </w:r>
      <w:r>
        <w:rPr>
          <w:spacing w:val="-4"/>
          <w:sz w:val="18"/>
        </w:rPr>
        <w:t xml:space="preserve"> </w:t>
      </w:r>
      <w:r>
        <w:rPr>
          <w:sz w:val="18"/>
        </w:rPr>
        <w:t>combination</w:t>
      </w:r>
      <w:r>
        <w:rPr>
          <w:spacing w:val="-4"/>
          <w:sz w:val="18"/>
        </w:rPr>
        <w:t xml:space="preserve"> </w:t>
      </w:r>
      <w:r>
        <w:rPr>
          <w:sz w:val="18"/>
        </w:rPr>
        <w:t>of</w:t>
      </w:r>
      <w:r>
        <w:rPr>
          <w:spacing w:val="-2"/>
          <w:sz w:val="18"/>
        </w:rPr>
        <w:t xml:space="preserve"> </w:t>
      </w:r>
      <w:r>
        <w:rPr>
          <w:sz w:val="18"/>
        </w:rPr>
        <w:t>AFP</w:t>
      </w:r>
      <w:r>
        <w:rPr>
          <w:spacing w:val="-2"/>
          <w:sz w:val="18"/>
        </w:rPr>
        <w:t xml:space="preserve"> </w:t>
      </w:r>
      <w:r>
        <w:rPr>
          <w:sz w:val="18"/>
        </w:rPr>
        <w:t>and</w:t>
      </w:r>
      <w:r>
        <w:rPr>
          <w:spacing w:val="-1"/>
          <w:sz w:val="18"/>
        </w:rPr>
        <w:t xml:space="preserve"> </w:t>
      </w:r>
      <w:r>
        <w:rPr>
          <w:sz w:val="18"/>
        </w:rPr>
        <w:t>VAPJP</w:t>
      </w:r>
      <w:r>
        <w:rPr>
          <w:spacing w:val="-2"/>
          <w:sz w:val="18"/>
        </w:rPr>
        <w:t xml:space="preserve"> </w:t>
      </w:r>
      <w:r>
        <w:rPr>
          <w:sz w:val="18"/>
        </w:rPr>
        <w:t>funded.</w:t>
      </w:r>
      <w:r>
        <w:rPr>
          <w:spacing w:val="80"/>
          <w:sz w:val="18"/>
        </w:rPr>
        <w:t xml:space="preserve"> </w:t>
      </w:r>
      <w:r>
        <w:rPr>
          <w:sz w:val="18"/>
        </w:rPr>
        <w:t>VAPJP</w:t>
      </w:r>
      <w:r>
        <w:rPr>
          <w:spacing w:val="-5"/>
          <w:sz w:val="18"/>
        </w:rPr>
        <w:t xml:space="preserve"> </w:t>
      </w:r>
      <w:r>
        <w:rPr>
          <w:sz w:val="18"/>
        </w:rPr>
        <w:t>funded</w:t>
      </w:r>
      <w:r>
        <w:rPr>
          <w:spacing w:val="-1"/>
          <w:sz w:val="18"/>
        </w:rPr>
        <w:t xml:space="preserve"> </w:t>
      </w:r>
      <w:r>
        <w:rPr>
          <w:sz w:val="18"/>
        </w:rPr>
        <w:t>the</w:t>
      </w:r>
      <w:r>
        <w:rPr>
          <w:spacing w:val="-1"/>
          <w:sz w:val="18"/>
        </w:rPr>
        <w:t xml:space="preserve"> </w:t>
      </w:r>
      <w:r>
        <w:rPr>
          <w:sz w:val="18"/>
        </w:rPr>
        <w:t>banana</w:t>
      </w:r>
      <w:r>
        <w:rPr>
          <w:spacing w:val="-4"/>
          <w:sz w:val="18"/>
        </w:rPr>
        <w:t xml:space="preserve"> </w:t>
      </w:r>
      <w:r>
        <w:rPr>
          <w:sz w:val="18"/>
        </w:rPr>
        <w:t>boats,</w:t>
      </w:r>
      <w:r>
        <w:rPr>
          <w:spacing w:val="-2"/>
          <w:sz w:val="18"/>
        </w:rPr>
        <w:t xml:space="preserve"> </w:t>
      </w:r>
      <w:r>
        <w:rPr>
          <w:sz w:val="18"/>
        </w:rPr>
        <w:t>some</w:t>
      </w:r>
      <w:r>
        <w:rPr>
          <w:spacing w:val="-1"/>
          <w:sz w:val="18"/>
        </w:rPr>
        <w:t xml:space="preserve"> </w:t>
      </w:r>
      <w:r>
        <w:rPr>
          <w:sz w:val="18"/>
        </w:rPr>
        <w:t>quad</w:t>
      </w:r>
      <w:r>
        <w:rPr>
          <w:spacing w:val="-1"/>
          <w:sz w:val="18"/>
        </w:rPr>
        <w:t xml:space="preserve"> </w:t>
      </w:r>
      <w:r>
        <w:rPr>
          <w:sz w:val="18"/>
        </w:rPr>
        <w:t>bikes,</w:t>
      </w:r>
      <w:r>
        <w:rPr>
          <w:spacing w:val="-2"/>
          <w:sz w:val="18"/>
        </w:rPr>
        <w:t xml:space="preserve"> </w:t>
      </w:r>
      <w:r>
        <w:rPr>
          <w:sz w:val="18"/>
        </w:rPr>
        <w:t>trucks and two Landcruiser’s.</w:t>
      </w:r>
      <w:r>
        <w:rPr>
          <w:spacing w:val="40"/>
          <w:sz w:val="18"/>
        </w:rPr>
        <w:t xml:space="preserve"> </w:t>
      </w:r>
      <w:r>
        <w:rPr>
          <w:sz w:val="18"/>
        </w:rPr>
        <w:t>AFP through the Pacific Initiatives Funding 2022 provided four Landcruiser’s and four quad bikes.</w:t>
      </w:r>
    </w:p>
    <w:p w14:paraId="2714FB28" w14:textId="77777777" w:rsidR="009C36E3" w:rsidRDefault="009C36E3">
      <w:pPr>
        <w:spacing w:line="268" w:lineRule="auto"/>
        <w:rPr>
          <w:sz w:val="18"/>
        </w:rPr>
        <w:sectPr w:rsidR="009C36E3">
          <w:pgSz w:w="11910" w:h="16850"/>
          <w:pgMar w:top="1040" w:right="740" w:bottom="740" w:left="80" w:header="552" w:footer="559" w:gutter="0"/>
          <w:cols w:space="720"/>
        </w:sectPr>
      </w:pPr>
    </w:p>
    <w:p w14:paraId="6AF3FC94" w14:textId="77777777" w:rsidR="009C36E3" w:rsidRDefault="000E7207">
      <w:pPr>
        <w:spacing w:before="91"/>
        <w:ind w:left="1492" w:right="192"/>
        <w:rPr>
          <w:i/>
          <w:sz w:val="20"/>
        </w:rPr>
      </w:pPr>
      <w:r>
        <w:rPr>
          <w:noProof/>
        </w:rPr>
        <mc:AlternateContent>
          <mc:Choice Requires="wps">
            <w:drawing>
              <wp:anchor distT="0" distB="0" distL="0" distR="0" simplePos="0" relativeHeight="251636736" behindDoc="0" locked="0" layoutInCell="1" allowOverlap="1" wp14:anchorId="615EE8F5" wp14:editId="70EB98D8">
                <wp:simplePos x="0" y="0"/>
                <wp:positionH relativeFrom="page">
                  <wp:posOffset>573317</wp:posOffset>
                </wp:positionH>
                <wp:positionV relativeFrom="paragraph">
                  <wp:posOffset>100127</wp:posOffset>
                </wp:positionV>
                <wp:extent cx="275590" cy="274955"/>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498167A6" id="Graphic 34" o:spid="_x0000_s1026" alt="&quot;&quot;" style="position:absolute;margin-left:45.15pt;margin-top:7.9pt;width:21.7pt;height:21.65pt;z-index:15737344;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&#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bookmarkStart w:id="35" w:name="_bookmark25"/>
      <w:bookmarkEnd w:id="35"/>
      <w:r>
        <w:rPr>
          <w:b/>
          <w:i/>
          <w:color w:val="007B92"/>
          <w:sz w:val="20"/>
        </w:rPr>
        <w:t xml:space="preserve">Finding: </w:t>
      </w:r>
      <w:r>
        <w:rPr>
          <w:i/>
          <w:color w:val="007B92"/>
          <w:sz w:val="20"/>
        </w:rPr>
        <w:t>While separate from VAPJP, additional inputs of AFP directly to VPF complement the investments</w:t>
      </w:r>
      <w:r>
        <w:rPr>
          <w:i/>
          <w:color w:val="007B92"/>
          <w:spacing w:val="-3"/>
          <w:sz w:val="20"/>
        </w:rPr>
        <w:t xml:space="preserve"> </w:t>
      </w:r>
      <w:r>
        <w:rPr>
          <w:i/>
          <w:color w:val="007B92"/>
          <w:sz w:val="20"/>
        </w:rPr>
        <w:t>being</w:t>
      </w:r>
      <w:r>
        <w:rPr>
          <w:i/>
          <w:color w:val="007B92"/>
          <w:spacing w:val="-4"/>
          <w:sz w:val="20"/>
        </w:rPr>
        <w:t xml:space="preserve"> </w:t>
      </w:r>
      <w:r>
        <w:rPr>
          <w:i/>
          <w:color w:val="007B92"/>
          <w:sz w:val="20"/>
        </w:rPr>
        <w:t>made</w:t>
      </w:r>
      <w:r>
        <w:rPr>
          <w:i/>
          <w:color w:val="007B92"/>
          <w:spacing w:val="-2"/>
          <w:sz w:val="20"/>
        </w:rPr>
        <w:t xml:space="preserve"> </w:t>
      </w:r>
      <w:r>
        <w:rPr>
          <w:i/>
          <w:color w:val="007B92"/>
          <w:sz w:val="20"/>
        </w:rPr>
        <w:t>through</w:t>
      </w:r>
      <w:r>
        <w:rPr>
          <w:i/>
          <w:color w:val="007B92"/>
          <w:spacing w:val="-4"/>
          <w:sz w:val="20"/>
        </w:rPr>
        <w:t xml:space="preserve"> </w:t>
      </w:r>
      <w:r>
        <w:rPr>
          <w:i/>
          <w:color w:val="007B92"/>
          <w:sz w:val="20"/>
        </w:rPr>
        <w:t>the</w:t>
      </w:r>
      <w:r>
        <w:rPr>
          <w:i/>
          <w:color w:val="007B92"/>
          <w:spacing w:val="-2"/>
          <w:sz w:val="20"/>
        </w:rPr>
        <w:t xml:space="preserve"> </w:t>
      </w:r>
      <w:r>
        <w:rPr>
          <w:i/>
          <w:color w:val="007B92"/>
          <w:sz w:val="20"/>
        </w:rPr>
        <w:t>program</w:t>
      </w:r>
      <w:r>
        <w:rPr>
          <w:i/>
          <w:color w:val="007B92"/>
          <w:spacing w:val="-4"/>
          <w:sz w:val="20"/>
        </w:rPr>
        <w:t xml:space="preserve"> </w:t>
      </w:r>
      <w:r>
        <w:rPr>
          <w:i/>
          <w:color w:val="007B92"/>
          <w:sz w:val="20"/>
        </w:rPr>
        <w:t>as</w:t>
      </w:r>
      <w:r>
        <w:rPr>
          <w:i/>
          <w:color w:val="007B92"/>
          <w:spacing w:val="-3"/>
          <w:sz w:val="20"/>
        </w:rPr>
        <w:t xml:space="preserve"> </w:t>
      </w:r>
      <w:r>
        <w:rPr>
          <w:i/>
          <w:color w:val="007B92"/>
          <w:sz w:val="20"/>
        </w:rPr>
        <w:t>guided</w:t>
      </w:r>
      <w:r>
        <w:rPr>
          <w:i/>
          <w:color w:val="007B92"/>
          <w:spacing w:val="-4"/>
          <w:sz w:val="20"/>
        </w:rPr>
        <w:t xml:space="preserve"> </w:t>
      </w:r>
      <w:r>
        <w:rPr>
          <w:i/>
          <w:color w:val="007B92"/>
          <w:sz w:val="20"/>
        </w:rPr>
        <w:t>by</w:t>
      </w:r>
      <w:r>
        <w:rPr>
          <w:i/>
          <w:color w:val="007B92"/>
          <w:spacing w:val="-3"/>
          <w:sz w:val="20"/>
        </w:rPr>
        <w:t xml:space="preserve"> </w:t>
      </w:r>
      <w:r>
        <w:rPr>
          <w:i/>
          <w:color w:val="007B92"/>
          <w:sz w:val="20"/>
        </w:rPr>
        <w:t>the</w:t>
      </w:r>
      <w:r>
        <w:rPr>
          <w:i/>
          <w:color w:val="007B92"/>
          <w:spacing w:val="-2"/>
          <w:sz w:val="20"/>
        </w:rPr>
        <w:t xml:space="preserve"> </w:t>
      </w:r>
      <w:r>
        <w:rPr>
          <w:i/>
          <w:color w:val="007B92"/>
          <w:sz w:val="20"/>
        </w:rPr>
        <w:t>Program</w:t>
      </w:r>
      <w:r>
        <w:rPr>
          <w:i/>
          <w:color w:val="007B92"/>
          <w:spacing w:val="-4"/>
          <w:sz w:val="20"/>
        </w:rPr>
        <w:t xml:space="preserve"> </w:t>
      </w:r>
      <w:r>
        <w:rPr>
          <w:i/>
          <w:color w:val="007B92"/>
          <w:sz w:val="20"/>
        </w:rPr>
        <w:t>Coordinator</w:t>
      </w:r>
      <w:r>
        <w:rPr>
          <w:i/>
          <w:color w:val="007B92"/>
          <w:spacing w:val="-3"/>
          <w:sz w:val="20"/>
        </w:rPr>
        <w:t xml:space="preserve"> </w:t>
      </w:r>
      <w:r>
        <w:rPr>
          <w:i/>
          <w:color w:val="007B92"/>
          <w:sz w:val="20"/>
        </w:rPr>
        <w:t>Policing</w:t>
      </w:r>
      <w:r>
        <w:rPr>
          <w:i/>
          <w:color w:val="007B92"/>
          <w:spacing w:val="-3"/>
          <w:sz w:val="20"/>
        </w:rPr>
        <w:t xml:space="preserve"> </w:t>
      </w:r>
      <w:r>
        <w:rPr>
          <w:i/>
          <w:color w:val="007B92"/>
          <w:sz w:val="20"/>
        </w:rPr>
        <w:t>(PC-P)</w:t>
      </w:r>
      <w:r>
        <w:rPr>
          <w:i/>
          <w:color w:val="007B92"/>
          <w:spacing w:val="-3"/>
          <w:sz w:val="20"/>
        </w:rPr>
        <w:t xml:space="preserve"> </w:t>
      </w:r>
      <w:r>
        <w:rPr>
          <w:i/>
          <w:color w:val="007B92"/>
          <w:sz w:val="20"/>
        </w:rPr>
        <w:t>and align with GoV commitment to decentralisation (VAPJP, 2022a).</w:t>
      </w:r>
    </w:p>
    <w:p w14:paraId="2D2DABCF" w14:textId="77777777" w:rsidR="009C36E3" w:rsidRDefault="000E7207">
      <w:pPr>
        <w:spacing w:before="121"/>
        <w:ind w:left="1492"/>
        <w:rPr>
          <w:i/>
          <w:sz w:val="20"/>
        </w:rPr>
      </w:pPr>
      <w:r>
        <w:rPr>
          <w:noProof/>
        </w:rPr>
        <mc:AlternateContent>
          <mc:Choice Requires="wps">
            <w:drawing>
              <wp:anchor distT="0" distB="0" distL="0" distR="0" simplePos="0" relativeHeight="251635712" behindDoc="0" locked="0" layoutInCell="1" allowOverlap="1" wp14:anchorId="77A4E23F" wp14:editId="22CEC1C0">
                <wp:simplePos x="0" y="0"/>
                <wp:positionH relativeFrom="page">
                  <wp:posOffset>573317</wp:posOffset>
                </wp:positionH>
                <wp:positionV relativeFrom="paragraph">
                  <wp:posOffset>118542</wp:posOffset>
                </wp:positionV>
                <wp:extent cx="275590" cy="274955"/>
                <wp:effectExtent l="0" t="0" r="0" b="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608F75D0" id="Graphic 35" o:spid="_x0000_s1026" alt="&quot;&quot;" style="position:absolute;margin-left:45.15pt;margin-top:9.35pt;width:21.7pt;height:21.65pt;z-index:15736832;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3"/>
          <w:sz w:val="20"/>
        </w:rPr>
        <w:t xml:space="preserve"> </w:t>
      </w:r>
      <w:r>
        <w:rPr>
          <w:i/>
          <w:color w:val="007B92"/>
          <w:sz w:val="20"/>
        </w:rPr>
        <w:t>VAPJP</w:t>
      </w:r>
      <w:r>
        <w:rPr>
          <w:i/>
          <w:color w:val="007B92"/>
          <w:spacing w:val="-5"/>
          <w:sz w:val="20"/>
        </w:rPr>
        <w:t xml:space="preserve"> </w:t>
      </w:r>
      <w:r>
        <w:rPr>
          <w:i/>
          <w:color w:val="007B92"/>
          <w:sz w:val="20"/>
        </w:rPr>
        <w:t>is providing</w:t>
      </w:r>
      <w:r>
        <w:rPr>
          <w:i/>
          <w:color w:val="007B92"/>
          <w:spacing w:val="-4"/>
          <w:sz w:val="20"/>
        </w:rPr>
        <w:t xml:space="preserve"> </w:t>
      </w:r>
      <w:r>
        <w:rPr>
          <w:i/>
          <w:color w:val="007B92"/>
          <w:sz w:val="20"/>
        </w:rPr>
        <w:t>a</w:t>
      </w:r>
      <w:r>
        <w:rPr>
          <w:i/>
          <w:color w:val="007B92"/>
          <w:spacing w:val="-4"/>
          <w:sz w:val="20"/>
        </w:rPr>
        <w:t xml:space="preserve"> </w:t>
      </w:r>
      <w:r>
        <w:rPr>
          <w:i/>
          <w:color w:val="007B92"/>
          <w:sz w:val="20"/>
        </w:rPr>
        <w:t>significant</w:t>
      </w:r>
      <w:r>
        <w:rPr>
          <w:i/>
          <w:color w:val="007B92"/>
          <w:spacing w:val="-4"/>
          <w:sz w:val="20"/>
        </w:rPr>
        <w:t xml:space="preserve"> </w:t>
      </w:r>
      <w:r>
        <w:rPr>
          <w:i/>
          <w:color w:val="007B92"/>
          <w:sz w:val="20"/>
        </w:rPr>
        <w:t>level</w:t>
      </w:r>
      <w:r>
        <w:rPr>
          <w:i/>
          <w:color w:val="007B92"/>
          <w:spacing w:val="-2"/>
          <w:sz w:val="20"/>
        </w:rPr>
        <w:t xml:space="preserve"> </w:t>
      </w:r>
      <w:r>
        <w:rPr>
          <w:i/>
          <w:color w:val="007B92"/>
          <w:sz w:val="20"/>
        </w:rPr>
        <w:t>of</w:t>
      </w:r>
      <w:r>
        <w:rPr>
          <w:i/>
          <w:color w:val="007B92"/>
          <w:spacing w:val="-4"/>
          <w:sz w:val="20"/>
        </w:rPr>
        <w:t xml:space="preserve"> </w:t>
      </w:r>
      <w:r>
        <w:rPr>
          <w:i/>
          <w:color w:val="007B92"/>
          <w:sz w:val="20"/>
        </w:rPr>
        <w:t>infrastructure</w:t>
      </w:r>
      <w:r>
        <w:rPr>
          <w:i/>
          <w:color w:val="007B92"/>
          <w:spacing w:val="-4"/>
          <w:sz w:val="20"/>
        </w:rPr>
        <w:t xml:space="preserve"> </w:t>
      </w:r>
      <w:r>
        <w:rPr>
          <w:i/>
          <w:color w:val="007B92"/>
          <w:sz w:val="20"/>
        </w:rPr>
        <w:t>support</w:t>
      </w:r>
      <w:r>
        <w:rPr>
          <w:i/>
          <w:color w:val="007B92"/>
          <w:spacing w:val="-2"/>
          <w:sz w:val="20"/>
        </w:rPr>
        <w:t xml:space="preserve"> </w:t>
      </w:r>
      <w:r>
        <w:rPr>
          <w:i/>
          <w:color w:val="007B92"/>
          <w:sz w:val="20"/>
        </w:rPr>
        <w:t>as</w:t>
      </w:r>
      <w:r>
        <w:rPr>
          <w:i/>
          <w:color w:val="007B92"/>
          <w:spacing w:val="-3"/>
          <w:sz w:val="20"/>
        </w:rPr>
        <w:t xml:space="preserve"> </w:t>
      </w:r>
      <w:r>
        <w:rPr>
          <w:i/>
          <w:color w:val="007B92"/>
          <w:sz w:val="20"/>
        </w:rPr>
        <w:t>a</w:t>
      </w:r>
      <w:r>
        <w:rPr>
          <w:i/>
          <w:color w:val="007B92"/>
          <w:spacing w:val="-2"/>
          <w:sz w:val="20"/>
        </w:rPr>
        <w:t xml:space="preserve"> </w:t>
      </w:r>
      <w:r>
        <w:rPr>
          <w:i/>
          <w:color w:val="007B92"/>
          <w:sz w:val="20"/>
        </w:rPr>
        <w:t>means</w:t>
      </w:r>
      <w:r>
        <w:rPr>
          <w:i/>
          <w:color w:val="007B92"/>
          <w:spacing w:val="-3"/>
          <w:sz w:val="20"/>
        </w:rPr>
        <w:t xml:space="preserve"> </w:t>
      </w:r>
      <w:r>
        <w:rPr>
          <w:i/>
          <w:color w:val="007B92"/>
          <w:sz w:val="20"/>
        </w:rPr>
        <w:t>of</w:t>
      </w:r>
      <w:r>
        <w:rPr>
          <w:i/>
          <w:color w:val="007B92"/>
          <w:spacing w:val="-4"/>
          <w:sz w:val="20"/>
        </w:rPr>
        <w:t xml:space="preserve"> </w:t>
      </w:r>
      <w:r>
        <w:rPr>
          <w:i/>
          <w:color w:val="007B92"/>
          <w:sz w:val="20"/>
        </w:rPr>
        <w:t>strengthening</w:t>
      </w:r>
      <w:r>
        <w:rPr>
          <w:i/>
          <w:color w:val="007B92"/>
          <w:spacing w:val="-4"/>
          <w:sz w:val="20"/>
        </w:rPr>
        <w:t xml:space="preserve"> </w:t>
      </w:r>
      <w:r>
        <w:rPr>
          <w:i/>
          <w:color w:val="007B92"/>
          <w:sz w:val="20"/>
        </w:rPr>
        <w:t>reach and quality of policing and justice services. However, the contribution these inputs are making to improvements in service delivery and access are not yet clear, and are likely compromised by insufficient</w:t>
      </w:r>
    </w:p>
    <w:p w14:paraId="4C24E95C" w14:textId="77777777" w:rsidR="009C36E3" w:rsidRDefault="000E7207">
      <w:pPr>
        <w:ind w:left="772" w:right="167"/>
        <w:rPr>
          <w:i/>
          <w:sz w:val="20"/>
        </w:rPr>
      </w:pPr>
      <w:r>
        <w:rPr>
          <w:i/>
          <w:color w:val="007B92"/>
          <w:sz w:val="20"/>
        </w:rPr>
        <w:t>planning on the utilisation of these resources. The program has identified the need for a more effective and strategic</w:t>
      </w:r>
      <w:r>
        <w:rPr>
          <w:i/>
          <w:color w:val="007B92"/>
          <w:spacing w:val="-3"/>
          <w:sz w:val="20"/>
        </w:rPr>
        <w:t xml:space="preserve"> </w:t>
      </w:r>
      <w:r>
        <w:rPr>
          <w:i/>
          <w:color w:val="007B92"/>
          <w:sz w:val="20"/>
        </w:rPr>
        <w:t>approach</w:t>
      </w:r>
      <w:r>
        <w:rPr>
          <w:i/>
          <w:color w:val="007B92"/>
          <w:spacing w:val="-4"/>
          <w:sz w:val="20"/>
        </w:rPr>
        <w:t xml:space="preserve"> </w:t>
      </w:r>
      <w:r>
        <w:rPr>
          <w:i/>
          <w:color w:val="007B92"/>
          <w:sz w:val="20"/>
        </w:rPr>
        <w:t>to</w:t>
      </w:r>
      <w:r>
        <w:rPr>
          <w:i/>
          <w:color w:val="007B92"/>
          <w:spacing w:val="-2"/>
          <w:sz w:val="20"/>
        </w:rPr>
        <w:t xml:space="preserve"> </w:t>
      </w:r>
      <w:r>
        <w:rPr>
          <w:i/>
          <w:color w:val="007B92"/>
          <w:sz w:val="20"/>
        </w:rPr>
        <w:t>infrastructure</w:t>
      </w:r>
      <w:r>
        <w:rPr>
          <w:i/>
          <w:color w:val="007B92"/>
          <w:spacing w:val="-4"/>
          <w:sz w:val="20"/>
        </w:rPr>
        <w:t xml:space="preserve"> </w:t>
      </w:r>
      <w:r>
        <w:rPr>
          <w:i/>
          <w:color w:val="007B92"/>
          <w:sz w:val="20"/>
        </w:rPr>
        <w:t>but</w:t>
      </w:r>
      <w:r>
        <w:rPr>
          <w:i/>
          <w:color w:val="007B92"/>
          <w:spacing w:val="-4"/>
          <w:sz w:val="20"/>
        </w:rPr>
        <w:t xml:space="preserve"> </w:t>
      </w:r>
      <w:r>
        <w:rPr>
          <w:i/>
          <w:color w:val="007B92"/>
          <w:sz w:val="20"/>
        </w:rPr>
        <w:t>despite</w:t>
      </w:r>
      <w:r>
        <w:rPr>
          <w:i/>
          <w:color w:val="007B92"/>
          <w:spacing w:val="-2"/>
          <w:sz w:val="20"/>
        </w:rPr>
        <w:t xml:space="preserve"> </w:t>
      </w:r>
      <w:r>
        <w:rPr>
          <w:i/>
          <w:color w:val="007B92"/>
          <w:sz w:val="20"/>
        </w:rPr>
        <w:t>best</w:t>
      </w:r>
      <w:r>
        <w:rPr>
          <w:i/>
          <w:color w:val="007B92"/>
          <w:spacing w:val="-2"/>
          <w:sz w:val="20"/>
        </w:rPr>
        <w:t xml:space="preserve"> </w:t>
      </w:r>
      <w:r>
        <w:rPr>
          <w:i/>
          <w:color w:val="007B92"/>
          <w:sz w:val="20"/>
        </w:rPr>
        <w:t>efforts</w:t>
      </w:r>
      <w:r>
        <w:rPr>
          <w:i/>
          <w:color w:val="007B92"/>
          <w:spacing w:val="-3"/>
          <w:sz w:val="20"/>
        </w:rPr>
        <w:t xml:space="preserve"> </w:t>
      </w:r>
      <w:r>
        <w:rPr>
          <w:i/>
          <w:color w:val="007B92"/>
          <w:sz w:val="20"/>
        </w:rPr>
        <w:t>this</w:t>
      </w:r>
      <w:r>
        <w:rPr>
          <w:i/>
          <w:color w:val="007B92"/>
          <w:spacing w:val="-3"/>
          <w:sz w:val="20"/>
        </w:rPr>
        <w:t xml:space="preserve"> </w:t>
      </w:r>
      <w:r>
        <w:rPr>
          <w:i/>
          <w:color w:val="007B92"/>
          <w:sz w:val="20"/>
        </w:rPr>
        <w:t>has</w:t>
      </w:r>
      <w:r>
        <w:rPr>
          <w:i/>
          <w:color w:val="007B92"/>
          <w:spacing w:val="-3"/>
          <w:sz w:val="20"/>
        </w:rPr>
        <w:t xml:space="preserve"> </w:t>
      </w:r>
      <w:r>
        <w:rPr>
          <w:i/>
          <w:color w:val="007B92"/>
          <w:sz w:val="20"/>
        </w:rPr>
        <w:t>proved</w:t>
      </w:r>
      <w:r>
        <w:rPr>
          <w:i/>
          <w:color w:val="007B92"/>
          <w:spacing w:val="-4"/>
          <w:sz w:val="20"/>
        </w:rPr>
        <w:t xml:space="preserve"> </w:t>
      </w:r>
      <w:r>
        <w:rPr>
          <w:i/>
          <w:color w:val="007B92"/>
          <w:sz w:val="20"/>
        </w:rPr>
        <w:t>challenging,</w:t>
      </w:r>
      <w:r>
        <w:rPr>
          <w:i/>
          <w:color w:val="007B92"/>
          <w:spacing w:val="-4"/>
          <w:sz w:val="20"/>
        </w:rPr>
        <w:t xml:space="preserve"> </w:t>
      </w:r>
      <w:r>
        <w:rPr>
          <w:i/>
          <w:color w:val="007B92"/>
          <w:sz w:val="20"/>
        </w:rPr>
        <w:t>in</w:t>
      </w:r>
      <w:r>
        <w:rPr>
          <w:i/>
          <w:color w:val="007B92"/>
          <w:spacing w:val="-4"/>
          <w:sz w:val="20"/>
        </w:rPr>
        <w:t xml:space="preserve"> </w:t>
      </w:r>
      <w:r>
        <w:rPr>
          <w:i/>
          <w:color w:val="007B92"/>
          <w:sz w:val="20"/>
        </w:rPr>
        <w:t>part</w:t>
      </w:r>
      <w:r>
        <w:rPr>
          <w:i/>
          <w:color w:val="007B92"/>
          <w:spacing w:val="-4"/>
          <w:sz w:val="20"/>
        </w:rPr>
        <w:t xml:space="preserve"> </w:t>
      </w:r>
      <w:r>
        <w:rPr>
          <w:i/>
          <w:color w:val="007B92"/>
          <w:sz w:val="20"/>
        </w:rPr>
        <w:t>due</w:t>
      </w:r>
      <w:r>
        <w:rPr>
          <w:i/>
          <w:color w:val="007B92"/>
          <w:spacing w:val="-4"/>
          <w:sz w:val="20"/>
        </w:rPr>
        <w:t xml:space="preserve"> </w:t>
      </w:r>
      <w:r>
        <w:rPr>
          <w:i/>
          <w:color w:val="007B92"/>
          <w:sz w:val="20"/>
        </w:rPr>
        <w:t>to</w:t>
      </w:r>
      <w:r>
        <w:rPr>
          <w:i/>
          <w:color w:val="007B92"/>
          <w:spacing w:val="-2"/>
          <w:sz w:val="20"/>
        </w:rPr>
        <w:t xml:space="preserve"> </w:t>
      </w:r>
      <w:r>
        <w:rPr>
          <w:i/>
          <w:color w:val="007B92"/>
          <w:sz w:val="20"/>
        </w:rPr>
        <w:t>frequent changes in sector leadership.</w:t>
      </w:r>
    </w:p>
    <w:p w14:paraId="3F193B00" w14:textId="77777777" w:rsidR="009C36E3" w:rsidRDefault="000E7207">
      <w:pPr>
        <w:spacing w:before="120"/>
        <w:ind w:left="1492" w:right="120"/>
        <w:rPr>
          <w:i/>
          <w:sz w:val="20"/>
        </w:rPr>
      </w:pPr>
      <w:r>
        <w:rPr>
          <w:noProof/>
        </w:rPr>
        <mc:AlternateContent>
          <mc:Choice Requires="wps">
            <w:drawing>
              <wp:anchor distT="0" distB="0" distL="0" distR="0" simplePos="0" relativeHeight="251637760" behindDoc="0" locked="0" layoutInCell="1" allowOverlap="1" wp14:anchorId="0D810362" wp14:editId="19539C38">
                <wp:simplePos x="0" y="0"/>
                <wp:positionH relativeFrom="page">
                  <wp:posOffset>573317</wp:posOffset>
                </wp:positionH>
                <wp:positionV relativeFrom="paragraph">
                  <wp:posOffset>117908</wp:posOffset>
                </wp:positionV>
                <wp:extent cx="275590" cy="274955"/>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2D19E55A" id="Graphic 36" o:spid="_x0000_s1026" alt="&quot;&quot;" style="position:absolute;margin-left:45.15pt;margin-top:9.3pt;width:21.7pt;height:21.65pt;z-index:15737856;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&#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3"/>
          <w:sz w:val="20"/>
        </w:rPr>
        <w:t xml:space="preserve"> </w:t>
      </w:r>
      <w:r>
        <w:rPr>
          <w:i/>
          <w:color w:val="007B92"/>
          <w:sz w:val="20"/>
        </w:rPr>
        <w:t>To</w:t>
      </w:r>
      <w:r>
        <w:rPr>
          <w:i/>
          <w:color w:val="007B92"/>
          <w:spacing w:val="-4"/>
          <w:sz w:val="20"/>
        </w:rPr>
        <w:t xml:space="preserve"> </w:t>
      </w:r>
      <w:r>
        <w:rPr>
          <w:i/>
          <w:color w:val="007B92"/>
          <w:sz w:val="20"/>
        </w:rPr>
        <w:t>date</w:t>
      </w:r>
      <w:r>
        <w:rPr>
          <w:i/>
          <w:color w:val="007B92"/>
          <w:spacing w:val="-2"/>
          <w:sz w:val="20"/>
        </w:rPr>
        <w:t xml:space="preserve"> </w:t>
      </w:r>
      <w:r>
        <w:rPr>
          <w:i/>
          <w:color w:val="007B92"/>
          <w:sz w:val="20"/>
        </w:rPr>
        <w:t>the</w:t>
      </w:r>
      <w:r>
        <w:rPr>
          <w:i/>
          <w:color w:val="007B92"/>
          <w:spacing w:val="-2"/>
          <w:sz w:val="20"/>
        </w:rPr>
        <w:t xml:space="preserve"> </w:t>
      </w:r>
      <w:r>
        <w:rPr>
          <w:i/>
          <w:color w:val="007B92"/>
          <w:sz w:val="20"/>
        </w:rPr>
        <w:t>Grant</w:t>
      </w:r>
      <w:r>
        <w:rPr>
          <w:i/>
          <w:color w:val="007B92"/>
          <w:spacing w:val="-2"/>
          <w:sz w:val="20"/>
        </w:rPr>
        <w:t xml:space="preserve"> </w:t>
      </w:r>
      <w:r>
        <w:rPr>
          <w:i/>
          <w:color w:val="007B92"/>
          <w:sz w:val="20"/>
        </w:rPr>
        <w:t>facility</w:t>
      </w:r>
      <w:r>
        <w:rPr>
          <w:i/>
          <w:color w:val="007B92"/>
          <w:spacing w:val="-3"/>
          <w:sz w:val="20"/>
        </w:rPr>
        <w:t xml:space="preserve"> </w:t>
      </w:r>
      <w:r>
        <w:rPr>
          <w:i/>
          <w:color w:val="007B92"/>
          <w:sz w:val="20"/>
        </w:rPr>
        <w:t>has</w:t>
      </w:r>
      <w:r>
        <w:rPr>
          <w:i/>
          <w:color w:val="007B92"/>
          <w:spacing w:val="-3"/>
          <w:sz w:val="20"/>
        </w:rPr>
        <w:t xml:space="preserve"> </w:t>
      </w:r>
      <w:r>
        <w:rPr>
          <w:i/>
          <w:color w:val="007B92"/>
          <w:sz w:val="20"/>
        </w:rPr>
        <w:t>not</w:t>
      </w:r>
      <w:r>
        <w:rPr>
          <w:i/>
          <w:color w:val="007B92"/>
          <w:spacing w:val="-2"/>
          <w:sz w:val="20"/>
        </w:rPr>
        <w:t xml:space="preserve"> </w:t>
      </w:r>
      <w:r>
        <w:rPr>
          <w:i/>
          <w:color w:val="007B92"/>
          <w:sz w:val="20"/>
        </w:rPr>
        <w:t>achieved</w:t>
      </w:r>
      <w:r>
        <w:rPr>
          <w:i/>
          <w:color w:val="007B92"/>
          <w:spacing w:val="-2"/>
          <w:sz w:val="20"/>
        </w:rPr>
        <w:t xml:space="preserve"> </w:t>
      </w:r>
      <w:r>
        <w:rPr>
          <w:i/>
          <w:color w:val="007B92"/>
          <w:sz w:val="20"/>
        </w:rPr>
        <w:t>its</w:t>
      </w:r>
      <w:r>
        <w:rPr>
          <w:i/>
          <w:color w:val="007B92"/>
          <w:spacing w:val="-3"/>
          <w:sz w:val="20"/>
        </w:rPr>
        <w:t xml:space="preserve"> </w:t>
      </w:r>
      <w:r>
        <w:rPr>
          <w:i/>
          <w:color w:val="007B92"/>
          <w:sz w:val="20"/>
        </w:rPr>
        <w:t>potential.</w:t>
      </w:r>
      <w:r>
        <w:rPr>
          <w:i/>
          <w:color w:val="007B92"/>
          <w:spacing w:val="-2"/>
          <w:sz w:val="20"/>
        </w:rPr>
        <w:t xml:space="preserve"> </w:t>
      </w:r>
      <w:r>
        <w:rPr>
          <w:i/>
          <w:color w:val="007B92"/>
          <w:sz w:val="20"/>
        </w:rPr>
        <w:t>In</w:t>
      </w:r>
      <w:r>
        <w:rPr>
          <w:i/>
          <w:color w:val="007B92"/>
          <w:spacing w:val="-2"/>
          <w:sz w:val="20"/>
        </w:rPr>
        <w:t xml:space="preserve"> </w:t>
      </w:r>
      <w:r>
        <w:rPr>
          <w:i/>
          <w:color w:val="007B92"/>
          <w:sz w:val="20"/>
        </w:rPr>
        <w:t>a</w:t>
      </w:r>
      <w:r>
        <w:rPr>
          <w:i/>
          <w:color w:val="007B92"/>
          <w:spacing w:val="-4"/>
          <w:sz w:val="20"/>
        </w:rPr>
        <w:t xml:space="preserve"> </w:t>
      </w:r>
      <w:r>
        <w:rPr>
          <w:i/>
          <w:color w:val="007B92"/>
          <w:sz w:val="20"/>
        </w:rPr>
        <w:t>new</w:t>
      </w:r>
      <w:r>
        <w:rPr>
          <w:i/>
          <w:color w:val="007B92"/>
          <w:spacing w:val="-4"/>
          <w:sz w:val="20"/>
        </w:rPr>
        <w:t xml:space="preserve"> </w:t>
      </w:r>
      <w:r>
        <w:rPr>
          <w:i/>
          <w:color w:val="007B92"/>
          <w:sz w:val="20"/>
        </w:rPr>
        <w:t>phase</w:t>
      </w:r>
      <w:r>
        <w:rPr>
          <w:i/>
          <w:color w:val="007B92"/>
          <w:spacing w:val="-4"/>
          <w:sz w:val="20"/>
        </w:rPr>
        <w:t xml:space="preserve"> </w:t>
      </w:r>
      <w:r>
        <w:rPr>
          <w:i/>
          <w:color w:val="007B92"/>
          <w:sz w:val="20"/>
        </w:rPr>
        <w:t>there</w:t>
      </w:r>
      <w:r>
        <w:rPr>
          <w:i/>
          <w:color w:val="007B92"/>
          <w:spacing w:val="-4"/>
          <w:sz w:val="20"/>
        </w:rPr>
        <w:t xml:space="preserve"> </w:t>
      </w:r>
      <w:r>
        <w:rPr>
          <w:i/>
          <w:color w:val="007B92"/>
          <w:sz w:val="20"/>
        </w:rPr>
        <w:t>are</w:t>
      </w:r>
      <w:r>
        <w:rPr>
          <w:i/>
          <w:color w:val="007B92"/>
          <w:spacing w:val="-2"/>
          <w:sz w:val="20"/>
        </w:rPr>
        <w:t xml:space="preserve"> </w:t>
      </w:r>
      <w:r>
        <w:rPr>
          <w:i/>
          <w:color w:val="007B92"/>
          <w:sz w:val="20"/>
        </w:rPr>
        <w:t>opportunities</w:t>
      </w:r>
      <w:r>
        <w:rPr>
          <w:i/>
          <w:color w:val="007B92"/>
          <w:spacing w:val="-3"/>
          <w:sz w:val="20"/>
        </w:rPr>
        <w:t xml:space="preserve"> </w:t>
      </w:r>
      <w:r>
        <w:rPr>
          <w:i/>
          <w:color w:val="007B92"/>
          <w:sz w:val="20"/>
        </w:rPr>
        <w:t>for a more purposeful Grants program, that could improve the reach, quality and sustainability of the program although it would need to have an integrated accompaniment approach to strengthen capacity, and</w:t>
      </w:r>
    </w:p>
    <w:p w14:paraId="45F93AE7" w14:textId="77777777" w:rsidR="009C36E3" w:rsidRDefault="000E7207">
      <w:pPr>
        <w:spacing w:line="229" w:lineRule="exact"/>
        <w:ind w:left="771"/>
        <w:rPr>
          <w:i/>
          <w:sz w:val="20"/>
        </w:rPr>
      </w:pPr>
      <w:r>
        <w:rPr>
          <w:i/>
          <w:color w:val="007B92"/>
          <w:sz w:val="20"/>
        </w:rPr>
        <w:t>adequate</w:t>
      </w:r>
      <w:r>
        <w:rPr>
          <w:i/>
          <w:color w:val="007B92"/>
          <w:spacing w:val="-8"/>
          <w:sz w:val="20"/>
        </w:rPr>
        <w:t xml:space="preserve"> </w:t>
      </w:r>
      <w:r>
        <w:rPr>
          <w:i/>
          <w:color w:val="007B92"/>
          <w:sz w:val="20"/>
        </w:rPr>
        <w:t>resources</w:t>
      </w:r>
      <w:r>
        <w:rPr>
          <w:i/>
          <w:color w:val="007B92"/>
          <w:spacing w:val="-6"/>
          <w:sz w:val="20"/>
        </w:rPr>
        <w:t xml:space="preserve"> </w:t>
      </w:r>
      <w:r>
        <w:rPr>
          <w:i/>
          <w:color w:val="007B92"/>
          <w:sz w:val="20"/>
        </w:rPr>
        <w:t>within</w:t>
      </w:r>
      <w:r>
        <w:rPr>
          <w:i/>
          <w:color w:val="007B92"/>
          <w:spacing w:val="-7"/>
          <w:sz w:val="20"/>
        </w:rPr>
        <w:t xml:space="preserve"> </w:t>
      </w:r>
      <w:r>
        <w:rPr>
          <w:i/>
          <w:color w:val="007B92"/>
          <w:sz w:val="20"/>
        </w:rPr>
        <w:t>the</w:t>
      </w:r>
      <w:r>
        <w:rPr>
          <w:i/>
          <w:color w:val="007B92"/>
          <w:spacing w:val="-8"/>
          <w:sz w:val="20"/>
        </w:rPr>
        <w:t xml:space="preserve"> </w:t>
      </w:r>
      <w:r>
        <w:rPr>
          <w:i/>
          <w:color w:val="007B92"/>
          <w:sz w:val="20"/>
        </w:rPr>
        <w:t>program</w:t>
      </w:r>
      <w:r>
        <w:rPr>
          <w:i/>
          <w:color w:val="007B92"/>
          <w:spacing w:val="-7"/>
          <w:sz w:val="20"/>
        </w:rPr>
        <w:t xml:space="preserve"> </w:t>
      </w:r>
      <w:r>
        <w:rPr>
          <w:i/>
          <w:color w:val="007B92"/>
          <w:sz w:val="20"/>
        </w:rPr>
        <w:t>to</w:t>
      </w:r>
      <w:r>
        <w:rPr>
          <w:i/>
          <w:color w:val="007B92"/>
          <w:spacing w:val="-7"/>
          <w:sz w:val="20"/>
        </w:rPr>
        <w:t xml:space="preserve"> </w:t>
      </w:r>
      <w:r>
        <w:rPr>
          <w:i/>
          <w:color w:val="007B92"/>
          <w:sz w:val="20"/>
        </w:rPr>
        <w:t>provide</w:t>
      </w:r>
      <w:r>
        <w:rPr>
          <w:i/>
          <w:color w:val="007B92"/>
          <w:spacing w:val="-6"/>
          <w:sz w:val="20"/>
        </w:rPr>
        <w:t xml:space="preserve"> </w:t>
      </w:r>
      <w:r>
        <w:rPr>
          <w:i/>
          <w:color w:val="007B92"/>
          <w:sz w:val="20"/>
        </w:rPr>
        <w:t>oversight</w:t>
      </w:r>
      <w:r>
        <w:rPr>
          <w:i/>
          <w:color w:val="007B92"/>
          <w:spacing w:val="-5"/>
          <w:sz w:val="20"/>
        </w:rPr>
        <w:t xml:space="preserve"> </w:t>
      </w:r>
      <w:r>
        <w:rPr>
          <w:i/>
          <w:color w:val="007B92"/>
          <w:sz w:val="20"/>
        </w:rPr>
        <w:t>and</w:t>
      </w:r>
      <w:r>
        <w:rPr>
          <w:i/>
          <w:color w:val="007B92"/>
          <w:spacing w:val="-6"/>
          <w:sz w:val="20"/>
        </w:rPr>
        <w:t xml:space="preserve"> </w:t>
      </w:r>
      <w:r>
        <w:rPr>
          <w:i/>
          <w:color w:val="007B92"/>
          <w:sz w:val="20"/>
        </w:rPr>
        <w:t>quality</w:t>
      </w:r>
      <w:r>
        <w:rPr>
          <w:i/>
          <w:color w:val="007B92"/>
          <w:spacing w:val="-6"/>
          <w:sz w:val="20"/>
        </w:rPr>
        <w:t xml:space="preserve"> </w:t>
      </w:r>
      <w:r>
        <w:rPr>
          <w:i/>
          <w:color w:val="007B92"/>
          <w:sz w:val="20"/>
        </w:rPr>
        <w:t>assurance</w:t>
      </w:r>
      <w:r>
        <w:rPr>
          <w:i/>
          <w:color w:val="007B92"/>
          <w:spacing w:val="-5"/>
          <w:sz w:val="20"/>
        </w:rPr>
        <w:t xml:space="preserve"> </w:t>
      </w:r>
      <w:r>
        <w:rPr>
          <w:i/>
          <w:color w:val="007B92"/>
          <w:sz w:val="20"/>
        </w:rPr>
        <w:t>for</w:t>
      </w:r>
      <w:r>
        <w:rPr>
          <w:i/>
          <w:color w:val="007B92"/>
          <w:spacing w:val="-7"/>
          <w:sz w:val="20"/>
        </w:rPr>
        <w:t xml:space="preserve"> </w:t>
      </w:r>
      <w:r>
        <w:rPr>
          <w:i/>
          <w:color w:val="007B92"/>
          <w:sz w:val="20"/>
        </w:rPr>
        <w:t>the</w:t>
      </w:r>
      <w:r>
        <w:rPr>
          <w:i/>
          <w:color w:val="007B92"/>
          <w:spacing w:val="-5"/>
          <w:sz w:val="20"/>
        </w:rPr>
        <w:t xml:space="preserve"> </w:t>
      </w:r>
      <w:r>
        <w:rPr>
          <w:i/>
          <w:color w:val="007B92"/>
          <w:sz w:val="20"/>
        </w:rPr>
        <w:t>work</w:t>
      </w:r>
      <w:r>
        <w:rPr>
          <w:i/>
          <w:color w:val="007B92"/>
          <w:spacing w:val="-7"/>
          <w:sz w:val="20"/>
        </w:rPr>
        <w:t xml:space="preserve"> </w:t>
      </w:r>
      <w:r>
        <w:rPr>
          <w:i/>
          <w:color w:val="007B92"/>
          <w:sz w:val="20"/>
        </w:rPr>
        <w:t>being</w:t>
      </w:r>
      <w:r>
        <w:rPr>
          <w:i/>
          <w:color w:val="007B92"/>
          <w:spacing w:val="-7"/>
          <w:sz w:val="20"/>
        </w:rPr>
        <w:t xml:space="preserve"> </w:t>
      </w:r>
      <w:r>
        <w:rPr>
          <w:i/>
          <w:color w:val="007B92"/>
          <w:spacing w:val="-2"/>
          <w:sz w:val="20"/>
        </w:rPr>
        <w:t>undertaken.</w:t>
      </w:r>
    </w:p>
    <w:p w14:paraId="055589D6" w14:textId="77777777" w:rsidR="009C36E3" w:rsidRDefault="000E7207">
      <w:pPr>
        <w:pStyle w:val="Heading7"/>
      </w:pPr>
      <w:r>
        <w:t>Evidence</w:t>
      </w:r>
      <w:r>
        <w:rPr>
          <w:spacing w:val="-8"/>
        </w:rPr>
        <w:t xml:space="preserve"> </w:t>
      </w:r>
      <w:r>
        <w:t>for</w:t>
      </w:r>
      <w:r>
        <w:rPr>
          <w:spacing w:val="-9"/>
        </w:rPr>
        <w:t xml:space="preserve"> </w:t>
      </w:r>
      <w:r>
        <w:rPr>
          <w:spacing w:val="-2"/>
        </w:rPr>
        <w:t>findings</w:t>
      </w:r>
    </w:p>
    <w:p w14:paraId="3D958905" w14:textId="77777777" w:rsidR="009C36E3" w:rsidRDefault="000E7207">
      <w:pPr>
        <w:pStyle w:val="Heading7"/>
        <w:spacing w:before="120"/>
      </w:pPr>
      <w:r>
        <w:t>Reach</w:t>
      </w:r>
      <w:r>
        <w:rPr>
          <w:spacing w:val="-5"/>
        </w:rPr>
        <w:t xml:space="preserve"> </w:t>
      </w:r>
      <w:r>
        <w:t>and</w:t>
      </w:r>
      <w:r>
        <w:rPr>
          <w:spacing w:val="-6"/>
        </w:rPr>
        <w:t xml:space="preserve"> </w:t>
      </w:r>
      <w:r>
        <w:t>quality</w:t>
      </w:r>
      <w:r>
        <w:rPr>
          <w:spacing w:val="-7"/>
        </w:rPr>
        <w:t xml:space="preserve"> </w:t>
      </w:r>
      <w:r>
        <w:t>of</w:t>
      </w:r>
      <w:r>
        <w:rPr>
          <w:spacing w:val="-6"/>
        </w:rPr>
        <w:t xml:space="preserve"> </w:t>
      </w:r>
      <w:r>
        <w:rPr>
          <w:spacing w:val="-2"/>
        </w:rPr>
        <w:t>policing</w:t>
      </w:r>
    </w:p>
    <w:p w14:paraId="2CB65A16" w14:textId="77777777" w:rsidR="009C36E3" w:rsidRDefault="000E7207">
      <w:pPr>
        <w:pStyle w:val="BodyText"/>
        <w:spacing w:before="121"/>
        <w:ind w:right="167"/>
      </w:pPr>
      <w:r>
        <w:rPr>
          <w:b/>
        </w:rPr>
        <w:t xml:space="preserve">The reach and quality of policing has improved, </w:t>
      </w:r>
      <w:r>
        <w:t>facilitated by support for an increase in the number of VPF recruited, trained and deployed to outer islands (with a notable increase in women’s participation); deployment of police</w:t>
      </w:r>
      <w:r>
        <w:rPr>
          <w:spacing w:val="-4"/>
        </w:rPr>
        <w:t xml:space="preserve"> </w:t>
      </w:r>
      <w:r>
        <w:t>rotations</w:t>
      </w:r>
      <w:r>
        <w:rPr>
          <w:spacing w:val="-3"/>
        </w:rPr>
        <w:t xml:space="preserve"> </w:t>
      </w:r>
      <w:r>
        <w:t>and</w:t>
      </w:r>
      <w:r>
        <w:rPr>
          <w:spacing w:val="-4"/>
        </w:rPr>
        <w:t xml:space="preserve"> </w:t>
      </w:r>
      <w:r>
        <w:t>the</w:t>
      </w:r>
      <w:r>
        <w:rPr>
          <w:spacing w:val="-4"/>
        </w:rPr>
        <w:t xml:space="preserve"> </w:t>
      </w:r>
      <w:r>
        <w:t>Nasara</w:t>
      </w:r>
      <w:r>
        <w:rPr>
          <w:spacing w:val="-4"/>
        </w:rPr>
        <w:t xml:space="preserve"> </w:t>
      </w:r>
      <w:r>
        <w:t>program</w:t>
      </w:r>
      <w:r>
        <w:rPr>
          <w:spacing w:val="-4"/>
        </w:rPr>
        <w:t xml:space="preserve"> </w:t>
      </w:r>
      <w:r>
        <w:t>to</w:t>
      </w:r>
      <w:r>
        <w:rPr>
          <w:spacing w:val="-4"/>
        </w:rPr>
        <w:t xml:space="preserve"> </w:t>
      </w:r>
      <w:r>
        <w:t>remote</w:t>
      </w:r>
      <w:r>
        <w:rPr>
          <w:spacing w:val="-4"/>
        </w:rPr>
        <w:t xml:space="preserve"> </w:t>
      </w:r>
      <w:r>
        <w:t>areas;</w:t>
      </w:r>
      <w:r>
        <w:rPr>
          <w:spacing w:val="-4"/>
        </w:rPr>
        <w:t xml:space="preserve"> </w:t>
      </w:r>
      <w:r>
        <w:t>significant</w:t>
      </w:r>
      <w:r>
        <w:rPr>
          <w:spacing w:val="-2"/>
        </w:rPr>
        <w:t xml:space="preserve"> </w:t>
      </w:r>
      <w:r>
        <w:t>infrastructure</w:t>
      </w:r>
      <w:r>
        <w:rPr>
          <w:spacing w:val="-2"/>
        </w:rPr>
        <w:t xml:space="preserve"> </w:t>
      </w:r>
      <w:r>
        <w:t>construction</w:t>
      </w:r>
      <w:r>
        <w:rPr>
          <w:spacing w:val="-2"/>
        </w:rPr>
        <w:t xml:space="preserve"> </w:t>
      </w:r>
      <w:r>
        <w:t>and</w:t>
      </w:r>
      <w:r>
        <w:rPr>
          <w:spacing w:val="-4"/>
        </w:rPr>
        <w:t xml:space="preserve"> </w:t>
      </w:r>
      <w:r>
        <w:t>refurbishment, mobility assets (land cruisers, trucks, quad bikes, banana boats), and technical advice and financial support for remote operations. Significant support is provided to address the high cost of transportation across air, land and sea modalities. Transportation forms a significant part of the VPF recurrent budget as well as the program activity budget (VAPJP, 2022a).</w:t>
      </w:r>
    </w:p>
    <w:p w14:paraId="6AAACC97" w14:textId="77777777" w:rsidR="009C36E3" w:rsidRDefault="000E7207">
      <w:pPr>
        <w:pStyle w:val="BodyText"/>
        <w:spacing w:before="118"/>
        <w:ind w:right="120"/>
      </w:pPr>
      <w:r>
        <w:t>Notably, the policing stream of VAPJP has been successful in supporting an increase in the number of women recruited</w:t>
      </w:r>
      <w:r>
        <w:rPr>
          <w:spacing w:val="-2"/>
        </w:rPr>
        <w:t xml:space="preserve"> </w:t>
      </w:r>
      <w:r>
        <w:t>into</w:t>
      </w:r>
      <w:r>
        <w:rPr>
          <w:spacing w:val="-3"/>
        </w:rPr>
        <w:t xml:space="preserve"> </w:t>
      </w:r>
      <w:r>
        <w:t>the</w:t>
      </w:r>
      <w:r>
        <w:rPr>
          <w:spacing w:val="-2"/>
        </w:rPr>
        <w:t xml:space="preserve"> </w:t>
      </w:r>
      <w:r>
        <w:t>VPF.</w:t>
      </w:r>
      <w:r>
        <w:rPr>
          <w:spacing w:val="-3"/>
        </w:rPr>
        <w:t xml:space="preserve"> </w:t>
      </w:r>
      <w:r>
        <w:t>In</w:t>
      </w:r>
      <w:r>
        <w:rPr>
          <w:spacing w:val="-3"/>
        </w:rPr>
        <w:t xml:space="preserve"> </w:t>
      </w:r>
      <w:r>
        <w:t>the</w:t>
      </w:r>
      <w:r>
        <w:rPr>
          <w:spacing w:val="-3"/>
        </w:rPr>
        <w:t xml:space="preserve"> </w:t>
      </w:r>
      <w:r>
        <w:t>last</w:t>
      </w:r>
      <w:r>
        <w:rPr>
          <w:spacing w:val="-3"/>
        </w:rPr>
        <w:t xml:space="preserve"> </w:t>
      </w:r>
      <w:r>
        <w:t>recruitment</w:t>
      </w:r>
      <w:r>
        <w:rPr>
          <w:spacing w:val="-3"/>
        </w:rPr>
        <w:t xml:space="preserve"> </w:t>
      </w:r>
      <w:r>
        <w:t>round</w:t>
      </w:r>
      <w:r>
        <w:rPr>
          <w:spacing w:val="-2"/>
        </w:rPr>
        <w:t xml:space="preserve"> </w:t>
      </w:r>
      <w:r>
        <w:t>36%</w:t>
      </w:r>
      <w:r>
        <w:rPr>
          <w:spacing w:val="-2"/>
        </w:rPr>
        <w:t xml:space="preserve"> </w:t>
      </w:r>
      <w:r>
        <w:t>of</w:t>
      </w:r>
      <w:r>
        <w:rPr>
          <w:spacing w:val="-3"/>
        </w:rPr>
        <w:t xml:space="preserve"> </w:t>
      </w:r>
      <w:r>
        <w:t>graduates</w:t>
      </w:r>
      <w:r>
        <w:rPr>
          <w:spacing w:val="-2"/>
        </w:rPr>
        <w:t xml:space="preserve"> </w:t>
      </w:r>
      <w:r>
        <w:t>were</w:t>
      </w:r>
      <w:r>
        <w:rPr>
          <w:spacing w:val="-2"/>
        </w:rPr>
        <w:t xml:space="preserve"> </w:t>
      </w:r>
      <w:r>
        <w:t>female,</w:t>
      </w:r>
      <w:r>
        <w:rPr>
          <w:spacing w:val="-3"/>
        </w:rPr>
        <w:t xml:space="preserve"> </w:t>
      </w:r>
      <w:r>
        <w:t>bringing</w:t>
      </w:r>
      <w:r>
        <w:rPr>
          <w:spacing w:val="-3"/>
        </w:rPr>
        <w:t xml:space="preserve"> </w:t>
      </w:r>
      <w:r>
        <w:t>the</w:t>
      </w:r>
      <w:r>
        <w:rPr>
          <w:spacing w:val="-2"/>
        </w:rPr>
        <w:t xml:space="preserve"> </w:t>
      </w:r>
      <w:r>
        <w:t>overall</w:t>
      </w:r>
      <w:r>
        <w:rPr>
          <w:spacing w:val="-4"/>
        </w:rPr>
        <w:t xml:space="preserve"> </w:t>
      </w:r>
      <w:r>
        <w:t>percentage of women in the VPF to 23% as at the end of 2022. Interestingly this is very similar to the percentage of sworn officers in the AFP (23.9%). As noted by Denney (2019) “A police service that is representative of the diverse community it serves, including as regards gender, is more approachable and trusted by that community”.</w:t>
      </w:r>
    </w:p>
    <w:p w14:paraId="3577AB73" w14:textId="77777777" w:rsidR="009C36E3" w:rsidRDefault="000E7207">
      <w:pPr>
        <w:pStyle w:val="BodyText"/>
        <w:spacing w:before="123"/>
        <w:ind w:right="137"/>
      </w:pPr>
      <w:r>
        <w:t>As at 30 June 2023 there had been a six percent increase in police officers appointed to permanent positions across Vanuatu. There are 15 islands with a permanent police presence covering every province. Every province, except Shefa, had an increase in staff in 2022. The total number of officers as at 31 December 2022 was 624, compared to 588 in 2021.The number of police posts across the six provinces increased from 25 in 2021 to 27 in 2022. VAPJP assisted VPF to deploy to all six provincial areas on multiple occasions to investigate major crime, including domestic and sexual violence and homicide, conduct investigations of professional standards and VPF conduct, or to conduct crime awareness in targeted village locations. It is noted that the establishment of additional police posts and staffing of vacant police posts in Port Vila has reportedly improved community access, police responsiveness and feelings of community safety. While much focus of the program and the MTR has been on extending</w:t>
      </w:r>
      <w:r>
        <w:rPr>
          <w:spacing w:val="40"/>
        </w:rPr>
        <w:t xml:space="preserve"> </w:t>
      </w:r>
      <w:r>
        <w:t>the reach of justice and policing services to outer islands, we note the view of the National Coordinator for Crime and Community Policing that a gap has been left, with the wind back of the MFAT program, that sees</w:t>
      </w:r>
      <w:r>
        <w:rPr>
          <w:spacing w:val="40"/>
        </w:rPr>
        <w:t xml:space="preserve"> </w:t>
      </w:r>
      <w:r>
        <w:t>Port Vila insufficiently serviced in terms of community awareness raising, with a need for programs on parenting, and programs in schools. He observed that [negative] youth attitudes in Port Vila are often replicated in outer</w:t>
      </w:r>
      <w:r>
        <w:rPr>
          <w:spacing w:val="40"/>
        </w:rPr>
        <w:t xml:space="preserve"> </w:t>
      </w:r>
      <w:r>
        <w:t>areas.</w:t>
      </w:r>
      <w:r>
        <w:rPr>
          <w:spacing w:val="-4"/>
        </w:rPr>
        <w:t xml:space="preserve"> </w:t>
      </w:r>
      <w:r>
        <w:t>As one</w:t>
      </w:r>
      <w:r>
        <w:rPr>
          <w:spacing w:val="-2"/>
        </w:rPr>
        <w:t xml:space="preserve"> </w:t>
      </w:r>
      <w:r>
        <w:t>adviser</w:t>
      </w:r>
      <w:r>
        <w:rPr>
          <w:spacing w:val="-1"/>
        </w:rPr>
        <w:t xml:space="preserve"> </w:t>
      </w:r>
      <w:r>
        <w:t>noted,</w:t>
      </w:r>
      <w:r>
        <w:rPr>
          <w:spacing w:val="-4"/>
        </w:rPr>
        <w:t xml:space="preserve"> </w:t>
      </w:r>
      <w:r>
        <w:t>the</w:t>
      </w:r>
      <w:r>
        <w:rPr>
          <w:spacing w:val="-4"/>
        </w:rPr>
        <w:t xml:space="preserve"> </w:t>
      </w:r>
      <w:r>
        <w:t>push</w:t>
      </w:r>
      <w:r>
        <w:rPr>
          <w:spacing w:val="-2"/>
        </w:rPr>
        <w:t xml:space="preserve"> </w:t>
      </w:r>
      <w:r>
        <w:t>to</w:t>
      </w:r>
      <w:r>
        <w:rPr>
          <w:spacing w:val="-2"/>
        </w:rPr>
        <w:t xml:space="preserve"> </w:t>
      </w:r>
      <w:r>
        <w:t>outer</w:t>
      </w:r>
      <w:r>
        <w:rPr>
          <w:spacing w:val="-1"/>
        </w:rPr>
        <w:t xml:space="preserve"> </w:t>
      </w:r>
      <w:r>
        <w:t>islands implies</w:t>
      </w:r>
      <w:r>
        <w:rPr>
          <w:spacing w:val="-3"/>
        </w:rPr>
        <w:t xml:space="preserve"> </w:t>
      </w:r>
      <w:r>
        <w:t>we</w:t>
      </w:r>
      <w:r>
        <w:rPr>
          <w:spacing w:val="-2"/>
        </w:rPr>
        <w:t xml:space="preserve"> </w:t>
      </w:r>
      <w:r>
        <w:t>have</w:t>
      </w:r>
      <w:r>
        <w:rPr>
          <w:spacing w:val="-4"/>
        </w:rPr>
        <w:t xml:space="preserve"> </w:t>
      </w:r>
      <w:r>
        <w:t>sorted</w:t>
      </w:r>
      <w:r>
        <w:rPr>
          <w:spacing w:val="-4"/>
        </w:rPr>
        <w:t xml:space="preserve"> </w:t>
      </w:r>
      <w:r>
        <w:t>the</w:t>
      </w:r>
      <w:r>
        <w:rPr>
          <w:spacing w:val="-2"/>
        </w:rPr>
        <w:t xml:space="preserve"> </w:t>
      </w:r>
      <w:r>
        <w:t>problem</w:t>
      </w:r>
      <w:r>
        <w:rPr>
          <w:spacing w:val="-1"/>
        </w:rPr>
        <w:t xml:space="preserve"> </w:t>
      </w:r>
      <w:r>
        <w:t>here</w:t>
      </w:r>
      <w:r>
        <w:rPr>
          <w:spacing w:val="-2"/>
        </w:rPr>
        <w:t xml:space="preserve"> </w:t>
      </w:r>
      <w:r>
        <w:t>[Port</w:t>
      </w:r>
      <w:r>
        <w:rPr>
          <w:spacing w:val="-2"/>
        </w:rPr>
        <w:t xml:space="preserve"> </w:t>
      </w:r>
      <w:r>
        <w:t>Vila],</w:t>
      </w:r>
      <w:r>
        <w:rPr>
          <w:spacing w:val="-4"/>
        </w:rPr>
        <w:t xml:space="preserve"> </w:t>
      </w:r>
      <w:r>
        <w:t>and</w:t>
      </w:r>
      <w:r>
        <w:rPr>
          <w:spacing w:val="-4"/>
        </w:rPr>
        <w:t xml:space="preserve"> </w:t>
      </w:r>
      <w:r>
        <w:t>that is not the case.</w:t>
      </w:r>
    </w:p>
    <w:p w14:paraId="4AF93883" w14:textId="77777777" w:rsidR="009C36E3" w:rsidRDefault="000E7207">
      <w:pPr>
        <w:pStyle w:val="BodyText"/>
        <w:spacing w:before="120"/>
      </w:pPr>
      <w:r>
        <w:t>Support</w:t>
      </w:r>
      <w:r>
        <w:rPr>
          <w:spacing w:val="-4"/>
        </w:rPr>
        <w:t xml:space="preserve"> </w:t>
      </w:r>
      <w:r>
        <w:t>to</w:t>
      </w:r>
      <w:r>
        <w:rPr>
          <w:spacing w:val="-4"/>
        </w:rPr>
        <w:t xml:space="preserve"> </w:t>
      </w:r>
      <w:r>
        <w:t>improve</w:t>
      </w:r>
      <w:r>
        <w:rPr>
          <w:spacing w:val="-4"/>
        </w:rPr>
        <w:t xml:space="preserve"> </w:t>
      </w:r>
      <w:r>
        <w:t>the</w:t>
      </w:r>
      <w:r>
        <w:rPr>
          <w:spacing w:val="-4"/>
        </w:rPr>
        <w:t xml:space="preserve"> </w:t>
      </w:r>
      <w:r>
        <w:t>responsiveness</w:t>
      </w:r>
      <w:r>
        <w:rPr>
          <w:spacing w:val="-3"/>
        </w:rPr>
        <w:t xml:space="preserve"> </w:t>
      </w:r>
      <w:r>
        <w:t>to</w:t>
      </w:r>
      <w:r>
        <w:rPr>
          <w:spacing w:val="-2"/>
        </w:rPr>
        <w:t xml:space="preserve"> </w:t>
      </w:r>
      <w:r>
        <w:t>VAWC</w:t>
      </w:r>
      <w:r>
        <w:rPr>
          <w:spacing w:val="-1"/>
        </w:rPr>
        <w:t xml:space="preserve"> </w:t>
      </w:r>
      <w:r>
        <w:t>has been</w:t>
      </w:r>
      <w:r>
        <w:rPr>
          <w:spacing w:val="-2"/>
        </w:rPr>
        <w:t xml:space="preserve"> </w:t>
      </w:r>
      <w:r>
        <w:t>facilitated</w:t>
      </w:r>
      <w:r>
        <w:rPr>
          <w:spacing w:val="-4"/>
        </w:rPr>
        <w:t xml:space="preserve"> </w:t>
      </w:r>
      <w:r>
        <w:t>by</w:t>
      </w:r>
      <w:r>
        <w:rPr>
          <w:spacing w:val="-3"/>
        </w:rPr>
        <w:t xml:space="preserve"> </w:t>
      </w:r>
      <w:r>
        <w:t>training</w:t>
      </w:r>
      <w:r>
        <w:rPr>
          <w:spacing w:val="-2"/>
        </w:rPr>
        <w:t xml:space="preserve"> </w:t>
      </w:r>
      <w:r>
        <w:t>such</w:t>
      </w:r>
      <w:r>
        <w:rPr>
          <w:spacing w:val="-4"/>
        </w:rPr>
        <w:t xml:space="preserve"> </w:t>
      </w:r>
      <w:r>
        <w:t>as</w:t>
      </w:r>
      <w:r>
        <w:rPr>
          <w:spacing w:val="-3"/>
        </w:rPr>
        <w:t xml:space="preserve"> </w:t>
      </w:r>
      <w:r>
        <w:t>the</w:t>
      </w:r>
      <w:r>
        <w:rPr>
          <w:spacing w:val="-2"/>
        </w:rPr>
        <w:t xml:space="preserve"> </w:t>
      </w:r>
      <w:r>
        <w:t>Detective</w:t>
      </w:r>
      <w:r>
        <w:rPr>
          <w:spacing w:val="-4"/>
        </w:rPr>
        <w:t xml:space="preserve"> </w:t>
      </w:r>
      <w:r>
        <w:t>Training Package and joint training packages for CID and OPP (VAPJP, 2022a).</w:t>
      </w:r>
    </w:p>
    <w:p w14:paraId="55F9DC58" w14:textId="77777777" w:rsidR="009C36E3" w:rsidRDefault="000E7207">
      <w:pPr>
        <w:pStyle w:val="BodyText"/>
        <w:spacing w:before="121"/>
        <w:ind w:right="167"/>
      </w:pPr>
      <w:r>
        <w:t>VAPJP</w:t>
      </w:r>
      <w:r>
        <w:rPr>
          <w:spacing w:val="-2"/>
        </w:rPr>
        <w:t xml:space="preserve"> </w:t>
      </w:r>
      <w:r>
        <w:t>has</w:t>
      </w:r>
      <w:r>
        <w:rPr>
          <w:spacing w:val="-3"/>
        </w:rPr>
        <w:t xml:space="preserve"> </w:t>
      </w:r>
      <w:r>
        <w:t>also</w:t>
      </w:r>
      <w:r>
        <w:rPr>
          <w:spacing w:val="-4"/>
        </w:rPr>
        <w:t xml:space="preserve"> </w:t>
      </w:r>
      <w:r>
        <w:t>supported the</w:t>
      </w:r>
      <w:r>
        <w:rPr>
          <w:spacing w:val="-4"/>
        </w:rPr>
        <w:t xml:space="preserve"> </w:t>
      </w:r>
      <w:r>
        <w:t>only</w:t>
      </w:r>
      <w:r>
        <w:rPr>
          <w:spacing w:val="-3"/>
        </w:rPr>
        <w:t xml:space="preserve"> </w:t>
      </w:r>
      <w:r>
        <w:t>forensic</w:t>
      </w:r>
      <w:r>
        <w:rPr>
          <w:spacing w:val="-3"/>
        </w:rPr>
        <w:t xml:space="preserve"> </w:t>
      </w:r>
      <w:r>
        <w:t>pathologist</w:t>
      </w:r>
      <w:r>
        <w:rPr>
          <w:spacing w:val="-4"/>
        </w:rPr>
        <w:t xml:space="preserve"> </w:t>
      </w:r>
      <w:r>
        <w:t>(female)</w:t>
      </w:r>
      <w:r>
        <w:rPr>
          <w:spacing w:val="-1"/>
        </w:rPr>
        <w:t xml:space="preserve"> </w:t>
      </w:r>
      <w:r>
        <w:t>in</w:t>
      </w:r>
      <w:r>
        <w:rPr>
          <w:spacing w:val="-2"/>
        </w:rPr>
        <w:t xml:space="preserve"> </w:t>
      </w:r>
      <w:r>
        <w:t>Vanuatu</w:t>
      </w:r>
      <w:r>
        <w:rPr>
          <w:spacing w:val="-4"/>
        </w:rPr>
        <w:t xml:space="preserve"> </w:t>
      </w:r>
      <w:r>
        <w:t>to</w:t>
      </w:r>
      <w:r>
        <w:rPr>
          <w:spacing w:val="-2"/>
        </w:rPr>
        <w:t xml:space="preserve"> </w:t>
      </w:r>
      <w:r>
        <w:t>travel</w:t>
      </w:r>
      <w:r>
        <w:rPr>
          <w:spacing w:val="-5"/>
        </w:rPr>
        <w:t xml:space="preserve"> </w:t>
      </w:r>
      <w:r>
        <w:t>and</w:t>
      </w:r>
      <w:r>
        <w:rPr>
          <w:spacing w:val="-4"/>
        </w:rPr>
        <w:t xml:space="preserve"> </w:t>
      </w:r>
      <w:r>
        <w:t>undertake</w:t>
      </w:r>
      <w:r>
        <w:rPr>
          <w:spacing w:val="-4"/>
        </w:rPr>
        <w:t xml:space="preserve"> </w:t>
      </w:r>
      <w:r>
        <w:t>post-mortems in remote parts of Vanuatu.</w:t>
      </w:r>
      <w:hyperlink w:anchor="_bookmark25" w:history="1">
        <w:r>
          <w:rPr>
            <w:position w:val="6"/>
            <w:sz w:val="13"/>
          </w:rPr>
          <w:t>14</w:t>
        </w:r>
      </w:hyperlink>
      <w:r>
        <w:rPr>
          <w:spacing w:val="23"/>
          <w:position w:val="6"/>
          <w:sz w:val="13"/>
        </w:rPr>
        <w:t xml:space="preserve"> </w:t>
      </w:r>
      <w:r>
        <w:t>By way of example during the first six months of 2023 she undertook five post- mortems outside of Port Vila in Pentecost, Ambae, Malo, Santo and Malekula (VAPJP, 2023c). One senior respondent noted that the availability of morgue facilities would make the work of both local and international forensic experts supported by VAPJP more effective by ‘buying time’ to carry out post-mortems.</w:t>
      </w:r>
    </w:p>
    <w:p w14:paraId="6D87053E" w14:textId="77777777" w:rsidR="009C36E3" w:rsidRDefault="000E7207">
      <w:pPr>
        <w:pStyle w:val="BodyText"/>
        <w:spacing w:before="117"/>
        <w:ind w:right="167"/>
      </w:pPr>
      <w:r>
        <w:t>Through</w:t>
      </w:r>
      <w:r>
        <w:rPr>
          <w:spacing w:val="-2"/>
        </w:rPr>
        <w:t xml:space="preserve"> </w:t>
      </w:r>
      <w:r>
        <w:t>a</w:t>
      </w:r>
      <w:r>
        <w:rPr>
          <w:spacing w:val="-4"/>
        </w:rPr>
        <w:t xml:space="preserve"> </w:t>
      </w:r>
      <w:r>
        <w:t>focus</w:t>
      </w:r>
      <w:r>
        <w:rPr>
          <w:spacing w:val="-3"/>
        </w:rPr>
        <w:t xml:space="preserve"> </w:t>
      </w:r>
      <w:r>
        <w:t>on</w:t>
      </w:r>
      <w:r>
        <w:rPr>
          <w:spacing w:val="-2"/>
        </w:rPr>
        <w:t xml:space="preserve"> </w:t>
      </w:r>
      <w:r>
        <w:t>improved</w:t>
      </w:r>
      <w:r>
        <w:rPr>
          <w:spacing w:val="-4"/>
        </w:rPr>
        <w:t xml:space="preserve"> </w:t>
      </w:r>
      <w:r>
        <w:t>professional</w:t>
      </w:r>
      <w:r>
        <w:rPr>
          <w:spacing w:val="-5"/>
        </w:rPr>
        <w:t xml:space="preserve"> </w:t>
      </w:r>
      <w:r>
        <w:t>standards,</w:t>
      </w:r>
      <w:r>
        <w:rPr>
          <w:spacing w:val="-2"/>
        </w:rPr>
        <w:t xml:space="preserve"> </w:t>
      </w:r>
      <w:r>
        <w:t>the</w:t>
      </w:r>
      <w:r>
        <w:rPr>
          <w:spacing w:val="-4"/>
        </w:rPr>
        <w:t xml:space="preserve"> </w:t>
      </w:r>
      <w:r>
        <w:t>quality</w:t>
      </w:r>
      <w:r>
        <w:rPr>
          <w:spacing w:val="-2"/>
        </w:rPr>
        <w:t xml:space="preserve"> </w:t>
      </w:r>
      <w:r>
        <w:t>and</w:t>
      </w:r>
      <w:r>
        <w:rPr>
          <w:spacing w:val="-4"/>
        </w:rPr>
        <w:t xml:space="preserve"> </w:t>
      </w:r>
      <w:r>
        <w:t>reach</w:t>
      </w:r>
      <w:r>
        <w:rPr>
          <w:spacing w:val="-4"/>
        </w:rPr>
        <w:t xml:space="preserve"> </w:t>
      </w:r>
      <w:r>
        <w:t>of</w:t>
      </w:r>
      <w:r>
        <w:rPr>
          <w:spacing w:val="-2"/>
        </w:rPr>
        <w:t xml:space="preserve"> </w:t>
      </w:r>
      <w:r>
        <w:t>VPFs</w:t>
      </w:r>
      <w:r>
        <w:rPr>
          <w:spacing w:val="-3"/>
        </w:rPr>
        <w:t xml:space="preserve"> </w:t>
      </w:r>
      <w:r>
        <w:t>work</w:t>
      </w:r>
      <w:r>
        <w:rPr>
          <w:spacing w:val="-3"/>
        </w:rPr>
        <w:t xml:space="preserve"> </w:t>
      </w:r>
      <w:r>
        <w:t>has</w:t>
      </w:r>
      <w:r>
        <w:rPr>
          <w:spacing w:val="-3"/>
        </w:rPr>
        <w:t xml:space="preserve"> </w:t>
      </w:r>
      <w:r>
        <w:t>improved,</w:t>
      </w:r>
      <w:r>
        <w:rPr>
          <w:spacing w:val="-2"/>
        </w:rPr>
        <w:t xml:space="preserve"> </w:t>
      </w:r>
      <w:r>
        <w:t>matched by a corresponding increase in community confidence in the police. This is</w:t>
      </w:r>
      <w:r>
        <w:rPr>
          <w:spacing w:val="40"/>
        </w:rPr>
        <w:t xml:space="preserve"> </w:t>
      </w:r>
      <w:r>
        <w:t>evidenced by provincial expansion of the Professional</w:t>
      </w:r>
      <w:r>
        <w:rPr>
          <w:spacing w:val="-3"/>
        </w:rPr>
        <w:t xml:space="preserve"> </w:t>
      </w:r>
      <w:r>
        <w:t>Standards Unit,</w:t>
      </w:r>
      <w:r>
        <w:rPr>
          <w:spacing w:val="-2"/>
        </w:rPr>
        <w:t xml:space="preserve"> </w:t>
      </w:r>
      <w:r>
        <w:t>improved resourcing and</w:t>
      </w:r>
      <w:r>
        <w:rPr>
          <w:spacing w:val="-2"/>
        </w:rPr>
        <w:t xml:space="preserve"> </w:t>
      </w:r>
      <w:r>
        <w:t>training,</w:t>
      </w:r>
      <w:r>
        <w:rPr>
          <w:spacing w:val="-2"/>
        </w:rPr>
        <w:t xml:space="preserve"> </w:t>
      </w:r>
      <w:r>
        <w:t>a genuine</w:t>
      </w:r>
      <w:r>
        <w:rPr>
          <w:spacing w:val="-2"/>
        </w:rPr>
        <w:t xml:space="preserve"> </w:t>
      </w:r>
      <w:r>
        <w:t>attempt</w:t>
      </w:r>
      <w:r>
        <w:rPr>
          <w:spacing w:val="-2"/>
        </w:rPr>
        <w:t xml:space="preserve"> </w:t>
      </w:r>
      <w:r>
        <w:t>to</w:t>
      </w:r>
      <w:r>
        <w:rPr>
          <w:spacing w:val="-2"/>
        </w:rPr>
        <w:t xml:space="preserve"> </w:t>
      </w:r>
      <w:r>
        <w:t>address</w:t>
      </w:r>
      <w:r>
        <w:rPr>
          <w:spacing w:val="-1"/>
        </w:rPr>
        <w:t xml:space="preserve"> </w:t>
      </w:r>
      <w:r>
        <w:t>cases promptly, and good communication with the community when wrongdoing occurs. Like other operational areas the PSU</w:t>
      </w:r>
    </w:p>
    <w:p w14:paraId="255F94E1" w14:textId="6D96184A" w:rsidR="009C36E3" w:rsidRDefault="000E7207" w:rsidP="00423B09">
      <w:pPr>
        <w:pStyle w:val="BodyText"/>
        <w:spacing w:before="187"/>
        <w:ind w:left="0"/>
        <w:sectPr w:rsidR="009C36E3">
          <w:pgSz w:w="11910" w:h="16850"/>
          <w:pgMar w:top="1040" w:right="740" w:bottom="740" w:left="80" w:header="552" w:footer="559" w:gutter="0"/>
          <w:cols w:space="720"/>
        </w:sectPr>
      </w:pPr>
      <w:r>
        <w:rPr>
          <w:noProof/>
        </w:rPr>
        <mc:AlternateContent>
          <mc:Choice Requires="wps">
            <w:drawing>
              <wp:anchor distT="0" distB="0" distL="0" distR="0" simplePos="0" relativeHeight="251675648" behindDoc="1" locked="0" layoutInCell="1" allowOverlap="1" wp14:anchorId="1BC9BC58" wp14:editId="0B22A1B6">
                <wp:simplePos x="0" y="0"/>
                <wp:positionH relativeFrom="page">
                  <wp:posOffset>541019</wp:posOffset>
                </wp:positionH>
                <wp:positionV relativeFrom="paragraph">
                  <wp:posOffset>280022</wp:posOffset>
                </wp:positionV>
                <wp:extent cx="1828800" cy="6350"/>
                <wp:effectExtent l="0" t="0" r="0" b="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9D91AB" id="Graphic 37" o:spid="_x0000_s1026" alt="&quot;&quot;" style="position:absolute;margin-left:42.6pt;margin-top:22.05pt;width:2in;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" path="m1828800,l,,,6108r1828800,l1828800,xe" fillcolor="black" stroked="f">
                <v:path arrowok="t"/>
                <w10:wrap type="topAndBottom" anchorx="page"/>
              </v:shape>
            </w:pict>
          </mc:Fallback>
        </mc:AlternateContent>
      </w:r>
    </w:p>
    <w:p w14:paraId="5EDF4A7D" w14:textId="77777777" w:rsidR="009C36E3" w:rsidRDefault="000E7207">
      <w:pPr>
        <w:pStyle w:val="BodyText"/>
        <w:spacing w:before="91"/>
        <w:ind w:left="772" w:right="167"/>
      </w:pPr>
      <w:r>
        <w:t>remains</w:t>
      </w:r>
      <w:r>
        <w:rPr>
          <w:spacing w:val="-3"/>
        </w:rPr>
        <w:t xml:space="preserve"> </w:t>
      </w:r>
      <w:r>
        <w:t>financially</w:t>
      </w:r>
      <w:r>
        <w:rPr>
          <w:spacing w:val="-3"/>
        </w:rPr>
        <w:t xml:space="preserve"> </w:t>
      </w:r>
      <w:r>
        <w:t>dependent</w:t>
      </w:r>
      <w:r>
        <w:rPr>
          <w:spacing w:val="-4"/>
        </w:rPr>
        <w:t xml:space="preserve"> </w:t>
      </w:r>
      <w:r>
        <w:t>on</w:t>
      </w:r>
      <w:r>
        <w:rPr>
          <w:spacing w:val="-4"/>
        </w:rPr>
        <w:t xml:space="preserve"> </w:t>
      </w:r>
      <w:r>
        <w:t>VAPJP.</w:t>
      </w:r>
      <w:r>
        <w:rPr>
          <w:spacing w:val="-4"/>
        </w:rPr>
        <w:t xml:space="preserve"> </w:t>
      </w:r>
      <w:r>
        <w:t>This</w:t>
      </w:r>
      <w:r>
        <w:rPr>
          <w:spacing w:val="-3"/>
        </w:rPr>
        <w:t xml:space="preserve"> </w:t>
      </w:r>
      <w:r>
        <w:t>improvement</w:t>
      </w:r>
      <w:r>
        <w:rPr>
          <w:spacing w:val="-4"/>
        </w:rPr>
        <w:t xml:space="preserve"> </w:t>
      </w:r>
      <w:r>
        <w:t>was</w:t>
      </w:r>
      <w:r>
        <w:rPr>
          <w:spacing w:val="-3"/>
        </w:rPr>
        <w:t xml:space="preserve"> </w:t>
      </w:r>
      <w:r>
        <w:t>particularly apparent</w:t>
      </w:r>
      <w:r>
        <w:rPr>
          <w:spacing w:val="-4"/>
        </w:rPr>
        <w:t xml:space="preserve"> </w:t>
      </w:r>
      <w:r>
        <w:t>to</w:t>
      </w:r>
      <w:r>
        <w:rPr>
          <w:spacing w:val="-4"/>
        </w:rPr>
        <w:t xml:space="preserve"> </w:t>
      </w:r>
      <w:r>
        <w:t>the</w:t>
      </w:r>
      <w:r>
        <w:rPr>
          <w:spacing w:val="-4"/>
        </w:rPr>
        <w:t xml:space="preserve"> </w:t>
      </w:r>
      <w:r>
        <w:t>MTR</w:t>
      </w:r>
      <w:r>
        <w:rPr>
          <w:spacing w:val="-4"/>
        </w:rPr>
        <w:t xml:space="preserve"> </w:t>
      </w:r>
      <w:r>
        <w:t>Team</w:t>
      </w:r>
      <w:r>
        <w:rPr>
          <w:spacing w:val="-2"/>
        </w:rPr>
        <w:t xml:space="preserve"> </w:t>
      </w:r>
      <w:r>
        <w:t>Leader who can remember an isolated and woefully under-resourced PSU with no reach beyond Port Vila from 2014.</w:t>
      </w:r>
    </w:p>
    <w:p w14:paraId="37397394" w14:textId="77777777" w:rsidR="009C36E3" w:rsidRDefault="000E7207">
      <w:pPr>
        <w:pStyle w:val="BodyText"/>
        <w:spacing w:before="1"/>
        <w:rPr>
          <w:sz w:val="13"/>
        </w:rPr>
      </w:pPr>
      <w:r>
        <w:t>Between</w:t>
      </w:r>
      <w:r>
        <w:rPr>
          <w:spacing w:val="-6"/>
        </w:rPr>
        <w:t xml:space="preserve"> </w:t>
      </w:r>
      <w:r>
        <w:t>62</w:t>
      </w:r>
      <w:r>
        <w:rPr>
          <w:spacing w:val="-6"/>
        </w:rPr>
        <w:t xml:space="preserve"> </w:t>
      </w:r>
      <w:r>
        <w:t>and</w:t>
      </w:r>
      <w:r>
        <w:rPr>
          <w:spacing w:val="-5"/>
        </w:rPr>
        <w:t xml:space="preserve"> </w:t>
      </w:r>
      <w:r>
        <w:t>69%</w:t>
      </w:r>
      <w:r>
        <w:rPr>
          <w:spacing w:val="-5"/>
        </w:rPr>
        <w:t xml:space="preserve"> </w:t>
      </w:r>
      <w:r>
        <w:t>of</w:t>
      </w:r>
      <w:r>
        <w:rPr>
          <w:spacing w:val="-5"/>
        </w:rPr>
        <w:t xml:space="preserve"> </w:t>
      </w:r>
      <w:r>
        <w:t>PJSS</w:t>
      </w:r>
      <w:r>
        <w:rPr>
          <w:spacing w:val="-8"/>
        </w:rPr>
        <w:t xml:space="preserve"> </w:t>
      </w:r>
      <w:r>
        <w:t>respondents</w:t>
      </w:r>
      <w:r>
        <w:rPr>
          <w:spacing w:val="-7"/>
        </w:rPr>
        <w:t xml:space="preserve"> </w:t>
      </w:r>
      <w:r>
        <w:t>felt</w:t>
      </w:r>
      <w:r>
        <w:rPr>
          <w:spacing w:val="-5"/>
        </w:rPr>
        <w:t xml:space="preserve"> </w:t>
      </w:r>
      <w:r>
        <w:t>that</w:t>
      </w:r>
      <w:r>
        <w:rPr>
          <w:spacing w:val="-7"/>
        </w:rPr>
        <w:t xml:space="preserve"> </w:t>
      </w:r>
      <w:r>
        <w:t>police</w:t>
      </w:r>
      <w:r>
        <w:rPr>
          <w:spacing w:val="-8"/>
        </w:rPr>
        <w:t xml:space="preserve"> </w:t>
      </w:r>
      <w:r>
        <w:t>services</w:t>
      </w:r>
      <w:r>
        <w:rPr>
          <w:spacing w:val="-6"/>
        </w:rPr>
        <w:t xml:space="preserve"> </w:t>
      </w:r>
      <w:r>
        <w:t>had</w:t>
      </w:r>
      <w:r>
        <w:rPr>
          <w:spacing w:val="-6"/>
        </w:rPr>
        <w:t xml:space="preserve"> </w:t>
      </w:r>
      <w:r>
        <w:t>improved</w:t>
      </w:r>
      <w:r>
        <w:rPr>
          <w:spacing w:val="-4"/>
        </w:rPr>
        <w:t xml:space="preserve"> </w:t>
      </w:r>
      <w:r>
        <w:t>across</w:t>
      </w:r>
      <w:r>
        <w:rPr>
          <w:spacing w:val="-7"/>
        </w:rPr>
        <w:t xml:space="preserve"> </w:t>
      </w:r>
      <w:r>
        <w:t>six</w:t>
      </w:r>
      <w:r>
        <w:rPr>
          <w:spacing w:val="-6"/>
        </w:rPr>
        <w:t xml:space="preserve"> </w:t>
      </w:r>
      <w:r>
        <w:t>nominated</w:t>
      </w:r>
      <w:r>
        <w:rPr>
          <w:spacing w:val="-7"/>
        </w:rPr>
        <w:t xml:space="preserve"> </w:t>
      </w:r>
      <w:r>
        <w:rPr>
          <w:spacing w:val="-2"/>
        </w:rPr>
        <w:t>areas</w:t>
      </w:r>
      <w:hyperlink w:anchor="_bookmark26" w:history="1">
        <w:r>
          <w:rPr>
            <w:spacing w:val="-2"/>
            <w:position w:val="6"/>
            <w:sz w:val="13"/>
          </w:rPr>
          <w:t>15</w:t>
        </w:r>
      </w:hyperlink>
    </w:p>
    <w:p w14:paraId="3213CA43" w14:textId="77777777" w:rsidR="009C36E3" w:rsidRDefault="000E7207">
      <w:pPr>
        <w:pStyle w:val="BodyText"/>
        <w:ind w:left="772"/>
      </w:pPr>
      <w:r>
        <w:t>over</w:t>
      </w:r>
      <w:r>
        <w:rPr>
          <w:spacing w:val="-5"/>
        </w:rPr>
        <w:t xml:space="preserve"> </w:t>
      </w:r>
      <w:r>
        <w:t>the</w:t>
      </w:r>
      <w:r>
        <w:rPr>
          <w:spacing w:val="-3"/>
        </w:rPr>
        <w:t xml:space="preserve"> </w:t>
      </w:r>
      <w:r>
        <w:t>last</w:t>
      </w:r>
      <w:r>
        <w:rPr>
          <w:spacing w:val="-6"/>
        </w:rPr>
        <w:t xml:space="preserve"> </w:t>
      </w:r>
      <w:r>
        <w:t>two</w:t>
      </w:r>
      <w:r>
        <w:rPr>
          <w:spacing w:val="-5"/>
        </w:rPr>
        <w:t xml:space="preserve"> </w:t>
      </w:r>
      <w:r>
        <w:t>years,</w:t>
      </w:r>
      <w:r>
        <w:rPr>
          <w:spacing w:val="-6"/>
        </w:rPr>
        <w:t xml:space="preserve"> </w:t>
      </w:r>
      <w:r>
        <w:t>which</w:t>
      </w:r>
      <w:r>
        <w:rPr>
          <w:spacing w:val="-5"/>
        </w:rPr>
        <w:t xml:space="preserve"> </w:t>
      </w:r>
      <w:r>
        <w:t>correlates</w:t>
      </w:r>
      <w:r>
        <w:rPr>
          <w:spacing w:val="-4"/>
        </w:rPr>
        <w:t xml:space="preserve"> </w:t>
      </w:r>
      <w:r>
        <w:t>to</w:t>
      </w:r>
      <w:r>
        <w:rPr>
          <w:spacing w:val="-6"/>
        </w:rPr>
        <w:t xml:space="preserve"> </w:t>
      </w:r>
      <w:r>
        <w:t>the</w:t>
      </w:r>
      <w:r>
        <w:rPr>
          <w:spacing w:val="-5"/>
        </w:rPr>
        <w:t xml:space="preserve"> </w:t>
      </w:r>
      <w:r>
        <w:t>start</w:t>
      </w:r>
      <w:r>
        <w:rPr>
          <w:spacing w:val="-6"/>
        </w:rPr>
        <w:t xml:space="preserve"> </w:t>
      </w:r>
      <w:r>
        <w:t>of</w:t>
      </w:r>
      <w:r>
        <w:rPr>
          <w:spacing w:val="-3"/>
        </w:rPr>
        <w:t xml:space="preserve"> </w:t>
      </w:r>
      <w:r>
        <w:t>the</w:t>
      </w:r>
      <w:r>
        <w:rPr>
          <w:spacing w:val="-6"/>
        </w:rPr>
        <w:t xml:space="preserve"> </w:t>
      </w:r>
      <w:r>
        <w:t>current</w:t>
      </w:r>
      <w:r>
        <w:rPr>
          <w:spacing w:val="-3"/>
        </w:rPr>
        <w:t xml:space="preserve"> </w:t>
      </w:r>
      <w:r>
        <w:t>phase</w:t>
      </w:r>
      <w:r>
        <w:rPr>
          <w:spacing w:val="-5"/>
        </w:rPr>
        <w:t xml:space="preserve"> </w:t>
      </w:r>
      <w:r>
        <w:t>of</w:t>
      </w:r>
      <w:r>
        <w:rPr>
          <w:spacing w:val="-4"/>
        </w:rPr>
        <w:t xml:space="preserve"> </w:t>
      </w:r>
      <w:r>
        <w:t>VAPJP</w:t>
      </w:r>
      <w:r>
        <w:rPr>
          <w:spacing w:val="-5"/>
        </w:rPr>
        <w:t xml:space="preserve"> </w:t>
      </w:r>
      <w:r>
        <w:t>(Putt</w:t>
      </w:r>
      <w:r>
        <w:rPr>
          <w:spacing w:val="-6"/>
        </w:rPr>
        <w:t xml:space="preserve"> </w:t>
      </w:r>
      <w:r>
        <w:t>and</w:t>
      </w:r>
      <w:r>
        <w:rPr>
          <w:spacing w:val="-5"/>
        </w:rPr>
        <w:t xml:space="preserve"> </w:t>
      </w:r>
      <w:r>
        <w:t>Dinnen,</w:t>
      </w:r>
      <w:r>
        <w:rPr>
          <w:spacing w:val="-4"/>
        </w:rPr>
        <w:t xml:space="preserve"> </w:t>
      </w:r>
      <w:r>
        <w:rPr>
          <w:spacing w:val="-2"/>
        </w:rPr>
        <w:t>2023).</w:t>
      </w:r>
    </w:p>
    <w:p w14:paraId="3C43297B" w14:textId="779536B0" w:rsidR="009C36E3" w:rsidRDefault="000E7207">
      <w:pPr>
        <w:pStyle w:val="BodyText"/>
        <w:spacing w:before="120"/>
        <w:ind w:left="772" w:right="130"/>
      </w:pPr>
      <w:r>
        <w:t>A five member Professional Standards Unit (PSU) in Port Vila reports directly to the Commissioner of Police (COMPOL), as does a two member PSU that has recently been established in Santo, led by the first ever female officer in charge of a PSU. It is anticipated that further assessment for expansion of PSU into Tanna will be completed</w:t>
      </w:r>
      <w:r>
        <w:rPr>
          <w:spacing w:val="-4"/>
        </w:rPr>
        <w:t xml:space="preserve"> </w:t>
      </w:r>
      <w:r>
        <w:t>in</w:t>
      </w:r>
      <w:r>
        <w:rPr>
          <w:spacing w:val="-4"/>
        </w:rPr>
        <w:t xml:space="preserve"> </w:t>
      </w:r>
      <w:r>
        <w:t>2023.</w:t>
      </w:r>
      <w:r>
        <w:rPr>
          <w:spacing w:val="-4"/>
        </w:rPr>
        <w:t xml:space="preserve"> </w:t>
      </w:r>
      <w:r>
        <w:t>The</w:t>
      </w:r>
      <w:r>
        <w:rPr>
          <w:spacing w:val="-2"/>
        </w:rPr>
        <w:t xml:space="preserve"> </w:t>
      </w:r>
      <w:r>
        <w:t>unit</w:t>
      </w:r>
      <w:r>
        <w:rPr>
          <w:spacing w:val="-4"/>
        </w:rPr>
        <w:t xml:space="preserve"> </w:t>
      </w:r>
      <w:r>
        <w:t>investigates</w:t>
      </w:r>
      <w:r>
        <w:rPr>
          <w:spacing w:val="-3"/>
        </w:rPr>
        <w:t xml:space="preserve"> </w:t>
      </w:r>
      <w:r>
        <w:t>complaints</w:t>
      </w:r>
      <w:r>
        <w:rPr>
          <w:spacing w:val="-3"/>
        </w:rPr>
        <w:t xml:space="preserve"> </w:t>
      </w:r>
      <w:r>
        <w:t>received</w:t>
      </w:r>
      <w:r>
        <w:rPr>
          <w:spacing w:val="-4"/>
        </w:rPr>
        <w:t xml:space="preserve"> </w:t>
      </w:r>
      <w:r>
        <w:t>by both</w:t>
      </w:r>
      <w:r>
        <w:rPr>
          <w:spacing w:val="-2"/>
        </w:rPr>
        <w:t xml:space="preserve"> </w:t>
      </w:r>
      <w:r>
        <w:t>members</w:t>
      </w:r>
      <w:r>
        <w:rPr>
          <w:spacing w:val="-3"/>
        </w:rPr>
        <w:t xml:space="preserve"> </w:t>
      </w:r>
      <w:r>
        <w:t>of</w:t>
      </w:r>
      <w:r>
        <w:rPr>
          <w:spacing w:val="-2"/>
        </w:rPr>
        <w:t xml:space="preserve"> </w:t>
      </w:r>
      <w:r>
        <w:t>the</w:t>
      </w:r>
      <w:r>
        <w:rPr>
          <w:spacing w:val="-2"/>
        </w:rPr>
        <w:t xml:space="preserve"> </w:t>
      </w:r>
      <w:r>
        <w:t>public</w:t>
      </w:r>
      <w:r>
        <w:rPr>
          <w:spacing w:val="-3"/>
        </w:rPr>
        <w:t xml:space="preserve"> </w:t>
      </w:r>
      <w:r>
        <w:t>and</w:t>
      </w:r>
      <w:r>
        <w:rPr>
          <w:spacing w:val="-4"/>
        </w:rPr>
        <w:t xml:space="preserve"> </w:t>
      </w:r>
      <w:r>
        <w:t>the</w:t>
      </w:r>
      <w:r>
        <w:rPr>
          <w:spacing w:val="-2"/>
        </w:rPr>
        <w:t xml:space="preserve"> </w:t>
      </w:r>
      <w:r>
        <w:t>VPF</w:t>
      </w:r>
      <w:r>
        <w:rPr>
          <w:spacing w:val="-1"/>
        </w:rPr>
        <w:t xml:space="preserve"> </w:t>
      </w:r>
      <w:r>
        <w:t xml:space="preserve">(McLeod, 2022). VPF are being supported by VAPJP to improve the operation of the PSU, undertake investigations and awareness sessions, and expand PSU’s geographical reach. PSU staffing numbers have increased in both Port Vila and Santo enabling conduct of awareness sessions to emphasise the importance of the Code of Conduct and appropriate performance to police officers, and explicit communication both internally and externally about police not being above the law and the complaints process. The program reports that implementation of the Santo PSU has provided the Northern Command with greater access to the complaint system, as well as decreasing lag times between reporting and investigation when all matters were dealt with by Port Vila. COMPOL is supportive of the PSU having the ability to operate independently and this will form part of a review of the Police Act. </w:t>
      </w:r>
    </w:p>
    <w:p w14:paraId="779B35E9" w14:textId="77777777" w:rsidR="009C36E3" w:rsidRDefault="000E7207">
      <w:pPr>
        <w:pStyle w:val="BodyText"/>
        <w:spacing w:before="120"/>
        <w:ind w:right="120"/>
      </w:pPr>
      <w:r>
        <w:t>Given the very high reliance on VAPJP to financially support the VPF to extend their reach and quality, one of the things the MTR</w:t>
      </w:r>
      <w:r>
        <w:rPr>
          <w:spacing w:val="-1"/>
        </w:rPr>
        <w:t xml:space="preserve"> </w:t>
      </w:r>
      <w:r>
        <w:t>was asked to</w:t>
      </w:r>
      <w:r>
        <w:rPr>
          <w:spacing w:val="-1"/>
        </w:rPr>
        <w:t xml:space="preserve"> </w:t>
      </w:r>
      <w:r>
        <w:t>consider was whether there</w:t>
      </w:r>
      <w:r>
        <w:rPr>
          <w:spacing w:val="-1"/>
        </w:rPr>
        <w:t xml:space="preserve"> </w:t>
      </w:r>
      <w:r>
        <w:t>was more</w:t>
      </w:r>
      <w:r>
        <w:rPr>
          <w:spacing w:val="-1"/>
        </w:rPr>
        <w:t xml:space="preserve"> </w:t>
      </w:r>
      <w:r>
        <w:t>that VAPJP</w:t>
      </w:r>
      <w:r>
        <w:rPr>
          <w:spacing w:val="-2"/>
        </w:rPr>
        <w:t xml:space="preserve"> </w:t>
      </w:r>
      <w:r>
        <w:t>could</w:t>
      </w:r>
      <w:r>
        <w:rPr>
          <w:spacing w:val="-1"/>
        </w:rPr>
        <w:t xml:space="preserve"> </w:t>
      </w:r>
      <w:r>
        <w:t>be doing to</w:t>
      </w:r>
      <w:r>
        <w:rPr>
          <w:spacing w:val="-1"/>
        </w:rPr>
        <w:t xml:space="preserve"> </w:t>
      </w:r>
      <w:r>
        <w:t>support the</w:t>
      </w:r>
      <w:r>
        <w:rPr>
          <w:spacing w:val="-1"/>
        </w:rPr>
        <w:t xml:space="preserve"> </w:t>
      </w:r>
      <w:r>
        <w:t xml:space="preserve">VPF in securing appropriate levels of budget support. The MTR Team did not become aware of any additional opportunities for budget support that have not already been attempted. The support </w:t>
      </w:r>
      <w:r>
        <w:rPr>
          <w:color w:val="202020"/>
        </w:rPr>
        <w:t>VAPJP is providing, primarily within the Corporate Services Unit (CSU), is to enable VPF to understand processes for receipt and clearance of invoices and mapping of</w:t>
      </w:r>
      <w:r>
        <w:rPr>
          <w:color w:val="202020"/>
          <w:spacing w:val="-2"/>
        </w:rPr>
        <w:t xml:space="preserve"> </w:t>
      </w:r>
      <w:r>
        <w:rPr>
          <w:color w:val="202020"/>
        </w:rPr>
        <w:t>outstanding liabilities,</w:t>
      </w:r>
      <w:r>
        <w:rPr>
          <w:color w:val="202020"/>
          <w:spacing w:val="-2"/>
        </w:rPr>
        <w:t xml:space="preserve"> </w:t>
      </w:r>
      <w:r>
        <w:rPr>
          <w:color w:val="202020"/>
        </w:rPr>
        <w:t>as</w:t>
      </w:r>
      <w:r>
        <w:rPr>
          <w:color w:val="202020"/>
          <w:spacing w:val="-1"/>
        </w:rPr>
        <w:t xml:space="preserve"> </w:t>
      </w:r>
      <w:r>
        <w:rPr>
          <w:color w:val="202020"/>
        </w:rPr>
        <w:t>well as</w:t>
      </w:r>
      <w:r>
        <w:rPr>
          <w:color w:val="202020"/>
          <w:spacing w:val="-1"/>
        </w:rPr>
        <w:t xml:space="preserve"> </w:t>
      </w:r>
      <w:r>
        <w:rPr>
          <w:color w:val="202020"/>
        </w:rPr>
        <w:t>to</w:t>
      </w:r>
      <w:r>
        <w:rPr>
          <w:color w:val="202020"/>
          <w:spacing w:val="-2"/>
        </w:rPr>
        <w:t xml:space="preserve"> </w:t>
      </w:r>
      <w:r>
        <w:rPr>
          <w:color w:val="202020"/>
        </w:rPr>
        <w:t>understand</w:t>
      </w:r>
      <w:r>
        <w:rPr>
          <w:color w:val="202020"/>
          <w:spacing w:val="-2"/>
        </w:rPr>
        <w:t xml:space="preserve"> </w:t>
      </w:r>
      <w:r>
        <w:rPr>
          <w:color w:val="202020"/>
        </w:rPr>
        <w:t>future</w:t>
      </w:r>
      <w:r>
        <w:rPr>
          <w:color w:val="202020"/>
          <w:spacing w:val="-2"/>
        </w:rPr>
        <w:t xml:space="preserve"> </w:t>
      </w:r>
      <w:r>
        <w:rPr>
          <w:color w:val="202020"/>
        </w:rPr>
        <w:t>costs</w:t>
      </w:r>
      <w:r>
        <w:rPr>
          <w:color w:val="202020"/>
          <w:spacing w:val="-1"/>
        </w:rPr>
        <w:t xml:space="preserve"> </w:t>
      </w:r>
      <w:r>
        <w:rPr>
          <w:color w:val="202020"/>
        </w:rPr>
        <w:t>for</w:t>
      </w:r>
      <w:r>
        <w:rPr>
          <w:color w:val="202020"/>
          <w:spacing w:val="-1"/>
        </w:rPr>
        <w:t xml:space="preserve"> </w:t>
      </w:r>
      <w:r>
        <w:rPr>
          <w:color w:val="202020"/>
        </w:rPr>
        <w:t xml:space="preserve">accurate budget estimates. There has been support for </w:t>
      </w:r>
      <w:r>
        <w:t>budget submissions, new policy proposal submissions, and supplementary funding requests.</w:t>
      </w:r>
      <w:r>
        <w:rPr>
          <w:spacing w:val="-3"/>
        </w:rPr>
        <w:t xml:space="preserve"> </w:t>
      </w:r>
      <w:hyperlink w:anchor="_bookmark27" w:history="1">
        <w:r>
          <w:rPr>
            <w:position w:val="6"/>
            <w:sz w:val="13"/>
          </w:rPr>
          <w:t>16</w:t>
        </w:r>
      </w:hyperlink>
      <w:r>
        <w:rPr>
          <w:spacing w:val="24"/>
          <w:position w:val="6"/>
          <w:sz w:val="13"/>
        </w:rPr>
        <w:t xml:space="preserve"> </w:t>
      </w:r>
      <w:r>
        <w:rPr>
          <w:color w:val="202020"/>
        </w:rPr>
        <w:t xml:space="preserve">External risks to VPF budget remain as reductions are made at ministerial level without consultation with the Commissioner of Police for unplanned activities (e.g., VUV 9m utilised to support Malekula by-election in 2023). </w:t>
      </w:r>
      <w:r>
        <w:t xml:space="preserve">VAPJP has no ability to influence this. </w:t>
      </w:r>
      <w:r>
        <w:rPr>
          <w:color w:val="202020"/>
        </w:rPr>
        <w:t>Internal systems strengthening is a focus of the newly appointed Director CSU and DCP-MS, in line with OPS and VPF Strategic Planning. Their focus includes the need for improved practice within the VPF with respect to budget planning and expenditure. Request for additional recurrent budget requires ministerial confidence in the controls in place within the system, which is moving in the right direction. Some efforts have been hampered by key position vacancies which have occurred at the end of the reporting period (Finance and Planning), but which VPF are seeking to address quickly to maintain momentum on internal</w:t>
      </w:r>
      <w:r>
        <w:rPr>
          <w:color w:val="202020"/>
          <w:spacing w:val="-5"/>
        </w:rPr>
        <w:t xml:space="preserve"> </w:t>
      </w:r>
      <w:r>
        <w:rPr>
          <w:color w:val="202020"/>
        </w:rPr>
        <w:t>reforms.</w:t>
      </w:r>
      <w:r>
        <w:rPr>
          <w:color w:val="202020"/>
          <w:spacing w:val="-4"/>
        </w:rPr>
        <w:t xml:space="preserve"> </w:t>
      </w:r>
      <w:r>
        <w:t>The</w:t>
      </w:r>
      <w:r>
        <w:rPr>
          <w:spacing w:val="-4"/>
        </w:rPr>
        <w:t xml:space="preserve"> </w:t>
      </w:r>
      <w:r>
        <w:t>MTR</w:t>
      </w:r>
      <w:r>
        <w:rPr>
          <w:spacing w:val="-1"/>
        </w:rPr>
        <w:t xml:space="preserve"> </w:t>
      </w:r>
      <w:r>
        <w:t>Team</w:t>
      </w:r>
      <w:r>
        <w:rPr>
          <w:spacing w:val="-2"/>
        </w:rPr>
        <w:t xml:space="preserve"> </w:t>
      </w:r>
      <w:r>
        <w:t>did</w:t>
      </w:r>
      <w:r>
        <w:rPr>
          <w:spacing w:val="-2"/>
        </w:rPr>
        <w:t xml:space="preserve"> </w:t>
      </w:r>
      <w:r>
        <w:t>not</w:t>
      </w:r>
      <w:r>
        <w:rPr>
          <w:spacing w:val="-2"/>
        </w:rPr>
        <w:t xml:space="preserve"> </w:t>
      </w:r>
      <w:r>
        <w:t>become</w:t>
      </w:r>
      <w:r>
        <w:rPr>
          <w:spacing w:val="-2"/>
        </w:rPr>
        <w:t xml:space="preserve"> </w:t>
      </w:r>
      <w:r>
        <w:t>aware</w:t>
      </w:r>
      <w:r>
        <w:rPr>
          <w:spacing w:val="-4"/>
        </w:rPr>
        <w:t xml:space="preserve"> </w:t>
      </w:r>
      <w:r>
        <w:t>of</w:t>
      </w:r>
      <w:r>
        <w:rPr>
          <w:spacing w:val="-1"/>
        </w:rPr>
        <w:t xml:space="preserve"> </w:t>
      </w:r>
      <w:r>
        <w:t>any</w:t>
      </w:r>
      <w:r>
        <w:rPr>
          <w:spacing w:val="-3"/>
        </w:rPr>
        <w:t xml:space="preserve"> </w:t>
      </w:r>
      <w:r>
        <w:t>additional</w:t>
      </w:r>
      <w:r>
        <w:rPr>
          <w:spacing w:val="-3"/>
        </w:rPr>
        <w:t xml:space="preserve"> </w:t>
      </w:r>
      <w:r>
        <w:t>opportunities</w:t>
      </w:r>
      <w:r>
        <w:rPr>
          <w:spacing w:val="-3"/>
        </w:rPr>
        <w:t xml:space="preserve"> </w:t>
      </w:r>
      <w:r>
        <w:t>for</w:t>
      </w:r>
      <w:r>
        <w:rPr>
          <w:spacing w:val="-3"/>
        </w:rPr>
        <w:t xml:space="preserve"> </w:t>
      </w:r>
      <w:r>
        <w:t>budget</w:t>
      </w:r>
      <w:r>
        <w:rPr>
          <w:spacing w:val="-4"/>
        </w:rPr>
        <w:t xml:space="preserve"> </w:t>
      </w:r>
      <w:r>
        <w:t>support</w:t>
      </w:r>
      <w:r>
        <w:rPr>
          <w:spacing w:val="-4"/>
        </w:rPr>
        <w:t xml:space="preserve"> </w:t>
      </w:r>
      <w:r>
        <w:t>that</w:t>
      </w:r>
      <w:r>
        <w:rPr>
          <w:spacing w:val="-4"/>
        </w:rPr>
        <w:t xml:space="preserve"> </w:t>
      </w:r>
      <w:r>
        <w:t>have not already been attempted. However, a number of respondents raised the issue that poor monthly planning within agencies often means that money is not available in time to carry out activities, with a resort to the program for support. In addition one MJCS respondent estimated that 80% of work is on request, outside of their annual work plan, when the Minister or senior management suggest funds diverted to other immediate priorities.</w:t>
      </w:r>
    </w:p>
    <w:p w14:paraId="187030DF" w14:textId="77777777" w:rsidR="009C36E3" w:rsidRDefault="000E7207">
      <w:pPr>
        <w:pStyle w:val="BodyText"/>
        <w:spacing w:before="121"/>
        <w:ind w:right="508"/>
        <w:jc w:val="both"/>
      </w:pPr>
      <w:r>
        <w:t>While separate</w:t>
      </w:r>
      <w:r>
        <w:rPr>
          <w:spacing w:val="-1"/>
        </w:rPr>
        <w:t xml:space="preserve"> </w:t>
      </w:r>
      <w:r>
        <w:t>from</w:t>
      </w:r>
      <w:r>
        <w:rPr>
          <w:spacing w:val="-1"/>
        </w:rPr>
        <w:t xml:space="preserve"> </w:t>
      </w:r>
      <w:r>
        <w:t>VAPJP,</w:t>
      </w:r>
      <w:r>
        <w:rPr>
          <w:spacing w:val="-1"/>
        </w:rPr>
        <w:t xml:space="preserve"> </w:t>
      </w:r>
      <w:r>
        <w:t>additional</w:t>
      </w:r>
      <w:r>
        <w:rPr>
          <w:spacing w:val="-2"/>
        </w:rPr>
        <w:t xml:space="preserve"> </w:t>
      </w:r>
      <w:r>
        <w:t>inputs of AFP directly to</w:t>
      </w:r>
      <w:r>
        <w:rPr>
          <w:spacing w:val="-1"/>
        </w:rPr>
        <w:t xml:space="preserve"> </w:t>
      </w:r>
      <w:r>
        <w:t>VPF complement the investments being</w:t>
      </w:r>
      <w:r>
        <w:rPr>
          <w:spacing w:val="-1"/>
        </w:rPr>
        <w:t xml:space="preserve"> </w:t>
      </w:r>
      <w:r>
        <w:t>made through</w:t>
      </w:r>
      <w:r>
        <w:rPr>
          <w:spacing w:val="-4"/>
        </w:rPr>
        <w:t xml:space="preserve"> </w:t>
      </w:r>
      <w:r>
        <w:t>the</w:t>
      </w:r>
      <w:r>
        <w:rPr>
          <w:spacing w:val="-4"/>
        </w:rPr>
        <w:t xml:space="preserve"> </w:t>
      </w:r>
      <w:r>
        <w:t>program</w:t>
      </w:r>
      <w:r>
        <w:rPr>
          <w:spacing w:val="-2"/>
        </w:rPr>
        <w:t xml:space="preserve"> </w:t>
      </w:r>
      <w:r>
        <w:t>as</w:t>
      </w:r>
      <w:r>
        <w:rPr>
          <w:spacing w:val="-3"/>
        </w:rPr>
        <w:t xml:space="preserve"> </w:t>
      </w:r>
      <w:r>
        <w:t>guided</w:t>
      </w:r>
      <w:r>
        <w:rPr>
          <w:spacing w:val="-2"/>
        </w:rPr>
        <w:t xml:space="preserve"> </w:t>
      </w:r>
      <w:r>
        <w:t>by</w:t>
      </w:r>
      <w:r>
        <w:rPr>
          <w:spacing w:val="-3"/>
        </w:rPr>
        <w:t xml:space="preserve"> </w:t>
      </w:r>
      <w:r>
        <w:t>the</w:t>
      </w:r>
      <w:r>
        <w:rPr>
          <w:spacing w:val="-2"/>
        </w:rPr>
        <w:t xml:space="preserve"> </w:t>
      </w:r>
      <w:r>
        <w:t>Program</w:t>
      </w:r>
      <w:r>
        <w:rPr>
          <w:spacing w:val="-4"/>
        </w:rPr>
        <w:t xml:space="preserve"> </w:t>
      </w:r>
      <w:r>
        <w:t>Coordinator</w:t>
      </w:r>
      <w:r>
        <w:rPr>
          <w:spacing w:val="-1"/>
        </w:rPr>
        <w:t xml:space="preserve"> </w:t>
      </w:r>
      <w:r>
        <w:t>Policing</w:t>
      </w:r>
      <w:r>
        <w:rPr>
          <w:spacing w:val="-4"/>
        </w:rPr>
        <w:t xml:space="preserve"> </w:t>
      </w:r>
      <w:r>
        <w:t>(PC-P)</w:t>
      </w:r>
      <w:r>
        <w:rPr>
          <w:spacing w:val="-3"/>
        </w:rPr>
        <w:t xml:space="preserve"> </w:t>
      </w:r>
      <w:r>
        <w:t>(VAPJP,</w:t>
      </w:r>
      <w:r>
        <w:rPr>
          <w:spacing w:val="-4"/>
        </w:rPr>
        <w:t xml:space="preserve"> </w:t>
      </w:r>
      <w:r>
        <w:t>2022a).</w:t>
      </w:r>
      <w:r>
        <w:rPr>
          <w:spacing w:val="-2"/>
        </w:rPr>
        <w:t xml:space="preserve"> </w:t>
      </w:r>
      <w:r>
        <w:t>It</w:t>
      </w:r>
      <w:r>
        <w:rPr>
          <w:spacing w:val="-4"/>
        </w:rPr>
        <w:t xml:space="preserve"> </w:t>
      </w:r>
      <w:r>
        <w:t>also</w:t>
      </w:r>
      <w:r>
        <w:rPr>
          <w:spacing w:val="-4"/>
        </w:rPr>
        <w:t xml:space="preserve"> </w:t>
      </w:r>
      <w:r>
        <w:t>aligns</w:t>
      </w:r>
      <w:r>
        <w:rPr>
          <w:spacing w:val="-3"/>
        </w:rPr>
        <w:t xml:space="preserve"> </w:t>
      </w:r>
      <w:r>
        <w:t>with GoV commitment to decentralisation.</w:t>
      </w:r>
    </w:p>
    <w:p w14:paraId="230F8CFE" w14:textId="77777777" w:rsidR="009C36E3" w:rsidRDefault="000E7207">
      <w:pPr>
        <w:pStyle w:val="Heading7"/>
        <w:spacing w:before="119"/>
        <w:jc w:val="both"/>
      </w:pPr>
      <w:r>
        <w:t>Reach</w:t>
      </w:r>
      <w:r>
        <w:rPr>
          <w:spacing w:val="-5"/>
        </w:rPr>
        <w:t xml:space="preserve"> </w:t>
      </w:r>
      <w:r>
        <w:t>and</w:t>
      </w:r>
      <w:r>
        <w:rPr>
          <w:spacing w:val="-6"/>
        </w:rPr>
        <w:t xml:space="preserve"> </w:t>
      </w:r>
      <w:r>
        <w:t>quality</w:t>
      </w:r>
      <w:r>
        <w:rPr>
          <w:spacing w:val="-7"/>
        </w:rPr>
        <w:t xml:space="preserve"> </w:t>
      </w:r>
      <w:r>
        <w:t>of</w:t>
      </w:r>
      <w:r>
        <w:rPr>
          <w:spacing w:val="-6"/>
        </w:rPr>
        <w:t xml:space="preserve"> </w:t>
      </w:r>
      <w:r>
        <w:rPr>
          <w:spacing w:val="-2"/>
        </w:rPr>
        <w:t>justice</w:t>
      </w:r>
    </w:p>
    <w:p w14:paraId="26A0A5AC" w14:textId="77777777" w:rsidR="009C36E3" w:rsidRDefault="000E7207">
      <w:pPr>
        <w:pStyle w:val="BodyText"/>
        <w:spacing w:before="120"/>
        <w:ind w:right="120"/>
      </w:pPr>
      <w:r>
        <w:rPr>
          <w:b/>
        </w:rPr>
        <w:t xml:space="preserve">The reach and quality of justice has been improved </w:t>
      </w:r>
      <w:r>
        <w:t>through work undertaken by the justice, community and sector coordination components of VAPJP. The justice component has undertaken well-regarded continuing legal education</w:t>
      </w:r>
      <w:r>
        <w:rPr>
          <w:spacing w:val="-1"/>
        </w:rPr>
        <w:t xml:space="preserve"> </w:t>
      </w:r>
      <w:r>
        <w:t>and</w:t>
      </w:r>
      <w:r>
        <w:rPr>
          <w:spacing w:val="-3"/>
        </w:rPr>
        <w:t xml:space="preserve"> </w:t>
      </w:r>
      <w:r>
        <w:t>mentoring</w:t>
      </w:r>
      <w:r>
        <w:rPr>
          <w:spacing w:val="-1"/>
        </w:rPr>
        <w:t xml:space="preserve"> </w:t>
      </w:r>
      <w:r>
        <w:t>to</w:t>
      </w:r>
      <w:r>
        <w:rPr>
          <w:spacing w:val="-1"/>
        </w:rPr>
        <w:t xml:space="preserve"> </w:t>
      </w:r>
      <w:r>
        <w:t>strengthen</w:t>
      </w:r>
      <w:r>
        <w:rPr>
          <w:spacing w:val="-3"/>
        </w:rPr>
        <w:t xml:space="preserve"> </w:t>
      </w:r>
      <w:r>
        <w:t>the</w:t>
      </w:r>
      <w:r>
        <w:rPr>
          <w:spacing w:val="-3"/>
        </w:rPr>
        <w:t xml:space="preserve"> </w:t>
      </w:r>
      <w:r>
        <w:t>work</w:t>
      </w:r>
      <w:r>
        <w:rPr>
          <w:spacing w:val="-2"/>
        </w:rPr>
        <w:t xml:space="preserve"> </w:t>
      </w:r>
      <w:r>
        <w:t>of</w:t>
      </w:r>
      <w:r>
        <w:rPr>
          <w:spacing w:val="-3"/>
        </w:rPr>
        <w:t xml:space="preserve"> </w:t>
      </w:r>
      <w:r>
        <w:t>legal</w:t>
      </w:r>
      <w:r>
        <w:rPr>
          <w:spacing w:val="-4"/>
        </w:rPr>
        <w:t xml:space="preserve"> </w:t>
      </w:r>
      <w:r>
        <w:t>actors</w:t>
      </w:r>
      <w:r>
        <w:rPr>
          <w:spacing w:val="-2"/>
        </w:rPr>
        <w:t xml:space="preserve"> </w:t>
      </w:r>
      <w:r>
        <w:t>in</w:t>
      </w:r>
      <w:r>
        <w:rPr>
          <w:spacing w:val="-3"/>
        </w:rPr>
        <w:t xml:space="preserve"> </w:t>
      </w:r>
      <w:r>
        <w:t>the</w:t>
      </w:r>
      <w:r>
        <w:rPr>
          <w:spacing w:val="-3"/>
        </w:rPr>
        <w:t xml:space="preserve"> </w:t>
      </w:r>
      <w:r>
        <w:t>sector,</w:t>
      </w:r>
      <w:r>
        <w:rPr>
          <w:spacing w:val="-1"/>
        </w:rPr>
        <w:t xml:space="preserve"> </w:t>
      </w:r>
      <w:r>
        <w:t>and extend</w:t>
      </w:r>
      <w:r>
        <w:rPr>
          <w:spacing w:val="-1"/>
        </w:rPr>
        <w:t xml:space="preserve"> </w:t>
      </w:r>
      <w:r>
        <w:t>the</w:t>
      </w:r>
      <w:r>
        <w:rPr>
          <w:spacing w:val="-3"/>
        </w:rPr>
        <w:t xml:space="preserve"> </w:t>
      </w:r>
      <w:r>
        <w:t>reach</w:t>
      </w:r>
      <w:r>
        <w:rPr>
          <w:spacing w:val="-3"/>
        </w:rPr>
        <w:t xml:space="preserve"> </w:t>
      </w:r>
      <w:r>
        <w:t>of</w:t>
      </w:r>
      <w:r>
        <w:rPr>
          <w:spacing w:val="-3"/>
        </w:rPr>
        <w:t xml:space="preserve"> </w:t>
      </w:r>
      <w:r>
        <w:t>agencies</w:t>
      </w:r>
      <w:r>
        <w:rPr>
          <w:spacing w:val="-2"/>
        </w:rPr>
        <w:t xml:space="preserve"> </w:t>
      </w:r>
      <w:r>
        <w:t>both in Port Vila and selected provincial locations.</w:t>
      </w:r>
    </w:p>
    <w:p w14:paraId="7C007034" w14:textId="1F63CC8F" w:rsidR="009C36E3" w:rsidRDefault="00E11B4E" w:rsidP="00927386">
      <w:pPr>
        <w:pStyle w:val="BodyText"/>
        <w:spacing w:before="120" w:after="840"/>
        <w:ind w:right="193"/>
      </w:pPr>
      <w:r>
        <w:rPr>
          <w:noProof/>
        </w:rPr>
        <mc:AlternateContent>
          <mc:Choice Requires="wps">
            <w:drawing>
              <wp:anchor distT="0" distB="0" distL="0" distR="0" simplePos="0" relativeHeight="251676672" behindDoc="1" locked="0" layoutInCell="1" allowOverlap="1" wp14:anchorId="53563855" wp14:editId="0EC8E2C6">
                <wp:simplePos x="0" y="0"/>
                <wp:positionH relativeFrom="page">
                  <wp:posOffset>547370</wp:posOffset>
                </wp:positionH>
                <wp:positionV relativeFrom="paragraph">
                  <wp:posOffset>1092415</wp:posOffset>
                </wp:positionV>
                <wp:extent cx="1828800" cy="6350"/>
                <wp:effectExtent l="0" t="0" r="0" b="0"/>
                <wp:wrapTopAndBottom/>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AA0B28" id="Graphic 38" o:spid="_x0000_s1026" alt="&quot;&quot;" style="position:absolute;margin-left:43.1pt;margin-top:86pt;width:2in;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" path="m1828800,l,,,6095r1828800,l1828800,xe" fillcolor="black" stroked="f">
                <v:path arrowok="t"/>
                <w10:wrap type="topAndBottom" anchorx="page"/>
              </v:shape>
            </w:pict>
          </mc:Fallback>
        </mc:AlternateContent>
      </w:r>
      <w:r w:rsidR="000E7207">
        <w:t>GoV counterparts in PSO, the OPP, and the Vanuatu Law Reform Commission (VLRC) were fulsome in their praise of their co-located advisers. Advisers supported these agencies on policy and legislative reform that will benefit women and children, particularly the review of the Wills Act to eliminate discriminatory impact of current inheritance</w:t>
      </w:r>
      <w:r w:rsidR="000E7207">
        <w:rPr>
          <w:spacing w:val="-3"/>
        </w:rPr>
        <w:t xml:space="preserve"> </w:t>
      </w:r>
      <w:r w:rsidR="000E7207">
        <w:t>and</w:t>
      </w:r>
      <w:r w:rsidR="000E7207">
        <w:rPr>
          <w:spacing w:val="-3"/>
        </w:rPr>
        <w:t xml:space="preserve"> </w:t>
      </w:r>
      <w:r w:rsidR="000E7207">
        <w:t>succession</w:t>
      </w:r>
      <w:r w:rsidR="000E7207">
        <w:rPr>
          <w:spacing w:val="-1"/>
        </w:rPr>
        <w:t xml:space="preserve"> </w:t>
      </w:r>
      <w:r w:rsidR="000E7207">
        <w:t>law on</w:t>
      </w:r>
      <w:r w:rsidR="000E7207">
        <w:rPr>
          <w:spacing w:val="-3"/>
        </w:rPr>
        <w:t xml:space="preserve"> </w:t>
      </w:r>
      <w:r w:rsidR="000E7207">
        <w:t>women</w:t>
      </w:r>
      <w:r w:rsidR="000E7207">
        <w:rPr>
          <w:spacing w:val="-3"/>
        </w:rPr>
        <w:t xml:space="preserve"> </w:t>
      </w:r>
      <w:r w:rsidR="000E7207">
        <w:t>and</w:t>
      </w:r>
      <w:r w:rsidR="000E7207">
        <w:rPr>
          <w:spacing w:val="-3"/>
        </w:rPr>
        <w:t xml:space="preserve"> </w:t>
      </w:r>
      <w:r w:rsidR="000E7207">
        <w:t>children,</w:t>
      </w:r>
      <w:r w:rsidR="000E7207">
        <w:rPr>
          <w:spacing w:val="-3"/>
        </w:rPr>
        <w:t xml:space="preserve"> </w:t>
      </w:r>
      <w:r w:rsidR="000E7207">
        <w:t>the</w:t>
      </w:r>
      <w:r w:rsidR="000E7207">
        <w:rPr>
          <w:spacing w:val="-3"/>
        </w:rPr>
        <w:t xml:space="preserve"> </w:t>
      </w:r>
      <w:r w:rsidR="000E7207">
        <w:t>proposed</w:t>
      </w:r>
      <w:r w:rsidR="000E7207">
        <w:rPr>
          <w:spacing w:val="-1"/>
        </w:rPr>
        <w:t xml:space="preserve"> </w:t>
      </w:r>
      <w:r w:rsidR="000E7207">
        <w:t>Evidence</w:t>
      </w:r>
      <w:r w:rsidR="000E7207">
        <w:rPr>
          <w:spacing w:val="-1"/>
        </w:rPr>
        <w:t xml:space="preserve"> </w:t>
      </w:r>
      <w:r w:rsidR="000E7207">
        <w:t>Bill</w:t>
      </w:r>
      <w:r w:rsidR="000E7207">
        <w:rPr>
          <w:spacing w:val="-4"/>
        </w:rPr>
        <w:t xml:space="preserve"> </w:t>
      </w:r>
      <w:r w:rsidR="000E7207">
        <w:t>that</w:t>
      </w:r>
      <w:r w:rsidR="000E7207">
        <w:rPr>
          <w:spacing w:val="-3"/>
        </w:rPr>
        <w:t xml:space="preserve"> </w:t>
      </w:r>
      <w:r w:rsidR="000E7207">
        <w:t>should</w:t>
      </w:r>
      <w:r w:rsidR="000E7207">
        <w:rPr>
          <w:spacing w:val="-1"/>
        </w:rPr>
        <w:t xml:space="preserve"> </w:t>
      </w:r>
      <w:r w:rsidR="000E7207">
        <w:t>make</w:t>
      </w:r>
      <w:r w:rsidR="000E7207">
        <w:rPr>
          <w:spacing w:val="-1"/>
        </w:rPr>
        <w:t xml:space="preserve"> </w:t>
      </w:r>
      <w:r w:rsidR="000E7207">
        <w:t>it</w:t>
      </w:r>
      <w:r w:rsidR="000E7207">
        <w:rPr>
          <w:spacing w:val="-3"/>
        </w:rPr>
        <w:t xml:space="preserve"> </w:t>
      </w:r>
      <w:r w:rsidR="000E7207">
        <w:t>easier</w:t>
      </w:r>
      <w:r w:rsidR="000E7207">
        <w:rPr>
          <w:spacing w:val="-2"/>
        </w:rPr>
        <w:t xml:space="preserve"> </w:t>
      </w:r>
      <w:r w:rsidR="000E7207">
        <w:t>for</w:t>
      </w:r>
    </w:p>
    <w:p w14:paraId="2D5F709A" w14:textId="195650BB" w:rsidR="009C36E3" w:rsidRDefault="000E7207" w:rsidP="00E11B4E">
      <w:pPr>
        <w:pStyle w:val="BodyText"/>
        <w:spacing w:before="114"/>
        <w:rPr>
          <w:sz w:val="18"/>
        </w:rPr>
      </w:pPr>
      <w:bookmarkStart w:id="36" w:name="_bookmark26"/>
      <w:bookmarkEnd w:id="36"/>
      <w:r>
        <w:rPr>
          <w:position w:val="6"/>
          <w:sz w:val="13"/>
        </w:rPr>
        <w:t>15</w:t>
      </w:r>
      <w:r>
        <w:rPr>
          <w:spacing w:val="24"/>
          <w:position w:val="6"/>
          <w:sz w:val="13"/>
        </w:rPr>
        <w:t xml:space="preserve"> </w:t>
      </w:r>
      <w:r>
        <w:rPr>
          <w:sz w:val="18"/>
        </w:rPr>
        <w:t>The areas were keeping communities safe, reducing the level of crime in Vanuatu, improving community interaction with police,</w:t>
      </w:r>
      <w:r>
        <w:rPr>
          <w:spacing w:val="-4"/>
          <w:sz w:val="18"/>
        </w:rPr>
        <w:t xml:space="preserve"> </w:t>
      </w:r>
      <w:r>
        <w:rPr>
          <w:sz w:val="18"/>
        </w:rPr>
        <w:t>providing</w:t>
      </w:r>
      <w:r>
        <w:rPr>
          <w:spacing w:val="-1"/>
          <w:sz w:val="18"/>
        </w:rPr>
        <w:t xml:space="preserve"> </w:t>
      </w:r>
      <w:r>
        <w:rPr>
          <w:sz w:val="18"/>
        </w:rPr>
        <w:t>appropriate</w:t>
      </w:r>
      <w:r>
        <w:rPr>
          <w:spacing w:val="-1"/>
          <w:sz w:val="18"/>
        </w:rPr>
        <w:t xml:space="preserve"> </w:t>
      </w:r>
      <w:r>
        <w:rPr>
          <w:sz w:val="18"/>
        </w:rPr>
        <w:t>services</w:t>
      </w:r>
      <w:r>
        <w:rPr>
          <w:spacing w:val="-3"/>
          <w:sz w:val="18"/>
        </w:rPr>
        <w:t xml:space="preserve"> </w:t>
      </w:r>
      <w:r>
        <w:rPr>
          <w:sz w:val="18"/>
        </w:rPr>
        <w:t>to</w:t>
      </w:r>
      <w:r>
        <w:rPr>
          <w:spacing w:val="-4"/>
          <w:sz w:val="18"/>
        </w:rPr>
        <w:t xml:space="preserve"> </w:t>
      </w:r>
      <w:r>
        <w:rPr>
          <w:sz w:val="18"/>
        </w:rPr>
        <w:t>victims</w:t>
      </w:r>
      <w:r>
        <w:rPr>
          <w:spacing w:val="-1"/>
          <w:sz w:val="18"/>
        </w:rPr>
        <w:t xml:space="preserve"> </w:t>
      </w:r>
      <w:r>
        <w:rPr>
          <w:sz w:val="18"/>
        </w:rPr>
        <w:t>of</w:t>
      </w:r>
      <w:r>
        <w:rPr>
          <w:spacing w:val="-2"/>
          <w:sz w:val="18"/>
        </w:rPr>
        <w:t xml:space="preserve"> </w:t>
      </w:r>
      <w:r>
        <w:rPr>
          <w:sz w:val="18"/>
        </w:rPr>
        <w:t>sexual</w:t>
      </w:r>
      <w:r>
        <w:rPr>
          <w:spacing w:val="-4"/>
          <w:sz w:val="18"/>
        </w:rPr>
        <w:t xml:space="preserve"> </w:t>
      </w:r>
      <w:r>
        <w:rPr>
          <w:sz w:val="18"/>
        </w:rPr>
        <w:t>violence/abuse,</w:t>
      </w:r>
      <w:r>
        <w:rPr>
          <w:spacing w:val="-2"/>
          <w:sz w:val="18"/>
        </w:rPr>
        <w:t xml:space="preserve"> </w:t>
      </w:r>
      <w:r>
        <w:rPr>
          <w:sz w:val="18"/>
        </w:rPr>
        <w:t>providing</w:t>
      </w:r>
      <w:r>
        <w:rPr>
          <w:spacing w:val="-4"/>
          <w:sz w:val="18"/>
        </w:rPr>
        <w:t xml:space="preserve"> </w:t>
      </w:r>
      <w:r>
        <w:rPr>
          <w:sz w:val="18"/>
        </w:rPr>
        <w:t>appropriate</w:t>
      </w:r>
      <w:r>
        <w:rPr>
          <w:spacing w:val="-4"/>
          <w:sz w:val="18"/>
        </w:rPr>
        <w:t xml:space="preserve"> </w:t>
      </w:r>
      <w:r>
        <w:rPr>
          <w:sz w:val="18"/>
        </w:rPr>
        <w:t>services</w:t>
      </w:r>
      <w:r>
        <w:rPr>
          <w:spacing w:val="-1"/>
          <w:sz w:val="18"/>
        </w:rPr>
        <w:t xml:space="preserve"> </w:t>
      </w:r>
      <w:r>
        <w:rPr>
          <w:sz w:val="18"/>
        </w:rPr>
        <w:t>to</w:t>
      </w:r>
      <w:r>
        <w:rPr>
          <w:spacing w:val="-1"/>
          <w:sz w:val="18"/>
        </w:rPr>
        <w:t xml:space="preserve"> </w:t>
      </w:r>
      <w:r>
        <w:rPr>
          <w:sz w:val="18"/>
        </w:rPr>
        <w:t>victims</w:t>
      </w:r>
      <w:r>
        <w:rPr>
          <w:spacing w:val="-1"/>
          <w:sz w:val="18"/>
        </w:rPr>
        <w:t xml:space="preserve"> </w:t>
      </w:r>
      <w:r>
        <w:rPr>
          <w:sz w:val="18"/>
        </w:rPr>
        <w:t>of</w:t>
      </w:r>
      <w:r>
        <w:rPr>
          <w:spacing w:val="-4"/>
          <w:sz w:val="18"/>
        </w:rPr>
        <w:t xml:space="preserve"> </w:t>
      </w:r>
      <w:r>
        <w:rPr>
          <w:sz w:val="18"/>
        </w:rPr>
        <w:t>domestic violence/abuse, and meeting the needs of the community.</w:t>
      </w:r>
    </w:p>
    <w:p w14:paraId="416F7F5D" w14:textId="77777777" w:rsidR="009C36E3" w:rsidRDefault="000E7207">
      <w:pPr>
        <w:spacing w:before="123" w:line="242" w:lineRule="auto"/>
        <w:ind w:left="771" w:right="167"/>
        <w:rPr>
          <w:sz w:val="18"/>
        </w:rPr>
      </w:pPr>
      <w:bookmarkStart w:id="37" w:name="_bookmark27"/>
      <w:bookmarkEnd w:id="37"/>
      <w:r>
        <w:rPr>
          <w:position w:val="6"/>
          <w:sz w:val="13"/>
        </w:rPr>
        <w:t>16</w:t>
      </w:r>
      <w:r>
        <w:rPr>
          <w:spacing w:val="16"/>
          <w:position w:val="6"/>
          <w:sz w:val="13"/>
        </w:rPr>
        <w:t xml:space="preserve"> </w:t>
      </w:r>
      <w:r>
        <w:rPr>
          <w:sz w:val="18"/>
        </w:rPr>
        <w:t>The</w:t>
      </w:r>
      <w:r>
        <w:rPr>
          <w:spacing w:val="-1"/>
          <w:sz w:val="18"/>
        </w:rPr>
        <w:t xml:space="preserve"> </w:t>
      </w:r>
      <w:r>
        <w:rPr>
          <w:sz w:val="18"/>
        </w:rPr>
        <w:t>2022</w:t>
      </w:r>
      <w:r>
        <w:rPr>
          <w:spacing w:val="-1"/>
          <w:sz w:val="18"/>
        </w:rPr>
        <w:t xml:space="preserve"> </w:t>
      </w:r>
      <w:r>
        <w:rPr>
          <w:sz w:val="18"/>
        </w:rPr>
        <w:t>Annual</w:t>
      </w:r>
      <w:r>
        <w:rPr>
          <w:spacing w:val="-1"/>
          <w:sz w:val="18"/>
        </w:rPr>
        <w:t xml:space="preserve"> </w:t>
      </w:r>
      <w:r>
        <w:rPr>
          <w:sz w:val="18"/>
        </w:rPr>
        <w:t>Report</w:t>
      </w:r>
      <w:r>
        <w:rPr>
          <w:spacing w:val="-2"/>
          <w:sz w:val="18"/>
        </w:rPr>
        <w:t xml:space="preserve"> </w:t>
      </w:r>
      <w:r>
        <w:rPr>
          <w:sz w:val="18"/>
        </w:rPr>
        <w:t>noted</w:t>
      </w:r>
      <w:r>
        <w:rPr>
          <w:spacing w:val="-1"/>
          <w:sz w:val="18"/>
        </w:rPr>
        <w:t xml:space="preserve"> </w:t>
      </w:r>
      <w:r>
        <w:rPr>
          <w:sz w:val="18"/>
        </w:rPr>
        <w:t>that</w:t>
      </w:r>
      <w:r>
        <w:rPr>
          <w:spacing w:val="-4"/>
          <w:sz w:val="18"/>
        </w:rPr>
        <w:t xml:space="preserve"> </w:t>
      </w:r>
      <w:r>
        <w:rPr>
          <w:sz w:val="18"/>
        </w:rPr>
        <w:t>“One</w:t>
      </w:r>
      <w:r>
        <w:rPr>
          <w:spacing w:val="-1"/>
          <w:sz w:val="18"/>
        </w:rPr>
        <w:t xml:space="preserve"> </w:t>
      </w:r>
      <w:r>
        <w:rPr>
          <w:sz w:val="18"/>
        </w:rPr>
        <w:t>way</w:t>
      </w:r>
      <w:r>
        <w:rPr>
          <w:spacing w:val="-1"/>
          <w:sz w:val="18"/>
        </w:rPr>
        <w:t xml:space="preserve"> </w:t>
      </w:r>
      <w:r>
        <w:rPr>
          <w:sz w:val="18"/>
        </w:rPr>
        <w:t>that</w:t>
      </w:r>
      <w:r>
        <w:rPr>
          <w:spacing w:val="-2"/>
          <w:sz w:val="18"/>
        </w:rPr>
        <w:t xml:space="preserve"> </w:t>
      </w:r>
      <w:r>
        <w:rPr>
          <w:sz w:val="18"/>
        </w:rPr>
        <w:t>the</w:t>
      </w:r>
      <w:r>
        <w:rPr>
          <w:spacing w:val="-4"/>
          <w:sz w:val="18"/>
        </w:rPr>
        <w:t xml:space="preserve"> </w:t>
      </w:r>
      <w:r>
        <w:rPr>
          <w:sz w:val="18"/>
        </w:rPr>
        <w:t>program</w:t>
      </w:r>
      <w:r>
        <w:rPr>
          <w:spacing w:val="-1"/>
          <w:sz w:val="18"/>
        </w:rPr>
        <w:t xml:space="preserve"> </w:t>
      </w:r>
      <w:r>
        <w:rPr>
          <w:sz w:val="18"/>
        </w:rPr>
        <w:t>has</w:t>
      </w:r>
      <w:r>
        <w:rPr>
          <w:spacing w:val="-1"/>
          <w:sz w:val="18"/>
        </w:rPr>
        <w:t xml:space="preserve"> </w:t>
      </w:r>
      <w:r>
        <w:rPr>
          <w:sz w:val="18"/>
        </w:rPr>
        <w:t>attempted</w:t>
      </w:r>
      <w:r>
        <w:rPr>
          <w:spacing w:val="-1"/>
          <w:sz w:val="18"/>
        </w:rPr>
        <w:t xml:space="preserve"> </w:t>
      </w:r>
      <w:r>
        <w:rPr>
          <w:sz w:val="18"/>
        </w:rPr>
        <w:t>to</w:t>
      </w:r>
      <w:r>
        <w:rPr>
          <w:spacing w:val="-4"/>
          <w:sz w:val="18"/>
        </w:rPr>
        <w:t xml:space="preserve"> </w:t>
      </w:r>
      <w:r>
        <w:rPr>
          <w:sz w:val="18"/>
        </w:rPr>
        <w:t>ease</w:t>
      </w:r>
      <w:r>
        <w:rPr>
          <w:spacing w:val="-1"/>
          <w:sz w:val="18"/>
        </w:rPr>
        <w:t xml:space="preserve"> </w:t>
      </w:r>
      <w:r>
        <w:rPr>
          <w:sz w:val="18"/>
        </w:rPr>
        <w:t>financial</w:t>
      </w:r>
      <w:r>
        <w:rPr>
          <w:spacing w:val="-1"/>
          <w:sz w:val="18"/>
        </w:rPr>
        <w:t xml:space="preserve"> </w:t>
      </w:r>
      <w:r>
        <w:rPr>
          <w:sz w:val="18"/>
        </w:rPr>
        <w:t>pressures</w:t>
      </w:r>
      <w:r>
        <w:rPr>
          <w:spacing w:val="-1"/>
          <w:sz w:val="18"/>
        </w:rPr>
        <w:t xml:space="preserve"> </w:t>
      </w:r>
      <w:r>
        <w:rPr>
          <w:sz w:val="18"/>
        </w:rPr>
        <w:t>within</w:t>
      </w:r>
      <w:r>
        <w:rPr>
          <w:spacing w:val="-1"/>
          <w:sz w:val="18"/>
        </w:rPr>
        <w:t xml:space="preserve"> </w:t>
      </w:r>
      <w:r>
        <w:rPr>
          <w:sz w:val="18"/>
        </w:rPr>
        <w:t>the</w:t>
      </w:r>
      <w:r>
        <w:rPr>
          <w:spacing w:val="-1"/>
          <w:sz w:val="18"/>
        </w:rPr>
        <w:t xml:space="preserve"> </w:t>
      </w:r>
      <w:r>
        <w:rPr>
          <w:sz w:val="18"/>
        </w:rPr>
        <w:t>VPF</w:t>
      </w:r>
      <w:r>
        <w:rPr>
          <w:spacing w:val="-4"/>
          <w:sz w:val="18"/>
        </w:rPr>
        <w:t xml:space="preserve"> </w:t>
      </w:r>
      <w:r>
        <w:rPr>
          <w:sz w:val="18"/>
        </w:rPr>
        <w:t xml:space="preserve">is through support to New Policy Proposal (NPP) submissions, however, at the last budget submission in Q3 these NPPs had been rejected by Ministry of Finance for additional funding support, which has meant requests for VAPJP to remain heavily engaged in operational support has continued, while VPF provide funding to support essential staffing and clear personnel </w:t>
      </w:r>
      <w:r>
        <w:rPr>
          <w:spacing w:val="-2"/>
          <w:sz w:val="18"/>
        </w:rPr>
        <w:t>liabilities”.</w:t>
      </w:r>
    </w:p>
    <w:p w14:paraId="6D75EE32" w14:textId="77777777" w:rsidR="009C36E3" w:rsidRDefault="009C36E3">
      <w:pPr>
        <w:spacing w:line="242" w:lineRule="auto"/>
        <w:rPr>
          <w:sz w:val="18"/>
        </w:rPr>
        <w:sectPr w:rsidR="009C36E3">
          <w:pgSz w:w="11910" w:h="16850"/>
          <w:pgMar w:top="1040" w:right="740" w:bottom="740" w:left="80" w:header="552" w:footer="559" w:gutter="0"/>
          <w:cols w:space="720"/>
        </w:sectPr>
      </w:pPr>
    </w:p>
    <w:p w14:paraId="603FE514" w14:textId="77777777" w:rsidR="009C36E3" w:rsidRDefault="000E7207">
      <w:pPr>
        <w:pStyle w:val="BodyText"/>
        <w:spacing w:before="91"/>
        <w:ind w:right="133"/>
      </w:pPr>
      <w:r>
        <w:t xml:space="preserve">VAWC victims to give evidence, and provided incidental support to the Vanuatu National Victims' Rights Charter </w:t>
      </w:r>
      <w:hyperlink w:anchor="_bookmark28" w:history="1">
        <w:r>
          <w:rPr>
            <w:position w:val="6"/>
            <w:sz w:val="13"/>
          </w:rPr>
          <w:t>17</w:t>
        </w:r>
      </w:hyperlink>
      <w:r>
        <w:t>where</w:t>
      </w:r>
      <w:r>
        <w:rPr>
          <w:spacing w:val="-1"/>
        </w:rPr>
        <w:t xml:space="preserve"> </w:t>
      </w:r>
      <w:r>
        <w:t>women</w:t>
      </w:r>
      <w:r>
        <w:rPr>
          <w:spacing w:val="-3"/>
        </w:rPr>
        <w:t xml:space="preserve"> </w:t>
      </w:r>
      <w:r>
        <w:t>continue</w:t>
      </w:r>
      <w:r>
        <w:rPr>
          <w:spacing w:val="-1"/>
        </w:rPr>
        <w:t xml:space="preserve"> </w:t>
      </w:r>
      <w:r>
        <w:t>to</w:t>
      </w:r>
      <w:r>
        <w:rPr>
          <w:spacing w:val="-3"/>
        </w:rPr>
        <w:t xml:space="preserve"> </w:t>
      </w:r>
      <w:r>
        <w:t>be</w:t>
      </w:r>
      <w:r>
        <w:rPr>
          <w:spacing w:val="-3"/>
        </w:rPr>
        <w:t xml:space="preserve"> </w:t>
      </w:r>
      <w:r>
        <w:t>the</w:t>
      </w:r>
      <w:r>
        <w:rPr>
          <w:spacing w:val="-1"/>
        </w:rPr>
        <w:t xml:space="preserve"> </w:t>
      </w:r>
      <w:r>
        <w:t>largest</w:t>
      </w:r>
      <w:r>
        <w:rPr>
          <w:spacing w:val="-3"/>
        </w:rPr>
        <w:t xml:space="preserve"> </w:t>
      </w:r>
      <w:r>
        <w:t>proportion</w:t>
      </w:r>
      <w:r>
        <w:rPr>
          <w:spacing w:val="-1"/>
        </w:rPr>
        <w:t xml:space="preserve"> </w:t>
      </w:r>
      <w:r>
        <w:t>of</w:t>
      </w:r>
      <w:r>
        <w:rPr>
          <w:spacing w:val="-3"/>
        </w:rPr>
        <w:t xml:space="preserve"> </w:t>
      </w:r>
      <w:r>
        <w:t>victims</w:t>
      </w:r>
      <w:r>
        <w:rPr>
          <w:spacing w:val="-2"/>
        </w:rPr>
        <w:t xml:space="preserve"> </w:t>
      </w:r>
      <w:r>
        <w:t>across</w:t>
      </w:r>
      <w:r>
        <w:rPr>
          <w:spacing w:val="-2"/>
        </w:rPr>
        <w:t xml:space="preserve"> </w:t>
      </w:r>
      <w:r>
        <w:t>all</w:t>
      </w:r>
      <w:r>
        <w:rPr>
          <w:spacing w:val="-2"/>
        </w:rPr>
        <w:t xml:space="preserve"> </w:t>
      </w:r>
      <w:r>
        <w:t>incidents.</w:t>
      </w:r>
      <w:r>
        <w:rPr>
          <w:spacing w:val="-2"/>
        </w:rPr>
        <w:t xml:space="preserve"> </w:t>
      </w:r>
      <w:r>
        <w:t>A</w:t>
      </w:r>
      <w:r>
        <w:rPr>
          <w:spacing w:val="-4"/>
        </w:rPr>
        <w:t xml:space="preserve"> </w:t>
      </w:r>
      <w:r>
        <w:t>duty</w:t>
      </w:r>
      <w:r>
        <w:rPr>
          <w:spacing w:val="-2"/>
        </w:rPr>
        <w:t xml:space="preserve"> </w:t>
      </w:r>
      <w:r>
        <w:t>lawyer</w:t>
      </w:r>
      <w:r>
        <w:rPr>
          <w:spacing w:val="-2"/>
        </w:rPr>
        <w:t xml:space="preserve"> </w:t>
      </w:r>
      <w:r>
        <w:t>service</w:t>
      </w:r>
      <w:r>
        <w:rPr>
          <w:spacing w:val="-1"/>
        </w:rPr>
        <w:t xml:space="preserve"> </w:t>
      </w:r>
      <w:r>
        <w:t>has</w:t>
      </w:r>
      <w:r>
        <w:rPr>
          <w:spacing w:val="-2"/>
        </w:rPr>
        <w:t xml:space="preserve"> </w:t>
      </w:r>
      <w:r>
        <w:t>been implemented at PSO as a result of the VAPJP-supported Business Planning Retreat and advocacy by the Adviser to the Public Solicitor’s Office (VAPJP, 2023c). The Public Solicitor reports that their VAPJP adviser has greatly improved communication between PSO and police, something they have been attempting for a very long time.</w:t>
      </w:r>
    </w:p>
    <w:p w14:paraId="0E442648" w14:textId="77777777" w:rsidR="009C36E3" w:rsidRDefault="000E7207">
      <w:pPr>
        <w:pStyle w:val="BodyText"/>
      </w:pPr>
      <w:r>
        <w:t>Advisors in the Office of the Public Prosecutor (OPP) and PSO have enabled improved connections between respective</w:t>
      </w:r>
      <w:r>
        <w:rPr>
          <w:spacing w:val="-2"/>
        </w:rPr>
        <w:t xml:space="preserve"> </w:t>
      </w:r>
      <w:r>
        <w:t>Port</w:t>
      </w:r>
      <w:r>
        <w:rPr>
          <w:spacing w:val="-2"/>
        </w:rPr>
        <w:t xml:space="preserve"> </w:t>
      </w:r>
      <w:r>
        <w:t>Vila</w:t>
      </w:r>
      <w:r>
        <w:rPr>
          <w:spacing w:val="-4"/>
        </w:rPr>
        <w:t xml:space="preserve"> </w:t>
      </w:r>
      <w:r>
        <w:t>head</w:t>
      </w:r>
      <w:r>
        <w:rPr>
          <w:spacing w:val="-4"/>
        </w:rPr>
        <w:t xml:space="preserve"> </w:t>
      </w:r>
      <w:r>
        <w:t>office</w:t>
      </w:r>
      <w:r>
        <w:rPr>
          <w:spacing w:val="-4"/>
        </w:rPr>
        <w:t xml:space="preserve"> </w:t>
      </w:r>
      <w:r>
        <w:t>and</w:t>
      </w:r>
      <w:r>
        <w:rPr>
          <w:spacing w:val="-4"/>
        </w:rPr>
        <w:t xml:space="preserve"> </w:t>
      </w:r>
      <w:r>
        <w:t>provincial</w:t>
      </w:r>
      <w:r>
        <w:rPr>
          <w:spacing w:val="-2"/>
        </w:rPr>
        <w:t xml:space="preserve"> </w:t>
      </w:r>
      <w:r>
        <w:t>locations and</w:t>
      </w:r>
      <w:r>
        <w:rPr>
          <w:spacing w:val="-2"/>
        </w:rPr>
        <w:t xml:space="preserve"> </w:t>
      </w:r>
      <w:r>
        <w:t>provided</w:t>
      </w:r>
      <w:r>
        <w:rPr>
          <w:spacing w:val="-2"/>
        </w:rPr>
        <w:t xml:space="preserve"> </w:t>
      </w:r>
      <w:r>
        <w:t>intensive</w:t>
      </w:r>
      <w:r>
        <w:rPr>
          <w:spacing w:val="-4"/>
        </w:rPr>
        <w:t xml:space="preserve"> </w:t>
      </w:r>
      <w:r>
        <w:t>support</w:t>
      </w:r>
      <w:r>
        <w:rPr>
          <w:spacing w:val="-4"/>
        </w:rPr>
        <w:t xml:space="preserve"> </w:t>
      </w:r>
      <w:r>
        <w:t>during</w:t>
      </w:r>
      <w:r>
        <w:rPr>
          <w:spacing w:val="-2"/>
        </w:rPr>
        <w:t xml:space="preserve"> </w:t>
      </w:r>
      <w:r>
        <w:t>Supreme</w:t>
      </w:r>
      <w:r>
        <w:rPr>
          <w:spacing w:val="-4"/>
        </w:rPr>
        <w:t xml:space="preserve"> </w:t>
      </w:r>
      <w:r>
        <w:t>Court Circuits. There is an increased engagement of Chiefs within the program.</w:t>
      </w:r>
    </w:p>
    <w:p w14:paraId="677D4EDA" w14:textId="77777777" w:rsidR="009C36E3" w:rsidRDefault="000E7207">
      <w:pPr>
        <w:pStyle w:val="BodyText"/>
        <w:spacing w:before="121"/>
      </w:pPr>
      <w:r>
        <w:t>The CA2J stream extends and contributes to an improved reach of policing and justice agencies through cross- agency</w:t>
      </w:r>
      <w:r>
        <w:rPr>
          <w:spacing w:val="-2"/>
        </w:rPr>
        <w:t xml:space="preserve"> </w:t>
      </w:r>
      <w:r>
        <w:t>support</w:t>
      </w:r>
      <w:r>
        <w:rPr>
          <w:spacing w:val="-3"/>
        </w:rPr>
        <w:t xml:space="preserve"> </w:t>
      </w:r>
      <w:r>
        <w:t>to</w:t>
      </w:r>
      <w:r>
        <w:rPr>
          <w:spacing w:val="-3"/>
        </w:rPr>
        <w:t xml:space="preserve"> </w:t>
      </w:r>
      <w:r>
        <w:t>chiefs</w:t>
      </w:r>
      <w:r>
        <w:rPr>
          <w:spacing w:val="-2"/>
        </w:rPr>
        <w:t xml:space="preserve"> </w:t>
      </w:r>
      <w:r>
        <w:t>and</w:t>
      </w:r>
      <w:r>
        <w:rPr>
          <w:spacing w:val="-3"/>
        </w:rPr>
        <w:t xml:space="preserve"> </w:t>
      </w:r>
      <w:r>
        <w:t>facilitating</w:t>
      </w:r>
      <w:r>
        <w:rPr>
          <w:spacing w:val="-3"/>
        </w:rPr>
        <w:t xml:space="preserve"> </w:t>
      </w:r>
      <w:r>
        <w:t>strengthened</w:t>
      </w:r>
      <w:r>
        <w:rPr>
          <w:spacing w:val="-3"/>
        </w:rPr>
        <w:t xml:space="preserve"> </w:t>
      </w:r>
      <w:r>
        <w:t>links</w:t>
      </w:r>
      <w:r>
        <w:rPr>
          <w:spacing w:val="-2"/>
        </w:rPr>
        <w:t xml:space="preserve"> </w:t>
      </w:r>
      <w:r>
        <w:t>between</w:t>
      </w:r>
      <w:r>
        <w:rPr>
          <w:spacing w:val="-3"/>
        </w:rPr>
        <w:t xml:space="preserve"> </w:t>
      </w:r>
      <w:r>
        <w:t>formal</w:t>
      </w:r>
      <w:r>
        <w:rPr>
          <w:spacing w:val="-4"/>
        </w:rPr>
        <w:t xml:space="preserve"> </w:t>
      </w:r>
      <w:r>
        <w:t>and</w:t>
      </w:r>
      <w:r>
        <w:rPr>
          <w:spacing w:val="-3"/>
        </w:rPr>
        <w:t xml:space="preserve"> </w:t>
      </w:r>
      <w:r>
        <w:t>traditional</w:t>
      </w:r>
      <w:r>
        <w:rPr>
          <w:spacing w:val="-4"/>
        </w:rPr>
        <w:t xml:space="preserve"> </w:t>
      </w:r>
      <w:r>
        <w:t>justice</w:t>
      </w:r>
      <w:r>
        <w:rPr>
          <w:spacing w:val="-2"/>
        </w:rPr>
        <w:t xml:space="preserve"> </w:t>
      </w:r>
      <w:r>
        <w:t>systems</w:t>
      </w:r>
      <w:r>
        <w:rPr>
          <w:spacing w:val="-2"/>
        </w:rPr>
        <w:t xml:space="preserve"> </w:t>
      </w:r>
      <w:r>
        <w:t>including through community legal awareness and training, and roll out of the AP program to Santo and Malekula.</w:t>
      </w:r>
    </w:p>
    <w:p w14:paraId="4D46F1F6" w14:textId="77777777" w:rsidR="009C36E3" w:rsidRDefault="000E7207">
      <w:pPr>
        <w:pStyle w:val="BodyText"/>
        <w:spacing w:before="119"/>
        <w:ind w:right="145"/>
      </w:pPr>
      <w:r>
        <w:t>The CA2J work will be key moving forward. Despite VAPJP driving an increase in people having contact with</w:t>
      </w:r>
      <w:r>
        <w:rPr>
          <w:spacing w:val="40"/>
        </w:rPr>
        <w:t xml:space="preserve"> </w:t>
      </w:r>
      <w:r>
        <w:t>formal policing and justice agencies, in many areas Kastom continues to be the most accessible form of justice. This is confirmed by the findings of the PJSS which found that 70.3% of respondents said they would contact the chief first to seek help in the case of domestic violence, with only 12.9% selecting the police. The study notes this may</w:t>
      </w:r>
      <w:r>
        <w:rPr>
          <w:spacing w:val="-3"/>
        </w:rPr>
        <w:t xml:space="preserve"> </w:t>
      </w:r>
      <w:r>
        <w:t>be</w:t>
      </w:r>
      <w:r>
        <w:rPr>
          <w:spacing w:val="-2"/>
        </w:rPr>
        <w:t xml:space="preserve"> </w:t>
      </w:r>
      <w:r>
        <w:t>partly</w:t>
      </w:r>
      <w:r>
        <w:rPr>
          <w:spacing w:val="-3"/>
        </w:rPr>
        <w:t xml:space="preserve"> </w:t>
      </w:r>
      <w:r>
        <w:t>due</w:t>
      </w:r>
      <w:r>
        <w:rPr>
          <w:spacing w:val="-2"/>
        </w:rPr>
        <w:t xml:space="preserve"> </w:t>
      </w:r>
      <w:r>
        <w:t>to</w:t>
      </w:r>
      <w:r>
        <w:rPr>
          <w:spacing w:val="-2"/>
        </w:rPr>
        <w:t xml:space="preserve"> </w:t>
      </w:r>
      <w:r>
        <w:t>difficulties</w:t>
      </w:r>
      <w:r>
        <w:rPr>
          <w:spacing w:val="-3"/>
        </w:rPr>
        <w:t xml:space="preserve"> </w:t>
      </w:r>
      <w:r>
        <w:t>with</w:t>
      </w:r>
      <w:r>
        <w:rPr>
          <w:spacing w:val="-2"/>
        </w:rPr>
        <w:t xml:space="preserve"> </w:t>
      </w:r>
      <w:r>
        <w:t>accessing</w:t>
      </w:r>
      <w:r>
        <w:rPr>
          <w:spacing w:val="-4"/>
        </w:rPr>
        <w:t xml:space="preserve"> </w:t>
      </w:r>
      <w:r>
        <w:t>police,</w:t>
      </w:r>
      <w:r>
        <w:rPr>
          <w:spacing w:val="-2"/>
        </w:rPr>
        <w:t xml:space="preserve"> </w:t>
      </w:r>
      <w:r>
        <w:t>as</w:t>
      </w:r>
      <w:r>
        <w:rPr>
          <w:spacing w:val="-3"/>
        </w:rPr>
        <w:t xml:space="preserve"> </w:t>
      </w:r>
      <w:r>
        <w:t>well</w:t>
      </w:r>
      <w:r>
        <w:rPr>
          <w:spacing w:val="-5"/>
        </w:rPr>
        <w:t xml:space="preserve"> </w:t>
      </w:r>
      <w:r>
        <w:t>as</w:t>
      </w:r>
      <w:r>
        <w:rPr>
          <w:spacing w:val="-3"/>
        </w:rPr>
        <w:t xml:space="preserve"> </w:t>
      </w:r>
      <w:r>
        <w:t>reflecting</w:t>
      </w:r>
      <w:r>
        <w:rPr>
          <w:spacing w:val="-2"/>
        </w:rPr>
        <w:t xml:space="preserve"> </w:t>
      </w:r>
      <w:r>
        <w:t>that</w:t>
      </w:r>
      <w:r>
        <w:rPr>
          <w:spacing w:val="-2"/>
        </w:rPr>
        <w:t xml:space="preserve"> </w:t>
      </w:r>
      <w:r>
        <w:t>many</w:t>
      </w:r>
      <w:r>
        <w:rPr>
          <w:spacing w:val="-3"/>
        </w:rPr>
        <w:t xml:space="preserve"> </w:t>
      </w:r>
      <w:r>
        <w:t>incidents</w:t>
      </w:r>
      <w:r>
        <w:rPr>
          <w:spacing w:val="-3"/>
        </w:rPr>
        <w:t xml:space="preserve"> </w:t>
      </w:r>
      <w:r>
        <w:t>of</w:t>
      </w:r>
      <w:r>
        <w:rPr>
          <w:spacing w:val="-2"/>
        </w:rPr>
        <w:t xml:space="preserve"> </w:t>
      </w:r>
      <w:r>
        <w:t>domestic</w:t>
      </w:r>
      <w:r>
        <w:rPr>
          <w:spacing w:val="-3"/>
        </w:rPr>
        <w:t xml:space="preserve"> </w:t>
      </w:r>
      <w:r>
        <w:t xml:space="preserve">violence continue to be viewed as a household or family problem that should be dealt with locally, and not by outside/state intervention. Very few respondents or participants had direct experience of the formal justice sector; 93.8% of survey respondents had no contact with any of the listed justice services in the past 12 months (Putt and Dinnen, </w:t>
      </w:r>
      <w:r>
        <w:rPr>
          <w:spacing w:val="-2"/>
        </w:rPr>
        <w:t>2023).</w:t>
      </w:r>
    </w:p>
    <w:p w14:paraId="35BD525E" w14:textId="77777777" w:rsidR="009C36E3" w:rsidRDefault="000E7207">
      <w:pPr>
        <w:pStyle w:val="BodyText"/>
        <w:spacing w:before="122"/>
        <w:ind w:right="120"/>
      </w:pPr>
      <w:r>
        <w:t>The AP program is an important, well-regarded initiative which is prescribed through the Family Protection Act. It is the key contact point for communities to access essential access to justice services in situations of VAWC. The AP Program</w:t>
      </w:r>
      <w:r>
        <w:rPr>
          <w:spacing w:val="-3"/>
        </w:rPr>
        <w:t xml:space="preserve"> </w:t>
      </w:r>
      <w:r>
        <w:t>is increasingly</w:t>
      </w:r>
      <w:r>
        <w:rPr>
          <w:spacing w:val="-2"/>
        </w:rPr>
        <w:t xml:space="preserve"> </w:t>
      </w:r>
      <w:r>
        <w:t>respected</w:t>
      </w:r>
      <w:r>
        <w:rPr>
          <w:spacing w:val="-1"/>
        </w:rPr>
        <w:t xml:space="preserve"> </w:t>
      </w:r>
      <w:r>
        <w:t>by</w:t>
      </w:r>
      <w:r>
        <w:rPr>
          <w:spacing w:val="-2"/>
        </w:rPr>
        <w:t xml:space="preserve"> </w:t>
      </w:r>
      <w:r>
        <w:t>communities,</w:t>
      </w:r>
      <w:r>
        <w:rPr>
          <w:spacing w:val="-3"/>
        </w:rPr>
        <w:t xml:space="preserve"> </w:t>
      </w:r>
      <w:r>
        <w:t>police,</w:t>
      </w:r>
      <w:r>
        <w:rPr>
          <w:spacing w:val="-3"/>
        </w:rPr>
        <w:t xml:space="preserve"> </w:t>
      </w:r>
      <w:r>
        <w:t>chiefs</w:t>
      </w:r>
      <w:r>
        <w:rPr>
          <w:spacing w:val="-2"/>
        </w:rPr>
        <w:t xml:space="preserve"> </w:t>
      </w:r>
      <w:r>
        <w:t>and</w:t>
      </w:r>
      <w:r>
        <w:rPr>
          <w:spacing w:val="-3"/>
        </w:rPr>
        <w:t xml:space="preserve"> </w:t>
      </w:r>
      <w:r>
        <w:t>the</w:t>
      </w:r>
      <w:r>
        <w:rPr>
          <w:spacing w:val="-3"/>
        </w:rPr>
        <w:t xml:space="preserve"> </w:t>
      </w:r>
      <w:r>
        <w:t>justice</w:t>
      </w:r>
      <w:r>
        <w:rPr>
          <w:spacing w:val="-3"/>
        </w:rPr>
        <w:t xml:space="preserve"> </w:t>
      </w:r>
      <w:r>
        <w:t>sector</w:t>
      </w:r>
      <w:r>
        <w:rPr>
          <w:spacing w:val="-2"/>
        </w:rPr>
        <w:t xml:space="preserve"> </w:t>
      </w:r>
      <w:r>
        <w:t>as</w:t>
      </w:r>
      <w:r>
        <w:rPr>
          <w:spacing w:val="-2"/>
        </w:rPr>
        <w:t xml:space="preserve"> </w:t>
      </w:r>
      <w:r>
        <w:t>a</w:t>
      </w:r>
      <w:r>
        <w:rPr>
          <w:spacing w:val="-3"/>
        </w:rPr>
        <w:t xml:space="preserve"> </w:t>
      </w:r>
      <w:r>
        <w:t>whole.</w:t>
      </w:r>
      <w:r>
        <w:rPr>
          <w:spacing w:val="-3"/>
        </w:rPr>
        <w:t xml:space="preserve"> </w:t>
      </w:r>
      <w:r>
        <w:t>Unfortunately,</w:t>
      </w:r>
      <w:r>
        <w:rPr>
          <w:spacing w:val="-1"/>
        </w:rPr>
        <w:t xml:space="preserve"> </w:t>
      </w:r>
      <w:r>
        <w:t>it has not yet been possible for the planned hand over of management of the AP program to GoV. There have been detailed high level discussions on options for the AP program to be situated with the Chief Justice rather than the Department of Women’s Affairs, with payments to facilitate AP work remaining with the program. Whereas the AP program operates in Santo and Malekula, victim support services are provided in Port Vila by a Victim Support Officer (VSO) through the OPP. The VPF continues to advance investigational deployments and crime prevention awareness in support of police rotations with the AP program, often to areas that have never previously received police support.</w:t>
      </w:r>
    </w:p>
    <w:p w14:paraId="3B0DBE7C" w14:textId="77777777" w:rsidR="009C36E3" w:rsidRDefault="000E7207">
      <w:pPr>
        <w:pStyle w:val="Heading7"/>
        <w:spacing w:before="120"/>
      </w:pPr>
      <w:r>
        <w:t>Sector</w:t>
      </w:r>
      <w:r>
        <w:rPr>
          <w:spacing w:val="-9"/>
        </w:rPr>
        <w:t xml:space="preserve"> </w:t>
      </w:r>
      <w:r>
        <w:rPr>
          <w:spacing w:val="-2"/>
        </w:rPr>
        <w:t>coordination</w:t>
      </w:r>
    </w:p>
    <w:p w14:paraId="195168D3" w14:textId="77777777" w:rsidR="009C36E3" w:rsidRDefault="000E7207">
      <w:pPr>
        <w:pStyle w:val="BodyText"/>
        <w:spacing w:before="120"/>
        <w:ind w:right="133"/>
      </w:pPr>
      <w:r>
        <w:t>The challenges at the sector coordination level have been noted above. While there were a number of initiatives that occurred</w:t>
      </w:r>
      <w:r>
        <w:rPr>
          <w:spacing w:val="-2"/>
        </w:rPr>
        <w:t xml:space="preserve"> </w:t>
      </w:r>
      <w:r>
        <w:t>across</w:t>
      </w:r>
      <w:r>
        <w:rPr>
          <w:spacing w:val="-1"/>
        </w:rPr>
        <w:t xml:space="preserve"> </w:t>
      </w:r>
      <w:r>
        <w:t>policing</w:t>
      </w:r>
      <w:r>
        <w:rPr>
          <w:spacing w:val="-2"/>
        </w:rPr>
        <w:t xml:space="preserve"> </w:t>
      </w:r>
      <w:r>
        <w:t>and</w:t>
      </w:r>
      <w:r>
        <w:rPr>
          <w:spacing w:val="-2"/>
        </w:rPr>
        <w:t xml:space="preserve"> </w:t>
      </w:r>
      <w:r>
        <w:t>various justice</w:t>
      </w:r>
      <w:r>
        <w:rPr>
          <w:spacing w:val="-2"/>
        </w:rPr>
        <w:t xml:space="preserve"> </w:t>
      </w:r>
      <w:r>
        <w:t>agencies,</w:t>
      </w:r>
      <w:r>
        <w:rPr>
          <w:spacing w:val="-2"/>
        </w:rPr>
        <w:t xml:space="preserve"> </w:t>
      </w:r>
      <w:r>
        <w:t>there</w:t>
      </w:r>
      <w:r>
        <w:rPr>
          <w:spacing w:val="-2"/>
        </w:rPr>
        <w:t xml:space="preserve"> </w:t>
      </w:r>
      <w:r>
        <w:t>is limited evidence</w:t>
      </w:r>
      <w:r>
        <w:rPr>
          <w:spacing w:val="-2"/>
        </w:rPr>
        <w:t xml:space="preserve"> </w:t>
      </w:r>
      <w:r>
        <w:t>of</w:t>
      </w:r>
      <w:r>
        <w:rPr>
          <w:spacing w:val="-2"/>
        </w:rPr>
        <w:t xml:space="preserve"> </w:t>
      </w:r>
      <w:r>
        <w:t>the maintenance of a</w:t>
      </w:r>
      <w:r>
        <w:rPr>
          <w:spacing w:val="-1"/>
        </w:rPr>
        <w:t xml:space="preserve"> </w:t>
      </w:r>
      <w:r>
        <w:t>‘chain- of-justice’.</w:t>
      </w:r>
      <w:r>
        <w:rPr>
          <w:spacing w:val="-3"/>
        </w:rPr>
        <w:t xml:space="preserve"> </w:t>
      </w:r>
      <w:r>
        <w:t>This</w:t>
      </w:r>
      <w:r>
        <w:rPr>
          <w:spacing w:val="-2"/>
        </w:rPr>
        <w:t xml:space="preserve"> </w:t>
      </w:r>
      <w:r>
        <w:t>is in</w:t>
      </w:r>
      <w:r>
        <w:rPr>
          <w:spacing w:val="-1"/>
        </w:rPr>
        <w:t xml:space="preserve"> </w:t>
      </w:r>
      <w:r>
        <w:t>part</w:t>
      </w:r>
      <w:r>
        <w:rPr>
          <w:spacing w:val="-3"/>
        </w:rPr>
        <w:t xml:space="preserve"> </w:t>
      </w:r>
      <w:r>
        <w:t>due</w:t>
      </w:r>
      <w:r>
        <w:rPr>
          <w:spacing w:val="-3"/>
        </w:rPr>
        <w:t xml:space="preserve"> </w:t>
      </w:r>
      <w:r>
        <w:t>to</w:t>
      </w:r>
      <w:r>
        <w:rPr>
          <w:spacing w:val="-1"/>
        </w:rPr>
        <w:t xml:space="preserve"> </w:t>
      </w:r>
      <w:r>
        <w:t>a</w:t>
      </w:r>
      <w:r>
        <w:rPr>
          <w:spacing w:val="-3"/>
        </w:rPr>
        <w:t xml:space="preserve"> </w:t>
      </w:r>
      <w:r>
        <w:t>lack</w:t>
      </w:r>
      <w:r>
        <w:rPr>
          <w:spacing w:val="-2"/>
        </w:rPr>
        <w:t xml:space="preserve"> </w:t>
      </w:r>
      <w:r>
        <w:t>of</w:t>
      </w:r>
      <w:r>
        <w:rPr>
          <w:spacing w:val="-3"/>
        </w:rPr>
        <w:t xml:space="preserve"> </w:t>
      </w:r>
      <w:r>
        <w:t>data</w:t>
      </w:r>
      <w:r>
        <w:rPr>
          <w:spacing w:val="-3"/>
        </w:rPr>
        <w:t xml:space="preserve"> </w:t>
      </w:r>
      <w:r>
        <w:t>due</w:t>
      </w:r>
      <w:r>
        <w:rPr>
          <w:spacing w:val="-3"/>
        </w:rPr>
        <w:t xml:space="preserve"> </w:t>
      </w:r>
      <w:r>
        <w:t>to</w:t>
      </w:r>
      <w:r>
        <w:rPr>
          <w:spacing w:val="-3"/>
        </w:rPr>
        <w:t xml:space="preserve"> </w:t>
      </w:r>
      <w:r>
        <w:t>the</w:t>
      </w:r>
      <w:r>
        <w:rPr>
          <w:spacing w:val="-3"/>
        </w:rPr>
        <w:t xml:space="preserve"> </w:t>
      </w:r>
      <w:r>
        <w:t>ongoing</w:t>
      </w:r>
      <w:r>
        <w:rPr>
          <w:spacing w:val="-3"/>
        </w:rPr>
        <w:t xml:space="preserve"> </w:t>
      </w:r>
      <w:r>
        <w:t>challenges</w:t>
      </w:r>
      <w:r>
        <w:rPr>
          <w:spacing w:val="-2"/>
        </w:rPr>
        <w:t xml:space="preserve"> </w:t>
      </w:r>
      <w:r>
        <w:t>with</w:t>
      </w:r>
      <w:r>
        <w:rPr>
          <w:spacing w:val="-1"/>
        </w:rPr>
        <w:t xml:space="preserve"> </w:t>
      </w:r>
      <w:r>
        <w:t>data</w:t>
      </w:r>
      <w:r>
        <w:rPr>
          <w:spacing w:val="-3"/>
        </w:rPr>
        <w:t xml:space="preserve"> </w:t>
      </w:r>
      <w:r>
        <w:t>recovery</w:t>
      </w:r>
      <w:r>
        <w:rPr>
          <w:spacing w:val="-2"/>
        </w:rPr>
        <w:t xml:space="preserve"> </w:t>
      </w:r>
      <w:r>
        <w:t>for</w:t>
      </w:r>
      <w:r>
        <w:rPr>
          <w:spacing w:val="-2"/>
        </w:rPr>
        <w:t xml:space="preserve"> </w:t>
      </w:r>
      <w:r>
        <w:t>PIMS</w:t>
      </w:r>
      <w:r>
        <w:rPr>
          <w:spacing w:val="-1"/>
        </w:rPr>
        <w:t xml:space="preserve"> </w:t>
      </w:r>
      <w:r>
        <w:t>and</w:t>
      </w:r>
      <w:r>
        <w:rPr>
          <w:spacing w:val="-1"/>
        </w:rPr>
        <w:t xml:space="preserve"> </w:t>
      </w:r>
      <w:r>
        <w:t>CMS, and unavailability of CMS data from the courts at the time of the MTR in country mission.</w:t>
      </w:r>
    </w:p>
    <w:p w14:paraId="632F2EF5" w14:textId="77777777" w:rsidR="009C36E3" w:rsidRDefault="000E7207">
      <w:pPr>
        <w:pStyle w:val="Heading7"/>
        <w:spacing w:before="120"/>
      </w:pPr>
      <w:r>
        <w:t>Women,</w:t>
      </w:r>
      <w:r>
        <w:rPr>
          <w:spacing w:val="-6"/>
        </w:rPr>
        <w:t xml:space="preserve"> </w:t>
      </w:r>
      <w:r>
        <w:t>children,</w:t>
      </w:r>
      <w:r>
        <w:rPr>
          <w:spacing w:val="-8"/>
        </w:rPr>
        <w:t xml:space="preserve"> </w:t>
      </w:r>
      <w:r>
        <w:t>youth</w:t>
      </w:r>
      <w:r>
        <w:rPr>
          <w:spacing w:val="-7"/>
        </w:rPr>
        <w:t xml:space="preserve"> </w:t>
      </w:r>
      <w:r>
        <w:t>and</w:t>
      </w:r>
      <w:r>
        <w:rPr>
          <w:spacing w:val="-7"/>
        </w:rPr>
        <w:t xml:space="preserve"> </w:t>
      </w:r>
      <w:r>
        <w:t>people</w:t>
      </w:r>
      <w:r>
        <w:rPr>
          <w:spacing w:val="-7"/>
        </w:rPr>
        <w:t xml:space="preserve"> </w:t>
      </w:r>
      <w:r>
        <w:t>with</w:t>
      </w:r>
      <w:r>
        <w:rPr>
          <w:spacing w:val="-7"/>
        </w:rPr>
        <w:t xml:space="preserve"> </w:t>
      </w:r>
      <w:r>
        <w:rPr>
          <w:spacing w:val="-2"/>
        </w:rPr>
        <w:t>disabilities</w:t>
      </w:r>
    </w:p>
    <w:p w14:paraId="242951B6" w14:textId="77777777" w:rsidR="009C36E3" w:rsidRDefault="000E7207">
      <w:pPr>
        <w:pStyle w:val="BodyText"/>
        <w:spacing w:before="120"/>
        <w:ind w:right="167"/>
      </w:pPr>
      <w:r>
        <w:t>VAPJP is enhancing services for persons with disabilities in the provinces, noting that this is an area that has had very</w:t>
      </w:r>
      <w:r>
        <w:rPr>
          <w:spacing w:val="-3"/>
        </w:rPr>
        <w:t xml:space="preserve"> </w:t>
      </w:r>
      <w:r>
        <w:t>little</w:t>
      </w:r>
      <w:r>
        <w:rPr>
          <w:spacing w:val="-4"/>
        </w:rPr>
        <w:t xml:space="preserve"> </w:t>
      </w:r>
      <w:r>
        <w:t>resources</w:t>
      </w:r>
      <w:r>
        <w:rPr>
          <w:spacing w:val="-3"/>
        </w:rPr>
        <w:t xml:space="preserve"> </w:t>
      </w:r>
      <w:r>
        <w:t>or</w:t>
      </w:r>
      <w:r>
        <w:rPr>
          <w:spacing w:val="-1"/>
        </w:rPr>
        <w:t xml:space="preserve"> </w:t>
      </w:r>
      <w:r>
        <w:t>attention</w:t>
      </w:r>
      <w:r>
        <w:rPr>
          <w:spacing w:val="-4"/>
        </w:rPr>
        <w:t xml:space="preserve"> </w:t>
      </w:r>
      <w:r>
        <w:t>in</w:t>
      </w:r>
      <w:r>
        <w:rPr>
          <w:spacing w:val="-4"/>
        </w:rPr>
        <w:t xml:space="preserve"> </w:t>
      </w:r>
      <w:r>
        <w:t>Vanuatu</w:t>
      </w:r>
      <w:r>
        <w:rPr>
          <w:spacing w:val="-2"/>
        </w:rPr>
        <w:t xml:space="preserve"> </w:t>
      </w:r>
      <w:r>
        <w:t>overall.</w:t>
      </w:r>
      <w:r>
        <w:rPr>
          <w:spacing w:val="-4"/>
        </w:rPr>
        <w:t xml:space="preserve"> </w:t>
      </w:r>
      <w:r>
        <w:t>The</w:t>
      </w:r>
      <w:r>
        <w:rPr>
          <w:spacing w:val="-4"/>
        </w:rPr>
        <w:t xml:space="preserve"> </w:t>
      </w:r>
      <w:r>
        <w:t>Child</w:t>
      </w:r>
      <w:r>
        <w:rPr>
          <w:spacing w:val="-2"/>
        </w:rPr>
        <w:t xml:space="preserve"> </w:t>
      </w:r>
      <w:r>
        <w:t>and</w:t>
      </w:r>
      <w:r>
        <w:rPr>
          <w:spacing w:val="-4"/>
        </w:rPr>
        <w:t xml:space="preserve"> </w:t>
      </w:r>
      <w:r>
        <w:t>Disability</w:t>
      </w:r>
      <w:r>
        <w:rPr>
          <w:spacing w:val="-3"/>
        </w:rPr>
        <w:t xml:space="preserve"> </w:t>
      </w:r>
      <w:r>
        <w:t>desks</w:t>
      </w:r>
      <w:r>
        <w:rPr>
          <w:spacing w:val="-3"/>
        </w:rPr>
        <w:t xml:space="preserve"> </w:t>
      </w:r>
      <w:r>
        <w:t>within</w:t>
      </w:r>
      <w:r>
        <w:rPr>
          <w:spacing w:val="-2"/>
        </w:rPr>
        <w:t xml:space="preserve"> </w:t>
      </w:r>
      <w:r>
        <w:t>MJCS</w:t>
      </w:r>
      <w:r>
        <w:rPr>
          <w:spacing w:val="-2"/>
        </w:rPr>
        <w:t xml:space="preserve"> </w:t>
      </w:r>
      <w:r>
        <w:t>facilitated</w:t>
      </w:r>
      <w:r>
        <w:rPr>
          <w:spacing w:val="-2"/>
        </w:rPr>
        <w:t xml:space="preserve"> </w:t>
      </w:r>
      <w:r>
        <w:t>Vanuatu Society for People with Disabilities/ Vanuatu Disability Promotion and Advocacy Association (VSPD / VPDA) inclusive services training sessions. The training included APs, VPF officers and MJCS desk officers with funding and technical support provided through VAPJP. However, there continues to be limited internal MJCS expansion planning and budgeting for these desks and both remain reliant on development partner funding. The Family Protection Unit (FPU) has been supported to establish a child-friendly interview room in Port Vila which provides privacy for adults and children, and is reported to result in more comprehensive statements. There is enthusiasm for the initiative to be rolled out to other provinces. VAPJP has supported well-received child interview training. A number of respondents highlighted growing child protection issues when both parents leave to join labour mobility schemes, leaving children with limited supervision and care. The Child Desk Officer emphasised the need for coordination with the Department of Labour &amp; Employment Services, and noted VAPJP scoping of support to establishment of a suitable child desk database.</w:t>
      </w:r>
    </w:p>
    <w:p w14:paraId="60306B63" w14:textId="77777777" w:rsidR="009C36E3" w:rsidRDefault="000E7207">
      <w:pPr>
        <w:pStyle w:val="Heading7"/>
        <w:spacing w:before="122"/>
      </w:pPr>
      <w:r>
        <w:t>Infrastructure</w:t>
      </w:r>
      <w:r>
        <w:rPr>
          <w:spacing w:val="-11"/>
        </w:rPr>
        <w:t xml:space="preserve"> </w:t>
      </w:r>
      <w:r>
        <w:t>in</w:t>
      </w:r>
      <w:r>
        <w:rPr>
          <w:spacing w:val="-6"/>
        </w:rPr>
        <w:t xml:space="preserve"> </w:t>
      </w:r>
      <w:r>
        <w:t>support</w:t>
      </w:r>
      <w:r>
        <w:rPr>
          <w:spacing w:val="-6"/>
        </w:rPr>
        <w:t xml:space="preserve"> </w:t>
      </w:r>
      <w:r>
        <w:t>of</w:t>
      </w:r>
      <w:r>
        <w:rPr>
          <w:spacing w:val="-7"/>
        </w:rPr>
        <w:t xml:space="preserve"> </w:t>
      </w:r>
      <w:r>
        <w:t>reach</w:t>
      </w:r>
      <w:r>
        <w:rPr>
          <w:spacing w:val="-6"/>
        </w:rPr>
        <w:t xml:space="preserve"> </w:t>
      </w:r>
      <w:r>
        <w:t>and</w:t>
      </w:r>
      <w:r>
        <w:rPr>
          <w:spacing w:val="-7"/>
        </w:rPr>
        <w:t xml:space="preserve"> </w:t>
      </w:r>
      <w:r>
        <w:rPr>
          <w:spacing w:val="-2"/>
        </w:rPr>
        <w:t>quality</w:t>
      </w:r>
    </w:p>
    <w:p w14:paraId="3C949E9D" w14:textId="16D43DE3" w:rsidR="009C36E3" w:rsidRDefault="00855B34" w:rsidP="00F52468">
      <w:pPr>
        <w:pStyle w:val="BodyText"/>
        <w:spacing w:before="120" w:after="840"/>
        <w:ind w:right="352"/>
        <w:jc w:val="both"/>
      </w:pPr>
      <w:r>
        <w:rPr>
          <w:noProof/>
        </w:rPr>
        <mc:AlternateContent>
          <mc:Choice Requires="wps">
            <w:drawing>
              <wp:anchor distT="0" distB="0" distL="0" distR="0" simplePos="0" relativeHeight="251677696" behindDoc="1" locked="0" layoutInCell="1" allowOverlap="1" wp14:anchorId="1D79FDC0" wp14:editId="642DF6E1">
                <wp:simplePos x="0" y="0"/>
                <wp:positionH relativeFrom="page">
                  <wp:posOffset>540385</wp:posOffset>
                </wp:positionH>
                <wp:positionV relativeFrom="paragraph">
                  <wp:posOffset>933870</wp:posOffset>
                </wp:positionV>
                <wp:extent cx="1828800" cy="6350"/>
                <wp:effectExtent l="0" t="0" r="0" b="0"/>
                <wp:wrapTopAndBottom/>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4E247A" id="Graphic 39" o:spid="_x0000_s1026" alt="&quot;&quot;" style="position:absolute;margin-left:42.55pt;margin-top:73.55pt;width:2in;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" path="m1828800,l,,,6096r1828800,l1828800,xe" fillcolor="black" stroked="f">
                <v:path arrowok="t"/>
                <w10:wrap type="topAndBottom" anchorx="page"/>
              </v:shape>
            </w:pict>
          </mc:Fallback>
        </mc:AlternateContent>
      </w:r>
      <w:r w:rsidR="000E7207">
        <w:t>VAPJP is providing a significant level of infrastructure support as a means of strengthening reach and quality of services. However, the contribution these inputs are making to improvements in service delivery and access are not</w:t>
      </w:r>
      <w:r w:rsidR="000E7207">
        <w:rPr>
          <w:spacing w:val="-3"/>
        </w:rPr>
        <w:t xml:space="preserve"> </w:t>
      </w:r>
      <w:r w:rsidR="000E7207">
        <w:t>yet</w:t>
      </w:r>
      <w:r w:rsidR="000E7207">
        <w:rPr>
          <w:spacing w:val="-3"/>
        </w:rPr>
        <w:t xml:space="preserve"> </w:t>
      </w:r>
      <w:r w:rsidR="000E7207">
        <w:t>clear,</w:t>
      </w:r>
      <w:r w:rsidR="000E7207">
        <w:rPr>
          <w:spacing w:val="-1"/>
        </w:rPr>
        <w:t xml:space="preserve"> </w:t>
      </w:r>
      <w:r w:rsidR="000E7207">
        <w:t>and</w:t>
      </w:r>
      <w:r w:rsidR="000E7207">
        <w:rPr>
          <w:spacing w:val="-1"/>
        </w:rPr>
        <w:t xml:space="preserve"> </w:t>
      </w:r>
      <w:r w:rsidR="000E7207">
        <w:t>are</w:t>
      </w:r>
      <w:r w:rsidR="000E7207">
        <w:rPr>
          <w:spacing w:val="-1"/>
        </w:rPr>
        <w:t xml:space="preserve"> </w:t>
      </w:r>
      <w:r w:rsidR="000E7207">
        <w:t>likely</w:t>
      </w:r>
      <w:r w:rsidR="000E7207">
        <w:rPr>
          <w:spacing w:val="-2"/>
        </w:rPr>
        <w:t xml:space="preserve"> </w:t>
      </w:r>
      <w:r w:rsidR="000E7207">
        <w:t>compromised</w:t>
      </w:r>
      <w:r w:rsidR="000E7207">
        <w:rPr>
          <w:spacing w:val="-1"/>
        </w:rPr>
        <w:t xml:space="preserve"> </w:t>
      </w:r>
      <w:r w:rsidR="000E7207">
        <w:t>by</w:t>
      </w:r>
      <w:r w:rsidR="000E7207">
        <w:rPr>
          <w:spacing w:val="-2"/>
        </w:rPr>
        <w:t xml:space="preserve"> </w:t>
      </w:r>
      <w:r w:rsidR="000E7207">
        <w:t>insufficient</w:t>
      </w:r>
      <w:r w:rsidR="000E7207">
        <w:rPr>
          <w:spacing w:val="-3"/>
        </w:rPr>
        <w:t xml:space="preserve"> </w:t>
      </w:r>
      <w:r w:rsidR="000E7207">
        <w:t>long-term</w:t>
      </w:r>
      <w:r w:rsidR="000E7207">
        <w:rPr>
          <w:spacing w:val="-3"/>
        </w:rPr>
        <w:t xml:space="preserve"> </w:t>
      </w:r>
      <w:r w:rsidR="000E7207">
        <w:t>sector-wide</w:t>
      </w:r>
      <w:r w:rsidR="000E7207">
        <w:rPr>
          <w:spacing w:val="-3"/>
        </w:rPr>
        <w:t xml:space="preserve"> </w:t>
      </w:r>
      <w:r w:rsidR="000E7207">
        <w:t>planning</w:t>
      </w:r>
      <w:r w:rsidR="000E7207">
        <w:rPr>
          <w:spacing w:val="-3"/>
        </w:rPr>
        <w:t xml:space="preserve"> </w:t>
      </w:r>
      <w:r w:rsidR="000E7207">
        <w:t>on</w:t>
      </w:r>
      <w:r w:rsidR="000E7207">
        <w:rPr>
          <w:spacing w:val="-3"/>
        </w:rPr>
        <w:t xml:space="preserve"> </w:t>
      </w:r>
      <w:r w:rsidR="000E7207">
        <w:t>the</w:t>
      </w:r>
      <w:r w:rsidR="000E7207">
        <w:rPr>
          <w:spacing w:val="-3"/>
        </w:rPr>
        <w:t xml:space="preserve"> </w:t>
      </w:r>
      <w:r w:rsidR="000E7207">
        <w:t>utilisation</w:t>
      </w:r>
      <w:r w:rsidR="000E7207">
        <w:rPr>
          <w:spacing w:val="-1"/>
        </w:rPr>
        <w:t xml:space="preserve"> </w:t>
      </w:r>
      <w:r w:rsidR="000E7207">
        <w:t>of</w:t>
      </w:r>
      <w:r w:rsidR="000E7207">
        <w:rPr>
          <w:spacing w:val="-3"/>
        </w:rPr>
        <w:t xml:space="preserve"> </w:t>
      </w:r>
      <w:r w:rsidR="000E7207">
        <w:t>these</w:t>
      </w:r>
    </w:p>
    <w:p w14:paraId="09A2098D" w14:textId="36091E18" w:rsidR="009C36E3" w:rsidRPr="00855B34" w:rsidRDefault="000E7207" w:rsidP="00AA4991">
      <w:pPr>
        <w:pStyle w:val="BodyText"/>
        <w:spacing w:before="194"/>
        <w:rPr>
          <w:sz w:val="18"/>
          <w:szCs w:val="18"/>
        </w:rPr>
      </w:pPr>
      <w:bookmarkStart w:id="38" w:name="_bookmark28"/>
      <w:bookmarkEnd w:id="38"/>
      <w:r>
        <w:rPr>
          <w:position w:val="6"/>
          <w:sz w:val="13"/>
        </w:rPr>
        <w:t>17</w:t>
      </w:r>
      <w:r>
        <w:rPr>
          <w:spacing w:val="24"/>
          <w:position w:val="6"/>
          <w:sz w:val="13"/>
        </w:rPr>
        <w:t xml:space="preserve"> </w:t>
      </w:r>
      <w:r w:rsidRPr="00855B34">
        <w:rPr>
          <w:sz w:val="18"/>
          <w:szCs w:val="18"/>
        </w:rPr>
        <w:t>While the Vanuatu National Victims’ Rights Charter itself is funded by the Spotlight Initiative, UNDP &amp; EU; VAPJP</w:t>
      </w:r>
      <w:r w:rsidRPr="00855B34">
        <w:rPr>
          <w:spacing w:val="-2"/>
          <w:sz w:val="18"/>
          <w:szCs w:val="18"/>
        </w:rPr>
        <w:t xml:space="preserve"> </w:t>
      </w:r>
      <w:r w:rsidRPr="00855B34">
        <w:rPr>
          <w:sz w:val="18"/>
          <w:szCs w:val="18"/>
        </w:rPr>
        <w:t>provided</w:t>
      </w:r>
      <w:r w:rsidRPr="00855B34">
        <w:rPr>
          <w:spacing w:val="-4"/>
          <w:sz w:val="18"/>
          <w:szCs w:val="18"/>
        </w:rPr>
        <w:t xml:space="preserve"> </w:t>
      </w:r>
      <w:r w:rsidRPr="00855B34">
        <w:rPr>
          <w:sz w:val="18"/>
          <w:szCs w:val="18"/>
        </w:rPr>
        <w:t>technical</w:t>
      </w:r>
      <w:r w:rsidRPr="00855B34">
        <w:rPr>
          <w:spacing w:val="-3"/>
          <w:sz w:val="18"/>
          <w:szCs w:val="18"/>
        </w:rPr>
        <w:t xml:space="preserve"> </w:t>
      </w:r>
      <w:r w:rsidRPr="00855B34">
        <w:rPr>
          <w:sz w:val="18"/>
          <w:szCs w:val="18"/>
        </w:rPr>
        <w:t>support</w:t>
      </w:r>
      <w:r w:rsidRPr="00855B34">
        <w:rPr>
          <w:spacing w:val="-4"/>
          <w:sz w:val="18"/>
          <w:szCs w:val="18"/>
        </w:rPr>
        <w:t xml:space="preserve"> </w:t>
      </w:r>
      <w:r w:rsidRPr="00855B34">
        <w:rPr>
          <w:sz w:val="18"/>
          <w:szCs w:val="18"/>
        </w:rPr>
        <w:t>through</w:t>
      </w:r>
      <w:r w:rsidRPr="00855B34">
        <w:rPr>
          <w:spacing w:val="-4"/>
          <w:sz w:val="18"/>
          <w:szCs w:val="18"/>
        </w:rPr>
        <w:t xml:space="preserve"> </w:t>
      </w:r>
      <w:r w:rsidRPr="00855B34">
        <w:rPr>
          <w:sz w:val="18"/>
          <w:szCs w:val="18"/>
        </w:rPr>
        <w:t>the</w:t>
      </w:r>
      <w:r w:rsidRPr="00855B34">
        <w:rPr>
          <w:spacing w:val="-2"/>
          <w:sz w:val="18"/>
          <w:szCs w:val="18"/>
        </w:rPr>
        <w:t xml:space="preserve"> </w:t>
      </w:r>
      <w:r w:rsidRPr="00855B34">
        <w:rPr>
          <w:sz w:val="18"/>
          <w:szCs w:val="18"/>
        </w:rPr>
        <w:t>VAPJP</w:t>
      </w:r>
      <w:r w:rsidRPr="00855B34">
        <w:rPr>
          <w:spacing w:val="-2"/>
          <w:sz w:val="18"/>
          <w:szCs w:val="18"/>
        </w:rPr>
        <w:t xml:space="preserve"> </w:t>
      </w:r>
      <w:r w:rsidRPr="00855B34">
        <w:rPr>
          <w:sz w:val="18"/>
          <w:szCs w:val="18"/>
        </w:rPr>
        <w:t>Adviser</w:t>
      </w:r>
      <w:r w:rsidRPr="00855B34">
        <w:rPr>
          <w:spacing w:val="-1"/>
          <w:sz w:val="18"/>
          <w:szCs w:val="18"/>
        </w:rPr>
        <w:t xml:space="preserve"> </w:t>
      </w:r>
      <w:r w:rsidRPr="00855B34">
        <w:rPr>
          <w:sz w:val="18"/>
          <w:szCs w:val="18"/>
        </w:rPr>
        <w:t>in</w:t>
      </w:r>
      <w:r w:rsidRPr="00855B34">
        <w:rPr>
          <w:spacing w:val="-4"/>
          <w:sz w:val="18"/>
          <w:szCs w:val="18"/>
        </w:rPr>
        <w:t xml:space="preserve"> </w:t>
      </w:r>
      <w:r w:rsidRPr="00855B34">
        <w:rPr>
          <w:sz w:val="18"/>
          <w:szCs w:val="18"/>
        </w:rPr>
        <w:t>the</w:t>
      </w:r>
      <w:r w:rsidRPr="00855B34">
        <w:rPr>
          <w:spacing w:val="-4"/>
          <w:sz w:val="18"/>
          <w:szCs w:val="18"/>
        </w:rPr>
        <w:t xml:space="preserve"> </w:t>
      </w:r>
      <w:r w:rsidRPr="00855B34">
        <w:rPr>
          <w:sz w:val="18"/>
          <w:szCs w:val="18"/>
        </w:rPr>
        <w:t>OPP</w:t>
      </w:r>
      <w:r w:rsidRPr="00855B34">
        <w:rPr>
          <w:spacing w:val="-2"/>
          <w:sz w:val="18"/>
          <w:szCs w:val="18"/>
        </w:rPr>
        <w:t xml:space="preserve"> </w:t>
      </w:r>
      <w:r w:rsidRPr="00855B34">
        <w:rPr>
          <w:sz w:val="18"/>
          <w:szCs w:val="18"/>
        </w:rPr>
        <w:t>and</w:t>
      </w:r>
      <w:r w:rsidRPr="00855B34">
        <w:rPr>
          <w:spacing w:val="-2"/>
          <w:sz w:val="18"/>
          <w:szCs w:val="18"/>
        </w:rPr>
        <w:t xml:space="preserve"> </w:t>
      </w:r>
      <w:r w:rsidRPr="00855B34">
        <w:rPr>
          <w:sz w:val="18"/>
          <w:szCs w:val="18"/>
        </w:rPr>
        <w:t>the</w:t>
      </w:r>
      <w:r w:rsidRPr="00855B34">
        <w:rPr>
          <w:spacing w:val="-4"/>
          <w:sz w:val="18"/>
          <w:szCs w:val="18"/>
        </w:rPr>
        <w:t xml:space="preserve"> </w:t>
      </w:r>
      <w:r w:rsidRPr="00855B34">
        <w:rPr>
          <w:sz w:val="18"/>
          <w:szCs w:val="18"/>
        </w:rPr>
        <w:t>VAPJP</w:t>
      </w:r>
      <w:r w:rsidRPr="00855B34">
        <w:rPr>
          <w:spacing w:val="-5"/>
          <w:sz w:val="18"/>
          <w:szCs w:val="18"/>
        </w:rPr>
        <w:t xml:space="preserve"> </w:t>
      </w:r>
      <w:r w:rsidRPr="00855B34">
        <w:rPr>
          <w:sz w:val="18"/>
          <w:szCs w:val="18"/>
        </w:rPr>
        <w:t>Community Lead</w:t>
      </w:r>
      <w:r w:rsidRPr="00855B34">
        <w:rPr>
          <w:spacing w:val="-1"/>
          <w:sz w:val="18"/>
          <w:szCs w:val="18"/>
        </w:rPr>
        <w:t xml:space="preserve"> </w:t>
      </w:r>
      <w:r w:rsidRPr="00855B34">
        <w:rPr>
          <w:sz w:val="18"/>
          <w:szCs w:val="18"/>
        </w:rPr>
        <w:t>(Office of the Public Prosecutor et al.2023; VAPJP, 2023c).</w:t>
      </w:r>
    </w:p>
    <w:p w14:paraId="28551069" w14:textId="77777777" w:rsidR="009C36E3" w:rsidRDefault="009C36E3">
      <w:pPr>
        <w:sectPr w:rsidR="009C36E3">
          <w:pgSz w:w="11910" w:h="16850"/>
          <w:pgMar w:top="1040" w:right="740" w:bottom="740" w:left="80" w:header="552" w:footer="559" w:gutter="0"/>
          <w:cols w:space="720"/>
        </w:sectPr>
      </w:pPr>
    </w:p>
    <w:p w14:paraId="626349BC" w14:textId="77777777" w:rsidR="009C36E3" w:rsidRDefault="000E7207">
      <w:pPr>
        <w:pStyle w:val="BodyText"/>
        <w:spacing w:before="91"/>
        <w:ind w:left="772"/>
      </w:pPr>
      <w:r>
        <w:t>resources.</w:t>
      </w:r>
      <w:r>
        <w:rPr>
          <w:spacing w:val="-4"/>
        </w:rPr>
        <w:t xml:space="preserve"> </w:t>
      </w:r>
      <w:r>
        <w:t>The</w:t>
      </w:r>
      <w:r>
        <w:rPr>
          <w:spacing w:val="-4"/>
        </w:rPr>
        <w:t xml:space="preserve"> </w:t>
      </w:r>
      <w:r>
        <w:t>program</w:t>
      </w:r>
      <w:r>
        <w:rPr>
          <w:spacing w:val="-2"/>
        </w:rPr>
        <w:t xml:space="preserve"> </w:t>
      </w:r>
      <w:r>
        <w:t>has</w:t>
      </w:r>
      <w:r>
        <w:rPr>
          <w:spacing w:val="-3"/>
        </w:rPr>
        <w:t xml:space="preserve"> </w:t>
      </w:r>
      <w:r>
        <w:t>identified</w:t>
      </w:r>
      <w:r>
        <w:rPr>
          <w:spacing w:val="-2"/>
        </w:rPr>
        <w:t xml:space="preserve"> </w:t>
      </w:r>
      <w:r>
        <w:t>the</w:t>
      </w:r>
      <w:r>
        <w:rPr>
          <w:spacing w:val="-2"/>
        </w:rPr>
        <w:t xml:space="preserve"> </w:t>
      </w:r>
      <w:r>
        <w:t>need</w:t>
      </w:r>
      <w:r>
        <w:rPr>
          <w:spacing w:val="-4"/>
        </w:rPr>
        <w:t xml:space="preserve"> </w:t>
      </w:r>
      <w:r>
        <w:t>for</w:t>
      </w:r>
      <w:r>
        <w:rPr>
          <w:spacing w:val="-3"/>
        </w:rPr>
        <w:t xml:space="preserve"> </w:t>
      </w:r>
      <w:r>
        <w:t>a</w:t>
      </w:r>
      <w:r>
        <w:rPr>
          <w:spacing w:val="-2"/>
        </w:rPr>
        <w:t xml:space="preserve"> </w:t>
      </w:r>
      <w:r>
        <w:t>more</w:t>
      </w:r>
      <w:r>
        <w:rPr>
          <w:spacing w:val="-4"/>
        </w:rPr>
        <w:t xml:space="preserve"> </w:t>
      </w:r>
      <w:r>
        <w:t>effective</w:t>
      </w:r>
      <w:r>
        <w:rPr>
          <w:spacing w:val="-2"/>
        </w:rPr>
        <w:t xml:space="preserve"> </w:t>
      </w:r>
      <w:r>
        <w:t>and</w:t>
      </w:r>
      <w:r>
        <w:rPr>
          <w:spacing w:val="-4"/>
        </w:rPr>
        <w:t xml:space="preserve"> </w:t>
      </w:r>
      <w:r>
        <w:t>strategic</w:t>
      </w:r>
      <w:r>
        <w:rPr>
          <w:spacing w:val="-3"/>
        </w:rPr>
        <w:t xml:space="preserve"> </w:t>
      </w:r>
      <w:r>
        <w:t>approach</w:t>
      </w:r>
      <w:r>
        <w:rPr>
          <w:spacing w:val="-2"/>
        </w:rPr>
        <w:t xml:space="preserve"> </w:t>
      </w:r>
      <w:r>
        <w:t>to</w:t>
      </w:r>
      <w:r>
        <w:rPr>
          <w:spacing w:val="-2"/>
        </w:rPr>
        <w:t xml:space="preserve"> </w:t>
      </w:r>
      <w:r>
        <w:t>infrastructure</w:t>
      </w:r>
      <w:r>
        <w:rPr>
          <w:spacing w:val="-2"/>
        </w:rPr>
        <w:t xml:space="preserve"> </w:t>
      </w:r>
      <w:r>
        <w:t>but despite best efforts this has proved challenging, in part due to frequent changes in sector leadership.</w:t>
      </w:r>
    </w:p>
    <w:p w14:paraId="161096FA" w14:textId="77777777" w:rsidR="009C36E3" w:rsidRDefault="000E7207">
      <w:pPr>
        <w:pStyle w:val="BodyText"/>
        <w:spacing w:before="120"/>
        <w:ind w:right="142"/>
      </w:pPr>
      <w:r>
        <w:t>Infrastructure planned for or supported includes police posts in Sanma, Shefa and Tafea, a PSO Staff House (Malampa), fitout for an OPP Office (Tanna), an OPP Exhibit Storage (Port Vila), VPF Forensics Laboratory (Port Vila), PIMS Office refurbishment (Port Vila), Police Training College (PTC) Conference Room refurbishment (Port Vila), Criminal Investigation Department (CID) and FPU Office refurbishment; and a planned new Central Police Station for Port Vila. In 2023 VAPJP supported the rollout of infrastructure to Epi Island (Shefa) which provides the possibility of improving the reach and coordination of police and justice services, for the people of Epi and surrounding</w:t>
      </w:r>
      <w:r>
        <w:rPr>
          <w:spacing w:val="-2"/>
        </w:rPr>
        <w:t xml:space="preserve"> </w:t>
      </w:r>
      <w:r>
        <w:t>islands.</w:t>
      </w:r>
      <w:r>
        <w:rPr>
          <w:spacing w:val="-3"/>
        </w:rPr>
        <w:t xml:space="preserve"> </w:t>
      </w:r>
      <w:r>
        <w:t>The</w:t>
      </w:r>
      <w:r>
        <w:rPr>
          <w:spacing w:val="-3"/>
        </w:rPr>
        <w:t xml:space="preserve"> </w:t>
      </w:r>
      <w:r>
        <w:t>infrastructure</w:t>
      </w:r>
      <w:r>
        <w:rPr>
          <w:spacing w:val="-3"/>
        </w:rPr>
        <w:t xml:space="preserve"> </w:t>
      </w:r>
      <w:r>
        <w:t>includes</w:t>
      </w:r>
      <w:r>
        <w:rPr>
          <w:spacing w:val="-2"/>
        </w:rPr>
        <w:t xml:space="preserve"> </w:t>
      </w:r>
      <w:r>
        <w:t>a</w:t>
      </w:r>
      <w:r>
        <w:rPr>
          <w:spacing w:val="-3"/>
        </w:rPr>
        <w:t xml:space="preserve"> </w:t>
      </w:r>
      <w:r>
        <w:t>purpose-built,</w:t>
      </w:r>
      <w:r>
        <w:rPr>
          <w:spacing w:val="-3"/>
        </w:rPr>
        <w:t xml:space="preserve"> </w:t>
      </w:r>
      <w:r>
        <w:t>cyclone</w:t>
      </w:r>
      <w:r>
        <w:rPr>
          <w:spacing w:val="-3"/>
        </w:rPr>
        <w:t xml:space="preserve"> </w:t>
      </w:r>
      <w:r>
        <w:t>resistant,</w:t>
      </w:r>
      <w:r>
        <w:rPr>
          <w:spacing w:val="-2"/>
        </w:rPr>
        <w:t xml:space="preserve"> </w:t>
      </w:r>
      <w:r>
        <w:t>police</w:t>
      </w:r>
      <w:r>
        <w:rPr>
          <w:spacing w:val="-3"/>
        </w:rPr>
        <w:t xml:space="preserve"> </w:t>
      </w:r>
      <w:r>
        <w:t>station</w:t>
      </w:r>
      <w:r>
        <w:rPr>
          <w:spacing w:val="-3"/>
        </w:rPr>
        <w:t xml:space="preserve"> </w:t>
      </w:r>
      <w:r>
        <w:t>and</w:t>
      </w:r>
      <w:r>
        <w:rPr>
          <w:spacing w:val="-3"/>
        </w:rPr>
        <w:t xml:space="preserve"> </w:t>
      </w:r>
      <w:r>
        <w:t>court</w:t>
      </w:r>
      <w:r>
        <w:rPr>
          <w:spacing w:val="-2"/>
        </w:rPr>
        <w:t xml:space="preserve"> </w:t>
      </w:r>
      <w:r>
        <w:t>house.</w:t>
      </w:r>
      <w:r>
        <w:rPr>
          <w:spacing w:val="-3"/>
        </w:rPr>
        <w:t xml:space="preserve"> </w:t>
      </w:r>
      <w:r>
        <w:t>A solar</w:t>
      </w:r>
      <w:r>
        <w:rPr>
          <w:spacing w:val="-1"/>
        </w:rPr>
        <w:t xml:space="preserve"> </w:t>
      </w:r>
      <w:r>
        <w:t>power</w:t>
      </w:r>
      <w:r>
        <w:rPr>
          <w:spacing w:val="-1"/>
        </w:rPr>
        <w:t xml:space="preserve"> </w:t>
      </w:r>
      <w:r>
        <w:t>system</w:t>
      </w:r>
      <w:r>
        <w:rPr>
          <w:spacing w:val="-2"/>
        </w:rPr>
        <w:t xml:space="preserve"> </w:t>
      </w:r>
      <w:r>
        <w:t>for</w:t>
      </w:r>
      <w:r>
        <w:rPr>
          <w:spacing w:val="-1"/>
        </w:rPr>
        <w:t xml:space="preserve"> </w:t>
      </w:r>
      <w:r>
        <w:t>the police</w:t>
      </w:r>
      <w:r>
        <w:rPr>
          <w:spacing w:val="-2"/>
        </w:rPr>
        <w:t xml:space="preserve"> </w:t>
      </w:r>
      <w:r>
        <w:t>station was</w:t>
      </w:r>
      <w:r>
        <w:rPr>
          <w:spacing w:val="-1"/>
        </w:rPr>
        <w:t xml:space="preserve"> </w:t>
      </w:r>
      <w:r>
        <w:t>provided by</w:t>
      </w:r>
      <w:r>
        <w:rPr>
          <w:spacing w:val="-1"/>
        </w:rPr>
        <w:t xml:space="preserve"> </w:t>
      </w:r>
      <w:r>
        <w:t>the United Kingdom; and</w:t>
      </w:r>
      <w:r>
        <w:rPr>
          <w:spacing w:val="-2"/>
        </w:rPr>
        <w:t xml:space="preserve"> </w:t>
      </w:r>
      <w:r>
        <w:t>Kiwanis</w:t>
      </w:r>
      <w:r>
        <w:rPr>
          <w:spacing w:val="-1"/>
        </w:rPr>
        <w:t xml:space="preserve"> </w:t>
      </w:r>
      <w:r>
        <w:t>Port</w:t>
      </w:r>
      <w:r>
        <w:rPr>
          <w:spacing w:val="-2"/>
        </w:rPr>
        <w:t xml:space="preserve"> </w:t>
      </w:r>
      <w:r>
        <w:t>Vila</w:t>
      </w:r>
      <w:r>
        <w:rPr>
          <w:spacing w:val="-2"/>
        </w:rPr>
        <w:t xml:space="preserve"> </w:t>
      </w:r>
      <w:r>
        <w:t>supported</w:t>
      </w:r>
      <w:r>
        <w:rPr>
          <w:spacing w:val="-2"/>
        </w:rPr>
        <w:t xml:space="preserve"> </w:t>
      </w:r>
      <w:r>
        <w:t>the Vanuatu Mobile Force (VMF) to build an adjacent playground. However, it is understood that the court is yet to sit</w:t>
      </w:r>
      <w:r>
        <w:rPr>
          <w:spacing w:val="40"/>
        </w:rPr>
        <w:t xml:space="preserve"> </w:t>
      </w:r>
      <w:r>
        <w:t>in Epi, although the reasons for this were unclear. Additional infrastructure support was provided to the sector in response to TCs Judy and Kevin.</w:t>
      </w:r>
    </w:p>
    <w:p w14:paraId="157CBAF5" w14:textId="77777777" w:rsidR="009C36E3" w:rsidRDefault="000E7207">
      <w:pPr>
        <w:pStyle w:val="BodyText"/>
        <w:spacing w:before="121"/>
        <w:ind w:right="139"/>
      </w:pPr>
      <w:r>
        <w:t>The program has to date supported decentralisation to the provincial level although there is a clear expectation from</w:t>
      </w:r>
      <w:r>
        <w:rPr>
          <w:spacing w:val="-2"/>
        </w:rPr>
        <w:t xml:space="preserve"> </w:t>
      </w:r>
      <w:r>
        <w:t>GoV</w:t>
      </w:r>
      <w:r>
        <w:rPr>
          <w:spacing w:val="-3"/>
        </w:rPr>
        <w:t xml:space="preserve"> </w:t>
      </w:r>
      <w:r>
        <w:t>agencies</w:t>
      </w:r>
      <w:r>
        <w:rPr>
          <w:spacing w:val="-1"/>
        </w:rPr>
        <w:t xml:space="preserve"> </w:t>
      </w:r>
      <w:r>
        <w:t>that</w:t>
      </w:r>
      <w:r>
        <w:rPr>
          <w:spacing w:val="-2"/>
        </w:rPr>
        <w:t xml:space="preserve"> </w:t>
      </w:r>
      <w:r>
        <w:t>this</w:t>
      </w:r>
      <w:r>
        <w:rPr>
          <w:spacing w:val="-1"/>
        </w:rPr>
        <w:t xml:space="preserve"> </w:t>
      </w:r>
      <w:r>
        <w:t>will</w:t>
      </w:r>
      <w:r>
        <w:rPr>
          <w:spacing w:val="-3"/>
        </w:rPr>
        <w:t xml:space="preserve"> </w:t>
      </w:r>
      <w:r>
        <w:t>need</w:t>
      </w:r>
      <w:r>
        <w:rPr>
          <w:spacing w:val="-2"/>
        </w:rPr>
        <w:t xml:space="preserve"> </w:t>
      </w:r>
      <w:r>
        <w:t>to</w:t>
      </w:r>
      <w:r>
        <w:rPr>
          <w:spacing w:val="-2"/>
        </w:rPr>
        <w:t xml:space="preserve"> </w:t>
      </w:r>
      <w:r>
        <w:t>go</w:t>
      </w:r>
      <w:r>
        <w:rPr>
          <w:spacing w:val="-2"/>
        </w:rPr>
        <w:t xml:space="preserve"> </w:t>
      </w:r>
      <w:r>
        <w:t>down</w:t>
      </w:r>
      <w:r>
        <w:rPr>
          <w:spacing w:val="-2"/>
        </w:rPr>
        <w:t xml:space="preserve"> </w:t>
      </w:r>
      <w:r>
        <w:t>to</w:t>
      </w:r>
      <w:r>
        <w:rPr>
          <w:spacing w:val="-2"/>
        </w:rPr>
        <w:t xml:space="preserve"> </w:t>
      </w:r>
      <w:r>
        <w:t>the</w:t>
      </w:r>
      <w:r>
        <w:rPr>
          <w:spacing w:val="-2"/>
        </w:rPr>
        <w:t xml:space="preserve"> </w:t>
      </w:r>
      <w:r>
        <w:t>Area</w:t>
      </w:r>
      <w:r>
        <w:rPr>
          <w:spacing w:val="-2"/>
        </w:rPr>
        <w:t xml:space="preserve"> </w:t>
      </w:r>
      <w:r>
        <w:t>Council</w:t>
      </w:r>
      <w:r>
        <w:rPr>
          <w:spacing w:val="-3"/>
        </w:rPr>
        <w:t xml:space="preserve"> </w:t>
      </w:r>
      <w:r>
        <w:t>level,</w:t>
      </w:r>
      <w:r>
        <w:rPr>
          <w:spacing w:val="-2"/>
        </w:rPr>
        <w:t xml:space="preserve"> </w:t>
      </w:r>
      <w:r>
        <w:t>something</w:t>
      </w:r>
      <w:r>
        <w:rPr>
          <w:spacing w:val="-2"/>
        </w:rPr>
        <w:t xml:space="preserve"> </w:t>
      </w:r>
      <w:r>
        <w:t>that</w:t>
      </w:r>
      <w:r>
        <w:rPr>
          <w:spacing w:val="-2"/>
        </w:rPr>
        <w:t xml:space="preserve"> </w:t>
      </w:r>
      <w:r>
        <w:t>has</w:t>
      </w:r>
      <w:r>
        <w:rPr>
          <w:spacing w:val="-1"/>
        </w:rPr>
        <w:t xml:space="preserve"> </w:t>
      </w:r>
      <w:r>
        <w:t>not been</w:t>
      </w:r>
      <w:r>
        <w:rPr>
          <w:spacing w:val="-2"/>
        </w:rPr>
        <w:t xml:space="preserve"> </w:t>
      </w:r>
      <w:r>
        <w:t>committed to. The intention of the VPF to establish police posts in all 72 area councils</w:t>
      </w:r>
      <w:hyperlink w:anchor="_bookmark29" w:history="1">
        <w:r>
          <w:rPr>
            <w:position w:val="6"/>
            <w:sz w:val="13"/>
          </w:rPr>
          <w:t>18</w:t>
        </w:r>
      </w:hyperlink>
      <w:r>
        <w:rPr>
          <w:spacing w:val="23"/>
          <w:position w:val="6"/>
          <w:sz w:val="13"/>
        </w:rPr>
        <w:t xml:space="preserve"> </w:t>
      </w:r>
      <w:r>
        <w:t>raises a number of issues including the</w:t>
      </w:r>
      <w:r>
        <w:rPr>
          <w:spacing w:val="-3"/>
        </w:rPr>
        <w:t xml:space="preserve"> </w:t>
      </w:r>
      <w:r>
        <w:t>need</w:t>
      </w:r>
      <w:r>
        <w:rPr>
          <w:spacing w:val="-1"/>
        </w:rPr>
        <w:t xml:space="preserve"> </w:t>
      </w:r>
      <w:r>
        <w:t>to</w:t>
      </w:r>
      <w:r>
        <w:rPr>
          <w:spacing w:val="-1"/>
        </w:rPr>
        <w:t xml:space="preserve"> </w:t>
      </w:r>
      <w:r>
        <w:t>ensure</w:t>
      </w:r>
      <w:r>
        <w:rPr>
          <w:spacing w:val="-3"/>
        </w:rPr>
        <w:t xml:space="preserve"> </w:t>
      </w:r>
      <w:r>
        <w:t>that</w:t>
      </w:r>
      <w:r>
        <w:rPr>
          <w:spacing w:val="-3"/>
        </w:rPr>
        <w:t xml:space="preserve"> </w:t>
      </w:r>
      <w:r>
        <w:t>chosen</w:t>
      </w:r>
      <w:r>
        <w:rPr>
          <w:spacing w:val="-3"/>
        </w:rPr>
        <w:t xml:space="preserve"> </w:t>
      </w:r>
      <w:r>
        <w:t>locations</w:t>
      </w:r>
      <w:r>
        <w:rPr>
          <w:spacing w:val="-2"/>
        </w:rPr>
        <w:t xml:space="preserve"> </w:t>
      </w:r>
      <w:r>
        <w:t>warrant</w:t>
      </w:r>
      <w:r>
        <w:rPr>
          <w:spacing w:val="-1"/>
        </w:rPr>
        <w:t xml:space="preserve"> </w:t>
      </w:r>
      <w:r>
        <w:t>placement</w:t>
      </w:r>
      <w:r>
        <w:rPr>
          <w:spacing w:val="-1"/>
        </w:rPr>
        <w:t xml:space="preserve"> </w:t>
      </w:r>
      <w:r>
        <w:t>of</w:t>
      </w:r>
      <w:r>
        <w:rPr>
          <w:spacing w:val="-3"/>
        </w:rPr>
        <w:t xml:space="preserve"> </w:t>
      </w:r>
      <w:r>
        <w:t>police</w:t>
      </w:r>
      <w:r>
        <w:rPr>
          <w:spacing w:val="-3"/>
        </w:rPr>
        <w:t xml:space="preserve"> </w:t>
      </w:r>
      <w:r>
        <w:t>on</w:t>
      </w:r>
      <w:r>
        <w:rPr>
          <w:spacing w:val="-3"/>
        </w:rPr>
        <w:t xml:space="preserve"> </w:t>
      </w:r>
      <w:r>
        <w:t>a</w:t>
      </w:r>
      <w:r>
        <w:rPr>
          <w:spacing w:val="-1"/>
        </w:rPr>
        <w:t xml:space="preserve"> </w:t>
      </w:r>
      <w:r>
        <w:t>permanent</w:t>
      </w:r>
      <w:r>
        <w:rPr>
          <w:spacing w:val="-3"/>
        </w:rPr>
        <w:t xml:space="preserve"> </w:t>
      </w:r>
      <w:r>
        <w:t>basis,</w:t>
      </w:r>
      <w:r>
        <w:rPr>
          <w:spacing w:val="-3"/>
        </w:rPr>
        <w:t xml:space="preserve"> </w:t>
      </w:r>
      <w:r>
        <w:t>so</w:t>
      </w:r>
      <w:r>
        <w:rPr>
          <w:spacing w:val="-3"/>
        </w:rPr>
        <w:t xml:space="preserve"> </w:t>
      </w:r>
      <w:r>
        <w:t>that</w:t>
      </w:r>
      <w:r>
        <w:rPr>
          <w:spacing w:val="-1"/>
        </w:rPr>
        <w:t xml:space="preserve"> </w:t>
      </w:r>
      <w:r>
        <w:t>expenditure</w:t>
      </w:r>
      <w:r>
        <w:rPr>
          <w:spacing w:val="-3"/>
        </w:rPr>
        <w:t xml:space="preserve"> </w:t>
      </w:r>
      <w:r>
        <w:t>on a post and deployment of valuable personnel is not wasted, and an understanding that VPF are often reluctant to be deployed to a place where they don’t know anyone and there may be little to do. The VPF Organisational Performance Study (OPS) report makes a number of suggestions in relation to police posts including that the VPF ensure that the establishment of police posts is undertaken in strategic fashion, with the order in which posts are established being informed by clear criteria, and that VPF establish a schedule for the maintenance and repair of police posts (McLeod, 2022).</w:t>
      </w:r>
    </w:p>
    <w:p w14:paraId="6D1CFD14" w14:textId="77777777" w:rsidR="009C36E3" w:rsidRDefault="000E7207">
      <w:pPr>
        <w:pStyle w:val="BodyText"/>
        <w:spacing w:before="119"/>
        <w:ind w:right="178"/>
      </w:pPr>
      <w:r>
        <w:t>Choosing to establish police posts needs to be weighed up against the cost of efforts to respond from more centralised locations, and/or include the location in police rotations; and an awareness that police posts will not be able to provide the level of specialisation available in more centralised locations. The OPS report also notes that decentralisation through police posts poses an additional structural challenge as decision-making, and financial and</w:t>
      </w:r>
      <w:r>
        <w:rPr>
          <w:spacing w:val="-2"/>
        </w:rPr>
        <w:t xml:space="preserve"> </w:t>
      </w:r>
      <w:r>
        <w:t>human</w:t>
      </w:r>
      <w:r>
        <w:rPr>
          <w:spacing w:val="-4"/>
        </w:rPr>
        <w:t xml:space="preserve"> </w:t>
      </w:r>
      <w:r>
        <w:t>resources</w:t>
      </w:r>
      <w:r>
        <w:rPr>
          <w:spacing w:val="-3"/>
        </w:rPr>
        <w:t xml:space="preserve"> </w:t>
      </w:r>
      <w:r>
        <w:t>approvals</w:t>
      </w:r>
      <w:r>
        <w:rPr>
          <w:spacing w:val="-3"/>
        </w:rPr>
        <w:t xml:space="preserve"> </w:t>
      </w:r>
      <w:r>
        <w:t>are</w:t>
      </w:r>
      <w:r>
        <w:rPr>
          <w:spacing w:val="-4"/>
        </w:rPr>
        <w:t xml:space="preserve"> </w:t>
      </w:r>
      <w:r>
        <w:t>currently</w:t>
      </w:r>
      <w:r>
        <w:rPr>
          <w:spacing w:val="-3"/>
        </w:rPr>
        <w:t xml:space="preserve"> </w:t>
      </w:r>
      <w:r>
        <w:t>(in</w:t>
      </w:r>
      <w:r>
        <w:rPr>
          <w:spacing w:val="-4"/>
        </w:rPr>
        <w:t xml:space="preserve"> </w:t>
      </w:r>
      <w:r>
        <w:t>practice)</w:t>
      </w:r>
      <w:r>
        <w:rPr>
          <w:spacing w:val="-3"/>
        </w:rPr>
        <w:t xml:space="preserve"> </w:t>
      </w:r>
      <w:r>
        <w:t>concentrated</w:t>
      </w:r>
      <w:r>
        <w:rPr>
          <w:spacing w:val="-2"/>
        </w:rPr>
        <w:t xml:space="preserve"> </w:t>
      </w:r>
      <w:r>
        <w:t>at</w:t>
      </w:r>
      <w:r>
        <w:rPr>
          <w:spacing w:val="-4"/>
        </w:rPr>
        <w:t xml:space="preserve"> </w:t>
      </w:r>
      <w:r>
        <w:t>the</w:t>
      </w:r>
      <w:r>
        <w:rPr>
          <w:spacing w:val="-4"/>
        </w:rPr>
        <w:t xml:space="preserve"> </w:t>
      </w:r>
      <w:r>
        <w:t>rank</w:t>
      </w:r>
      <w:r>
        <w:rPr>
          <w:spacing w:val="-3"/>
        </w:rPr>
        <w:t xml:space="preserve"> </w:t>
      </w:r>
      <w:r>
        <w:t>of</w:t>
      </w:r>
      <w:r>
        <w:rPr>
          <w:spacing w:val="-4"/>
        </w:rPr>
        <w:t xml:space="preserve"> </w:t>
      </w:r>
      <w:r>
        <w:t>Assistant</w:t>
      </w:r>
      <w:r>
        <w:rPr>
          <w:spacing w:val="-4"/>
        </w:rPr>
        <w:t xml:space="preserve"> </w:t>
      </w:r>
      <w:r>
        <w:t>Commissioner</w:t>
      </w:r>
      <w:r>
        <w:rPr>
          <w:spacing w:val="-3"/>
        </w:rPr>
        <w:t xml:space="preserve"> </w:t>
      </w:r>
      <w:r>
        <w:t>and above, rendering the delivery of services to the people slow and unresponsive (McLeod, 2022).</w:t>
      </w:r>
    </w:p>
    <w:p w14:paraId="0C25CB53" w14:textId="77777777" w:rsidR="009C36E3" w:rsidRDefault="000E7207">
      <w:pPr>
        <w:pStyle w:val="BodyText"/>
        <w:spacing w:before="121"/>
        <w:ind w:right="157"/>
      </w:pPr>
      <w:r>
        <w:t>VAPJP have identified the need for</w:t>
      </w:r>
      <w:r>
        <w:rPr>
          <w:spacing w:val="40"/>
        </w:rPr>
        <w:t xml:space="preserve"> </w:t>
      </w:r>
      <w:r>
        <w:t>establishment of sector Infrastructure Working Groups for analysis and planning, assisting police and justice sectors to map existing infrastructure, supporting the police and justice sectors to revise and update the Policing and Justice Sector Infrastructure Priorities Plan 2017 – 2022 and assisting</w:t>
      </w:r>
      <w:r>
        <w:rPr>
          <w:spacing w:val="-2"/>
        </w:rPr>
        <w:t xml:space="preserve"> </w:t>
      </w:r>
      <w:r>
        <w:t>DFAT</w:t>
      </w:r>
      <w:r>
        <w:rPr>
          <w:spacing w:val="-3"/>
        </w:rPr>
        <w:t xml:space="preserve"> </w:t>
      </w:r>
      <w:r>
        <w:t>to</w:t>
      </w:r>
      <w:r>
        <w:rPr>
          <w:spacing w:val="-4"/>
        </w:rPr>
        <w:t xml:space="preserve"> </w:t>
      </w:r>
      <w:r>
        <w:t>develop</w:t>
      </w:r>
      <w:r>
        <w:rPr>
          <w:spacing w:val="-2"/>
        </w:rPr>
        <w:t xml:space="preserve"> </w:t>
      </w:r>
      <w:r>
        <w:t>a</w:t>
      </w:r>
      <w:r>
        <w:rPr>
          <w:spacing w:val="-4"/>
        </w:rPr>
        <w:t xml:space="preserve"> </w:t>
      </w:r>
      <w:r>
        <w:t>guideline</w:t>
      </w:r>
      <w:r>
        <w:rPr>
          <w:spacing w:val="-4"/>
        </w:rPr>
        <w:t xml:space="preserve"> </w:t>
      </w:r>
      <w:r>
        <w:t>for</w:t>
      </w:r>
      <w:r>
        <w:rPr>
          <w:spacing w:val="-3"/>
        </w:rPr>
        <w:t xml:space="preserve"> </w:t>
      </w:r>
      <w:r>
        <w:t>eligible</w:t>
      </w:r>
      <w:r>
        <w:rPr>
          <w:spacing w:val="-2"/>
        </w:rPr>
        <w:t xml:space="preserve"> </w:t>
      </w:r>
      <w:r>
        <w:t>infrastructure</w:t>
      </w:r>
      <w:r>
        <w:rPr>
          <w:spacing w:val="-4"/>
        </w:rPr>
        <w:t xml:space="preserve"> </w:t>
      </w:r>
      <w:r>
        <w:t>projects,</w:t>
      </w:r>
      <w:r>
        <w:rPr>
          <w:spacing w:val="-4"/>
        </w:rPr>
        <w:t xml:space="preserve"> </w:t>
      </w:r>
      <w:r>
        <w:t>including</w:t>
      </w:r>
      <w:r>
        <w:rPr>
          <w:spacing w:val="-2"/>
        </w:rPr>
        <w:t xml:space="preserve"> </w:t>
      </w:r>
      <w:r>
        <w:t>an</w:t>
      </w:r>
      <w:r>
        <w:rPr>
          <w:spacing w:val="-4"/>
        </w:rPr>
        <w:t xml:space="preserve"> </w:t>
      </w:r>
      <w:r>
        <w:t>assessment</w:t>
      </w:r>
      <w:r>
        <w:rPr>
          <w:spacing w:val="-4"/>
        </w:rPr>
        <w:t xml:space="preserve"> </w:t>
      </w:r>
      <w:r>
        <w:t>of</w:t>
      </w:r>
      <w:r>
        <w:rPr>
          <w:spacing w:val="-2"/>
        </w:rPr>
        <w:t xml:space="preserve"> </w:t>
      </w:r>
      <w:r>
        <w:t>the</w:t>
      </w:r>
      <w:r>
        <w:rPr>
          <w:spacing w:val="-4"/>
        </w:rPr>
        <w:t xml:space="preserve"> </w:t>
      </w:r>
      <w:r>
        <w:t>capacity</w:t>
      </w:r>
      <w:r>
        <w:rPr>
          <w:spacing w:val="-3"/>
        </w:rPr>
        <w:t xml:space="preserve"> </w:t>
      </w:r>
      <w:r>
        <w:t>of GoV to maintain assets, together with sustainability and climate change considerations (VAPJP, 2023c).</w:t>
      </w:r>
    </w:p>
    <w:p w14:paraId="20F5E7BA" w14:textId="77777777" w:rsidR="009C36E3" w:rsidRDefault="000E7207">
      <w:pPr>
        <w:pStyle w:val="Heading7"/>
        <w:spacing w:before="122"/>
      </w:pPr>
      <w:r>
        <w:t>The</w:t>
      </w:r>
      <w:r>
        <w:rPr>
          <w:spacing w:val="-7"/>
        </w:rPr>
        <w:t xml:space="preserve"> </w:t>
      </w:r>
      <w:r>
        <w:t>role</w:t>
      </w:r>
      <w:r>
        <w:rPr>
          <w:spacing w:val="-6"/>
        </w:rPr>
        <w:t xml:space="preserve"> </w:t>
      </w:r>
      <w:r>
        <w:t>of</w:t>
      </w:r>
      <w:r>
        <w:rPr>
          <w:spacing w:val="-6"/>
        </w:rPr>
        <w:t xml:space="preserve"> </w:t>
      </w:r>
      <w:r>
        <w:t>community</w:t>
      </w:r>
      <w:r>
        <w:rPr>
          <w:spacing w:val="-6"/>
        </w:rPr>
        <w:t xml:space="preserve"> </w:t>
      </w:r>
      <w:r>
        <w:rPr>
          <w:spacing w:val="-2"/>
        </w:rPr>
        <w:t>grants</w:t>
      </w:r>
    </w:p>
    <w:p w14:paraId="14C7835E" w14:textId="77777777" w:rsidR="009C36E3" w:rsidRDefault="000E7207">
      <w:pPr>
        <w:pStyle w:val="BodyText"/>
        <w:spacing w:before="118"/>
        <w:ind w:right="120"/>
      </w:pPr>
      <w:r>
        <w:t>In a new phase there are opportunities for a more purposeful community Grants program, that could improve the reach,</w:t>
      </w:r>
      <w:r>
        <w:rPr>
          <w:spacing w:val="-2"/>
        </w:rPr>
        <w:t xml:space="preserve"> </w:t>
      </w:r>
      <w:r>
        <w:t>quality</w:t>
      </w:r>
      <w:r>
        <w:rPr>
          <w:spacing w:val="-1"/>
        </w:rPr>
        <w:t xml:space="preserve"> </w:t>
      </w:r>
      <w:r>
        <w:t>and</w:t>
      </w:r>
      <w:r>
        <w:rPr>
          <w:spacing w:val="-2"/>
        </w:rPr>
        <w:t xml:space="preserve"> </w:t>
      </w:r>
      <w:r>
        <w:t>sustainability</w:t>
      </w:r>
      <w:r>
        <w:rPr>
          <w:spacing w:val="-1"/>
        </w:rPr>
        <w:t xml:space="preserve"> </w:t>
      </w:r>
      <w:r>
        <w:t>of the program, although</w:t>
      </w:r>
      <w:r>
        <w:rPr>
          <w:spacing w:val="-2"/>
        </w:rPr>
        <w:t xml:space="preserve"> </w:t>
      </w:r>
      <w:r>
        <w:t>to be</w:t>
      </w:r>
      <w:r>
        <w:rPr>
          <w:spacing w:val="-2"/>
        </w:rPr>
        <w:t xml:space="preserve"> </w:t>
      </w:r>
      <w:r>
        <w:t>successful it would likely</w:t>
      </w:r>
      <w:r>
        <w:rPr>
          <w:spacing w:val="-1"/>
        </w:rPr>
        <w:t xml:space="preserve"> </w:t>
      </w:r>
      <w:r>
        <w:t>need</w:t>
      </w:r>
      <w:r>
        <w:rPr>
          <w:spacing w:val="-2"/>
        </w:rPr>
        <w:t xml:space="preserve"> </w:t>
      </w:r>
      <w:r>
        <w:t>to</w:t>
      </w:r>
      <w:r>
        <w:rPr>
          <w:spacing w:val="-2"/>
        </w:rPr>
        <w:t xml:space="preserve"> </w:t>
      </w:r>
      <w:r>
        <w:t>have an integrated accompaniment approach to strengthen organisational capacity; as well as adequate resources within the program to</w:t>
      </w:r>
      <w:r>
        <w:rPr>
          <w:spacing w:val="-4"/>
        </w:rPr>
        <w:t xml:space="preserve"> </w:t>
      </w:r>
      <w:r>
        <w:t>provide</w:t>
      </w:r>
      <w:r>
        <w:rPr>
          <w:spacing w:val="-4"/>
        </w:rPr>
        <w:t xml:space="preserve"> </w:t>
      </w:r>
      <w:r>
        <w:t>oversight</w:t>
      </w:r>
      <w:r>
        <w:rPr>
          <w:spacing w:val="-2"/>
        </w:rPr>
        <w:t xml:space="preserve"> </w:t>
      </w:r>
      <w:r>
        <w:t>and</w:t>
      </w:r>
      <w:r>
        <w:rPr>
          <w:spacing w:val="-4"/>
        </w:rPr>
        <w:t xml:space="preserve"> </w:t>
      </w:r>
      <w:r>
        <w:t>quality</w:t>
      </w:r>
      <w:r>
        <w:rPr>
          <w:spacing w:val="-3"/>
        </w:rPr>
        <w:t xml:space="preserve"> </w:t>
      </w:r>
      <w:r>
        <w:t>assurance</w:t>
      </w:r>
      <w:r>
        <w:rPr>
          <w:spacing w:val="-4"/>
        </w:rPr>
        <w:t xml:space="preserve"> </w:t>
      </w:r>
      <w:r>
        <w:t>for</w:t>
      </w:r>
      <w:r>
        <w:rPr>
          <w:spacing w:val="-3"/>
        </w:rPr>
        <w:t xml:space="preserve"> </w:t>
      </w:r>
      <w:r>
        <w:t>the</w:t>
      </w:r>
      <w:r>
        <w:rPr>
          <w:spacing w:val="-2"/>
        </w:rPr>
        <w:t xml:space="preserve"> </w:t>
      </w:r>
      <w:r>
        <w:t>work</w:t>
      </w:r>
      <w:r>
        <w:rPr>
          <w:spacing w:val="-3"/>
        </w:rPr>
        <w:t xml:space="preserve"> </w:t>
      </w:r>
      <w:r>
        <w:t>being</w:t>
      </w:r>
      <w:r>
        <w:rPr>
          <w:spacing w:val="-2"/>
        </w:rPr>
        <w:t xml:space="preserve"> </w:t>
      </w:r>
      <w:r>
        <w:t>undertaken.</w:t>
      </w:r>
      <w:r>
        <w:rPr>
          <w:spacing w:val="-2"/>
        </w:rPr>
        <w:t xml:space="preserve"> </w:t>
      </w:r>
      <w:r>
        <w:t>The</w:t>
      </w:r>
      <w:r>
        <w:rPr>
          <w:spacing w:val="-1"/>
        </w:rPr>
        <w:t xml:space="preserve"> </w:t>
      </w:r>
      <w:r>
        <w:t>2020</w:t>
      </w:r>
      <w:r>
        <w:rPr>
          <w:spacing w:val="-4"/>
        </w:rPr>
        <w:t xml:space="preserve"> </w:t>
      </w:r>
      <w:r>
        <w:t>Design</w:t>
      </w:r>
      <w:r>
        <w:rPr>
          <w:spacing w:val="-4"/>
        </w:rPr>
        <w:t xml:space="preserve"> </w:t>
      </w:r>
      <w:r>
        <w:t>Update</w:t>
      </w:r>
      <w:r>
        <w:rPr>
          <w:spacing w:val="-4"/>
        </w:rPr>
        <w:t xml:space="preserve"> </w:t>
      </w:r>
      <w:r>
        <w:t>anticipated</w:t>
      </w:r>
      <w:r>
        <w:rPr>
          <w:spacing w:val="-4"/>
        </w:rPr>
        <w:t xml:space="preserve"> </w:t>
      </w:r>
      <w:r>
        <w:t xml:space="preserve">that grants would be made available to external organisations (non-government organisations - NGOs, community- based organisations -CBOs and others) to support the intended outcomes of the CA2J component and EOPOs (VAPJP, 2020). During Phase 2 grants have been made to VSPD, World Vision Vanuatu for </w:t>
      </w:r>
      <w:r>
        <w:rPr>
          <w:i/>
        </w:rPr>
        <w:t xml:space="preserve">Men Be the Change </w:t>
      </w:r>
      <w:r>
        <w:t>program, and to Vanuatu Women’s Centre (VWC) for provision of a vehicle (VAPJP, 2023a). However, in 2023, limitations on budget have restricted Grant funding to the provision of funding support to VSPD, whose project activities in Community Based Rehabilitation (CBR) are important, but do not have strong ties to VAPJP EOPOs.</w:t>
      </w:r>
    </w:p>
    <w:p w14:paraId="45077AD9" w14:textId="7FDC217B" w:rsidR="009C36E3" w:rsidRDefault="00D220AA" w:rsidP="00D220AA">
      <w:pPr>
        <w:pStyle w:val="BodyText"/>
        <w:spacing w:before="120" w:after="1680"/>
        <w:ind w:right="164"/>
      </w:pPr>
      <w:r>
        <w:rPr>
          <w:noProof/>
        </w:rPr>
        <mc:AlternateContent>
          <mc:Choice Requires="wps">
            <w:drawing>
              <wp:anchor distT="0" distB="0" distL="0" distR="0" simplePos="0" relativeHeight="251678720" behindDoc="1" locked="0" layoutInCell="1" allowOverlap="1" wp14:anchorId="1C8CD021" wp14:editId="6EBD1AAC">
                <wp:simplePos x="0" y="0"/>
                <wp:positionH relativeFrom="page">
                  <wp:posOffset>554355</wp:posOffset>
                </wp:positionH>
                <wp:positionV relativeFrom="paragraph">
                  <wp:posOffset>2077935</wp:posOffset>
                </wp:positionV>
                <wp:extent cx="1828800" cy="6350"/>
                <wp:effectExtent l="0" t="0" r="0" b="0"/>
                <wp:wrapTopAndBottom/>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7A7742" id="Graphic 40" o:spid="_x0000_s1026" alt="&quot;&quot;" style="position:absolute;margin-left:43.65pt;margin-top:163.6pt;width:2in;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" path="m1828800,l,,,6096r1828800,l1828800,xe" fillcolor="black" stroked="f">
                <v:path arrowok="t"/>
                <w10:wrap type="topAndBottom" anchorx="page"/>
              </v:shape>
            </w:pict>
          </mc:Fallback>
        </mc:AlternateContent>
      </w:r>
      <w:r w:rsidR="000E7207">
        <w:t>The Update noted that “the range and scale of NGOs and CBOs operating in Vanuatu with experience and capability relevant to the policing and justice sectors is relatively limited” (VAPJP, 2020). For this reason, in a new phase a Grants program could beneficially integrate an accompaniment approach to strengthen capacity of partners, and provide increased resources within the program itself for oversight and quality assurance. Well- developed</w:t>
      </w:r>
      <w:r w:rsidR="000E7207">
        <w:rPr>
          <w:spacing w:val="-4"/>
        </w:rPr>
        <w:t xml:space="preserve"> </w:t>
      </w:r>
      <w:r w:rsidR="000E7207">
        <w:t>examples</w:t>
      </w:r>
      <w:r w:rsidR="000E7207">
        <w:rPr>
          <w:spacing w:val="-3"/>
        </w:rPr>
        <w:t xml:space="preserve"> </w:t>
      </w:r>
      <w:r w:rsidR="000E7207">
        <w:t>of</w:t>
      </w:r>
      <w:r w:rsidR="000E7207">
        <w:rPr>
          <w:spacing w:val="-4"/>
        </w:rPr>
        <w:t xml:space="preserve"> </w:t>
      </w:r>
      <w:r w:rsidR="000E7207">
        <w:t>this can</w:t>
      </w:r>
      <w:r w:rsidR="000E7207">
        <w:rPr>
          <w:spacing w:val="-4"/>
        </w:rPr>
        <w:t xml:space="preserve"> </w:t>
      </w:r>
      <w:r w:rsidR="000E7207">
        <w:t>be</w:t>
      </w:r>
      <w:r w:rsidR="000E7207">
        <w:rPr>
          <w:spacing w:val="-2"/>
        </w:rPr>
        <w:t xml:space="preserve"> </w:t>
      </w:r>
      <w:r w:rsidR="000E7207">
        <w:t>found</w:t>
      </w:r>
      <w:r w:rsidR="000E7207">
        <w:rPr>
          <w:spacing w:val="-2"/>
        </w:rPr>
        <w:t xml:space="preserve"> </w:t>
      </w:r>
      <w:r w:rsidR="000E7207">
        <w:t>in</w:t>
      </w:r>
      <w:r w:rsidR="000E7207">
        <w:rPr>
          <w:spacing w:val="-4"/>
        </w:rPr>
        <w:t xml:space="preserve"> </w:t>
      </w:r>
      <w:r w:rsidR="000E7207">
        <w:t>the</w:t>
      </w:r>
      <w:r w:rsidR="000E7207">
        <w:rPr>
          <w:spacing w:val="-4"/>
        </w:rPr>
        <w:t xml:space="preserve"> </w:t>
      </w:r>
      <w:r w:rsidR="000E7207">
        <w:t>DFAT-funded</w:t>
      </w:r>
      <w:r w:rsidR="000E7207">
        <w:rPr>
          <w:spacing w:val="-4"/>
        </w:rPr>
        <w:t xml:space="preserve"> </w:t>
      </w:r>
      <w:r w:rsidR="000E7207">
        <w:t>Nabilan</w:t>
      </w:r>
      <w:r w:rsidR="000E7207">
        <w:rPr>
          <w:spacing w:val="-4"/>
        </w:rPr>
        <w:t xml:space="preserve"> </w:t>
      </w:r>
      <w:r w:rsidR="000E7207">
        <w:t>Ending</w:t>
      </w:r>
      <w:r w:rsidR="000E7207">
        <w:rPr>
          <w:spacing w:val="-2"/>
        </w:rPr>
        <w:t xml:space="preserve"> </w:t>
      </w:r>
      <w:r w:rsidR="000E7207">
        <w:t>Violence</w:t>
      </w:r>
      <w:r w:rsidR="000E7207">
        <w:rPr>
          <w:spacing w:val="-4"/>
        </w:rPr>
        <w:t xml:space="preserve"> </w:t>
      </w:r>
      <w:r w:rsidR="000E7207">
        <w:t>Against</w:t>
      </w:r>
      <w:r w:rsidR="000E7207">
        <w:rPr>
          <w:spacing w:val="-2"/>
        </w:rPr>
        <w:t xml:space="preserve"> </w:t>
      </w:r>
      <w:r w:rsidR="000E7207">
        <w:t>Women</w:t>
      </w:r>
      <w:r w:rsidR="000E7207">
        <w:rPr>
          <w:spacing w:val="-2"/>
        </w:rPr>
        <w:t xml:space="preserve"> </w:t>
      </w:r>
      <w:r w:rsidR="000E7207">
        <w:t>program</w:t>
      </w:r>
      <w:r w:rsidR="000E7207">
        <w:rPr>
          <w:spacing w:val="-4"/>
        </w:rPr>
        <w:t xml:space="preserve"> </w:t>
      </w:r>
      <w:r w:rsidR="000E7207">
        <w:t>in Timor-Leste,</w:t>
      </w:r>
      <w:r w:rsidR="000E7207">
        <w:rPr>
          <w:spacing w:val="-3"/>
        </w:rPr>
        <w:t xml:space="preserve"> </w:t>
      </w:r>
      <w:r w:rsidR="000E7207">
        <w:t>and</w:t>
      </w:r>
      <w:r w:rsidR="000E7207">
        <w:rPr>
          <w:spacing w:val="-1"/>
        </w:rPr>
        <w:t xml:space="preserve"> </w:t>
      </w:r>
      <w:r w:rsidR="000E7207">
        <w:t>its</w:t>
      </w:r>
      <w:r w:rsidR="000E7207">
        <w:rPr>
          <w:spacing w:val="-2"/>
        </w:rPr>
        <w:t xml:space="preserve"> </w:t>
      </w:r>
      <w:r w:rsidR="000E7207">
        <w:t>predecessor</w:t>
      </w:r>
      <w:r w:rsidR="000E7207">
        <w:rPr>
          <w:spacing w:val="-2"/>
        </w:rPr>
        <w:t xml:space="preserve"> </w:t>
      </w:r>
      <w:r w:rsidR="000E7207">
        <w:t>programs Support</w:t>
      </w:r>
      <w:r w:rsidR="000E7207">
        <w:rPr>
          <w:spacing w:val="-3"/>
        </w:rPr>
        <w:t xml:space="preserve"> </w:t>
      </w:r>
      <w:r w:rsidR="000E7207">
        <w:t>to</w:t>
      </w:r>
      <w:r w:rsidR="000E7207">
        <w:rPr>
          <w:spacing w:val="-1"/>
        </w:rPr>
        <w:t xml:space="preserve"> </w:t>
      </w:r>
      <w:r w:rsidR="000E7207">
        <w:t>Essential</w:t>
      </w:r>
      <w:r w:rsidR="000E7207">
        <w:rPr>
          <w:spacing w:val="-1"/>
        </w:rPr>
        <w:t xml:space="preserve"> </w:t>
      </w:r>
      <w:r w:rsidR="000E7207">
        <w:t>Services</w:t>
      </w:r>
      <w:r w:rsidR="000E7207">
        <w:rPr>
          <w:spacing w:val="-2"/>
        </w:rPr>
        <w:t xml:space="preserve"> </w:t>
      </w:r>
      <w:r w:rsidR="000E7207">
        <w:t>for</w:t>
      </w:r>
      <w:r w:rsidR="000E7207">
        <w:rPr>
          <w:spacing w:val="-2"/>
        </w:rPr>
        <w:t xml:space="preserve"> </w:t>
      </w:r>
      <w:r w:rsidR="000E7207">
        <w:t>Ending</w:t>
      </w:r>
      <w:r w:rsidR="000E7207">
        <w:rPr>
          <w:spacing w:val="-3"/>
        </w:rPr>
        <w:t xml:space="preserve"> </w:t>
      </w:r>
      <w:r w:rsidR="000E7207">
        <w:t>Violence</w:t>
      </w:r>
      <w:r w:rsidR="000E7207">
        <w:rPr>
          <w:spacing w:val="-3"/>
        </w:rPr>
        <w:t xml:space="preserve"> </w:t>
      </w:r>
      <w:r w:rsidR="000E7207">
        <w:t>Against</w:t>
      </w:r>
      <w:r w:rsidR="000E7207">
        <w:rPr>
          <w:spacing w:val="-3"/>
        </w:rPr>
        <w:t xml:space="preserve"> </w:t>
      </w:r>
      <w:r w:rsidR="000E7207">
        <w:t>Women</w:t>
      </w:r>
      <w:r w:rsidR="000E7207">
        <w:rPr>
          <w:spacing w:val="-3"/>
        </w:rPr>
        <w:t xml:space="preserve"> </w:t>
      </w:r>
      <w:r w:rsidR="000E7207">
        <w:t>and Justice Sector Support Facility.</w:t>
      </w:r>
    </w:p>
    <w:p w14:paraId="60638619" w14:textId="6C472179" w:rsidR="009C36E3" w:rsidRDefault="000E7207" w:rsidP="001A03BF">
      <w:pPr>
        <w:pStyle w:val="BodyText"/>
        <w:spacing w:before="205"/>
        <w:rPr>
          <w:sz w:val="18"/>
        </w:rPr>
      </w:pPr>
      <w:bookmarkStart w:id="39" w:name="_bookmark29"/>
      <w:bookmarkEnd w:id="39"/>
      <w:r>
        <w:rPr>
          <w:position w:val="6"/>
          <w:sz w:val="13"/>
        </w:rPr>
        <w:t>18</w:t>
      </w:r>
      <w:r>
        <w:rPr>
          <w:spacing w:val="16"/>
          <w:position w:val="6"/>
          <w:sz w:val="13"/>
        </w:rPr>
        <w:t xml:space="preserve"> </w:t>
      </w:r>
      <w:r>
        <w:rPr>
          <w:sz w:val="18"/>
        </w:rPr>
        <w:t>It</w:t>
      </w:r>
      <w:r>
        <w:rPr>
          <w:spacing w:val="-2"/>
          <w:sz w:val="18"/>
        </w:rPr>
        <w:t xml:space="preserve"> </w:t>
      </w:r>
      <w:r>
        <w:rPr>
          <w:sz w:val="18"/>
        </w:rPr>
        <w:t>is</w:t>
      </w:r>
      <w:r>
        <w:rPr>
          <w:spacing w:val="-2"/>
          <w:sz w:val="18"/>
        </w:rPr>
        <w:t xml:space="preserve"> </w:t>
      </w:r>
      <w:r>
        <w:rPr>
          <w:sz w:val="18"/>
        </w:rPr>
        <w:t>noted that</w:t>
      </w:r>
      <w:r>
        <w:rPr>
          <w:spacing w:val="-2"/>
          <w:sz w:val="18"/>
        </w:rPr>
        <w:t xml:space="preserve"> </w:t>
      </w:r>
      <w:r>
        <w:rPr>
          <w:sz w:val="18"/>
        </w:rPr>
        <w:t>the number</w:t>
      </w:r>
      <w:r>
        <w:rPr>
          <w:spacing w:val="-4"/>
          <w:sz w:val="18"/>
        </w:rPr>
        <w:t xml:space="preserve"> </w:t>
      </w:r>
      <w:r>
        <w:rPr>
          <w:sz w:val="18"/>
        </w:rPr>
        <w:t>of</w:t>
      </w:r>
      <w:r>
        <w:rPr>
          <w:spacing w:val="-3"/>
          <w:sz w:val="18"/>
        </w:rPr>
        <w:t xml:space="preserve"> </w:t>
      </w:r>
      <w:r>
        <w:rPr>
          <w:sz w:val="18"/>
        </w:rPr>
        <w:t>area</w:t>
      </w:r>
      <w:r>
        <w:rPr>
          <w:spacing w:val="-4"/>
          <w:sz w:val="18"/>
        </w:rPr>
        <w:t xml:space="preserve"> </w:t>
      </w:r>
      <w:r>
        <w:rPr>
          <w:sz w:val="18"/>
        </w:rPr>
        <w:t>councils fluctuates</w:t>
      </w:r>
      <w:r>
        <w:rPr>
          <w:spacing w:val="-3"/>
          <w:sz w:val="18"/>
        </w:rPr>
        <w:t xml:space="preserve"> </w:t>
      </w:r>
      <w:r>
        <w:rPr>
          <w:sz w:val="18"/>
        </w:rPr>
        <w:t>over</w:t>
      </w:r>
      <w:r>
        <w:rPr>
          <w:spacing w:val="-3"/>
          <w:sz w:val="18"/>
        </w:rPr>
        <w:t xml:space="preserve"> </w:t>
      </w:r>
      <w:r>
        <w:rPr>
          <w:spacing w:val="-2"/>
          <w:sz w:val="18"/>
        </w:rPr>
        <w:t>time.</w:t>
      </w:r>
    </w:p>
    <w:p w14:paraId="651C44E5" w14:textId="77777777" w:rsidR="009C36E3" w:rsidRDefault="009C36E3">
      <w:pPr>
        <w:rPr>
          <w:sz w:val="18"/>
        </w:rPr>
        <w:sectPr w:rsidR="009C36E3">
          <w:pgSz w:w="11910" w:h="16850"/>
          <w:pgMar w:top="1040" w:right="740" w:bottom="740" w:left="80" w:header="552" w:footer="559" w:gutter="0"/>
          <w:cols w:space="720"/>
        </w:sectPr>
      </w:pPr>
    </w:p>
    <w:p w14:paraId="088C00E7" w14:textId="77777777" w:rsidR="009C36E3" w:rsidRDefault="000E7207">
      <w:pPr>
        <w:pStyle w:val="Heading7"/>
        <w:spacing w:before="91"/>
        <w:ind w:left="772"/>
      </w:pPr>
      <w:r>
        <w:t>EOPO2:</w:t>
      </w:r>
      <w:r>
        <w:rPr>
          <w:spacing w:val="-1"/>
        </w:rPr>
        <w:t xml:space="preserve"> </w:t>
      </w:r>
      <w:r>
        <w:t>Women,</w:t>
      </w:r>
      <w:r>
        <w:rPr>
          <w:spacing w:val="-2"/>
        </w:rPr>
        <w:t xml:space="preserve"> </w:t>
      </w:r>
      <w:r>
        <w:t>children,</w:t>
      </w:r>
      <w:r>
        <w:rPr>
          <w:spacing w:val="-4"/>
        </w:rPr>
        <w:t xml:space="preserve"> </w:t>
      </w:r>
      <w:r>
        <w:t>and</w:t>
      </w:r>
      <w:r>
        <w:rPr>
          <w:spacing w:val="-3"/>
        </w:rPr>
        <w:t xml:space="preserve"> </w:t>
      </w:r>
      <w:r>
        <w:t>youth</w:t>
      </w:r>
      <w:r>
        <w:rPr>
          <w:spacing w:val="-3"/>
        </w:rPr>
        <w:t xml:space="preserve"> </w:t>
      </w:r>
      <w:r>
        <w:t>are</w:t>
      </w:r>
      <w:r>
        <w:rPr>
          <w:spacing w:val="-4"/>
        </w:rPr>
        <w:t xml:space="preserve"> </w:t>
      </w:r>
      <w:r>
        <w:t>increasingly</w:t>
      </w:r>
      <w:r>
        <w:rPr>
          <w:spacing w:val="-4"/>
        </w:rPr>
        <w:t xml:space="preserve"> </w:t>
      </w:r>
      <w:r>
        <w:t>accessing</w:t>
      </w:r>
      <w:r>
        <w:rPr>
          <w:spacing w:val="-3"/>
        </w:rPr>
        <w:t xml:space="preserve"> </w:t>
      </w:r>
      <w:r>
        <w:t>state</w:t>
      </w:r>
      <w:r>
        <w:rPr>
          <w:spacing w:val="-4"/>
        </w:rPr>
        <w:t xml:space="preserve"> </w:t>
      </w:r>
      <w:r>
        <w:t>policing,</w:t>
      </w:r>
      <w:r>
        <w:rPr>
          <w:spacing w:val="-4"/>
        </w:rPr>
        <w:t xml:space="preserve"> </w:t>
      </w:r>
      <w:r>
        <w:t>justice</w:t>
      </w:r>
      <w:r>
        <w:rPr>
          <w:spacing w:val="-2"/>
        </w:rPr>
        <w:t xml:space="preserve"> </w:t>
      </w:r>
      <w:r>
        <w:t>and</w:t>
      </w:r>
      <w:r>
        <w:rPr>
          <w:spacing w:val="-3"/>
        </w:rPr>
        <w:t xml:space="preserve"> </w:t>
      </w:r>
      <w:r>
        <w:t xml:space="preserve">community </w:t>
      </w:r>
      <w:r>
        <w:rPr>
          <w:spacing w:val="-2"/>
        </w:rPr>
        <w:t>services.</w:t>
      </w:r>
    </w:p>
    <w:p w14:paraId="7E0B4D1F" w14:textId="77777777" w:rsidR="009C36E3" w:rsidRDefault="000E7207">
      <w:pPr>
        <w:spacing w:before="120"/>
        <w:ind w:left="1491" w:right="120"/>
        <w:rPr>
          <w:i/>
          <w:sz w:val="20"/>
        </w:rPr>
      </w:pPr>
      <w:r>
        <w:rPr>
          <w:noProof/>
        </w:rPr>
        <mc:AlternateContent>
          <mc:Choice Requires="wps">
            <w:drawing>
              <wp:anchor distT="0" distB="0" distL="0" distR="0" simplePos="0" relativeHeight="251639808" behindDoc="0" locked="0" layoutInCell="1" allowOverlap="1" wp14:anchorId="1EBD6C8F" wp14:editId="156451B4">
                <wp:simplePos x="0" y="0"/>
                <wp:positionH relativeFrom="page">
                  <wp:posOffset>573317</wp:posOffset>
                </wp:positionH>
                <wp:positionV relativeFrom="paragraph">
                  <wp:posOffset>146482</wp:posOffset>
                </wp:positionV>
                <wp:extent cx="275590" cy="274955"/>
                <wp:effectExtent l="0" t="0" r="0" b="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5D036316" id="Graphic 41" o:spid="_x0000_s1026" alt="&quot;&quot;" style="position:absolute;margin-left:45.15pt;margin-top:11.55pt;width:21.7pt;height:21.65pt;z-index:15740416;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&#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4"/>
          <w:sz w:val="20"/>
        </w:rPr>
        <w:t xml:space="preserve"> </w:t>
      </w:r>
      <w:r>
        <w:rPr>
          <w:i/>
          <w:color w:val="007B92"/>
          <w:sz w:val="20"/>
        </w:rPr>
        <w:t>There</w:t>
      </w:r>
      <w:r>
        <w:rPr>
          <w:i/>
          <w:color w:val="007B92"/>
          <w:spacing w:val="-4"/>
          <w:sz w:val="20"/>
        </w:rPr>
        <w:t xml:space="preserve"> </w:t>
      </w:r>
      <w:r>
        <w:rPr>
          <w:i/>
          <w:color w:val="007B92"/>
          <w:sz w:val="20"/>
        </w:rPr>
        <w:t>is</w:t>
      </w:r>
      <w:r>
        <w:rPr>
          <w:i/>
          <w:color w:val="007B92"/>
          <w:spacing w:val="-4"/>
          <w:sz w:val="20"/>
        </w:rPr>
        <w:t xml:space="preserve"> </w:t>
      </w:r>
      <w:r>
        <w:rPr>
          <w:i/>
          <w:color w:val="007B92"/>
          <w:sz w:val="20"/>
        </w:rPr>
        <w:t>evidence</w:t>
      </w:r>
      <w:r>
        <w:rPr>
          <w:i/>
          <w:color w:val="007B92"/>
          <w:spacing w:val="-3"/>
          <w:sz w:val="20"/>
        </w:rPr>
        <w:t xml:space="preserve"> </w:t>
      </w:r>
      <w:r>
        <w:rPr>
          <w:i/>
          <w:color w:val="007B92"/>
          <w:sz w:val="20"/>
        </w:rPr>
        <w:t>that</w:t>
      </w:r>
      <w:r>
        <w:rPr>
          <w:i/>
          <w:color w:val="007B92"/>
          <w:spacing w:val="-3"/>
          <w:sz w:val="20"/>
        </w:rPr>
        <w:t xml:space="preserve"> </w:t>
      </w:r>
      <w:r>
        <w:rPr>
          <w:i/>
          <w:color w:val="007B92"/>
          <w:sz w:val="20"/>
        </w:rPr>
        <w:t>awareness</w:t>
      </w:r>
      <w:r>
        <w:rPr>
          <w:i/>
          <w:color w:val="007B92"/>
          <w:spacing w:val="-4"/>
          <w:sz w:val="20"/>
        </w:rPr>
        <w:t xml:space="preserve"> </w:t>
      </w:r>
      <w:r>
        <w:rPr>
          <w:i/>
          <w:color w:val="007B92"/>
          <w:sz w:val="20"/>
        </w:rPr>
        <w:t>raising</w:t>
      </w:r>
      <w:r>
        <w:rPr>
          <w:i/>
          <w:color w:val="007B92"/>
          <w:spacing w:val="-3"/>
          <w:sz w:val="20"/>
        </w:rPr>
        <w:t xml:space="preserve"> </w:t>
      </w:r>
      <w:r>
        <w:rPr>
          <w:i/>
          <w:color w:val="007B92"/>
          <w:sz w:val="20"/>
        </w:rPr>
        <w:t>and</w:t>
      </w:r>
      <w:r>
        <w:rPr>
          <w:i/>
          <w:color w:val="007B92"/>
          <w:spacing w:val="-3"/>
          <w:sz w:val="20"/>
        </w:rPr>
        <w:t xml:space="preserve"> </w:t>
      </w:r>
      <w:r>
        <w:rPr>
          <w:i/>
          <w:color w:val="007B92"/>
          <w:sz w:val="20"/>
        </w:rPr>
        <w:t>community</w:t>
      </w:r>
      <w:r>
        <w:rPr>
          <w:i/>
          <w:color w:val="007B92"/>
          <w:spacing w:val="-1"/>
          <w:sz w:val="20"/>
        </w:rPr>
        <w:t xml:space="preserve"> </w:t>
      </w:r>
      <w:r>
        <w:rPr>
          <w:i/>
          <w:color w:val="007B92"/>
          <w:sz w:val="20"/>
        </w:rPr>
        <w:t>engagement</w:t>
      </w:r>
      <w:r>
        <w:rPr>
          <w:i/>
          <w:color w:val="007B92"/>
          <w:spacing w:val="-4"/>
          <w:sz w:val="20"/>
        </w:rPr>
        <w:t xml:space="preserve"> </w:t>
      </w:r>
      <w:r>
        <w:rPr>
          <w:i/>
          <w:color w:val="007B92"/>
          <w:sz w:val="20"/>
        </w:rPr>
        <w:t>through</w:t>
      </w:r>
      <w:r>
        <w:rPr>
          <w:i/>
          <w:color w:val="007B92"/>
          <w:spacing w:val="-4"/>
          <w:sz w:val="20"/>
        </w:rPr>
        <w:t xml:space="preserve"> </w:t>
      </w:r>
      <w:r>
        <w:rPr>
          <w:i/>
          <w:color w:val="007B92"/>
          <w:sz w:val="20"/>
        </w:rPr>
        <w:t>the</w:t>
      </w:r>
      <w:r>
        <w:rPr>
          <w:i/>
          <w:color w:val="007B92"/>
          <w:spacing w:val="-3"/>
          <w:sz w:val="20"/>
        </w:rPr>
        <w:t xml:space="preserve"> </w:t>
      </w:r>
      <w:r>
        <w:rPr>
          <w:i/>
          <w:color w:val="007B92"/>
          <w:sz w:val="20"/>
        </w:rPr>
        <w:t>Program</w:t>
      </w:r>
      <w:r>
        <w:rPr>
          <w:i/>
          <w:color w:val="007B92"/>
          <w:spacing w:val="-4"/>
          <w:sz w:val="20"/>
        </w:rPr>
        <w:t xml:space="preserve"> </w:t>
      </w:r>
      <w:r>
        <w:rPr>
          <w:i/>
          <w:color w:val="007B92"/>
          <w:sz w:val="20"/>
        </w:rPr>
        <w:t>has led to uptake of services by women, children and youth. However, VAPJP could better systematise and analyse data on the extent to which services are being accessed.</w:t>
      </w:r>
    </w:p>
    <w:p w14:paraId="129A88BD" w14:textId="77777777" w:rsidR="009C36E3" w:rsidRDefault="000E7207">
      <w:pPr>
        <w:spacing w:before="119"/>
        <w:ind w:left="1491"/>
        <w:rPr>
          <w:i/>
          <w:sz w:val="20"/>
        </w:rPr>
      </w:pPr>
      <w:r>
        <w:rPr>
          <w:noProof/>
        </w:rPr>
        <mc:AlternateContent>
          <mc:Choice Requires="wps">
            <w:drawing>
              <wp:anchor distT="0" distB="0" distL="0" distR="0" simplePos="0" relativeHeight="251640832" behindDoc="0" locked="0" layoutInCell="1" allowOverlap="1" wp14:anchorId="1BC9F7A1" wp14:editId="449F25DB">
                <wp:simplePos x="0" y="0"/>
                <wp:positionH relativeFrom="page">
                  <wp:posOffset>573317</wp:posOffset>
                </wp:positionH>
                <wp:positionV relativeFrom="paragraph">
                  <wp:posOffset>119179</wp:posOffset>
                </wp:positionV>
                <wp:extent cx="275590" cy="274955"/>
                <wp:effectExtent l="0" t="0" r="0" b="0"/>
                <wp:wrapNone/>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3B998225" id="Graphic 42" o:spid="_x0000_s1026" alt="&quot;&quot;" style="position:absolute;margin-left:45.15pt;margin-top:9.4pt;width:21.7pt;height:21.65pt;z-index:15740928;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&#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3"/>
          <w:sz w:val="20"/>
        </w:rPr>
        <w:t xml:space="preserve"> </w:t>
      </w:r>
      <w:r>
        <w:rPr>
          <w:i/>
          <w:color w:val="007B92"/>
          <w:sz w:val="20"/>
        </w:rPr>
        <w:t>A</w:t>
      </w:r>
      <w:r>
        <w:rPr>
          <w:i/>
          <w:color w:val="007B92"/>
          <w:spacing w:val="-5"/>
          <w:sz w:val="20"/>
        </w:rPr>
        <w:t xml:space="preserve"> </w:t>
      </w:r>
      <w:r>
        <w:rPr>
          <w:i/>
          <w:color w:val="007B92"/>
          <w:sz w:val="20"/>
        </w:rPr>
        <w:t>broad</w:t>
      </w:r>
      <w:r>
        <w:rPr>
          <w:i/>
          <w:color w:val="007B92"/>
          <w:spacing w:val="-4"/>
          <w:sz w:val="20"/>
        </w:rPr>
        <w:t xml:space="preserve"> </w:t>
      </w:r>
      <w:r>
        <w:rPr>
          <w:i/>
          <w:color w:val="007B92"/>
          <w:sz w:val="20"/>
        </w:rPr>
        <w:t>range</w:t>
      </w:r>
      <w:r>
        <w:rPr>
          <w:i/>
          <w:color w:val="007B92"/>
          <w:spacing w:val="-4"/>
          <w:sz w:val="20"/>
        </w:rPr>
        <w:t xml:space="preserve"> </w:t>
      </w:r>
      <w:r>
        <w:rPr>
          <w:i/>
          <w:color w:val="007B92"/>
          <w:sz w:val="20"/>
        </w:rPr>
        <w:t>of</w:t>
      </w:r>
      <w:r>
        <w:rPr>
          <w:i/>
          <w:color w:val="007B92"/>
          <w:spacing w:val="-2"/>
          <w:sz w:val="20"/>
        </w:rPr>
        <w:t xml:space="preserve"> </w:t>
      </w:r>
      <w:r>
        <w:rPr>
          <w:i/>
          <w:color w:val="007B92"/>
          <w:sz w:val="20"/>
        </w:rPr>
        <w:t>actors</w:t>
      </w:r>
      <w:r>
        <w:rPr>
          <w:i/>
          <w:color w:val="007B92"/>
          <w:spacing w:val="-3"/>
          <w:sz w:val="20"/>
        </w:rPr>
        <w:t xml:space="preserve"> </w:t>
      </w:r>
      <w:r>
        <w:rPr>
          <w:i/>
          <w:color w:val="007B92"/>
          <w:sz w:val="20"/>
        </w:rPr>
        <w:t>both</w:t>
      </w:r>
      <w:r>
        <w:rPr>
          <w:i/>
          <w:color w:val="007B92"/>
          <w:spacing w:val="-2"/>
          <w:sz w:val="20"/>
        </w:rPr>
        <w:t xml:space="preserve"> </w:t>
      </w:r>
      <w:r>
        <w:rPr>
          <w:i/>
          <w:color w:val="007B92"/>
          <w:sz w:val="20"/>
        </w:rPr>
        <w:t>inside</w:t>
      </w:r>
      <w:r>
        <w:rPr>
          <w:i/>
          <w:color w:val="007B92"/>
          <w:spacing w:val="-2"/>
          <w:sz w:val="20"/>
        </w:rPr>
        <w:t xml:space="preserve"> </w:t>
      </w:r>
      <w:r>
        <w:rPr>
          <w:i/>
          <w:color w:val="007B92"/>
          <w:sz w:val="20"/>
        </w:rPr>
        <w:t>and</w:t>
      </w:r>
      <w:r>
        <w:rPr>
          <w:i/>
          <w:color w:val="007B92"/>
          <w:spacing w:val="-2"/>
          <w:sz w:val="20"/>
        </w:rPr>
        <w:t xml:space="preserve"> </w:t>
      </w:r>
      <w:r>
        <w:rPr>
          <w:i/>
          <w:color w:val="007B92"/>
          <w:sz w:val="20"/>
        </w:rPr>
        <w:t>outside</w:t>
      </w:r>
      <w:r>
        <w:rPr>
          <w:i/>
          <w:color w:val="007B92"/>
          <w:spacing w:val="-4"/>
          <w:sz w:val="20"/>
        </w:rPr>
        <w:t xml:space="preserve"> </w:t>
      </w:r>
      <w:r>
        <w:rPr>
          <w:i/>
          <w:color w:val="007B92"/>
          <w:sz w:val="20"/>
        </w:rPr>
        <w:t>VAPJP</w:t>
      </w:r>
      <w:r>
        <w:rPr>
          <w:i/>
          <w:color w:val="007B92"/>
          <w:spacing w:val="-5"/>
          <w:sz w:val="20"/>
        </w:rPr>
        <w:t xml:space="preserve"> </w:t>
      </w:r>
      <w:r>
        <w:rPr>
          <w:i/>
          <w:color w:val="007B92"/>
          <w:sz w:val="20"/>
        </w:rPr>
        <w:t>programming</w:t>
      </w:r>
      <w:r>
        <w:rPr>
          <w:i/>
          <w:color w:val="007B92"/>
          <w:spacing w:val="-4"/>
          <w:sz w:val="20"/>
        </w:rPr>
        <w:t xml:space="preserve"> </w:t>
      </w:r>
      <w:r>
        <w:rPr>
          <w:i/>
          <w:color w:val="007B92"/>
          <w:sz w:val="20"/>
        </w:rPr>
        <w:t>are</w:t>
      </w:r>
      <w:r>
        <w:rPr>
          <w:i/>
          <w:color w:val="007B92"/>
          <w:spacing w:val="-4"/>
          <w:sz w:val="20"/>
        </w:rPr>
        <w:t xml:space="preserve"> </w:t>
      </w:r>
      <w:r>
        <w:rPr>
          <w:i/>
          <w:color w:val="007B92"/>
          <w:sz w:val="20"/>
        </w:rPr>
        <w:t>involved</w:t>
      </w:r>
      <w:r>
        <w:rPr>
          <w:i/>
          <w:color w:val="007B92"/>
          <w:spacing w:val="-2"/>
          <w:sz w:val="20"/>
        </w:rPr>
        <w:t xml:space="preserve"> </w:t>
      </w:r>
      <w:r>
        <w:rPr>
          <w:i/>
          <w:color w:val="007B92"/>
          <w:sz w:val="20"/>
        </w:rPr>
        <w:t>in</w:t>
      </w:r>
      <w:r>
        <w:rPr>
          <w:i/>
          <w:color w:val="007B92"/>
          <w:spacing w:val="-2"/>
          <w:sz w:val="20"/>
        </w:rPr>
        <w:t xml:space="preserve"> </w:t>
      </w:r>
      <w:r>
        <w:rPr>
          <w:i/>
          <w:color w:val="007B92"/>
          <w:sz w:val="20"/>
        </w:rPr>
        <w:t>awareness raising in relation to domestic violence. It was not possible for the MTR team to verify the consistency of messaging and whether it demonstrates best practice in bringing about change in attitudes and practice.</w:t>
      </w:r>
    </w:p>
    <w:p w14:paraId="4D7C727B" w14:textId="77777777" w:rsidR="009C36E3" w:rsidRDefault="000E7207">
      <w:pPr>
        <w:pStyle w:val="BodyText"/>
        <w:spacing w:before="122"/>
        <w:ind w:right="120"/>
      </w:pPr>
      <w:r>
        <w:t>The program has been dependent on PIMS to demonstrate progress towards this outcome with 674 victims of crimes</w:t>
      </w:r>
      <w:r>
        <w:rPr>
          <w:spacing w:val="-3"/>
        </w:rPr>
        <w:t xml:space="preserve"> </w:t>
      </w:r>
      <w:r>
        <w:t>related</w:t>
      </w:r>
      <w:r>
        <w:rPr>
          <w:spacing w:val="-2"/>
        </w:rPr>
        <w:t xml:space="preserve"> </w:t>
      </w:r>
      <w:r>
        <w:t>to</w:t>
      </w:r>
      <w:r>
        <w:rPr>
          <w:spacing w:val="-2"/>
        </w:rPr>
        <w:t xml:space="preserve"> </w:t>
      </w:r>
      <w:r>
        <w:t>domestic violence</w:t>
      </w:r>
      <w:r>
        <w:rPr>
          <w:spacing w:val="-4"/>
        </w:rPr>
        <w:t xml:space="preserve"> </w:t>
      </w:r>
      <w:r>
        <w:t>recorded</w:t>
      </w:r>
      <w:r>
        <w:rPr>
          <w:spacing w:val="-2"/>
        </w:rPr>
        <w:t xml:space="preserve"> </w:t>
      </w:r>
      <w:r>
        <w:t>in</w:t>
      </w:r>
      <w:r>
        <w:rPr>
          <w:spacing w:val="-4"/>
        </w:rPr>
        <w:t xml:space="preserve"> </w:t>
      </w:r>
      <w:r>
        <w:t>2020,</w:t>
      </w:r>
      <w:r>
        <w:rPr>
          <w:spacing w:val="-2"/>
        </w:rPr>
        <w:t xml:space="preserve"> </w:t>
      </w:r>
      <w:r>
        <w:t>and</w:t>
      </w:r>
      <w:r>
        <w:rPr>
          <w:spacing w:val="-2"/>
        </w:rPr>
        <w:t xml:space="preserve"> </w:t>
      </w:r>
      <w:r>
        <w:t>626</w:t>
      </w:r>
      <w:r>
        <w:rPr>
          <w:spacing w:val="-2"/>
        </w:rPr>
        <w:t xml:space="preserve"> </w:t>
      </w:r>
      <w:r>
        <w:t>in</w:t>
      </w:r>
      <w:r>
        <w:rPr>
          <w:spacing w:val="-2"/>
        </w:rPr>
        <w:t xml:space="preserve"> </w:t>
      </w:r>
      <w:r>
        <w:t>2021.</w:t>
      </w:r>
      <w:r>
        <w:rPr>
          <w:spacing w:val="-4"/>
        </w:rPr>
        <w:t xml:space="preserve"> </w:t>
      </w:r>
      <w:r>
        <w:t>Following</w:t>
      </w:r>
      <w:r>
        <w:rPr>
          <w:spacing w:val="-2"/>
        </w:rPr>
        <w:t xml:space="preserve"> </w:t>
      </w:r>
      <w:r>
        <w:t>the</w:t>
      </w:r>
      <w:r>
        <w:rPr>
          <w:spacing w:val="-4"/>
        </w:rPr>
        <w:t xml:space="preserve"> </w:t>
      </w:r>
      <w:r>
        <w:t>November</w:t>
      </w:r>
      <w:r>
        <w:rPr>
          <w:spacing w:val="-3"/>
        </w:rPr>
        <w:t xml:space="preserve"> </w:t>
      </w:r>
      <w:r>
        <w:t>2022</w:t>
      </w:r>
      <w:r>
        <w:rPr>
          <w:spacing w:val="-4"/>
        </w:rPr>
        <w:t xml:space="preserve"> </w:t>
      </w:r>
      <w:r>
        <w:t>cyber-attack there is some limited data available to demonstrate women and men, boys and girls are reporting incidents (including DV related/non-DV related) but provisional data indicates a low level of reporting, which may in part be attributed to the impact of COVID (VAPJP, 2023c).</w:t>
      </w:r>
    </w:p>
    <w:p w14:paraId="3A40BEE3" w14:textId="77777777" w:rsidR="009C36E3" w:rsidRDefault="000E7207">
      <w:pPr>
        <w:pStyle w:val="BodyText"/>
        <w:spacing w:before="120"/>
        <w:ind w:right="120"/>
      </w:pPr>
      <w:r>
        <w:t>Part of the program’s implied rationale is that an increase in community engagement and awareness activities will lead to an increase in people accessing services, with anecdotal evidence that following workshops (e.g. Santo Chiefs’ workshop June 2021) or awareness activities there is an increase in calls for services across numerous provinces, both by complainants and by Chiefs in whose areas VAPJP engagement has occurred. A Cross-Sector Legal Awareness workshop in 2022 that was led by the Child Desk officer together with a team including representatives</w:t>
      </w:r>
      <w:r>
        <w:rPr>
          <w:spacing w:val="-1"/>
        </w:rPr>
        <w:t xml:space="preserve"> </w:t>
      </w:r>
      <w:r>
        <w:t>from</w:t>
      </w:r>
      <w:r>
        <w:rPr>
          <w:spacing w:val="-2"/>
        </w:rPr>
        <w:t xml:space="preserve"> </w:t>
      </w:r>
      <w:r>
        <w:t>FPU, courts,</w:t>
      </w:r>
      <w:r>
        <w:rPr>
          <w:spacing w:val="-2"/>
        </w:rPr>
        <w:t xml:space="preserve"> </w:t>
      </w:r>
      <w:r>
        <w:t>PSO, Disability</w:t>
      </w:r>
      <w:r>
        <w:rPr>
          <w:spacing w:val="-1"/>
        </w:rPr>
        <w:t xml:space="preserve"> </w:t>
      </w:r>
      <w:r>
        <w:t>Desk,</w:t>
      </w:r>
      <w:r>
        <w:rPr>
          <w:spacing w:val="-2"/>
        </w:rPr>
        <w:t xml:space="preserve"> </w:t>
      </w:r>
      <w:r>
        <w:t>VWC,</w:t>
      </w:r>
      <w:r>
        <w:rPr>
          <w:spacing w:val="-2"/>
        </w:rPr>
        <w:t xml:space="preserve"> </w:t>
      </w:r>
      <w:r>
        <w:t>and</w:t>
      </w:r>
      <w:r>
        <w:rPr>
          <w:spacing w:val="-2"/>
        </w:rPr>
        <w:t xml:space="preserve"> </w:t>
      </w:r>
      <w:r>
        <w:t>DBKS</w:t>
      </w:r>
      <w:r>
        <w:rPr>
          <w:spacing w:val="-3"/>
        </w:rPr>
        <w:t xml:space="preserve"> </w:t>
      </w:r>
      <w:r>
        <w:t>was</w:t>
      </w:r>
      <w:r>
        <w:rPr>
          <w:spacing w:val="-1"/>
        </w:rPr>
        <w:t xml:space="preserve"> </w:t>
      </w:r>
      <w:r>
        <w:t>reportedly</w:t>
      </w:r>
      <w:r>
        <w:rPr>
          <w:spacing w:val="-1"/>
        </w:rPr>
        <w:t xml:space="preserve"> </w:t>
      </w:r>
      <w:r>
        <w:t>so</w:t>
      </w:r>
      <w:r>
        <w:rPr>
          <w:spacing w:val="-2"/>
        </w:rPr>
        <w:t xml:space="preserve"> </w:t>
      </w:r>
      <w:r>
        <w:t>effective</w:t>
      </w:r>
      <w:r>
        <w:rPr>
          <w:spacing w:val="-2"/>
        </w:rPr>
        <w:t xml:space="preserve"> </w:t>
      </w:r>
      <w:r>
        <w:t>that the</w:t>
      </w:r>
      <w:r>
        <w:rPr>
          <w:spacing w:val="-2"/>
        </w:rPr>
        <w:t xml:space="preserve"> </w:t>
      </w:r>
      <w:r>
        <w:t>VWC and the Child Desk experienced a significant number of cases being reported from the area following the workshop in a response they described as “unprecedented” compared to previous workshops, with the Child Desk officer receiving</w:t>
      </w:r>
      <w:r>
        <w:rPr>
          <w:spacing w:val="-4"/>
        </w:rPr>
        <w:t xml:space="preserve"> </w:t>
      </w:r>
      <w:r>
        <w:t>18</w:t>
      </w:r>
      <w:r>
        <w:rPr>
          <w:spacing w:val="-2"/>
        </w:rPr>
        <w:t xml:space="preserve"> </w:t>
      </w:r>
      <w:r>
        <w:t>cases</w:t>
      </w:r>
      <w:r>
        <w:rPr>
          <w:spacing w:val="-3"/>
        </w:rPr>
        <w:t xml:space="preserve"> </w:t>
      </w:r>
      <w:r>
        <w:t>and</w:t>
      </w:r>
      <w:r>
        <w:rPr>
          <w:spacing w:val="-2"/>
        </w:rPr>
        <w:t xml:space="preserve"> </w:t>
      </w:r>
      <w:r>
        <w:t>VWC</w:t>
      </w:r>
      <w:r>
        <w:rPr>
          <w:spacing w:val="-4"/>
        </w:rPr>
        <w:t xml:space="preserve"> </w:t>
      </w:r>
      <w:r>
        <w:t>immediately</w:t>
      </w:r>
      <w:r>
        <w:rPr>
          <w:spacing w:val="-3"/>
        </w:rPr>
        <w:t xml:space="preserve"> </w:t>
      </w:r>
      <w:r>
        <w:t>receiving</w:t>
      </w:r>
      <w:r>
        <w:rPr>
          <w:spacing w:val="-4"/>
        </w:rPr>
        <w:t xml:space="preserve"> </w:t>
      </w:r>
      <w:r>
        <w:t>six child</w:t>
      </w:r>
      <w:r>
        <w:rPr>
          <w:spacing w:val="-4"/>
        </w:rPr>
        <w:t xml:space="preserve"> </w:t>
      </w:r>
      <w:r>
        <w:t>maintenance</w:t>
      </w:r>
      <w:r>
        <w:rPr>
          <w:spacing w:val="-4"/>
        </w:rPr>
        <w:t xml:space="preserve"> </w:t>
      </w:r>
      <w:r>
        <w:t>cases,</w:t>
      </w:r>
      <w:r>
        <w:rPr>
          <w:spacing w:val="-4"/>
        </w:rPr>
        <w:t xml:space="preserve"> </w:t>
      </w:r>
      <w:r>
        <w:t>four</w:t>
      </w:r>
      <w:r>
        <w:rPr>
          <w:spacing w:val="-3"/>
        </w:rPr>
        <w:t xml:space="preserve"> </w:t>
      </w:r>
      <w:r>
        <w:t>protection</w:t>
      </w:r>
      <w:r>
        <w:rPr>
          <w:spacing w:val="-4"/>
        </w:rPr>
        <w:t xml:space="preserve"> </w:t>
      </w:r>
      <w:r>
        <w:t>orders</w:t>
      </w:r>
      <w:r>
        <w:rPr>
          <w:spacing w:val="-3"/>
        </w:rPr>
        <w:t xml:space="preserve"> </w:t>
      </w:r>
      <w:r>
        <w:t>for</w:t>
      </w:r>
      <w:r>
        <w:rPr>
          <w:spacing w:val="-3"/>
        </w:rPr>
        <w:t xml:space="preserve"> </w:t>
      </w:r>
      <w:r>
        <w:t>children, six</w:t>
      </w:r>
      <w:r>
        <w:rPr>
          <w:spacing w:val="-2"/>
        </w:rPr>
        <w:t xml:space="preserve"> </w:t>
      </w:r>
      <w:r>
        <w:t>child</w:t>
      </w:r>
      <w:r>
        <w:rPr>
          <w:spacing w:val="-1"/>
        </w:rPr>
        <w:t xml:space="preserve"> </w:t>
      </w:r>
      <w:r>
        <w:t>sexual</w:t>
      </w:r>
      <w:r>
        <w:rPr>
          <w:spacing w:val="-2"/>
        </w:rPr>
        <w:t xml:space="preserve"> </w:t>
      </w:r>
      <w:r>
        <w:t>abuse</w:t>
      </w:r>
      <w:r>
        <w:rPr>
          <w:spacing w:val="-3"/>
        </w:rPr>
        <w:t xml:space="preserve"> </w:t>
      </w:r>
      <w:r>
        <w:t>cases,</w:t>
      </w:r>
      <w:r>
        <w:rPr>
          <w:spacing w:val="-3"/>
        </w:rPr>
        <w:t xml:space="preserve"> </w:t>
      </w:r>
      <w:r>
        <w:t>four</w:t>
      </w:r>
      <w:r>
        <w:rPr>
          <w:spacing w:val="-2"/>
        </w:rPr>
        <w:t xml:space="preserve"> </w:t>
      </w:r>
      <w:r>
        <w:t>child</w:t>
      </w:r>
      <w:r>
        <w:rPr>
          <w:spacing w:val="-1"/>
        </w:rPr>
        <w:t xml:space="preserve"> </w:t>
      </w:r>
      <w:r>
        <w:t>physical</w:t>
      </w:r>
      <w:r>
        <w:rPr>
          <w:spacing w:val="-2"/>
        </w:rPr>
        <w:t xml:space="preserve"> </w:t>
      </w:r>
      <w:r>
        <w:t>abuse</w:t>
      </w:r>
      <w:r>
        <w:rPr>
          <w:spacing w:val="-1"/>
        </w:rPr>
        <w:t xml:space="preserve"> </w:t>
      </w:r>
      <w:r>
        <w:t>cases</w:t>
      </w:r>
      <w:r>
        <w:rPr>
          <w:spacing w:val="-2"/>
        </w:rPr>
        <w:t xml:space="preserve"> </w:t>
      </w:r>
      <w:r>
        <w:t>and</w:t>
      </w:r>
      <w:r>
        <w:rPr>
          <w:spacing w:val="-3"/>
        </w:rPr>
        <w:t xml:space="preserve"> </w:t>
      </w:r>
      <w:r>
        <w:t>two</w:t>
      </w:r>
      <w:r>
        <w:rPr>
          <w:spacing w:val="-3"/>
        </w:rPr>
        <w:t xml:space="preserve"> </w:t>
      </w:r>
      <w:r>
        <w:t>unlawful</w:t>
      </w:r>
      <w:r>
        <w:rPr>
          <w:spacing w:val="-4"/>
        </w:rPr>
        <w:t xml:space="preserve"> </w:t>
      </w:r>
      <w:r>
        <w:t>sexual</w:t>
      </w:r>
      <w:r>
        <w:rPr>
          <w:spacing w:val="-2"/>
        </w:rPr>
        <w:t xml:space="preserve"> </w:t>
      </w:r>
      <w:r>
        <w:t>intercourse</w:t>
      </w:r>
      <w:r>
        <w:rPr>
          <w:spacing w:val="-3"/>
        </w:rPr>
        <w:t xml:space="preserve"> </w:t>
      </w:r>
      <w:r>
        <w:t>cases</w:t>
      </w:r>
      <w:r>
        <w:rPr>
          <w:spacing w:val="-2"/>
        </w:rPr>
        <w:t xml:space="preserve"> </w:t>
      </w:r>
      <w:r>
        <w:t>–</w:t>
      </w:r>
      <w:r>
        <w:rPr>
          <w:spacing w:val="-2"/>
        </w:rPr>
        <w:t xml:space="preserve"> </w:t>
      </w:r>
      <w:r>
        <w:t>a</w:t>
      </w:r>
      <w:r>
        <w:rPr>
          <w:spacing w:val="-3"/>
        </w:rPr>
        <w:t xml:space="preserve"> </w:t>
      </w:r>
      <w:r>
        <w:t>total</w:t>
      </w:r>
      <w:r>
        <w:rPr>
          <w:spacing w:val="-2"/>
        </w:rPr>
        <w:t xml:space="preserve"> </w:t>
      </w:r>
      <w:r>
        <w:t xml:space="preserve">of 22 new cases involving children (VAPJP, 2022b). There is also anecdotal evidence that following establishment of police posts at Nambatri and Freswota in Port Vila there was an increase in community accessing police services. The MTR heard mixed evidence on whether provision of mobile assets was sufficiently translating to improved access to policing in cases of VAWC. While some policing respondents were of the view that it was just a matter of needing </w:t>
      </w:r>
      <w:r>
        <w:rPr>
          <w:i/>
        </w:rPr>
        <w:t xml:space="preserve">more </w:t>
      </w:r>
      <w:r>
        <w:t>mobility assets, some justice respondents believed that even when mobility assets were available, there was still a reluctance to respond to VAWC cases.</w:t>
      </w:r>
    </w:p>
    <w:p w14:paraId="60E7DB03" w14:textId="77777777" w:rsidR="009C36E3" w:rsidRDefault="000E7207">
      <w:pPr>
        <w:pStyle w:val="BodyText"/>
        <w:spacing w:before="121"/>
        <w:ind w:right="192"/>
      </w:pPr>
      <w:r>
        <w:t>The PJSS found that 80.7% of respondents view domestic violence as against the law, and think that women and men</w:t>
      </w:r>
      <w:r>
        <w:rPr>
          <w:spacing w:val="-3"/>
        </w:rPr>
        <w:t xml:space="preserve"> </w:t>
      </w:r>
      <w:r>
        <w:t>victims</w:t>
      </w:r>
      <w:r>
        <w:rPr>
          <w:spacing w:val="-2"/>
        </w:rPr>
        <w:t xml:space="preserve"> </w:t>
      </w:r>
      <w:r>
        <w:t>should</w:t>
      </w:r>
      <w:r>
        <w:rPr>
          <w:spacing w:val="-3"/>
        </w:rPr>
        <w:t xml:space="preserve"> </w:t>
      </w:r>
      <w:r>
        <w:t>report</w:t>
      </w:r>
      <w:r>
        <w:rPr>
          <w:spacing w:val="-3"/>
        </w:rPr>
        <w:t xml:space="preserve"> </w:t>
      </w:r>
      <w:r>
        <w:t>its</w:t>
      </w:r>
      <w:r>
        <w:rPr>
          <w:spacing w:val="-2"/>
        </w:rPr>
        <w:t xml:space="preserve"> </w:t>
      </w:r>
      <w:r>
        <w:t>occurrence</w:t>
      </w:r>
      <w:r>
        <w:rPr>
          <w:spacing w:val="-3"/>
        </w:rPr>
        <w:t xml:space="preserve"> </w:t>
      </w:r>
      <w:r>
        <w:t>to</w:t>
      </w:r>
      <w:r>
        <w:rPr>
          <w:spacing w:val="-3"/>
        </w:rPr>
        <w:t xml:space="preserve"> </w:t>
      </w:r>
      <w:r>
        <w:t>the</w:t>
      </w:r>
      <w:r>
        <w:rPr>
          <w:spacing w:val="-3"/>
        </w:rPr>
        <w:t xml:space="preserve"> </w:t>
      </w:r>
      <w:r>
        <w:t>police</w:t>
      </w:r>
      <w:r>
        <w:rPr>
          <w:spacing w:val="-3"/>
        </w:rPr>
        <w:t xml:space="preserve"> </w:t>
      </w:r>
      <w:r>
        <w:t>(75.5% and</w:t>
      </w:r>
      <w:r>
        <w:rPr>
          <w:spacing w:val="-3"/>
        </w:rPr>
        <w:t xml:space="preserve"> </w:t>
      </w:r>
      <w:r>
        <w:t>72.4%</w:t>
      </w:r>
      <w:r>
        <w:rPr>
          <w:spacing w:val="-2"/>
        </w:rPr>
        <w:t xml:space="preserve"> </w:t>
      </w:r>
      <w:r>
        <w:t>respectively).</w:t>
      </w:r>
      <w:r>
        <w:rPr>
          <w:spacing w:val="-3"/>
        </w:rPr>
        <w:t xml:space="preserve"> </w:t>
      </w:r>
      <w:r>
        <w:t>Awareness</w:t>
      </w:r>
      <w:r>
        <w:rPr>
          <w:spacing w:val="-2"/>
        </w:rPr>
        <w:t xml:space="preserve"> </w:t>
      </w:r>
      <w:r>
        <w:t>of</w:t>
      </w:r>
      <w:r>
        <w:rPr>
          <w:spacing w:val="-3"/>
        </w:rPr>
        <w:t xml:space="preserve"> </w:t>
      </w:r>
      <w:r>
        <w:t>temporary</w:t>
      </w:r>
      <w:r>
        <w:rPr>
          <w:spacing w:val="-2"/>
        </w:rPr>
        <w:t xml:space="preserve"> </w:t>
      </w:r>
      <w:r>
        <w:t>or family protection orders (62.7%) was quite high compared with awareness of the FPU (57.5%) and APs (18.5%). Given the small numbers of people seeking assistance from the FPU in the past year, applying for a temporary or family protection order or seeking help from an AP, the PJSS questions how well this reported knowledge and attitude is translating into practice. For this reason, the PJSS recommends further investigation of applications for and the granting of orders through justice intermediaries and the courts as well as the experiences with and efficacy of orders from the point of view of applicants (Putt and Dinnen, 2023).</w:t>
      </w:r>
    </w:p>
    <w:p w14:paraId="39C9E60B" w14:textId="10104ED4" w:rsidR="009C36E3" w:rsidRDefault="000E7207">
      <w:pPr>
        <w:pStyle w:val="BodyText"/>
        <w:spacing w:before="121"/>
        <w:ind w:right="120"/>
      </w:pPr>
      <w:r>
        <w:t>In 2023 the program reports increased levels of community engagement activities and community safety assessments undertaken by police and justice agencies, including those with chiefs. Once again, there is only output data available. The GoV, who funds MNCC through MJCS, has called on VAPJP to engage more deeply with MNCC as this agency steps up its support to the justice sector through community level initiatives lead by Chiefs. In the first six months of 2023 VAPJP supported community awareness in Sanma and Shefa across 80 communities. This includes VPF operational deployments through the AP and Police Nasara Program under Northern</w:t>
      </w:r>
      <w:r>
        <w:rPr>
          <w:spacing w:val="-2"/>
        </w:rPr>
        <w:t xml:space="preserve"> </w:t>
      </w:r>
      <w:r>
        <w:t>Command,</w:t>
      </w:r>
      <w:r>
        <w:rPr>
          <w:spacing w:val="-4"/>
        </w:rPr>
        <w:t xml:space="preserve"> </w:t>
      </w:r>
      <w:r>
        <w:t>collaborations</w:t>
      </w:r>
      <w:r>
        <w:rPr>
          <w:spacing w:val="-3"/>
        </w:rPr>
        <w:t xml:space="preserve"> </w:t>
      </w:r>
      <w:r>
        <w:t>between</w:t>
      </w:r>
      <w:r>
        <w:rPr>
          <w:spacing w:val="-4"/>
        </w:rPr>
        <w:t xml:space="preserve"> </w:t>
      </w:r>
      <w:r>
        <w:t>VPF</w:t>
      </w:r>
      <w:r>
        <w:rPr>
          <w:spacing w:val="-3"/>
        </w:rPr>
        <w:t xml:space="preserve"> </w:t>
      </w:r>
      <w:r>
        <w:t>and</w:t>
      </w:r>
      <w:r>
        <w:rPr>
          <w:spacing w:val="-2"/>
        </w:rPr>
        <w:t xml:space="preserve"> </w:t>
      </w:r>
      <w:r>
        <w:t>DBKS</w:t>
      </w:r>
      <w:r>
        <w:rPr>
          <w:spacing w:val="-2"/>
        </w:rPr>
        <w:t xml:space="preserve"> </w:t>
      </w:r>
      <w:r>
        <w:t>in</w:t>
      </w:r>
      <w:r>
        <w:rPr>
          <w:spacing w:val="-2"/>
        </w:rPr>
        <w:t xml:space="preserve"> </w:t>
      </w:r>
      <w:r>
        <w:t>Port</w:t>
      </w:r>
      <w:r>
        <w:rPr>
          <w:spacing w:val="-2"/>
        </w:rPr>
        <w:t xml:space="preserve"> </w:t>
      </w:r>
      <w:r>
        <w:t>Vila</w:t>
      </w:r>
      <w:r>
        <w:rPr>
          <w:spacing w:val="-2"/>
        </w:rPr>
        <w:t xml:space="preserve"> </w:t>
      </w:r>
      <w:r>
        <w:t>and</w:t>
      </w:r>
      <w:r>
        <w:rPr>
          <w:spacing w:val="-2"/>
        </w:rPr>
        <w:t xml:space="preserve"> </w:t>
      </w:r>
      <w:r>
        <w:t>Ifira,</w:t>
      </w:r>
      <w:r>
        <w:rPr>
          <w:spacing w:val="-2"/>
        </w:rPr>
        <w:t xml:space="preserve"> </w:t>
      </w:r>
      <w:r>
        <w:t>and</w:t>
      </w:r>
      <w:r>
        <w:rPr>
          <w:spacing w:val="-4"/>
        </w:rPr>
        <w:t xml:space="preserve"> </w:t>
      </w:r>
      <w:r>
        <w:t>collaborations</w:t>
      </w:r>
      <w:r>
        <w:rPr>
          <w:spacing w:val="-3"/>
        </w:rPr>
        <w:t xml:space="preserve"> </w:t>
      </w:r>
      <w:r>
        <w:t>between</w:t>
      </w:r>
      <w:r>
        <w:rPr>
          <w:spacing w:val="-4"/>
        </w:rPr>
        <w:t xml:space="preserve"> </w:t>
      </w:r>
      <w:r>
        <w:t xml:space="preserve">VPF, DBKS and MNCC in </w:t>
      </w:r>
      <w:r w:rsidR="00644E45">
        <w:t>Epi.</w:t>
      </w:r>
      <w:r>
        <w:t xml:space="preserve"> A total of 4289 people were reached in the first half of 2023 (1094 F; 1340 M; 1808 Youth;</w:t>
      </w:r>
      <w:r>
        <w:rPr>
          <w:spacing w:val="-3"/>
        </w:rPr>
        <w:t xml:space="preserve"> </w:t>
      </w:r>
      <w:r>
        <w:t>47</w:t>
      </w:r>
      <w:r>
        <w:rPr>
          <w:spacing w:val="-1"/>
        </w:rPr>
        <w:t xml:space="preserve"> </w:t>
      </w:r>
      <w:r>
        <w:t>PWD).</w:t>
      </w:r>
      <w:r>
        <w:rPr>
          <w:spacing w:val="-3"/>
        </w:rPr>
        <w:t xml:space="preserve"> </w:t>
      </w:r>
      <w:r>
        <w:t>This</w:t>
      </w:r>
      <w:r>
        <w:rPr>
          <w:spacing w:val="-2"/>
        </w:rPr>
        <w:t xml:space="preserve"> </w:t>
      </w:r>
      <w:r>
        <w:t>compares</w:t>
      </w:r>
      <w:r>
        <w:rPr>
          <w:spacing w:val="-2"/>
        </w:rPr>
        <w:t xml:space="preserve"> </w:t>
      </w:r>
      <w:r>
        <w:t>very</w:t>
      </w:r>
      <w:r>
        <w:rPr>
          <w:spacing w:val="-1"/>
        </w:rPr>
        <w:t xml:space="preserve"> </w:t>
      </w:r>
      <w:r>
        <w:t>favourably</w:t>
      </w:r>
      <w:r>
        <w:rPr>
          <w:spacing w:val="-2"/>
        </w:rPr>
        <w:t xml:space="preserve"> </w:t>
      </w:r>
      <w:r>
        <w:t>with</w:t>
      </w:r>
      <w:r>
        <w:rPr>
          <w:spacing w:val="-1"/>
        </w:rPr>
        <w:t xml:space="preserve"> </w:t>
      </w:r>
      <w:r>
        <w:t>502</w:t>
      </w:r>
      <w:r>
        <w:rPr>
          <w:spacing w:val="-1"/>
        </w:rPr>
        <w:t xml:space="preserve"> </w:t>
      </w:r>
      <w:r>
        <w:t>people</w:t>
      </w:r>
      <w:r>
        <w:rPr>
          <w:spacing w:val="-1"/>
        </w:rPr>
        <w:t xml:space="preserve"> </w:t>
      </w:r>
      <w:r>
        <w:t>reached</w:t>
      </w:r>
      <w:r>
        <w:rPr>
          <w:spacing w:val="-3"/>
        </w:rPr>
        <w:t xml:space="preserve"> </w:t>
      </w:r>
      <w:r>
        <w:t>in</w:t>
      </w:r>
      <w:r>
        <w:rPr>
          <w:spacing w:val="-3"/>
        </w:rPr>
        <w:t xml:space="preserve"> </w:t>
      </w:r>
      <w:r>
        <w:t>2021</w:t>
      </w:r>
      <w:r>
        <w:rPr>
          <w:spacing w:val="-3"/>
        </w:rPr>
        <w:t xml:space="preserve"> </w:t>
      </w:r>
      <w:r>
        <w:t>and</w:t>
      </w:r>
      <w:r>
        <w:rPr>
          <w:spacing w:val="-3"/>
        </w:rPr>
        <w:t xml:space="preserve"> </w:t>
      </w:r>
      <w:r>
        <w:t>514</w:t>
      </w:r>
      <w:r>
        <w:rPr>
          <w:spacing w:val="-3"/>
        </w:rPr>
        <w:t xml:space="preserve"> </w:t>
      </w:r>
      <w:r>
        <w:t>reached</w:t>
      </w:r>
      <w:r>
        <w:rPr>
          <w:spacing w:val="-1"/>
        </w:rPr>
        <w:t xml:space="preserve"> </w:t>
      </w:r>
      <w:r>
        <w:t>in</w:t>
      </w:r>
      <w:r>
        <w:rPr>
          <w:spacing w:val="-1"/>
        </w:rPr>
        <w:t xml:space="preserve"> </w:t>
      </w:r>
      <w:r>
        <w:t>2022.</w:t>
      </w:r>
      <w:r>
        <w:rPr>
          <w:spacing w:val="40"/>
        </w:rPr>
        <w:t xml:space="preserve"> </w:t>
      </w:r>
      <w:r>
        <w:t>World Vision completed the Police be the Change program with a total of 135 people over 18 months, 49 (F); 86 (M).</w:t>
      </w:r>
    </w:p>
    <w:p w14:paraId="118B19AD" w14:textId="77777777" w:rsidR="009C36E3" w:rsidRDefault="000E7207">
      <w:pPr>
        <w:pStyle w:val="BodyText"/>
      </w:pPr>
      <w:r>
        <w:t>VSPD fieldworkers and partners have provided support to 149 people with disabilities (61 female; 88 male), being new</w:t>
      </w:r>
      <w:r>
        <w:rPr>
          <w:spacing w:val="-4"/>
        </w:rPr>
        <w:t xml:space="preserve"> </w:t>
      </w:r>
      <w:r>
        <w:t>clients</w:t>
      </w:r>
      <w:r>
        <w:rPr>
          <w:spacing w:val="-3"/>
        </w:rPr>
        <w:t xml:space="preserve"> </w:t>
      </w:r>
      <w:r>
        <w:t>in</w:t>
      </w:r>
      <w:r>
        <w:rPr>
          <w:spacing w:val="-2"/>
        </w:rPr>
        <w:t xml:space="preserve"> </w:t>
      </w:r>
      <w:r>
        <w:t>Shefa</w:t>
      </w:r>
      <w:r>
        <w:rPr>
          <w:spacing w:val="-2"/>
        </w:rPr>
        <w:t xml:space="preserve"> </w:t>
      </w:r>
      <w:r>
        <w:t>and</w:t>
      </w:r>
      <w:r>
        <w:rPr>
          <w:spacing w:val="-2"/>
        </w:rPr>
        <w:t xml:space="preserve"> </w:t>
      </w:r>
      <w:r>
        <w:t>Tafea</w:t>
      </w:r>
      <w:r>
        <w:rPr>
          <w:spacing w:val="-2"/>
        </w:rPr>
        <w:t xml:space="preserve"> </w:t>
      </w:r>
      <w:r>
        <w:t>in</w:t>
      </w:r>
      <w:r>
        <w:rPr>
          <w:spacing w:val="-2"/>
        </w:rPr>
        <w:t xml:space="preserve"> </w:t>
      </w:r>
      <w:r>
        <w:t>the</w:t>
      </w:r>
      <w:r>
        <w:rPr>
          <w:spacing w:val="-2"/>
        </w:rPr>
        <w:t xml:space="preserve"> </w:t>
      </w:r>
      <w:r>
        <w:t>first</w:t>
      </w:r>
      <w:r>
        <w:rPr>
          <w:spacing w:val="-4"/>
        </w:rPr>
        <w:t xml:space="preserve"> </w:t>
      </w:r>
      <w:r>
        <w:t>six</w:t>
      </w:r>
      <w:r>
        <w:rPr>
          <w:spacing w:val="-2"/>
        </w:rPr>
        <w:t xml:space="preserve"> </w:t>
      </w:r>
      <w:r>
        <w:t>months of</w:t>
      </w:r>
      <w:r>
        <w:rPr>
          <w:spacing w:val="-4"/>
        </w:rPr>
        <w:t xml:space="preserve"> </w:t>
      </w:r>
      <w:r>
        <w:t>2023</w:t>
      </w:r>
      <w:r>
        <w:rPr>
          <w:spacing w:val="-2"/>
        </w:rPr>
        <w:t xml:space="preserve"> </w:t>
      </w:r>
      <w:r>
        <w:t>and</w:t>
      </w:r>
      <w:r>
        <w:rPr>
          <w:spacing w:val="-4"/>
        </w:rPr>
        <w:t xml:space="preserve"> </w:t>
      </w:r>
      <w:r>
        <w:t>referred</w:t>
      </w:r>
      <w:r>
        <w:rPr>
          <w:spacing w:val="-2"/>
        </w:rPr>
        <w:t xml:space="preserve"> </w:t>
      </w:r>
      <w:r>
        <w:t>12</w:t>
      </w:r>
      <w:r>
        <w:rPr>
          <w:spacing w:val="-2"/>
        </w:rPr>
        <w:t xml:space="preserve"> </w:t>
      </w:r>
      <w:r>
        <w:t>persons</w:t>
      </w:r>
      <w:r>
        <w:rPr>
          <w:spacing w:val="-3"/>
        </w:rPr>
        <w:t xml:space="preserve"> </w:t>
      </w:r>
      <w:r>
        <w:t>with</w:t>
      </w:r>
      <w:r>
        <w:rPr>
          <w:spacing w:val="-2"/>
        </w:rPr>
        <w:t xml:space="preserve"> </w:t>
      </w:r>
      <w:r>
        <w:t>disabilities 4(M);</w:t>
      </w:r>
      <w:r>
        <w:rPr>
          <w:spacing w:val="-2"/>
        </w:rPr>
        <w:t xml:space="preserve"> </w:t>
      </w:r>
      <w:r>
        <w:t>8(F)</w:t>
      </w:r>
      <w:r>
        <w:rPr>
          <w:spacing w:val="-3"/>
        </w:rPr>
        <w:t xml:space="preserve"> </w:t>
      </w:r>
      <w:r>
        <w:t>to policing or justice services or assisted in complaint resolution. (VAPJP,2023c) A broad range of actors both inside and outside VAPJP programming are involved in awareness raising in relation to domestic violence. It was not possible for the MTR team to verify the consistency of messaging and whether it demonstrates best practice in bringing about change in attitudes and practice. This is worthy of increased attention in future programming.</w:t>
      </w:r>
    </w:p>
    <w:p w14:paraId="2064C7FC" w14:textId="77777777" w:rsidR="009C36E3" w:rsidRDefault="000E7207">
      <w:pPr>
        <w:pStyle w:val="Heading7"/>
      </w:pPr>
      <w:r>
        <w:t>EOPO3:</w:t>
      </w:r>
      <w:r>
        <w:rPr>
          <w:spacing w:val="-6"/>
        </w:rPr>
        <w:t xml:space="preserve"> </w:t>
      </w:r>
      <w:r>
        <w:t>Policing</w:t>
      </w:r>
      <w:r>
        <w:rPr>
          <w:spacing w:val="-5"/>
        </w:rPr>
        <w:t xml:space="preserve"> </w:t>
      </w:r>
      <w:r>
        <w:t>and</w:t>
      </w:r>
      <w:r>
        <w:rPr>
          <w:spacing w:val="-7"/>
        </w:rPr>
        <w:t xml:space="preserve"> </w:t>
      </w:r>
      <w:r>
        <w:t>Justice</w:t>
      </w:r>
      <w:r>
        <w:rPr>
          <w:spacing w:val="-7"/>
        </w:rPr>
        <w:t xml:space="preserve"> </w:t>
      </w:r>
      <w:r>
        <w:t>agencies</w:t>
      </w:r>
      <w:r>
        <w:rPr>
          <w:spacing w:val="-6"/>
        </w:rPr>
        <w:t xml:space="preserve"> </w:t>
      </w:r>
      <w:r>
        <w:t>maintain</w:t>
      </w:r>
      <w:r>
        <w:rPr>
          <w:spacing w:val="-7"/>
        </w:rPr>
        <w:t xml:space="preserve"> </w:t>
      </w:r>
      <w:r>
        <w:t>public</w:t>
      </w:r>
      <w:r>
        <w:rPr>
          <w:spacing w:val="-8"/>
        </w:rPr>
        <w:t xml:space="preserve"> </w:t>
      </w:r>
      <w:r>
        <w:t>security</w:t>
      </w:r>
      <w:r>
        <w:rPr>
          <w:spacing w:val="-6"/>
        </w:rPr>
        <w:t xml:space="preserve"> </w:t>
      </w:r>
      <w:r>
        <w:t>and</w:t>
      </w:r>
      <w:r>
        <w:rPr>
          <w:spacing w:val="-7"/>
        </w:rPr>
        <w:t xml:space="preserve"> </w:t>
      </w:r>
      <w:r>
        <w:t>the</w:t>
      </w:r>
      <w:r>
        <w:rPr>
          <w:spacing w:val="-8"/>
        </w:rPr>
        <w:t xml:space="preserve"> </w:t>
      </w:r>
      <w:r>
        <w:t>rule</w:t>
      </w:r>
      <w:r>
        <w:rPr>
          <w:spacing w:val="-6"/>
        </w:rPr>
        <w:t xml:space="preserve"> </w:t>
      </w:r>
      <w:r>
        <w:t>of</w:t>
      </w:r>
      <w:r>
        <w:rPr>
          <w:spacing w:val="-7"/>
        </w:rPr>
        <w:t xml:space="preserve"> </w:t>
      </w:r>
      <w:r>
        <w:rPr>
          <w:spacing w:val="-4"/>
        </w:rPr>
        <w:t>law.</w:t>
      </w:r>
    </w:p>
    <w:p w14:paraId="5558C29F" w14:textId="77777777" w:rsidR="009C36E3" w:rsidRDefault="000E7207">
      <w:pPr>
        <w:spacing w:before="120"/>
        <w:ind w:left="1490"/>
        <w:rPr>
          <w:i/>
          <w:sz w:val="20"/>
        </w:rPr>
      </w:pPr>
      <w:r>
        <w:rPr>
          <w:noProof/>
        </w:rPr>
        <mc:AlternateContent>
          <mc:Choice Requires="wps">
            <w:drawing>
              <wp:anchor distT="0" distB="0" distL="0" distR="0" simplePos="0" relativeHeight="251638784" behindDoc="0" locked="0" layoutInCell="1" allowOverlap="1" wp14:anchorId="24766F8B" wp14:editId="379CCCA9">
                <wp:simplePos x="0" y="0"/>
                <wp:positionH relativeFrom="page">
                  <wp:posOffset>573317</wp:posOffset>
                </wp:positionH>
                <wp:positionV relativeFrom="paragraph">
                  <wp:posOffset>116002</wp:posOffset>
                </wp:positionV>
                <wp:extent cx="275590" cy="274955"/>
                <wp:effectExtent l="0" t="0" r="0" b="0"/>
                <wp:wrapNone/>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6E5F76F6" id="Graphic 43" o:spid="_x0000_s1026" alt="&quot;&quot;" style="position:absolute;margin-left:45.15pt;margin-top:9.15pt;width:21.7pt;height:21.65pt;z-index:15739904;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&#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3"/>
          <w:sz w:val="20"/>
        </w:rPr>
        <w:t xml:space="preserve"> </w:t>
      </w:r>
      <w:r>
        <w:rPr>
          <w:i/>
          <w:color w:val="007B92"/>
          <w:sz w:val="20"/>
        </w:rPr>
        <w:t>VAPJP</w:t>
      </w:r>
      <w:r>
        <w:rPr>
          <w:i/>
          <w:color w:val="007B92"/>
          <w:spacing w:val="-5"/>
          <w:sz w:val="20"/>
        </w:rPr>
        <w:t xml:space="preserve"> </w:t>
      </w:r>
      <w:r>
        <w:rPr>
          <w:i/>
          <w:color w:val="007B92"/>
          <w:sz w:val="20"/>
        </w:rPr>
        <w:t>has</w:t>
      </w:r>
      <w:r>
        <w:rPr>
          <w:i/>
          <w:color w:val="007B92"/>
          <w:spacing w:val="-3"/>
          <w:sz w:val="20"/>
        </w:rPr>
        <w:t xml:space="preserve"> </w:t>
      </w:r>
      <w:r>
        <w:rPr>
          <w:i/>
          <w:color w:val="007B92"/>
          <w:sz w:val="20"/>
        </w:rPr>
        <w:t>provided</w:t>
      </w:r>
      <w:r>
        <w:rPr>
          <w:i/>
          <w:color w:val="007B92"/>
          <w:spacing w:val="-4"/>
          <w:sz w:val="20"/>
        </w:rPr>
        <w:t xml:space="preserve"> </w:t>
      </w:r>
      <w:r>
        <w:rPr>
          <w:i/>
          <w:color w:val="007B92"/>
          <w:sz w:val="20"/>
        </w:rPr>
        <w:t>well-regarded</w:t>
      </w:r>
      <w:r>
        <w:rPr>
          <w:i/>
          <w:color w:val="007B92"/>
          <w:spacing w:val="-4"/>
          <w:sz w:val="20"/>
        </w:rPr>
        <w:t xml:space="preserve"> </w:t>
      </w:r>
      <w:r>
        <w:rPr>
          <w:i/>
          <w:color w:val="007B92"/>
          <w:sz w:val="20"/>
        </w:rPr>
        <w:t>support</w:t>
      </w:r>
      <w:r>
        <w:rPr>
          <w:i/>
          <w:color w:val="007B92"/>
          <w:spacing w:val="-4"/>
          <w:sz w:val="20"/>
        </w:rPr>
        <w:t xml:space="preserve"> </w:t>
      </w:r>
      <w:r>
        <w:rPr>
          <w:i/>
          <w:color w:val="007B92"/>
          <w:sz w:val="20"/>
        </w:rPr>
        <w:t>to</w:t>
      </w:r>
      <w:r>
        <w:rPr>
          <w:i/>
          <w:color w:val="007B92"/>
          <w:spacing w:val="-2"/>
          <w:sz w:val="20"/>
        </w:rPr>
        <w:t xml:space="preserve"> </w:t>
      </w:r>
      <w:r>
        <w:rPr>
          <w:i/>
          <w:color w:val="007B92"/>
          <w:sz w:val="20"/>
        </w:rPr>
        <w:t>policing</w:t>
      </w:r>
      <w:r>
        <w:rPr>
          <w:i/>
          <w:color w:val="007B92"/>
          <w:spacing w:val="-4"/>
          <w:sz w:val="20"/>
        </w:rPr>
        <w:t xml:space="preserve"> </w:t>
      </w:r>
      <w:r>
        <w:rPr>
          <w:i/>
          <w:color w:val="007B92"/>
          <w:sz w:val="20"/>
        </w:rPr>
        <w:t>and</w:t>
      </w:r>
      <w:r>
        <w:rPr>
          <w:i/>
          <w:color w:val="007B92"/>
          <w:spacing w:val="-2"/>
          <w:sz w:val="20"/>
        </w:rPr>
        <w:t xml:space="preserve"> </w:t>
      </w:r>
      <w:r>
        <w:rPr>
          <w:i/>
          <w:color w:val="007B92"/>
          <w:sz w:val="20"/>
        </w:rPr>
        <w:t>justice</w:t>
      </w:r>
      <w:r>
        <w:rPr>
          <w:i/>
          <w:color w:val="007B92"/>
          <w:spacing w:val="-2"/>
          <w:sz w:val="20"/>
        </w:rPr>
        <w:t xml:space="preserve"> </w:t>
      </w:r>
      <w:r>
        <w:rPr>
          <w:i/>
          <w:color w:val="007B92"/>
          <w:sz w:val="20"/>
        </w:rPr>
        <w:t>agencies</w:t>
      </w:r>
      <w:r>
        <w:rPr>
          <w:i/>
          <w:color w:val="007B92"/>
          <w:spacing w:val="-3"/>
          <w:sz w:val="20"/>
        </w:rPr>
        <w:t xml:space="preserve"> </w:t>
      </w:r>
      <w:r>
        <w:rPr>
          <w:i/>
          <w:color w:val="007B92"/>
          <w:sz w:val="20"/>
        </w:rPr>
        <w:t>to</w:t>
      </w:r>
      <w:r>
        <w:rPr>
          <w:i/>
          <w:color w:val="007B92"/>
          <w:spacing w:val="-4"/>
          <w:sz w:val="20"/>
        </w:rPr>
        <w:t xml:space="preserve"> </w:t>
      </w:r>
      <w:r>
        <w:rPr>
          <w:i/>
          <w:color w:val="007B92"/>
          <w:sz w:val="20"/>
        </w:rPr>
        <w:t>maintain</w:t>
      </w:r>
      <w:r>
        <w:rPr>
          <w:i/>
          <w:color w:val="007B92"/>
          <w:spacing w:val="-4"/>
          <w:sz w:val="20"/>
        </w:rPr>
        <w:t xml:space="preserve"> </w:t>
      </w:r>
      <w:r>
        <w:rPr>
          <w:i/>
          <w:color w:val="007B92"/>
          <w:sz w:val="20"/>
        </w:rPr>
        <w:t>public security and the rule of law. Confidence in VPF has reportedly increased due to their greater visibility, improved handling of crisis media communications, increased engagement with communities, and</w:t>
      </w:r>
    </w:p>
    <w:p w14:paraId="492F30D1" w14:textId="77777777" w:rsidR="009C36E3" w:rsidRDefault="000E7207">
      <w:pPr>
        <w:spacing w:before="2"/>
        <w:ind w:left="771"/>
        <w:rPr>
          <w:i/>
          <w:sz w:val="20"/>
        </w:rPr>
      </w:pPr>
      <w:r>
        <w:rPr>
          <w:i/>
          <w:color w:val="007B92"/>
          <w:sz w:val="20"/>
        </w:rPr>
        <w:t>improved</w:t>
      </w:r>
      <w:r>
        <w:rPr>
          <w:i/>
          <w:color w:val="007B92"/>
          <w:spacing w:val="-11"/>
          <w:sz w:val="20"/>
        </w:rPr>
        <w:t xml:space="preserve"> </w:t>
      </w:r>
      <w:r>
        <w:rPr>
          <w:i/>
          <w:color w:val="007B92"/>
          <w:sz w:val="20"/>
        </w:rPr>
        <w:t>approach</w:t>
      </w:r>
      <w:r>
        <w:rPr>
          <w:i/>
          <w:color w:val="007B92"/>
          <w:spacing w:val="-8"/>
          <w:sz w:val="20"/>
        </w:rPr>
        <w:t xml:space="preserve"> </w:t>
      </w:r>
      <w:r>
        <w:rPr>
          <w:i/>
          <w:color w:val="007B92"/>
          <w:sz w:val="20"/>
        </w:rPr>
        <w:t>to</w:t>
      </w:r>
      <w:r>
        <w:rPr>
          <w:i/>
          <w:color w:val="007B92"/>
          <w:spacing w:val="-8"/>
          <w:sz w:val="20"/>
        </w:rPr>
        <w:t xml:space="preserve"> </w:t>
      </w:r>
      <w:r>
        <w:rPr>
          <w:i/>
          <w:color w:val="007B92"/>
          <w:sz w:val="20"/>
        </w:rPr>
        <w:t>professional</w:t>
      </w:r>
      <w:r>
        <w:rPr>
          <w:i/>
          <w:color w:val="007B92"/>
          <w:spacing w:val="-10"/>
          <w:sz w:val="20"/>
        </w:rPr>
        <w:t xml:space="preserve"> </w:t>
      </w:r>
      <w:r>
        <w:rPr>
          <w:i/>
          <w:color w:val="007B92"/>
          <w:spacing w:val="-2"/>
          <w:sz w:val="20"/>
        </w:rPr>
        <w:t>standards.</w:t>
      </w:r>
    </w:p>
    <w:p w14:paraId="3270A0B6" w14:textId="77777777" w:rsidR="009C36E3" w:rsidRDefault="009C36E3">
      <w:pPr>
        <w:rPr>
          <w:sz w:val="20"/>
        </w:rPr>
        <w:sectPr w:rsidR="009C36E3">
          <w:pgSz w:w="11910" w:h="16850"/>
          <w:pgMar w:top="1040" w:right="740" w:bottom="740" w:left="80" w:header="552" w:footer="559" w:gutter="0"/>
          <w:cols w:space="720"/>
        </w:sectPr>
      </w:pPr>
    </w:p>
    <w:p w14:paraId="25D23757" w14:textId="77777777" w:rsidR="009C36E3" w:rsidRDefault="000E7207">
      <w:pPr>
        <w:spacing w:before="91"/>
        <w:ind w:left="1492" w:right="167"/>
        <w:rPr>
          <w:i/>
          <w:sz w:val="20"/>
        </w:rPr>
      </w:pPr>
      <w:r>
        <w:rPr>
          <w:noProof/>
        </w:rPr>
        <mc:AlternateContent>
          <mc:Choice Requires="wps">
            <w:drawing>
              <wp:anchor distT="0" distB="0" distL="0" distR="0" simplePos="0" relativeHeight="251642880" behindDoc="0" locked="0" layoutInCell="1" allowOverlap="1" wp14:anchorId="54CCF7EF" wp14:editId="3B7CF0AF">
                <wp:simplePos x="0" y="0"/>
                <wp:positionH relativeFrom="page">
                  <wp:posOffset>573317</wp:posOffset>
                </wp:positionH>
                <wp:positionV relativeFrom="paragraph">
                  <wp:posOffset>100127</wp:posOffset>
                </wp:positionV>
                <wp:extent cx="275590" cy="274955"/>
                <wp:effectExtent l="0" t="0" r="0" b="0"/>
                <wp:wrapNone/>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1198F79B" id="Graphic 44" o:spid="_x0000_s1026" alt="&quot;&quot;" style="position:absolute;margin-left:45.15pt;margin-top:7.9pt;width:21.7pt;height:21.65pt;z-index:15742464;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&#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3"/>
          <w:sz w:val="20"/>
        </w:rPr>
        <w:t xml:space="preserve"> </w:t>
      </w:r>
      <w:r>
        <w:rPr>
          <w:i/>
          <w:color w:val="007B92"/>
          <w:sz w:val="20"/>
        </w:rPr>
        <w:t>Purposeful</w:t>
      </w:r>
      <w:r>
        <w:rPr>
          <w:i/>
          <w:color w:val="007B92"/>
          <w:spacing w:val="-3"/>
          <w:sz w:val="20"/>
        </w:rPr>
        <w:t xml:space="preserve"> </w:t>
      </w:r>
      <w:r>
        <w:rPr>
          <w:i/>
          <w:color w:val="007B92"/>
          <w:sz w:val="20"/>
        </w:rPr>
        <w:t>development</w:t>
      </w:r>
      <w:r>
        <w:rPr>
          <w:i/>
          <w:color w:val="007B92"/>
          <w:spacing w:val="-4"/>
          <w:sz w:val="20"/>
        </w:rPr>
        <w:t xml:space="preserve"> </w:t>
      </w:r>
      <w:r>
        <w:rPr>
          <w:i/>
          <w:color w:val="007B92"/>
          <w:sz w:val="20"/>
        </w:rPr>
        <w:t>of</w:t>
      </w:r>
      <w:r>
        <w:rPr>
          <w:i/>
          <w:color w:val="007B92"/>
          <w:spacing w:val="-2"/>
          <w:sz w:val="20"/>
        </w:rPr>
        <w:t xml:space="preserve"> </w:t>
      </w:r>
      <w:r>
        <w:rPr>
          <w:i/>
          <w:color w:val="007B92"/>
          <w:sz w:val="20"/>
        </w:rPr>
        <w:t>the</w:t>
      </w:r>
      <w:r>
        <w:rPr>
          <w:i/>
          <w:color w:val="007B92"/>
          <w:spacing w:val="-2"/>
          <w:sz w:val="20"/>
        </w:rPr>
        <w:t xml:space="preserve"> </w:t>
      </w:r>
      <w:r>
        <w:rPr>
          <w:i/>
          <w:color w:val="007B92"/>
          <w:sz w:val="20"/>
        </w:rPr>
        <w:t>VPF</w:t>
      </w:r>
      <w:r>
        <w:rPr>
          <w:i/>
          <w:color w:val="007B92"/>
          <w:spacing w:val="-3"/>
          <w:sz w:val="20"/>
        </w:rPr>
        <w:t xml:space="preserve"> </w:t>
      </w:r>
      <w:r>
        <w:rPr>
          <w:i/>
          <w:color w:val="007B92"/>
          <w:sz w:val="20"/>
        </w:rPr>
        <w:t>has been</w:t>
      </w:r>
      <w:r>
        <w:rPr>
          <w:i/>
          <w:color w:val="007B92"/>
          <w:spacing w:val="-2"/>
          <w:sz w:val="20"/>
        </w:rPr>
        <w:t xml:space="preserve"> </w:t>
      </w:r>
      <w:r>
        <w:rPr>
          <w:i/>
          <w:color w:val="007B92"/>
          <w:sz w:val="20"/>
        </w:rPr>
        <w:t>greatly</w:t>
      </w:r>
      <w:r>
        <w:rPr>
          <w:i/>
          <w:color w:val="007B92"/>
          <w:spacing w:val="-3"/>
          <w:sz w:val="20"/>
        </w:rPr>
        <w:t xml:space="preserve"> </w:t>
      </w:r>
      <w:r>
        <w:rPr>
          <w:i/>
          <w:color w:val="007B92"/>
          <w:sz w:val="20"/>
        </w:rPr>
        <w:t>aided</w:t>
      </w:r>
      <w:r>
        <w:rPr>
          <w:i/>
          <w:color w:val="007B92"/>
          <w:spacing w:val="-2"/>
          <w:sz w:val="20"/>
        </w:rPr>
        <w:t xml:space="preserve"> </w:t>
      </w:r>
      <w:r>
        <w:rPr>
          <w:i/>
          <w:color w:val="007B92"/>
          <w:sz w:val="20"/>
        </w:rPr>
        <w:t>by</w:t>
      </w:r>
      <w:r>
        <w:rPr>
          <w:i/>
          <w:color w:val="007B92"/>
          <w:spacing w:val="-3"/>
          <w:sz w:val="20"/>
        </w:rPr>
        <w:t xml:space="preserve"> </w:t>
      </w:r>
      <w:r>
        <w:rPr>
          <w:i/>
          <w:color w:val="007B92"/>
          <w:sz w:val="20"/>
        </w:rPr>
        <w:t>the</w:t>
      </w:r>
      <w:r>
        <w:rPr>
          <w:i/>
          <w:color w:val="007B92"/>
          <w:spacing w:val="-4"/>
          <w:sz w:val="20"/>
        </w:rPr>
        <w:t xml:space="preserve"> </w:t>
      </w:r>
      <w:r>
        <w:rPr>
          <w:i/>
          <w:color w:val="007B92"/>
          <w:sz w:val="20"/>
        </w:rPr>
        <w:t>conducting</w:t>
      </w:r>
      <w:r>
        <w:rPr>
          <w:i/>
          <w:color w:val="007B92"/>
          <w:spacing w:val="-2"/>
          <w:sz w:val="20"/>
        </w:rPr>
        <w:t xml:space="preserve"> </w:t>
      </w:r>
      <w:r>
        <w:rPr>
          <w:i/>
          <w:color w:val="007B92"/>
          <w:sz w:val="20"/>
        </w:rPr>
        <w:t>of</w:t>
      </w:r>
      <w:r>
        <w:rPr>
          <w:i/>
          <w:color w:val="007B92"/>
          <w:spacing w:val="-4"/>
          <w:sz w:val="20"/>
        </w:rPr>
        <w:t xml:space="preserve"> </w:t>
      </w:r>
      <w:r>
        <w:rPr>
          <w:i/>
          <w:color w:val="007B92"/>
          <w:sz w:val="20"/>
        </w:rPr>
        <w:t>the</w:t>
      </w:r>
      <w:r>
        <w:rPr>
          <w:i/>
          <w:color w:val="007B92"/>
          <w:spacing w:val="-4"/>
          <w:sz w:val="20"/>
        </w:rPr>
        <w:t xml:space="preserve"> </w:t>
      </w:r>
      <w:r>
        <w:rPr>
          <w:i/>
          <w:color w:val="007B92"/>
          <w:sz w:val="20"/>
        </w:rPr>
        <w:t>VPF</w:t>
      </w:r>
      <w:r>
        <w:rPr>
          <w:i/>
          <w:color w:val="007B92"/>
          <w:spacing w:val="-3"/>
          <w:sz w:val="20"/>
        </w:rPr>
        <w:t xml:space="preserve"> </w:t>
      </w:r>
      <w:r>
        <w:rPr>
          <w:i/>
          <w:color w:val="007B92"/>
          <w:sz w:val="20"/>
        </w:rPr>
        <w:t>OPS, the acceptance of all its 85 recommendations, and their incorporation in VPF’s strategic plan (McLeod, 2022). An important next step for discussions about future support would be conducting a Total Cost of</w:t>
      </w:r>
    </w:p>
    <w:p w14:paraId="0CA1DA8D" w14:textId="77777777" w:rsidR="009C36E3" w:rsidRDefault="000E7207">
      <w:pPr>
        <w:spacing w:before="1"/>
        <w:ind w:left="772"/>
        <w:rPr>
          <w:i/>
          <w:sz w:val="20"/>
        </w:rPr>
      </w:pPr>
      <w:r>
        <w:rPr>
          <w:i/>
          <w:color w:val="007B92"/>
          <w:sz w:val="20"/>
        </w:rPr>
        <w:t>Policing</w:t>
      </w:r>
      <w:r>
        <w:rPr>
          <w:i/>
          <w:color w:val="007B92"/>
          <w:spacing w:val="-5"/>
          <w:sz w:val="20"/>
        </w:rPr>
        <w:t xml:space="preserve"> </w:t>
      </w:r>
      <w:r>
        <w:rPr>
          <w:i/>
          <w:color w:val="007B92"/>
          <w:sz w:val="20"/>
        </w:rPr>
        <w:t>Study,</w:t>
      </w:r>
      <w:r>
        <w:rPr>
          <w:i/>
          <w:color w:val="007B92"/>
          <w:spacing w:val="-5"/>
          <w:sz w:val="20"/>
        </w:rPr>
        <w:t xml:space="preserve"> </w:t>
      </w:r>
      <w:r>
        <w:rPr>
          <w:i/>
          <w:color w:val="007B92"/>
          <w:sz w:val="20"/>
        </w:rPr>
        <w:t>noting</w:t>
      </w:r>
      <w:r>
        <w:rPr>
          <w:i/>
          <w:color w:val="007B92"/>
          <w:spacing w:val="-4"/>
          <w:sz w:val="20"/>
        </w:rPr>
        <w:t xml:space="preserve"> </w:t>
      </w:r>
      <w:r>
        <w:rPr>
          <w:i/>
          <w:color w:val="007B92"/>
          <w:sz w:val="20"/>
        </w:rPr>
        <w:t>that</w:t>
      </w:r>
      <w:r>
        <w:rPr>
          <w:i/>
          <w:color w:val="007B92"/>
          <w:spacing w:val="-7"/>
          <w:sz w:val="20"/>
        </w:rPr>
        <w:t xml:space="preserve"> </w:t>
      </w:r>
      <w:r>
        <w:rPr>
          <w:i/>
          <w:color w:val="007B92"/>
          <w:sz w:val="20"/>
        </w:rPr>
        <w:t>the</w:t>
      </w:r>
      <w:r>
        <w:rPr>
          <w:i/>
          <w:color w:val="007B92"/>
          <w:spacing w:val="-6"/>
          <w:sz w:val="20"/>
        </w:rPr>
        <w:t xml:space="preserve"> </w:t>
      </w:r>
      <w:r>
        <w:rPr>
          <w:i/>
          <w:color w:val="007B92"/>
          <w:sz w:val="20"/>
        </w:rPr>
        <w:t>OPS</w:t>
      </w:r>
      <w:r>
        <w:rPr>
          <w:i/>
          <w:color w:val="007B92"/>
          <w:spacing w:val="-7"/>
          <w:sz w:val="20"/>
        </w:rPr>
        <w:t xml:space="preserve"> </w:t>
      </w:r>
      <w:r>
        <w:rPr>
          <w:i/>
          <w:color w:val="007B92"/>
          <w:sz w:val="20"/>
        </w:rPr>
        <w:t>reports</w:t>
      </w:r>
      <w:r>
        <w:rPr>
          <w:i/>
          <w:color w:val="007B92"/>
          <w:spacing w:val="-6"/>
          <w:sz w:val="20"/>
        </w:rPr>
        <w:t xml:space="preserve"> </w:t>
      </w:r>
      <w:r>
        <w:rPr>
          <w:i/>
          <w:color w:val="007B92"/>
          <w:sz w:val="20"/>
        </w:rPr>
        <w:t>that</w:t>
      </w:r>
      <w:r>
        <w:rPr>
          <w:i/>
          <w:color w:val="007B92"/>
          <w:spacing w:val="-6"/>
          <w:sz w:val="20"/>
        </w:rPr>
        <w:t xml:space="preserve"> </w:t>
      </w:r>
      <w:r>
        <w:rPr>
          <w:i/>
          <w:color w:val="007B92"/>
          <w:sz w:val="20"/>
        </w:rPr>
        <w:t>this</w:t>
      </w:r>
      <w:r>
        <w:rPr>
          <w:i/>
          <w:color w:val="007B92"/>
          <w:spacing w:val="-6"/>
          <w:sz w:val="20"/>
        </w:rPr>
        <w:t xml:space="preserve"> </w:t>
      </w:r>
      <w:r>
        <w:rPr>
          <w:i/>
          <w:color w:val="007B92"/>
          <w:sz w:val="20"/>
        </w:rPr>
        <w:t>is</w:t>
      </w:r>
      <w:r>
        <w:rPr>
          <w:i/>
          <w:color w:val="007B92"/>
          <w:spacing w:val="-3"/>
          <w:sz w:val="20"/>
        </w:rPr>
        <w:t xml:space="preserve"> </w:t>
      </w:r>
      <w:r>
        <w:rPr>
          <w:i/>
          <w:color w:val="007B92"/>
          <w:sz w:val="20"/>
        </w:rPr>
        <w:t>not</w:t>
      </w:r>
      <w:r>
        <w:rPr>
          <w:i/>
          <w:color w:val="007B92"/>
          <w:spacing w:val="-6"/>
          <w:sz w:val="20"/>
        </w:rPr>
        <w:t xml:space="preserve"> </w:t>
      </w:r>
      <w:r>
        <w:rPr>
          <w:i/>
          <w:color w:val="007B92"/>
          <w:sz w:val="20"/>
        </w:rPr>
        <w:t>currently</w:t>
      </w:r>
      <w:r>
        <w:rPr>
          <w:i/>
          <w:color w:val="007B92"/>
          <w:spacing w:val="-6"/>
          <w:sz w:val="20"/>
        </w:rPr>
        <w:t xml:space="preserve"> </w:t>
      </w:r>
      <w:r>
        <w:rPr>
          <w:i/>
          <w:color w:val="007B92"/>
          <w:spacing w:val="-2"/>
          <w:sz w:val="20"/>
        </w:rPr>
        <w:t>known.</w:t>
      </w:r>
    </w:p>
    <w:p w14:paraId="384A13D0" w14:textId="67B53CCE" w:rsidR="009C36E3" w:rsidRDefault="000E7207">
      <w:pPr>
        <w:pStyle w:val="BodyText"/>
        <w:spacing w:before="120"/>
        <w:ind w:left="772" w:right="192"/>
      </w:pPr>
      <w:r>
        <w:t>The 2020 Design Update explicitly recognised the contribution that the Program makes towards supporting the GoV to maintain confidence of the public in stability and security, noting also the need to maintain a balance between short term gains and building momentum for long term sustainable change. This occurred with the addition</w:t>
      </w:r>
      <w:r>
        <w:rPr>
          <w:spacing w:val="-3"/>
        </w:rPr>
        <w:t xml:space="preserve"> </w:t>
      </w:r>
      <w:r>
        <w:t>of</w:t>
      </w:r>
      <w:r>
        <w:rPr>
          <w:spacing w:val="-3"/>
        </w:rPr>
        <w:t xml:space="preserve"> </w:t>
      </w:r>
      <w:r>
        <w:t>EOPO3</w:t>
      </w:r>
      <w:r>
        <w:rPr>
          <w:spacing w:val="-3"/>
        </w:rPr>
        <w:t xml:space="preserve"> </w:t>
      </w:r>
      <w:r>
        <w:t>(VAPJP,</w:t>
      </w:r>
      <w:r>
        <w:rPr>
          <w:spacing w:val="-3"/>
        </w:rPr>
        <w:t xml:space="preserve"> </w:t>
      </w:r>
      <w:r>
        <w:t>2020),</w:t>
      </w:r>
      <w:r>
        <w:rPr>
          <w:spacing w:val="-3"/>
        </w:rPr>
        <w:t xml:space="preserve"> </w:t>
      </w:r>
      <w:r>
        <w:t>as</w:t>
      </w:r>
      <w:r>
        <w:rPr>
          <w:spacing w:val="-2"/>
        </w:rPr>
        <w:t xml:space="preserve"> </w:t>
      </w:r>
      <w:r>
        <w:t>recommended</w:t>
      </w:r>
      <w:r>
        <w:rPr>
          <w:spacing w:val="-3"/>
        </w:rPr>
        <w:t xml:space="preserve"> </w:t>
      </w:r>
      <w:r>
        <w:t>by</w:t>
      </w:r>
      <w:r>
        <w:rPr>
          <w:spacing w:val="-2"/>
        </w:rPr>
        <w:t xml:space="preserve"> </w:t>
      </w:r>
      <w:r>
        <w:t>the</w:t>
      </w:r>
      <w:r>
        <w:rPr>
          <w:spacing w:val="-3"/>
        </w:rPr>
        <w:t xml:space="preserve"> </w:t>
      </w:r>
      <w:r>
        <w:t>2019</w:t>
      </w:r>
      <w:r>
        <w:rPr>
          <w:spacing w:val="-1"/>
        </w:rPr>
        <w:t xml:space="preserve"> </w:t>
      </w:r>
      <w:r>
        <w:t>evaluation</w:t>
      </w:r>
      <w:r>
        <w:rPr>
          <w:spacing w:val="-1"/>
        </w:rPr>
        <w:t xml:space="preserve"> </w:t>
      </w:r>
      <w:r>
        <w:t>of</w:t>
      </w:r>
      <w:r>
        <w:rPr>
          <w:spacing w:val="-3"/>
        </w:rPr>
        <w:t xml:space="preserve"> </w:t>
      </w:r>
      <w:r>
        <w:t>the</w:t>
      </w:r>
      <w:r>
        <w:rPr>
          <w:spacing w:val="-3"/>
        </w:rPr>
        <w:t xml:space="preserve"> </w:t>
      </w:r>
      <w:r>
        <w:t>predecessor</w:t>
      </w:r>
      <w:r>
        <w:rPr>
          <w:spacing w:val="-2"/>
        </w:rPr>
        <w:t xml:space="preserve"> </w:t>
      </w:r>
      <w:r>
        <w:t>program</w:t>
      </w:r>
      <w:r>
        <w:rPr>
          <w:spacing w:val="-3"/>
        </w:rPr>
        <w:t xml:space="preserve"> </w:t>
      </w:r>
      <w:r>
        <w:t xml:space="preserve">(Nichols et.al, 2019). </w:t>
      </w:r>
    </w:p>
    <w:p w14:paraId="0CE6DC12" w14:textId="77777777" w:rsidR="009C36E3" w:rsidRDefault="000E7207">
      <w:pPr>
        <w:pStyle w:val="BodyText"/>
        <w:spacing w:before="120"/>
        <w:ind w:right="120"/>
      </w:pPr>
      <w:r>
        <w:t>The</w:t>
      </w:r>
      <w:r>
        <w:rPr>
          <w:spacing w:val="-3"/>
        </w:rPr>
        <w:t xml:space="preserve"> </w:t>
      </w:r>
      <w:r>
        <w:t>stability</w:t>
      </w:r>
      <w:r>
        <w:rPr>
          <w:spacing w:val="-2"/>
        </w:rPr>
        <w:t xml:space="preserve"> </w:t>
      </w:r>
      <w:r>
        <w:t>of</w:t>
      </w:r>
      <w:r>
        <w:rPr>
          <w:spacing w:val="-1"/>
        </w:rPr>
        <w:t xml:space="preserve"> </w:t>
      </w:r>
      <w:r>
        <w:t>the</w:t>
      </w:r>
      <w:r>
        <w:rPr>
          <w:spacing w:val="-1"/>
        </w:rPr>
        <w:t xml:space="preserve"> </w:t>
      </w:r>
      <w:r>
        <w:t>VPF</w:t>
      </w:r>
      <w:r>
        <w:rPr>
          <w:spacing w:val="-2"/>
        </w:rPr>
        <w:t xml:space="preserve"> </w:t>
      </w:r>
      <w:r>
        <w:t>during</w:t>
      </w:r>
      <w:r>
        <w:rPr>
          <w:spacing w:val="-1"/>
        </w:rPr>
        <w:t xml:space="preserve"> </w:t>
      </w:r>
      <w:r>
        <w:t>a</w:t>
      </w:r>
      <w:r>
        <w:rPr>
          <w:spacing w:val="-3"/>
        </w:rPr>
        <w:t xml:space="preserve"> </w:t>
      </w:r>
      <w:r>
        <w:t>period</w:t>
      </w:r>
      <w:r>
        <w:rPr>
          <w:spacing w:val="-3"/>
        </w:rPr>
        <w:t xml:space="preserve"> </w:t>
      </w:r>
      <w:r>
        <w:t>of</w:t>
      </w:r>
      <w:r>
        <w:rPr>
          <w:spacing w:val="-1"/>
        </w:rPr>
        <w:t xml:space="preserve"> </w:t>
      </w:r>
      <w:r>
        <w:t>broader</w:t>
      </w:r>
      <w:r>
        <w:rPr>
          <w:spacing w:val="-2"/>
        </w:rPr>
        <w:t xml:space="preserve"> </w:t>
      </w:r>
      <w:r>
        <w:t>political</w:t>
      </w:r>
      <w:r>
        <w:rPr>
          <w:spacing w:val="-2"/>
        </w:rPr>
        <w:t xml:space="preserve"> </w:t>
      </w:r>
      <w:r>
        <w:t>instability</w:t>
      </w:r>
      <w:r>
        <w:rPr>
          <w:spacing w:val="-2"/>
        </w:rPr>
        <w:t xml:space="preserve"> </w:t>
      </w:r>
      <w:r>
        <w:t>was</w:t>
      </w:r>
      <w:r>
        <w:rPr>
          <w:spacing w:val="-2"/>
        </w:rPr>
        <w:t xml:space="preserve"> </w:t>
      </w:r>
      <w:r>
        <w:t>noted</w:t>
      </w:r>
      <w:r>
        <w:rPr>
          <w:spacing w:val="-1"/>
        </w:rPr>
        <w:t xml:space="preserve"> </w:t>
      </w:r>
      <w:r>
        <w:t>by</w:t>
      </w:r>
      <w:r>
        <w:rPr>
          <w:spacing w:val="-2"/>
        </w:rPr>
        <w:t xml:space="preserve"> </w:t>
      </w:r>
      <w:r>
        <w:t>many</w:t>
      </w:r>
      <w:r>
        <w:rPr>
          <w:spacing w:val="-2"/>
        </w:rPr>
        <w:t xml:space="preserve"> </w:t>
      </w:r>
      <w:r>
        <w:t>respondents,</w:t>
      </w:r>
      <w:r>
        <w:rPr>
          <w:spacing w:val="-3"/>
        </w:rPr>
        <w:t xml:space="preserve"> </w:t>
      </w:r>
      <w:r>
        <w:t>as</w:t>
      </w:r>
      <w:r>
        <w:rPr>
          <w:spacing w:val="-2"/>
        </w:rPr>
        <w:t xml:space="preserve"> </w:t>
      </w:r>
      <w:r>
        <w:t>was</w:t>
      </w:r>
      <w:r>
        <w:rPr>
          <w:spacing w:val="-2"/>
        </w:rPr>
        <w:t xml:space="preserve"> </w:t>
      </w:r>
      <w:r>
        <w:t>the good relationship between COMPOL and the current AFP Commander/PC-P, and how it contributes to this outcome. The VPF have been able to learn from incidents such as occurred in Big Bay in 2020, and Teouma in 2022 with VPF increasing its standing by responding quickly and appropriately to incidents of police brutality or operating outside the law.</w:t>
      </w:r>
    </w:p>
    <w:p w14:paraId="0F955949" w14:textId="77777777" w:rsidR="009C36E3" w:rsidRDefault="000E7207">
      <w:pPr>
        <w:pStyle w:val="BodyText"/>
        <w:spacing w:before="120"/>
        <w:ind w:left="772" w:right="167"/>
      </w:pPr>
      <w:r>
        <w:t>Purposeful development of the VPF has been greatly aided by the conducting of the VPF OPS, the acceptance of all</w:t>
      </w:r>
      <w:r>
        <w:rPr>
          <w:spacing w:val="-3"/>
        </w:rPr>
        <w:t xml:space="preserve"> </w:t>
      </w:r>
      <w:r>
        <w:t>its</w:t>
      </w:r>
      <w:r>
        <w:rPr>
          <w:spacing w:val="-3"/>
        </w:rPr>
        <w:t xml:space="preserve"> </w:t>
      </w:r>
      <w:r>
        <w:t>85</w:t>
      </w:r>
      <w:r>
        <w:rPr>
          <w:spacing w:val="-4"/>
        </w:rPr>
        <w:t xml:space="preserve"> </w:t>
      </w:r>
      <w:r>
        <w:t>recommendations,</w:t>
      </w:r>
      <w:r>
        <w:rPr>
          <w:spacing w:val="-4"/>
        </w:rPr>
        <w:t xml:space="preserve"> </w:t>
      </w:r>
      <w:r>
        <w:t>and</w:t>
      </w:r>
      <w:r>
        <w:rPr>
          <w:spacing w:val="-2"/>
        </w:rPr>
        <w:t xml:space="preserve"> </w:t>
      </w:r>
      <w:r>
        <w:t>their</w:t>
      </w:r>
      <w:r>
        <w:rPr>
          <w:spacing w:val="-3"/>
        </w:rPr>
        <w:t xml:space="preserve"> </w:t>
      </w:r>
      <w:r>
        <w:t>incorporation</w:t>
      </w:r>
      <w:r>
        <w:rPr>
          <w:spacing w:val="-2"/>
        </w:rPr>
        <w:t xml:space="preserve"> </w:t>
      </w:r>
      <w:r>
        <w:t>in</w:t>
      </w:r>
      <w:r>
        <w:rPr>
          <w:spacing w:val="-2"/>
        </w:rPr>
        <w:t xml:space="preserve"> </w:t>
      </w:r>
      <w:r>
        <w:t>VPF’s</w:t>
      </w:r>
      <w:r>
        <w:rPr>
          <w:spacing w:val="-3"/>
        </w:rPr>
        <w:t xml:space="preserve"> </w:t>
      </w:r>
      <w:r>
        <w:t>strategic</w:t>
      </w:r>
      <w:r>
        <w:rPr>
          <w:spacing w:val="-3"/>
        </w:rPr>
        <w:t xml:space="preserve"> </w:t>
      </w:r>
      <w:r>
        <w:t>plan</w:t>
      </w:r>
      <w:r>
        <w:rPr>
          <w:spacing w:val="-4"/>
        </w:rPr>
        <w:t xml:space="preserve"> </w:t>
      </w:r>
      <w:r>
        <w:t>(McLeod,</w:t>
      </w:r>
      <w:r>
        <w:rPr>
          <w:spacing w:val="-4"/>
        </w:rPr>
        <w:t xml:space="preserve"> </w:t>
      </w:r>
      <w:r>
        <w:t>2022).</w:t>
      </w:r>
      <w:r>
        <w:rPr>
          <w:spacing w:val="-2"/>
        </w:rPr>
        <w:t xml:space="preserve"> </w:t>
      </w:r>
      <w:r>
        <w:t>An</w:t>
      </w:r>
      <w:r>
        <w:rPr>
          <w:spacing w:val="-2"/>
        </w:rPr>
        <w:t xml:space="preserve"> </w:t>
      </w:r>
      <w:r>
        <w:t>important</w:t>
      </w:r>
      <w:r>
        <w:rPr>
          <w:spacing w:val="-4"/>
        </w:rPr>
        <w:t xml:space="preserve"> </w:t>
      </w:r>
      <w:r>
        <w:t>next</w:t>
      </w:r>
      <w:r>
        <w:rPr>
          <w:spacing w:val="-2"/>
        </w:rPr>
        <w:t xml:space="preserve"> </w:t>
      </w:r>
      <w:r>
        <w:t>step for discussions about future support would be conducting a Total Cost of Policing Study, noting that the OPS reports that this is not currently known. This would also help focus on difficult decisions about the extent that decentralisation is possible, and the most realistic and feasible mix of approaches to providing remote policing.</w:t>
      </w:r>
    </w:p>
    <w:p w14:paraId="6F8F0894" w14:textId="77777777" w:rsidR="009C36E3" w:rsidRDefault="000E7207">
      <w:pPr>
        <w:pStyle w:val="BodyText"/>
        <w:spacing w:before="1"/>
        <w:ind w:left="772" w:right="167"/>
      </w:pPr>
      <w:r>
        <w:t>Expanding</w:t>
      </w:r>
      <w:r>
        <w:rPr>
          <w:spacing w:val="-4"/>
        </w:rPr>
        <w:t xml:space="preserve"> </w:t>
      </w:r>
      <w:r>
        <w:t>the</w:t>
      </w:r>
      <w:r>
        <w:rPr>
          <w:spacing w:val="-4"/>
        </w:rPr>
        <w:t xml:space="preserve"> </w:t>
      </w:r>
      <w:r>
        <w:t>emphasis</w:t>
      </w:r>
      <w:r>
        <w:rPr>
          <w:spacing w:val="-3"/>
        </w:rPr>
        <w:t xml:space="preserve"> </w:t>
      </w:r>
      <w:r>
        <w:t>on</w:t>
      </w:r>
      <w:r>
        <w:rPr>
          <w:spacing w:val="-4"/>
        </w:rPr>
        <w:t xml:space="preserve"> </w:t>
      </w:r>
      <w:r>
        <w:t>the</w:t>
      </w:r>
      <w:r>
        <w:rPr>
          <w:spacing w:val="-2"/>
        </w:rPr>
        <w:t xml:space="preserve"> </w:t>
      </w:r>
      <w:r>
        <w:t>Nasara</w:t>
      </w:r>
      <w:r>
        <w:rPr>
          <w:spacing w:val="-2"/>
        </w:rPr>
        <w:t xml:space="preserve"> </w:t>
      </w:r>
      <w:r>
        <w:t>program</w:t>
      </w:r>
      <w:r>
        <w:rPr>
          <w:spacing w:val="-4"/>
        </w:rPr>
        <w:t xml:space="preserve"> </w:t>
      </w:r>
      <w:r>
        <w:t>and</w:t>
      </w:r>
      <w:r>
        <w:rPr>
          <w:spacing w:val="-2"/>
        </w:rPr>
        <w:t xml:space="preserve"> </w:t>
      </w:r>
      <w:r>
        <w:t>police</w:t>
      </w:r>
      <w:r>
        <w:rPr>
          <w:spacing w:val="-4"/>
        </w:rPr>
        <w:t xml:space="preserve"> </w:t>
      </w:r>
      <w:r>
        <w:t>rotations</w:t>
      </w:r>
      <w:r>
        <w:rPr>
          <w:spacing w:val="-3"/>
        </w:rPr>
        <w:t xml:space="preserve"> </w:t>
      </w:r>
      <w:r>
        <w:t>rather</w:t>
      </w:r>
      <w:r>
        <w:rPr>
          <w:spacing w:val="-3"/>
        </w:rPr>
        <w:t xml:space="preserve"> </w:t>
      </w:r>
      <w:r>
        <w:t>than</w:t>
      </w:r>
      <w:r>
        <w:rPr>
          <w:spacing w:val="-2"/>
        </w:rPr>
        <w:t xml:space="preserve"> </w:t>
      </w:r>
      <w:r>
        <w:t>provision</w:t>
      </w:r>
      <w:r>
        <w:rPr>
          <w:spacing w:val="-4"/>
        </w:rPr>
        <w:t xml:space="preserve"> </w:t>
      </w:r>
      <w:r>
        <w:t>of</w:t>
      </w:r>
      <w:r>
        <w:rPr>
          <w:spacing w:val="-2"/>
        </w:rPr>
        <w:t xml:space="preserve"> </w:t>
      </w:r>
      <w:r>
        <w:t>permanent</w:t>
      </w:r>
      <w:r>
        <w:rPr>
          <w:spacing w:val="-4"/>
        </w:rPr>
        <w:t xml:space="preserve"> </w:t>
      </w:r>
      <w:r>
        <w:t>police posts may be both more feasible and effective.</w:t>
      </w:r>
    </w:p>
    <w:p w14:paraId="5D490568" w14:textId="77777777" w:rsidR="009C36E3" w:rsidRDefault="000E7207" w:rsidP="00D220AA">
      <w:pPr>
        <w:pStyle w:val="BodyText"/>
        <w:spacing w:before="120" w:after="240"/>
        <w:ind w:right="119"/>
      </w:pPr>
      <w:r>
        <w:t>VAPJP</w:t>
      </w:r>
      <w:r>
        <w:rPr>
          <w:spacing w:val="-1"/>
        </w:rPr>
        <w:t xml:space="preserve"> </w:t>
      </w:r>
      <w:r>
        <w:t>support to business continuity for the justice sector amidst the many crises faced has been well</w:t>
      </w:r>
      <w:r>
        <w:rPr>
          <w:spacing w:val="-1"/>
        </w:rPr>
        <w:t xml:space="preserve"> </w:t>
      </w:r>
      <w:r>
        <w:t>received across the sector. The PJSS survey notes that their study “did not shed much light on satisfaction with justice services as so few survey respondents and focus group participants had direct experiences of the services”, although</w:t>
      </w:r>
      <w:r>
        <w:rPr>
          <w:spacing w:val="-3"/>
        </w:rPr>
        <w:t xml:space="preserve"> </w:t>
      </w:r>
      <w:r>
        <w:t>it</w:t>
      </w:r>
      <w:r>
        <w:rPr>
          <w:spacing w:val="-3"/>
        </w:rPr>
        <w:t xml:space="preserve"> </w:t>
      </w:r>
      <w:r>
        <w:t>is</w:t>
      </w:r>
      <w:r>
        <w:rPr>
          <w:spacing w:val="-2"/>
        </w:rPr>
        <w:t xml:space="preserve"> </w:t>
      </w:r>
      <w:r>
        <w:t>noted</w:t>
      </w:r>
      <w:r>
        <w:rPr>
          <w:spacing w:val="-3"/>
        </w:rPr>
        <w:t xml:space="preserve"> </w:t>
      </w:r>
      <w:r>
        <w:t>that</w:t>
      </w:r>
      <w:r>
        <w:rPr>
          <w:spacing w:val="-3"/>
        </w:rPr>
        <w:t xml:space="preserve"> </w:t>
      </w:r>
      <w:r>
        <w:t>people</w:t>
      </w:r>
      <w:r>
        <w:rPr>
          <w:spacing w:val="-3"/>
        </w:rPr>
        <w:t xml:space="preserve"> </w:t>
      </w:r>
      <w:r>
        <w:t>had</w:t>
      </w:r>
      <w:r>
        <w:rPr>
          <w:spacing w:val="-3"/>
        </w:rPr>
        <w:t xml:space="preserve"> </w:t>
      </w:r>
      <w:r>
        <w:t>a</w:t>
      </w:r>
      <w:r>
        <w:rPr>
          <w:spacing w:val="-1"/>
        </w:rPr>
        <w:t xml:space="preserve"> </w:t>
      </w:r>
      <w:r>
        <w:t>generally</w:t>
      </w:r>
      <w:r>
        <w:rPr>
          <w:spacing w:val="-2"/>
        </w:rPr>
        <w:t xml:space="preserve"> </w:t>
      </w:r>
      <w:r>
        <w:t>positive</w:t>
      </w:r>
      <w:r>
        <w:rPr>
          <w:spacing w:val="-3"/>
        </w:rPr>
        <w:t xml:space="preserve"> </w:t>
      </w:r>
      <w:r>
        <w:t>impression</w:t>
      </w:r>
      <w:r>
        <w:rPr>
          <w:spacing w:val="-1"/>
        </w:rPr>
        <w:t xml:space="preserve"> </w:t>
      </w:r>
      <w:r>
        <w:t>of</w:t>
      </w:r>
      <w:r>
        <w:rPr>
          <w:spacing w:val="-3"/>
        </w:rPr>
        <w:t xml:space="preserve"> </w:t>
      </w:r>
      <w:r>
        <w:t>the</w:t>
      </w:r>
      <w:r>
        <w:rPr>
          <w:spacing w:val="-3"/>
        </w:rPr>
        <w:t xml:space="preserve"> </w:t>
      </w:r>
      <w:r>
        <w:t>justice system</w:t>
      </w:r>
      <w:r>
        <w:rPr>
          <w:spacing w:val="-3"/>
        </w:rPr>
        <w:t xml:space="preserve"> </w:t>
      </w:r>
      <w:r>
        <w:t>in</w:t>
      </w:r>
      <w:r>
        <w:rPr>
          <w:spacing w:val="-3"/>
        </w:rPr>
        <w:t xml:space="preserve"> </w:t>
      </w:r>
      <w:r>
        <w:t>the</w:t>
      </w:r>
      <w:r>
        <w:rPr>
          <w:spacing w:val="-3"/>
        </w:rPr>
        <w:t xml:space="preserve"> </w:t>
      </w:r>
      <w:r>
        <w:t>abstract</w:t>
      </w:r>
      <w:r>
        <w:rPr>
          <w:spacing w:val="-3"/>
        </w:rPr>
        <w:t xml:space="preserve"> </w:t>
      </w:r>
      <w:r>
        <w:t>(Putt</w:t>
      </w:r>
      <w:r>
        <w:rPr>
          <w:spacing w:val="-1"/>
        </w:rPr>
        <w:t xml:space="preserve"> </w:t>
      </w:r>
      <w:r>
        <w:t>and Dinnen, 2023.).</w:t>
      </w:r>
    </w:p>
    <w:p w14:paraId="12B33A80" w14:textId="77777777" w:rsidR="009C36E3" w:rsidRDefault="000E7207">
      <w:pPr>
        <w:pStyle w:val="Heading6"/>
        <w:numPr>
          <w:ilvl w:val="2"/>
          <w:numId w:val="33"/>
        </w:numPr>
        <w:tabs>
          <w:tab w:val="left" w:pos="1491"/>
        </w:tabs>
        <w:ind w:left="1491" w:hanging="719"/>
      </w:pPr>
      <w:bookmarkStart w:id="40" w:name="3.1.2_Gender_Equality,_Disability_and_So"/>
      <w:bookmarkEnd w:id="40"/>
      <w:r>
        <w:rPr>
          <w:color w:val="007B92"/>
        </w:rPr>
        <w:t>Gender</w:t>
      </w:r>
      <w:r>
        <w:rPr>
          <w:color w:val="007B92"/>
          <w:spacing w:val="-5"/>
        </w:rPr>
        <w:t xml:space="preserve"> </w:t>
      </w:r>
      <w:r>
        <w:rPr>
          <w:color w:val="007B92"/>
        </w:rPr>
        <w:t>Equality,</w:t>
      </w:r>
      <w:r>
        <w:rPr>
          <w:color w:val="007B92"/>
          <w:spacing w:val="-4"/>
        </w:rPr>
        <w:t xml:space="preserve"> </w:t>
      </w:r>
      <w:r>
        <w:rPr>
          <w:color w:val="007B92"/>
        </w:rPr>
        <w:t>Disability</w:t>
      </w:r>
      <w:r>
        <w:rPr>
          <w:color w:val="007B92"/>
          <w:spacing w:val="-6"/>
        </w:rPr>
        <w:t xml:space="preserve"> </w:t>
      </w:r>
      <w:r>
        <w:rPr>
          <w:color w:val="007B92"/>
        </w:rPr>
        <w:t>and</w:t>
      </w:r>
      <w:r>
        <w:rPr>
          <w:color w:val="007B92"/>
          <w:spacing w:val="-5"/>
        </w:rPr>
        <w:t xml:space="preserve"> </w:t>
      </w:r>
      <w:r>
        <w:rPr>
          <w:color w:val="007B92"/>
        </w:rPr>
        <w:t>Social</w:t>
      </w:r>
      <w:r>
        <w:rPr>
          <w:color w:val="007B92"/>
          <w:spacing w:val="-6"/>
        </w:rPr>
        <w:t xml:space="preserve"> </w:t>
      </w:r>
      <w:r>
        <w:rPr>
          <w:color w:val="007B92"/>
          <w:spacing w:val="-2"/>
        </w:rPr>
        <w:t>Inclusion</w:t>
      </w:r>
    </w:p>
    <w:p w14:paraId="00D8006B" w14:textId="77777777" w:rsidR="009C36E3" w:rsidRDefault="000E7207">
      <w:pPr>
        <w:spacing w:before="119"/>
        <w:ind w:left="771" w:right="120"/>
        <w:rPr>
          <w:sz w:val="20"/>
        </w:rPr>
      </w:pPr>
      <w:r>
        <w:rPr>
          <w:sz w:val="20"/>
        </w:rPr>
        <w:t>This</w:t>
      </w:r>
      <w:r>
        <w:rPr>
          <w:spacing w:val="-3"/>
          <w:sz w:val="20"/>
        </w:rPr>
        <w:t xml:space="preserve"> </w:t>
      </w:r>
      <w:r>
        <w:rPr>
          <w:sz w:val="20"/>
        </w:rPr>
        <w:t>subsection</w:t>
      </w:r>
      <w:r>
        <w:rPr>
          <w:spacing w:val="-2"/>
          <w:sz w:val="20"/>
        </w:rPr>
        <w:t xml:space="preserve"> </w:t>
      </w:r>
      <w:r>
        <w:rPr>
          <w:sz w:val="20"/>
        </w:rPr>
        <w:t xml:space="preserve">addresses </w:t>
      </w:r>
      <w:r>
        <w:rPr>
          <w:b/>
          <w:sz w:val="20"/>
        </w:rPr>
        <w:t>KRQ</w:t>
      </w:r>
      <w:r>
        <w:rPr>
          <w:b/>
          <w:spacing w:val="-3"/>
          <w:sz w:val="20"/>
        </w:rPr>
        <w:t xml:space="preserve"> </w:t>
      </w:r>
      <w:r>
        <w:rPr>
          <w:b/>
          <w:sz w:val="20"/>
        </w:rPr>
        <w:t>1.2</w:t>
      </w:r>
      <w:r>
        <w:rPr>
          <w:b/>
          <w:spacing w:val="-4"/>
          <w:sz w:val="20"/>
        </w:rPr>
        <w:t xml:space="preserve"> </w:t>
      </w:r>
      <w:r>
        <w:rPr>
          <w:b/>
          <w:sz w:val="20"/>
        </w:rPr>
        <w:t>To</w:t>
      </w:r>
      <w:r>
        <w:rPr>
          <w:b/>
          <w:spacing w:val="-3"/>
          <w:sz w:val="20"/>
        </w:rPr>
        <w:t xml:space="preserve"> </w:t>
      </w:r>
      <w:r>
        <w:rPr>
          <w:b/>
          <w:sz w:val="20"/>
        </w:rPr>
        <w:t>what</w:t>
      </w:r>
      <w:r>
        <w:rPr>
          <w:b/>
          <w:spacing w:val="-1"/>
          <w:sz w:val="20"/>
        </w:rPr>
        <w:t xml:space="preserve"> </w:t>
      </w:r>
      <w:r>
        <w:rPr>
          <w:b/>
          <w:sz w:val="20"/>
        </w:rPr>
        <w:t>extent</w:t>
      </w:r>
      <w:r>
        <w:rPr>
          <w:b/>
          <w:spacing w:val="-3"/>
          <w:sz w:val="20"/>
        </w:rPr>
        <w:t xml:space="preserve"> </w:t>
      </w:r>
      <w:r>
        <w:rPr>
          <w:b/>
          <w:sz w:val="20"/>
        </w:rPr>
        <w:t>is</w:t>
      </w:r>
      <w:r>
        <w:rPr>
          <w:b/>
          <w:spacing w:val="-2"/>
          <w:sz w:val="20"/>
        </w:rPr>
        <w:t xml:space="preserve"> </w:t>
      </w:r>
      <w:r>
        <w:rPr>
          <w:b/>
          <w:sz w:val="20"/>
        </w:rPr>
        <w:t>VAPJP</w:t>
      </w:r>
      <w:r>
        <w:rPr>
          <w:b/>
          <w:spacing w:val="-2"/>
          <w:sz w:val="20"/>
        </w:rPr>
        <w:t xml:space="preserve"> </w:t>
      </w:r>
      <w:r>
        <w:rPr>
          <w:b/>
          <w:sz w:val="20"/>
        </w:rPr>
        <w:t>achieving</w:t>
      </w:r>
      <w:r>
        <w:rPr>
          <w:b/>
          <w:spacing w:val="-1"/>
          <w:sz w:val="20"/>
        </w:rPr>
        <w:t xml:space="preserve"> </w:t>
      </w:r>
      <w:r>
        <w:rPr>
          <w:b/>
          <w:sz w:val="20"/>
        </w:rPr>
        <w:t>results</w:t>
      </w:r>
      <w:r>
        <w:rPr>
          <w:b/>
          <w:spacing w:val="-2"/>
          <w:sz w:val="20"/>
        </w:rPr>
        <w:t xml:space="preserve"> </w:t>
      </w:r>
      <w:r>
        <w:rPr>
          <w:b/>
          <w:sz w:val="20"/>
        </w:rPr>
        <w:t>in</w:t>
      </w:r>
      <w:r>
        <w:rPr>
          <w:b/>
          <w:spacing w:val="-3"/>
          <w:sz w:val="20"/>
        </w:rPr>
        <w:t xml:space="preserve"> </w:t>
      </w:r>
      <w:r>
        <w:rPr>
          <w:b/>
          <w:sz w:val="20"/>
        </w:rPr>
        <w:t>GEDSI</w:t>
      </w:r>
      <w:r>
        <w:rPr>
          <w:b/>
          <w:spacing w:val="-4"/>
          <w:sz w:val="20"/>
        </w:rPr>
        <w:t xml:space="preserve"> </w:t>
      </w:r>
      <w:r>
        <w:rPr>
          <w:sz w:val="20"/>
        </w:rPr>
        <w:t>and</w:t>
      </w:r>
      <w:r>
        <w:rPr>
          <w:spacing w:val="-4"/>
          <w:sz w:val="20"/>
        </w:rPr>
        <w:t xml:space="preserve"> </w:t>
      </w:r>
      <w:r>
        <w:rPr>
          <w:sz w:val="20"/>
        </w:rPr>
        <w:t>covers</w:t>
      </w:r>
      <w:r>
        <w:rPr>
          <w:spacing w:val="-3"/>
          <w:sz w:val="20"/>
        </w:rPr>
        <w:t xml:space="preserve"> </w:t>
      </w:r>
      <w:r>
        <w:rPr>
          <w:sz w:val="20"/>
        </w:rPr>
        <w:t>gender, disability inclusion, key achievements, the GEDSI Action Plan and reporting, challenges, managing risks and a small case study on the Women’s Action Network (WAN) of the VPF.</w:t>
      </w:r>
    </w:p>
    <w:p w14:paraId="7994BA05" w14:textId="77777777" w:rsidR="009C36E3" w:rsidRDefault="000E7207">
      <w:pPr>
        <w:spacing w:before="119"/>
        <w:ind w:left="1491" w:right="167"/>
        <w:rPr>
          <w:i/>
          <w:sz w:val="20"/>
        </w:rPr>
      </w:pPr>
      <w:r>
        <w:rPr>
          <w:noProof/>
        </w:rPr>
        <mc:AlternateContent>
          <mc:Choice Requires="wps">
            <w:drawing>
              <wp:anchor distT="0" distB="0" distL="0" distR="0" simplePos="0" relativeHeight="251641856" behindDoc="0" locked="0" layoutInCell="1" allowOverlap="1" wp14:anchorId="68A056AA" wp14:editId="287C16A1">
                <wp:simplePos x="0" y="0"/>
                <wp:positionH relativeFrom="page">
                  <wp:posOffset>573317</wp:posOffset>
                </wp:positionH>
                <wp:positionV relativeFrom="paragraph">
                  <wp:posOffset>228407</wp:posOffset>
                </wp:positionV>
                <wp:extent cx="275590" cy="274955"/>
                <wp:effectExtent l="0" t="0" r="0" b="0"/>
                <wp:wrapNone/>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1B41FB24" id="Graphic 45" o:spid="_x0000_s1026" alt="&quot;&quot;" style="position:absolute;margin-left:45.15pt;margin-top:18pt;width:21.7pt;height:21.65pt;z-index:15741952;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In the challenging Vanuatu context, VAPJP is making important contributions towards inclusion. This is critical, to ensure that gains are not lost. However, a more targeted focus on inclusion could allow for</w:t>
      </w:r>
      <w:r>
        <w:rPr>
          <w:i/>
          <w:color w:val="007B92"/>
          <w:spacing w:val="-3"/>
          <w:sz w:val="20"/>
        </w:rPr>
        <w:t xml:space="preserve"> </w:t>
      </w:r>
      <w:r>
        <w:rPr>
          <w:i/>
          <w:color w:val="007B92"/>
          <w:sz w:val="20"/>
        </w:rPr>
        <w:t>greater</w:t>
      </w:r>
      <w:r>
        <w:rPr>
          <w:i/>
          <w:color w:val="007B92"/>
          <w:spacing w:val="-3"/>
          <w:sz w:val="20"/>
        </w:rPr>
        <w:t xml:space="preserve"> </w:t>
      </w:r>
      <w:r>
        <w:rPr>
          <w:i/>
          <w:color w:val="007B92"/>
          <w:sz w:val="20"/>
        </w:rPr>
        <w:t>visibility</w:t>
      </w:r>
      <w:r>
        <w:rPr>
          <w:i/>
          <w:color w:val="007B92"/>
          <w:spacing w:val="-3"/>
          <w:sz w:val="20"/>
        </w:rPr>
        <w:t xml:space="preserve"> </w:t>
      </w:r>
      <w:r>
        <w:rPr>
          <w:i/>
          <w:color w:val="007B92"/>
          <w:sz w:val="20"/>
        </w:rPr>
        <w:t>and</w:t>
      </w:r>
      <w:r>
        <w:rPr>
          <w:i/>
          <w:color w:val="007B92"/>
          <w:spacing w:val="-2"/>
          <w:sz w:val="20"/>
        </w:rPr>
        <w:t xml:space="preserve"> </w:t>
      </w:r>
      <w:r>
        <w:rPr>
          <w:i/>
          <w:color w:val="007B92"/>
          <w:sz w:val="20"/>
        </w:rPr>
        <w:t>investment</w:t>
      </w:r>
      <w:r>
        <w:rPr>
          <w:i/>
          <w:color w:val="007B92"/>
          <w:spacing w:val="-2"/>
          <w:sz w:val="20"/>
        </w:rPr>
        <w:t xml:space="preserve"> </w:t>
      </w:r>
      <w:r>
        <w:rPr>
          <w:i/>
          <w:color w:val="007B92"/>
          <w:sz w:val="20"/>
        </w:rPr>
        <w:t>in</w:t>
      </w:r>
      <w:r>
        <w:rPr>
          <w:i/>
          <w:color w:val="007B92"/>
          <w:spacing w:val="-2"/>
          <w:sz w:val="20"/>
        </w:rPr>
        <w:t xml:space="preserve"> </w:t>
      </w:r>
      <w:r>
        <w:rPr>
          <w:i/>
          <w:color w:val="007B92"/>
          <w:sz w:val="20"/>
        </w:rPr>
        <w:t>outcomes</w:t>
      </w:r>
      <w:r>
        <w:rPr>
          <w:i/>
          <w:color w:val="007B92"/>
          <w:spacing w:val="-3"/>
          <w:sz w:val="20"/>
        </w:rPr>
        <w:t xml:space="preserve"> </w:t>
      </w:r>
      <w:r>
        <w:rPr>
          <w:i/>
          <w:color w:val="007B92"/>
          <w:sz w:val="20"/>
        </w:rPr>
        <w:t>to</w:t>
      </w:r>
      <w:r>
        <w:rPr>
          <w:i/>
          <w:color w:val="007B92"/>
          <w:spacing w:val="-4"/>
          <w:sz w:val="20"/>
        </w:rPr>
        <w:t xml:space="preserve"> </w:t>
      </w:r>
      <w:r>
        <w:rPr>
          <w:i/>
          <w:color w:val="007B92"/>
          <w:sz w:val="20"/>
        </w:rPr>
        <w:t>strengthen</w:t>
      </w:r>
      <w:r>
        <w:rPr>
          <w:i/>
          <w:color w:val="007B92"/>
          <w:spacing w:val="-4"/>
          <w:sz w:val="20"/>
        </w:rPr>
        <w:t xml:space="preserve"> </w:t>
      </w:r>
      <w:r>
        <w:rPr>
          <w:i/>
          <w:color w:val="007B92"/>
          <w:sz w:val="20"/>
        </w:rPr>
        <w:t>security</w:t>
      </w:r>
      <w:r>
        <w:rPr>
          <w:i/>
          <w:color w:val="007B92"/>
          <w:spacing w:val="-3"/>
          <w:sz w:val="20"/>
        </w:rPr>
        <w:t xml:space="preserve"> </w:t>
      </w:r>
      <w:r>
        <w:rPr>
          <w:i/>
          <w:color w:val="007B92"/>
          <w:sz w:val="20"/>
        </w:rPr>
        <w:t>for</w:t>
      </w:r>
      <w:r>
        <w:rPr>
          <w:i/>
          <w:color w:val="007B92"/>
          <w:spacing w:val="-3"/>
          <w:sz w:val="20"/>
        </w:rPr>
        <w:t xml:space="preserve"> </w:t>
      </w:r>
      <w:r>
        <w:rPr>
          <w:i/>
          <w:color w:val="007B92"/>
          <w:sz w:val="20"/>
        </w:rPr>
        <w:t>women,</w:t>
      </w:r>
      <w:r>
        <w:rPr>
          <w:i/>
          <w:color w:val="007B92"/>
          <w:spacing w:val="-4"/>
          <w:sz w:val="20"/>
        </w:rPr>
        <w:t xml:space="preserve"> </w:t>
      </w:r>
      <w:r>
        <w:rPr>
          <w:i/>
          <w:color w:val="007B92"/>
          <w:sz w:val="20"/>
        </w:rPr>
        <w:t>children</w:t>
      </w:r>
      <w:r>
        <w:rPr>
          <w:i/>
          <w:color w:val="007B92"/>
          <w:spacing w:val="-4"/>
          <w:sz w:val="20"/>
        </w:rPr>
        <w:t xml:space="preserve"> </w:t>
      </w:r>
      <w:r>
        <w:rPr>
          <w:i/>
          <w:color w:val="007B92"/>
          <w:sz w:val="20"/>
        </w:rPr>
        <w:t>and</w:t>
      </w:r>
      <w:r>
        <w:rPr>
          <w:i/>
          <w:color w:val="007B92"/>
          <w:spacing w:val="-4"/>
          <w:sz w:val="20"/>
        </w:rPr>
        <w:t xml:space="preserve"> </w:t>
      </w:r>
      <w:r>
        <w:rPr>
          <w:i/>
          <w:color w:val="007B92"/>
          <w:sz w:val="20"/>
        </w:rPr>
        <w:t>people</w:t>
      </w:r>
      <w:r>
        <w:rPr>
          <w:i/>
          <w:color w:val="007B92"/>
          <w:spacing w:val="-4"/>
          <w:sz w:val="20"/>
        </w:rPr>
        <w:t xml:space="preserve"> </w:t>
      </w:r>
      <w:r>
        <w:rPr>
          <w:i/>
          <w:color w:val="007B92"/>
          <w:sz w:val="20"/>
        </w:rPr>
        <w:t>with disabilities, including in remote areas.</w:t>
      </w:r>
    </w:p>
    <w:p w14:paraId="59B15803" w14:textId="77777777" w:rsidR="009C36E3" w:rsidRDefault="000E7207">
      <w:pPr>
        <w:pStyle w:val="BodyText"/>
        <w:spacing w:before="122"/>
        <w:ind w:right="192"/>
      </w:pPr>
      <w:r>
        <w:t>VAPJP has a critical role to play in promoting ongoing attention to inclusion within policing and justice, and has identified target groups as women, people with disabilities, children, youth and those living in remote areas.</w:t>
      </w:r>
      <w:hyperlink w:anchor="_bookmark30" w:history="1">
        <w:r>
          <w:rPr>
            <w:position w:val="6"/>
            <w:sz w:val="13"/>
          </w:rPr>
          <w:t>19</w:t>
        </w:r>
      </w:hyperlink>
      <w:r>
        <w:rPr>
          <w:spacing w:val="22"/>
          <w:position w:val="6"/>
          <w:sz w:val="13"/>
        </w:rPr>
        <w:t xml:space="preserve"> </w:t>
      </w:r>
      <w:r>
        <w:t>The program also recognises</w:t>
      </w:r>
      <w:r>
        <w:rPr>
          <w:spacing w:val="-1"/>
        </w:rPr>
        <w:t xml:space="preserve"> </w:t>
      </w:r>
      <w:r>
        <w:t>the</w:t>
      </w:r>
      <w:r>
        <w:rPr>
          <w:spacing w:val="-2"/>
        </w:rPr>
        <w:t xml:space="preserve"> </w:t>
      </w:r>
      <w:r>
        <w:t>challenges</w:t>
      </w:r>
      <w:r>
        <w:rPr>
          <w:spacing w:val="-1"/>
        </w:rPr>
        <w:t xml:space="preserve"> </w:t>
      </w:r>
      <w:r>
        <w:t>of</w:t>
      </w:r>
      <w:r>
        <w:rPr>
          <w:spacing w:val="-2"/>
        </w:rPr>
        <w:t xml:space="preserve"> </w:t>
      </w:r>
      <w:r>
        <w:t>intersectionality.</w:t>
      </w:r>
      <w:r>
        <w:rPr>
          <w:spacing w:val="-2"/>
        </w:rPr>
        <w:t xml:space="preserve"> </w:t>
      </w:r>
      <w:r>
        <w:t>Inclusion,</w:t>
      </w:r>
      <w:r>
        <w:rPr>
          <w:spacing w:val="-2"/>
        </w:rPr>
        <w:t xml:space="preserve"> </w:t>
      </w:r>
      <w:r>
        <w:t>particularly</w:t>
      </w:r>
      <w:r>
        <w:rPr>
          <w:spacing w:val="-1"/>
        </w:rPr>
        <w:t xml:space="preserve"> </w:t>
      </w:r>
      <w:r>
        <w:t>for</w:t>
      </w:r>
      <w:r>
        <w:rPr>
          <w:spacing w:val="-1"/>
        </w:rPr>
        <w:t xml:space="preserve"> </w:t>
      </w:r>
      <w:r>
        <w:t>women</w:t>
      </w:r>
      <w:r>
        <w:rPr>
          <w:spacing w:val="-2"/>
        </w:rPr>
        <w:t xml:space="preserve"> </w:t>
      </w:r>
      <w:r>
        <w:t>and girls, has</w:t>
      </w:r>
      <w:r>
        <w:rPr>
          <w:spacing w:val="-1"/>
        </w:rPr>
        <w:t xml:space="preserve"> </w:t>
      </w:r>
      <w:r>
        <w:t>been</w:t>
      </w:r>
      <w:r>
        <w:rPr>
          <w:spacing w:val="-2"/>
        </w:rPr>
        <w:t xml:space="preserve"> </w:t>
      </w:r>
      <w:r>
        <w:t>a priority for VAPJP predecessor programs and the Australian aid program, and a 2016 study indicated a high level of dependency on Australian aid investments to be expected for years to come.</w:t>
      </w:r>
      <w:hyperlink w:anchor="_bookmark31" w:history="1">
        <w:r>
          <w:rPr>
            <w:position w:val="6"/>
            <w:sz w:val="13"/>
          </w:rPr>
          <w:t>20</w:t>
        </w:r>
      </w:hyperlink>
      <w:r>
        <w:rPr>
          <w:spacing w:val="25"/>
          <w:position w:val="6"/>
          <w:sz w:val="13"/>
        </w:rPr>
        <w:t xml:space="preserve"> </w:t>
      </w:r>
      <w:r>
        <w:t>This remains the case. VAPJP offers significant value given ongoing high levels of need, low availability of resources and widely varying commitment</w:t>
      </w:r>
      <w:r>
        <w:rPr>
          <w:spacing w:val="-4"/>
        </w:rPr>
        <w:t xml:space="preserve"> </w:t>
      </w:r>
      <w:r>
        <w:t>across</w:t>
      </w:r>
      <w:r>
        <w:rPr>
          <w:spacing w:val="-3"/>
        </w:rPr>
        <w:t xml:space="preserve"> </w:t>
      </w:r>
      <w:r>
        <w:t>agencies</w:t>
      </w:r>
      <w:r>
        <w:rPr>
          <w:spacing w:val="-3"/>
        </w:rPr>
        <w:t xml:space="preserve"> </w:t>
      </w:r>
      <w:r>
        <w:t>and</w:t>
      </w:r>
      <w:r>
        <w:rPr>
          <w:spacing w:val="-2"/>
        </w:rPr>
        <w:t xml:space="preserve"> </w:t>
      </w:r>
      <w:r>
        <w:t>police</w:t>
      </w:r>
      <w:r>
        <w:rPr>
          <w:spacing w:val="-4"/>
        </w:rPr>
        <w:t xml:space="preserve"> </w:t>
      </w:r>
      <w:r>
        <w:t>stakeholders</w:t>
      </w:r>
      <w:r>
        <w:rPr>
          <w:spacing w:val="-1"/>
        </w:rPr>
        <w:t xml:space="preserve"> </w:t>
      </w:r>
      <w:r>
        <w:t>to</w:t>
      </w:r>
      <w:r>
        <w:rPr>
          <w:spacing w:val="-4"/>
        </w:rPr>
        <w:t xml:space="preserve"> </w:t>
      </w:r>
      <w:r>
        <w:t>take</w:t>
      </w:r>
      <w:r>
        <w:rPr>
          <w:spacing w:val="-4"/>
        </w:rPr>
        <w:t xml:space="preserve"> </w:t>
      </w:r>
      <w:r>
        <w:t>forward</w:t>
      </w:r>
      <w:r>
        <w:rPr>
          <w:spacing w:val="-2"/>
        </w:rPr>
        <w:t xml:space="preserve"> </w:t>
      </w:r>
      <w:r>
        <w:t>Vanuatu’s</w:t>
      </w:r>
      <w:r>
        <w:rPr>
          <w:spacing w:val="-1"/>
        </w:rPr>
        <w:t xml:space="preserve"> </w:t>
      </w:r>
      <w:r>
        <w:t>policy</w:t>
      </w:r>
      <w:r>
        <w:rPr>
          <w:spacing w:val="-3"/>
        </w:rPr>
        <w:t xml:space="preserve"> </w:t>
      </w:r>
      <w:r>
        <w:t>commitments</w:t>
      </w:r>
      <w:r>
        <w:rPr>
          <w:spacing w:val="-3"/>
        </w:rPr>
        <w:t xml:space="preserve"> </w:t>
      </w:r>
      <w:r>
        <w:t>in</w:t>
      </w:r>
      <w:r>
        <w:rPr>
          <w:spacing w:val="-2"/>
        </w:rPr>
        <w:t xml:space="preserve"> </w:t>
      </w:r>
      <w:r>
        <w:t>this</w:t>
      </w:r>
      <w:r>
        <w:rPr>
          <w:spacing w:val="-3"/>
        </w:rPr>
        <w:t xml:space="preserve"> </w:t>
      </w:r>
      <w:r>
        <w:t>space.</w:t>
      </w:r>
    </w:p>
    <w:p w14:paraId="038A5CC3" w14:textId="77777777" w:rsidR="009C36E3" w:rsidRDefault="000E7207">
      <w:pPr>
        <w:pStyle w:val="BodyText"/>
        <w:spacing w:before="121"/>
        <w:ind w:right="130"/>
      </w:pPr>
      <w:r>
        <w:t>There</w:t>
      </w:r>
      <w:r>
        <w:rPr>
          <w:spacing w:val="-4"/>
        </w:rPr>
        <w:t xml:space="preserve"> </w:t>
      </w:r>
      <w:r>
        <w:t>has</w:t>
      </w:r>
      <w:r>
        <w:rPr>
          <w:spacing w:val="-3"/>
        </w:rPr>
        <w:t xml:space="preserve"> </w:t>
      </w:r>
      <w:r>
        <w:t>been</w:t>
      </w:r>
      <w:r>
        <w:rPr>
          <w:spacing w:val="-4"/>
        </w:rPr>
        <w:t xml:space="preserve"> </w:t>
      </w:r>
      <w:r>
        <w:t>progress</w:t>
      </w:r>
      <w:r>
        <w:rPr>
          <w:spacing w:val="-3"/>
        </w:rPr>
        <w:t xml:space="preserve"> </w:t>
      </w:r>
      <w:r>
        <w:t>in</w:t>
      </w:r>
      <w:r>
        <w:rPr>
          <w:spacing w:val="-2"/>
        </w:rPr>
        <w:t xml:space="preserve"> </w:t>
      </w:r>
      <w:r>
        <w:t>advancing</w:t>
      </w:r>
      <w:r>
        <w:rPr>
          <w:spacing w:val="-1"/>
        </w:rPr>
        <w:t xml:space="preserve"> </w:t>
      </w:r>
      <w:r>
        <w:t>gender</w:t>
      </w:r>
      <w:r>
        <w:rPr>
          <w:spacing w:val="-3"/>
        </w:rPr>
        <w:t xml:space="preserve"> </w:t>
      </w:r>
      <w:r>
        <w:t>equality</w:t>
      </w:r>
      <w:r>
        <w:rPr>
          <w:spacing w:val="-3"/>
        </w:rPr>
        <w:t xml:space="preserve"> </w:t>
      </w:r>
      <w:r>
        <w:t>in</w:t>
      </w:r>
      <w:r>
        <w:rPr>
          <w:spacing w:val="-4"/>
        </w:rPr>
        <w:t xml:space="preserve"> </w:t>
      </w:r>
      <w:r>
        <w:t>the</w:t>
      </w:r>
      <w:r>
        <w:rPr>
          <w:spacing w:val="-2"/>
        </w:rPr>
        <w:t xml:space="preserve"> </w:t>
      </w:r>
      <w:r>
        <w:t>legal</w:t>
      </w:r>
      <w:r>
        <w:rPr>
          <w:spacing w:val="-3"/>
        </w:rPr>
        <w:t xml:space="preserve"> </w:t>
      </w:r>
      <w:r>
        <w:t>and</w:t>
      </w:r>
      <w:r>
        <w:rPr>
          <w:spacing w:val="-2"/>
        </w:rPr>
        <w:t xml:space="preserve"> </w:t>
      </w:r>
      <w:r>
        <w:t>police</w:t>
      </w:r>
      <w:r>
        <w:rPr>
          <w:spacing w:val="-2"/>
        </w:rPr>
        <w:t xml:space="preserve"> </w:t>
      </w:r>
      <w:r>
        <w:t>workforces</w:t>
      </w:r>
      <w:r>
        <w:rPr>
          <w:spacing w:val="-3"/>
        </w:rPr>
        <w:t xml:space="preserve"> </w:t>
      </w:r>
      <w:r>
        <w:t>in</w:t>
      </w:r>
      <w:r>
        <w:rPr>
          <w:spacing w:val="-2"/>
        </w:rPr>
        <w:t xml:space="preserve"> </w:t>
      </w:r>
      <w:r>
        <w:t>Vanuatu,</w:t>
      </w:r>
      <w:r>
        <w:rPr>
          <w:spacing w:val="-4"/>
        </w:rPr>
        <w:t xml:space="preserve"> </w:t>
      </w:r>
      <w:r>
        <w:t>as in</w:t>
      </w:r>
      <w:r>
        <w:rPr>
          <w:spacing w:val="-2"/>
        </w:rPr>
        <w:t xml:space="preserve"> </w:t>
      </w:r>
      <w:r>
        <w:t>Vanuatu overall, but this is an area that needs continued priority within VAPJP, as barriers to women’s leadership and security remain significant and gains made could easily slip backwards. At community level, safety for women and children, and people with disabilities, remains a major concern, given extreme levels of violence against women</w:t>
      </w:r>
      <w:r>
        <w:rPr>
          <w:spacing w:val="40"/>
        </w:rPr>
        <w:t xml:space="preserve"> </w:t>
      </w:r>
      <w:r>
        <w:t>and girls and the compounded impact of intersectionality for people with disabilities and Lesbian, Gay, Bisexual, Queer, Transexual and Intersex (LGBTQI+) people. While consensual same-sex activity is legal in Vanuatu, LGBTQI+ persons face</w:t>
      </w:r>
      <w:r>
        <w:rPr>
          <w:spacing w:val="-1"/>
        </w:rPr>
        <w:t xml:space="preserve"> </w:t>
      </w:r>
      <w:r>
        <w:t>legal</w:t>
      </w:r>
      <w:r>
        <w:rPr>
          <w:spacing w:val="-2"/>
        </w:rPr>
        <w:t xml:space="preserve"> </w:t>
      </w:r>
      <w:r>
        <w:t>challenges and</w:t>
      </w:r>
      <w:r>
        <w:rPr>
          <w:spacing w:val="-1"/>
        </w:rPr>
        <w:t xml:space="preserve"> </w:t>
      </w:r>
      <w:r>
        <w:t>discrimination</w:t>
      </w:r>
      <w:r>
        <w:rPr>
          <w:spacing w:val="-1"/>
        </w:rPr>
        <w:t xml:space="preserve"> </w:t>
      </w:r>
      <w:r>
        <w:t>not</w:t>
      </w:r>
      <w:r>
        <w:rPr>
          <w:spacing w:val="-1"/>
        </w:rPr>
        <w:t xml:space="preserve"> </w:t>
      </w:r>
      <w:r>
        <w:t>experienced</w:t>
      </w:r>
      <w:r>
        <w:rPr>
          <w:spacing w:val="-1"/>
        </w:rPr>
        <w:t xml:space="preserve"> </w:t>
      </w:r>
      <w:r>
        <w:t>by non- LGBTQI persons.</w:t>
      </w:r>
      <w:r>
        <w:rPr>
          <w:spacing w:val="-1"/>
        </w:rPr>
        <w:t xml:space="preserve"> </w:t>
      </w:r>
      <w:r>
        <w:t>Inclusion</w:t>
      </w:r>
      <w:r>
        <w:rPr>
          <w:spacing w:val="-1"/>
        </w:rPr>
        <w:t xml:space="preserve"> </w:t>
      </w:r>
      <w:r>
        <w:t>for people with disabilities remains critically under-resourced across Vanuatu, which is reflected in awareness and services across the Justice sector.</w:t>
      </w:r>
    </w:p>
    <w:p w14:paraId="6E154701" w14:textId="1411ECBD" w:rsidR="009C36E3" w:rsidRDefault="005C3702" w:rsidP="00E17D99">
      <w:pPr>
        <w:pStyle w:val="BodyText"/>
        <w:spacing w:before="119" w:after="600"/>
      </w:pPr>
      <w:r>
        <w:rPr>
          <w:noProof/>
        </w:rPr>
        <mc:AlternateContent>
          <mc:Choice Requires="wps">
            <w:drawing>
              <wp:anchor distT="0" distB="0" distL="0" distR="0" simplePos="0" relativeHeight="251679744" behindDoc="1" locked="0" layoutInCell="1" allowOverlap="1" wp14:anchorId="5B558320" wp14:editId="5756473C">
                <wp:simplePos x="0" y="0"/>
                <wp:positionH relativeFrom="page">
                  <wp:posOffset>503965</wp:posOffset>
                </wp:positionH>
                <wp:positionV relativeFrom="paragraph">
                  <wp:posOffset>806165</wp:posOffset>
                </wp:positionV>
                <wp:extent cx="1828800" cy="6350"/>
                <wp:effectExtent l="0" t="0" r="0" b="0"/>
                <wp:wrapTopAndBottom/>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B09414" id="Graphic 46" o:spid="_x0000_s1026" alt="&quot;&quot;" style="position:absolute;margin-left:39.7pt;margin-top:63.5pt;width:2in;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" path="m1828800,l,,,6108r1828800,l1828800,xe" fillcolor="black" stroked="f">
                <v:path arrowok="t"/>
                <w10:wrap type="topAndBottom" anchorx="page"/>
              </v:shape>
            </w:pict>
          </mc:Fallback>
        </mc:AlternateContent>
      </w:r>
      <w:r w:rsidR="000E7207">
        <w:t>In</w:t>
      </w:r>
      <w:r w:rsidR="000E7207">
        <w:rPr>
          <w:spacing w:val="-4"/>
        </w:rPr>
        <w:t xml:space="preserve"> </w:t>
      </w:r>
      <w:r w:rsidR="000E7207">
        <w:t>this</w:t>
      </w:r>
      <w:r w:rsidR="000E7207">
        <w:rPr>
          <w:spacing w:val="-3"/>
        </w:rPr>
        <w:t xml:space="preserve"> </w:t>
      </w:r>
      <w:r w:rsidR="000E7207">
        <w:t>challenging</w:t>
      </w:r>
      <w:r w:rsidR="000E7207">
        <w:rPr>
          <w:spacing w:val="-4"/>
        </w:rPr>
        <w:t xml:space="preserve"> </w:t>
      </w:r>
      <w:r w:rsidR="000E7207">
        <w:t>context,</w:t>
      </w:r>
      <w:r w:rsidR="000E7207">
        <w:rPr>
          <w:spacing w:val="-2"/>
        </w:rPr>
        <w:t xml:space="preserve"> </w:t>
      </w:r>
      <w:r w:rsidR="000E7207">
        <w:t>the</w:t>
      </w:r>
      <w:r w:rsidR="000E7207">
        <w:rPr>
          <w:spacing w:val="-4"/>
        </w:rPr>
        <w:t xml:space="preserve"> </w:t>
      </w:r>
      <w:r w:rsidR="000E7207">
        <w:t>MTR</w:t>
      </w:r>
      <w:r w:rsidR="000E7207">
        <w:rPr>
          <w:spacing w:val="-4"/>
        </w:rPr>
        <w:t xml:space="preserve"> </w:t>
      </w:r>
      <w:r w:rsidR="000E7207">
        <w:t>found</w:t>
      </w:r>
      <w:r w:rsidR="000E7207">
        <w:rPr>
          <w:spacing w:val="-2"/>
        </w:rPr>
        <w:t xml:space="preserve"> </w:t>
      </w:r>
      <w:r w:rsidR="000E7207">
        <w:t>that</w:t>
      </w:r>
      <w:r w:rsidR="000E7207">
        <w:rPr>
          <w:spacing w:val="-2"/>
        </w:rPr>
        <w:t xml:space="preserve"> </w:t>
      </w:r>
      <w:r w:rsidR="000E7207">
        <w:t>VAPJP</w:t>
      </w:r>
      <w:r w:rsidR="000E7207">
        <w:rPr>
          <w:spacing w:val="-2"/>
        </w:rPr>
        <w:t xml:space="preserve"> </w:t>
      </w:r>
      <w:r w:rsidR="000E7207">
        <w:t>is</w:t>
      </w:r>
      <w:r w:rsidR="000E7207">
        <w:rPr>
          <w:spacing w:val="-3"/>
        </w:rPr>
        <w:t xml:space="preserve"> </w:t>
      </w:r>
      <w:r w:rsidR="000E7207">
        <w:t>improving</w:t>
      </w:r>
      <w:r w:rsidR="000E7207">
        <w:rPr>
          <w:spacing w:val="-4"/>
        </w:rPr>
        <w:t xml:space="preserve"> </w:t>
      </w:r>
      <w:r w:rsidR="000E7207">
        <w:t>gender</w:t>
      </w:r>
      <w:r w:rsidR="000E7207">
        <w:rPr>
          <w:spacing w:val="-3"/>
        </w:rPr>
        <w:t xml:space="preserve"> </w:t>
      </w:r>
      <w:r w:rsidR="000E7207">
        <w:t>equality,</w:t>
      </w:r>
      <w:r w:rsidR="000E7207">
        <w:rPr>
          <w:spacing w:val="-4"/>
        </w:rPr>
        <w:t xml:space="preserve"> </w:t>
      </w:r>
      <w:r w:rsidR="000E7207">
        <w:t>disability,</w:t>
      </w:r>
      <w:r w:rsidR="000E7207">
        <w:rPr>
          <w:spacing w:val="-4"/>
        </w:rPr>
        <w:t xml:space="preserve"> </w:t>
      </w:r>
      <w:r w:rsidR="000E7207">
        <w:t>and</w:t>
      </w:r>
      <w:r w:rsidR="000E7207">
        <w:rPr>
          <w:spacing w:val="-4"/>
        </w:rPr>
        <w:t xml:space="preserve"> </w:t>
      </w:r>
      <w:r w:rsidR="000E7207">
        <w:t>social</w:t>
      </w:r>
      <w:r w:rsidR="000E7207">
        <w:rPr>
          <w:spacing w:val="-3"/>
        </w:rPr>
        <w:t xml:space="preserve"> </w:t>
      </w:r>
      <w:r w:rsidR="000E7207">
        <w:t>inclusion within the VPF and justice agencies as workplaces, and in the services they offer. There are examples of both mainstreamed and targeted activities addressing the needs of women and children, and people with disabilities.</w:t>
      </w:r>
    </w:p>
    <w:p w14:paraId="7EB024CD" w14:textId="6B4368A2" w:rsidR="009C36E3" w:rsidRDefault="000E7207" w:rsidP="00E17D99">
      <w:pPr>
        <w:pStyle w:val="BodyText"/>
        <w:spacing w:before="600"/>
        <w:rPr>
          <w:sz w:val="18"/>
        </w:rPr>
      </w:pPr>
      <w:bookmarkStart w:id="41" w:name="_bookmark30"/>
      <w:bookmarkEnd w:id="41"/>
      <w:r>
        <w:rPr>
          <w:position w:val="6"/>
          <w:sz w:val="13"/>
        </w:rPr>
        <w:t>19</w:t>
      </w:r>
      <w:r>
        <w:rPr>
          <w:spacing w:val="15"/>
          <w:position w:val="6"/>
          <w:sz w:val="13"/>
        </w:rPr>
        <w:t xml:space="preserve"> </w:t>
      </w:r>
      <w:r>
        <w:rPr>
          <w:sz w:val="18"/>
        </w:rPr>
        <w:t>VAPJP</w:t>
      </w:r>
      <w:r>
        <w:rPr>
          <w:spacing w:val="-2"/>
          <w:sz w:val="18"/>
        </w:rPr>
        <w:t xml:space="preserve"> </w:t>
      </w:r>
      <w:r>
        <w:rPr>
          <w:sz w:val="18"/>
        </w:rPr>
        <w:t>GEDSI</w:t>
      </w:r>
      <w:r>
        <w:rPr>
          <w:spacing w:val="-2"/>
          <w:sz w:val="18"/>
        </w:rPr>
        <w:t xml:space="preserve"> </w:t>
      </w:r>
      <w:r>
        <w:rPr>
          <w:sz w:val="18"/>
        </w:rPr>
        <w:t>Action</w:t>
      </w:r>
      <w:r>
        <w:rPr>
          <w:spacing w:val="-1"/>
          <w:sz w:val="18"/>
        </w:rPr>
        <w:t xml:space="preserve"> </w:t>
      </w:r>
      <w:r>
        <w:rPr>
          <w:sz w:val="18"/>
        </w:rPr>
        <w:t>Plan</w:t>
      </w:r>
      <w:r>
        <w:rPr>
          <w:spacing w:val="-1"/>
          <w:sz w:val="18"/>
        </w:rPr>
        <w:t xml:space="preserve"> </w:t>
      </w:r>
      <w:r>
        <w:rPr>
          <w:sz w:val="18"/>
        </w:rPr>
        <w:t>2022-2023,</w:t>
      </w:r>
      <w:r>
        <w:rPr>
          <w:spacing w:val="-2"/>
          <w:sz w:val="18"/>
        </w:rPr>
        <w:t xml:space="preserve"> </w:t>
      </w:r>
      <w:r>
        <w:rPr>
          <w:sz w:val="18"/>
        </w:rPr>
        <w:t>15</w:t>
      </w:r>
      <w:r>
        <w:rPr>
          <w:spacing w:val="-1"/>
          <w:sz w:val="18"/>
        </w:rPr>
        <w:t xml:space="preserve"> </w:t>
      </w:r>
      <w:r>
        <w:rPr>
          <w:sz w:val="18"/>
        </w:rPr>
        <w:t>Feb</w:t>
      </w:r>
      <w:r>
        <w:rPr>
          <w:spacing w:val="-1"/>
          <w:sz w:val="18"/>
        </w:rPr>
        <w:t xml:space="preserve"> </w:t>
      </w:r>
      <w:r>
        <w:rPr>
          <w:sz w:val="18"/>
        </w:rPr>
        <w:t>2022</w:t>
      </w:r>
      <w:r>
        <w:rPr>
          <w:spacing w:val="-1"/>
          <w:sz w:val="18"/>
        </w:rPr>
        <w:t xml:space="preserve"> </w:t>
      </w:r>
      <w:r>
        <w:rPr>
          <w:spacing w:val="-2"/>
          <w:sz w:val="18"/>
        </w:rPr>
        <w:t>(draft).</w:t>
      </w:r>
    </w:p>
    <w:p w14:paraId="4680BE37" w14:textId="77777777" w:rsidR="009C36E3" w:rsidRDefault="000E7207">
      <w:pPr>
        <w:spacing w:before="130"/>
        <w:ind w:left="772"/>
        <w:rPr>
          <w:sz w:val="18"/>
        </w:rPr>
      </w:pPr>
      <w:bookmarkStart w:id="42" w:name="_bookmark31"/>
      <w:bookmarkEnd w:id="42"/>
      <w:r>
        <w:rPr>
          <w:position w:val="6"/>
          <w:sz w:val="13"/>
        </w:rPr>
        <w:t>20</w:t>
      </w:r>
      <w:r>
        <w:rPr>
          <w:spacing w:val="15"/>
          <w:position w:val="6"/>
          <w:sz w:val="13"/>
        </w:rPr>
        <w:t xml:space="preserve"> </w:t>
      </w:r>
      <w:r>
        <w:rPr>
          <w:sz w:val="18"/>
        </w:rPr>
        <w:t>UN</w:t>
      </w:r>
      <w:r>
        <w:rPr>
          <w:spacing w:val="-1"/>
          <w:sz w:val="18"/>
        </w:rPr>
        <w:t xml:space="preserve"> </w:t>
      </w:r>
      <w:r>
        <w:rPr>
          <w:sz w:val="18"/>
        </w:rPr>
        <w:t>Women</w:t>
      </w:r>
      <w:r>
        <w:rPr>
          <w:spacing w:val="-4"/>
          <w:sz w:val="18"/>
        </w:rPr>
        <w:t xml:space="preserve"> </w:t>
      </w:r>
      <w:r>
        <w:rPr>
          <w:sz w:val="18"/>
        </w:rPr>
        <w:t>Woman</w:t>
      </w:r>
      <w:r>
        <w:rPr>
          <w:spacing w:val="-1"/>
          <w:sz w:val="18"/>
        </w:rPr>
        <w:t xml:space="preserve"> </w:t>
      </w:r>
      <w:r>
        <w:rPr>
          <w:sz w:val="18"/>
        </w:rPr>
        <w:t>and</w:t>
      </w:r>
      <w:r>
        <w:rPr>
          <w:spacing w:val="-1"/>
          <w:sz w:val="18"/>
        </w:rPr>
        <w:t xml:space="preserve"> </w:t>
      </w:r>
      <w:r>
        <w:rPr>
          <w:sz w:val="18"/>
        </w:rPr>
        <w:t>Girls</w:t>
      </w:r>
      <w:r>
        <w:rPr>
          <w:spacing w:val="-3"/>
          <w:sz w:val="18"/>
        </w:rPr>
        <w:t xml:space="preserve"> </w:t>
      </w:r>
      <w:r>
        <w:rPr>
          <w:sz w:val="18"/>
        </w:rPr>
        <w:t>Access</w:t>
      </w:r>
      <w:r>
        <w:rPr>
          <w:spacing w:val="-3"/>
          <w:sz w:val="18"/>
        </w:rPr>
        <w:t xml:space="preserve"> </w:t>
      </w:r>
      <w:r>
        <w:rPr>
          <w:sz w:val="18"/>
        </w:rPr>
        <w:t>to</w:t>
      </w:r>
      <w:r>
        <w:rPr>
          <w:spacing w:val="-1"/>
          <w:sz w:val="18"/>
        </w:rPr>
        <w:t xml:space="preserve"> </w:t>
      </w:r>
      <w:r>
        <w:rPr>
          <w:sz w:val="18"/>
        </w:rPr>
        <w:t>the</w:t>
      </w:r>
      <w:r>
        <w:rPr>
          <w:spacing w:val="-1"/>
          <w:sz w:val="18"/>
        </w:rPr>
        <w:t xml:space="preserve"> </w:t>
      </w:r>
      <w:r>
        <w:rPr>
          <w:sz w:val="18"/>
        </w:rPr>
        <w:t>Formal</w:t>
      </w:r>
      <w:r>
        <w:rPr>
          <w:spacing w:val="-1"/>
          <w:sz w:val="18"/>
        </w:rPr>
        <w:t xml:space="preserve"> </w:t>
      </w:r>
      <w:r>
        <w:rPr>
          <w:sz w:val="18"/>
        </w:rPr>
        <w:t>Justice</w:t>
      </w:r>
      <w:r>
        <w:rPr>
          <w:spacing w:val="-5"/>
          <w:sz w:val="18"/>
        </w:rPr>
        <w:t xml:space="preserve"> </w:t>
      </w:r>
      <w:r>
        <w:rPr>
          <w:sz w:val="18"/>
        </w:rPr>
        <w:t>System</w:t>
      </w:r>
      <w:r>
        <w:rPr>
          <w:spacing w:val="-1"/>
          <w:sz w:val="18"/>
        </w:rPr>
        <w:t xml:space="preserve"> </w:t>
      </w:r>
      <w:r>
        <w:rPr>
          <w:sz w:val="18"/>
        </w:rPr>
        <w:t>in</w:t>
      </w:r>
      <w:r>
        <w:rPr>
          <w:spacing w:val="-1"/>
          <w:sz w:val="18"/>
        </w:rPr>
        <w:t xml:space="preserve"> </w:t>
      </w:r>
      <w:r>
        <w:rPr>
          <w:sz w:val="18"/>
        </w:rPr>
        <w:t>Vanuatu.</w:t>
      </w:r>
      <w:r>
        <w:rPr>
          <w:spacing w:val="-2"/>
          <w:sz w:val="18"/>
        </w:rPr>
        <w:t xml:space="preserve"> </w:t>
      </w:r>
      <w:r>
        <w:rPr>
          <w:sz w:val="18"/>
        </w:rPr>
        <w:t>UN</w:t>
      </w:r>
      <w:r>
        <w:rPr>
          <w:spacing w:val="-2"/>
          <w:sz w:val="18"/>
        </w:rPr>
        <w:t xml:space="preserve"> </w:t>
      </w:r>
      <w:r>
        <w:rPr>
          <w:sz w:val="18"/>
        </w:rPr>
        <w:t>Women,</w:t>
      </w:r>
      <w:r>
        <w:rPr>
          <w:spacing w:val="-2"/>
          <w:sz w:val="18"/>
        </w:rPr>
        <w:t xml:space="preserve"> </w:t>
      </w:r>
      <w:r>
        <w:rPr>
          <w:spacing w:val="-4"/>
          <w:sz w:val="18"/>
        </w:rPr>
        <w:t>2016</w:t>
      </w:r>
    </w:p>
    <w:p w14:paraId="540E13A1" w14:textId="77777777" w:rsidR="009C36E3" w:rsidRDefault="009C36E3">
      <w:pPr>
        <w:rPr>
          <w:sz w:val="18"/>
        </w:rPr>
        <w:sectPr w:rsidR="009C36E3">
          <w:pgSz w:w="11910" w:h="16850"/>
          <w:pgMar w:top="1040" w:right="740" w:bottom="740" w:left="80" w:header="552" w:footer="559" w:gutter="0"/>
          <w:cols w:space="720"/>
        </w:sectPr>
      </w:pPr>
    </w:p>
    <w:p w14:paraId="3B13E48D" w14:textId="77777777" w:rsidR="009C36E3" w:rsidRDefault="000E7207" w:rsidP="00720AD1">
      <w:pPr>
        <w:pStyle w:val="BodyText"/>
        <w:spacing w:before="91" w:after="120"/>
        <w:ind w:right="125"/>
      </w:pPr>
      <w:r>
        <w:t>The MTR findings echo the 2019 evaluation of the previous phase of VAPJP, which noted that the program had understated</w:t>
      </w:r>
      <w:r>
        <w:rPr>
          <w:spacing w:val="-2"/>
        </w:rPr>
        <w:t xml:space="preserve"> </w:t>
      </w:r>
      <w:r>
        <w:t>its</w:t>
      </w:r>
      <w:r>
        <w:rPr>
          <w:spacing w:val="-3"/>
        </w:rPr>
        <w:t xml:space="preserve"> </w:t>
      </w:r>
      <w:r>
        <w:t>positive</w:t>
      </w:r>
      <w:r>
        <w:rPr>
          <w:spacing w:val="-2"/>
        </w:rPr>
        <w:t xml:space="preserve"> </w:t>
      </w:r>
      <w:r>
        <w:t>impact</w:t>
      </w:r>
      <w:r>
        <w:rPr>
          <w:spacing w:val="-4"/>
        </w:rPr>
        <w:t xml:space="preserve"> </w:t>
      </w:r>
      <w:r>
        <w:t>on</w:t>
      </w:r>
      <w:r>
        <w:rPr>
          <w:spacing w:val="-2"/>
        </w:rPr>
        <w:t xml:space="preserve"> </w:t>
      </w:r>
      <w:r>
        <w:t>gender</w:t>
      </w:r>
      <w:r>
        <w:rPr>
          <w:spacing w:val="-3"/>
        </w:rPr>
        <w:t xml:space="preserve"> </w:t>
      </w:r>
      <w:r>
        <w:t>equality and</w:t>
      </w:r>
      <w:r>
        <w:rPr>
          <w:spacing w:val="-2"/>
        </w:rPr>
        <w:t xml:space="preserve"> </w:t>
      </w:r>
      <w:r>
        <w:t>stated:</w:t>
      </w:r>
      <w:r>
        <w:rPr>
          <w:spacing w:val="-4"/>
        </w:rPr>
        <w:t xml:space="preserve"> </w:t>
      </w:r>
      <w:r>
        <w:t>“Good</w:t>
      </w:r>
      <w:r>
        <w:rPr>
          <w:spacing w:val="-4"/>
        </w:rPr>
        <w:t xml:space="preserve"> </w:t>
      </w:r>
      <w:r>
        <w:t>progress</w:t>
      </w:r>
      <w:r>
        <w:rPr>
          <w:spacing w:val="-3"/>
        </w:rPr>
        <w:t xml:space="preserve"> </w:t>
      </w:r>
      <w:r>
        <w:t>has been</w:t>
      </w:r>
      <w:r>
        <w:rPr>
          <w:spacing w:val="-4"/>
        </w:rPr>
        <w:t xml:space="preserve"> </w:t>
      </w:r>
      <w:r>
        <w:t>made</w:t>
      </w:r>
      <w:r>
        <w:rPr>
          <w:spacing w:val="-2"/>
        </w:rPr>
        <w:t xml:space="preserve"> </w:t>
      </w:r>
      <w:r>
        <w:t>in</w:t>
      </w:r>
      <w:r>
        <w:rPr>
          <w:spacing w:val="-2"/>
        </w:rPr>
        <w:t xml:space="preserve"> </w:t>
      </w:r>
      <w:r>
        <w:t>integrating</w:t>
      </w:r>
      <w:r>
        <w:rPr>
          <w:spacing w:val="-4"/>
        </w:rPr>
        <w:t xml:space="preserve"> </w:t>
      </w:r>
      <w:r>
        <w:t>gender considerations across most program components, while more could be done in some areas.”</w:t>
      </w:r>
      <w:r>
        <w:rPr>
          <w:spacing w:val="-2"/>
        </w:rPr>
        <w:t xml:space="preserve"> </w:t>
      </w:r>
      <w:r>
        <w:rPr>
          <w:rFonts w:ascii="Calibri" w:hAnsi="Calibri"/>
        </w:rPr>
        <w:t>(</w:t>
      </w:r>
      <w:r>
        <w:t>Nichols et.al.2019</w:t>
      </w:r>
      <w:r>
        <w:rPr>
          <w:rFonts w:ascii="Calibri" w:hAnsi="Calibri"/>
        </w:rPr>
        <w:t>)</w:t>
      </w:r>
      <w:r>
        <w:t>. VAPJP continues to work on strengthening the ‘chain-of-justice’ including for women, though it seemed there was no clear or consistent understanding about what this means beyond a vague sense of being joined-up across the policing and justice spaces. Support includes improved police and justice response to VAWC, the AP program, community awareness and police rotations in remote communities in Santo, and improvements in inclusive infrastructure such as child-friendly spaces, accessible placement of the FPU on the ground floor, and private</w:t>
      </w:r>
      <w:r>
        <w:rPr>
          <w:spacing w:val="40"/>
        </w:rPr>
        <w:t xml:space="preserve"> </w:t>
      </w:r>
      <w:r>
        <w:t>police interview rooms. Police rotations and deployments have been supported across the life of the program including during the Christmas and Independence months, and in the aftermath of cyclones and natural disasters such as volcanic eruptions in Tanna and submarine volcano eruptions in Malekula. The program also continues support for female officers through the Women’s Advisory Network (WAN) and women in the justice department and agencies through ongoing professional development support for women.</w:t>
      </w:r>
    </w:p>
    <w:p w14:paraId="24BDD777" w14:textId="77777777" w:rsidR="00995CC3" w:rsidRDefault="00995CC3" w:rsidP="00293102">
      <w:pPr>
        <w:spacing w:before="119"/>
        <w:ind w:leftChars="370" w:left="814" w:rightChars="828" w:right="1822"/>
        <w:rPr>
          <w:b/>
          <w:color w:val="000000"/>
          <w:sz w:val="20"/>
        </w:rPr>
      </w:pPr>
      <w:r>
        <w:rPr>
          <w:b/>
          <w:color w:val="0064BB"/>
          <w:sz w:val="20"/>
        </w:rPr>
        <w:t>Key</w:t>
      </w:r>
      <w:r>
        <w:rPr>
          <w:b/>
          <w:color w:val="0064BB"/>
          <w:spacing w:val="-6"/>
          <w:sz w:val="20"/>
        </w:rPr>
        <w:t xml:space="preserve"> </w:t>
      </w:r>
      <w:r>
        <w:rPr>
          <w:b/>
          <w:color w:val="0064BB"/>
          <w:spacing w:val="-2"/>
          <w:sz w:val="20"/>
        </w:rPr>
        <w:t>achievements:</w:t>
      </w:r>
    </w:p>
    <w:p w14:paraId="21FFB2FE" w14:textId="77777777" w:rsidR="00995CC3" w:rsidRDefault="00995CC3" w:rsidP="00293102">
      <w:pPr>
        <w:pStyle w:val="BodyText"/>
        <w:numPr>
          <w:ilvl w:val="0"/>
          <w:numId w:val="27"/>
        </w:numPr>
        <w:tabs>
          <w:tab w:val="left" w:pos="467"/>
        </w:tabs>
        <w:spacing w:before="122" w:line="244" w:lineRule="exact"/>
        <w:ind w:leftChars="370" w:left="1239" w:rightChars="376" w:right="827" w:hanging="425"/>
        <w:rPr>
          <w:color w:val="000000"/>
        </w:rPr>
      </w:pPr>
      <w:r>
        <w:rPr>
          <w:color w:val="000000"/>
        </w:rPr>
        <w:t>Increased</w:t>
      </w:r>
      <w:r>
        <w:rPr>
          <w:color w:val="000000"/>
          <w:spacing w:val="-8"/>
        </w:rPr>
        <w:t xml:space="preserve"> </w:t>
      </w:r>
      <w:r>
        <w:rPr>
          <w:color w:val="000000"/>
        </w:rPr>
        <w:t>#</w:t>
      </w:r>
      <w:r>
        <w:rPr>
          <w:color w:val="000000"/>
          <w:spacing w:val="-5"/>
        </w:rPr>
        <w:t xml:space="preserve"> </w:t>
      </w:r>
      <w:r>
        <w:rPr>
          <w:color w:val="000000"/>
        </w:rPr>
        <w:t>female</w:t>
      </w:r>
      <w:r>
        <w:rPr>
          <w:color w:val="000000"/>
          <w:spacing w:val="-5"/>
        </w:rPr>
        <w:t xml:space="preserve"> </w:t>
      </w:r>
      <w:r>
        <w:rPr>
          <w:color w:val="000000"/>
        </w:rPr>
        <w:t>VPF</w:t>
      </w:r>
      <w:r>
        <w:rPr>
          <w:color w:val="000000"/>
          <w:spacing w:val="-6"/>
        </w:rPr>
        <w:t xml:space="preserve"> </w:t>
      </w:r>
      <w:r>
        <w:rPr>
          <w:color w:val="000000"/>
        </w:rPr>
        <w:t>recruits</w:t>
      </w:r>
      <w:r>
        <w:rPr>
          <w:color w:val="000000"/>
          <w:spacing w:val="-7"/>
        </w:rPr>
        <w:t xml:space="preserve"> </w:t>
      </w:r>
      <w:r>
        <w:rPr>
          <w:color w:val="000000"/>
        </w:rPr>
        <w:t>and</w:t>
      </w:r>
      <w:r>
        <w:rPr>
          <w:color w:val="000000"/>
          <w:spacing w:val="-4"/>
        </w:rPr>
        <w:t xml:space="preserve"> </w:t>
      </w:r>
      <w:r>
        <w:rPr>
          <w:color w:val="000000"/>
          <w:spacing w:val="-2"/>
        </w:rPr>
        <w:t>trainees</w:t>
      </w:r>
    </w:p>
    <w:p w14:paraId="69828E0B" w14:textId="77777777" w:rsidR="00995CC3" w:rsidRDefault="00995CC3" w:rsidP="00293102">
      <w:pPr>
        <w:pStyle w:val="BodyText"/>
        <w:numPr>
          <w:ilvl w:val="0"/>
          <w:numId w:val="27"/>
        </w:numPr>
        <w:tabs>
          <w:tab w:val="left" w:pos="467"/>
        </w:tabs>
        <w:spacing w:line="244" w:lineRule="exact"/>
        <w:ind w:leftChars="370" w:left="1239" w:rightChars="376" w:right="827" w:hanging="425"/>
        <w:rPr>
          <w:color w:val="000000"/>
        </w:rPr>
      </w:pPr>
      <w:r>
        <w:rPr>
          <w:color w:val="000000"/>
        </w:rPr>
        <w:t>Positive</w:t>
      </w:r>
      <w:r>
        <w:rPr>
          <w:color w:val="000000"/>
          <w:spacing w:val="-9"/>
        </w:rPr>
        <w:t xml:space="preserve"> </w:t>
      </w:r>
      <w:r>
        <w:rPr>
          <w:color w:val="000000"/>
        </w:rPr>
        <w:t>communication</w:t>
      </w:r>
      <w:r>
        <w:rPr>
          <w:color w:val="000000"/>
          <w:spacing w:val="-6"/>
        </w:rPr>
        <w:t xml:space="preserve"> </w:t>
      </w:r>
      <w:r>
        <w:rPr>
          <w:color w:val="000000"/>
        </w:rPr>
        <w:t>and</w:t>
      </w:r>
      <w:r>
        <w:rPr>
          <w:color w:val="000000"/>
          <w:spacing w:val="-8"/>
        </w:rPr>
        <w:t xml:space="preserve"> </w:t>
      </w:r>
      <w:r>
        <w:rPr>
          <w:color w:val="000000"/>
        </w:rPr>
        <w:t>interactions</w:t>
      </w:r>
      <w:r>
        <w:rPr>
          <w:color w:val="000000"/>
          <w:spacing w:val="-7"/>
        </w:rPr>
        <w:t xml:space="preserve"> </w:t>
      </w:r>
      <w:r>
        <w:rPr>
          <w:color w:val="000000"/>
        </w:rPr>
        <w:t>between</w:t>
      </w:r>
      <w:r>
        <w:rPr>
          <w:color w:val="000000"/>
          <w:spacing w:val="-7"/>
        </w:rPr>
        <w:t xml:space="preserve"> </w:t>
      </w:r>
      <w:r>
        <w:rPr>
          <w:color w:val="000000"/>
        </w:rPr>
        <w:t>male</w:t>
      </w:r>
      <w:r>
        <w:rPr>
          <w:color w:val="000000"/>
          <w:spacing w:val="-8"/>
        </w:rPr>
        <w:t xml:space="preserve"> </w:t>
      </w:r>
      <w:r>
        <w:rPr>
          <w:color w:val="000000"/>
        </w:rPr>
        <w:t>and</w:t>
      </w:r>
      <w:r>
        <w:rPr>
          <w:color w:val="000000"/>
          <w:spacing w:val="-8"/>
        </w:rPr>
        <w:t xml:space="preserve"> </w:t>
      </w:r>
      <w:r>
        <w:rPr>
          <w:color w:val="000000"/>
        </w:rPr>
        <w:t>female</w:t>
      </w:r>
      <w:r>
        <w:rPr>
          <w:color w:val="000000"/>
          <w:spacing w:val="-8"/>
        </w:rPr>
        <w:t xml:space="preserve"> </w:t>
      </w:r>
      <w:r>
        <w:rPr>
          <w:color w:val="000000"/>
        </w:rPr>
        <w:t>police</w:t>
      </w:r>
      <w:r>
        <w:rPr>
          <w:color w:val="000000"/>
          <w:spacing w:val="-8"/>
        </w:rPr>
        <w:t xml:space="preserve"> </w:t>
      </w:r>
      <w:r>
        <w:rPr>
          <w:color w:val="000000"/>
          <w:spacing w:val="-2"/>
        </w:rPr>
        <w:t>trainees</w:t>
      </w:r>
    </w:p>
    <w:p w14:paraId="509018AF" w14:textId="77777777" w:rsidR="00995CC3" w:rsidRDefault="00995CC3" w:rsidP="00293102">
      <w:pPr>
        <w:pStyle w:val="BodyText"/>
        <w:numPr>
          <w:ilvl w:val="0"/>
          <w:numId w:val="27"/>
        </w:numPr>
        <w:tabs>
          <w:tab w:val="left" w:pos="467"/>
        </w:tabs>
        <w:spacing w:line="244" w:lineRule="exact"/>
        <w:ind w:leftChars="370" w:left="1239" w:rightChars="376" w:right="827" w:hanging="425"/>
        <w:rPr>
          <w:color w:val="000000"/>
        </w:rPr>
      </w:pPr>
      <w:r>
        <w:rPr>
          <w:color w:val="000000"/>
        </w:rPr>
        <w:t>Increase</w:t>
      </w:r>
      <w:r>
        <w:rPr>
          <w:color w:val="000000"/>
          <w:spacing w:val="-7"/>
        </w:rPr>
        <w:t xml:space="preserve"> </w:t>
      </w:r>
      <w:r>
        <w:rPr>
          <w:color w:val="000000"/>
        </w:rPr>
        <w:t>in</w:t>
      </w:r>
      <w:r>
        <w:rPr>
          <w:color w:val="000000"/>
          <w:spacing w:val="-6"/>
        </w:rPr>
        <w:t xml:space="preserve"> </w:t>
      </w:r>
      <w:r>
        <w:rPr>
          <w:color w:val="000000"/>
        </w:rPr>
        <w:t>women</w:t>
      </w:r>
      <w:r>
        <w:rPr>
          <w:color w:val="000000"/>
          <w:spacing w:val="-4"/>
        </w:rPr>
        <w:t xml:space="preserve"> </w:t>
      </w:r>
      <w:r>
        <w:rPr>
          <w:color w:val="000000"/>
        </w:rPr>
        <w:t>police</w:t>
      </w:r>
      <w:r>
        <w:rPr>
          <w:color w:val="000000"/>
          <w:spacing w:val="-5"/>
        </w:rPr>
        <w:t xml:space="preserve"> </w:t>
      </w:r>
      <w:r>
        <w:rPr>
          <w:color w:val="000000"/>
        </w:rPr>
        <w:t>presence</w:t>
      </w:r>
      <w:r>
        <w:rPr>
          <w:color w:val="000000"/>
          <w:spacing w:val="-6"/>
        </w:rPr>
        <w:t xml:space="preserve"> </w:t>
      </w:r>
      <w:r>
        <w:rPr>
          <w:color w:val="000000"/>
        </w:rPr>
        <w:t>in</w:t>
      </w:r>
      <w:r>
        <w:rPr>
          <w:color w:val="000000"/>
          <w:spacing w:val="-6"/>
        </w:rPr>
        <w:t xml:space="preserve"> </w:t>
      </w:r>
      <w:r>
        <w:rPr>
          <w:color w:val="000000"/>
        </w:rPr>
        <w:t>key</w:t>
      </w:r>
      <w:r>
        <w:rPr>
          <w:color w:val="000000"/>
          <w:spacing w:val="-5"/>
        </w:rPr>
        <w:t xml:space="preserve"> </w:t>
      </w:r>
      <w:r>
        <w:rPr>
          <w:color w:val="000000"/>
        </w:rPr>
        <w:t>remote</w:t>
      </w:r>
      <w:r>
        <w:rPr>
          <w:color w:val="000000"/>
          <w:spacing w:val="-5"/>
        </w:rPr>
        <w:t xml:space="preserve"> </w:t>
      </w:r>
      <w:r>
        <w:rPr>
          <w:color w:val="000000"/>
          <w:spacing w:val="-2"/>
        </w:rPr>
        <w:t>locations</w:t>
      </w:r>
    </w:p>
    <w:p w14:paraId="430FBF80" w14:textId="77777777" w:rsidR="00995CC3" w:rsidRDefault="00995CC3" w:rsidP="00293102">
      <w:pPr>
        <w:pStyle w:val="BodyText"/>
        <w:numPr>
          <w:ilvl w:val="0"/>
          <w:numId w:val="27"/>
        </w:numPr>
        <w:tabs>
          <w:tab w:val="left" w:pos="467"/>
        </w:tabs>
        <w:spacing w:line="244" w:lineRule="exact"/>
        <w:ind w:leftChars="370" w:left="1239" w:rightChars="376" w:right="827" w:hanging="425"/>
        <w:rPr>
          <w:color w:val="000000"/>
        </w:rPr>
      </w:pPr>
      <w:r>
        <w:rPr>
          <w:color w:val="000000"/>
        </w:rPr>
        <w:t>Increase</w:t>
      </w:r>
      <w:r>
        <w:rPr>
          <w:color w:val="000000"/>
          <w:spacing w:val="-6"/>
        </w:rPr>
        <w:t xml:space="preserve"> </w:t>
      </w:r>
      <w:r>
        <w:rPr>
          <w:color w:val="000000"/>
        </w:rPr>
        <w:t>in</w:t>
      </w:r>
      <w:r>
        <w:rPr>
          <w:color w:val="000000"/>
          <w:spacing w:val="-6"/>
        </w:rPr>
        <w:t xml:space="preserve"> </w:t>
      </w:r>
      <w:r>
        <w:rPr>
          <w:color w:val="000000"/>
        </w:rPr>
        <w:t>#s</w:t>
      </w:r>
      <w:r>
        <w:rPr>
          <w:color w:val="000000"/>
          <w:spacing w:val="-5"/>
        </w:rPr>
        <w:t xml:space="preserve"> </w:t>
      </w:r>
      <w:r>
        <w:rPr>
          <w:color w:val="000000"/>
        </w:rPr>
        <w:t>women</w:t>
      </w:r>
      <w:r>
        <w:rPr>
          <w:color w:val="000000"/>
          <w:spacing w:val="-6"/>
        </w:rPr>
        <w:t xml:space="preserve"> </w:t>
      </w:r>
      <w:r>
        <w:rPr>
          <w:color w:val="000000"/>
        </w:rPr>
        <w:t>appointed</w:t>
      </w:r>
      <w:r>
        <w:rPr>
          <w:color w:val="000000"/>
          <w:spacing w:val="-6"/>
        </w:rPr>
        <w:t xml:space="preserve"> </w:t>
      </w:r>
      <w:r>
        <w:rPr>
          <w:color w:val="000000"/>
        </w:rPr>
        <w:t>as</w:t>
      </w:r>
      <w:r>
        <w:rPr>
          <w:color w:val="000000"/>
          <w:spacing w:val="-2"/>
        </w:rPr>
        <w:t xml:space="preserve"> </w:t>
      </w:r>
      <w:r>
        <w:rPr>
          <w:color w:val="000000"/>
          <w:spacing w:val="-5"/>
        </w:rPr>
        <w:t>APs</w:t>
      </w:r>
    </w:p>
    <w:p w14:paraId="4E3267BE" w14:textId="77777777" w:rsidR="00995CC3" w:rsidRDefault="00995CC3" w:rsidP="00293102">
      <w:pPr>
        <w:pStyle w:val="BodyText"/>
        <w:numPr>
          <w:ilvl w:val="0"/>
          <w:numId w:val="27"/>
        </w:numPr>
        <w:tabs>
          <w:tab w:val="left" w:pos="467"/>
        </w:tabs>
        <w:spacing w:line="244" w:lineRule="exact"/>
        <w:ind w:leftChars="370" w:left="1239" w:rightChars="376" w:right="827" w:hanging="425"/>
        <w:rPr>
          <w:color w:val="000000"/>
        </w:rPr>
      </w:pPr>
      <w:r>
        <w:rPr>
          <w:color w:val="000000"/>
        </w:rPr>
        <w:t>Active</w:t>
      </w:r>
      <w:r>
        <w:rPr>
          <w:color w:val="000000"/>
          <w:spacing w:val="-3"/>
        </w:rPr>
        <w:t xml:space="preserve"> </w:t>
      </w:r>
      <w:r>
        <w:rPr>
          <w:color w:val="000000"/>
        </w:rPr>
        <w:t>WAN</w:t>
      </w:r>
      <w:r>
        <w:rPr>
          <w:color w:val="000000"/>
          <w:spacing w:val="-5"/>
        </w:rPr>
        <w:t xml:space="preserve"> </w:t>
      </w:r>
      <w:r>
        <w:rPr>
          <w:color w:val="000000"/>
        </w:rPr>
        <w:t>in</w:t>
      </w:r>
      <w:r>
        <w:rPr>
          <w:color w:val="000000"/>
          <w:spacing w:val="-4"/>
        </w:rPr>
        <w:t xml:space="preserve"> </w:t>
      </w:r>
      <w:r>
        <w:rPr>
          <w:color w:val="000000"/>
        </w:rPr>
        <w:t>the</w:t>
      </w:r>
      <w:r>
        <w:rPr>
          <w:color w:val="000000"/>
          <w:spacing w:val="-5"/>
        </w:rPr>
        <w:t xml:space="preserve"> VPF</w:t>
      </w:r>
    </w:p>
    <w:p w14:paraId="7EC2C07B" w14:textId="77777777" w:rsidR="00995CC3" w:rsidRDefault="00995CC3" w:rsidP="00293102">
      <w:pPr>
        <w:pStyle w:val="BodyText"/>
        <w:numPr>
          <w:ilvl w:val="0"/>
          <w:numId w:val="27"/>
        </w:numPr>
        <w:tabs>
          <w:tab w:val="left" w:pos="467"/>
        </w:tabs>
        <w:spacing w:line="244" w:lineRule="exact"/>
        <w:ind w:leftChars="370" w:left="1239" w:rightChars="376" w:right="827" w:hanging="425"/>
        <w:rPr>
          <w:color w:val="000000"/>
        </w:rPr>
      </w:pPr>
      <w:r>
        <w:rPr>
          <w:color w:val="000000"/>
        </w:rPr>
        <w:t>Increased</w:t>
      </w:r>
      <w:r>
        <w:rPr>
          <w:color w:val="000000"/>
          <w:spacing w:val="-8"/>
        </w:rPr>
        <w:t xml:space="preserve"> </w:t>
      </w:r>
      <w:r>
        <w:rPr>
          <w:color w:val="000000"/>
        </w:rPr>
        <w:t>engagement</w:t>
      </w:r>
      <w:r>
        <w:rPr>
          <w:color w:val="000000"/>
          <w:spacing w:val="-7"/>
        </w:rPr>
        <w:t xml:space="preserve"> </w:t>
      </w:r>
      <w:r>
        <w:rPr>
          <w:color w:val="000000"/>
        </w:rPr>
        <w:t>and</w:t>
      </w:r>
      <w:r>
        <w:rPr>
          <w:color w:val="000000"/>
          <w:spacing w:val="-5"/>
        </w:rPr>
        <w:t xml:space="preserve"> </w:t>
      </w:r>
      <w:r>
        <w:rPr>
          <w:color w:val="000000"/>
        </w:rPr>
        <w:t>support</w:t>
      </w:r>
      <w:r>
        <w:rPr>
          <w:color w:val="000000"/>
          <w:spacing w:val="-7"/>
        </w:rPr>
        <w:t xml:space="preserve"> </w:t>
      </w:r>
      <w:r>
        <w:rPr>
          <w:color w:val="000000"/>
        </w:rPr>
        <w:t>from</w:t>
      </w:r>
      <w:r>
        <w:rPr>
          <w:color w:val="000000"/>
          <w:spacing w:val="-8"/>
        </w:rPr>
        <w:t xml:space="preserve"> </w:t>
      </w:r>
      <w:r>
        <w:rPr>
          <w:color w:val="000000"/>
        </w:rPr>
        <w:t>Chiefs</w:t>
      </w:r>
      <w:r>
        <w:rPr>
          <w:color w:val="000000"/>
          <w:spacing w:val="-6"/>
        </w:rPr>
        <w:t xml:space="preserve"> </w:t>
      </w:r>
      <w:r>
        <w:rPr>
          <w:color w:val="000000"/>
        </w:rPr>
        <w:t>on</w:t>
      </w:r>
      <w:r>
        <w:rPr>
          <w:color w:val="000000"/>
          <w:spacing w:val="-4"/>
        </w:rPr>
        <w:t xml:space="preserve"> VAWC</w:t>
      </w:r>
    </w:p>
    <w:p w14:paraId="105F346F" w14:textId="77777777" w:rsidR="00995CC3" w:rsidRDefault="00995CC3" w:rsidP="00293102">
      <w:pPr>
        <w:pStyle w:val="BodyText"/>
        <w:numPr>
          <w:ilvl w:val="0"/>
          <w:numId w:val="27"/>
        </w:numPr>
        <w:tabs>
          <w:tab w:val="left" w:pos="468"/>
        </w:tabs>
        <w:spacing w:before="4" w:line="235" w:lineRule="auto"/>
        <w:ind w:leftChars="370" w:left="1239" w:rightChars="376" w:right="827" w:hanging="425"/>
        <w:rPr>
          <w:color w:val="000000"/>
        </w:rPr>
      </w:pPr>
      <w:r>
        <w:rPr>
          <w:color w:val="000000"/>
        </w:rPr>
        <w:t>Increase</w:t>
      </w:r>
      <w:r>
        <w:rPr>
          <w:color w:val="000000"/>
          <w:spacing w:val="-4"/>
        </w:rPr>
        <w:t xml:space="preserve"> </w:t>
      </w:r>
      <w:r>
        <w:rPr>
          <w:color w:val="000000"/>
        </w:rPr>
        <w:t>in</w:t>
      </w:r>
      <w:r>
        <w:rPr>
          <w:color w:val="000000"/>
          <w:spacing w:val="-4"/>
        </w:rPr>
        <w:t xml:space="preserve"> </w:t>
      </w:r>
      <w:r>
        <w:rPr>
          <w:color w:val="000000"/>
        </w:rPr>
        <w:t>women</w:t>
      </w:r>
      <w:r>
        <w:rPr>
          <w:color w:val="000000"/>
          <w:spacing w:val="-2"/>
        </w:rPr>
        <w:t xml:space="preserve"> </w:t>
      </w:r>
      <w:r>
        <w:rPr>
          <w:color w:val="000000"/>
        </w:rPr>
        <w:t>accessing</w:t>
      </w:r>
      <w:r>
        <w:rPr>
          <w:color w:val="000000"/>
          <w:spacing w:val="-4"/>
        </w:rPr>
        <w:t xml:space="preserve"> </w:t>
      </w:r>
      <w:r>
        <w:rPr>
          <w:color w:val="000000"/>
        </w:rPr>
        <w:t>professional</w:t>
      </w:r>
      <w:r>
        <w:rPr>
          <w:color w:val="000000"/>
          <w:spacing w:val="-3"/>
        </w:rPr>
        <w:t xml:space="preserve"> </w:t>
      </w:r>
      <w:r>
        <w:rPr>
          <w:color w:val="000000"/>
        </w:rPr>
        <w:t>development</w:t>
      </w:r>
      <w:r>
        <w:rPr>
          <w:color w:val="000000"/>
          <w:spacing w:val="-4"/>
        </w:rPr>
        <w:t xml:space="preserve"> </w:t>
      </w:r>
      <w:r>
        <w:rPr>
          <w:color w:val="000000"/>
        </w:rPr>
        <w:t>or</w:t>
      </w:r>
      <w:r>
        <w:rPr>
          <w:color w:val="000000"/>
          <w:spacing w:val="-3"/>
        </w:rPr>
        <w:t xml:space="preserve"> </w:t>
      </w:r>
      <w:r>
        <w:rPr>
          <w:color w:val="000000"/>
        </w:rPr>
        <w:t>leadership</w:t>
      </w:r>
      <w:r>
        <w:rPr>
          <w:color w:val="000000"/>
          <w:spacing w:val="-2"/>
        </w:rPr>
        <w:t xml:space="preserve"> </w:t>
      </w:r>
      <w:r>
        <w:rPr>
          <w:color w:val="000000"/>
        </w:rPr>
        <w:t>opportunities</w:t>
      </w:r>
      <w:r>
        <w:rPr>
          <w:color w:val="000000"/>
          <w:spacing w:val="-3"/>
        </w:rPr>
        <w:t xml:space="preserve"> </w:t>
      </w:r>
      <w:r>
        <w:rPr>
          <w:color w:val="000000"/>
        </w:rPr>
        <w:t>in</w:t>
      </w:r>
      <w:r>
        <w:rPr>
          <w:color w:val="000000"/>
          <w:spacing w:val="-2"/>
        </w:rPr>
        <w:t xml:space="preserve"> </w:t>
      </w:r>
      <w:r>
        <w:rPr>
          <w:color w:val="000000"/>
        </w:rPr>
        <w:t>VPF,</w:t>
      </w:r>
      <w:r>
        <w:rPr>
          <w:color w:val="000000"/>
          <w:spacing w:val="-2"/>
        </w:rPr>
        <w:t xml:space="preserve"> </w:t>
      </w:r>
      <w:r>
        <w:rPr>
          <w:color w:val="000000"/>
        </w:rPr>
        <w:t>and</w:t>
      </w:r>
      <w:r>
        <w:rPr>
          <w:color w:val="000000"/>
          <w:spacing w:val="-4"/>
        </w:rPr>
        <w:t xml:space="preserve"> </w:t>
      </w:r>
      <w:r>
        <w:rPr>
          <w:color w:val="000000"/>
        </w:rPr>
        <w:t>in</w:t>
      </w:r>
      <w:r>
        <w:rPr>
          <w:color w:val="000000"/>
          <w:spacing w:val="-4"/>
        </w:rPr>
        <w:t xml:space="preserve"> </w:t>
      </w:r>
      <w:r>
        <w:rPr>
          <w:color w:val="000000"/>
        </w:rPr>
        <w:t>justice agencies and department</w:t>
      </w:r>
    </w:p>
    <w:p w14:paraId="2F6B42A5" w14:textId="77777777" w:rsidR="00995CC3" w:rsidRDefault="00995CC3" w:rsidP="00293102">
      <w:pPr>
        <w:pStyle w:val="BodyText"/>
        <w:numPr>
          <w:ilvl w:val="0"/>
          <w:numId w:val="27"/>
        </w:numPr>
        <w:tabs>
          <w:tab w:val="left" w:pos="467"/>
        </w:tabs>
        <w:spacing w:before="3" w:line="244" w:lineRule="exact"/>
        <w:ind w:leftChars="370" w:left="1239" w:rightChars="376" w:right="827" w:hanging="425"/>
        <w:rPr>
          <w:color w:val="000000"/>
        </w:rPr>
      </w:pPr>
      <w:r>
        <w:rPr>
          <w:color w:val="000000"/>
        </w:rPr>
        <w:t>Improved</w:t>
      </w:r>
      <w:r>
        <w:rPr>
          <w:color w:val="000000"/>
          <w:spacing w:val="-8"/>
        </w:rPr>
        <w:t xml:space="preserve"> </w:t>
      </w:r>
      <w:r>
        <w:rPr>
          <w:color w:val="000000"/>
        </w:rPr>
        <w:t>capacities</w:t>
      </w:r>
      <w:r>
        <w:rPr>
          <w:color w:val="000000"/>
          <w:spacing w:val="-6"/>
        </w:rPr>
        <w:t xml:space="preserve"> </w:t>
      </w:r>
      <w:r>
        <w:rPr>
          <w:color w:val="000000"/>
        </w:rPr>
        <w:t>and</w:t>
      </w:r>
      <w:r>
        <w:rPr>
          <w:color w:val="000000"/>
          <w:spacing w:val="-7"/>
        </w:rPr>
        <w:t xml:space="preserve"> </w:t>
      </w:r>
      <w:r>
        <w:rPr>
          <w:color w:val="000000"/>
        </w:rPr>
        <w:t>resourcing</w:t>
      </w:r>
      <w:r>
        <w:rPr>
          <w:color w:val="000000"/>
          <w:spacing w:val="-9"/>
        </w:rPr>
        <w:t xml:space="preserve"> </w:t>
      </w:r>
      <w:r>
        <w:rPr>
          <w:color w:val="000000"/>
        </w:rPr>
        <w:t>for</w:t>
      </w:r>
      <w:r>
        <w:rPr>
          <w:color w:val="000000"/>
          <w:spacing w:val="-9"/>
        </w:rPr>
        <w:t xml:space="preserve"> </w:t>
      </w:r>
      <w:r>
        <w:rPr>
          <w:color w:val="000000"/>
          <w:spacing w:val="-5"/>
        </w:rPr>
        <w:t>FPU</w:t>
      </w:r>
    </w:p>
    <w:p w14:paraId="40E86FE2" w14:textId="77777777" w:rsidR="00995CC3" w:rsidRDefault="00995CC3" w:rsidP="00293102">
      <w:pPr>
        <w:pStyle w:val="BodyText"/>
        <w:numPr>
          <w:ilvl w:val="0"/>
          <w:numId w:val="27"/>
        </w:numPr>
        <w:tabs>
          <w:tab w:val="left" w:pos="467"/>
        </w:tabs>
        <w:spacing w:line="244" w:lineRule="exact"/>
        <w:ind w:leftChars="370" w:left="1239" w:rightChars="376" w:right="827" w:hanging="425"/>
        <w:rPr>
          <w:color w:val="000000"/>
        </w:rPr>
      </w:pPr>
      <w:r>
        <w:rPr>
          <w:color w:val="000000"/>
        </w:rPr>
        <w:t>Increased</w:t>
      </w:r>
      <w:r>
        <w:rPr>
          <w:color w:val="000000"/>
          <w:spacing w:val="-8"/>
        </w:rPr>
        <w:t xml:space="preserve"> </w:t>
      </w:r>
      <w:r>
        <w:rPr>
          <w:color w:val="000000"/>
        </w:rPr>
        <w:t>capacities</w:t>
      </w:r>
      <w:r>
        <w:rPr>
          <w:color w:val="000000"/>
          <w:spacing w:val="-7"/>
        </w:rPr>
        <w:t xml:space="preserve"> </w:t>
      </w:r>
      <w:r>
        <w:rPr>
          <w:color w:val="000000"/>
        </w:rPr>
        <w:t>and</w:t>
      </w:r>
      <w:r>
        <w:rPr>
          <w:color w:val="000000"/>
          <w:spacing w:val="-7"/>
        </w:rPr>
        <w:t xml:space="preserve"> </w:t>
      </w:r>
      <w:r>
        <w:rPr>
          <w:color w:val="000000"/>
        </w:rPr>
        <w:t>resourcing</w:t>
      </w:r>
      <w:r>
        <w:rPr>
          <w:color w:val="000000"/>
          <w:spacing w:val="-8"/>
        </w:rPr>
        <w:t xml:space="preserve"> </w:t>
      </w:r>
      <w:r>
        <w:rPr>
          <w:color w:val="000000"/>
        </w:rPr>
        <w:t>for</w:t>
      </w:r>
      <w:r>
        <w:rPr>
          <w:color w:val="000000"/>
          <w:spacing w:val="-6"/>
        </w:rPr>
        <w:t xml:space="preserve"> </w:t>
      </w:r>
      <w:r>
        <w:rPr>
          <w:color w:val="000000"/>
        </w:rPr>
        <w:t>Child</w:t>
      </w:r>
      <w:r>
        <w:rPr>
          <w:color w:val="000000"/>
          <w:spacing w:val="-6"/>
        </w:rPr>
        <w:t xml:space="preserve"> </w:t>
      </w:r>
      <w:r>
        <w:rPr>
          <w:color w:val="000000"/>
        </w:rPr>
        <w:t>and</w:t>
      </w:r>
      <w:r>
        <w:rPr>
          <w:color w:val="000000"/>
          <w:spacing w:val="-7"/>
        </w:rPr>
        <w:t xml:space="preserve"> </w:t>
      </w:r>
      <w:r>
        <w:rPr>
          <w:color w:val="000000"/>
        </w:rPr>
        <w:t>Disability</w:t>
      </w:r>
      <w:r>
        <w:rPr>
          <w:color w:val="000000"/>
          <w:spacing w:val="-7"/>
        </w:rPr>
        <w:t xml:space="preserve"> </w:t>
      </w:r>
      <w:r>
        <w:rPr>
          <w:color w:val="000000"/>
          <w:spacing w:val="-2"/>
        </w:rPr>
        <w:t>Desks</w:t>
      </w:r>
    </w:p>
    <w:p w14:paraId="301916EE" w14:textId="77777777" w:rsidR="00995CC3" w:rsidRDefault="00995CC3" w:rsidP="00293102">
      <w:pPr>
        <w:pStyle w:val="BodyText"/>
        <w:numPr>
          <w:ilvl w:val="0"/>
          <w:numId w:val="27"/>
        </w:numPr>
        <w:tabs>
          <w:tab w:val="left" w:pos="467"/>
        </w:tabs>
        <w:spacing w:line="244" w:lineRule="exact"/>
        <w:ind w:leftChars="370" w:left="1239" w:rightChars="376" w:right="827" w:hanging="425"/>
        <w:rPr>
          <w:color w:val="000000"/>
        </w:rPr>
      </w:pPr>
      <w:r>
        <w:rPr>
          <w:color w:val="000000"/>
        </w:rPr>
        <w:t>Improved</w:t>
      </w:r>
      <w:r>
        <w:rPr>
          <w:color w:val="000000"/>
          <w:spacing w:val="-6"/>
        </w:rPr>
        <w:t xml:space="preserve"> </w:t>
      </w:r>
      <w:r>
        <w:rPr>
          <w:color w:val="000000"/>
        </w:rPr>
        <w:t>facilities</w:t>
      </w:r>
      <w:r>
        <w:rPr>
          <w:color w:val="000000"/>
          <w:spacing w:val="-6"/>
        </w:rPr>
        <w:t xml:space="preserve"> </w:t>
      </w:r>
      <w:r>
        <w:rPr>
          <w:color w:val="000000"/>
        </w:rPr>
        <w:t>for</w:t>
      </w:r>
      <w:r>
        <w:rPr>
          <w:color w:val="000000"/>
          <w:spacing w:val="-7"/>
        </w:rPr>
        <w:t xml:space="preserve"> </w:t>
      </w:r>
      <w:r>
        <w:rPr>
          <w:color w:val="000000"/>
        </w:rPr>
        <w:t>women</w:t>
      </w:r>
      <w:r>
        <w:rPr>
          <w:color w:val="000000"/>
          <w:spacing w:val="-7"/>
        </w:rPr>
        <w:t xml:space="preserve"> </w:t>
      </w:r>
      <w:r>
        <w:rPr>
          <w:color w:val="000000"/>
        </w:rPr>
        <w:t>and</w:t>
      </w:r>
      <w:r>
        <w:rPr>
          <w:color w:val="000000"/>
          <w:spacing w:val="-7"/>
        </w:rPr>
        <w:t xml:space="preserve"> </w:t>
      </w:r>
      <w:r>
        <w:rPr>
          <w:color w:val="000000"/>
        </w:rPr>
        <w:t>children</w:t>
      </w:r>
      <w:r>
        <w:rPr>
          <w:color w:val="000000"/>
          <w:spacing w:val="-7"/>
        </w:rPr>
        <w:t xml:space="preserve"> </w:t>
      </w:r>
      <w:r>
        <w:rPr>
          <w:color w:val="000000"/>
        </w:rPr>
        <w:t>affected</w:t>
      </w:r>
      <w:r>
        <w:rPr>
          <w:color w:val="000000"/>
          <w:spacing w:val="-8"/>
        </w:rPr>
        <w:t xml:space="preserve"> </w:t>
      </w:r>
      <w:r>
        <w:rPr>
          <w:color w:val="000000"/>
        </w:rPr>
        <w:t>by</w:t>
      </w:r>
      <w:r>
        <w:rPr>
          <w:color w:val="000000"/>
          <w:spacing w:val="-3"/>
        </w:rPr>
        <w:t xml:space="preserve"> </w:t>
      </w:r>
      <w:r>
        <w:rPr>
          <w:color w:val="000000"/>
          <w:spacing w:val="-4"/>
        </w:rPr>
        <w:t>VAWC</w:t>
      </w:r>
    </w:p>
    <w:p w14:paraId="4D917C88" w14:textId="77777777" w:rsidR="00995CC3" w:rsidRDefault="00995CC3" w:rsidP="00293102">
      <w:pPr>
        <w:pStyle w:val="BodyText"/>
        <w:numPr>
          <w:ilvl w:val="0"/>
          <w:numId w:val="27"/>
        </w:numPr>
        <w:tabs>
          <w:tab w:val="left" w:pos="465"/>
        </w:tabs>
        <w:spacing w:line="244" w:lineRule="exact"/>
        <w:ind w:leftChars="370" w:left="1239" w:rightChars="376" w:right="827" w:hanging="425"/>
        <w:rPr>
          <w:color w:val="000000"/>
        </w:rPr>
      </w:pPr>
      <w:r>
        <w:rPr>
          <w:color w:val="000000"/>
        </w:rPr>
        <w:t>Increased</w:t>
      </w:r>
      <w:r>
        <w:rPr>
          <w:color w:val="000000"/>
          <w:spacing w:val="-10"/>
        </w:rPr>
        <w:t xml:space="preserve"> </w:t>
      </w:r>
      <w:r>
        <w:rPr>
          <w:color w:val="000000"/>
        </w:rPr>
        <w:t>focus</w:t>
      </w:r>
      <w:r>
        <w:rPr>
          <w:color w:val="000000"/>
          <w:spacing w:val="-8"/>
        </w:rPr>
        <w:t xml:space="preserve"> </w:t>
      </w:r>
      <w:r>
        <w:rPr>
          <w:color w:val="000000"/>
        </w:rPr>
        <w:t>on</w:t>
      </w:r>
      <w:r>
        <w:rPr>
          <w:color w:val="000000"/>
          <w:spacing w:val="-7"/>
        </w:rPr>
        <w:t xml:space="preserve"> </w:t>
      </w:r>
      <w:r>
        <w:rPr>
          <w:color w:val="000000"/>
        </w:rPr>
        <w:t>disability</w:t>
      </w:r>
      <w:r>
        <w:rPr>
          <w:color w:val="000000"/>
          <w:spacing w:val="-8"/>
        </w:rPr>
        <w:t xml:space="preserve"> </w:t>
      </w:r>
      <w:r>
        <w:rPr>
          <w:color w:val="000000"/>
        </w:rPr>
        <w:t>inclusion</w:t>
      </w:r>
      <w:r>
        <w:rPr>
          <w:color w:val="000000"/>
          <w:spacing w:val="-8"/>
        </w:rPr>
        <w:t xml:space="preserve"> </w:t>
      </w:r>
      <w:r>
        <w:rPr>
          <w:color w:val="000000"/>
        </w:rPr>
        <w:t>in</w:t>
      </w:r>
      <w:r>
        <w:rPr>
          <w:color w:val="000000"/>
          <w:spacing w:val="-7"/>
        </w:rPr>
        <w:t xml:space="preserve"> </w:t>
      </w:r>
      <w:r>
        <w:rPr>
          <w:color w:val="000000"/>
        </w:rPr>
        <w:t>new</w:t>
      </w:r>
      <w:r>
        <w:rPr>
          <w:color w:val="000000"/>
          <w:spacing w:val="-7"/>
        </w:rPr>
        <w:t xml:space="preserve"> </w:t>
      </w:r>
      <w:r>
        <w:rPr>
          <w:color w:val="000000"/>
        </w:rPr>
        <w:t>infrastructure</w:t>
      </w:r>
      <w:r>
        <w:rPr>
          <w:color w:val="000000"/>
          <w:spacing w:val="-9"/>
        </w:rPr>
        <w:t xml:space="preserve"> </w:t>
      </w:r>
      <w:r>
        <w:rPr>
          <w:color w:val="000000"/>
          <w:spacing w:val="-2"/>
        </w:rPr>
        <w:t>designs</w:t>
      </w:r>
    </w:p>
    <w:p w14:paraId="61633F9A" w14:textId="77777777" w:rsidR="00995CC3" w:rsidRDefault="00995CC3" w:rsidP="00293102">
      <w:pPr>
        <w:pStyle w:val="BodyText"/>
        <w:numPr>
          <w:ilvl w:val="0"/>
          <w:numId w:val="27"/>
        </w:numPr>
        <w:tabs>
          <w:tab w:val="left" w:pos="465"/>
        </w:tabs>
        <w:ind w:leftChars="370" w:left="1239" w:rightChars="376" w:right="827" w:hanging="425"/>
        <w:rPr>
          <w:color w:val="000000"/>
        </w:rPr>
      </w:pPr>
      <w:r>
        <w:rPr>
          <w:color w:val="000000"/>
        </w:rPr>
        <w:t>Positive</w:t>
      </w:r>
      <w:r>
        <w:rPr>
          <w:color w:val="000000"/>
          <w:spacing w:val="-6"/>
        </w:rPr>
        <w:t xml:space="preserve"> </w:t>
      </w:r>
      <w:r>
        <w:rPr>
          <w:color w:val="000000"/>
        </w:rPr>
        <w:t>role</w:t>
      </w:r>
      <w:r>
        <w:rPr>
          <w:color w:val="000000"/>
          <w:spacing w:val="-4"/>
        </w:rPr>
        <w:t xml:space="preserve"> </w:t>
      </w:r>
      <w:r>
        <w:rPr>
          <w:color w:val="000000"/>
        </w:rPr>
        <w:t>model</w:t>
      </w:r>
      <w:r>
        <w:rPr>
          <w:color w:val="000000"/>
          <w:spacing w:val="-5"/>
        </w:rPr>
        <w:t xml:space="preserve"> </w:t>
      </w:r>
      <w:r>
        <w:rPr>
          <w:color w:val="000000"/>
        </w:rPr>
        <w:t>of</w:t>
      </w:r>
      <w:r>
        <w:rPr>
          <w:color w:val="000000"/>
          <w:spacing w:val="-6"/>
        </w:rPr>
        <w:t xml:space="preserve"> </w:t>
      </w:r>
      <w:r>
        <w:rPr>
          <w:color w:val="000000"/>
        </w:rPr>
        <w:t>first</w:t>
      </w:r>
      <w:r>
        <w:rPr>
          <w:color w:val="000000"/>
          <w:spacing w:val="-6"/>
        </w:rPr>
        <w:t xml:space="preserve"> </w:t>
      </w:r>
      <w:r>
        <w:rPr>
          <w:color w:val="000000"/>
        </w:rPr>
        <w:t>female</w:t>
      </w:r>
      <w:r>
        <w:rPr>
          <w:color w:val="000000"/>
          <w:spacing w:val="-4"/>
        </w:rPr>
        <w:t xml:space="preserve"> </w:t>
      </w:r>
      <w:r>
        <w:rPr>
          <w:color w:val="000000"/>
        </w:rPr>
        <w:t>PC-P</w:t>
      </w:r>
      <w:r>
        <w:rPr>
          <w:color w:val="000000"/>
          <w:spacing w:val="-4"/>
        </w:rPr>
        <w:t xml:space="preserve"> </w:t>
      </w:r>
      <w:r>
        <w:rPr>
          <w:color w:val="000000"/>
        </w:rPr>
        <w:t>to</w:t>
      </w:r>
      <w:r>
        <w:rPr>
          <w:color w:val="000000"/>
          <w:spacing w:val="-4"/>
        </w:rPr>
        <w:t xml:space="preserve"> VAPJP</w:t>
      </w:r>
    </w:p>
    <w:p w14:paraId="2D4B4520" w14:textId="413744B8" w:rsidR="009C36E3" w:rsidRDefault="000E7207" w:rsidP="00C84A55">
      <w:pPr>
        <w:pStyle w:val="Heading7"/>
        <w:spacing w:before="240"/>
      </w:pPr>
      <w:r>
        <w:t>Disability</w:t>
      </w:r>
      <w:r>
        <w:rPr>
          <w:spacing w:val="-13"/>
        </w:rPr>
        <w:t xml:space="preserve"> </w:t>
      </w:r>
      <w:r>
        <w:rPr>
          <w:spacing w:val="-2"/>
        </w:rPr>
        <w:t>inclusion</w:t>
      </w:r>
    </w:p>
    <w:p w14:paraId="3BA7BAF6" w14:textId="77777777" w:rsidR="009C36E3" w:rsidRDefault="000E7207">
      <w:pPr>
        <w:spacing w:before="121"/>
        <w:ind w:left="1492" w:right="120"/>
        <w:rPr>
          <w:i/>
          <w:sz w:val="20"/>
        </w:rPr>
      </w:pPr>
      <w:r>
        <w:rPr>
          <w:noProof/>
        </w:rPr>
        <mc:AlternateContent>
          <mc:Choice Requires="wps">
            <w:drawing>
              <wp:anchor distT="0" distB="0" distL="0" distR="0" simplePos="0" relativeHeight="251644928" behindDoc="0" locked="0" layoutInCell="1" allowOverlap="1" wp14:anchorId="74D8C3FB" wp14:editId="48E759FB">
                <wp:simplePos x="0" y="0"/>
                <wp:positionH relativeFrom="page">
                  <wp:posOffset>573317</wp:posOffset>
                </wp:positionH>
                <wp:positionV relativeFrom="paragraph">
                  <wp:posOffset>118342</wp:posOffset>
                </wp:positionV>
                <wp:extent cx="275590" cy="274955"/>
                <wp:effectExtent l="0" t="0" r="0" b="0"/>
                <wp:wrapNone/>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1D2352C2" id="Graphic 49" o:spid="_x0000_s1026" alt="&quot;&quot;" style="position:absolute;margin-left:45.15pt;margin-top:9.3pt;width:21.7pt;height:21.65pt;z-index:15745024;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&#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VAPJP has contributed to disability inclusion, most notably in the justice stream. VAPJP’s Disability</w:t>
      </w:r>
      <w:r>
        <w:rPr>
          <w:i/>
          <w:color w:val="007B92"/>
          <w:spacing w:val="-2"/>
          <w:sz w:val="20"/>
        </w:rPr>
        <w:t xml:space="preserve"> </w:t>
      </w:r>
      <w:r>
        <w:rPr>
          <w:i/>
          <w:color w:val="007B92"/>
          <w:sz w:val="20"/>
        </w:rPr>
        <w:t>and</w:t>
      </w:r>
      <w:r>
        <w:rPr>
          <w:i/>
          <w:color w:val="007B92"/>
          <w:spacing w:val="-3"/>
          <w:sz w:val="20"/>
        </w:rPr>
        <w:t xml:space="preserve"> </w:t>
      </w:r>
      <w:r>
        <w:rPr>
          <w:i/>
          <w:color w:val="007B92"/>
          <w:sz w:val="20"/>
        </w:rPr>
        <w:t>Inclusion</w:t>
      </w:r>
      <w:r>
        <w:rPr>
          <w:i/>
          <w:color w:val="007B92"/>
          <w:spacing w:val="-3"/>
          <w:sz w:val="20"/>
        </w:rPr>
        <w:t xml:space="preserve"> </w:t>
      </w:r>
      <w:r>
        <w:rPr>
          <w:i/>
          <w:color w:val="007B92"/>
          <w:sz w:val="20"/>
        </w:rPr>
        <w:t>Officer,</w:t>
      </w:r>
      <w:r>
        <w:rPr>
          <w:i/>
          <w:color w:val="007B92"/>
          <w:spacing w:val="-3"/>
          <w:sz w:val="20"/>
        </w:rPr>
        <w:t xml:space="preserve"> </w:t>
      </w:r>
      <w:r>
        <w:rPr>
          <w:i/>
          <w:color w:val="007B92"/>
          <w:sz w:val="20"/>
        </w:rPr>
        <w:t>who</w:t>
      </w:r>
      <w:r>
        <w:rPr>
          <w:i/>
          <w:color w:val="007B92"/>
          <w:spacing w:val="-3"/>
          <w:sz w:val="20"/>
        </w:rPr>
        <w:t xml:space="preserve"> </w:t>
      </w:r>
      <w:r>
        <w:rPr>
          <w:i/>
          <w:color w:val="007B92"/>
          <w:sz w:val="20"/>
        </w:rPr>
        <w:t>brings lived</w:t>
      </w:r>
      <w:r>
        <w:rPr>
          <w:i/>
          <w:color w:val="007B92"/>
          <w:spacing w:val="-3"/>
          <w:sz w:val="20"/>
        </w:rPr>
        <w:t xml:space="preserve"> </w:t>
      </w:r>
      <w:r>
        <w:rPr>
          <w:i/>
          <w:color w:val="007B92"/>
          <w:sz w:val="20"/>
        </w:rPr>
        <w:t>experience</w:t>
      </w:r>
      <w:r>
        <w:rPr>
          <w:i/>
          <w:color w:val="007B92"/>
          <w:spacing w:val="-3"/>
          <w:sz w:val="20"/>
        </w:rPr>
        <w:t xml:space="preserve"> </w:t>
      </w:r>
      <w:r>
        <w:rPr>
          <w:i/>
          <w:color w:val="007B92"/>
          <w:sz w:val="20"/>
        </w:rPr>
        <w:t>to</w:t>
      </w:r>
      <w:r>
        <w:rPr>
          <w:i/>
          <w:color w:val="007B92"/>
          <w:spacing w:val="-1"/>
          <w:sz w:val="20"/>
        </w:rPr>
        <w:t xml:space="preserve"> </w:t>
      </w:r>
      <w:r>
        <w:rPr>
          <w:i/>
          <w:color w:val="007B92"/>
          <w:sz w:val="20"/>
        </w:rPr>
        <w:t>the</w:t>
      </w:r>
      <w:r>
        <w:rPr>
          <w:i/>
          <w:color w:val="007B92"/>
          <w:spacing w:val="-1"/>
          <w:sz w:val="20"/>
        </w:rPr>
        <w:t xml:space="preserve"> </w:t>
      </w:r>
      <w:r>
        <w:rPr>
          <w:i/>
          <w:color w:val="007B92"/>
          <w:sz w:val="20"/>
        </w:rPr>
        <w:t>role,</w:t>
      </w:r>
      <w:r>
        <w:rPr>
          <w:i/>
          <w:color w:val="007B92"/>
          <w:spacing w:val="-3"/>
          <w:sz w:val="20"/>
        </w:rPr>
        <w:t xml:space="preserve"> </w:t>
      </w:r>
      <w:r>
        <w:rPr>
          <w:i/>
          <w:color w:val="007B92"/>
          <w:sz w:val="20"/>
        </w:rPr>
        <w:t>has</w:t>
      </w:r>
      <w:r>
        <w:rPr>
          <w:i/>
          <w:color w:val="007B92"/>
          <w:spacing w:val="-2"/>
          <w:sz w:val="20"/>
        </w:rPr>
        <w:t xml:space="preserve"> </w:t>
      </w:r>
      <w:r>
        <w:rPr>
          <w:i/>
          <w:color w:val="007B92"/>
          <w:sz w:val="20"/>
        </w:rPr>
        <w:t>a</w:t>
      </w:r>
      <w:r>
        <w:rPr>
          <w:i/>
          <w:color w:val="007B92"/>
          <w:spacing w:val="-3"/>
          <w:sz w:val="20"/>
        </w:rPr>
        <w:t xml:space="preserve"> </w:t>
      </w:r>
      <w:r>
        <w:rPr>
          <w:i/>
          <w:color w:val="007B92"/>
          <w:sz w:val="20"/>
        </w:rPr>
        <w:t>key role</w:t>
      </w:r>
      <w:r>
        <w:rPr>
          <w:i/>
          <w:color w:val="007B92"/>
          <w:spacing w:val="-3"/>
          <w:sz w:val="20"/>
        </w:rPr>
        <w:t xml:space="preserve"> </w:t>
      </w:r>
      <w:r>
        <w:rPr>
          <w:i/>
          <w:color w:val="007B92"/>
          <w:sz w:val="20"/>
        </w:rPr>
        <w:t>to</w:t>
      </w:r>
      <w:r>
        <w:rPr>
          <w:i/>
          <w:color w:val="007B92"/>
          <w:spacing w:val="-3"/>
          <w:sz w:val="20"/>
        </w:rPr>
        <w:t xml:space="preserve"> </w:t>
      </w:r>
      <w:r>
        <w:rPr>
          <w:i/>
          <w:color w:val="007B92"/>
          <w:sz w:val="20"/>
        </w:rPr>
        <w:t>play</w:t>
      </w:r>
      <w:r>
        <w:rPr>
          <w:i/>
          <w:color w:val="007B92"/>
          <w:spacing w:val="-2"/>
          <w:sz w:val="20"/>
        </w:rPr>
        <w:t xml:space="preserve"> </w:t>
      </w:r>
      <w:r>
        <w:rPr>
          <w:i/>
          <w:color w:val="007B92"/>
          <w:sz w:val="20"/>
        </w:rPr>
        <w:t>in</w:t>
      </w:r>
      <w:r>
        <w:rPr>
          <w:i/>
          <w:color w:val="007B92"/>
          <w:spacing w:val="-3"/>
          <w:sz w:val="20"/>
        </w:rPr>
        <w:t xml:space="preserve"> </w:t>
      </w:r>
      <w:r>
        <w:rPr>
          <w:i/>
          <w:color w:val="007B92"/>
          <w:sz w:val="20"/>
        </w:rPr>
        <w:t>building capabilities and support for persons with disabilities in the justice system.</w:t>
      </w:r>
    </w:p>
    <w:p w14:paraId="2CBC3D25" w14:textId="77777777" w:rsidR="009C36E3" w:rsidRDefault="000E7207">
      <w:pPr>
        <w:pStyle w:val="BodyText"/>
        <w:spacing w:before="119"/>
        <w:ind w:right="120"/>
      </w:pPr>
      <w:r>
        <w:t>VAPJP</w:t>
      </w:r>
      <w:r>
        <w:rPr>
          <w:spacing w:val="-5"/>
        </w:rPr>
        <w:t xml:space="preserve"> </w:t>
      </w:r>
      <w:r>
        <w:t>supports</w:t>
      </w:r>
      <w:r>
        <w:rPr>
          <w:spacing w:val="-3"/>
        </w:rPr>
        <w:t xml:space="preserve"> </w:t>
      </w:r>
      <w:r>
        <w:t>disability</w:t>
      </w:r>
      <w:r>
        <w:rPr>
          <w:spacing w:val="-3"/>
        </w:rPr>
        <w:t xml:space="preserve"> </w:t>
      </w:r>
      <w:r>
        <w:t>inclusion</w:t>
      </w:r>
      <w:r>
        <w:rPr>
          <w:spacing w:val="-4"/>
        </w:rPr>
        <w:t xml:space="preserve"> </w:t>
      </w:r>
      <w:r>
        <w:t>by</w:t>
      </w:r>
      <w:r>
        <w:rPr>
          <w:spacing w:val="-3"/>
        </w:rPr>
        <w:t xml:space="preserve"> </w:t>
      </w:r>
      <w:r>
        <w:t>providing</w:t>
      </w:r>
      <w:r>
        <w:rPr>
          <w:spacing w:val="-2"/>
        </w:rPr>
        <w:t xml:space="preserve"> </w:t>
      </w:r>
      <w:r>
        <w:t>training</w:t>
      </w:r>
      <w:r>
        <w:rPr>
          <w:spacing w:val="-4"/>
        </w:rPr>
        <w:t xml:space="preserve"> </w:t>
      </w:r>
      <w:r>
        <w:t>to</w:t>
      </w:r>
      <w:r>
        <w:rPr>
          <w:spacing w:val="-2"/>
        </w:rPr>
        <w:t xml:space="preserve"> </w:t>
      </w:r>
      <w:r>
        <w:t>strengthen</w:t>
      </w:r>
      <w:r>
        <w:rPr>
          <w:spacing w:val="-2"/>
        </w:rPr>
        <w:t xml:space="preserve"> </w:t>
      </w:r>
      <w:r>
        <w:t>awareness</w:t>
      </w:r>
      <w:r>
        <w:rPr>
          <w:spacing w:val="-3"/>
        </w:rPr>
        <w:t xml:space="preserve"> </w:t>
      </w:r>
      <w:r>
        <w:t>and</w:t>
      </w:r>
      <w:r>
        <w:rPr>
          <w:spacing w:val="-4"/>
        </w:rPr>
        <w:t xml:space="preserve"> </w:t>
      </w:r>
      <w:r>
        <w:t>understanding</w:t>
      </w:r>
      <w:r>
        <w:rPr>
          <w:spacing w:val="-2"/>
        </w:rPr>
        <w:t xml:space="preserve"> </w:t>
      </w:r>
      <w:r>
        <w:t>around</w:t>
      </w:r>
      <w:r>
        <w:rPr>
          <w:spacing w:val="-4"/>
        </w:rPr>
        <w:t xml:space="preserve"> </w:t>
      </w:r>
      <w:r>
        <w:t>rights of</w:t>
      </w:r>
      <w:r>
        <w:rPr>
          <w:spacing w:val="-2"/>
        </w:rPr>
        <w:t xml:space="preserve"> </w:t>
      </w:r>
      <w:r>
        <w:t>people</w:t>
      </w:r>
      <w:r>
        <w:rPr>
          <w:spacing w:val="-2"/>
        </w:rPr>
        <w:t xml:space="preserve"> </w:t>
      </w:r>
      <w:r>
        <w:t>with disabilities</w:t>
      </w:r>
      <w:r>
        <w:rPr>
          <w:spacing w:val="-1"/>
        </w:rPr>
        <w:t xml:space="preserve"> </w:t>
      </w:r>
      <w:r>
        <w:t>among staff and within</w:t>
      </w:r>
      <w:r>
        <w:rPr>
          <w:spacing w:val="-2"/>
        </w:rPr>
        <w:t xml:space="preserve"> </w:t>
      </w:r>
      <w:r>
        <w:t>communities,</w:t>
      </w:r>
      <w:r>
        <w:rPr>
          <w:spacing w:val="-2"/>
        </w:rPr>
        <w:t xml:space="preserve"> </w:t>
      </w:r>
      <w:r>
        <w:t>by</w:t>
      </w:r>
      <w:r>
        <w:rPr>
          <w:spacing w:val="-1"/>
        </w:rPr>
        <w:t xml:space="preserve"> </w:t>
      </w:r>
      <w:r>
        <w:t>promoting accessibility</w:t>
      </w:r>
      <w:r>
        <w:rPr>
          <w:spacing w:val="-1"/>
        </w:rPr>
        <w:t xml:space="preserve"> </w:t>
      </w:r>
      <w:r>
        <w:t>standards in policing</w:t>
      </w:r>
      <w:r>
        <w:rPr>
          <w:spacing w:val="-2"/>
        </w:rPr>
        <w:t xml:space="preserve"> </w:t>
      </w:r>
      <w:r>
        <w:t>and justice infrastructure and providing long-term funding support for Vanuatu’s sole disability service-provider, VSDP. Reporting notes that</w:t>
      </w:r>
      <w:r>
        <w:rPr>
          <w:spacing w:val="-1"/>
        </w:rPr>
        <w:t xml:space="preserve"> </w:t>
      </w:r>
      <w:r>
        <w:t>disability access has been incorporated in planning</w:t>
      </w:r>
      <w:r>
        <w:rPr>
          <w:spacing w:val="-1"/>
        </w:rPr>
        <w:t xml:space="preserve"> </w:t>
      </w:r>
      <w:r>
        <w:t>for 13</w:t>
      </w:r>
      <w:r>
        <w:rPr>
          <w:spacing w:val="-1"/>
        </w:rPr>
        <w:t xml:space="preserve"> </w:t>
      </w:r>
      <w:r>
        <w:t>(81%) infrastructure</w:t>
      </w:r>
      <w:r>
        <w:rPr>
          <w:spacing w:val="-1"/>
        </w:rPr>
        <w:t xml:space="preserve"> </w:t>
      </w:r>
      <w:r>
        <w:t>projects and is developing tools and audits to strengthen this further (VAPJP, 2023c)). In 2022 the program recruited a part time local Disability and Inclusion officer who brings lived experience to the role and is being supported by the GEDSI TA</w:t>
      </w:r>
      <w:hyperlink w:anchor="_bookmark32" w:history="1">
        <w:r>
          <w:rPr>
            <w:position w:val="6"/>
            <w:sz w:val="13"/>
          </w:rPr>
          <w:t>21</w:t>
        </w:r>
      </w:hyperlink>
      <w:r>
        <w:rPr>
          <w:spacing w:val="25"/>
          <w:position w:val="6"/>
          <w:sz w:val="13"/>
        </w:rPr>
        <w:t xml:space="preserve"> </w:t>
      </w:r>
      <w:r>
        <w:t>and a partnership with the DFAT-funded Vanuatu Skills Partnership to build his capabilities to support legal agencies to undertake disability audits and improve understanding of the rights of people with disabilities in workplaces and communities. The program also collects and reports on disability data where possible. Within policing, disability inclusion has received less attention. The lack of resources and small number of organisations working in this sector compared to the complexity and extent of the issues faced in communities remains a major challenge for VAPJP. With an increasing emphasis within DFAT’s new development policy, there may be potential to build on current foundations and strengthen strategies and results in disability inclusion.</w:t>
      </w:r>
    </w:p>
    <w:p w14:paraId="4C827CBF" w14:textId="77777777" w:rsidR="009C36E3" w:rsidRDefault="000E7207">
      <w:pPr>
        <w:pStyle w:val="Heading7"/>
      </w:pPr>
      <w:r>
        <w:t>GEDSI</w:t>
      </w:r>
      <w:r>
        <w:rPr>
          <w:spacing w:val="-6"/>
        </w:rPr>
        <w:t xml:space="preserve"> </w:t>
      </w:r>
      <w:r>
        <w:t>Action</w:t>
      </w:r>
      <w:r>
        <w:rPr>
          <w:spacing w:val="-6"/>
        </w:rPr>
        <w:t xml:space="preserve"> </w:t>
      </w:r>
      <w:r>
        <w:t>Plan</w:t>
      </w:r>
      <w:r>
        <w:rPr>
          <w:spacing w:val="-6"/>
        </w:rPr>
        <w:t xml:space="preserve"> </w:t>
      </w:r>
      <w:r>
        <w:t>and</w:t>
      </w:r>
      <w:r>
        <w:rPr>
          <w:spacing w:val="-5"/>
        </w:rPr>
        <w:t xml:space="preserve"> </w:t>
      </w:r>
      <w:r>
        <w:rPr>
          <w:spacing w:val="-2"/>
        </w:rPr>
        <w:t>reporting</w:t>
      </w:r>
    </w:p>
    <w:p w14:paraId="44F89017" w14:textId="77777777" w:rsidR="009C36E3" w:rsidRDefault="000E7207">
      <w:pPr>
        <w:spacing w:before="120"/>
        <w:ind w:left="1491" w:right="167"/>
        <w:rPr>
          <w:i/>
          <w:sz w:val="20"/>
        </w:rPr>
      </w:pPr>
      <w:r>
        <w:rPr>
          <w:noProof/>
        </w:rPr>
        <mc:AlternateContent>
          <mc:Choice Requires="wps">
            <w:drawing>
              <wp:anchor distT="0" distB="0" distL="0" distR="0" simplePos="0" relativeHeight="251643904" behindDoc="0" locked="0" layoutInCell="1" allowOverlap="1" wp14:anchorId="424B3344" wp14:editId="432A4D61">
                <wp:simplePos x="0" y="0"/>
                <wp:positionH relativeFrom="page">
                  <wp:posOffset>573317</wp:posOffset>
                </wp:positionH>
                <wp:positionV relativeFrom="paragraph">
                  <wp:posOffset>131679</wp:posOffset>
                </wp:positionV>
                <wp:extent cx="275590" cy="274955"/>
                <wp:effectExtent l="0" t="0" r="0" b="0"/>
                <wp:wrapNone/>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3A444B8A" id="Graphic 50" o:spid="_x0000_s1026" alt="&quot;&quot;" style="position:absolute;margin-left:45.15pt;margin-top:10.35pt;width:21.7pt;height:21.65pt;z-index:15744512;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&#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2"/>
          <w:sz w:val="20"/>
        </w:rPr>
        <w:t xml:space="preserve"> </w:t>
      </w:r>
      <w:r>
        <w:rPr>
          <w:i/>
          <w:color w:val="007B92"/>
          <w:sz w:val="20"/>
        </w:rPr>
        <w:t>The</w:t>
      </w:r>
      <w:r>
        <w:rPr>
          <w:i/>
          <w:color w:val="007B92"/>
          <w:spacing w:val="-3"/>
          <w:sz w:val="20"/>
        </w:rPr>
        <w:t xml:space="preserve"> </w:t>
      </w:r>
      <w:r>
        <w:rPr>
          <w:i/>
          <w:color w:val="007B92"/>
          <w:sz w:val="20"/>
        </w:rPr>
        <w:t>GEDSI</w:t>
      </w:r>
      <w:r>
        <w:rPr>
          <w:i/>
          <w:color w:val="007B92"/>
          <w:spacing w:val="-1"/>
          <w:sz w:val="20"/>
        </w:rPr>
        <w:t xml:space="preserve"> </w:t>
      </w:r>
      <w:r>
        <w:rPr>
          <w:i/>
          <w:color w:val="007B92"/>
          <w:sz w:val="20"/>
        </w:rPr>
        <w:t>Action</w:t>
      </w:r>
      <w:r>
        <w:rPr>
          <w:i/>
          <w:color w:val="007B92"/>
          <w:spacing w:val="-3"/>
          <w:sz w:val="20"/>
        </w:rPr>
        <w:t xml:space="preserve"> </w:t>
      </w:r>
      <w:r>
        <w:rPr>
          <w:i/>
          <w:color w:val="007B92"/>
          <w:sz w:val="20"/>
        </w:rPr>
        <w:t>Plan</w:t>
      </w:r>
      <w:r>
        <w:rPr>
          <w:i/>
          <w:color w:val="007B92"/>
          <w:spacing w:val="-3"/>
          <w:sz w:val="20"/>
        </w:rPr>
        <w:t xml:space="preserve"> </w:t>
      </w:r>
      <w:r>
        <w:rPr>
          <w:i/>
          <w:color w:val="007B92"/>
          <w:sz w:val="20"/>
        </w:rPr>
        <w:t>(GAP) is</w:t>
      </w:r>
      <w:r>
        <w:rPr>
          <w:i/>
          <w:color w:val="007B92"/>
          <w:spacing w:val="-2"/>
          <w:sz w:val="20"/>
        </w:rPr>
        <w:t xml:space="preserve"> </w:t>
      </w:r>
      <w:r>
        <w:rPr>
          <w:i/>
          <w:color w:val="007B92"/>
          <w:sz w:val="20"/>
        </w:rPr>
        <w:t>a</w:t>
      </w:r>
      <w:r>
        <w:rPr>
          <w:i/>
          <w:color w:val="007B92"/>
          <w:spacing w:val="-3"/>
          <w:sz w:val="20"/>
        </w:rPr>
        <w:t xml:space="preserve"> </w:t>
      </w:r>
      <w:r>
        <w:rPr>
          <w:i/>
          <w:color w:val="007B92"/>
          <w:sz w:val="20"/>
        </w:rPr>
        <w:t>useful</w:t>
      </w:r>
      <w:r>
        <w:rPr>
          <w:i/>
          <w:color w:val="007B92"/>
          <w:spacing w:val="-2"/>
          <w:sz w:val="20"/>
        </w:rPr>
        <w:t xml:space="preserve"> </w:t>
      </w:r>
      <w:r>
        <w:rPr>
          <w:i/>
          <w:color w:val="007B92"/>
          <w:sz w:val="20"/>
        </w:rPr>
        <w:t>tool</w:t>
      </w:r>
      <w:r>
        <w:rPr>
          <w:i/>
          <w:color w:val="007B92"/>
          <w:spacing w:val="-4"/>
          <w:sz w:val="20"/>
        </w:rPr>
        <w:t xml:space="preserve"> </w:t>
      </w:r>
      <w:r>
        <w:rPr>
          <w:i/>
          <w:color w:val="007B92"/>
          <w:sz w:val="20"/>
        </w:rPr>
        <w:t>for</w:t>
      </w:r>
      <w:r>
        <w:rPr>
          <w:i/>
          <w:color w:val="007B92"/>
          <w:spacing w:val="-2"/>
          <w:sz w:val="20"/>
        </w:rPr>
        <w:t xml:space="preserve"> </w:t>
      </w:r>
      <w:r>
        <w:rPr>
          <w:i/>
          <w:color w:val="007B92"/>
          <w:sz w:val="20"/>
        </w:rPr>
        <w:t>monitoring</w:t>
      </w:r>
      <w:r>
        <w:rPr>
          <w:i/>
          <w:color w:val="007B92"/>
          <w:spacing w:val="-3"/>
          <w:sz w:val="20"/>
        </w:rPr>
        <w:t xml:space="preserve"> </w:t>
      </w:r>
      <w:r>
        <w:rPr>
          <w:i/>
          <w:color w:val="007B92"/>
          <w:sz w:val="20"/>
        </w:rPr>
        <w:t>and</w:t>
      </w:r>
      <w:r>
        <w:rPr>
          <w:i/>
          <w:color w:val="007B92"/>
          <w:spacing w:val="-3"/>
          <w:sz w:val="20"/>
        </w:rPr>
        <w:t xml:space="preserve"> </w:t>
      </w:r>
      <w:r>
        <w:rPr>
          <w:i/>
          <w:color w:val="007B92"/>
          <w:sz w:val="20"/>
        </w:rPr>
        <w:t>reporting</w:t>
      </w:r>
      <w:r>
        <w:rPr>
          <w:i/>
          <w:color w:val="007B92"/>
          <w:spacing w:val="-3"/>
          <w:sz w:val="20"/>
        </w:rPr>
        <w:t xml:space="preserve"> </w:t>
      </w:r>
      <w:r>
        <w:rPr>
          <w:i/>
          <w:color w:val="007B92"/>
          <w:sz w:val="20"/>
        </w:rPr>
        <w:t>but</w:t>
      </w:r>
      <w:r>
        <w:rPr>
          <w:i/>
          <w:color w:val="007B92"/>
          <w:spacing w:val="-2"/>
          <w:sz w:val="20"/>
        </w:rPr>
        <w:t xml:space="preserve"> </w:t>
      </w:r>
      <w:r>
        <w:rPr>
          <w:i/>
          <w:color w:val="007B92"/>
          <w:sz w:val="20"/>
        </w:rPr>
        <w:t>could</w:t>
      </w:r>
      <w:r>
        <w:rPr>
          <w:i/>
          <w:color w:val="007B92"/>
          <w:spacing w:val="-1"/>
          <w:sz w:val="20"/>
        </w:rPr>
        <w:t xml:space="preserve"> </w:t>
      </w:r>
      <w:r>
        <w:rPr>
          <w:i/>
          <w:color w:val="007B92"/>
          <w:sz w:val="20"/>
        </w:rPr>
        <w:t>be</w:t>
      </w:r>
      <w:r>
        <w:rPr>
          <w:i/>
          <w:color w:val="007B92"/>
          <w:spacing w:val="-3"/>
          <w:sz w:val="20"/>
        </w:rPr>
        <w:t xml:space="preserve"> </w:t>
      </w:r>
      <w:r>
        <w:rPr>
          <w:i/>
          <w:color w:val="007B92"/>
          <w:sz w:val="20"/>
        </w:rPr>
        <w:t>better used to promote improved awareness of VAPJP’s efforts amongst the team and counterparts and encourage stronger communication between agencies and between justice and policing workstreams.</w:t>
      </w:r>
    </w:p>
    <w:p w14:paraId="0EBCA0FE" w14:textId="6D86238E" w:rsidR="009C36E3" w:rsidRDefault="00A134E8" w:rsidP="00A134E8">
      <w:pPr>
        <w:pStyle w:val="BodyText"/>
        <w:spacing w:before="119" w:after="1080"/>
      </w:pPr>
      <w:r>
        <w:rPr>
          <w:noProof/>
        </w:rPr>
        <mc:AlternateContent>
          <mc:Choice Requires="wps">
            <w:drawing>
              <wp:anchor distT="0" distB="0" distL="0" distR="0" simplePos="0" relativeHeight="251682816" behindDoc="1" locked="0" layoutInCell="1" allowOverlap="1" wp14:anchorId="7E8E5D91" wp14:editId="591EB059">
                <wp:simplePos x="0" y="0"/>
                <wp:positionH relativeFrom="page">
                  <wp:posOffset>540385</wp:posOffset>
                </wp:positionH>
                <wp:positionV relativeFrom="paragraph">
                  <wp:posOffset>1201635</wp:posOffset>
                </wp:positionV>
                <wp:extent cx="1828800" cy="6350"/>
                <wp:effectExtent l="0" t="0" r="0" b="0"/>
                <wp:wrapTopAndBottom/>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C6EA75" id="Graphic 51" o:spid="_x0000_s1026" alt="&quot;&quot;" style="position:absolute;margin-left:42.55pt;margin-top:94.6pt;width:2in;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" path="m1828800,l,,,6095r1828800,l1828800,xe" fillcolor="black" stroked="f">
                <v:path arrowok="t"/>
                <w10:wrap type="topAndBottom" anchorx="page"/>
              </v:shape>
            </w:pict>
          </mc:Fallback>
        </mc:AlternateContent>
      </w:r>
      <w:r w:rsidR="000E7207">
        <w:t>VAPJP’s outcomes statements provide for a special emphasis on women, children and people with disabilities. VAPJP has a GAP supported by an Annex listing GEDSI-focused activities for the year ahead. For 2023-2024, activities</w:t>
      </w:r>
      <w:r w:rsidR="000E7207">
        <w:rPr>
          <w:spacing w:val="-3"/>
        </w:rPr>
        <w:t xml:space="preserve"> </w:t>
      </w:r>
      <w:r w:rsidR="000E7207">
        <w:t>have,</w:t>
      </w:r>
      <w:r w:rsidR="000E7207">
        <w:rPr>
          <w:spacing w:val="-4"/>
        </w:rPr>
        <w:t xml:space="preserve"> </w:t>
      </w:r>
      <w:r w:rsidR="000E7207">
        <w:t>instead,</w:t>
      </w:r>
      <w:r w:rsidR="000E7207">
        <w:rPr>
          <w:spacing w:val="-4"/>
        </w:rPr>
        <w:t xml:space="preserve"> </w:t>
      </w:r>
      <w:r w:rsidR="000E7207">
        <w:t>been</w:t>
      </w:r>
      <w:r w:rsidR="000E7207">
        <w:rPr>
          <w:spacing w:val="-4"/>
        </w:rPr>
        <w:t xml:space="preserve"> </w:t>
      </w:r>
      <w:r w:rsidR="000E7207">
        <w:t>incorporated</w:t>
      </w:r>
      <w:r w:rsidR="000E7207">
        <w:rPr>
          <w:spacing w:val="-2"/>
        </w:rPr>
        <w:t xml:space="preserve"> </w:t>
      </w:r>
      <w:r w:rsidR="000E7207">
        <w:t>in</w:t>
      </w:r>
      <w:r w:rsidR="000E7207">
        <w:rPr>
          <w:spacing w:val="-4"/>
        </w:rPr>
        <w:t xml:space="preserve"> </w:t>
      </w:r>
      <w:r w:rsidR="000E7207">
        <w:t>the</w:t>
      </w:r>
      <w:r w:rsidR="000E7207">
        <w:rPr>
          <w:spacing w:val="-2"/>
        </w:rPr>
        <w:t xml:space="preserve"> </w:t>
      </w:r>
      <w:r w:rsidR="000E7207">
        <w:t>AWP.</w:t>
      </w:r>
      <w:r w:rsidR="000E7207">
        <w:rPr>
          <w:spacing w:val="-4"/>
        </w:rPr>
        <w:t xml:space="preserve"> </w:t>
      </w:r>
      <w:r w:rsidR="000E7207">
        <w:t>The</w:t>
      </w:r>
      <w:r w:rsidR="000E7207">
        <w:rPr>
          <w:spacing w:val="-4"/>
        </w:rPr>
        <w:t xml:space="preserve"> </w:t>
      </w:r>
      <w:r w:rsidR="000E7207">
        <w:t>program</w:t>
      </w:r>
      <w:r w:rsidR="000E7207">
        <w:rPr>
          <w:spacing w:val="-2"/>
        </w:rPr>
        <w:t xml:space="preserve"> </w:t>
      </w:r>
      <w:r w:rsidR="000E7207">
        <w:t>reports</w:t>
      </w:r>
      <w:r w:rsidR="000E7207">
        <w:rPr>
          <w:spacing w:val="-3"/>
        </w:rPr>
        <w:t xml:space="preserve"> </w:t>
      </w:r>
      <w:r w:rsidR="000E7207">
        <w:t>extensively</w:t>
      </w:r>
      <w:r w:rsidR="000E7207">
        <w:rPr>
          <w:spacing w:val="-3"/>
        </w:rPr>
        <w:t xml:space="preserve"> </w:t>
      </w:r>
      <w:r w:rsidR="000E7207">
        <w:t>on</w:t>
      </w:r>
      <w:r w:rsidR="000E7207">
        <w:rPr>
          <w:spacing w:val="-4"/>
        </w:rPr>
        <w:t xml:space="preserve"> </w:t>
      </w:r>
      <w:r w:rsidR="000E7207">
        <w:t>its achievements</w:t>
      </w:r>
      <w:r w:rsidR="000E7207">
        <w:rPr>
          <w:spacing w:val="-3"/>
        </w:rPr>
        <w:t xml:space="preserve"> </w:t>
      </w:r>
      <w:r w:rsidR="000E7207">
        <w:t>and challenges for GEDSI (such as Annex F of the 2022 Annual Report) and provides detailed analysis of the</w:t>
      </w:r>
    </w:p>
    <w:p w14:paraId="02A0A902" w14:textId="2BF1924B" w:rsidR="009C36E3" w:rsidRDefault="000E7207" w:rsidP="00E62458">
      <w:pPr>
        <w:pStyle w:val="BodyText"/>
        <w:spacing w:before="153"/>
        <w:rPr>
          <w:sz w:val="18"/>
        </w:rPr>
      </w:pPr>
      <w:bookmarkStart w:id="43" w:name="_bookmark32"/>
      <w:bookmarkEnd w:id="43"/>
      <w:r>
        <w:rPr>
          <w:position w:val="6"/>
          <w:sz w:val="13"/>
        </w:rPr>
        <w:t>21</w:t>
      </w:r>
      <w:r>
        <w:rPr>
          <w:spacing w:val="16"/>
          <w:position w:val="6"/>
          <w:sz w:val="13"/>
        </w:rPr>
        <w:t xml:space="preserve"> </w:t>
      </w:r>
      <w:r>
        <w:rPr>
          <w:sz w:val="18"/>
        </w:rPr>
        <w:t>GEDSI</w:t>
      </w:r>
      <w:r>
        <w:rPr>
          <w:spacing w:val="-2"/>
          <w:sz w:val="18"/>
        </w:rPr>
        <w:t xml:space="preserve"> </w:t>
      </w:r>
      <w:r>
        <w:rPr>
          <w:sz w:val="18"/>
        </w:rPr>
        <w:t>TA</w:t>
      </w:r>
      <w:r>
        <w:rPr>
          <w:spacing w:val="-2"/>
          <w:sz w:val="18"/>
        </w:rPr>
        <w:t xml:space="preserve"> </w:t>
      </w:r>
      <w:r>
        <w:rPr>
          <w:sz w:val="18"/>
        </w:rPr>
        <w:t>in</w:t>
      </w:r>
      <w:r>
        <w:rPr>
          <w:spacing w:val="-1"/>
          <w:sz w:val="18"/>
        </w:rPr>
        <w:t xml:space="preserve"> </w:t>
      </w:r>
      <w:r>
        <w:rPr>
          <w:sz w:val="18"/>
        </w:rPr>
        <w:t>place</w:t>
      </w:r>
      <w:r>
        <w:rPr>
          <w:spacing w:val="-4"/>
          <w:sz w:val="18"/>
        </w:rPr>
        <w:t xml:space="preserve"> </w:t>
      </w:r>
      <w:r>
        <w:rPr>
          <w:sz w:val="18"/>
        </w:rPr>
        <w:t>2021-March</w:t>
      </w:r>
      <w:r>
        <w:rPr>
          <w:spacing w:val="-1"/>
          <w:sz w:val="18"/>
        </w:rPr>
        <w:t xml:space="preserve"> </w:t>
      </w:r>
      <w:r>
        <w:rPr>
          <w:sz w:val="18"/>
        </w:rPr>
        <w:t>2022;</w:t>
      </w:r>
      <w:r>
        <w:rPr>
          <w:spacing w:val="-4"/>
          <w:sz w:val="18"/>
        </w:rPr>
        <w:t xml:space="preserve"> </w:t>
      </w:r>
      <w:r>
        <w:rPr>
          <w:sz w:val="18"/>
        </w:rPr>
        <w:t>and</w:t>
      </w:r>
      <w:r>
        <w:rPr>
          <w:spacing w:val="-1"/>
          <w:sz w:val="18"/>
        </w:rPr>
        <w:t xml:space="preserve"> </w:t>
      </w:r>
      <w:r>
        <w:rPr>
          <w:sz w:val="18"/>
        </w:rPr>
        <w:t>returned</w:t>
      </w:r>
      <w:r>
        <w:rPr>
          <w:spacing w:val="-1"/>
          <w:sz w:val="18"/>
        </w:rPr>
        <w:t xml:space="preserve"> </w:t>
      </w:r>
      <w:r>
        <w:rPr>
          <w:sz w:val="18"/>
        </w:rPr>
        <w:t>following</w:t>
      </w:r>
      <w:r>
        <w:rPr>
          <w:spacing w:val="-1"/>
          <w:sz w:val="18"/>
        </w:rPr>
        <w:t xml:space="preserve"> </w:t>
      </w:r>
      <w:r>
        <w:rPr>
          <w:sz w:val="18"/>
        </w:rPr>
        <w:t>maternity</w:t>
      </w:r>
      <w:r>
        <w:rPr>
          <w:spacing w:val="-1"/>
          <w:sz w:val="18"/>
        </w:rPr>
        <w:t xml:space="preserve"> </w:t>
      </w:r>
      <w:r>
        <w:rPr>
          <w:sz w:val="18"/>
        </w:rPr>
        <w:t>leave</w:t>
      </w:r>
      <w:r>
        <w:rPr>
          <w:spacing w:val="-1"/>
          <w:sz w:val="18"/>
        </w:rPr>
        <w:t xml:space="preserve"> </w:t>
      </w:r>
      <w:r>
        <w:rPr>
          <w:sz w:val="18"/>
        </w:rPr>
        <w:t>in</w:t>
      </w:r>
      <w:r>
        <w:rPr>
          <w:spacing w:val="-1"/>
          <w:sz w:val="18"/>
        </w:rPr>
        <w:t xml:space="preserve"> </w:t>
      </w:r>
      <w:r>
        <w:rPr>
          <w:sz w:val="18"/>
        </w:rPr>
        <w:t>late</w:t>
      </w:r>
      <w:r>
        <w:rPr>
          <w:spacing w:val="-1"/>
          <w:sz w:val="18"/>
        </w:rPr>
        <w:t xml:space="preserve"> </w:t>
      </w:r>
      <w:r>
        <w:rPr>
          <w:sz w:val="18"/>
        </w:rPr>
        <w:t>2023.</w:t>
      </w:r>
      <w:r>
        <w:rPr>
          <w:spacing w:val="-4"/>
          <w:sz w:val="18"/>
        </w:rPr>
        <w:t xml:space="preserve"> </w:t>
      </w:r>
      <w:r>
        <w:rPr>
          <w:sz w:val="18"/>
        </w:rPr>
        <w:t>The</w:t>
      </w:r>
      <w:r>
        <w:rPr>
          <w:spacing w:val="-1"/>
          <w:sz w:val="18"/>
        </w:rPr>
        <w:t xml:space="preserve"> </w:t>
      </w:r>
      <w:r>
        <w:rPr>
          <w:sz w:val="18"/>
        </w:rPr>
        <w:t>role</w:t>
      </w:r>
      <w:r>
        <w:rPr>
          <w:spacing w:val="-1"/>
          <w:sz w:val="18"/>
        </w:rPr>
        <w:t xml:space="preserve"> </w:t>
      </w:r>
      <w:r>
        <w:rPr>
          <w:sz w:val="18"/>
        </w:rPr>
        <w:t>is</w:t>
      </w:r>
      <w:r>
        <w:rPr>
          <w:spacing w:val="-1"/>
          <w:sz w:val="18"/>
        </w:rPr>
        <w:t xml:space="preserve"> </w:t>
      </w:r>
      <w:r>
        <w:rPr>
          <w:sz w:val="18"/>
        </w:rPr>
        <w:t>accompanied</w:t>
      </w:r>
      <w:r>
        <w:rPr>
          <w:spacing w:val="-1"/>
          <w:sz w:val="18"/>
        </w:rPr>
        <w:t xml:space="preserve"> </w:t>
      </w:r>
      <w:r>
        <w:rPr>
          <w:sz w:val="18"/>
        </w:rPr>
        <w:t>by</w:t>
      </w:r>
      <w:r>
        <w:rPr>
          <w:spacing w:val="-1"/>
          <w:sz w:val="18"/>
        </w:rPr>
        <w:t xml:space="preserve"> </w:t>
      </w:r>
      <w:r>
        <w:rPr>
          <w:sz w:val="18"/>
        </w:rPr>
        <w:t>a locally led Gender Lead.</w:t>
      </w:r>
    </w:p>
    <w:p w14:paraId="68806B32" w14:textId="77777777" w:rsidR="009C36E3" w:rsidRDefault="009C36E3">
      <w:pPr>
        <w:spacing w:line="244" w:lineRule="auto"/>
        <w:rPr>
          <w:sz w:val="18"/>
        </w:rPr>
        <w:sectPr w:rsidR="009C36E3">
          <w:pgSz w:w="11910" w:h="16850"/>
          <w:pgMar w:top="1040" w:right="740" w:bottom="740" w:left="80" w:header="552" w:footer="559" w:gutter="0"/>
          <w:cols w:space="720"/>
        </w:sectPr>
      </w:pPr>
    </w:p>
    <w:p w14:paraId="219D4339" w14:textId="77777777" w:rsidR="009C36E3" w:rsidRDefault="000E7207">
      <w:pPr>
        <w:pStyle w:val="BodyText"/>
        <w:spacing w:before="91"/>
        <w:ind w:left="772"/>
      </w:pPr>
      <w:r>
        <w:t>challenges</w:t>
      </w:r>
      <w:r>
        <w:rPr>
          <w:spacing w:val="-3"/>
        </w:rPr>
        <w:t xml:space="preserve"> </w:t>
      </w:r>
      <w:r>
        <w:t>that</w:t>
      </w:r>
      <w:r>
        <w:rPr>
          <w:spacing w:val="-4"/>
        </w:rPr>
        <w:t xml:space="preserve"> </w:t>
      </w:r>
      <w:r>
        <w:t>need</w:t>
      </w:r>
      <w:r>
        <w:rPr>
          <w:spacing w:val="-4"/>
        </w:rPr>
        <w:t xml:space="preserve"> </w:t>
      </w:r>
      <w:r>
        <w:t>to</w:t>
      </w:r>
      <w:r>
        <w:rPr>
          <w:spacing w:val="-4"/>
        </w:rPr>
        <w:t xml:space="preserve"> </w:t>
      </w:r>
      <w:r>
        <w:t>be</w:t>
      </w:r>
      <w:r>
        <w:rPr>
          <w:spacing w:val="-2"/>
        </w:rPr>
        <w:t xml:space="preserve"> </w:t>
      </w:r>
      <w:r>
        <w:t>addressed</w:t>
      </w:r>
      <w:r>
        <w:rPr>
          <w:spacing w:val="-4"/>
        </w:rPr>
        <w:t xml:space="preserve"> </w:t>
      </w:r>
      <w:r>
        <w:t>to</w:t>
      </w:r>
      <w:r>
        <w:rPr>
          <w:spacing w:val="-4"/>
        </w:rPr>
        <w:t xml:space="preserve"> </w:t>
      </w:r>
      <w:r>
        <w:t>strengthen</w:t>
      </w:r>
      <w:r>
        <w:rPr>
          <w:spacing w:val="-4"/>
        </w:rPr>
        <w:t xml:space="preserve"> </w:t>
      </w:r>
      <w:r>
        <w:t>capacities</w:t>
      </w:r>
      <w:r>
        <w:rPr>
          <w:spacing w:val="-3"/>
        </w:rPr>
        <w:t xml:space="preserve"> </w:t>
      </w:r>
      <w:r>
        <w:t>and</w:t>
      </w:r>
      <w:r>
        <w:rPr>
          <w:spacing w:val="-4"/>
        </w:rPr>
        <w:t xml:space="preserve"> </w:t>
      </w:r>
      <w:r>
        <w:t>responsiveness</w:t>
      </w:r>
      <w:r>
        <w:rPr>
          <w:spacing w:val="-3"/>
        </w:rPr>
        <w:t xml:space="preserve"> </w:t>
      </w:r>
      <w:r>
        <w:t>across</w:t>
      </w:r>
      <w:r>
        <w:rPr>
          <w:spacing w:val="-3"/>
        </w:rPr>
        <w:t xml:space="preserve"> </w:t>
      </w:r>
      <w:r>
        <w:t>justice</w:t>
      </w:r>
      <w:r>
        <w:rPr>
          <w:spacing w:val="-4"/>
        </w:rPr>
        <w:t xml:space="preserve"> </w:t>
      </w:r>
      <w:r>
        <w:t>and</w:t>
      </w:r>
      <w:r>
        <w:rPr>
          <w:spacing w:val="-4"/>
        </w:rPr>
        <w:t xml:space="preserve"> </w:t>
      </w:r>
      <w:r>
        <w:t xml:space="preserve">policing </w:t>
      </w:r>
      <w:r>
        <w:rPr>
          <w:spacing w:val="-2"/>
        </w:rPr>
        <w:t>services.</w:t>
      </w:r>
    </w:p>
    <w:p w14:paraId="292894F6" w14:textId="77777777" w:rsidR="009C36E3" w:rsidRDefault="000E7207">
      <w:pPr>
        <w:pStyle w:val="BodyText"/>
        <w:spacing w:before="120"/>
        <w:ind w:right="133"/>
      </w:pPr>
      <w:r>
        <w:t>The GAP provides a useful basis for communicating and monitoring VAPJP efforts towards GEDSI internally, however efforts are not “joined-up” within Justice, or between Justice and Policing. Consultations with disabled people’s organisations and community organisations,</w:t>
      </w:r>
      <w:r>
        <w:rPr>
          <w:spacing w:val="-1"/>
        </w:rPr>
        <w:t xml:space="preserve"> </w:t>
      </w:r>
      <w:r>
        <w:t>the</w:t>
      </w:r>
      <w:r>
        <w:rPr>
          <w:spacing w:val="-1"/>
        </w:rPr>
        <w:t xml:space="preserve"> </w:t>
      </w:r>
      <w:r>
        <w:t>FPU,</w:t>
      </w:r>
      <w:r>
        <w:rPr>
          <w:spacing w:val="-1"/>
        </w:rPr>
        <w:t xml:space="preserve"> </w:t>
      </w:r>
      <w:r>
        <w:t>Sanma</w:t>
      </w:r>
      <w:r>
        <w:rPr>
          <w:spacing w:val="-1"/>
        </w:rPr>
        <w:t xml:space="preserve"> </w:t>
      </w:r>
      <w:r>
        <w:t>Counselling</w:t>
      </w:r>
      <w:r>
        <w:rPr>
          <w:spacing w:val="-1"/>
        </w:rPr>
        <w:t xml:space="preserve"> </w:t>
      </w:r>
      <w:r>
        <w:t>Centre</w:t>
      </w:r>
      <w:r>
        <w:rPr>
          <w:spacing w:val="-1"/>
        </w:rPr>
        <w:t xml:space="preserve"> </w:t>
      </w:r>
      <w:r>
        <w:t>and VWC indicated</w:t>
      </w:r>
      <w:r>
        <w:rPr>
          <w:spacing w:val="-1"/>
        </w:rPr>
        <w:t xml:space="preserve"> </w:t>
      </w:r>
      <w:r>
        <w:t>that agencies are all working to address VAWC and engage with FPU, but these efforts do not appear to be coordinated.</w:t>
      </w:r>
      <w:r>
        <w:rPr>
          <w:spacing w:val="-3"/>
        </w:rPr>
        <w:t xml:space="preserve"> </w:t>
      </w:r>
      <w:r>
        <w:t>The</w:t>
      </w:r>
      <w:r>
        <w:rPr>
          <w:spacing w:val="-2"/>
        </w:rPr>
        <w:t xml:space="preserve"> </w:t>
      </w:r>
      <w:r>
        <w:t>MTR</w:t>
      </w:r>
      <w:r>
        <w:rPr>
          <w:spacing w:val="-1"/>
        </w:rPr>
        <w:t xml:space="preserve"> </w:t>
      </w:r>
      <w:r>
        <w:t>also</w:t>
      </w:r>
      <w:r>
        <w:rPr>
          <w:spacing w:val="-2"/>
        </w:rPr>
        <w:t xml:space="preserve"> </w:t>
      </w:r>
      <w:r>
        <w:t>noted</w:t>
      </w:r>
      <w:r>
        <w:rPr>
          <w:spacing w:val="-3"/>
        </w:rPr>
        <w:t xml:space="preserve"> </w:t>
      </w:r>
      <w:r>
        <w:t>that</w:t>
      </w:r>
      <w:r>
        <w:rPr>
          <w:spacing w:val="-3"/>
        </w:rPr>
        <w:t xml:space="preserve"> </w:t>
      </w:r>
      <w:r>
        <w:t>the</w:t>
      </w:r>
      <w:r>
        <w:rPr>
          <w:spacing w:val="-3"/>
        </w:rPr>
        <w:t xml:space="preserve"> </w:t>
      </w:r>
      <w:r>
        <w:t>Community Partnerships</w:t>
      </w:r>
      <w:r>
        <w:rPr>
          <w:spacing w:val="-3"/>
        </w:rPr>
        <w:t xml:space="preserve"> </w:t>
      </w:r>
      <w:r>
        <w:t>Forum</w:t>
      </w:r>
      <w:r>
        <w:rPr>
          <w:spacing w:val="-3"/>
        </w:rPr>
        <w:t xml:space="preserve"> </w:t>
      </w:r>
      <w:r>
        <w:t>envisaged</w:t>
      </w:r>
      <w:r>
        <w:rPr>
          <w:spacing w:val="-2"/>
        </w:rPr>
        <w:t xml:space="preserve"> </w:t>
      </w:r>
      <w:r>
        <w:t>in</w:t>
      </w:r>
      <w:r>
        <w:rPr>
          <w:spacing w:val="-3"/>
        </w:rPr>
        <w:t xml:space="preserve"> </w:t>
      </w:r>
      <w:r>
        <w:t>the</w:t>
      </w:r>
      <w:r>
        <w:rPr>
          <w:spacing w:val="-3"/>
        </w:rPr>
        <w:t xml:space="preserve"> </w:t>
      </w:r>
      <w:r>
        <w:t>Design</w:t>
      </w:r>
      <w:r>
        <w:rPr>
          <w:spacing w:val="-3"/>
        </w:rPr>
        <w:t xml:space="preserve"> </w:t>
      </w:r>
      <w:r>
        <w:t>Update</w:t>
      </w:r>
      <w:r>
        <w:rPr>
          <w:spacing w:val="-3"/>
        </w:rPr>
        <w:t xml:space="preserve"> </w:t>
      </w:r>
      <w:r>
        <w:t>had</w:t>
      </w:r>
      <w:r>
        <w:rPr>
          <w:spacing w:val="-3"/>
        </w:rPr>
        <w:t xml:space="preserve"> </w:t>
      </w:r>
      <w:r>
        <w:t>not been initiated. Greater coordination across GEDSI initiatives, including a more active engagement with community organisations in this space, would strengthen networks, information-sharing, and visibility.</w:t>
      </w:r>
    </w:p>
    <w:p w14:paraId="14E75E23" w14:textId="77777777" w:rsidR="009C36E3" w:rsidRDefault="000E7207">
      <w:pPr>
        <w:pStyle w:val="BodyText"/>
        <w:spacing w:before="121"/>
        <w:ind w:right="167" w:hanging="1"/>
      </w:pPr>
      <w:r>
        <w:t>Specific adviser resources are directed to support the Vanuatu Law Reform Commission (VLRC), PSO, OPP, MJCS Child and Disability desks and FPU in the VPF, contributing to VAPJP support to address challenges that predominantly affect women, children and people with disabilities interacting with the Justice sector. Community- focused activities to raise awareness, and infrastructure such as the Epi police station and courthouse are also areas of shared interest linking policing and justice. Such synergies could be better articulated in the program’s strategies,</w:t>
      </w:r>
      <w:r>
        <w:rPr>
          <w:spacing w:val="-3"/>
        </w:rPr>
        <w:t xml:space="preserve"> </w:t>
      </w:r>
      <w:r>
        <w:t>outcome</w:t>
      </w:r>
      <w:r>
        <w:rPr>
          <w:spacing w:val="-3"/>
        </w:rPr>
        <w:t xml:space="preserve"> </w:t>
      </w:r>
      <w:r>
        <w:t>statements</w:t>
      </w:r>
      <w:r>
        <w:rPr>
          <w:spacing w:val="-2"/>
        </w:rPr>
        <w:t xml:space="preserve"> </w:t>
      </w:r>
      <w:r>
        <w:t>and</w:t>
      </w:r>
      <w:r>
        <w:rPr>
          <w:spacing w:val="-3"/>
        </w:rPr>
        <w:t xml:space="preserve"> </w:t>
      </w:r>
      <w:r>
        <w:t>MERL</w:t>
      </w:r>
      <w:r>
        <w:rPr>
          <w:spacing w:val="-1"/>
        </w:rPr>
        <w:t xml:space="preserve"> </w:t>
      </w:r>
      <w:r>
        <w:t>and</w:t>
      </w:r>
      <w:r>
        <w:rPr>
          <w:spacing w:val="-3"/>
        </w:rPr>
        <w:t xml:space="preserve"> </w:t>
      </w:r>
      <w:r>
        <w:t>may</w:t>
      </w:r>
      <w:r>
        <w:rPr>
          <w:spacing w:val="-2"/>
        </w:rPr>
        <w:t xml:space="preserve"> </w:t>
      </w:r>
      <w:r>
        <w:t>provide</w:t>
      </w:r>
      <w:r>
        <w:rPr>
          <w:spacing w:val="-1"/>
        </w:rPr>
        <w:t xml:space="preserve"> </w:t>
      </w:r>
      <w:r>
        <w:t>a</w:t>
      </w:r>
      <w:r>
        <w:rPr>
          <w:spacing w:val="-3"/>
        </w:rPr>
        <w:t xml:space="preserve"> </w:t>
      </w:r>
      <w:r>
        <w:t>better</w:t>
      </w:r>
      <w:r>
        <w:rPr>
          <w:spacing w:val="-2"/>
        </w:rPr>
        <w:t xml:space="preserve"> </w:t>
      </w:r>
      <w:r>
        <w:t>way</w:t>
      </w:r>
      <w:r>
        <w:rPr>
          <w:spacing w:val="-2"/>
        </w:rPr>
        <w:t xml:space="preserve"> </w:t>
      </w:r>
      <w:r>
        <w:t>to</w:t>
      </w:r>
      <w:r>
        <w:rPr>
          <w:spacing w:val="-3"/>
        </w:rPr>
        <w:t xml:space="preserve"> </w:t>
      </w:r>
      <w:r>
        <w:t>recognise</w:t>
      </w:r>
      <w:r>
        <w:rPr>
          <w:spacing w:val="-3"/>
        </w:rPr>
        <w:t xml:space="preserve"> </w:t>
      </w:r>
      <w:r>
        <w:t>the</w:t>
      </w:r>
      <w:r>
        <w:rPr>
          <w:spacing w:val="-3"/>
        </w:rPr>
        <w:t xml:space="preserve"> </w:t>
      </w:r>
      <w:r>
        <w:t>shared</w:t>
      </w:r>
      <w:r>
        <w:rPr>
          <w:spacing w:val="-3"/>
        </w:rPr>
        <w:t xml:space="preserve"> </w:t>
      </w:r>
      <w:r>
        <w:t>value</w:t>
      </w:r>
      <w:r>
        <w:rPr>
          <w:spacing w:val="-1"/>
        </w:rPr>
        <w:t xml:space="preserve"> </w:t>
      </w:r>
      <w:r>
        <w:t>of</w:t>
      </w:r>
      <w:r>
        <w:rPr>
          <w:spacing w:val="-1"/>
        </w:rPr>
        <w:t xml:space="preserve"> </w:t>
      </w:r>
      <w:r>
        <w:t>VAPJP for both the policing and justice systems.</w:t>
      </w:r>
    </w:p>
    <w:p w14:paraId="0B13241C" w14:textId="77777777" w:rsidR="009C36E3" w:rsidRDefault="000E7207">
      <w:pPr>
        <w:pStyle w:val="Heading7"/>
      </w:pPr>
      <w:r>
        <w:t>GEDSI</w:t>
      </w:r>
      <w:r>
        <w:rPr>
          <w:spacing w:val="-7"/>
        </w:rPr>
        <w:t xml:space="preserve"> </w:t>
      </w:r>
      <w:r>
        <w:rPr>
          <w:spacing w:val="-2"/>
        </w:rPr>
        <w:t>Challenges</w:t>
      </w:r>
    </w:p>
    <w:p w14:paraId="785CECE8" w14:textId="77777777" w:rsidR="009C36E3" w:rsidRDefault="000E7207">
      <w:pPr>
        <w:pStyle w:val="BodyText"/>
        <w:spacing w:before="121"/>
      </w:pPr>
      <w:r>
        <w:t>Challenges</w:t>
      </w:r>
      <w:r>
        <w:rPr>
          <w:spacing w:val="-5"/>
        </w:rPr>
        <w:t xml:space="preserve"> </w:t>
      </w:r>
      <w:r>
        <w:t>with</w:t>
      </w:r>
      <w:r>
        <w:rPr>
          <w:spacing w:val="-5"/>
        </w:rPr>
        <w:t xml:space="preserve"> </w:t>
      </w:r>
      <w:r>
        <w:t>GEDSI</w:t>
      </w:r>
      <w:r>
        <w:rPr>
          <w:spacing w:val="-6"/>
        </w:rPr>
        <w:t xml:space="preserve"> </w:t>
      </w:r>
      <w:r>
        <w:t>need</w:t>
      </w:r>
      <w:r>
        <w:rPr>
          <w:spacing w:val="-5"/>
        </w:rPr>
        <w:t xml:space="preserve"> </w:t>
      </w:r>
      <w:r>
        <w:t>to</w:t>
      </w:r>
      <w:r>
        <w:rPr>
          <w:spacing w:val="-4"/>
        </w:rPr>
        <w:t xml:space="preserve"> </w:t>
      </w:r>
      <w:r>
        <w:t>be</w:t>
      </w:r>
      <w:r>
        <w:rPr>
          <w:spacing w:val="-5"/>
        </w:rPr>
        <w:t xml:space="preserve"> </w:t>
      </w:r>
      <w:r>
        <w:t>seen</w:t>
      </w:r>
      <w:r>
        <w:rPr>
          <w:spacing w:val="-4"/>
        </w:rPr>
        <w:t xml:space="preserve"> </w:t>
      </w:r>
      <w:r>
        <w:t>in</w:t>
      </w:r>
      <w:r>
        <w:rPr>
          <w:spacing w:val="-5"/>
        </w:rPr>
        <w:t xml:space="preserve"> </w:t>
      </w:r>
      <w:r>
        <w:t>context</w:t>
      </w:r>
      <w:r>
        <w:rPr>
          <w:spacing w:val="-6"/>
        </w:rPr>
        <w:t xml:space="preserve"> </w:t>
      </w:r>
      <w:r>
        <w:t>for</w:t>
      </w:r>
      <w:r>
        <w:rPr>
          <w:spacing w:val="-4"/>
        </w:rPr>
        <w:t xml:space="preserve"> </w:t>
      </w:r>
      <w:r>
        <w:t>the</w:t>
      </w:r>
      <w:r>
        <w:rPr>
          <w:spacing w:val="-4"/>
        </w:rPr>
        <w:t xml:space="preserve"> </w:t>
      </w:r>
      <w:r>
        <w:t>achievements</w:t>
      </w:r>
      <w:r>
        <w:rPr>
          <w:spacing w:val="-4"/>
        </w:rPr>
        <w:t xml:space="preserve"> </w:t>
      </w:r>
      <w:r>
        <w:t>to</w:t>
      </w:r>
      <w:r>
        <w:rPr>
          <w:spacing w:val="-4"/>
        </w:rPr>
        <w:t xml:space="preserve"> </w:t>
      </w:r>
      <w:r>
        <w:t>be</w:t>
      </w:r>
      <w:r>
        <w:rPr>
          <w:spacing w:val="-5"/>
        </w:rPr>
        <w:t xml:space="preserve"> </w:t>
      </w:r>
      <w:r>
        <w:t>fully</w:t>
      </w:r>
      <w:r>
        <w:rPr>
          <w:spacing w:val="-5"/>
        </w:rPr>
        <w:t xml:space="preserve"> </w:t>
      </w:r>
      <w:r>
        <w:rPr>
          <w:spacing w:val="-2"/>
        </w:rPr>
        <w:t>appreciated.</w:t>
      </w:r>
    </w:p>
    <w:p w14:paraId="1FF97CF7" w14:textId="77777777" w:rsidR="009C36E3" w:rsidRDefault="000E7207">
      <w:pPr>
        <w:pStyle w:val="BodyText"/>
        <w:spacing w:before="118"/>
        <w:ind w:right="165"/>
      </w:pPr>
      <w:r>
        <w:t>While</w:t>
      </w:r>
      <w:r>
        <w:rPr>
          <w:spacing w:val="-1"/>
        </w:rPr>
        <w:t xml:space="preserve"> </w:t>
      </w:r>
      <w:r>
        <w:t>VAPJP</w:t>
      </w:r>
      <w:r>
        <w:rPr>
          <w:spacing w:val="-4"/>
        </w:rPr>
        <w:t xml:space="preserve"> </w:t>
      </w:r>
      <w:r>
        <w:t>reporting</w:t>
      </w:r>
      <w:r>
        <w:rPr>
          <w:spacing w:val="-3"/>
        </w:rPr>
        <w:t xml:space="preserve"> </w:t>
      </w:r>
      <w:r>
        <w:t>indicates</w:t>
      </w:r>
      <w:r>
        <w:rPr>
          <w:spacing w:val="-2"/>
        </w:rPr>
        <w:t xml:space="preserve"> </w:t>
      </w:r>
      <w:r>
        <w:t>that</w:t>
      </w:r>
      <w:r>
        <w:rPr>
          <w:spacing w:val="-1"/>
        </w:rPr>
        <w:t xml:space="preserve"> </w:t>
      </w:r>
      <w:r>
        <w:t>the</w:t>
      </w:r>
      <w:r>
        <w:rPr>
          <w:spacing w:val="-1"/>
        </w:rPr>
        <w:t xml:space="preserve"> </w:t>
      </w:r>
      <w:r>
        <w:t>VLRC</w:t>
      </w:r>
      <w:r>
        <w:rPr>
          <w:spacing w:val="-3"/>
        </w:rPr>
        <w:t xml:space="preserve"> </w:t>
      </w:r>
      <w:r>
        <w:t>is</w:t>
      </w:r>
      <w:r>
        <w:rPr>
          <w:spacing w:val="-2"/>
        </w:rPr>
        <w:t xml:space="preserve"> </w:t>
      </w:r>
      <w:r>
        <w:t>focusing</w:t>
      </w:r>
      <w:r>
        <w:rPr>
          <w:spacing w:val="-3"/>
        </w:rPr>
        <w:t xml:space="preserve"> </w:t>
      </w:r>
      <w:r>
        <w:t>on</w:t>
      </w:r>
      <w:r>
        <w:rPr>
          <w:spacing w:val="-3"/>
        </w:rPr>
        <w:t xml:space="preserve"> </w:t>
      </w:r>
      <w:r>
        <w:t>strengthening</w:t>
      </w:r>
      <w:r>
        <w:rPr>
          <w:spacing w:val="-1"/>
        </w:rPr>
        <w:t xml:space="preserve"> </w:t>
      </w:r>
      <w:r>
        <w:t>laws such</w:t>
      </w:r>
      <w:r>
        <w:rPr>
          <w:spacing w:val="-3"/>
        </w:rPr>
        <w:t xml:space="preserve"> </w:t>
      </w:r>
      <w:r>
        <w:t>as</w:t>
      </w:r>
      <w:r>
        <w:rPr>
          <w:spacing w:val="-2"/>
        </w:rPr>
        <w:t xml:space="preserve"> </w:t>
      </w:r>
      <w:r>
        <w:t>the</w:t>
      </w:r>
      <w:r>
        <w:rPr>
          <w:spacing w:val="-1"/>
        </w:rPr>
        <w:t xml:space="preserve"> </w:t>
      </w:r>
      <w:r>
        <w:t>Wills</w:t>
      </w:r>
      <w:r>
        <w:rPr>
          <w:spacing w:val="-2"/>
        </w:rPr>
        <w:t xml:space="preserve"> </w:t>
      </w:r>
      <w:r>
        <w:t>Act</w:t>
      </w:r>
      <w:r>
        <w:rPr>
          <w:spacing w:val="-3"/>
        </w:rPr>
        <w:t xml:space="preserve"> </w:t>
      </w:r>
      <w:r>
        <w:t>which</w:t>
      </w:r>
      <w:r>
        <w:rPr>
          <w:spacing w:val="-1"/>
        </w:rPr>
        <w:t xml:space="preserve"> </w:t>
      </w:r>
      <w:r>
        <w:t>have an important role to play in supporting women’s rights, consultations indicated that gender equality was not a priority</w:t>
      </w:r>
      <w:r>
        <w:rPr>
          <w:spacing w:val="-2"/>
        </w:rPr>
        <w:t xml:space="preserve"> </w:t>
      </w:r>
      <w:r>
        <w:t>for</w:t>
      </w:r>
      <w:r>
        <w:rPr>
          <w:spacing w:val="-2"/>
        </w:rPr>
        <w:t xml:space="preserve"> </w:t>
      </w:r>
      <w:r>
        <w:t>the</w:t>
      </w:r>
      <w:r>
        <w:rPr>
          <w:spacing w:val="-1"/>
        </w:rPr>
        <w:t xml:space="preserve"> </w:t>
      </w:r>
      <w:r>
        <w:t>agency.</w:t>
      </w:r>
      <w:r>
        <w:rPr>
          <w:spacing w:val="-3"/>
        </w:rPr>
        <w:t xml:space="preserve"> </w:t>
      </w:r>
      <w:r>
        <w:t>The</w:t>
      </w:r>
      <w:r>
        <w:rPr>
          <w:spacing w:val="-1"/>
        </w:rPr>
        <w:t xml:space="preserve"> </w:t>
      </w:r>
      <w:r>
        <w:t>advantage</w:t>
      </w:r>
      <w:r>
        <w:rPr>
          <w:spacing w:val="-1"/>
        </w:rPr>
        <w:t xml:space="preserve"> </w:t>
      </w:r>
      <w:r>
        <w:t>of</w:t>
      </w:r>
      <w:r>
        <w:rPr>
          <w:spacing w:val="-1"/>
        </w:rPr>
        <w:t xml:space="preserve"> </w:t>
      </w:r>
      <w:r>
        <w:t>including</w:t>
      </w:r>
      <w:r>
        <w:rPr>
          <w:spacing w:val="-1"/>
        </w:rPr>
        <w:t xml:space="preserve"> </w:t>
      </w:r>
      <w:r>
        <w:t>men in</w:t>
      </w:r>
      <w:r>
        <w:rPr>
          <w:spacing w:val="-1"/>
        </w:rPr>
        <w:t xml:space="preserve"> </w:t>
      </w:r>
      <w:r>
        <w:t>gender-oriented</w:t>
      </w:r>
      <w:r>
        <w:rPr>
          <w:spacing w:val="-3"/>
        </w:rPr>
        <w:t xml:space="preserve"> </w:t>
      </w:r>
      <w:r>
        <w:t>training,</w:t>
      </w:r>
      <w:r>
        <w:rPr>
          <w:spacing w:val="-1"/>
        </w:rPr>
        <w:t xml:space="preserve"> </w:t>
      </w:r>
      <w:r>
        <w:t>to</w:t>
      </w:r>
      <w:r>
        <w:rPr>
          <w:spacing w:val="-3"/>
        </w:rPr>
        <w:t xml:space="preserve"> </w:t>
      </w:r>
      <w:r>
        <w:t>improve</w:t>
      </w:r>
      <w:r>
        <w:rPr>
          <w:spacing w:val="-1"/>
        </w:rPr>
        <w:t xml:space="preserve"> </w:t>
      </w:r>
      <w:r>
        <w:t>their</w:t>
      </w:r>
      <w:r>
        <w:rPr>
          <w:spacing w:val="-2"/>
        </w:rPr>
        <w:t xml:space="preserve"> </w:t>
      </w:r>
      <w:r>
        <w:t>appreciation</w:t>
      </w:r>
      <w:r>
        <w:rPr>
          <w:spacing w:val="-3"/>
        </w:rPr>
        <w:t xml:space="preserve"> </w:t>
      </w:r>
      <w:r>
        <w:t>of issues faced by female officers, was noted by members of the WAN as were the view that legal reforms should ensure that income-earning women, like men, are required to pay alimony in the case of divorce. MERL data shows that numbers of women trained are fewer than men in almost every training. This is not fully explained by the fact that there are more men than women in the VPF, as it also extends to community awareness and other trainings. The SMPR (2023) indicates that an average of 31% of those receiving training/mentoring support between 2021 and 2023 were women.</w:t>
      </w:r>
    </w:p>
    <w:p w14:paraId="413BCCCC" w14:textId="77777777" w:rsidR="009C36E3" w:rsidRDefault="000E7207">
      <w:pPr>
        <w:spacing w:before="122"/>
        <w:ind w:left="1491" w:right="120"/>
        <w:rPr>
          <w:i/>
          <w:sz w:val="20"/>
        </w:rPr>
      </w:pPr>
      <w:r>
        <w:rPr>
          <w:noProof/>
        </w:rPr>
        <mc:AlternateContent>
          <mc:Choice Requires="wps">
            <w:drawing>
              <wp:anchor distT="0" distB="0" distL="0" distR="0" simplePos="0" relativeHeight="251645952" behindDoc="0" locked="0" layoutInCell="1" allowOverlap="1" wp14:anchorId="7A1FFD2C" wp14:editId="6E73C08E">
                <wp:simplePos x="0" y="0"/>
                <wp:positionH relativeFrom="page">
                  <wp:posOffset>573317</wp:posOffset>
                </wp:positionH>
                <wp:positionV relativeFrom="paragraph">
                  <wp:posOffset>131879</wp:posOffset>
                </wp:positionV>
                <wp:extent cx="275590" cy="274955"/>
                <wp:effectExtent l="0" t="0" r="0" b="0"/>
                <wp:wrapNone/>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4B342038" id="Graphic 52" o:spid="_x0000_s1026" alt="&quot;&quot;" style="position:absolute;margin-left:45.15pt;margin-top:10.4pt;width:21.7pt;height:21.65pt;z-index:15746048;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&#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3"/>
          <w:sz w:val="20"/>
        </w:rPr>
        <w:t xml:space="preserve"> </w:t>
      </w:r>
      <w:r>
        <w:rPr>
          <w:i/>
          <w:color w:val="007B92"/>
          <w:sz w:val="20"/>
        </w:rPr>
        <w:t>The</w:t>
      </w:r>
      <w:r>
        <w:rPr>
          <w:i/>
          <w:color w:val="007B92"/>
          <w:spacing w:val="-4"/>
          <w:sz w:val="20"/>
        </w:rPr>
        <w:t xml:space="preserve"> </w:t>
      </w:r>
      <w:r>
        <w:rPr>
          <w:i/>
          <w:color w:val="007B92"/>
          <w:sz w:val="20"/>
        </w:rPr>
        <w:t>FPU</w:t>
      </w:r>
      <w:r>
        <w:rPr>
          <w:i/>
          <w:color w:val="007B92"/>
          <w:spacing w:val="-1"/>
          <w:sz w:val="20"/>
        </w:rPr>
        <w:t xml:space="preserve"> </w:t>
      </w:r>
      <w:r>
        <w:rPr>
          <w:i/>
          <w:color w:val="007B92"/>
          <w:sz w:val="20"/>
        </w:rPr>
        <w:t>does not</w:t>
      </w:r>
      <w:r>
        <w:rPr>
          <w:i/>
          <w:color w:val="007B92"/>
          <w:spacing w:val="-4"/>
          <w:sz w:val="20"/>
        </w:rPr>
        <w:t xml:space="preserve"> </w:t>
      </w:r>
      <w:r>
        <w:rPr>
          <w:i/>
          <w:color w:val="007B92"/>
          <w:sz w:val="20"/>
        </w:rPr>
        <w:t>have</w:t>
      </w:r>
      <w:r>
        <w:rPr>
          <w:i/>
          <w:color w:val="007B92"/>
          <w:spacing w:val="-4"/>
          <w:sz w:val="20"/>
        </w:rPr>
        <w:t xml:space="preserve"> </w:t>
      </w:r>
      <w:r>
        <w:rPr>
          <w:i/>
          <w:color w:val="007B92"/>
          <w:sz w:val="20"/>
        </w:rPr>
        <w:t>sufficient</w:t>
      </w:r>
      <w:r>
        <w:rPr>
          <w:i/>
          <w:color w:val="007B92"/>
          <w:spacing w:val="-2"/>
          <w:sz w:val="20"/>
        </w:rPr>
        <w:t xml:space="preserve"> </w:t>
      </w:r>
      <w:r>
        <w:rPr>
          <w:i/>
          <w:color w:val="007B92"/>
          <w:sz w:val="20"/>
        </w:rPr>
        <w:t>access</w:t>
      </w:r>
      <w:r>
        <w:rPr>
          <w:i/>
          <w:color w:val="007B92"/>
          <w:spacing w:val="-3"/>
          <w:sz w:val="20"/>
        </w:rPr>
        <w:t xml:space="preserve"> </w:t>
      </w:r>
      <w:r>
        <w:rPr>
          <w:i/>
          <w:color w:val="007B92"/>
          <w:sz w:val="20"/>
        </w:rPr>
        <w:t>to</w:t>
      </w:r>
      <w:r>
        <w:rPr>
          <w:i/>
          <w:color w:val="007B92"/>
          <w:spacing w:val="-4"/>
          <w:sz w:val="20"/>
        </w:rPr>
        <w:t xml:space="preserve"> </w:t>
      </w:r>
      <w:r>
        <w:rPr>
          <w:i/>
          <w:color w:val="007B92"/>
          <w:sz w:val="20"/>
        </w:rPr>
        <w:t>police</w:t>
      </w:r>
      <w:r>
        <w:rPr>
          <w:i/>
          <w:color w:val="007B92"/>
          <w:spacing w:val="-4"/>
          <w:sz w:val="20"/>
        </w:rPr>
        <w:t xml:space="preserve"> </w:t>
      </w:r>
      <w:r>
        <w:rPr>
          <w:i/>
          <w:color w:val="007B92"/>
          <w:sz w:val="20"/>
        </w:rPr>
        <w:t>resources</w:t>
      </w:r>
      <w:r>
        <w:rPr>
          <w:i/>
          <w:color w:val="007B92"/>
          <w:spacing w:val="-3"/>
          <w:sz w:val="20"/>
        </w:rPr>
        <w:t xml:space="preserve"> </w:t>
      </w:r>
      <w:r>
        <w:rPr>
          <w:i/>
          <w:color w:val="007B92"/>
          <w:sz w:val="20"/>
        </w:rPr>
        <w:t>to</w:t>
      </w:r>
      <w:r>
        <w:rPr>
          <w:i/>
          <w:color w:val="007B92"/>
          <w:spacing w:val="-2"/>
          <w:sz w:val="20"/>
        </w:rPr>
        <w:t xml:space="preserve"> </w:t>
      </w:r>
      <w:r>
        <w:rPr>
          <w:i/>
          <w:color w:val="007B92"/>
          <w:sz w:val="20"/>
        </w:rPr>
        <w:t>respond</w:t>
      </w:r>
      <w:r>
        <w:rPr>
          <w:i/>
          <w:color w:val="007B92"/>
          <w:spacing w:val="-4"/>
          <w:sz w:val="20"/>
        </w:rPr>
        <w:t xml:space="preserve"> </w:t>
      </w:r>
      <w:r>
        <w:rPr>
          <w:i/>
          <w:color w:val="007B92"/>
          <w:sz w:val="20"/>
        </w:rPr>
        <w:t>fully</w:t>
      </w:r>
      <w:r>
        <w:rPr>
          <w:i/>
          <w:color w:val="007B92"/>
          <w:spacing w:val="-3"/>
          <w:sz w:val="20"/>
        </w:rPr>
        <w:t xml:space="preserve"> </w:t>
      </w:r>
      <w:r>
        <w:rPr>
          <w:i/>
          <w:color w:val="007B92"/>
          <w:sz w:val="20"/>
        </w:rPr>
        <w:t>to</w:t>
      </w:r>
      <w:r>
        <w:rPr>
          <w:i/>
          <w:color w:val="007B92"/>
          <w:spacing w:val="-2"/>
          <w:sz w:val="20"/>
        </w:rPr>
        <w:t xml:space="preserve"> </w:t>
      </w:r>
      <w:r>
        <w:rPr>
          <w:i/>
          <w:color w:val="007B92"/>
          <w:sz w:val="20"/>
        </w:rPr>
        <w:t>cases</w:t>
      </w:r>
      <w:r>
        <w:rPr>
          <w:i/>
          <w:color w:val="007B92"/>
          <w:spacing w:val="-3"/>
          <w:sz w:val="20"/>
        </w:rPr>
        <w:t xml:space="preserve"> </w:t>
      </w:r>
      <w:r>
        <w:rPr>
          <w:i/>
          <w:color w:val="007B92"/>
          <w:sz w:val="20"/>
        </w:rPr>
        <w:t>of</w:t>
      </w:r>
      <w:r>
        <w:rPr>
          <w:i/>
          <w:color w:val="007B92"/>
          <w:spacing w:val="-1"/>
          <w:sz w:val="20"/>
        </w:rPr>
        <w:t xml:space="preserve"> </w:t>
      </w:r>
      <w:r>
        <w:rPr>
          <w:i/>
          <w:color w:val="007B92"/>
          <w:sz w:val="20"/>
        </w:rPr>
        <w:t>VAWC and engage with community-based services, particularly in provinces.</w:t>
      </w:r>
    </w:p>
    <w:p w14:paraId="2E2C8960" w14:textId="77777777" w:rsidR="009C36E3" w:rsidRDefault="000E7207">
      <w:pPr>
        <w:pStyle w:val="BodyText"/>
        <w:spacing w:before="118"/>
        <w:ind w:right="167"/>
      </w:pPr>
      <w:r>
        <w:t>The MTR heard from multiple respondents that the capacity of police officers to plan, network and support both perpetrators and victims remains a gap, and that justice services are not always responsive to the needs of survivors</w:t>
      </w:r>
      <w:r>
        <w:rPr>
          <w:spacing w:val="-3"/>
        </w:rPr>
        <w:t xml:space="preserve"> </w:t>
      </w:r>
      <w:r>
        <w:t>of</w:t>
      </w:r>
      <w:r>
        <w:rPr>
          <w:spacing w:val="-4"/>
        </w:rPr>
        <w:t xml:space="preserve"> </w:t>
      </w:r>
      <w:r>
        <w:t>VAWC.</w:t>
      </w:r>
      <w:r>
        <w:rPr>
          <w:spacing w:val="-2"/>
        </w:rPr>
        <w:t xml:space="preserve"> </w:t>
      </w:r>
      <w:r>
        <w:t>In</w:t>
      </w:r>
      <w:r>
        <w:rPr>
          <w:spacing w:val="-2"/>
        </w:rPr>
        <w:t xml:space="preserve"> </w:t>
      </w:r>
      <w:r>
        <w:t>Sanma,</w:t>
      </w:r>
      <w:r>
        <w:rPr>
          <w:spacing w:val="-4"/>
        </w:rPr>
        <w:t xml:space="preserve"> </w:t>
      </w:r>
      <w:r>
        <w:t>the</w:t>
      </w:r>
      <w:r>
        <w:rPr>
          <w:spacing w:val="-2"/>
        </w:rPr>
        <w:t xml:space="preserve"> </w:t>
      </w:r>
      <w:r>
        <w:t>MTR</w:t>
      </w:r>
      <w:r>
        <w:rPr>
          <w:spacing w:val="-4"/>
        </w:rPr>
        <w:t xml:space="preserve"> </w:t>
      </w:r>
      <w:r>
        <w:t>heard</w:t>
      </w:r>
      <w:r>
        <w:rPr>
          <w:spacing w:val="-4"/>
        </w:rPr>
        <w:t xml:space="preserve"> </w:t>
      </w:r>
      <w:r>
        <w:t>that</w:t>
      </w:r>
      <w:r>
        <w:rPr>
          <w:spacing w:val="-4"/>
        </w:rPr>
        <w:t xml:space="preserve"> </w:t>
      </w:r>
      <w:r>
        <w:t>services</w:t>
      </w:r>
      <w:r>
        <w:rPr>
          <w:spacing w:val="-3"/>
        </w:rPr>
        <w:t xml:space="preserve"> </w:t>
      </w:r>
      <w:r>
        <w:t>often</w:t>
      </w:r>
      <w:r>
        <w:rPr>
          <w:spacing w:val="-2"/>
        </w:rPr>
        <w:t xml:space="preserve"> </w:t>
      </w:r>
      <w:r>
        <w:t>do</w:t>
      </w:r>
      <w:r>
        <w:rPr>
          <w:spacing w:val="-2"/>
        </w:rPr>
        <w:t xml:space="preserve"> </w:t>
      </w:r>
      <w:r>
        <w:t>not</w:t>
      </w:r>
      <w:r>
        <w:rPr>
          <w:spacing w:val="-2"/>
        </w:rPr>
        <w:t xml:space="preserve"> </w:t>
      </w:r>
      <w:r>
        <w:t>follow</w:t>
      </w:r>
      <w:r>
        <w:rPr>
          <w:spacing w:val="-1"/>
        </w:rPr>
        <w:t xml:space="preserve"> </w:t>
      </w:r>
      <w:r>
        <w:t>up</w:t>
      </w:r>
      <w:r>
        <w:rPr>
          <w:spacing w:val="-2"/>
        </w:rPr>
        <w:t xml:space="preserve"> </w:t>
      </w:r>
      <w:r>
        <w:t>with</w:t>
      </w:r>
      <w:r>
        <w:rPr>
          <w:spacing w:val="-2"/>
        </w:rPr>
        <w:t xml:space="preserve"> </w:t>
      </w:r>
      <w:r>
        <w:t>survivors</w:t>
      </w:r>
      <w:r>
        <w:rPr>
          <w:spacing w:val="-3"/>
        </w:rPr>
        <w:t xml:space="preserve"> </w:t>
      </w:r>
      <w:r>
        <w:t>to</w:t>
      </w:r>
      <w:r>
        <w:rPr>
          <w:spacing w:val="-4"/>
        </w:rPr>
        <w:t xml:space="preserve"> </w:t>
      </w:r>
      <w:r>
        <w:t>provide</w:t>
      </w:r>
      <w:r>
        <w:rPr>
          <w:spacing w:val="-2"/>
        </w:rPr>
        <w:t xml:space="preserve"> </w:t>
      </w:r>
      <w:r>
        <w:t>details of cases, sometimes noting that vehicles are not available even where they have been provided to VPF.</w:t>
      </w:r>
    </w:p>
    <w:p w14:paraId="7D9EE47D" w14:textId="77777777" w:rsidR="009C36E3" w:rsidRDefault="000E7207">
      <w:pPr>
        <w:pStyle w:val="BodyText"/>
        <w:spacing w:before="122"/>
        <w:ind w:right="108"/>
      </w:pPr>
      <w:r>
        <w:t>In Luganville, Santo the MTR heard that the FPU does not have its own dedicated vehicle and in the provinces has no private spaces for victims (including dedicated interview spaces for children) to report or follow up their cases, which</w:t>
      </w:r>
      <w:r>
        <w:rPr>
          <w:spacing w:val="-2"/>
        </w:rPr>
        <w:t xml:space="preserve"> </w:t>
      </w:r>
      <w:r>
        <w:t>discourages</w:t>
      </w:r>
      <w:r>
        <w:rPr>
          <w:spacing w:val="-3"/>
        </w:rPr>
        <w:t xml:space="preserve"> </w:t>
      </w:r>
      <w:r>
        <w:t>women and</w:t>
      </w:r>
      <w:r>
        <w:rPr>
          <w:spacing w:val="-4"/>
        </w:rPr>
        <w:t xml:space="preserve"> </w:t>
      </w:r>
      <w:r>
        <w:t>children,</w:t>
      </w:r>
      <w:r>
        <w:rPr>
          <w:spacing w:val="-2"/>
        </w:rPr>
        <w:t xml:space="preserve"> </w:t>
      </w:r>
      <w:r>
        <w:t>on</w:t>
      </w:r>
      <w:r>
        <w:rPr>
          <w:spacing w:val="-4"/>
        </w:rPr>
        <w:t xml:space="preserve"> </w:t>
      </w:r>
      <w:r>
        <w:t>what</w:t>
      </w:r>
      <w:r>
        <w:rPr>
          <w:spacing w:val="-4"/>
        </w:rPr>
        <w:t xml:space="preserve"> </w:t>
      </w:r>
      <w:r>
        <w:t>remains</w:t>
      </w:r>
      <w:r>
        <w:rPr>
          <w:spacing w:val="-3"/>
        </w:rPr>
        <w:t xml:space="preserve"> </w:t>
      </w:r>
      <w:r>
        <w:t>culturally</w:t>
      </w:r>
      <w:r>
        <w:rPr>
          <w:spacing w:val="-3"/>
        </w:rPr>
        <w:t xml:space="preserve"> </w:t>
      </w:r>
      <w:r>
        <w:t>sensitive</w:t>
      </w:r>
      <w:r>
        <w:rPr>
          <w:spacing w:val="-2"/>
        </w:rPr>
        <w:t xml:space="preserve"> </w:t>
      </w:r>
      <w:r>
        <w:t>issues.</w:t>
      </w:r>
      <w:r>
        <w:rPr>
          <w:spacing w:val="-4"/>
        </w:rPr>
        <w:t xml:space="preserve"> </w:t>
      </w:r>
      <w:r>
        <w:t>There</w:t>
      </w:r>
      <w:r>
        <w:rPr>
          <w:spacing w:val="-2"/>
        </w:rPr>
        <w:t xml:space="preserve"> </w:t>
      </w:r>
      <w:r>
        <w:t>is</w:t>
      </w:r>
      <w:r>
        <w:rPr>
          <w:spacing w:val="-3"/>
        </w:rPr>
        <w:t xml:space="preserve"> </w:t>
      </w:r>
      <w:r>
        <w:t>no</w:t>
      </w:r>
      <w:r>
        <w:rPr>
          <w:spacing w:val="-2"/>
        </w:rPr>
        <w:t xml:space="preserve"> </w:t>
      </w:r>
      <w:r>
        <w:t>disability</w:t>
      </w:r>
      <w:r>
        <w:rPr>
          <w:spacing w:val="-3"/>
        </w:rPr>
        <w:t xml:space="preserve"> </w:t>
      </w:r>
      <w:r>
        <w:t>access</w:t>
      </w:r>
      <w:r>
        <w:rPr>
          <w:spacing w:val="-3"/>
        </w:rPr>
        <w:t xml:space="preserve"> </w:t>
      </w:r>
      <w:r>
        <w:t>to the building. Demand for FPU services is high in Santo, like most provinces. FPU in Santo reports receiving five to ten clients every working day (the office is closed on weekends), which is ill suited to the office space which does not provide adequate privacy. While neither VAPJP nor VPF provide safe houses, the ‘chain-of-justice’ is affected by the security of ‘safe houses’ which are usually hotels, with no clear criteria or standards. This has the potential</w:t>
      </w:r>
    </w:p>
    <w:p w14:paraId="53B08D97" w14:textId="77777777" w:rsidR="009C36E3" w:rsidRDefault="000E7207">
      <w:pPr>
        <w:pStyle w:val="BodyText"/>
        <w:spacing w:before="1"/>
      </w:pPr>
      <w:r>
        <w:t>to</w:t>
      </w:r>
      <w:r>
        <w:rPr>
          <w:spacing w:val="-6"/>
        </w:rPr>
        <w:t xml:space="preserve"> </w:t>
      </w:r>
      <w:r>
        <w:t>contribute</w:t>
      </w:r>
      <w:r>
        <w:rPr>
          <w:spacing w:val="-5"/>
        </w:rPr>
        <w:t xml:space="preserve"> </w:t>
      </w:r>
      <w:r>
        <w:t>to</w:t>
      </w:r>
      <w:r>
        <w:rPr>
          <w:spacing w:val="-4"/>
        </w:rPr>
        <w:t xml:space="preserve"> </w:t>
      </w:r>
      <w:r>
        <w:t>further</w:t>
      </w:r>
      <w:r>
        <w:rPr>
          <w:spacing w:val="-5"/>
        </w:rPr>
        <w:t xml:space="preserve"> </w:t>
      </w:r>
      <w:r>
        <w:t>harm</w:t>
      </w:r>
      <w:r>
        <w:rPr>
          <w:spacing w:val="-5"/>
        </w:rPr>
        <w:t xml:space="preserve"> </w:t>
      </w:r>
      <w:r>
        <w:t>if</w:t>
      </w:r>
      <w:r>
        <w:rPr>
          <w:spacing w:val="-5"/>
        </w:rPr>
        <w:t xml:space="preserve"> </w:t>
      </w:r>
      <w:r>
        <w:t>safe</w:t>
      </w:r>
      <w:r>
        <w:rPr>
          <w:spacing w:val="-6"/>
        </w:rPr>
        <w:t xml:space="preserve"> </w:t>
      </w:r>
      <w:r>
        <w:t>houses</w:t>
      </w:r>
      <w:r>
        <w:rPr>
          <w:spacing w:val="-4"/>
        </w:rPr>
        <w:t xml:space="preserve"> </w:t>
      </w:r>
      <w:r>
        <w:t>are</w:t>
      </w:r>
      <w:r>
        <w:rPr>
          <w:spacing w:val="-4"/>
        </w:rPr>
        <w:t xml:space="preserve"> </w:t>
      </w:r>
      <w:r>
        <w:t>unable</w:t>
      </w:r>
      <w:r>
        <w:rPr>
          <w:spacing w:val="-6"/>
        </w:rPr>
        <w:t xml:space="preserve"> </w:t>
      </w:r>
      <w:r>
        <w:t>to</w:t>
      </w:r>
      <w:r>
        <w:rPr>
          <w:spacing w:val="-5"/>
        </w:rPr>
        <w:t xml:space="preserve"> </w:t>
      </w:r>
      <w:r>
        <w:t>keep</w:t>
      </w:r>
      <w:r>
        <w:rPr>
          <w:spacing w:val="-5"/>
        </w:rPr>
        <w:t xml:space="preserve"> </w:t>
      </w:r>
      <w:r>
        <w:t>users</w:t>
      </w:r>
      <w:r>
        <w:rPr>
          <w:spacing w:val="-5"/>
        </w:rPr>
        <w:t xml:space="preserve"> </w:t>
      </w:r>
      <w:r>
        <w:rPr>
          <w:spacing w:val="-2"/>
        </w:rPr>
        <w:t>safe.</w:t>
      </w:r>
    </w:p>
    <w:p w14:paraId="3734AF33" w14:textId="77777777" w:rsidR="009C36E3" w:rsidRDefault="000E7207">
      <w:pPr>
        <w:pStyle w:val="BodyText"/>
        <w:spacing w:before="118"/>
      </w:pPr>
      <w:r>
        <w:t>The</w:t>
      </w:r>
      <w:r>
        <w:rPr>
          <w:spacing w:val="-3"/>
        </w:rPr>
        <w:t xml:space="preserve"> </w:t>
      </w:r>
      <w:r>
        <w:t>MTR found</w:t>
      </w:r>
      <w:r>
        <w:rPr>
          <w:spacing w:val="-3"/>
        </w:rPr>
        <w:t xml:space="preserve"> </w:t>
      </w:r>
      <w:r>
        <w:t>that</w:t>
      </w:r>
      <w:r>
        <w:rPr>
          <w:spacing w:val="-3"/>
        </w:rPr>
        <w:t xml:space="preserve"> </w:t>
      </w:r>
      <w:r>
        <w:t>since</w:t>
      </w:r>
      <w:r>
        <w:rPr>
          <w:spacing w:val="-1"/>
        </w:rPr>
        <w:t xml:space="preserve"> </w:t>
      </w:r>
      <w:r>
        <w:t>VAPJP,</w:t>
      </w:r>
      <w:r>
        <w:rPr>
          <w:spacing w:val="-3"/>
        </w:rPr>
        <w:t xml:space="preserve"> </w:t>
      </w:r>
      <w:r>
        <w:t>the</w:t>
      </w:r>
      <w:r>
        <w:rPr>
          <w:spacing w:val="-3"/>
        </w:rPr>
        <w:t xml:space="preserve"> </w:t>
      </w:r>
      <w:r>
        <w:t>visibility</w:t>
      </w:r>
      <w:r>
        <w:rPr>
          <w:spacing w:val="-2"/>
        </w:rPr>
        <w:t xml:space="preserve"> </w:t>
      </w:r>
      <w:r>
        <w:t>and</w:t>
      </w:r>
      <w:r>
        <w:rPr>
          <w:spacing w:val="-3"/>
        </w:rPr>
        <w:t xml:space="preserve"> </w:t>
      </w:r>
      <w:r>
        <w:t>respect</w:t>
      </w:r>
      <w:r>
        <w:rPr>
          <w:spacing w:val="-3"/>
        </w:rPr>
        <w:t xml:space="preserve"> </w:t>
      </w:r>
      <w:r>
        <w:t>for</w:t>
      </w:r>
      <w:r>
        <w:rPr>
          <w:spacing w:val="-2"/>
        </w:rPr>
        <w:t xml:space="preserve"> </w:t>
      </w:r>
      <w:r>
        <w:t>female</w:t>
      </w:r>
      <w:r>
        <w:rPr>
          <w:spacing w:val="-3"/>
        </w:rPr>
        <w:t xml:space="preserve"> </w:t>
      </w:r>
      <w:r>
        <w:t>police</w:t>
      </w:r>
      <w:r>
        <w:rPr>
          <w:spacing w:val="-3"/>
        </w:rPr>
        <w:t xml:space="preserve"> </w:t>
      </w:r>
      <w:r>
        <w:t>officers</w:t>
      </w:r>
      <w:r>
        <w:rPr>
          <w:spacing w:val="-2"/>
        </w:rPr>
        <w:t xml:space="preserve"> </w:t>
      </w:r>
      <w:r>
        <w:t>has</w:t>
      </w:r>
      <w:r>
        <w:rPr>
          <w:spacing w:val="-2"/>
        </w:rPr>
        <w:t xml:space="preserve"> </w:t>
      </w:r>
      <w:r>
        <w:t>grown</w:t>
      </w:r>
      <w:r>
        <w:rPr>
          <w:spacing w:val="-1"/>
        </w:rPr>
        <w:t xml:space="preserve"> </w:t>
      </w:r>
      <w:r>
        <w:t>outside</w:t>
      </w:r>
      <w:r>
        <w:rPr>
          <w:spacing w:val="-1"/>
        </w:rPr>
        <w:t xml:space="preserve"> </w:t>
      </w:r>
      <w:r>
        <w:t>the</w:t>
      </w:r>
      <w:r>
        <w:rPr>
          <w:spacing w:val="-1"/>
        </w:rPr>
        <w:t xml:space="preserve"> </w:t>
      </w:r>
      <w:r>
        <w:t xml:space="preserve">main centres, although there is still widespread discrimination, such as height requirements </w:t>
      </w:r>
      <w:hyperlink w:anchor="_bookmark33" w:history="1">
        <w:r>
          <w:rPr>
            <w:position w:val="6"/>
            <w:sz w:val="13"/>
          </w:rPr>
          <w:t>22</w:t>
        </w:r>
      </w:hyperlink>
      <w:r>
        <w:t>and regulations around pregnancy. The OPS study noted that VPF continues to actively promote the role of women in its workforce.</w:t>
      </w:r>
    </w:p>
    <w:p w14:paraId="7B320D18" w14:textId="77777777" w:rsidR="009C36E3" w:rsidRDefault="000E7207">
      <w:pPr>
        <w:pStyle w:val="BodyText"/>
        <w:spacing w:line="229" w:lineRule="exact"/>
      </w:pPr>
      <w:r>
        <w:t>However,</w:t>
      </w:r>
      <w:r>
        <w:rPr>
          <w:spacing w:val="-4"/>
        </w:rPr>
        <w:t xml:space="preserve"> </w:t>
      </w:r>
      <w:r>
        <w:t>it</w:t>
      </w:r>
      <w:r>
        <w:rPr>
          <w:spacing w:val="-5"/>
        </w:rPr>
        <w:t xml:space="preserve"> </w:t>
      </w:r>
      <w:r>
        <w:t>went</w:t>
      </w:r>
      <w:r>
        <w:rPr>
          <w:spacing w:val="-3"/>
        </w:rPr>
        <w:t xml:space="preserve"> </w:t>
      </w:r>
      <w:r>
        <w:t>on</w:t>
      </w:r>
      <w:r>
        <w:rPr>
          <w:spacing w:val="-5"/>
        </w:rPr>
        <w:t xml:space="preserve"> </w:t>
      </w:r>
      <w:r>
        <w:t>to</w:t>
      </w:r>
      <w:r>
        <w:rPr>
          <w:spacing w:val="-5"/>
        </w:rPr>
        <w:t xml:space="preserve"> </w:t>
      </w:r>
      <w:r>
        <w:t>note</w:t>
      </w:r>
      <w:r>
        <w:rPr>
          <w:spacing w:val="-3"/>
        </w:rPr>
        <w:t xml:space="preserve"> </w:t>
      </w:r>
      <w:r>
        <w:rPr>
          <w:spacing w:val="-2"/>
        </w:rPr>
        <w:t>that:</w:t>
      </w:r>
    </w:p>
    <w:p w14:paraId="4A2D3C31" w14:textId="77777777" w:rsidR="009C36E3" w:rsidRDefault="000E7207">
      <w:pPr>
        <w:pStyle w:val="BodyText"/>
        <w:spacing w:before="118"/>
        <w:ind w:left="1129" w:right="120"/>
      </w:pPr>
      <w:r>
        <w:t>women in the VPF feel that they need to work harder than men to prove themselves and that men’s attitudes towards</w:t>
      </w:r>
      <w:r>
        <w:rPr>
          <w:spacing w:val="-3"/>
        </w:rPr>
        <w:t xml:space="preserve"> </w:t>
      </w:r>
      <w:r>
        <w:t>their</w:t>
      </w:r>
      <w:r>
        <w:rPr>
          <w:spacing w:val="-1"/>
        </w:rPr>
        <w:t xml:space="preserve"> </w:t>
      </w:r>
      <w:r>
        <w:t>involvement</w:t>
      </w:r>
      <w:r>
        <w:rPr>
          <w:spacing w:val="-2"/>
        </w:rPr>
        <w:t xml:space="preserve"> </w:t>
      </w:r>
      <w:r>
        <w:t>in</w:t>
      </w:r>
      <w:r>
        <w:rPr>
          <w:spacing w:val="-4"/>
        </w:rPr>
        <w:t xml:space="preserve"> </w:t>
      </w:r>
      <w:r>
        <w:t>leadership</w:t>
      </w:r>
      <w:r>
        <w:rPr>
          <w:spacing w:val="-2"/>
        </w:rPr>
        <w:t xml:space="preserve"> </w:t>
      </w:r>
      <w:r>
        <w:t>is</w:t>
      </w:r>
      <w:r>
        <w:rPr>
          <w:spacing w:val="-3"/>
        </w:rPr>
        <w:t xml:space="preserve"> </w:t>
      </w:r>
      <w:r>
        <w:t>a</w:t>
      </w:r>
      <w:r>
        <w:rPr>
          <w:spacing w:val="-4"/>
        </w:rPr>
        <w:t xml:space="preserve"> </w:t>
      </w:r>
      <w:r>
        <w:t>major</w:t>
      </w:r>
      <w:r>
        <w:rPr>
          <w:spacing w:val="-3"/>
        </w:rPr>
        <w:t xml:space="preserve"> </w:t>
      </w:r>
      <w:r>
        <w:t>barrier</w:t>
      </w:r>
      <w:r>
        <w:rPr>
          <w:spacing w:val="-3"/>
        </w:rPr>
        <w:t xml:space="preserve"> </w:t>
      </w:r>
      <w:r>
        <w:t>to</w:t>
      </w:r>
      <w:r>
        <w:rPr>
          <w:spacing w:val="-2"/>
        </w:rPr>
        <w:t xml:space="preserve"> </w:t>
      </w:r>
      <w:r>
        <w:t>their</w:t>
      </w:r>
      <w:r>
        <w:rPr>
          <w:spacing w:val="-3"/>
        </w:rPr>
        <w:t xml:space="preserve"> </w:t>
      </w:r>
      <w:r>
        <w:t>progression.</w:t>
      </w:r>
      <w:r>
        <w:rPr>
          <w:spacing w:val="-2"/>
        </w:rPr>
        <w:t xml:space="preserve"> </w:t>
      </w:r>
      <w:r>
        <w:t>Whilst</w:t>
      </w:r>
      <w:r>
        <w:rPr>
          <w:spacing w:val="-4"/>
        </w:rPr>
        <w:t xml:space="preserve"> </w:t>
      </w:r>
      <w:r>
        <w:t>women</w:t>
      </w:r>
      <w:r>
        <w:rPr>
          <w:spacing w:val="-2"/>
        </w:rPr>
        <w:t xml:space="preserve"> </w:t>
      </w:r>
      <w:r>
        <w:t>believe</w:t>
      </w:r>
      <w:r>
        <w:rPr>
          <w:spacing w:val="-2"/>
        </w:rPr>
        <w:t xml:space="preserve"> </w:t>
      </w:r>
      <w:r>
        <w:t>that</w:t>
      </w:r>
      <w:r>
        <w:rPr>
          <w:spacing w:val="-4"/>
        </w:rPr>
        <w:t xml:space="preserve"> </w:t>
      </w:r>
      <w:r>
        <w:t>they can</w:t>
      </w:r>
      <w:r>
        <w:rPr>
          <w:spacing w:val="-1"/>
        </w:rPr>
        <w:t xml:space="preserve"> </w:t>
      </w:r>
      <w:r>
        <w:t>undertake the</w:t>
      </w:r>
      <w:r>
        <w:rPr>
          <w:spacing w:val="-1"/>
        </w:rPr>
        <w:t xml:space="preserve"> </w:t>
      </w:r>
      <w:r>
        <w:t>same</w:t>
      </w:r>
      <w:r>
        <w:rPr>
          <w:spacing w:val="-1"/>
        </w:rPr>
        <w:t xml:space="preserve"> </w:t>
      </w:r>
      <w:r>
        <w:t>roles as men in policing, as the</w:t>
      </w:r>
      <w:r>
        <w:rPr>
          <w:spacing w:val="-1"/>
        </w:rPr>
        <w:t xml:space="preserve"> </w:t>
      </w:r>
      <w:r>
        <w:t>VPF remains a</w:t>
      </w:r>
      <w:r>
        <w:rPr>
          <w:spacing w:val="-1"/>
        </w:rPr>
        <w:t xml:space="preserve"> </w:t>
      </w:r>
      <w:r>
        <w:t>male dominated organisation, men’s views on women’s suitability for policing roles continue to constrain women’s ability to participate in the full spectrum of VPF roles, often leaving them relegated to office and administrative duties (McLeod, 2022).</w:t>
      </w:r>
    </w:p>
    <w:p w14:paraId="446B01FC" w14:textId="29CD63E3" w:rsidR="009C36E3" w:rsidRDefault="0086511A" w:rsidP="0086511A">
      <w:pPr>
        <w:pStyle w:val="BodyText"/>
        <w:spacing w:before="123" w:after="840"/>
      </w:pPr>
      <w:r>
        <w:rPr>
          <w:noProof/>
        </w:rPr>
        <mc:AlternateContent>
          <mc:Choice Requires="wps">
            <w:drawing>
              <wp:anchor distT="0" distB="0" distL="0" distR="0" simplePos="0" relativeHeight="251683840" behindDoc="1" locked="0" layoutInCell="1" allowOverlap="1" wp14:anchorId="1F666C37" wp14:editId="0B8BC372">
                <wp:simplePos x="0" y="0"/>
                <wp:positionH relativeFrom="page">
                  <wp:posOffset>547155</wp:posOffset>
                </wp:positionH>
                <wp:positionV relativeFrom="paragraph">
                  <wp:posOffset>782810</wp:posOffset>
                </wp:positionV>
                <wp:extent cx="1828800" cy="6350"/>
                <wp:effectExtent l="0" t="0" r="0" b="0"/>
                <wp:wrapTopAndBottom/>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E13457" id="Graphic 53" o:spid="_x0000_s1026" alt="&quot;&quot;" style="position:absolute;margin-left:43.1pt;margin-top:61.65pt;width:2in;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" path="m1828800,l,,,6095r1828800,l1828800,xe" fillcolor="black" stroked="f">
                <v:path arrowok="t"/>
                <w10:wrap type="topAndBottom" anchorx="page"/>
              </v:shape>
            </w:pict>
          </mc:Fallback>
        </mc:AlternateContent>
      </w:r>
      <w:r w:rsidR="000E7207">
        <w:t>However,</w:t>
      </w:r>
      <w:r w:rsidR="000E7207">
        <w:rPr>
          <w:spacing w:val="-4"/>
        </w:rPr>
        <w:t xml:space="preserve"> </w:t>
      </w:r>
      <w:r w:rsidR="000E7207">
        <w:t>some</w:t>
      </w:r>
      <w:r w:rsidR="000E7207">
        <w:rPr>
          <w:spacing w:val="-4"/>
        </w:rPr>
        <w:t xml:space="preserve"> </w:t>
      </w:r>
      <w:r w:rsidR="000E7207">
        <w:t>positive</w:t>
      </w:r>
      <w:r w:rsidR="000E7207">
        <w:rPr>
          <w:spacing w:val="-4"/>
        </w:rPr>
        <w:t xml:space="preserve"> </w:t>
      </w:r>
      <w:r w:rsidR="000E7207">
        <w:t>shifts</w:t>
      </w:r>
      <w:r w:rsidR="000E7207">
        <w:rPr>
          <w:spacing w:val="-3"/>
        </w:rPr>
        <w:t xml:space="preserve"> </w:t>
      </w:r>
      <w:r w:rsidR="000E7207">
        <w:t>include</w:t>
      </w:r>
      <w:r w:rsidR="000E7207">
        <w:rPr>
          <w:spacing w:val="-1"/>
        </w:rPr>
        <w:t xml:space="preserve"> </w:t>
      </w:r>
      <w:r w:rsidR="000E7207">
        <w:t>the</w:t>
      </w:r>
      <w:r w:rsidR="000E7207">
        <w:rPr>
          <w:spacing w:val="-2"/>
        </w:rPr>
        <w:t xml:space="preserve"> </w:t>
      </w:r>
      <w:r w:rsidR="000E7207">
        <w:t>introduction</w:t>
      </w:r>
      <w:r w:rsidR="000E7207">
        <w:rPr>
          <w:spacing w:val="-2"/>
        </w:rPr>
        <w:t xml:space="preserve"> </w:t>
      </w:r>
      <w:r w:rsidR="000E7207">
        <w:t>of</w:t>
      </w:r>
      <w:r w:rsidR="000E7207">
        <w:rPr>
          <w:spacing w:val="-4"/>
        </w:rPr>
        <w:t xml:space="preserve"> </w:t>
      </w:r>
      <w:r w:rsidR="000E7207">
        <w:t>a</w:t>
      </w:r>
      <w:r w:rsidR="000E7207">
        <w:rPr>
          <w:spacing w:val="-2"/>
        </w:rPr>
        <w:t xml:space="preserve"> </w:t>
      </w:r>
      <w:r w:rsidR="000E7207">
        <w:t>VPF</w:t>
      </w:r>
      <w:r w:rsidR="000E7207">
        <w:rPr>
          <w:spacing w:val="-1"/>
        </w:rPr>
        <w:t xml:space="preserve"> </w:t>
      </w:r>
      <w:r w:rsidR="000E7207">
        <w:t>maternity policy,</w:t>
      </w:r>
      <w:r w:rsidR="000E7207">
        <w:rPr>
          <w:spacing w:val="-4"/>
        </w:rPr>
        <w:t xml:space="preserve"> </w:t>
      </w:r>
      <w:r w:rsidR="000E7207">
        <w:t>and</w:t>
      </w:r>
      <w:r w:rsidR="000E7207">
        <w:rPr>
          <w:spacing w:val="-4"/>
        </w:rPr>
        <w:t xml:space="preserve"> </w:t>
      </w:r>
      <w:r w:rsidR="000E7207">
        <w:t>a</w:t>
      </w:r>
      <w:r w:rsidR="000E7207">
        <w:rPr>
          <w:spacing w:val="-2"/>
        </w:rPr>
        <w:t xml:space="preserve"> </w:t>
      </w:r>
      <w:r w:rsidR="000E7207">
        <w:t>maternity uniform</w:t>
      </w:r>
      <w:r w:rsidR="000E7207">
        <w:rPr>
          <w:spacing w:val="-4"/>
        </w:rPr>
        <w:t xml:space="preserve"> </w:t>
      </w:r>
      <w:r w:rsidR="000E7207">
        <w:t>for</w:t>
      </w:r>
      <w:r w:rsidR="000E7207">
        <w:rPr>
          <w:spacing w:val="-3"/>
        </w:rPr>
        <w:t xml:space="preserve"> </w:t>
      </w:r>
      <w:r w:rsidR="000E7207">
        <w:t>female officers; with Vanuatu the first country in the Pacific to introduce maternity uniforms, which are funded by VAPJP.</w:t>
      </w:r>
    </w:p>
    <w:p w14:paraId="6EAB2923" w14:textId="610F7A22" w:rsidR="009C36E3" w:rsidRDefault="000E7207" w:rsidP="0086511A">
      <w:pPr>
        <w:pStyle w:val="BodyText"/>
        <w:spacing w:before="240"/>
        <w:rPr>
          <w:sz w:val="18"/>
        </w:rPr>
      </w:pPr>
      <w:bookmarkStart w:id="44" w:name="_bookmark33"/>
      <w:bookmarkEnd w:id="44"/>
      <w:r>
        <w:rPr>
          <w:position w:val="6"/>
          <w:sz w:val="13"/>
        </w:rPr>
        <w:t>22</w:t>
      </w:r>
      <w:r>
        <w:rPr>
          <w:spacing w:val="16"/>
          <w:position w:val="6"/>
          <w:sz w:val="13"/>
        </w:rPr>
        <w:t xml:space="preserve"> </w:t>
      </w:r>
      <w:r>
        <w:rPr>
          <w:sz w:val="18"/>
        </w:rPr>
        <w:t>The</w:t>
      </w:r>
      <w:r>
        <w:rPr>
          <w:spacing w:val="-1"/>
          <w:sz w:val="18"/>
        </w:rPr>
        <w:t xml:space="preserve"> </w:t>
      </w:r>
      <w:r>
        <w:rPr>
          <w:sz w:val="18"/>
        </w:rPr>
        <w:t>OPS</w:t>
      </w:r>
      <w:r>
        <w:rPr>
          <w:spacing w:val="-2"/>
          <w:sz w:val="18"/>
        </w:rPr>
        <w:t xml:space="preserve"> </w:t>
      </w:r>
      <w:r>
        <w:rPr>
          <w:sz w:val="18"/>
        </w:rPr>
        <w:t>identified</w:t>
      </w:r>
      <w:r>
        <w:rPr>
          <w:spacing w:val="-4"/>
          <w:sz w:val="18"/>
        </w:rPr>
        <w:t xml:space="preserve"> </w:t>
      </w:r>
      <w:r>
        <w:rPr>
          <w:sz w:val="18"/>
        </w:rPr>
        <w:t>this</w:t>
      </w:r>
      <w:r>
        <w:rPr>
          <w:spacing w:val="-1"/>
          <w:sz w:val="18"/>
        </w:rPr>
        <w:t xml:space="preserve"> </w:t>
      </w:r>
      <w:r>
        <w:rPr>
          <w:sz w:val="18"/>
        </w:rPr>
        <w:t>as</w:t>
      </w:r>
      <w:r>
        <w:rPr>
          <w:spacing w:val="-1"/>
          <w:sz w:val="18"/>
        </w:rPr>
        <w:t xml:space="preserve"> </w:t>
      </w:r>
      <w:r>
        <w:rPr>
          <w:sz w:val="18"/>
        </w:rPr>
        <w:t>an</w:t>
      </w:r>
      <w:r>
        <w:rPr>
          <w:spacing w:val="-6"/>
          <w:sz w:val="18"/>
        </w:rPr>
        <w:t xml:space="preserve"> </w:t>
      </w:r>
      <w:r>
        <w:rPr>
          <w:sz w:val="18"/>
        </w:rPr>
        <w:t>issue</w:t>
      </w:r>
      <w:r>
        <w:rPr>
          <w:spacing w:val="-1"/>
          <w:sz w:val="18"/>
        </w:rPr>
        <w:t xml:space="preserve"> </w:t>
      </w:r>
      <w:r>
        <w:rPr>
          <w:sz w:val="18"/>
        </w:rPr>
        <w:t>and</w:t>
      </w:r>
      <w:r>
        <w:rPr>
          <w:spacing w:val="-1"/>
          <w:sz w:val="18"/>
        </w:rPr>
        <w:t xml:space="preserve"> </w:t>
      </w:r>
      <w:r>
        <w:rPr>
          <w:sz w:val="18"/>
        </w:rPr>
        <w:t>recommended</w:t>
      </w:r>
      <w:r>
        <w:rPr>
          <w:spacing w:val="-1"/>
          <w:sz w:val="18"/>
        </w:rPr>
        <w:t xml:space="preserve"> </w:t>
      </w:r>
      <w:r>
        <w:rPr>
          <w:sz w:val="18"/>
        </w:rPr>
        <w:t>the</w:t>
      </w:r>
      <w:r>
        <w:rPr>
          <w:spacing w:val="-1"/>
          <w:sz w:val="18"/>
        </w:rPr>
        <w:t xml:space="preserve"> </w:t>
      </w:r>
      <w:r>
        <w:rPr>
          <w:sz w:val="18"/>
        </w:rPr>
        <w:t>removal</w:t>
      </w:r>
      <w:r>
        <w:rPr>
          <w:spacing w:val="-4"/>
          <w:sz w:val="18"/>
        </w:rPr>
        <w:t xml:space="preserve"> </w:t>
      </w:r>
      <w:r>
        <w:rPr>
          <w:sz w:val="18"/>
        </w:rPr>
        <w:t>of</w:t>
      </w:r>
      <w:r>
        <w:rPr>
          <w:spacing w:val="-2"/>
          <w:sz w:val="18"/>
        </w:rPr>
        <w:t xml:space="preserve"> </w:t>
      </w:r>
      <w:r>
        <w:rPr>
          <w:sz w:val="18"/>
        </w:rPr>
        <w:t>this</w:t>
      </w:r>
      <w:r>
        <w:rPr>
          <w:spacing w:val="-1"/>
          <w:sz w:val="18"/>
        </w:rPr>
        <w:t xml:space="preserve"> </w:t>
      </w:r>
      <w:r>
        <w:rPr>
          <w:sz w:val="18"/>
        </w:rPr>
        <w:t>requirement</w:t>
      </w:r>
      <w:r>
        <w:rPr>
          <w:spacing w:val="-4"/>
          <w:sz w:val="18"/>
        </w:rPr>
        <w:t xml:space="preserve"> </w:t>
      </w:r>
      <w:r>
        <w:rPr>
          <w:sz w:val="18"/>
        </w:rPr>
        <w:t>in</w:t>
      </w:r>
      <w:r>
        <w:rPr>
          <w:spacing w:val="-4"/>
          <w:sz w:val="18"/>
        </w:rPr>
        <w:t xml:space="preserve"> </w:t>
      </w:r>
      <w:r>
        <w:rPr>
          <w:sz w:val="18"/>
        </w:rPr>
        <w:t>keeping</w:t>
      </w:r>
      <w:r>
        <w:rPr>
          <w:spacing w:val="-1"/>
          <w:sz w:val="18"/>
        </w:rPr>
        <w:t xml:space="preserve"> </w:t>
      </w:r>
      <w:r>
        <w:rPr>
          <w:sz w:val="18"/>
        </w:rPr>
        <w:t>with</w:t>
      </w:r>
      <w:r>
        <w:rPr>
          <w:spacing w:val="-1"/>
          <w:sz w:val="18"/>
        </w:rPr>
        <w:t xml:space="preserve"> </w:t>
      </w:r>
      <w:r>
        <w:rPr>
          <w:sz w:val="18"/>
        </w:rPr>
        <w:t>global</w:t>
      </w:r>
      <w:r>
        <w:rPr>
          <w:spacing w:val="-1"/>
          <w:sz w:val="18"/>
        </w:rPr>
        <w:t xml:space="preserve"> </w:t>
      </w:r>
      <w:r>
        <w:rPr>
          <w:sz w:val="18"/>
        </w:rPr>
        <w:t>best</w:t>
      </w:r>
      <w:r>
        <w:rPr>
          <w:spacing w:val="-2"/>
          <w:sz w:val="18"/>
        </w:rPr>
        <w:t xml:space="preserve"> </w:t>
      </w:r>
      <w:r>
        <w:rPr>
          <w:sz w:val="18"/>
        </w:rPr>
        <w:t>practice.</w:t>
      </w:r>
      <w:r>
        <w:rPr>
          <w:spacing w:val="-2"/>
          <w:sz w:val="18"/>
        </w:rPr>
        <w:t xml:space="preserve"> </w:t>
      </w:r>
      <w:r>
        <w:rPr>
          <w:sz w:val="18"/>
        </w:rPr>
        <w:t>It is understood that it is intended to action this recommendation.</w:t>
      </w:r>
    </w:p>
    <w:p w14:paraId="37561E26" w14:textId="77777777" w:rsidR="009C36E3" w:rsidRDefault="009C36E3">
      <w:pPr>
        <w:spacing w:line="244" w:lineRule="auto"/>
        <w:rPr>
          <w:sz w:val="18"/>
        </w:rPr>
        <w:sectPr w:rsidR="009C36E3">
          <w:pgSz w:w="11910" w:h="16850"/>
          <w:pgMar w:top="1040" w:right="740" w:bottom="740" w:left="80" w:header="552" w:footer="559" w:gutter="0"/>
          <w:cols w:space="720"/>
        </w:sectPr>
      </w:pPr>
    </w:p>
    <w:p w14:paraId="7DCF6A26" w14:textId="77777777" w:rsidR="009C36E3" w:rsidRDefault="000E7207">
      <w:pPr>
        <w:pStyle w:val="BodyText"/>
        <w:spacing w:before="91"/>
      </w:pPr>
      <w:r>
        <w:t>There</w:t>
      </w:r>
      <w:r>
        <w:rPr>
          <w:spacing w:val="-4"/>
        </w:rPr>
        <w:t xml:space="preserve"> </w:t>
      </w:r>
      <w:r>
        <w:t>is also</w:t>
      </w:r>
      <w:r>
        <w:rPr>
          <w:spacing w:val="-2"/>
        </w:rPr>
        <w:t xml:space="preserve"> </w:t>
      </w:r>
      <w:r>
        <w:t>an</w:t>
      </w:r>
      <w:r>
        <w:rPr>
          <w:spacing w:val="-2"/>
        </w:rPr>
        <w:t xml:space="preserve"> </w:t>
      </w:r>
      <w:r>
        <w:t>increase</w:t>
      </w:r>
      <w:r>
        <w:rPr>
          <w:spacing w:val="-2"/>
        </w:rPr>
        <w:t xml:space="preserve"> </w:t>
      </w:r>
      <w:r>
        <w:t>of</w:t>
      </w:r>
      <w:r>
        <w:rPr>
          <w:spacing w:val="-4"/>
        </w:rPr>
        <w:t xml:space="preserve"> </w:t>
      </w:r>
      <w:r>
        <w:t>women</w:t>
      </w:r>
      <w:r>
        <w:rPr>
          <w:spacing w:val="-4"/>
        </w:rPr>
        <w:t xml:space="preserve"> </w:t>
      </w:r>
      <w:r>
        <w:t>willing</w:t>
      </w:r>
      <w:r>
        <w:rPr>
          <w:spacing w:val="-4"/>
        </w:rPr>
        <w:t xml:space="preserve"> </w:t>
      </w:r>
      <w:r>
        <w:t>to</w:t>
      </w:r>
      <w:r>
        <w:rPr>
          <w:spacing w:val="-4"/>
        </w:rPr>
        <w:t xml:space="preserve"> </w:t>
      </w:r>
      <w:r>
        <w:t>drive</w:t>
      </w:r>
      <w:r>
        <w:rPr>
          <w:spacing w:val="-4"/>
        </w:rPr>
        <w:t xml:space="preserve"> </w:t>
      </w:r>
      <w:r>
        <w:t>police</w:t>
      </w:r>
      <w:r>
        <w:rPr>
          <w:spacing w:val="-4"/>
        </w:rPr>
        <w:t xml:space="preserve"> </w:t>
      </w:r>
      <w:r>
        <w:t>vehicles</w:t>
      </w:r>
      <w:r>
        <w:rPr>
          <w:spacing w:val="-3"/>
        </w:rPr>
        <w:t xml:space="preserve"> </w:t>
      </w:r>
      <w:r>
        <w:t>and</w:t>
      </w:r>
      <w:r>
        <w:rPr>
          <w:spacing w:val="-2"/>
        </w:rPr>
        <w:t xml:space="preserve"> </w:t>
      </w:r>
      <w:r>
        <w:t>responding</w:t>
      </w:r>
      <w:r>
        <w:rPr>
          <w:spacing w:val="-2"/>
        </w:rPr>
        <w:t xml:space="preserve"> </w:t>
      </w:r>
      <w:r>
        <w:t>to</w:t>
      </w:r>
      <w:r>
        <w:rPr>
          <w:spacing w:val="-4"/>
        </w:rPr>
        <w:t xml:space="preserve"> </w:t>
      </w:r>
      <w:r>
        <w:t>incidents,</w:t>
      </w:r>
      <w:r>
        <w:rPr>
          <w:spacing w:val="-2"/>
        </w:rPr>
        <w:t xml:space="preserve"> </w:t>
      </w:r>
      <w:r>
        <w:t>including</w:t>
      </w:r>
      <w:r>
        <w:rPr>
          <w:spacing w:val="-2"/>
        </w:rPr>
        <w:t xml:space="preserve"> </w:t>
      </w:r>
      <w:r>
        <w:t>having</w:t>
      </w:r>
      <w:r>
        <w:rPr>
          <w:spacing w:val="-4"/>
        </w:rPr>
        <w:t xml:space="preserve"> </w:t>
      </w:r>
      <w:r>
        <w:t>a more visible presence in communities through participation in the Nasara program (police rotations).</w:t>
      </w:r>
    </w:p>
    <w:p w14:paraId="1928258C" w14:textId="77777777" w:rsidR="009C36E3" w:rsidRDefault="000E7207">
      <w:pPr>
        <w:pStyle w:val="BodyText"/>
        <w:spacing w:before="120"/>
        <w:ind w:right="167"/>
      </w:pPr>
      <w:r>
        <w:t>Some</w:t>
      </w:r>
      <w:r>
        <w:rPr>
          <w:spacing w:val="-4"/>
        </w:rPr>
        <w:t xml:space="preserve"> </w:t>
      </w:r>
      <w:r>
        <w:t>flagship</w:t>
      </w:r>
      <w:r>
        <w:rPr>
          <w:spacing w:val="-2"/>
        </w:rPr>
        <w:t xml:space="preserve"> </w:t>
      </w:r>
      <w:r>
        <w:t>areas</w:t>
      </w:r>
      <w:r>
        <w:rPr>
          <w:spacing w:val="-3"/>
        </w:rPr>
        <w:t xml:space="preserve"> </w:t>
      </w:r>
      <w:r>
        <w:t>of</w:t>
      </w:r>
      <w:r>
        <w:rPr>
          <w:spacing w:val="-2"/>
        </w:rPr>
        <w:t xml:space="preserve"> </w:t>
      </w:r>
      <w:r>
        <w:t>work</w:t>
      </w:r>
      <w:r>
        <w:rPr>
          <w:spacing w:val="-3"/>
        </w:rPr>
        <w:t xml:space="preserve"> </w:t>
      </w:r>
      <w:r>
        <w:t>have</w:t>
      </w:r>
      <w:r>
        <w:rPr>
          <w:spacing w:val="-4"/>
        </w:rPr>
        <w:t xml:space="preserve"> </w:t>
      </w:r>
      <w:r>
        <w:t>faced</w:t>
      </w:r>
      <w:r>
        <w:rPr>
          <w:spacing w:val="-4"/>
        </w:rPr>
        <w:t xml:space="preserve"> </w:t>
      </w:r>
      <w:r>
        <w:t>significant</w:t>
      </w:r>
      <w:r>
        <w:rPr>
          <w:spacing w:val="-4"/>
        </w:rPr>
        <w:t xml:space="preserve"> </w:t>
      </w:r>
      <w:r>
        <w:t>challenges</w:t>
      </w:r>
      <w:r>
        <w:rPr>
          <w:spacing w:val="-3"/>
        </w:rPr>
        <w:t xml:space="preserve"> </w:t>
      </w:r>
      <w:r>
        <w:t>making</w:t>
      </w:r>
      <w:r>
        <w:rPr>
          <w:spacing w:val="-2"/>
        </w:rPr>
        <w:t xml:space="preserve"> </w:t>
      </w:r>
      <w:r>
        <w:t>progress.</w:t>
      </w:r>
      <w:r>
        <w:rPr>
          <w:spacing w:val="-2"/>
        </w:rPr>
        <w:t xml:space="preserve"> </w:t>
      </w:r>
      <w:r>
        <w:t>Although</w:t>
      </w:r>
      <w:r>
        <w:rPr>
          <w:spacing w:val="-4"/>
        </w:rPr>
        <w:t xml:space="preserve"> </w:t>
      </w:r>
      <w:r>
        <w:t>consensus</w:t>
      </w:r>
      <w:r>
        <w:rPr>
          <w:spacing w:val="-3"/>
        </w:rPr>
        <w:t xml:space="preserve"> </w:t>
      </w:r>
      <w:r>
        <w:t>was</w:t>
      </w:r>
      <w:r>
        <w:rPr>
          <w:spacing w:val="-3"/>
        </w:rPr>
        <w:t xml:space="preserve"> </w:t>
      </w:r>
      <w:r>
        <w:t>reached on the content of a joint victim referral form in 2022, this was still not finalised at time of writing in November 2023. The AP program has been running at least since 2018 and is only now expanding beyond Santo, to Malekula. As mentioned above, attempts to handover to a government counterpart have not been successful. Although most APs are male, the program is actively seeking</w:t>
      </w:r>
      <w:r>
        <w:rPr>
          <w:spacing w:val="-1"/>
        </w:rPr>
        <w:t xml:space="preserve"> </w:t>
      </w:r>
      <w:r>
        <w:t>female APs (seven of</w:t>
      </w:r>
      <w:r>
        <w:rPr>
          <w:spacing w:val="-1"/>
        </w:rPr>
        <w:t xml:space="preserve"> </w:t>
      </w:r>
      <w:r>
        <w:t>10</w:t>
      </w:r>
      <w:r>
        <w:rPr>
          <w:spacing w:val="-1"/>
        </w:rPr>
        <w:t xml:space="preserve"> </w:t>
      </w:r>
      <w:r>
        <w:t>APs were male</w:t>
      </w:r>
      <w:r>
        <w:rPr>
          <w:spacing w:val="-1"/>
        </w:rPr>
        <w:t xml:space="preserve"> </w:t>
      </w:r>
      <w:r>
        <w:t>initially, expanding</w:t>
      </w:r>
      <w:r>
        <w:rPr>
          <w:spacing w:val="-1"/>
        </w:rPr>
        <w:t xml:space="preserve"> </w:t>
      </w:r>
      <w:r>
        <w:t>to 10</w:t>
      </w:r>
      <w:r>
        <w:rPr>
          <w:spacing w:val="-1"/>
        </w:rPr>
        <w:t xml:space="preserve"> </w:t>
      </w:r>
      <w:r>
        <w:t>of 19 going forward) and training includes training in GEDSI.</w:t>
      </w:r>
    </w:p>
    <w:p w14:paraId="34353B82" w14:textId="77777777" w:rsidR="009C36E3" w:rsidRDefault="000E7207">
      <w:pPr>
        <w:spacing w:before="121"/>
        <w:ind w:left="1491" w:right="167"/>
        <w:rPr>
          <w:i/>
          <w:sz w:val="20"/>
        </w:rPr>
      </w:pPr>
      <w:r>
        <w:rPr>
          <w:noProof/>
        </w:rPr>
        <mc:AlternateContent>
          <mc:Choice Requires="wps">
            <w:drawing>
              <wp:anchor distT="0" distB="0" distL="0" distR="0" simplePos="0" relativeHeight="251646976" behindDoc="0" locked="0" layoutInCell="1" allowOverlap="1" wp14:anchorId="6AAEA4BF" wp14:editId="69AF07A3">
                <wp:simplePos x="0" y="0"/>
                <wp:positionH relativeFrom="page">
                  <wp:posOffset>573317</wp:posOffset>
                </wp:positionH>
                <wp:positionV relativeFrom="paragraph">
                  <wp:posOffset>125528</wp:posOffset>
                </wp:positionV>
                <wp:extent cx="275590" cy="274955"/>
                <wp:effectExtent l="0" t="0" r="0" b="0"/>
                <wp:wrapNone/>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10AE862E" id="Graphic 54" o:spid="_x0000_s1026" alt="&quot;&quot;" style="position:absolute;margin-left:45.15pt;margin-top:9.9pt;width:21.7pt;height:21.65pt;z-index:15746560;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Additional resources and expertise are needed to safely expand the CA2J efforts to build awareness</w:t>
      </w:r>
      <w:r>
        <w:rPr>
          <w:i/>
          <w:color w:val="007B92"/>
          <w:spacing w:val="-3"/>
          <w:sz w:val="20"/>
        </w:rPr>
        <w:t xml:space="preserve"> </w:t>
      </w:r>
      <w:r>
        <w:rPr>
          <w:i/>
          <w:color w:val="007B92"/>
          <w:sz w:val="20"/>
        </w:rPr>
        <w:t>and</w:t>
      </w:r>
      <w:r>
        <w:rPr>
          <w:i/>
          <w:color w:val="007B92"/>
          <w:spacing w:val="-4"/>
          <w:sz w:val="20"/>
        </w:rPr>
        <w:t xml:space="preserve"> </w:t>
      </w:r>
      <w:r>
        <w:rPr>
          <w:i/>
          <w:color w:val="007B92"/>
          <w:sz w:val="20"/>
        </w:rPr>
        <w:t>support</w:t>
      </w:r>
      <w:r>
        <w:rPr>
          <w:i/>
          <w:color w:val="007B92"/>
          <w:spacing w:val="-2"/>
          <w:sz w:val="20"/>
        </w:rPr>
        <w:t xml:space="preserve"> </w:t>
      </w:r>
      <w:r>
        <w:rPr>
          <w:i/>
          <w:color w:val="007B92"/>
          <w:sz w:val="20"/>
        </w:rPr>
        <w:t>to</w:t>
      </w:r>
      <w:r>
        <w:rPr>
          <w:i/>
          <w:color w:val="007B92"/>
          <w:spacing w:val="-2"/>
          <w:sz w:val="20"/>
        </w:rPr>
        <w:t xml:space="preserve"> </w:t>
      </w:r>
      <w:r>
        <w:rPr>
          <w:i/>
          <w:color w:val="007B92"/>
          <w:sz w:val="20"/>
        </w:rPr>
        <w:t>address</w:t>
      </w:r>
      <w:r>
        <w:rPr>
          <w:i/>
          <w:color w:val="007B92"/>
          <w:spacing w:val="-2"/>
          <w:sz w:val="20"/>
        </w:rPr>
        <w:t xml:space="preserve"> </w:t>
      </w:r>
      <w:r>
        <w:rPr>
          <w:i/>
          <w:color w:val="007B92"/>
          <w:sz w:val="20"/>
        </w:rPr>
        <w:t>VAWC</w:t>
      </w:r>
      <w:r>
        <w:rPr>
          <w:i/>
          <w:color w:val="007B92"/>
          <w:spacing w:val="-4"/>
          <w:sz w:val="20"/>
        </w:rPr>
        <w:t xml:space="preserve"> </w:t>
      </w:r>
      <w:r>
        <w:rPr>
          <w:i/>
          <w:color w:val="007B92"/>
          <w:sz w:val="20"/>
        </w:rPr>
        <w:t>and</w:t>
      </w:r>
      <w:r>
        <w:rPr>
          <w:i/>
          <w:color w:val="007B92"/>
          <w:spacing w:val="-4"/>
          <w:sz w:val="20"/>
        </w:rPr>
        <w:t xml:space="preserve"> </w:t>
      </w:r>
      <w:r>
        <w:rPr>
          <w:i/>
          <w:color w:val="007B92"/>
          <w:sz w:val="20"/>
        </w:rPr>
        <w:t>disability</w:t>
      </w:r>
      <w:r>
        <w:rPr>
          <w:i/>
          <w:color w:val="007B92"/>
          <w:spacing w:val="-3"/>
          <w:sz w:val="20"/>
        </w:rPr>
        <w:t xml:space="preserve"> </w:t>
      </w:r>
      <w:r>
        <w:rPr>
          <w:i/>
          <w:color w:val="007B92"/>
          <w:sz w:val="20"/>
        </w:rPr>
        <w:t>inclusion</w:t>
      </w:r>
      <w:r>
        <w:rPr>
          <w:i/>
          <w:color w:val="007B92"/>
          <w:spacing w:val="-2"/>
          <w:sz w:val="20"/>
        </w:rPr>
        <w:t xml:space="preserve"> </w:t>
      </w:r>
      <w:r>
        <w:rPr>
          <w:i/>
          <w:color w:val="007B92"/>
          <w:sz w:val="20"/>
        </w:rPr>
        <w:t>among</w:t>
      </w:r>
      <w:r>
        <w:rPr>
          <w:i/>
          <w:color w:val="007B92"/>
          <w:spacing w:val="-4"/>
          <w:sz w:val="20"/>
        </w:rPr>
        <w:t xml:space="preserve"> </w:t>
      </w:r>
      <w:r>
        <w:rPr>
          <w:i/>
          <w:color w:val="007B92"/>
          <w:sz w:val="20"/>
        </w:rPr>
        <w:t>chiefs and</w:t>
      </w:r>
      <w:r>
        <w:rPr>
          <w:i/>
          <w:color w:val="007B92"/>
          <w:spacing w:val="-4"/>
          <w:sz w:val="20"/>
        </w:rPr>
        <w:t xml:space="preserve"> </w:t>
      </w:r>
      <w:r>
        <w:rPr>
          <w:i/>
          <w:color w:val="007B92"/>
          <w:sz w:val="20"/>
        </w:rPr>
        <w:t>community</w:t>
      </w:r>
      <w:r>
        <w:rPr>
          <w:i/>
          <w:color w:val="007B92"/>
          <w:spacing w:val="-3"/>
          <w:sz w:val="20"/>
        </w:rPr>
        <w:t xml:space="preserve"> </w:t>
      </w:r>
      <w:r>
        <w:rPr>
          <w:i/>
          <w:color w:val="007B92"/>
          <w:sz w:val="20"/>
        </w:rPr>
        <w:t>members, in line with a Do No Harm approach.</w:t>
      </w:r>
    </w:p>
    <w:p w14:paraId="7938C749" w14:textId="77777777" w:rsidR="009C36E3" w:rsidRDefault="000E7207">
      <w:pPr>
        <w:pStyle w:val="BodyText"/>
        <w:spacing w:before="119"/>
      </w:pPr>
      <w:r>
        <w:t>Engagement</w:t>
      </w:r>
      <w:r>
        <w:rPr>
          <w:spacing w:val="-3"/>
        </w:rPr>
        <w:t xml:space="preserve"> </w:t>
      </w:r>
      <w:r>
        <w:t>with</w:t>
      </w:r>
      <w:r>
        <w:rPr>
          <w:spacing w:val="-3"/>
        </w:rPr>
        <w:t xml:space="preserve"> </w:t>
      </w:r>
      <w:r>
        <w:t>the MNCC</w:t>
      </w:r>
      <w:r>
        <w:rPr>
          <w:spacing w:val="-3"/>
        </w:rPr>
        <w:t xml:space="preserve"> </w:t>
      </w:r>
      <w:r>
        <w:t>has</w:t>
      </w:r>
      <w:r>
        <w:rPr>
          <w:spacing w:val="-2"/>
        </w:rPr>
        <w:t xml:space="preserve"> </w:t>
      </w:r>
      <w:r>
        <w:t>been</w:t>
      </w:r>
      <w:r>
        <w:rPr>
          <w:spacing w:val="-1"/>
        </w:rPr>
        <w:t xml:space="preserve"> </w:t>
      </w:r>
      <w:r>
        <w:t>an</w:t>
      </w:r>
      <w:r>
        <w:rPr>
          <w:spacing w:val="-1"/>
        </w:rPr>
        <w:t xml:space="preserve"> </w:t>
      </w:r>
      <w:r>
        <w:t>increasing</w:t>
      </w:r>
      <w:r>
        <w:rPr>
          <w:spacing w:val="-3"/>
        </w:rPr>
        <w:t xml:space="preserve"> </w:t>
      </w:r>
      <w:r>
        <w:t>focus</w:t>
      </w:r>
      <w:r>
        <w:rPr>
          <w:spacing w:val="-2"/>
        </w:rPr>
        <w:t xml:space="preserve"> </w:t>
      </w:r>
      <w:r>
        <w:t>of</w:t>
      </w:r>
      <w:r>
        <w:rPr>
          <w:spacing w:val="-3"/>
        </w:rPr>
        <w:t xml:space="preserve"> </w:t>
      </w:r>
      <w:r>
        <w:t>VAPJP,</w:t>
      </w:r>
      <w:r>
        <w:rPr>
          <w:spacing w:val="-1"/>
        </w:rPr>
        <w:t xml:space="preserve"> </w:t>
      </w:r>
      <w:r>
        <w:t>in</w:t>
      </w:r>
      <w:r>
        <w:rPr>
          <w:spacing w:val="-3"/>
        </w:rPr>
        <w:t xml:space="preserve"> </w:t>
      </w:r>
      <w:r>
        <w:t>response</w:t>
      </w:r>
      <w:r>
        <w:rPr>
          <w:spacing w:val="-3"/>
        </w:rPr>
        <w:t xml:space="preserve"> </w:t>
      </w:r>
      <w:r>
        <w:t>to</w:t>
      </w:r>
      <w:r>
        <w:rPr>
          <w:spacing w:val="-3"/>
        </w:rPr>
        <w:t xml:space="preserve"> </w:t>
      </w:r>
      <w:r>
        <w:t>requests</w:t>
      </w:r>
      <w:r>
        <w:rPr>
          <w:spacing w:val="-2"/>
        </w:rPr>
        <w:t xml:space="preserve"> </w:t>
      </w:r>
      <w:r>
        <w:t>from</w:t>
      </w:r>
      <w:r>
        <w:rPr>
          <w:spacing w:val="-3"/>
        </w:rPr>
        <w:t xml:space="preserve"> </w:t>
      </w:r>
      <w:r>
        <w:t>the</w:t>
      </w:r>
      <w:r>
        <w:rPr>
          <w:spacing w:val="-3"/>
        </w:rPr>
        <w:t xml:space="preserve"> </w:t>
      </w:r>
      <w:r>
        <w:t>GoV.</w:t>
      </w:r>
      <w:r>
        <w:rPr>
          <w:spacing w:val="-3"/>
        </w:rPr>
        <w:t xml:space="preserve"> </w:t>
      </w:r>
      <w:r>
        <w:t>At</w:t>
      </w:r>
      <w:r>
        <w:rPr>
          <w:spacing w:val="-3"/>
        </w:rPr>
        <w:t xml:space="preserve"> </w:t>
      </w:r>
      <w:r>
        <w:t>the National Chief’s Assembly held in August 2022, chiefs rejected women’s presence and voice at the forum.</w:t>
      </w:r>
    </w:p>
    <w:p w14:paraId="12422C4A" w14:textId="77777777" w:rsidR="009C36E3" w:rsidRDefault="000E7207">
      <w:pPr>
        <w:pStyle w:val="BodyText"/>
        <w:spacing w:before="1"/>
      </w:pPr>
      <w:r>
        <w:t>Although this matter was resolved to the satisfaction of MNCC and VAPJP, this highlights some of the systemic issues that reinforce persistent challenges with addressing VAWC in communities. VAPJP has recognised that innovative</w:t>
      </w:r>
      <w:r>
        <w:rPr>
          <w:spacing w:val="-2"/>
        </w:rPr>
        <w:t xml:space="preserve"> </w:t>
      </w:r>
      <w:r>
        <w:t>approaches</w:t>
      </w:r>
      <w:r>
        <w:rPr>
          <w:spacing w:val="-3"/>
        </w:rPr>
        <w:t xml:space="preserve"> </w:t>
      </w:r>
      <w:r>
        <w:t>are</w:t>
      </w:r>
      <w:r>
        <w:rPr>
          <w:spacing w:val="-2"/>
        </w:rPr>
        <w:t xml:space="preserve"> </w:t>
      </w:r>
      <w:r>
        <w:t>needed</w:t>
      </w:r>
      <w:r>
        <w:rPr>
          <w:spacing w:val="-4"/>
        </w:rPr>
        <w:t xml:space="preserve"> </w:t>
      </w:r>
      <w:r>
        <w:t>to</w:t>
      </w:r>
      <w:r>
        <w:rPr>
          <w:spacing w:val="-4"/>
        </w:rPr>
        <w:t xml:space="preserve"> </w:t>
      </w:r>
      <w:r>
        <w:t>engage</w:t>
      </w:r>
      <w:r>
        <w:rPr>
          <w:spacing w:val="-4"/>
        </w:rPr>
        <w:t xml:space="preserve"> </w:t>
      </w:r>
      <w:r>
        <w:t>with</w:t>
      </w:r>
      <w:r>
        <w:rPr>
          <w:spacing w:val="-2"/>
        </w:rPr>
        <w:t xml:space="preserve"> </w:t>
      </w:r>
      <w:r>
        <w:t>chiefs.</w:t>
      </w:r>
      <w:r>
        <w:rPr>
          <w:spacing w:val="-4"/>
        </w:rPr>
        <w:t xml:space="preserve"> </w:t>
      </w:r>
      <w:r>
        <w:t>Under</w:t>
      </w:r>
      <w:r>
        <w:rPr>
          <w:spacing w:val="-3"/>
        </w:rPr>
        <w:t xml:space="preserve"> </w:t>
      </w:r>
      <w:r>
        <w:t>the</w:t>
      </w:r>
      <w:r>
        <w:rPr>
          <w:spacing w:val="-4"/>
        </w:rPr>
        <w:t xml:space="preserve"> </w:t>
      </w:r>
      <w:r>
        <w:t>CA2J</w:t>
      </w:r>
      <w:r>
        <w:rPr>
          <w:spacing w:val="-3"/>
        </w:rPr>
        <w:t xml:space="preserve"> </w:t>
      </w:r>
      <w:r>
        <w:t>work,</w:t>
      </w:r>
      <w:r>
        <w:rPr>
          <w:spacing w:val="-4"/>
        </w:rPr>
        <w:t xml:space="preserve"> </w:t>
      </w:r>
      <w:r>
        <w:t>VAPJP</w:t>
      </w:r>
      <w:r>
        <w:rPr>
          <w:spacing w:val="-2"/>
        </w:rPr>
        <w:t xml:space="preserve"> </w:t>
      </w:r>
      <w:r>
        <w:t>has</w:t>
      </w:r>
      <w:r>
        <w:rPr>
          <w:spacing w:val="-3"/>
        </w:rPr>
        <w:t xml:space="preserve"> </w:t>
      </w:r>
      <w:r>
        <w:t>developed</w:t>
      </w:r>
      <w:r>
        <w:rPr>
          <w:spacing w:val="-4"/>
        </w:rPr>
        <w:t xml:space="preserve"> </w:t>
      </w:r>
      <w:r>
        <w:t>innovative approaches to partner with chiefs. The program developed a handbook for Chiefs to support improved prevention and responses to violence against women and children in the community. In order to strengthen engagement, the program adapted and developed recorded episodes that Chiefs can listen to on their phones. Episodes include domestic and sexual violence; crime in the community more broadly; and how the formal justice system works.</w:t>
      </w:r>
    </w:p>
    <w:p w14:paraId="0FA9D499" w14:textId="77777777" w:rsidR="009C36E3" w:rsidRDefault="000E7207">
      <w:pPr>
        <w:pStyle w:val="BodyText"/>
        <w:spacing w:before="1"/>
        <w:ind w:right="192"/>
      </w:pPr>
      <w:r>
        <w:t>These are followed up with interactive workshops which allow chiefs to debate and discuss the issues raised. The program credits this approach with generating stronger support which has in turn facilitated the expansion of the AP</w:t>
      </w:r>
      <w:r>
        <w:rPr>
          <w:spacing w:val="-2"/>
        </w:rPr>
        <w:t xml:space="preserve"> </w:t>
      </w:r>
      <w:r>
        <w:t>program</w:t>
      </w:r>
      <w:r>
        <w:rPr>
          <w:spacing w:val="-4"/>
        </w:rPr>
        <w:t xml:space="preserve"> </w:t>
      </w:r>
      <w:r>
        <w:t>to</w:t>
      </w:r>
      <w:r>
        <w:rPr>
          <w:spacing w:val="-2"/>
        </w:rPr>
        <w:t xml:space="preserve"> </w:t>
      </w:r>
      <w:r>
        <w:t>new</w:t>
      </w:r>
      <w:r>
        <w:rPr>
          <w:spacing w:val="-1"/>
        </w:rPr>
        <w:t xml:space="preserve"> </w:t>
      </w:r>
      <w:r>
        <w:t>areas.</w:t>
      </w:r>
      <w:r>
        <w:rPr>
          <w:spacing w:val="-2"/>
        </w:rPr>
        <w:t xml:space="preserve"> </w:t>
      </w:r>
      <w:r>
        <w:t>As</w:t>
      </w:r>
      <w:r>
        <w:rPr>
          <w:spacing w:val="-3"/>
        </w:rPr>
        <w:t xml:space="preserve"> </w:t>
      </w:r>
      <w:r>
        <w:t>this</w:t>
      </w:r>
      <w:r>
        <w:rPr>
          <w:spacing w:val="-3"/>
        </w:rPr>
        <w:t xml:space="preserve"> </w:t>
      </w:r>
      <w:r>
        <w:t>work</w:t>
      </w:r>
      <w:r>
        <w:rPr>
          <w:spacing w:val="-3"/>
        </w:rPr>
        <w:t xml:space="preserve"> </w:t>
      </w:r>
      <w:r>
        <w:t>expands,</w:t>
      </w:r>
      <w:r>
        <w:rPr>
          <w:spacing w:val="-4"/>
        </w:rPr>
        <w:t xml:space="preserve"> </w:t>
      </w:r>
      <w:r>
        <w:t>there</w:t>
      </w:r>
      <w:r>
        <w:rPr>
          <w:spacing w:val="-4"/>
        </w:rPr>
        <w:t xml:space="preserve"> </w:t>
      </w:r>
      <w:r>
        <w:t>is</w:t>
      </w:r>
      <w:r>
        <w:rPr>
          <w:spacing w:val="-3"/>
        </w:rPr>
        <w:t xml:space="preserve"> </w:t>
      </w:r>
      <w:r>
        <w:t>a</w:t>
      </w:r>
      <w:r>
        <w:rPr>
          <w:spacing w:val="-2"/>
        </w:rPr>
        <w:t xml:space="preserve"> </w:t>
      </w:r>
      <w:r>
        <w:t>need</w:t>
      </w:r>
      <w:r>
        <w:rPr>
          <w:spacing w:val="-4"/>
        </w:rPr>
        <w:t xml:space="preserve"> </w:t>
      </w:r>
      <w:r>
        <w:t>for</w:t>
      </w:r>
      <w:r>
        <w:rPr>
          <w:spacing w:val="-1"/>
        </w:rPr>
        <w:t xml:space="preserve"> </w:t>
      </w:r>
      <w:r>
        <w:t>additional</w:t>
      </w:r>
      <w:r>
        <w:rPr>
          <w:spacing w:val="-4"/>
        </w:rPr>
        <w:t xml:space="preserve"> </w:t>
      </w:r>
      <w:r>
        <w:t>resources</w:t>
      </w:r>
      <w:r>
        <w:rPr>
          <w:spacing w:val="-3"/>
        </w:rPr>
        <w:t xml:space="preserve"> </w:t>
      </w:r>
      <w:r>
        <w:t>for</w:t>
      </w:r>
      <w:r>
        <w:rPr>
          <w:spacing w:val="-3"/>
        </w:rPr>
        <w:t xml:space="preserve"> </w:t>
      </w:r>
      <w:r>
        <w:t>the</w:t>
      </w:r>
      <w:r>
        <w:rPr>
          <w:spacing w:val="-1"/>
        </w:rPr>
        <w:t xml:space="preserve"> </w:t>
      </w:r>
      <w:r>
        <w:t>CA2J</w:t>
      </w:r>
      <w:r>
        <w:rPr>
          <w:spacing w:val="-3"/>
        </w:rPr>
        <w:t xml:space="preserve"> </w:t>
      </w:r>
      <w:r>
        <w:t>program,</w:t>
      </w:r>
      <w:r>
        <w:rPr>
          <w:spacing w:val="-4"/>
        </w:rPr>
        <w:t xml:space="preserve"> </w:t>
      </w:r>
      <w:r>
        <w:t>as the current team is already fully extended.</w:t>
      </w:r>
    </w:p>
    <w:p w14:paraId="014DB087" w14:textId="77777777" w:rsidR="009C36E3" w:rsidRDefault="000E7207">
      <w:pPr>
        <w:pStyle w:val="Heading7"/>
        <w:spacing w:before="120"/>
        <w:ind w:left="772"/>
      </w:pPr>
      <w:r>
        <w:t>Managing</w:t>
      </w:r>
      <w:r>
        <w:rPr>
          <w:spacing w:val="-7"/>
        </w:rPr>
        <w:t xml:space="preserve"> </w:t>
      </w:r>
      <w:r>
        <w:t>risks</w:t>
      </w:r>
      <w:r>
        <w:rPr>
          <w:spacing w:val="-8"/>
        </w:rPr>
        <w:t xml:space="preserve"> </w:t>
      </w:r>
      <w:r>
        <w:t>in</w:t>
      </w:r>
      <w:r>
        <w:rPr>
          <w:spacing w:val="-6"/>
        </w:rPr>
        <w:t xml:space="preserve"> </w:t>
      </w:r>
      <w:r>
        <w:rPr>
          <w:spacing w:val="-2"/>
        </w:rPr>
        <w:t>GEDSI</w:t>
      </w:r>
    </w:p>
    <w:p w14:paraId="1C79CE56" w14:textId="77777777" w:rsidR="009C36E3" w:rsidRDefault="000E7207">
      <w:pPr>
        <w:pStyle w:val="BodyText"/>
        <w:spacing w:before="120"/>
        <w:ind w:right="120"/>
      </w:pPr>
      <w:r>
        <w:t>With its focus on ending VAWC in communities, VAPJPs work carries a high level of risk due to social norms leading to high levels of resistance to gender equality and vulnerability of women, children and persons with a disability</w:t>
      </w:r>
      <w:r>
        <w:rPr>
          <w:spacing w:val="-2"/>
        </w:rPr>
        <w:t xml:space="preserve"> </w:t>
      </w:r>
      <w:r>
        <w:t>who</w:t>
      </w:r>
      <w:r>
        <w:rPr>
          <w:spacing w:val="-3"/>
        </w:rPr>
        <w:t xml:space="preserve"> </w:t>
      </w:r>
      <w:r>
        <w:t>may</w:t>
      </w:r>
      <w:r>
        <w:rPr>
          <w:spacing w:val="-2"/>
        </w:rPr>
        <w:t xml:space="preserve"> </w:t>
      </w:r>
      <w:r>
        <w:t>experience</w:t>
      </w:r>
      <w:r>
        <w:rPr>
          <w:spacing w:val="-3"/>
        </w:rPr>
        <w:t xml:space="preserve"> </w:t>
      </w:r>
      <w:r>
        <w:t>violence.</w:t>
      </w:r>
      <w:r>
        <w:rPr>
          <w:spacing w:val="-3"/>
        </w:rPr>
        <w:t xml:space="preserve"> </w:t>
      </w:r>
      <w:r>
        <w:t>The</w:t>
      </w:r>
      <w:r>
        <w:rPr>
          <w:spacing w:val="-3"/>
        </w:rPr>
        <w:t xml:space="preserve"> </w:t>
      </w:r>
      <w:r>
        <w:t>program</w:t>
      </w:r>
      <w:r>
        <w:rPr>
          <w:spacing w:val="-1"/>
        </w:rPr>
        <w:t xml:space="preserve"> </w:t>
      </w:r>
      <w:r>
        <w:t>is</w:t>
      </w:r>
      <w:r>
        <w:rPr>
          <w:spacing w:val="-2"/>
        </w:rPr>
        <w:t xml:space="preserve"> </w:t>
      </w:r>
      <w:r>
        <w:t>aware</w:t>
      </w:r>
      <w:r>
        <w:rPr>
          <w:spacing w:val="-3"/>
        </w:rPr>
        <w:t xml:space="preserve"> </w:t>
      </w:r>
      <w:r>
        <w:t>of</w:t>
      </w:r>
      <w:r>
        <w:rPr>
          <w:spacing w:val="-1"/>
        </w:rPr>
        <w:t xml:space="preserve"> </w:t>
      </w:r>
      <w:r>
        <w:t>these</w:t>
      </w:r>
      <w:r>
        <w:rPr>
          <w:spacing w:val="-1"/>
        </w:rPr>
        <w:t xml:space="preserve"> </w:t>
      </w:r>
      <w:r>
        <w:t>risks,</w:t>
      </w:r>
      <w:r>
        <w:rPr>
          <w:spacing w:val="-2"/>
        </w:rPr>
        <w:t xml:space="preserve"> </w:t>
      </w:r>
      <w:r>
        <w:t>and</w:t>
      </w:r>
      <w:r>
        <w:rPr>
          <w:spacing w:val="-1"/>
        </w:rPr>
        <w:t xml:space="preserve"> </w:t>
      </w:r>
      <w:r>
        <w:t>has</w:t>
      </w:r>
      <w:r>
        <w:rPr>
          <w:spacing w:val="-2"/>
        </w:rPr>
        <w:t xml:space="preserve"> </w:t>
      </w:r>
      <w:r>
        <w:t>a</w:t>
      </w:r>
      <w:r>
        <w:rPr>
          <w:spacing w:val="-3"/>
        </w:rPr>
        <w:t xml:space="preserve"> </w:t>
      </w:r>
      <w:r>
        <w:t>protocol,</w:t>
      </w:r>
      <w:r>
        <w:rPr>
          <w:spacing w:val="-3"/>
        </w:rPr>
        <w:t xml:space="preserve"> </w:t>
      </w:r>
      <w:r>
        <w:t>but</w:t>
      </w:r>
      <w:r>
        <w:rPr>
          <w:spacing w:val="-3"/>
        </w:rPr>
        <w:t xml:space="preserve"> </w:t>
      </w:r>
      <w:r>
        <w:t>visibility is</w:t>
      </w:r>
      <w:r>
        <w:rPr>
          <w:spacing w:val="-2"/>
        </w:rPr>
        <w:t xml:space="preserve"> </w:t>
      </w:r>
      <w:r>
        <w:t>not high around approaches taken to align with Do No Harm principles.</w:t>
      </w:r>
    </w:p>
    <w:p w14:paraId="07ED81ED" w14:textId="77777777" w:rsidR="009C36E3" w:rsidRDefault="000E7207">
      <w:pPr>
        <w:pStyle w:val="BodyText"/>
        <w:spacing w:before="119"/>
        <w:ind w:right="192"/>
      </w:pPr>
      <w:r>
        <w:t>While</w:t>
      </w:r>
      <w:r>
        <w:rPr>
          <w:spacing w:val="-1"/>
        </w:rPr>
        <w:t xml:space="preserve"> </w:t>
      </w:r>
      <w:r>
        <w:t>there</w:t>
      </w:r>
      <w:r>
        <w:rPr>
          <w:spacing w:val="-3"/>
        </w:rPr>
        <w:t xml:space="preserve"> </w:t>
      </w:r>
      <w:r>
        <w:t>are</w:t>
      </w:r>
      <w:r>
        <w:rPr>
          <w:spacing w:val="-1"/>
        </w:rPr>
        <w:t xml:space="preserve"> </w:t>
      </w:r>
      <w:r>
        <w:t>a</w:t>
      </w:r>
      <w:r>
        <w:rPr>
          <w:spacing w:val="-3"/>
        </w:rPr>
        <w:t xml:space="preserve"> </w:t>
      </w:r>
      <w:r>
        <w:t>range</w:t>
      </w:r>
      <w:r>
        <w:rPr>
          <w:spacing w:val="-3"/>
        </w:rPr>
        <w:t xml:space="preserve"> </w:t>
      </w:r>
      <w:r>
        <w:t>of</w:t>
      </w:r>
      <w:r>
        <w:rPr>
          <w:spacing w:val="-3"/>
        </w:rPr>
        <w:t xml:space="preserve"> </w:t>
      </w:r>
      <w:r>
        <w:t>risks</w:t>
      </w:r>
      <w:r>
        <w:rPr>
          <w:spacing w:val="-2"/>
        </w:rPr>
        <w:t xml:space="preserve"> </w:t>
      </w:r>
      <w:r>
        <w:t>in</w:t>
      </w:r>
      <w:r>
        <w:rPr>
          <w:spacing w:val="-3"/>
        </w:rPr>
        <w:t xml:space="preserve"> </w:t>
      </w:r>
      <w:r>
        <w:t>the</w:t>
      </w:r>
      <w:r>
        <w:rPr>
          <w:spacing w:val="-3"/>
        </w:rPr>
        <w:t xml:space="preserve"> </w:t>
      </w:r>
      <w:r>
        <w:t>broader</w:t>
      </w:r>
      <w:r>
        <w:rPr>
          <w:spacing w:val="-2"/>
        </w:rPr>
        <w:t xml:space="preserve"> </w:t>
      </w:r>
      <w:r>
        <w:t>ecosystem</w:t>
      </w:r>
      <w:r>
        <w:rPr>
          <w:spacing w:val="-3"/>
        </w:rPr>
        <w:t xml:space="preserve"> </w:t>
      </w:r>
      <w:r>
        <w:t>that</w:t>
      </w:r>
      <w:r>
        <w:rPr>
          <w:spacing w:val="-3"/>
        </w:rPr>
        <w:t xml:space="preserve"> </w:t>
      </w:r>
      <w:r>
        <w:t>responds</w:t>
      </w:r>
      <w:r>
        <w:rPr>
          <w:spacing w:val="-2"/>
        </w:rPr>
        <w:t xml:space="preserve"> </w:t>
      </w:r>
      <w:r>
        <w:t>to</w:t>
      </w:r>
      <w:r>
        <w:rPr>
          <w:spacing w:val="-3"/>
        </w:rPr>
        <w:t xml:space="preserve"> </w:t>
      </w:r>
      <w:r>
        <w:t>VAWC,</w:t>
      </w:r>
      <w:r>
        <w:rPr>
          <w:spacing w:val="-3"/>
        </w:rPr>
        <w:t xml:space="preserve"> </w:t>
      </w:r>
      <w:r>
        <w:t>many of</w:t>
      </w:r>
      <w:r>
        <w:rPr>
          <w:spacing w:val="-3"/>
        </w:rPr>
        <w:t xml:space="preserve"> </w:t>
      </w:r>
      <w:r>
        <w:t>these</w:t>
      </w:r>
      <w:r>
        <w:rPr>
          <w:spacing w:val="-3"/>
        </w:rPr>
        <w:t xml:space="preserve"> </w:t>
      </w:r>
      <w:r>
        <w:t>also</w:t>
      </w:r>
      <w:r>
        <w:rPr>
          <w:spacing w:val="-3"/>
        </w:rPr>
        <w:t xml:space="preserve"> </w:t>
      </w:r>
      <w:r>
        <w:t>impact</w:t>
      </w:r>
      <w:r>
        <w:rPr>
          <w:spacing w:val="-3"/>
        </w:rPr>
        <w:t xml:space="preserve"> </w:t>
      </w:r>
      <w:r>
        <w:t>on the work that VAPJP is supporting. Some of the risks (there are more) include:</w:t>
      </w:r>
    </w:p>
    <w:p w14:paraId="3D9E276B" w14:textId="77777777" w:rsidR="009C36E3" w:rsidRDefault="000E7207">
      <w:pPr>
        <w:pStyle w:val="ListParagraph"/>
        <w:numPr>
          <w:ilvl w:val="0"/>
          <w:numId w:val="26"/>
        </w:numPr>
        <w:tabs>
          <w:tab w:val="left" w:pos="1129"/>
        </w:tabs>
        <w:spacing w:before="122" w:line="245" w:lineRule="exact"/>
        <w:rPr>
          <w:sz w:val="20"/>
        </w:rPr>
      </w:pPr>
      <w:r>
        <w:rPr>
          <w:sz w:val="20"/>
        </w:rPr>
        <w:t>Insecure</w:t>
      </w:r>
      <w:r>
        <w:rPr>
          <w:spacing w:val="-7"/>
          <w:sz w:val="20"/>
        </w:rPr>
        <w:t xml:space="preserve"> </w:t>
      </w:r>
      <w:r>
        <w:rPr>
          <w:sz w:val="20"/>
        </w:rPr>
        <w:t>safe</w:t>
      </w:r>
      <w:r>
        <w:rPr>
          <w:spacing w:val="-4"/>
          <w:sz w:val="20"/>
        </w:rPr>
        <w:t xml:space="preserve"> </w:t>
      </w:r>
      <w:r>
        <w:rPr>
          <w:sz w:val="20"/>
        </w:rPr>
        <w:t>houses</w:t>
      </w:r>
      <w:r>
        <w:rPr>
          <w:spacing w:val="-6"/>
          <w:sz w:val="20"/>
        </w:rPr>
        <w:t xml:space="preserve"> </w:t>
      </w:r>
      <w:r>
        <w:rPr>
          <w:sz w:val="20"/>
        </w:rPr>
        <w:t>where</w:t>
      </w:r>
      <w:r>
        <w:rPr>
          <w:spacing w:val="-6"/>
          <w:sz w:val="20"/>
        </w:rPr>
        <w:t xml:space="preserve"> </w:t>
      </w:r>
      <w:r>
        <w:rPr>
          <w:sz w:val="20"/>
        </w:rPr>
        <w:t>victims</w:t>
      </w:r>
      <w:r>
        <w:rPr>
          <w:spacing w:val="-5"/>
          <w:sz w:val="20"/>
        </w:rPr>
        <w:t xml:space="preserve"> </w:t>
      </w:r>
      <w:r>
        <w:rPr>
          <w:sz w:val="20"/>
        </w:rPr>
        <w:t>fleeing</w:t>
      </w:r>
      <w:r>
        <w:rPr>
          <w:spacing w:val="-7"/>
          <w:sz w:val="20"/>
        </w:rPr>
        <w:t xml:space="preserve"> </w:t>
      </w:r>
      <w:r>
        <w:rPr>
          <w:sz w:val="20"/>
        </w:rPr>
        <w:t>violence</w:t>
      </w:r>
      <w:r>
        <w:rPr>
          <w:spacing w:val="-6"/>
          <w:sz w:val="20"/>
        </w:rPr>
        <w:t xml:space="preserve"> </w:t>
      </w:r>
      <w:r>
        <w:rPr>
          <w:sz w:val="20"/>
        </w:rPr>
        <w:t>can</w:t>
      </w:r>
      <w:r>
        <w:rPr>
          <w:spacing w:val="-6"/>
          <w:sz w:val="20"/>
        </w:rPr>
        <w:t xml:space="preserve"> </w:t>
      </w:r>
      <w:r>
        <w:rPr>
          <w:sz w:val="20"/>
        </w:rPr>
        <w:t>be</w:t>
      </w:r>
      <w:r>
        <w:rPr>
          <w:spacing w:val="-7"/>
          <w:sz w:val="20"/>
        </w:rPr>
        <w:t xml:space="preserve"> </w:t>
      </w:r>
      <w:r>
        <w:rPr>
          <w:spacing w:val="-2"/>
          <w:sz w:val="20"/>
        </w:rPr>
        <w:t>attacked;</w:t>
      </w:r>
    </w:p>
    <w:p w14:paraId="775B0C8C" w14:textId="77777777" w:rsidR="009C36E3" w:rsidRDefault="000E7207">
      <w:pPr>
        <w:pStyle w:val="ListParagraph"/>
        <w:numPr>
          <w:ilvl w:val="0"/>
          <w:numId w:val="26"/>
        </w:numPr>
        <w:tabs>
          <w:tab w:val="left" w:pos="1129"/>
        </w:tabs>
        <w:spacing w:before="2" w:line="237" w:lineRule="auto"/>
        <w:ind w:right="252"/>
        <w:rPr>
          <w:sz w:val="20"/>
        </w:rPr>
      </w:pPr>
      <w:r>
        <w:rPr>
          <w:sz w:val="20"/>
        </w:rPr>
        <w:t>Lack</w:t>
      </w:r>
      <w:r>
        <w:rPr>
          <w:spacing w:val="-3"/>
          <w:sz w:val="20"/>
        </w:rPr>
        <w:t xml:space="preserve"> </w:t>
      </w:r>
      <w:r>
        <w:rPr>
          <w:sz w:val="20"/>
        </w:rPr>
        <w:t>of</w:t>
      </w:r>
      <w:r>
        <w:rPr>
          <w:spacing w:val="-4"/>
          <w:sz w:val="20"/>
        </w:rPr>
        <w:t xml:space="preserve"> </w:t>
      </w:r>
      <w:r>
        <w:rPr>
          <w:sz w:val="20"/>
        </w:rPr>
        <w:t>confidential</w:t>
      </w:r>
      <w:r>
        <w:rPr>
          <w:spacing w:val="-3"/>
          <w:sz w:val="20"/>
        </w:rPr>
        <w:t xml:space="preserve"> </w:t>
      </w:r>
      <w:r>
        <w:rPr>
          <w:sz w:val="20"/>
        </w:rPr>
        <w:t>spaces prevents</w:t>
      </w:r>
      <w:r>
        <w:rPr>
          <w:spacing w:val="-3"/>
          <w:sz w:val="20"/>
        </w:rPr>
        <w:t xml:space="preserve"> </w:t>
      </w:r>
      <w:r>
        <w:rPr>
          <w:sz w:val="20"/>
        </w:rPr>
        <w:t>victims</w:t>
      </w:r>
      <w:r>
        <w:rPr>
          <w:spacing w:val="-3"/>
          <w:sz w:val="20"/>
        </w:rPr>
        <w:t xml:space="preserve"> </w:t>
      </w:r>
      <w:r>
        <w:rPr>
          <w:sz w:val="20"/>
        </w:rPr>
        <w:t>seeking</w:t>
      </w:r>
      <w:r>
        <w:rPr>
          <w:spacing w:val="-4"/>
          <w:sz w:val="20"/>
        </w:rPr>
        <w:t xml:space="preserve"> </w:t>
      </w:r>
      <w:r>
        <w:rPr>
          <w:sz w:val="20"/>
        </w:rPr>
        <w:t>protection</w:t>
      </w:r>
      <w:r>
        <w:rPr>
          <w:spacing w:val="-4"/>
          <w:sz w:val="20"/>
        </w:rPr>
        <w:t xml:space="preserve"> </w:t>
      </w:r>
      <w:r>
        <w:rPr>
          <w:sz w:val="20"/>
        </w:rPr>
        <w:t>by</w:t>
      </w:r>
      <w:r>
        <w:rPr>
          <w:spacing w:val="-3"/>
          <w:sz w:val="20"/>
        </w:rPr>
        <w:t xml:space="preserve"> </w:t>
      </w:r>
      <w:r>
        <w:rPr>
          <w:sz w:val="20"/>
        </w:rPr>
        <w:t>reporting</w:t>
      </w:r>
      <w:r>
        <w:rPr>
          <w:spacing w:val="-2"/>
          <w:sz w:val="20"/>
        </w:rPr>
        <w:t xml:space="preserve"> </w:t>
      </w:r>
      <w:r>
        <w:rPr>
          <w:sz w:val="20"/>
        </w:rPr>
        <w:t>incidences</w:t>
      </w:r>
      <w:r>
        <w:rPr>
          <w:spacing w:val="-3"/>
          <w:sz w:val="20"/>
        </w:rPr>
        <w:t xml:space="preserve"> </w:t>
      </w:r>
      <w:r>
        <w:rPr>
          <w:sz w:val="20"/>
        </w:rPr>
        <w:t>of</w:t>
      </w:r>
      <w:r>
        <w:rPr>
          <w:spacing w:val="-4"/>
          <w:sz w:val="20"/>
        </w:rPr>
        <w:t xml:space="preserve"> </w:t>
      </w:r>
      <w:r>
        <w:rPr>
          <w:sz w:val="20"/>
        </w:rPr>
        <w:t>violence</w:t>
      </w:r>
      <w:r>
        <w:rPr>
          <w:spacing w:val="-3"/>
          <w:sz w:val="20"/>
        </w:rPr>
        <w:t xml:space="preserve"> </w:t>
      </w:r>
      <w:r>
        <w:rPr>
          <w:sz w:val="20"/>
        </w:rPr>
        <w:t>(limitations of current FPUs discussed elsewhere);</w:t>
      </w:r>
    </w:p>
    <w:p w14:paraId="7AFD42C1" w14:textId="77777777" w:rsidR="009C36E3" w:rsidRDefault="000E7207">
      <w:pPr>
        <w:pStyle w:val="ListParagraph"/>
        <w:numPr>
          <w:ilvl w:val="0"/>
          <w:numId w:val="26"/>
        </w:numPr>
        <w:tabs>
          <w:tab w:val="left" w:pos="1129"/>
        </w:tabs>
        <w:spacing w:before="3" w:line="237" w:lineRule="auto"/>
        <w:ind w:right="263"/>
        <w:rPr>
          <w:sz w:val="20"/>
        </w:rPr>
      </w:pPr>
      <w:r>
        <w:rPr>
          <w:sz w:val="20"/>
        </w:rPr>
        <w:t>Messaging</w:t>
      </w:r>
      <w:r>
        <w:rPr>
          <w:spacing w:val="-3"/>
          <w:sz w:val="20"/>
        </w:rPr>
        <w:t xml:space="preserve"> </w:t>
      </w:r>
      <w:r>
        <w:rPr>
          <w:sz w:val="20"/>
        </w:rPr>
        <w:t>in</w:t>
      </w:r>
      <w:r>
        <w:rPr>
          <w:spacing w:val="-3"/>
          <w:sz w:val="20"/>
        </w:rPr>
        <w:t xml:space="preserve"> </w:t>
      </w:r>
      <w:r>
        <w:rPr>
          <w:sz w:val="20"/>
        </w:rPr>
        <w:t>behaviour</w:t>
      </w:r>
      <w:r>
        <w:rPr>
          <w:spacing w:val="-4"/>
          <w:sz w:val="20"/>
        </w:rPr>
        <w:t xml:space="preserve"> </w:t>
      </w:r>
      <w:r>
        <w:rPr>
          <w:sz w:val="20"/>
        </w:rPr>
        <w:t>change</w:t>
      </w:r>
      <w:r>
        <w:rPr>
          <w:spacing w:val="-3"/>
          <w:sz w:val="20"/>
        </w:rPr>
        <w:t xml:space="preserve"> </w:t>
      </w:r>
      <w:r>
        <w:rPr>
          <w:sz w:val="20"/>
        </w:rPr>
        <w:t>activities</w:t>
      </w:r>
      <w:r>
        <w:rPr>
          <w:spacing w:val="-4"/>
          <w:sz w:val="20"/>
        </w:rPr>
        <w:t xml:space="preserve"> </w:t>
      </w:r>
      <w:r>
        <w:rPr>
          <w:sz w:val="20"/>
        </w:rPr>
        <w:t>can</w:t>
      </w:r>
      <w:r>
        <w:rPr>
          <w:spacing w:val="-5"/>
          <w:sz w:val="20"/>
        </w:rPr>
        <w:t xml:space="preserve"> </w:t>
      </w:r>
      <w:r>
        <w:rPr>
          <w:sz w:val="20"/>
        </w:rPr>
        <w:t>underscore</w:t>
      </w:r>
      <w:r>
        <w:rPr>
          <w:spacing w:val="-5"/>
          <w:sz w:val="20"/>
        </w:rPr>
        <w:t xml:space="preserve"> </w:t>
      </w:r>
      <w:r>
        <w:rPr>
          <w:sz w:val="20"/>
        </w:rPr>
        <w:t>gender</w:t>
      </w:r>
      <w:r>
        <w:rPr>
          <w:spacing w:val="-2"/>
          <w:sz w:val="20"/>
        </w:rPr>
        <w:t xml:space="preserve"> </w:t>
      </w:r>
      <w:r>
        <w:rPr>
          <w:sz w:val="20"/>
        </w:rPr>
        <w:t>differences</w:t>
      </w:r>
      <w:r>
        <w:rPr>
          <w:spacing w:val="-4"/>
          <w:sz w:val="20"/>
        </w:rPr>
        <w:t xml:space="preserve"> </w:t>
      </w:r>
      <w:r>
        <w:rPr>
          <w:sz w:val="20"/>
        </w:rPr>
        <w:t>e.g.,</w:t>
      </w:r>
      <w:r>
        <w:rPr>
          <w:spacing w:val="-2"/>
          <w:sz w:val="20"/>
        </w:rPr>
        <w:t xml:space="preserve"> </w:t>
      </w:r>
      <w:r>
        <w:rPr>
          <w:sz w:val="20"/>
        </w:rPr>
        <w:t>Men</w:t>
      </w:r>
      <w:r>
        <w:rPr>
          <w:spacing w:val="-5"/>
          <w:sz w:val="20"/>
        </w:rPr>
        <w:t xml:space="preserve"> </w:t>
      </w:r>
      <w:r>
        <w:rPr>
          <w:sz w:val="20"/>
        </w:rPr>
        <w:t>should</w:t>
      </w:r>
      <w:r>
        <w:rPr>
          <w:spacing w:val="-3"/>
          <w:sz w:val="20"/>
        </w:rPr>
        <w:t xml:space="preserve"> </w:t>
      </w:r>
      <w:r>
        <w:rPr>
          <w:sz w:val="20"/>
        </w:rPr>
        <w:t>protect</w:t>
      </w:r>
      <w:r>
        <w:rPr>
          <w:spacing w:val="-5"/>
          <w:sz w:val="20"/>
        </w:rPr>
        <w:t xml:space="preserve"> </w:t>
      </w:r>
      <w:r>
        <w:rPr>
          <w:sz w:val="20"/>
        </w:rPr>
        <w:t>women (especially relevant to awareness raising supported by VAPJP).</w:t>
      </w:r>
    </w:p>
    <w:p w14:paraId="60F6D588" w14:textId="77777777" w:rsidR="009C36E3" w:rsidRDefault="000E7207">
      <w:pPr>
        <w:pStyle w:val="BodyText"/>
        <w:spacing w:before="119"/>
        <w:ind w:right="198"/>
        <w:jc w:val="both"/>
      </w:pPr>
      <w:r>
        <w:t>VAPJP has</w:t>
      </w:r>
      <w:r>
        <w:rPr>
          <w:spacing w:val="-1"/>
        </w:rPr>
        <w:t xml:space="preserve"> </w:t>
      </w:r>
      <w:r>
        <w:t>responded</w:t>
      </w:r>
      <w:r>
        <w:rPr>
          <w:spacing w:val="-2"/>
        </w:rPr>
        <w:t xml:space="preserve"> </w:t>
      </w:r>
      <w:r>
        <w:t>to increasing</w:t>
      </w:r>
      <w:r>
        <w:rPr>
          <w:spacing w:val="-2"/>
        </w:rPr>
        <w:t xml:space="preserve"> </w:t>
      </w:r>
      <w:r>
        <w:t>recognition</w:t>
      </w:r>
      <w:r>
        <w:rPr>
          <w:spacing w:val="-2"/>
        </w:rPr>
        <w:t xml:space="preserve"> </w:t>
      </w:r>
      <w:r>
        <w:t>of</w:t>
      </w:r>
      <w:r>
        <w:rPr>
          <w:spacing w:val="-2"/>
        </w:rPr>
        <w:t xml:space="preserve"> </w:t>
      </w:r>
      <w:r>
        <w:t>the need to</w:t>
      </w:r>
      <w:r>
        <w:rPr>
          <w:spacing w:val="-2"/>
        </w:rPr>
        <w:t xml:space="preserve"> </w:t>
      </w:r>
      <w:r>
        <w:t>work</w:t>
      </w:r>
      <w:r>
        <w:rPr>
          <w:spacing w:val="-1"/>
        </w:rPr>
        <w:t xml:space="preserve"> </w:t>
      </w:r>
      <w:r>
        <w:t>with</w:t>
      </w:r>
      <w:r>
        <w:rPr>
          <w:spacing w:val="-2"/>
        </w:rPr>
        <w:t xml:space="preserve"> </w:t>
      </w:r>
      <w:r>
        <w:t>men</w:t>
      </w:r>
      <w:r>
        <w:rPr>
          <w:spacing w:val="-2"/>
        </w:rPr>
        <w:t xml:space="preserve"> </w:t>
      </w:r>
      <w:r>
        <w:t>to address</w:t>
      </w:r>
      <w:r>
        <w:rPr>
          <w:spacing w:val="-1"/>
        </w:rPr>
        <w:t xml:space="preserve"> </w:t>
      </w:r>
      <w:r>
        <w:t>VAWC. Recognising</w:t>
      </w:r>
      <w:r>
        <w:rPr>
          <w:spacing w:val="-2"/>
        </w:rPr>
        <w:t xml:space="preserve"> </w:t>
      </w:r>
      <w:r>
        <w:t>that this</w:t>
      </w:r>
      <w:r>
        <w:rPr>
          <w:spacing w:val="-2"/>
        </w:rPr>
        <w:t xml:space="preserve"> </w:t>
      </w:r>
      <w:r>
        <w:t>work</w:t>
      </w:r>
      <w:r>
        <w:rPr>
          <w:spacing w:val="-2"/>
        </w:rPr>
        <w:t xml:space="preserve"> </w:t>
      </w:r>
      <w:r>
        <w:t>carries</w:t>
      </w:r>
      <w:r>
        <w:rPr>
          <w:spacing w:val="-2"/>
        </w:rPr>
        <w:t xml:space="preserve"> </w:t>
      </w:r>
      <w:r>
        <w:t>some</w:t>
      </w:r>
      <w:r>
        <w:rPr>
          <w:spacing w:val="-3"/>
        </w:rPr>
        <w:t xml:space="preserve"> </w:t>
      </w:r>
      <w:r>
        <w:t>risks,</w:t>
      </w:r>
      <w:r>
        <w:rPr>
          <w:spacing w:val="-3"/>
        </w:rPr>
        <w:t xml:space="preserve"> </w:t>
      </w:r>
      <w:r>
        <w:t>it</w:t>
      </w:r>
      <w:r>
        <w:rPr>
          <w:spacing w:val="-1"/>
        </w:rPr>
        <w:t xml:space="preserve"> </w:t>
      </w:r>
      <w:r>
        <w:t>is</w:t>
      </w:r>
      <w:r>
        <w:rPr>
          <w:spacing w:val="-2"/>
        </w:rPr>
        <w:t xml:space="preserve"> </w:t>
      </w:r>
      <w:r>
        <w:t>not</w:t>
      </w:r>
      <w:r>
        <w:rPr>
          <w:spacing w:val="-3"/>
        </w:rPr>
        <w:t xml:space="preserve"> </w:t>
      </w:r>
      <w:r>
        <w:t>clear</w:t>
      </w:r>
      <w:r>
        <w:rPr>
          <w:spacing w:val="-2"/>
        </w:rPr>
        <w:t xml:space="preserve"> </w:t>
      </w:r>
      <w:r>
        <w:t>to</w:t>
      </w:r>
      <w:r>
        <w:rPr>
          <w:spacing w:val="-3"/>
        </w:rPr>
        <w:t xml:space="preserve"> </w:t>
      </w:r>
      <w:r>
        <w:t>what</w:t>
      </w:r>
      <w:r>
        <w:rPr>
          <w:spacing w:val="-3"/>
        </w:rPr>
        <w:t xml:space="preserve"> </w:t>
      </w:r>
      <w:r>
        <w:t>extent</w:t>
      </w:r>
      <w:r>
        <w:rPr>
          <w:spacing w:val="-3"/>
        </w:rPr>
        <w:t xml:space="preserve"> </w:t>
      </w:r>
      <w:r>
        <w:t>this</w:t>
      </w:r>
      <w:r>
        <w:rPr>
          <w:spacing w:val="-2"/>
        </w:rPr>
        <w:t xml:space="preserve"> </w:t>
      </w:r>
      <w:r>
        <w:t>work</w:t>
      </w:r>
      <w:r>
        <w:rPr>
          <w:spacing w:val="-2"/>
        </w:rPr>
        <w:t xml:space="preserve"> </w:t>
      </w:r>
      <w:r>
        <w:t>is</w:t>
      </w:r>
      <w:r>
        <w:rPr>
          <w:spacing w:val="-2"/>
        </w:rPr>
        <w:t xml:space="preserve"> </w:t>
      </w:r>
      <w:r>
        <w:t>informed</w:t>
      </w:r>
      <w:r>
        <w:rPr>
          <w:spacing w:val="-1"/>
        </w:rPr>
        <w:t xml:space="preserve"> </w:t>
      </w:r>
      <w:r>
        <w:t>by best</w:t>
      </w:r>
      <w:r>
        <w:rPr>
          <w:spacing w:val="-3"/>
        </w:rPr>
        <w:t xml:space="preserve"> </w:t>
      </w:r>
      <w:r>
        <w:t>practice</w:t>
      </w:r>
      <w:r>
        <w:rPr>
          <w:spacing w:val="-1"/>
        </w:rPr>
        <w:t xml:space="preserve"> </w:t>
      </w:r>
      <w:r>
        <w:t>in</w:t>
      </w:r>
      <w:r>
        <w:rPr>
          <w:spacing w:val="-3"/>
        </w:rPr>
        <w:t xml:space="preserve"> </w:t>
      </w:r>
      <w:r>
        <w:t>this</w:t>
      </w:r>
      <w:r>
        <w:rPr>
          <w:spacing w:val="-2"/>
        </w:rPr>
        <w:t xml:space="preserve"> </w:t>
      </w:r>
      <w:r>
        <w:t>area.</w:t>
      </w:r>
      <w:r>
        <w:rPr>
          <w:spacing w:val="-1"/>
        </w:rPr>
        <w:t xml:space="preserve"> </w:t>
      </w:r>
      <w:r>
        <w:t>By</w:t>
      </w:r>
      <w:r>
        <w:rPr>
          <w:spacing w:val="-2"/>
        </w:rPr>
        <w:t xml:space="preserve"> </w:t>
      </w:r>
      <w:r>
        <w:t>way of</w:t>
      </w:r>
      <w:r>
        <w:rPr>
          <w:spacing w:val="-1"/>
        </w:rPr>
        <w:t xml:space="preserve"> </w:t>
      </w:r>
      <w:r>
        <w:t>example</w:t>
      </w:r>
      <w:r>
        <w:rPr>
          <w:spacing w:val="-1"/>
        </w:rPr>
        <w:t xml:space="preserve"> </w:t>
      </w:r>
      <w:r>
        <w:t>the</w:t>
      </w:r>
      <w:r>
        <w:rPr>
          <w:spacing w:val="-1"/>
        </w:rPr>
        <w:t xml:space="preserve"> </w:t>
      </w:r>
      <w:r>
        <w:t>Warwick Principles (The</w:t>
      </w:r>
      <w:r>
        <w:rPr>
          <w:spacing w:val="-1"/>
        </w:rPr>
        <w:t xml:space="preserve"> </w:t>
      </w:r>
      <w:r>
        <w:t>Regional Pacific Women’s Network Against</w:t>
      </w:r>
      <w:r>
        <w:rPr>
          <w:spacing w:val="-1"/>
        </w:rPr>
        <w:t xml:space="preserve"> </w:t>
      </w:r>
      <w:r>
        <w:t>Violence</w:t>
      </w:r>
      <w:r>
        <w:rPr>
          <w:spacing w:val="-1"/>
        </w:rPr>
        <w:t xml:space="preserve"> </w:t>
      </w:r>
      <w:r>
        <w:t>Against Women and UN Women, 2020), which are designed by and for people in the Pacific, are:</w:t>
      </w:r>
    </w:p>
    <w:p w14:paraId="786AA023" w14:textId="77777777" w:rsidR="009C36E3" w:rsidRDefault="000E7207">
      <w:pPr>
        <w:pStyle w:val="BodyText"/>
        <w:spacing w:before="120"/>
        <w:ind w:left="1129" w:right="120"/>
      </w:pPr>
      <w:r>
        <w:t>an agreed set of Principles on best practice to engage men and boys in prevention and perpetrator programming</w:t>
      </w:r>
      <w:r>
        <w:rPr>
          <w:spacing w:val="-2"/>
        </w:rPr>
        <w:t xml:space="preserve"> </w:t>
      </w:r>
      <w:r>
        <w:t>in</w:t>
      </w:r>
      <w:r>
        <w:rPr>
          <w:spacing w:val="-4"/>
        </w:rPr>
        <w:t xml:space="preserve"> </w:t>
      </w:r>
      <w:r>
        <w:t>the</w:t>
      </w:r>
      <w:r>
        <w:rPr>
          <w:spacing w:val="-2"/>
        </w:rPr>
        <w:t xml:space="preserve"> </w:t>
      </w:r>
      <w:r>
        <w:t>Pacific to</w:t>
      </w:r>
      <w:r>
        <w:rPr>
          <w:spacing w:val="-4"/>
        </w:rPr>
        <w:t xml:space="preserve"> </w:t>
      </w:r>
      <w:r>
        <w:t>ensure</w:t>
      </w:r>
      <w:r>
        <w:rPr>
          <w:spacing w:val="-2"/>
        </w:rPr>
        <w:t xml:space="preserve"> </w:t>
      </w:r>
      <w:r>
        <w:t>that</w:t>
      </w:r>
      <w:r>
        <w:rPr>
          <w:spacing w:val="-4"/>
        </w:rPr>
        <w:t xml:space="preserve"> </w:t>
      </w:r>
      <w:r>
        <w:t>all</w:t>
      </w:r>
      <w:r>
        <w:rPr>
          <w:spacing w:val="-3"/>
        </w:rPr>
        <w:t xml:space="preserve"> </w:t>
      </w:r>
      <w:r>
        <w:t>male</w:t>
      </w:r>
      <w:r>
        <w:rPr>
          <w:spacing w:val="-4"/>
        </w:rPr>
        <w:t xml:space="preserve"> </w:t>
      </w:r>
      <w:r>
        <w:t>engagement</w:t>
      </w:r>
      <w:r>
        <w:rPr>
          <w:spacing w:val="-2"/>
        </w:rPr>
        <w:t xml:space="preserve"> </w:t>
      </w:r>
      <w:r>
        <w:t>interventions are</w:t>
      </w:r>
      <w:r>
        <w:rPr>
          <w:spacing w:val="-2"/>
        </w:rPr>
        <w:t xml:space="preserve"> </w:t>
      </w:r>
      <w:r>
        <w:t>accountable</w:t>
      </w:r>
      <w:r>
        <w:rPr>
          <w:spacing w:val="-2"/>
        </w:rPr>
        <w:t xml:space="preserve"> </w:t>
      </w:r>
      <w:r>
        <w:t>to</w:t>
      </w:r>
      <w:r>
        <w:rPr>
          <w:spacing w:val="-4"/>
        </w:rPr>
        <w:t xml:space="preserve"> </w:t>
      </w:r>
      <w:r>
        <w:t>women</w:t>
      </w:r>
      <w:r>
        <w:rPr>
          <w:spacing w:val="-4"/>
        </w:rPr>
        <w:t xml:space="preserve"> </w:t>
      </w:r>
      <w:r>
        <w:t>and girls; do no harm; grounded in a human rights-based approach; evidence-based and evidence building; inclusive and intersectional; gender transformative; and informed by local context.</w:t>
      </w:r>
    </w:p>
    <w:p w14:paraId="2D8E67D6" w14:textId="77777777" w:rsidR="009C36E3" w:rsidRDefault="000E7207">
      <w:pPr>
        <w:pStyle w:val="BodyText"/>
        <w:spacing w:before="119"/>
        <w:rPr>
          <w:i/>
        </w:rPr>
      </w:pPr>
      <w:r>
        <w:t>Specific VAPJP</w:t>
      </w:r>
      <w:r>
        <w:rPr>
          <w:spacing w:val="-5"/>
        </w:rPr>
        <w:t xml:space="preserve"> </w:t>
      </w:r>
      <w:r>
        <w:t>working</w:t>
      </w:r>
      <w:r>
        <w:rPr>
          <w:spacing w:val="-2"/>
        </w:rPr>
        <w:t xml:space="preserve"> </w:t>
      </w:r>
      <w:r>
        <w:t>with</w:t>
      </w:r>
      <w:r>
        <w:rPr>
          <w:spacing w:val="-4"/>
        </w:rPr>
        <w:t xml:space="preserve"> </w:t>
      </w:r>
      <w:r>
        <w:t>men</w:t>
      </w:r>
      <w:r>
        <w:rPr>
          <w:spacing w:val="-4"/>
        </w:rPr>
        <w:t xml:space="preserve"> </w:t>
      </w:r>
      <w:r>
        <w:t>initiatives</w:t>
      </w:r>
      <w:r>
        <w:rPr>
          <w:spacing w:val="-3"/>
        </w:rPr>
        <w:t xml:space="preserve"> </w:t>
      </w:r>
      <w:r>
        <w:t>include</w:t>
      </w:r>
      <w:r>
        <w:rPr>
          <w:spacing w:val="-2"/>
        </w:rPr>
        <w:t xml:space="preserve"> </w:t>
      </w:r>
      <w:r>
        <w:t>World</w:t>
      </w:r>
      <w:r>
        <w:rPr>
          <w:spacing w:val="-2"/>
        </w:rPr>
        <w:t xml:space="preserve"> </w:t>
      </w:r>
      <w:r>
        <w:t>Vision’s</w:t>
      </w:r>
      <w:r>
        <w:rPr>
          <w:spacing w:val="-3"/>
        </w:rPr>
        <w:t xml:space="preserve"> </w:t>
      </w:r>
      <w:r>
        <w:rPr>
          <w:i/>
        </w:rPr>
        <w:t>Police</w:t>
      </w:r>
      <w:r>
        <w:rPr>
          <w:i/>
          <w:spacing w:val="-2"/>
        </w:rPr>
        <w:t xml:space="preserve"> </w:t>
      </w:r>
      <w:r>
        <w:rPr>
          <w:i/>
        </w:rPr>
        <w:t>be</w:t>
      </w:r>
      <w:r>
        <w:rPr>
          <w:i/>
          <w:spacing w:val="-2"/>
        </w:rPr>
        <w:t xml:space="preserve"> </w:t>
      </w:r>
      <w:r>
        <w:rPr>
          <w:i/>
        </w:rPr>
        <w:t>the</w:t>
      </w:r>
      <w:r>
        <w:rPr>
          <w:i/>
          <w:spacing w:val="-2"/>
        </w:rPr>
        <w:t xml:space="preserve"> </w:t>
      </w:r>
      <w:r>
        <w:rPr>
          <w:i/>
        </w:rPr>
        <w:t>Change</w:t>
      </w:r>
      <w:r>
        <w:rPr>
          <w:i/>
          <w:spacing w:val="-2"/>
        </w:rPr>
        <w:t xml:space="preserve"> </w:t>
      </w:r>
      <w:r>
        <w:rPr>
          <w:i/>
        </w:rPr>
        <w:t>Program</w:t>
      </w:r>
      <w:r>
        <w:rPr>
          <w:i/>
          <w:spacing w:val="-3"/>
        </w:rPr>
        <w:t xml:space="preserve"> </w:t>
      </w:r>
      <w:r>
        <w:t>which</w:t>
      </w:r>
      <w:r>
        <w:rPr>
          <w:spacing w:val="-4"/>
        </w:rPr>
        <w:t xml:space="preserve"> </w:t>
      </w:r>
      <w:r>
        <w:t>ran</w:t>
      </w:r>
      <w:r>
        <w:rPr>
          <w:spacing w:val="-2"/>
        </w:rPr>
        <w:t xml:space="preserve"> </w:t>
      </w:r>
      <w:r>
        <w:t xml:space="preserve">from 2021 – May 2023, supported through VAPJP Community Grants; and the work of CA2J team’s work with male </w:t>
      </w:r>
      <w:r>
        <w:rPr>
          <w:spacing w:val="-2"/>
        </w:rPr>
        <w:t>parolees</w:t>
      </w:r>
      <w:r>
        <w:rPr>
          <w:i/>
          <w:spacing w:val="-2"/>
        </w:rPr>
        <w:t>.</w:t>
      </w:r>
    </w:p>
    <w:p w14:paraId="4B323FCD" w14:textId="77777777" w:rsidR="009C36E3" w:rsidRDefault="000E7207">
      <w:pPr>
        <w:pStyle w:val="BodyText"/>
        <w:spacing w:before="122"/>
        <w:ind w:right="120"/>
      </w:pPr>
      <w:r>
        <w:t>World Vision received direct source funding to assist members of the VPF and their partners to reflect on their own attitudes and</w:t>
      </w:r>
      <w:r>
        <w:rPr>
          <w:spacing w:val="-2"/>
        </w:rPr>
        <w:t xml:space="preserve"> </w:t>
      </w:r>
      <w:r>
        <w:t>behaviour</w:t>
      </w:r>
      <w:r>
        <w:rPr>
          <w:spacing w:val="-3"/>
        </w:rPr>
        <w:t xml:space="preserve"> </w:t>
      </w:r>
      <w:r>
        <w:t>in</w:t>
      </w:r>
      <w:r>
        <w:rPr>
          <w:spacing w:val="-2"/>
        </w:rPr>
        <w:t xml:space="preserve"> </w:t>
      </w:r>
      <w:r>
        <w:t>terms</w:t>
      </w:r>
      <w:r>
        <w:rPr>
          <w:spacing w:val="-3"/>
        </w:rPr>
        <w:t xml:space="preserve"> </w:t>
      </w:r>
      <w:r>
        <w:t>of</w:t>
      </w:r>
      <w:r>
        <w:rPr>
          <w:spacing w:val="-1"/>
        </w:rPr>
        <w:t xml:space="preserve"> </w:t>
      </w:r>
      <w:r>
        <w:t>VAWC.</w:t>
      </w:r>
      <w:r>
        <w:rPr>
          <w:spacing w:val="-2"/>
        </w:rPr>
        <w:t xml:space="preserve"> </w:t>
      </w:r>
      <w:r>
        <w:t>While</w:t>
      </w:r>
      <w:r>
        <w:rPr>
          <w:spacing w:val="-4"/>
        </w:rPr>
        <w:t xml:space="preserve"> </w:t>
      </w:r>
      <w:r>
        <w:t>there</w:t>
      </w:r>
      <w:r>
        <w:rPr>
          <w:spacing w:val="-2"/>
        </w:rPr>
        <w:t xml:space="preserve"> </w:t>
      </w:r>
      <w:r>
        <w:t>were</w:t>
      </w:r>
      <w:r>
        <w:rPr>
          <w:spacing w:val="-4"/>
        </w:rPr>
        <w:t xml:space="preserve"> </w:t>
      </w:r>
      <w:r>
        <w:t>no</w:t>
      </w:r>
      <w:r>
        <w:rPr>
          <w:spacing w:val="-4"/>
        </w:rPr>
        <w:t xml:space="preserve"> </w:t>
      </w:r>
      <w:r>
        <w:t>specific</w:t>
      </w:r>
      <w:r>
        <w:rPr>
          <w:spacing w:val="-3"/>
        </w:rPr>
        <w:t xml:space="preserve"> </w:t>
      </w:r>
      <w:r>
        <w:t>concerns about</w:t>
      </w:r>
      <w:r>
        <w:rPr>
          <w:spacing w:val="-4"/>
        </w:rPr>
        <w:t xml:space="preserve"> </w:t>
      </w:r>
      <w:r>
        <w:t>this</w:t>
      </w:r>
      <w:r>
        <w:rPr>
          <w:spacing w:val="-3"/>
        </w:rPr>
        <w:t xml:space="preserve"> </w:t>
      </w:r>
      <w:r>
        <w:t>activity</w:t>
      </w:r>
      <w:r>
        <w:rPr>
          <w:spacing w:val="-2"/>
        </w:rPr>
        <w:t xml:space="preserve"> </w:t>
      </w:r>
      <w:r>
        <w:t>and</w:t>
      </w:r>
      <w:r>
        <w:rPr>
          <w:spacing w:val="-2"/>
        </w:rPr>
        <w:t xml:space="preserve"> </w:t>
      </w:r>
      <w:r>
        <w:t xml:space="preserve">responses from participants were very positive, the MTR found that there was no reporting line or governance connecting the program with the CA2J stream of work, and limited links to community and justice activities. The World Vision program is largely faith-based and draws on moral obligations in line with biblical teachings. The MTR team was unable to ascertain the approach and messaging the program was delivering and whether it aligned with best practice in this area. The CA2J team is not resourced to provide supervision for a grants program alongside the expanding AP program. This reflects the limited nature of the grants program, which did not include resources for supervision. There are key opportunities for VAPJP to ensure joined-up messaging in such initiatives moving </w:t>
      </w:r>
      <w:r>
        <w:rPr>
          <w:spacing w:val="-2"/>
        </w:rPr>
        <w:t>forward.</w:t>
      </w:r>
    </w:p>
    <w:p w14:paraId="61C68B1D" w14:textId="77777777" w:rsidR="009C36E3" w:rsidRDefault="009C36E3">
      <w:pPr>
        <w:sectPr w:rsidR="009C36E3">
          <w:pgSz w:w="11910" w:h="16850"/>
          <w:pgMar w:top="1040" w:right="740" w:bottom="740" w:left="80" w:header="552" w:footer="559" w:gutter="0"/>
          <w:cols w:space="720"/>
        </w:sectPr>
      </w:pPr>
    </w:p>
    <w:p w14:paraId="18D3CA1A" w14:textId="77777777" w:rsidR="009C36E3" w:rsidRDefault="000E7207">
      <w:pPr>
        <w:pStyle w:val="BodyText"/>
        <w:spacing w:before="91"/>
        <w:ind w:right="167"/>
      </w:pPr>
      <w:r>
        <w:t>The CA2J team has also carried out work with male parolees and male and female detainees with positive feedback</w:t>
      </w:r>
      <w:r>
        <w:rPr>
          <w:spacing w:val="-3"/>
        </w:rPr>
        <w:t xml:space="preserve"> </w:t>
      </w:r>
      <w:r>
        <w:t>provided</w:t>
      </w:r>
      <w:r>
        <w:rPr>
          <w:spacing w:val="-2"/>
        </w:rPr>
        <w:t xml:space="preserve"> </w:t>
      </w:r>
      <w:r>
        <w:t>in</w:t>
      </w:r>
      <w:r>
        <w:rPr>
          <w:spacing w:val="-2"/>
        </w:rPr>
        <w:t xml:space="preserve"> </w:t>
      </w:r>
      <w:r>
        <w:t>a</w:t>
      </w:r>
      <w:r>
        <w:rPr>
          <w:spacing w:val="-4"/>
        </w:rPr>
        <w:t xml:space="preserve"> </w:t>
      </w:r>
      <w:r>
        <w:t>discussion</w:t>
      </w:r>
      <w:r>
        <w:rPr>
          <w:spacing w:val="-4"/>
        </w:rPr>
        <w:t xml:space="preserve"> </w:t>
      </w:r>
      <w:r>
        <w:t>with</w:t>
      </w:r>
      <w:r>
        <w:rPr>
          <w:spacing w:val="-2"/>
        </w:rPr>
        <w:t xml:space="preserve"> </w:t>
      </w:r>
      <w:r>
        <w:t>two</w:t>
      </w:r>
      <w:r>
        <w:rPr>
          <w:spacing w:val="-1"/>
        </w:rPr>
        <w:t xml:space="preserve"> </w:t>
      </w:r>
      <w:r>
        <w:t>parolee</w:t>
      </w:r>
      <w:r>
        <w:rPr>
          <w:spacing w:val="-2"/>
        </w:rPr>
        <w:t xml:space="preserve"> </w:t>
      </w:r>
      <w:r>
        <w:t>participants.</w:t>
      </w:r>
      <w:r>
        <w:rPr>
          <w:spacing w:val="-4"/>
        </w:rPr>
        <w:t xml:space="preserve"> </w:t>
      </w:r>
      <w:r>
        <w:t>The</w:t>
      </w:r>
      <w:r>
        <w:rPr>
          <w:spacing w:val="-4"/>
        </w:rPr>
        <w:t xml:space="preserve"> </w:t>
      </w:r>
      <w:r>
        <w:t>participants</w:t>
      </w:r>
      <w:r>
        <w:rPr>
          <w:spacing w:val="-3"/>
        </w:rPr>
        <w:t xml:space="preserve"> </w:t>
      </w:r>
      <w:r>
        <w:t>said</w:t>
      </w:r>
      <w:r>
        <w:rPr>
          <w:spacing w:val="-2"/>
        </w:rPr>
        <w:t xml:space="preserve"> </w:t>
      </w:r>
      <w:r>
        <w:t>they</w:t>
      </w:r>
      <w:r>
        <w:rPr>
          <w:spacing w:val="-3"/>
        </w:rPr>
        <w:t xml:space="preserve"> </w:t>
      </w:r>
      <w:r>
        <w:t>would</w:t>
      </w:r>
      <w:r>
        <w:rPr>
          <w:spacing w:val="-4"/>
        </w:rPr>
        <w:t xml:space="preserve"> </w:t>
      </w:r>
      <w:r>
        <w:t>recommend</w:t>
      </w:r>
      <w:r>
        <w:rPr>
          <w:spacing w:val="-2"/>
        </w:rPr>
        <w:t xml:space="preserve"> </w:t>
      </w:r>
      <w:r>
        <w:t>the training to others, with one noting that:</w:t>
      </w:r>
    </w:p>
    <w:p w14:paraId="0FFD16DF" w14:textId="77777777" w:rsidR="009C36E3" w:rsidRDefault="000E7207">
      <w:pPr>
        <w:pStyle w:val="BodyText"/>
        <w:spacing w:before="121"/>
        <w:ind w:right="120"/>
      </w:pPr>
      <w:r>
        <w:t>to</w:t>
      </w:r>
      <w:r>
        <w:rPr>
          <w:spacing w:val="-3"/>
        </w:rPr>
        <w:t xml:space="preserve"> </w:t>
      </w:r>
      <w:r>
        <w:t>stop</w:t>
      </w:r>
      <w:r>
        <w:rPr>
          <w:spacing w:val="-3"/>
        </w:rPr>
        <w:t xml:space="preserve"> </w:t>
      </w:r>
      <w:r>
        <w:t>violence,</w:t>
      </w:r>
      <w:r>
        <w:rPr>
          <w:spacing w:val="-1"/>
        </w:rPr>
        <w:t xml:space="preserve"> </w:t>
      </w:r>
      <w:r>
        <w:t>we</w:t>
      </w:r>
      <w:r>
        <w:rPr>
          <w:spacing w:val="-1"/>
        </w:rPr>
        <w:t xml:space="preserve"> </w:t>
      </w:r>
      <w:r>
        <w:t>must</w:t>
      </w:r>
      <w:r>
        <w:rPr>
          <w:spacing w:val="-3"/>
        </w:rPr>
        <w:t xml:space="preserve"> </w:t>
      </w:r>
      <w:r>
        <w:t>start</w:t>
      </w:r>
      <w:r>
        <w:rPr>
          <w:spacing w:val="-3"/>
        </w:rPr>
        <w:t xml:space="preserve"> </w:t>
      </w:r>
      <w:r>
        <w:t>training</w:t>
      </w:r>
      <w:r>
        <w:rPr>
          <w:spacing w:val="-1"/>
        </w:rPr>
        <w:t xml:space="preserve"> </w:t>
      </w:r>
      <w:r>
        <w:t>in</w:t>
      </w:r>
      <w:r>
        <w:rPr>
          <w:spacing w:val="-3"/>
        </w:rPr>
        <w:t xml:space="preserve"> </w:t>
      </w:r>
      <w:r>
        <w:t>the</w:t>
      </w:r>
      <w:r>
        <w:rPr>
          <w:spacing w:val="-3"/>
        </w:rPr>
        <w:t xml:space="preserve"> </w:t>
      </w:r>
      <w:r>
        <w:t>village,</w:t>
      </w:r>
      <w:r>
        <w:rPr>
          <w:spacing w:val="-3"/>
        </w:rPr>
        <w:t xml:space="preserve"> </w:t>
      </w:r>
      <w:r>
        <w:t>because</w:t>
      </w:r>
      <w:r>
        <w:rPr>
          <w:spacing w:val="-3"/>
        </w:rPr>
        <w:t xml:space="preserve"> </w:t>
      </w:r>
      <w:r>
        <w:t>violence</w:t>
      </w:r>
      <w:r>
        <w:rPr>
          <w:spacing w:val="-3"/>
        </w:rPr>
        <w:t xml:space="preserve"> </w:t>
      </w:r>
      <w:r>
        <w:t>did</w:t>
      </w:r>
      <w:r>
        <w:rPr>
          <w:spacing w:val="-1"/>
        </w:rPr>
        <w:t xml:space="preserve"> </w:t>
      </w:r>
      <w:r>
        <w:t>not</w:t>
      </w:r>
      <w:r>
        <w:rPr>
          <w:spacing w:val="-3"/>
        </w:rPr>
        <w:t xml:space="preserve"> </w:t>
      </w:r>
      <w:r>
        <w:t>come</w:t>
      </w:r>
      <w:r>
        <w:rPr>
          <w:spacing w:val="-3"/>
        </w:rPr>
        <w:t xml:space="preserve"> </w:t>
      </w:r>
      <w:r>
        <w:t>from</w:t>
      </w:r>
      <w:r>
        <w:rPr>
          <w:spacing w:val="-3"/>
        </w:rPr>
        <w:t xml:space="preserve"> </w:t>
      </w:r>
      <w:r>
        <w:t>the</w:t>
      </w:r>
      <w:r>
        <w:rPr>
          <w:spacing w:val="-3"/>
        </w:rPr>
        <w:t xml:space="preserve"> </w:t>
      </w:r>
      <w:r>
        <w:t>jail,</w:t>
      </w:r>
      <w:r>
        <w:rPr>
          <w:spacing w:val="-3"/>
        </w:rPr>
        <w:t xml:space="preserve"> </w:t>
      </w:r>
      <w:r>
        <w:t>we</w:t>
      </w:r>
      <w:r>
        <w:rPr>
          <w:spacing w:val="-3"/>
        </w:rPr>
        <w:t xml:space="preserve"> </w:t>
      </w:r>
      <w:r>
        <w:t>deal</w:t>
      </w:r>
      <w:r>
        <w:rPr>
          <w:spacing w:val="-2"/>
        </w:rPr>
        <w:t xml:space="preserve"> </w:t>
      </w:r>
      <w:r>
        <w:t>with</w:t>
      </w:r>
      <w:r>
        <w:rPr>
          <w:spacing w:val="-3"/>
        </w:rPr>
        <w:t xml:space="preserve"> </w:t>
      </w:r>
      <w:r>
        <w:t>the fire in the jail but the real problem is in the village- that is where we need to start our work.</w:t>
      </w:r>
    </w:p>
    <w:p w14:paraId="7B63312A" w14:textId="77777777" w:rsidR="009C36E3" w:rsidRDefault="000E7207">
      <w:pPr>
        <w:pStyle w:val="BodyText"/>
        <w:spacing w:before="121"/>
      </w:pPr>
      <w:r>
        <w:t>They</w:t>
      </w:r>
      <w:r>
        <w:rPr>
          <w:spacing w:val="-5"/>
        </w:rPr>
        <w:t xml:space="preserve"> </w:t>
      </w:r>
      <w:r>
        <w:t>went</w:t>
      </w:r>
      <w:r>
        <w:rPr>
          <w:spacing w:val="-3"/>
        </w:rPr>
        <w:t xml:space="preserve"> </w:t>
      </w:r>
      <w:r>
        <w:t>on</w:t>
      </w:r>
      <w:r>
        <w:rPr>
          <w:spacing w:val="-4"/>
        </w:rPr>
        <w:t xml:space="preserve"> </w:t>
      </w:r>
      <w:r>
        <w:t>to</w:t>
      </w:r>
      <w:r>
        <w:rPr>
          <w:spacing w:val="-5"/>
        </w:rPr>
        <w:t xml:space="preserve"> </w:t>
      </w:r>
      <w:r>
        <w:t>note</w:t>
      </w:r>
      <w:r>
        <w:rPr>
          <w:spacing w:val="-4"/>
        </w:rPr>
        <w:t xml:space="preserve"> that:</w:t>
      </w:r>
    </w:p>
    <w:p w14:paraId="27621564" w14:textId="77777777" w:rsidR="009C36E3" w:rsidRDefault="000E7207" w:rsidP="00677787">
      <w:pPr>
        <w:pStyle w:val="BodyText"/>
        <w:spacing w:before="118" w:after="360"/>
        <w:rPr>
          <w:spacing w:val="-2"/>
        </w:rPr>
      </w:pPr>
      <w:r>
        <w:t>Our</w:t>
      </w:r>
      <w:r>
        <w:rPr>
          <w:spacing w:val="-2"/>
        </w:rPr>
        <w:t xml:space="preserve"> </w:t>
      </w:r>
      <w:r>
        <w:t>experience</w:t>
      </w:r>
      <w:r>
        <w:rPr>
          <w:spacing w:val="-3"/>
        </w:rPr>
        <w:t xml:space="preserve"> </w:t>
      </w:r>
      <w:r>
        <w:t>in</w:t>
      </w:r>
      <w:r>
        <w:rPr>
          <w:spacing w:val="-3"/>
        </w:rPr>
        <w:t xml:space="preserve"> </w:t>
      </w:r>
      <w:r>
        <w:t>the</w:t>
      </w:r>
      <w:r>
        <w:rPr>
          <w:spacing w:val="-3"/>
        </w:rPr>
        <w:t xml:space="preserve"> </w:t>
      </w:r>
      <w:r>
        <w:t>community</w:t>
      </w:r>
      <w:r>
        <w:rPr>
          <w:spacing w:val="-2"/>
        </w:rPr>
        <w:t xml:space="preserve"> </w:t>
      </w:r>
      <w:r>
        <w:t>and</w:t>
      </w:r>
      <w:r>
        <w:rPr>
          <w:spacing w:val="-3"/>
        </w:rPr>
        <w:t xml:space="preserve"> </w:t>
      </w:r>
      <w:r>
        <w:t>with</w:t>
      </w:r>
      <w:r>
        <w:rPr>
          <w:spacing w:val="-3"/>
        </w:rPr>
        <w:t xml:space="preserve"> </w:t>
      </w:r>
      <w:r>
        <w:t>family</w:t>
      </w:r>
      <w:r>
        <w:rPr>
          <w:spacing w:val="-2"/>
        </w:rPr>
        <w:t xml:space="preserve"> </w:t>
      </w:r>
      <w:r>
        <w:t>after attending</w:t>
      </w:r>
      <w:r>
        <w:rPr>
          <w:spacing w:val="-3"/>
        </w:rPr>
        <w:t xml:space="preserve"> </w:t>
      </w:r>
      <w:r>
        <w:t>the</w:t>
      </w:r>
      <w:r>
        <w:rPr>
          <w:spacing w:val="-3"/>
        </w:rPr>
        <w:t xml:space="preserve"> </w:t>
      </w:r>
      <w:r>
        <w:t>training</w:t>
      </w:r>
      <w:r>
        <w:rPr>
          <w:spacing w:val="-3"/>
        </w:rPr>
        <w:t xml:space="preserve"> </w:t>
      </w:r>
      <w:r>
        <w:t>is</w:t>
      </w:r>
      <w:r>
        <w:rPr>
          <w:spacing w:val="-2"/>
        </w:rPr>
        <w:t xml:space="preserve"> </w:t>
      </w:r>
      <w:r>
        <w:t>a</w:t>
      </w:r>
      <w:r>
        <w:rPr>
          <w:spacing w:val="-1"/>
        </w:rPr>
        <w:t xml:space="preserve"> </w:t>
      </w:r>
      <w:r>
        <w:t>testimony</w:t>
      </w:r>
      <w:r>
        <w:rPr>
          <w:spacing w:val="-2"/>
        </w:rPr>
        <w:t xml:space="preserve"> </w:t>
      </w:r>
      <w:r>
        <w:t>that</w:t>
      </w:r>
      <w:r>
        <w:rPr>
          <w:spacing w:val="-3"/>
        </w:rPr>
        <w:t xml:space="preserve"> </w:t>
      </w:r>
      <w:r>
        <w:t>this</w:t>
      </w:r>
      <w:r>
        <w:rPr>
          <w:spacing w:val="-2"/>
        </w:rPr>
        <w:t xml:space="preserve"> </w:t>
      </w:r>
      <w:r>
        <w:t>training</w:t>
      </w:r>
      <w:r>
        <w:rPr>
          <w:spacing w:val="-1"/>
        </w:rPr>
        <w:t xml:space="preserve"> </w:t>
      </w:r>
      <w:r>
        <w:t>is effective…this</w:t>
      </w:r>
      <w:r>
        <w:rPr>
          <w:spacing w:val="-6"/>
        </w:rPr>
        <w:t xml:space="preserve"> </w:t>
      </w:r>
      <w:r>
        <w:t>training</w:t>
      </w:r>
      <w:r>
        <w:rPr>
          <w:spacing w:val="-6"/>
        </w:rPr>
        <w:t xml:space="preserve"> </w:t>
      </w:r>
      <w:r>
        <w:t>should</w:t>
      </w:r>
      <w:r>
        <w:rPr>
          <w:spacing w:val="-4"/>
        </w:rPr>
        <w:t xml:space="preserve"> </w:t>
      </w:r>
      <w:r>
        <w:t>not</w:t>
      </w:r>
      <w:r>
        <w:rPr>
          <w:spacing w:val="-4"/>
        </w:rPr>
        <w:t xml:space="preserve"> </w:t>
      </w:r>
      <w:r>
        <w:t>only</w:t>
      </w:r>
      <w:r>
        <w:rPr>
          <w:spacing w:val="-5"/>
        </w:rPr>
        <w:t xml:space="preserve"> </w:t>
      </w:r>
      <w:r>
        <w:t>be</w:t>
      </w:r>
      <w:r>
        <w:rPr>
          <w:spacing w:val="-4"/>
        </w:rPr>
        <w:t xml:space="preserve"> </w:t>
      </w:r>
      <w:r>
        <w:t>at</w:t>
      </w:r>
      <w:r>
        <w:rPr>
          <w:spacing w:val="-6"/>
        </w:rPr>
        <w:t xml:space="preserve"> </w:t>
      </w:r>
      <w:r>
        <w:t>prison</w:t>
      </w:r>
      <w:r>
        <w:rPr>
          <w:spacing w:val="-6"/>
        </w:rPr>
        <w:t xml:space="preserve"> </w:t>
      </w:r>
      <w:r>
        <w:t>house</w:t>
      </w:r>
      <w:r>
        <w:rPr>
          <w:spacing w:val="-6"/>
        </w:rPr>
        <w:t xml:space="preserve"> </w:t>
      </w:r>
      <w:r>
        <w:t>for</w:t>
      </w:r>
      <w:r>
        <w:rPr>
          <w:spacing w:val="-5"/>
        </w:rPr>
        <w:t xml:space="preserve"> </w:t>
      </w:r>
      <w:r>
        <w:t>parolees,</w:t>
      </w:r>
      <w:r>
        <w:rPr>
          <w:spacing w:val="-6"/>
        </w:rPr>
        <w:t xml:space="preserve"> </w:t>
      </w:r>
      <w:r>
        <w:t>but</w:t>
      </w:r>
      <w:r>
        <w:rPr>
          <w:spacing w:val="-6"/>
        </w:rPr>
        <w:t xml:space="preserve"> </w:t>
      </w:r>
      <w:r>
        <w:t>it</w:t>
      </w:r>
      <w:r>
        <w:rPr>
          <w:spacing w:val="-6"/>
        </w:rPr>
        <w:t xml:space="preserve"> </w:t>
      </w:r>
      <w:r>
        <w:t>should</w:t>
      </w:r>
      <w:r>
        <w:rPr>
          <w:spacing w:val="-5"/>
        </w:rPr>
        <w:t xml:space="preserve"> </w:t>
      </w:r>
      <w:r>
        <w:t>also</w:t>
      </w:r>
      <w:r>
        <w:rPr>
          <w:spacing w:val="-4"/>
        </w:rPr>
        <w:t xml:space="preserve"> </w:t>
      </w:r>
      <w:r>
        <w:t>be</w:t>
      </w:r>
      <w:r>
        <w:rPr>
          <w:spacing w:val="-6"/>
        </w:rPr>
        <w:t xml:space="preserve"> </w:t>
      </w:r>
      <w:r>
        <w:t>for</w:t>
      </w:r>
      <w:r>
        <w:rPr>
          <w:spacing w:val="-5"/>
        </w:rPr>
        <w:t xml:space="preserve"> </w:t>
      </w:r>
      <w:r>
        <w:t>every</w:t>
      </w:r>
      <w:r>
        <w:rPr>
          <w:spacing w:val="-5"/>
        </w:rPr>
        <w:t xml:space="preserve"> </w:t>
      </w:r>
      <w:r>
        <w:rPr>
          <w:spacing w:val="-2"/>
        </w:rPr>
        <w:t>people.</w:t>
      </w:r>
    </w:p>
    <w:p w14:paraId="61161FFF" w14:textId="77777777" w:rsidR="00802B5D" w:rsidRPr="00364730" w:rsidRDefault="00802B5D" w:rsidP="00DC7C06">
      <w:pPr>
        <w:pBdr>
          <w:top w:val="single" w:sz="4" w:space="1" w:color="007B92"/>
          <w:left w:val="single" w:sz="4" w:space="4" w:color="007B92"/>
          <w:bottom w:val="single" w:sz="4" w:space="0" w:color="007B92"/>
          <w:right w:val="single" w:sz="4" w:space="4" w:color="007B92"/>
        </w:pBdr>
        <w:shd w:val="clear" w:color="auto" w:fill="007B92"/>
        <w:spacing w:before="118"/>
        <w:ind w:left="771"/>
        <w:rPr>
          <w:b/>
          <w:color w:val="FFFFFF" w:themeColor="background1"/>
          <w:spacing w:val="-2"/>
          <w:sz w:val="20"/>
        </w:rPr>
      </w:pPr>
      <w:r w:rsidRPr="00364730">
        <w:rPr>
          <w:b/>
          <w:color w:val="FFFFFF" w:themeColor="background1"/>
          <w:sz w:val="20"/>
        </w:rPr>
        <w:t>Case</w:t>
      </w:r>
      <w:r w:rsidRPr="00364730">
        <w:rPr>
          <w:b/>
          <w:color w:val="FFFFFF" w:themeColor="background1"/>
          <w:spacing w:val="-8"/>
          <w:sz w:val="20"/>
        </w:rPr>
        <w:t xml:space="preserve"> </w:t>
      </w:r>
      <w:r w:rsidRPr="00364730">
        <w:rPr>
          <w:b/>
          <w:color w:val="FFFFFF" w:themeColor="background1"/>
          <w:sz w:val="20"/>
        </w:rPr>
        <w:t>Study:</w:t>
      </w:r>
      <w:r w:rsidRPr="00364730">
        <w:rPr>
          <w:b/>
          <w:color w:val="FFFFFF" w:themeColor="background1"/>
          <w:spacing w:val="-9"/>
          <w:sz w:val="20"/>
        </w:rPr>
        <w:t xml:space="preserve"> </w:t>
      </w:r>
      <w:r w:rsidRPr="00364730">
        <w:rPr>
          <w:b/>
          <w:color w:val="FFFFFF" w:themeColor="background1"/>
          <w:sz w:val="20"/>
        </w:rPr>
        <w:t>Women’s</w:t>
      </w:r>
      <w:r w:rsidRPr="00364730">
        <w:rPr>
          <w:b/>
          <w:color w:val="FFFFFF" w:themeColor="background1"/>
          <w:spacing w:val="-8"/>
          <w:sz w:val="20"/>
        </w:rPr>
        <w:t xml:space="preserve"> </w:t>
      </w:r>
      <w:r w:rsidRPr="00364730">
        <w:rPr>
          <w:b/>
          <w:color w:val="FFFFFF" w:themeColor="background1"/>
          <w:sz w:val="20"/>
        </w:rPr>
        <w:t>Advisory</w:t>
      </w:r>
      <w:r w:rsidRPr="00364730">
        <w:rPr>
          <w:b/>
          <w:color w:val="FFFFFF" w:themeColor="background1"/>
          <w:spacing w:val="-10"/>
          <w:sz w:val="20"/>
        </w:rPr>
        <w:t xml:space="preserve"> </w:t>
      </w:r>
      <w:r w:rsidRPr="00364730">
        <w:rPr>
          <w:b/>
          <w:color w:val="FFFFFF" w:themeColor="background1"/>
          <w:sz w:val="20"/>
        </w:rPr>
        <w:t>Network</w:t>
      </w:r>
      <w:r w:rsidRPr="00364730">
        <w:rPr>
          <w:b/>
          <w:color w:val="FFFFFF" w:themeColor="background1"/>
          <w:spacing w:val="-8"/>
          <w:sz w:val="20"/>
        </w:rPr>
        <w:t xml:space="preserve"> </w:t>
      </w:r>
      <w:r w:rsidRPr="00364730">
        <w:rPr>
          <w:b/>
          <w:color w:val="FFFFFF" w:themeColor="background1"/>
          <w:spacing w:val="-2"/>
          <w:sz w:val="20"/>
        </w:rPr>
        <w:t>(WAN)</w:t>
      </w:r>
    </w:p>
    <w:p w14:paraId="28D65161" w14:textId="77777777" w:rsidR="00802B5D" w:rsidRPr="00C760A4" w:rsidRDefault="00802B5D" w:rsidP="00DC7C06">
      <w:pPr>
        <w:pBdr>
          <w:top w:val="single" w:sz="4" w:space="1" w:color="007B92"/>
          <w:left w:val="single" w:sz="4" w:space="4" w:color="007B92"/>
          <w:bottom w:val="single" w:sz="4" w:space="0" w:color="007B92"/>
          <w:right w:val="single" w:sz="4" w:space="4" w:color="007B92"/>
        </w:pBdr>
        <w:shd w:val="clear" w:color="auto" w:fill="007B92"/>
        <w:spacing w:before="118"/>
        <w:ind w:left="771"/>
        <w:rPr>
          <w:bCs/>
          <w:color w:val="FFFFFF" w:themeColor="background1"/>
          <w:spacing w:val="-2"/>
          <w:sz w:val="20"/>
        </w:rPr>
      </w:pPr>
      <w:r w:rsidRPr="00C760A4">
        <w:rPr>
          <w:bCs/>
          <w:color w:val="FFFFFF" w:themeColor="background1"/>
          <w:spacing w:val="-2"/>
          <w:sz w:val="20"/>
        </w:rPr>
        <w:t xml:space="preserve">The Women’s Advisory Network was established around 2002 and in Port Vila it is active and dynamic, run by a highly impressive cohort of women VPF with a strong vision for change and goals to drive action. Crucially, the WAN enjoys the support of the COMPOL and meet him regularly, and the WAN is mentioned in the VPF Strategic Plan 2022-2027. WAN members interviewed value the support of the PC-P </w:t>
      </w:r>
      <w:r w:rsidRPr="00C760A4">
        <w:rPr>
          <w:bCs/>
          <w:i/>
          <w:color w:val="FFFFFF" w:themeColor="background1"/>
          <w:spacing w:val="-2"/>
          <w:sz w:val="20"/>
        </w:rPr>
        <w:t>“She’s AMAZING!”</w:t>
      </w:r>
      <w:r w:rsidRPr="00C760A4">
        <w:rPr>
          <w:bCs/>
          <w:color w:val="FFFFFF" w:themeColor="background1"/>
          <w:spacing w:val="-2"/>
          <w:sz w:val="20"/>
        </w:rPr>
        <w:t>, who advocates for and mentors them, and are sorry that she is leaving (“</w:t>
      </w:r>
      <w:r w:rsidRPr="00C760A4">
        <w:rPr>
          <w:bCs/>
          <w:i/>
          <w:color w:val="FFFFFF" w:themeColor="background1"/>
          <w:spacing w:val="-2"/>
          <w:sz w:val="20"/>
        </w:rPr>
        <w:t>I feel like crying”</w:t>
      </w:r>
      <w:r w:rsidRPr="00C760A4">
        <w:rPr>
          <w:bCs/>
          <w:color w:val="FFFFFF" w:themeColor="background1"/>
          <w:spacing w:val="-2"/>
          <w:sz w:val="20"/>
        </w:rPr>
        <w:t>).</w:t>
      </w:r>
    </w:p>
    <w:p w14:paraId="40FCC49D" w14:textId="77777777" w:rsidR="00802B5D" w:rsidRPr="00C760A4" w:rsidRDefault="00802B5D" w:rsidP="00DC7C06">
      <w:pPr>
        <w:pBdr>
          <w:top w:val="single" w:sz="4" w:space="1" w:color="007B92"/>
          <w:left w:val="single" w:sz="4" w:space="4" w:color="007B92"/>
          <w:bottom w:val="single" w:sz="4" w:space="0" w:color="007B92"/>
          <w:right w:val="single" w:sz="4" w:space="4" w:color="007B92"/>
        </w:pBdr>
        <w:shd w:val="clear" w:color="auto" w:fill="007B92"/>
        <w:spacing w:before="118"/>
        <w:ind w:left="771"/>
        <w:rPr>
          <w:bCs/>
          <w:color w:val="FFFFFF" w:themeColor="background1"/>
          <w:spacing w:val="-2"/>
          <w:sz w:val="20"/>
        </w:rPr>
      </w:pPr>
      <w:r w:rsidRPr="00C760A4">
        <w:rPr>
          <w:bCs/>
          <w:color w:val="FFFFFF" w:themeColor="background1"/>
          <w:spacing w:val="-2"/>
          <w:sz w:val="20"/>
        </w:rPr>
        <w:t>It is notable that the WAN members and executives carry out their WAN activities on top of their other busy roles. They were required to buy their own tickets to attend the Tanna WAN meeting in August 2023, whereas male officers who were invited to attend were provided with tickets and their expenses covered. While the AFP states this was a strategic decision, the MTR team believes it is not only unfair, but also highlights how important and challenging it is for the WAN to secure the support of male champions. The MTR heard that, unlike in Port Vila, the VPF leadership in Luganville, was less supportive of the WAN and that there were tensions between WAN members that undermined its objectives.</w:t>
      </w:r>
    </w:p>
    <w:p w14:paraId="3C0F94BA" w14:textId="77777777" w:rsidR="00802B5D" w:rsidRPr="00C760A4" w:rsidRDefault="00802B5D" w:rsidP="00DC7C06">
      <w:pPr>
        <w:pBdr>
          <w:top w:val="single" w:sz="4" w:space="1" w:color="007B92"/>
          <w:left w:val="single" w:sz="4" w:space="4" w:color="007B92"/>
          <w:bottom w:val="single" w:sz="4" w:space="0" w:color="007B92"/>
          <w:right w:val="single" w:sz="4" w:space="4" w:color="007B92"/>
        </w:pBdr>
        <w:shd w:val="clear" w:color="auto" w:fill="007B92"/>
        <w:spacing w:before="118"/>
        <w:ind w:left="771"/>
        <w:rPr>
          <w:bCs/>
          <w:color w:val="FFFFFF" w:themeColor="background1"/>
          <w:spacing w:val="-2"/>
          <w:sz w:val="20"/>
        </w:rPr>
      </w:pPr>
      <w:r w:rsidRPr="00C760A4">
        <w:rPr>
          <w:bCs/>
          <w:color w:val="FFFFFF" w:themeColor="background1"/>
          <w:spacing w:val="-2"/>
          <w:sz w:val="20"/>
        </w:rPr>
        <w:t>The WAN has seen significant improvements such as the increase of women recruited to the VPF (around 30% of the last year’s intake were women, which is comparable with Australia); improved confidence and ‘courage’ among women; and greater professional development and leadership opportunities. Significant levels of discrimination remain, but the WAN carry out high-level advocacy, awareness raising and support that enables them to keep chipping away at the barriers, if they receive adequate resourcing and support from leadership.</w:t>
      </w:r>
    </w:p>
    <w:p w14:paraId="3CC9674E" w14:textId="77777777" w:rsidR="00802B5D" w:rsidRPr="00C760A4" w:rsidRDefault="00802B5D" w:rsidP="00DC7C06">
      <w:pPr>
        <w:pBdr>
          <w:top w:val="single" w:sz="4" w:space="1" w:color="007B92"/>
          <w:left w:val="single" w:sz="4" w:space="4" w:color="007B92"/>
          <w:bottom w:val="single" w:sz="4" w:space="0" w:color="007B92"/>
          <w:right w:val="single" w:sz="4" w:space="4" w:color="007B92"/>
        </w:pBdr>
        <w:shd w:val="clear" w:color="auto" w:fill="007B92"/>
        <w:spacing w:before="118"/>
        <w:ind w:left="771"/>
        <w:rPr>
          <w:b/>
          <w:color w:val="000000" w:themeColor="text1"/>
          <w:spacing w:val="-2"/>
          <w:sz w:val="20"/>
        </w:rPr>
      </w:pPr>
      <w:r w:rsidRPr="00C760A4">
        <w:rPr>
          <w:bCs/>
          <w:color w:val="FFFFFF" w:themeColor="background1"/>
          <w:spacing w:val="-2"/>
          <w:sz w:val="20"/>
        </w:rPr>
        <w:t>The WAN report that they have also been able to improve the way the VPF interacts with women in communities, such as adopting conventions on the rights of women which prevent male officers searching female victims of crime.</w:t>
      </w:r>
    </w:p>
    <w:p w14:paraId="2150354F" w14:textId="77777777" w:rsidR="00E36DAA" w:rsidRDefault="00E36DAA">
      <w:pPr>
        <w:rPr>
          <w:rFonts w:ascii="Source Sans Pro" w:eastAsia="Source Sans Pro" w:hAnsi="Source Sans Pro" w:cs="Source Sans Pro"/>
          <w:b/>
          <w:bCs/>
          <w:color w:val="007B92"/>
        </w:rPr>
      </w:pPr>
      <w:r>
        <w:rPr>
          <w:color w:val="007B92"/>
        </w:rPr>
        <w:br w:type="page"/>
      </w:r>
    </w:p>
    <w:p w14:paraId="44C9E186" w14:textId="6CEB7E11" w:rsidR="009C36E3" w:rsidRDefault="000E7207">
      <w:pPr>
        <w:pStyle w:val="Heading6"/>
        <w:numPr>
          <w:ilvl w:val="2"/>
          <w:numId w:val="33"/>
        </w:numPr>
        <w:tabs>
          <w:tab w:val="left" w:pos="1491"/>
        </w:tabs>
        <w:spacing w:before="90"/>
        <w:ind w:left="1491" w:hanging="719"/>
      </w:pPr>
      <w:r>
        <w:rPr>
          <w:color w:val="007B92"/>
        </w:rPr>
        <w:t>Monitoring,</w:t>
      </w:r>
      <w:r>
        <w:rPr>
          <w:color w:val="007B92"/>
          <w:spacing w:val="-8"/>
        </w:rPr>
        <w:t xml:space="preserve"> </w:t>
      </w:r>
      <w:r>
        <w:rPr>
          <w:color w:val="007B92"/>
        </w:rPr>
        <w:t>Evaluation,</w:t>
      </w:r>
      <w:r>
        <w:rPr>
          <w:color w:val="007B92"/>
          <w:spacing w:val="-8"/>
        </w:rPr>
        <w:t xml:space="preserve"> </w:t>
      </w:r>
      <w:r>
        <w:rPr>
          <w:color w:val="007B92"/>
        </w:rPr>
        <w:t>Research</w:t>
      </w:r>
      <w:r>
        <w:rPr>
          <w:color w:val="007B92"/>
          <w:spacing w:val="-8"/>
        </w:rPr>
        <w:t xml:space="preserve"> </w:t>
      </w:r>
      <w:r>
        <w:rPr>
          <w:color w:val="007B92"/>
        </w:rPr>
        <w:t>and</w:t>
      </w:r>
      <w:r>
        <w:rPr>
          <w:color w:val="007B92"/>
          <w:spacing w:val="-6"/>
        </w:rPr>
        <w:t xml:space="preserve"> </w:t>
      </w:r>
      <w:r>
        <w:rPr>
          <w:color w:val="007B92"/>
        </w:rPr>
        <w:t>Learning</w:t>
      </w:r>
      <w:r>
        <w:rPr>
          <w:color w:val="007B92"/>
          <w:spacing w:val="-7"/>
        </w:rPr>
        <w:t xml:space="preserve"> </w:t>
      </w:r>
      <w:r>
        <w:rPr>
          <w:color w:val="007B92"/>
          <w:spacing w:val="-2"/>
        </w:rPr>
        <w:t>Framework</w:t>
      </w:r>
    </w:p>
    <w:p w14:paraId="0FDDA30E" w14:textId="77777777" w:rsidR="009C36E3" w:rsidRDefault="000E7207">
      <w:pPr>
        <w:spacing w:before="122"/>
        <w:ind w:left="771"/>
        <w:rPr>
          <w:sz w:val="20"/>
        </w:rPr>
      </w:pPr>
      <w:r>
        <w:rPr>
          <w:sz w:val="20"/>
        </w:rPr>
        <w:t>This</w:t>
      </w:r>
      <w:r>
        <w:rPr>
          <w:spacing w:val="-3"/>
          <w:sz w:val="20"/>
        </w:rPr>
        <w:t xml:space="preserve"> </w:t>
      </w:r>
      <w:r>
        <w:rPr>
          <w:sz w:val="20"/>
        </w:rPr>
        <w:t>subsection</w:t>
      </w:r>
      <w:r>
        <w:rPr>
          <w:spacing w:val="-2"/>
          <w:sz w:val="20"/>
        </w:rPr>
        <w:t xml:space="preserve"> </w:t>
      </w:r>
      <w:r>
        <w:rPr>
          <w:sz w:val="20"/>
        </w:rPr>
        <w:t>addresses</w:t>
      </w:r>
      <w:r>
        <w:rPr>
          <w:spacing w:val="-1"/>
          <w:sz w:val="20"/>
        </w:rPr>
        <w:t xml:space="preserve"> </w:t>
      </w:r>
      <w:r>
        <w:rPr>
          <w:b/>
          <w:sz w:val="20"/>
        </w:rPr>
        <w:t>KRQ</w:t>
      </w:r>
      <w:r>
        <w:rPr>
          <w:b/>
          <w:spacing w:val="-3"/>
          <w:sz w:val="20"/>
        </w:rPr>
        <w:t xml:space="preserve"> </w:t>
      </w:r>
      <w:r>
        <w:rPr>
          <w:b/>
          <w:sz w:val="20"/>
        </w:rPr>
        <w:t>1.3</w:t>
      </w:r>
      <w:r>
        <w:rPr>
          <w:b/>
          <w:spacing w:val="-2"/>
          <w:sz w:val="20"/>
        </w:rPr>
        <w:t xml:space="preserve"> </w:t>
      </w:r>
      <w:r>
        <w:rPr>
          <w:b/>
          <w:sz w:val="20"/>
        </w:rPr>
        <w:t>Is</w:t>
      </w:r>
      <w:r>
        <w:rPr>
          <w:b/>
          <w:spacing w:val="-4"/>
          <w:sz w:val="20"/>
        </w:rPr>
        <w:t xml:space="preserve"> </w:t>
      </w:r>
      <w:r>
        <w:rPr>
          <w:b/>
          <w:sz w:val="20"/>
        </w:rPr>
        <w:t>the</w:t>
      </w:r>
      <w:r>
        <w:rPr>
          <w:b/>
          <w:spacing w:val="-2"/>
          <w:sz w:val="20"/>
        </w:rPr>
        <w:t xml:space="preserve"> </w:t>
      </w:r>
      <w:r>
        <w:rPr>
          <w:b/>
          <w:sz w:val="20"/>
        </w:rPr>
        <w:t>current</w:t>
      </w:r>
      <w:r>
        <w:rPr>
          <w:b/>
          <w:spacing w:val="-3"/>
          <w:sz w:val="20"/>
        </w:rPr>
        <w:t xml:space="preserve"> </w:t>
      </w:r>
      <w:r>
        <w:rPr>
          <w:b/>
          <w:sz w:val="20"/>
        </w:rPr>
        <w:t>Monitoring,</w:t>
      </w:r>
      <w:r>
        <w:rPr>
          <w:b/>
          <w:spacing w:val="-4"/>
          <w:sz w:val="20"/>
        </w:rPr>
        <w:t xml:space="preserve"> </w:t>
      </w:r>
      <w:r>
        <w:rPr>
          <w:b/>
          <w:sz w:val="20"/>
        </w:rPr>
        <w:t>Evaluation,</w:t>
      </w:r>
      <w:r>
        <w:rPr>
          <w:b/>
          <w:spacing w:val="-4"/>
          <w:sz w:val="20"/>
        </w:rPr>
        <w:t xml:space="preserve"> </w:t>
      </w:r>
      <w:r>
        <w:rPr>
          <w:b/>
          <w:sz w:val="20"/>
        </w:rPr>
        <w:t>Research</w:t>
      </w:r>
      <w:r>
        <w:rPr>
          <w:b/>
          <w:spacing w:val="-2"/>
          <w:sz w:val="20"/>
        </w:rPr>
        <w:t xml:space="preserve"> </w:t>
      </w:r>
      <w:r>
        <w:rPr>
          <w:b/>
          <w:sz w:val="20"/>
        </w:rPr>
        <w:t>and</w:t>
      </w:r>
      <w:r>
        <w:rPr>
          <w:b/>
          <w:spacing w:val="-3"/>
          <w:sz w:val="20"/>
        </w:rPr>
        <w:t xml:space="preserve"> </w:t>
      </w:r>
      <w:r>
        <w:rPr>
          <w:b/>
          <w:sz w:val="20"/>
        </w:rPr>
        <w:t>Learning</w:t>
      </w:r>
      <w:r>
        <w:rPr>
          <w:b/>
          <w:spacing w:val="-3"/>
          <w:sz w:val="20"/>
        </w:rPr>
        <w:t xml:space="preserve"> </w:t>
      </w:r>
      <w:r>
        <w:rPr>
          <w:b/>
          <w:sz w:val="20"/>
        </w:rPr>
        <w:t xml:space="preserve">(MERL) framework fit for purpose. </w:t>
      </w:r>
      <w:r>
        <w:rPr>
          <w:sz w:val="20"/>
        </w:rPr>
        <w:t>It covers reporting, TOC and measurable outcomes, qualitative data to drive improvement and learning, GEDSI in MERL and process.</w:t>
      </w:r>
    </w:p>
    <w:p w14:paraId="44C50D9A" w14:textId="77777777" w:rsidR="009C36E3" w:rsidRDefault="000E7207">
      <w:pPr>
        <w:spacing w:before="119"/>
        <w:ind w:left="1492" w:right="120"/>
        <w:rPr>
          <w:i/>
          <w:sz w:val="20"/>
        </w:rPr>
      </w:pPr>
      <w:r>
        <w:rPr>
          <w:noProof/>
        </w:rPr>
        <mc:AlternateContent>
          <mc:Choice Requires="wps">
            <w:drawing>
              <wp:anchor distT="0" distB="0" distL="0" distR="0" simplePos="0" relativeHeight="251650048" behindDoc="0" locked="0" layoutInCell="1" allowOverlap="1" wp14:anchorId="0FBFC9BD" wp14:editId="6FD9FC07">
                <wp:simplePos x="0" y="0"/>
                <wp:positionH relativeFrom="page">
                  <wp:posOffset>573317</wp:posOffset>
                </wp:positionH>
                <wp:positionV relativeFrom="paragraph">
                  <wp:posOffset>96952</wp:posOffset>
                </wp:positionV>
                <wp:extent cx="275590" cy="274955"/>
                <wp:effectExtent l="0" t="0" r="0" b="0"/>
                <wp:wrapNone/>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2AE5840E" id="Graphic 56" o:spid="_x0000_s1026" alt="&quot;&quot;" style="position:absolute;margin-left:45.15pt;margin-top:7.65pt;width:21.7pt;height:21.65pt;z-index:15748608;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&#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Considerable efforts and time are dedicated to reporting, and the program seeks to align with DFAT</w:t>
      </w:r>
      <w:r>
        <w:rPr>
          <w:i/>
          <w:color w:val="007B92"/>
          <w:spacing w:val="-3"/>
          <w:sz w:val="20"/>
        </w:rPr>
        <w:t xml:space="preserve"> </w:t>
      </w:r>
      <w:r>
        <w:rPr>
          <w:i/>
          <w:color w:val="007B92"/>
          <w:sz w:val="20"/>
        </w:rPr>
        <w:t>M&amp;E</w:t>
      </w:r>
      <w:r>
        <w:rPr>
          <w:i/>
          <w:color w:val="007B92"/>
          <w:spacing w:val="-2"/>
          <w:sz w:val="20"/>
        </w:rPr>
        <w:t xml:space="preserve"> </w:t>
      </w:r>
      <w:r>
        <w:rPr>
          <w:i/>
          <w:color w:val="007B92"/>
          <w:sz w:val="20"/>
        </w:rPr>
        <w:t>guidance.</w:t>
      </w:r>
      <w:r>
        <w:rPr>
          <w:i/>
          <w:color w:val="007B92"/>
          <w:spacing w:val="-4"/>
          <w:sz w:val="20"/>
        </w:rPr>
        <w:t xml:space="preserve"> </w:t>
      </w:r>
      <w:r>
        <w:rPr>
          <w:i/>
          <w:color w:val="007B92"/>
          <w:sz w:val="20"/>
        </w:rPr>
        <w:t>However,</w:t>
      </w:r>
      <w:r>
        <w:rPr>
          <w:i/>
          <w:color w:val="007B92"/>
          <w:spacing w:val="-4"/>
          <w:sz w:val="20"/>
        </w:rPr>
        <w:t xml:space="preserve"> </w:t>
      </w:r>
      <w:r>
        <w:rPr>
          <w:i/>
          <w:color w:val="007B92"/>
          <w:sz w:val="20"/>
        </w:rPr>
        <w:t>the</w:t>
      </w:r>
      <w:r>
        <w:rPr>
          <w:i/>
          <w:color w:val="007B92"/>
          <w:spacing w:val="-2"/>
          <w:sz w:val="20"/>
        </w:rPr>
        <w:t xml:space="preserve"> </w:t>
      </w:r>
      <w:r>
        <w:rPr>
          <w:i/>
          <w:color w:val="007B92"/>
          <w:sz w:val="20"/>
        </w:rPr>
        <w:t>MERL</w:t>
      </w:r>
      <w:r>
        <w:rPr>
          <w:i/>
          <w:color w:val="007B92"/>
          <w:spacing w:val="-4"/>
          <w:sz w:val="20"/>
        </w:rPr>
        <w:t xml:space="preserve"> </w:t>
      </w:r>
      <w:r>
        <w:rPr>
          <w:i/>
          <w:color w:val="007B92"/>
          <w:sz w:val="20"/>
        </w:rPr>
        <w:t>system</w:t>
      </w:r>
      <w:r>
        <w:rPr>
          <w:i/>
          <w:color w:val="007B92"/>
          <w:spacing w:val="-2"/>
          <w:sz w:val="20"/>
        </w:rPr>
        <w:t xml:space="preserve"> </w:t>
      </w:r>
      <w:r>
        <w:rPr>
          <w:i/>
          <w:color w:val="007B92"/>
          <w:sz w:val="20"/>
        </w:rPr>
        <w:t>is</w:t>
      </w:r>
      <w:r>
        <w:rPr>
          <w:i/>
          <w:color w:val="007B92"/>
          <w:spacing w:val="-3"/>
          <w:sz w:val="20"/>
        </w:rPr>
        <w:t xml:space="preserve"> </w:t>
      </w:r>
      <w:r>
        <w:rPr>
          <w:i/>
          <w:color w:val="007B92"/>
          <w:sz w:val="20"/>
        </w:rPr>
        <w:t>limited</w:t>
      </w:r>
      <w:r>
        <w:rPr>
          <w:i/>
          <w:color w:val="007B92"/>
          <w:spacing w:val="-4"/>
          <w:sz w:val="20"/>
        </w:rPr>
        <w:t xml:space="preserve"> </w:t>
      </w:r>
      <w:r>
        <w:rPr>
          <w:i/>
          <w:color w:val="007B92"/>
          <w:sz w:val="20"/>
        </w:rPr>
        <w:t>because</w:t>
      </w:r>
      <w:r>
        <w:rPr>
          <w:i/>
          <w:color w:val="007B92"/>
          <w:spacing w:val="-4"/>
          <w:sz w:val="20"/>
        </w:rPr>
        <w:t xml:space="preserve"> </w:t>
      </w:r>
      <w:r>
        <w:rPr>
          <w:i/>
          <w:color w:val="007B92"/>
          <w:sz w:val="20"/>
        </w:rPr>
        <w:t>there</w:t>
      </w:r>
      <w:r>
        <w:rPr>
          <w:i/>
          <w:color w:val="007B92"/>
          <w:spacing w:val="-2"/>
          <w:sz w:val="20"/>
        </w:rPr>
        <w:t xml:space="preserve"> </w:t>
      </w:r>
      <w:r>
        <w:rPr>
          <w:i/>
          <w:color w:val="007B92"/>
          <w:sz w:val="20"/>
        </w:rPr>
        <w:t>is</w:t>
      </w:r>
      <w:r>
        <w:rPr>
          <w:i/>
          <w:color w:val="007B92"/>
          <w:spacing w:val="-3"/>
          <w:sz w:val="20"/>
        </w:rPr>
        <w:t xml:space="preserve"> </w:t>
      </w:r>
      <w:r>
        <w:rPr>
          <w:i/>
          <w:color w:val="007B92"/>
          <w:sz w:val="20"/>
        </w:rPr>
        <w:t>no</w:t>
      </w:r>
      <w:r>
        <w:rPr>
          <w:i/>
          <w:color w:val="007B92"/>
          <w:spacing w:val="-2"/>
          <w:sz w:val="20"/>
        </w:rPr>
        <w:t xml:space="preserve"> </w:t>
      </w:r>
      <w:r>
        <w:rPr>
          <w:i/>
          <w:color w:val="007B92"/>
          <w:sz w:val="20"/>
        </w:rPr>
        <w:t>ToC,</w:t>
      </w:r>
      <w:r>
        <w:rPr>
          <w:i/>
          <w:color w:val="007B92"/>
          <w:spacing w:val="-4"/>
          <w:sz w:val="20"/>
        </w:rPr>
        <w:t xml:space="preserve"> </w:t>
      </w:r>
      <w:r>
        <w:rPr>
          <w:i/>
          <w:color w:val="007B92"/>
          <w:sz w:val="20"/>
        </w:rPr>
        <w:t>outcomes are</w:t>
      </w:r>
      <w:r>
        <w:rPr>
          <w:i/>
          <w:color w:val="007B92"/>
          <w:spacing w:val="-4"/>
          <w:sz w:val="20"/>
        </w:rPr>
        <w:t xml:space="preserve"> </w:t>
      </w:r>
      <w:r>
        <w:rPr>
          <w:i/>
          <w:color w:val="007B92"/>
          <w:sz w:val="20"/>
        </w:rPr>
        <w:t>not measurable, and there is insufficient qualitative data. This is contributing to poor understanding of the</w:t>
      </w:r>
    </w:p>
    <w:p w14:paraId="56A7ABA7" w14:textId="77777777" w:rsidR="009C36E3" w:rsidRDefault="000E7207">
      <w:pPr>
        <w:spacing w:before="2"/>
        <w:ind w:left="772"/>
        <w:rPr>
          <w:i/>
          <w:sz w:val="20"/>
        </w:rPr>
      </w:pPr>
      <w:r>
        <w:rPr>
          <w:i/>
          <w:color w:val="007B92"/>
          <w:sz w:val="20"/>
        </w:rPr>
        <w:t>justice</w:t>
      </w:r>
      <w:r>
        <w:rPr>
          <w:i/>
          <w:color w:val="007B92"/>
          <w:spacing w:val="-2"/>
          <w:sz w:val="20"/>
        </w:rPr>
        <w:t xml:space="preserve"> </w:t>
      </w:r>
      <w:r>
        <w:rPr>
          <w:i/>
          <w:color w:val="007B92"/>
          <w:sz w:val="20"/>
        </w:rPr>
        <w:t>program’s</w:t>
      </w:r>
      <w:r>
        <w:rPr>
          <w:i/>
          <w:color w:val="007B92"/>
          <w:spacing w:val="-3"/>
          <w:sz w:val="20"/>
        </w:rPr>
        <w:t xml:space="preserve"> </w:t>
      </w:r>
      <w:r>
        <w:rPr>
          <w:i/>
          <w:color w:val="007B92"/>
          <w:sz w:val="20"/>
        </w:rPr>
        <w:t>contribution</w:t>
      </w:r>
      <w:r>
        <w:rPr>
          <w:i/>
          <w:color w:val="007B92"/>
          <w:spacing w:val="-4"/>
          <w:sz w:val="20"/>
        </w:rPr>
        <w:t xml:space="preserve"> </w:t>
      </w:r>
      <w:r>
        <w:rPr>
          <w:i/>
          <w:color w:val="007B92"/>
          <w:sz w:val="20"/>
        </w:rPr>
        <w:t>and</w:t>
      </w:r>
      <w:r>
        <w:rPr>
          <w:i/>
          <w:color w:val="007B92"/>
          <w:spacing w:val="-4"/>
          <w:sz w:val="20"/>
        </w:rPr>
        <w:t xml:space="preserve"> </w:t>
      </w:r>
      <w:r>
        <w:rPr>
          <w:i/>
          <w:color w:val="007B92"/>
          <w:sz w:val="20"/>
        </w:rPr>
        <w:t>results</w:t>
      </w:r>
      <w:r>
        <w:rPr>
          <w:i/>
          <w:color w:val="007B92"/>
          <w:spacing w:val="-3"/>
          <w:sz w:val="20"/>
        </w:rPr>
        <w:t xml:space="preserve"> </w:t>
      </w:r>
      <w:r>
        <w:rPr>
          <w:i/>
          <w:color w:val="007B92"/>
          <w:sz w:val="20"/>
        </w:rPr>
        <w:t>and</w:t>
      </w:r>
      <w:r>
        <w:rPr>
          <w:i/>
          <w:color w:val="007B92"/>
          <w:spacing w:val="-4"/>
          <w:sz w:val="20"/>
        </w:rPr>
        <w:t xml:space="preserve"> </w:t>
      </w:r>
      <w:r>
        <w:rPr>
          <w:i/>
          <w:color w:val="007B92"/>
          <w:sz w:val="20"/>
        </w:rPr>
        <w:t>constrains</w:t>
      </w:r>
      <w:r>
        <w:rPr>
          <w:i/>
          <w:color w:val="007B92"/>
          <w:spacing w:val="-3"/>
          <w:sz w:val="20"/>
        </w:rPr>
        <w:t xml:space="preserve"> </w:t>
      </w:r>
      <w:r>
        <w:rPr>
          <w:i/>
          <w:color w:val="007B92"/>
          <w:sz w:val="20"/>
        </w:rPr>
        <w:t>insights</w:t>
      </w:r>
      <w:r>
        <w:rPr>
          <w:i/>
          <w:color w:val="007B92"/>
          <w:spacing w:val="-3"/>
          <w:sz w:val="20"/>
        </w:rPr>
        <w:t xml:space="preserve"> </w:t>
      </w:r>
      <w:r>
        <w:rPr>
          <w:i/>
          <w:color w:val="007B92"/>
          <w:sz w:val="20"/>
        </w:rPr>
        <w:t>into</w:t>
      </w:r>
      <w:r>
        <w:rPr>
          <w:i/>
          <w:color w:val="007B92"/>
          <w:spacing w:val="-2"/>
          <w:sz w:val="20"/>
        </w:rPr>
        <w:t xml:space="preserve"> </w:t>
      </w:r>
      <w:r>
        <w:rPr>
          <w:i/>
          <w:color w:val="007B92"/>
          <w:sz w:val="20"/>
        </w:rPr>
        <w:t>the</w:t>
      </w:r>
      <w:r>
        <w:rPr>
          <w:i/>
          <w:color w:val="007B92"/>
          <w:spacing w:val="-2"/>
          <w:sz w:val="20"/>
        </w:rPr>
        <w:t xml:space="preserve"> </w:t>
      </w:r>
      <w:r>
        <w:rPr>
          <w:i/>
          <w:color w:val="007B92"/>
          <w:sz w:val="20"/>
        </w:rPr>
        <w:t>depth</w:t>
      </w:r>
      <w:r>
        <w:rPr>
          <w:i/>
          <w:color w:val="007B92"/>
          <w:spacing w:val="-4"/>
          <w:sz w:val="20"/>
        </w:rPr>
        <w:t xml:space="preserve"> </w:t>
      </w:r>
      <w:r>
        <w:rPr>
          <w:i/>
          <w:color w:val="007B92"/>
          <w:sz w:val="20"/>
        </w:rPr>
        <w:t>and</w:t>
      </w:r>
      <w:r>
        <w:rPr>
          <w:i/>
          <w:color w:val="007B92"/>
          <w:spacing w:val="-4"/>
          <w:sz w:val="20"/>
        </w:rPr>
        <w:t xml:space="preserve"> </w:t>
      </w:r>
      <w:r>
        <w:rPr>
          <w:i/>
          <w:color w:val="007B92"/>
          <w:sz w:val="20"/>
        </w:rPr>
        <w:t>sustainability</w:t>
      </w:r>
      <w:r>
        <w:rPr>
          <w:i/>
          <w:color w:val="007B92"/>
          <w:spacing w:val="-3"/>
          <w:sz w:val="20"/>
        </w:rPr>
        <w:t xml:space="preserve"> </w:t>
      </w:r>
      <w:r>
        <w:rPr>
          <w:i/>
          <w:color w:val="007B92"/>
          <w:sz w:val="20"/>
        </w:rPr>
        <w:t>of</w:t>
      </w:r>
      <w:r>
        <w:rPr>
          <w:i/>
          <w:color w:val="007B92"/>
          <w:spacing w:val="-4"/>
          <w:sz w:val="20"/>
        </w:rPr>
        <w:t xml:space="preserve"> </w:t>
      </w:r>
      <w:r>
        <w:rPr>
          <w:i/>
          <w:color w:val="007B92"/>
          <w:sz w:val="20"/>
        </w:rPr>
        <w:t>change,</w:t>
      </w:r>
      <w:r>
        <w:rPr>
          <w:i/>
          <w:color w:val="007B92"/>
          <w:spacing w:val="-2"/>
          <w:sz w:val="20"/>
        </w:rPr>
        <w:t xml:space="preserve"> </w:t>
      </w:r>
      <w:r>
        <w:rPr>
          <w:i/>
          <w:color w:val="007B92"/>
          <w:sz w:val="20"/>
        </w:rPr>
        <w:t>and evaluability of the program.</w:t>
      </w:r>
    </w:p>
    <w:p w14:paraId="79711648" w14:textId="77777777" w:rsidR="009C36E3" w:rsidRDefault="000E7207">
      <w:pPr>
        <w:spacing w:before="118"/>
        <w:ind w:left="1491" w:right="120"/>
        <w:rPr>
          <w:i/>
          <w:sz w:val="20"/>
        </w:rPr>
      </w:pPr>
      <w:r>
        <w:rPr>
          <w:noProof/>
        </w:rPr>
        <mc:AlternateContent>
          <mc:Choice Requires="wps">
            <w:drawing>
              <wp:anchor distT="0" distB="0" distL="0" distR="0" simplePos="0" relativeHeight="251649024" behindDoc="0" locked="0" layoutInCell="1" allowOverlap="1" wp14:anchorId="7A308265" wp14:editId="6E2DD890">
                <wp:simplePos x="0" y="0"/>
                <wp:positionH relativeFrom="page">
                  <wp:posOffset>573317</wp:posOffset>
                </wp:positionH>
                <wp:positionV relativeFrom="paragraph">
                  <wp:posOffset>130607</wp:posOffset>
                </wp:positionV>
                <wp:extent cx="275590" cy="274955"/>
                <wp:effectExtent l="0" t="0" r="0" b="0"/>
                <wp:wrapNone/>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09A4CC02" id="Graphic 57" o:spid="_x0000_s1026" alt="&quot;&quot;" style="position:absolute;margin-left:45.15pt;margin-top:10.3pt;width:21.7pt;height:21.65pt;z-index:15748096;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VAPJP’s monitoring, evaluation, reporting and learning (MERL) system could better meet the needs of</w:t>
      </w:r>
      <w:r>
        <w:rPr>
          <w:i/>
          <w:color w:val="007B92"/>
          <w:spacing w:val="-4"/>
          <w:sz w:val="20"/>
        </w:rPr>
        <w:t xml:space="preserve"> </w:t>
      </w:r>
      <w:r>
        <w:rPr>
          <w:i/>
          <w:color w:val="007B92"/>
          <w:sz w:val="20"/>
        </w:rPr>
        <w:t>DFAT,</w:t>
      </w:r>
      <w:r>
        <w:rPr>
          <w:i/>
          <w:color w:val="007B92"/>
          <w:spacing w:val="-4"/>
          <w:sz w:val="20"/>
        </w:rPr>
        <w:t xml:space="preserve"> </w:t>
      </w:r>
      <w:r>
        <w:rPr>
          <w:i/>
          <w:color w:val="007B92"/>
          <w:sz w:val="20"/>
        </w:rPr>
        <w:t>AFP</w:t>
      </w:r>
      <w:r>
        <w:rPr>
          <w:i/>
          <w:color w:val="007B92"/>
          <w:spacing w:val="-5"/>
          <w:sz w:val="20"/>
        </w:rPr>
        <w:t xml:space="preserve"> </w:t>
      </w:r>
      <w:r>
        <w:rPr>
          <w:i/>
          <w:color w:val="007B92"/>
          <w:sz w:val="20"/>
        </w:rPr>
        <w:t>and</w:t>
      </w:r>
      <w:r>
        <w:rPr>
          <w:i/>
          <w:color w:val="007B92"/>
          <w:spacing w:val="-2"/>
          <w:sz w:val="20"/>
        </w:rPr>
        <w:t xml:space="preserve"> </w:t>
      </w:r>
      <w:r>
        <w:rPr>
          <w:i/>
          <w:color w:val="007B92"/>
          <w:sz w:val="20"/>
        </w:rPr>
        <w:t>internal</w:t>
      </w:r>
      <w:r>
        <w:rPr>
          <w:i/>
          <w:color w:val="007B92"/>
          <w:spacing w:val="-2"/>
          <w:sz w:val="20"/>
        </w:rPr>
        <w:t xml:space="preserve"> </w:t>
      </w:r>
      <w:r>
        <w:rPr>
          <w:i/>
          <w:color w:val="007B92"/>
          <w:sz w:val="20"/>
        </w:rPr>
        <w:t>stakeholders.</w:t>
      </w:r>
      <w:r>
        <w:rPr>
          <w:i/>
          <w:color w:val="007B92"/>
          <w:spacing w:val="-4"/>
          <w:sz w:val="20"/>
        </w:rPr>
        <w:t xml:space="preserve"> </w:t>
      </w:r>
      <w:r>
        <w:rPr>
          <w:i/>
          <w:color w:val="007B92"/>
          <w:sz w:val="20"/>
        </w:rPr>
        <w:t>Reports</w:t>
      </w:r>
      <w:r>
        <w:rPr>
          <w:i/>
          <w:color w:val="007B92"/>
          <w:spacing w:val="-3"/>
          <w:sz w:val="20"/>
        </w:rPr>
        <w:t xml:space="preserve"> </w:t>
      </w:r>
      <w:r>
        <w:rPr>
          <w:i/>
          <w:color w:val="007B92"/>
          <w:sz w:val="20"/>
        </w:rPr>
        <w:t>do</w:t>
      </w:r>
      <w:r>
        <w:rPr>
          <w:i/>
          <w:color w:val="007B92"/>
          <w:spacing w:val="-4"/>
          <w:sz w:val="20"/>
        </w:rPr>
        <w:t xml:space="preserve"> </w:t>
      </w:r>
      <w:r>
        <w:rPr>
          <w:i/>
          <w:color w:val="007B92"/>
          <w:sz w:val="20"/>
        </w:rPr>
        <w:t>not</w:t>
      </w:r>
      <w:r>
        <w:rPr>
          <w:i/>
          <w:color w:val="007B92"/>
          <w:spacing w:val="-4"/>
          <w:sz w:val="20"/>
        </w:rPr>
        <w:t xml:space="preserve"> </w:t>
      </w:r>
      <w:r>
        <w:rPr>
          <w:i/>
          <w:color w:val="007B92"/>
          <w:sz w:val="20"/>
        </w:rPr>
        <w:t>systematically</w:t>
      </w:r>
      <w:r>
        <w:rPr>
          <w:i/>
          <w:color w:val="007B92"/>
          <w:spacing w:val="-3"/>
          <w:sz w:val="20"/>
        </w:rPr>
        <w:t xml:space="preserve"> </w:t>
      </w:r>
      <w:r>
        <w:rPr>
          <w:i/>
          <w:color w:val="007B92"/>
          <w:sz w:val="20"/>
        </w:rPr>
        <w:t>reflect</w:t>
      </w:r>
      <w:r>
        <w:rPr>
          <w:i/>
          <w:color w:val="007B92"/>
          <w:spacing w:val="-4"/>
          <w:sz w:val="20"/>
        </w:rPr>
        <w:t xml:space="preserve"> </w:t>
      </w:r>
      <w:r>
        <w:rPr>
          <w:i/>
          <w:color w:val="007B92"/>
          <w:sz w:val="20"/>
        </w:rPr>
        <w:t>the</w:t>
      </w:r>
      <w:r>
        <w:rPr>
          <w:i/>
          <w:color w:val="007B92"/>
          <w:spacing w:val="-4"/>
          <w:sz w:val="20"/>
        </w:rPr>
        <w:t xml:space="preserve"> </w:t>
      </w:r>
      <w:r>
        <w:rPr>
          <w:i/>
          <w:color w:val="007B92"/>
          <w:sz w:val="20"/>
        </w:rPr>
        <w:t>results</w:t>
      </w:r>
      <w:r>
        <w:rPr>
          <w:i/>
          <w:color w:val="007B92"/>
          <w:spacing w:val="-3"/>
          <w:sz w:val="20"/>
        </w:rPr>
        <w:t xml:space="preserve"> </w:t>
      </w:r>
      <w:r>
        <w:rPr>
          <w:i/>
          <w:color w:val="007B92"/>
          <w:sz w:val="20"/>
        </w:rPr>
        <w:t>framework or input from advisers and are not utilised for program learning.</w:t>
      </w:r>
    </w:p>
    <w:p w14:paraId="0270C896" w14:textId="77777777" w:rsidR="009C36E3" w:rsidRDefault="000E7207" w:rsidP="008E255A">
      <w:pPr>
        <w:spacing w:before="122" w:after="240"/>
        <w:ind w:left="1491"/>
        <w:rPr>
          <w:i/>
          <w:sz w:val="20"/>
        </w:rPr>
      </w:pPr>
      <w:r>
        <w:rPr>
          <w:noProof/>
        </w:rPr>
        <mc:AlternateContent>
          <mc:Choice Requires="wps">
            <w:drawing>
              <wp:anchor distT="0" distB="0" distL="0" distR="0" simplePos="0" relativeHeight="251648000" behindDoc="0" locked="0" layoutInCell="1" allowOverlap="1" wp14:anchorId="5E3EBDA0" wp14:editId="7AC4E263">
                <wp:simplePos x="0" y="0"/>
                <wp:positionH relativeFrom="page">
                  <wp:posOffset>573317</wp:posOffset>
                </wp:positionH>
                <wp:positionV relativeFrom="paragraph">
                  <wp:posOffset>118542</wp:posOffset>
                </wp:positionV>
                <wp:extent cx="275590" cy="274955"/>
                <wp:effectExtent l="0" t="0" r="0" b="0"/>
                <wp:wrapNone/>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123B8767" id="Graphic 58" o:spid="_x0000_s1026" alt="&quot;&quot;" style="position:absolute;margin-left:45.15pt;margin-top:9.35pt;width:21.7pt;height:21.65pt;z-index:15747584;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3"/>
          <w:sz w:val="20"/>
        </w:rPr>
        <w:t xml:space="preserve"> </w:t>
      </w:r>
      <w:r>
        <w:rPr>
          <w:i/>
          <w:color w:val="007B92"/>
          <w:sz w:val="20"/>
        </w:rPr>
        <w:t>Reporting</w:t>
      </w:r>
      <w:r>
        <w:rPr>
          <w:i/>
          <w:color w:val="007B92"/>
          <w:spacing w:val="-2"/>
          <w:sz w:val="20"/>
        </w:rPr>
        <w:t xml:space="preserve"> </w:t>
      </w:r>
      <w:r>
        <w:rPr>
          <w:i/>
          <w:color w:val="007B92"/>
          <w:sz w:val="20"/>
        </w:rPr>
        <w:t>includes</w:t>
      </w:r>
      <w:r>
        <w:rPr>
          <w:i/>
          <w:color w:val="007B92"/>
          <w:spacing w:val="-3"/>
          <w:sz w:val="20"/>
        </w:rPr>
        <w:t xml:space="preserve"> </w:t>
      </w:r>
      <w:r>
        <w:rPr>
          <w:i/>
          <w:color w:val="007B92"/>
          <w:sz w:val="20"/>
        </w:rPr>
        <w:t>annexes</w:t>
      </w:r>
      <w:r>
        <w:rPr>
          <w:i/>
          <w:color w:val="007B92"/>
          <w:spacing w:val="-3"/>
          <w:sz w:val="20"/>
        </w:rPr>
        <w:t xml:space="preserve"> </w:t>
      </w:r>
      <w:r>
        <w:rPr>
          <w:i/>
          <w:color w:val="007B92"/>
          <w:sz w:val="20"/>
        </w:rPr>
        <w:t>that</w:t>
      </w:r>
      <w:r>
        <w:rPr>
          <w:i/>
          <w:color w:val="007B92"/>
          <w:spacing w:val="-2"/>
          <w:sz w:val="20"/>
        </w:rPr>
        <w:t xml:space="preserve"> </w:t>
      </w:r>
      <w:r>
        <w:rPr>
          <w:i/>
          <w:color w:val="007B92"/>
          <w:sz w:val="20"/>
        </w:rPr>
        <w:t>allow</w:t>
      </w:r>
      <w:r>
        <w:rPr>
          <w:i/>
          <w:color w:val="007B92"/>
          <w:spacing w:val="-4"/>
          <w:sz w:val="20"/>
        </w:rPr>
        <w:t xml:space="preserve"> </w:t>
      </w:r>
      <w:r>
        <w:rPr>
          <w:i/>
          <w:color w:val="007B92"/>
          <w:sz w:val="20"/>
        </w:rPr>
        <w:t>for</w:t>
      </w:r>
      <w:r>
        <w:rPr>
          <w:i/>
          <w:color w:val="007B92"/>
          <w:spacing w:val="-3"/>
          <w:sz w:val="20"/>
        </w:rPr>
        <w:t xml:space="preserve"> </w:t>
      </w:r>
      <w:r>
        <w:rPr>
          <w:i/>
          <w:color w:val="007B92"/>
          <w:sz w:val="20"/>
        </w:rPr>
        <w:t>clear</w:t>
      </w:r>
      <w:r>
        <w:rPr>
          <w:i/>
          <w:color w:val="007B92"/>
          <w:spacing w:val="-3"/>
          <w:sz w:val="20"/>
        </w:rPr>
        <w:t xml:space="preserve"> </w:t>
      </w:r>
      <w:r>
        <w:rPr>
          <w:i/>
          <w:color w:val="007B92"/>
          <w:sz w:val="20"/>
        </w:rPr>
        <w:t>expenditure</w:t>
      </w:r>
      <w:r>
        <w:rPr>
          <w:i/>
          <w:color w:val="007B92"/>
          <w:spacing w:val="-4"/>
          <w:sz w:val="20"/>
        </w:rPr>
        <w:t xml:space="preserve"> </w:t>
      </w:r>
      <w:r>
        <w:rPr>
          <w:i/>
          <w:color w:val="007B92"/>
          <w:sz w:val="20"/>
        </w:rPr>
        <w:t>tracking,</w:t>
      </w:r>
      <w:r>
        <w:rPr>
          <w:i/>
          <w:color w:val="007B92"/>
          <w:spacing w:val="-4"/>
          <w:sz w:val="20"/>
        </w:rPr>
        <w:t xml:space="preserve"> </w:t>
      </w:r>
      <w:r>
        <w:rPr>
          <w:i/>
          <w:color w:val="007B92"/>
          <w:sz w:val="20"/>
        </w:rPr>
        <w:t>and</w:t>
      </w:r>
      <w:r>
        <w:rPr>
          <w:i/>
          <w:color w:val="007B92"/>
          <w:spacing w:val="-4"/>
          <w:sz w:val="20"/>
        </w:rPr>
        <w:t xml:space="preserve"> </w:t>
      </w:r>
      <w:r>
        <w:rPr>
          <w:i/>
          <w:color w:val="007B92"/>
          <w:sz w:val="20"/>
        </w:rPr>
        <w:t>proactively</w:t>
      </w:r>
      <w:r>
        <w:rPr>
          <w:i/>
          <w:color w:val="007B92"/>
          <w:spacing w:val="-2"/>
          <w:sz w:val="20"/>
        </w:rPr>
        <w:t xml:space="preserve"> </w:t>
      </w:r>
      <w:r>
        <w:rPr>
          <w:i/>
          <w:color w:val="007B92"/>
          <w:sz w:val="20"/>
        </w:rPr>
        <w:t>synthesises activity updates in accessible format for government counterparts.</w:t>
      </w:r>
    </w:p>
    <w:p w14:paraId="3BCBE2DB" w14:textId="77777777" w:rsidR="009C36E3" w:rsidRDefault="000E7207">
      <w:pPr>
        <w:pStyle w:val="Heading7"/>
        <w:spacing w:before="118"/>
      </w:pPr>
      <w:r>
        <w:rPr>
          <w:spacing w:val="-2"/>
        </w:rPr>
        <w:t>Reporting</w:t>
      </w:r>
    </w:p>
    <w:p w14:paraId="17CAC687" w14:textId="1A5FBFE6" w:rsidR="009C36E3" w:rsidRDefault="000E7207">
      <w:pPr>
        <w:pStyle w:val="BodyText"/>
        <w:spacing w:before="121"/>
        <w:ind w:right="133"/>
      </w:pPr>
      <w:r>
        <w:t>Reports are too long, overwhelming reviewers with output level narrative and data. Reports are observed to focus on program successes and show a positivity bias (which is not uncommon in program reporting). The program seeks to align with DFAT M&amp;E Standard 6 for reporting, but whereas the M&amp;E standards propose that only key outputs should be described, the 2022 AR goes into a great deal of detail with 20+ pages for each of effectiveness and efficiency. The report lists Outputs against each of the three EOPOs, rather than providing an analytical statement summarising attribution to progress. There is some uncertainty within VAPJP as to the level of data required</w:t>
      </w:r>
      <w:r>
        <w:rPr>
          <w:spacing w:val="-4"/>
        </w:rPr>
        <w:t xml:space="preserve"> </w:t>
      </w:r>
      <w:r>
        <w:t>for</w:t>
      </w:r>
      <w:r>
        <w:rPr>
          <w:spacing w:val="-1"/>
        </w:rPr>
        <w:t xml:space="preserve"> </w:t>
      </w:r>
      <w:r>
        <w:t>accountability</w:t>
      </w:r>
      <w:r>
        <w:rPr>
          <w:spacing w:val="-3"/>
        </w:rPr>
        <w:t xml:space="preserve"> </w:t>
      </w:r>
      <w:r>
        <w:t>for</w:t>
      </w:r>
      <w:r>
        <w:rPr>
          <w:spacing w:val="-3"/>
        </w:rPr>
        <w:t xml:space="preserve"> </w:t>
      </w:r>
      <w:r>
        <w:t>DFAT,</w:t>
      </w:r>
      <w:r>
        <w:rPr>
          <w:spacing w:val="-4"/>
        </w:rPr>
        <w:t xml:space="preserve"> </w:t>
      </w:r>
      <w:r>
        <w:t>which</w:t>
      </w:r>
      <w:r>
        <w:rPr>
          <w:spacing w:val="-4"/>
        </w:rPr>
        <w:t xml:space="preserve"> </w:t>
      </w:r>
      <w:r>
        <w:t>contributes to</w:t>
      </w:r>
      <w:r>
        <w:rPr>
          <w:spacing w:val="-4"/>
        </w:rPr>
        <w:t xml:space="preserve"> </w:t>
      </w:r>
      <w:r>
        <w:t>this</w:t>
      </w:r>
      <w:r>
        <w:rPr>
          <w:spacing w:val="-3"/>
        </w:rPr>
        <w:t xml:space="preserve"> </w:t>
      </w:r>
      <w:r>
        <w:t>detail-oriented</w:t>
      </w:r>
      <w:r>
        <w:rPr>
          <w:spacing w:val="-4"/>
        </w:rPr>
        <w:t xml:space="preserve"> </w:t>
      </w:r>
      <w:r>
        <w:t>approach.</w:t>
      </w:r>
      <w:r>
        <w:rPr>
          <w:spacing w:val="-4"/>
        </w:rPr>
        <w:t xml:space="preserve"> </w:t>
      </w:r>
      <w:r>
        <w:t>The</w:t>
      </w:r>
      <w:r>
        <w:rPr>
          <w:spacing w:val="-4"/>
        </w:rPr>
        <w:t xml:space="preserve"> </w:t>
      </w:r>
      <w:r>
        <w:t>most</w:t>
      </w:r>
      <w:r>
        <w:rPr>
          <w:spacing w:val="-4"/>
        </w:rPr>
        <w:t xml:space="preserve"> </w:t>
      </w:r>
      <w:r>
        <w:t>recent</w:t>
      </w:r>
      <w:r>
        <w:rPr>
          <w:spacing w:val="-1"/>
        </w:rPr>
        <w:t xml:space="preserve"> </w:t>
      </w:r>
      <w:r>
        <w:t>SMPR</w:t>
      </w:r>
      <w:r>
        <w:rPr>
          <w:spacing w:val="-4"/>
        </w:rPr>
        <w:t xml:space="preserve"> </w:t>
      </w:r>
      <w:r>
        <w:t>has reduced its length, from the 2022 Annual</w:t>
      </w:r>
      <w:r>
        <w:rPr>
          <w:spacing w:val="-1"/>
        </w:rPr>
        <w:t xml:space="preserve"> </w:t>
      </w:r>
      <w:r>
        <w:t xml:space="preserve">report’s 172 pages to 137 pages with annexes but is still too lengthy, and the use of 4pt type for the 15 pages of Annex D: VAPJP Annual Work Plan (AWP) Status Update is challenging. It is noted that in some other DFAT programming the </w:t>
      </w:r>
      <w:r w:rsidR="00C059B2">
        <w:t>six monthly</w:t>
      </w:r>
      <w:r>
        <w:t xml:space="preserve"> report is presented as a PowerPoint with opportunities for discussion and recording of key decisions. The suitability of this mode of reporting for the future phase could be canvassed during design consultations.</w:t>
      </w:r>
    </w:p>
    <w:p w14:paraId="592EE0CA" w14:textId="3F5B8A9E" w:rsidR="009C36E3" w:rsidRDefault="000E7207">
      <w:pPr>
        <w:pStyle w:val="BodyText"/>
        <w:spacing w:before="121"/>
        <w:ind w:right="140"/>
      </w:pPr>
      <w:r>
        <w:t>Currently reports are focused on DFAT as the client and are not designed to reflect AFP’s internal reporting priorities. Police advisers noted a considerable amount of time spent on reporting on each activity, with some estimating</w:t>
      </w:r>
      <w:r>
        <w:rPr>
          <w:spacing w:val="-3"/>
        </w:rPr>
        <w:t xml:space="preserve"> </w:t>
      </w:r>
      <w:r>
        <w:t>that</w:t>
      </w:r>
      <w:r>
        <w:rPr>
          <w:spacing w:val="-1"/>
        </w:rPr>
        <w:t xml:space="preserve"> </w:t>
      </w:r>
      <w:r>
        <w:t>it</w:t>
      </w:r>
      <w:r>
        <w:rPr>
          <w:spacing w:val="-3"/>
        </w:rPr>
        <w:t xml:space="preserve"> </w:t>
      </w:r>
      <w:r>
        <w:t>took</w:t>
      </w:r>
      <w:r>
        <w:rPr>
          <w:spacing w:val="-2"/>
        </w:rPr>
        <w:t xml:space="preserve"> </w:t>
      </w:r>
      <w:r>
        <w:t>up</w:t>
      </w:r>
      <w:r>
        <w:rPr>
          <w:spacing w:val="-1"/>
        </w:rPr>
        <w:t xml:space="preserve"> </w:t>
      </w:r>
      <w:r>
        <w:t>to 50%</w:t>
      </w:r>
      <w:r>
        <w:rPr>
          <w:spacing w:val="-2"/>
        </w:rPr>
        <w:t xml:space="preserve"> </w:t>
      </w:r>
      <w:r>
        <w:t>of</w:t>
      </w:r>
      <w:r>
        <w:rPr>
          <w:spacing w:val="-1"/>
        </w:rPr>
        <w:t xml:space="preserve"> </w:t>
      </w:r>
      <w:r>
        <w:t>their</w:t>
      </w:r>
      <w:r>
        <w:rPr>
          <w:spacing w:val="-2"/>
        </w:rPr>
        <w:t xml:space="preserve"> </w:t>
      </w:r>
      <w:r w:rsidR="00E36DAA">
        <w:t>time</w:t>
      </w:r>
      <w:r w:rsidR="00E36DAA">
        <w:rPr>
          <w:spacing w:val="-1"/>
        </w:rPr>
        <w:t>.</w:t>
      </w:r>
      <w:r>
        <w:rPr>
          <w:spacing w:val="-3"/>
        </w:rPr>
        <w:t xml:space="preserve"> </w:t>
      </w:r>
      <w:r>
        <w:t>In</w:t>
      </w:r>
      <w:r>
        <w:rPr>
          <w:spacing w:val="-1"/>
        </w:rPr>
        <w:t xml:space="preserve"> </w:t>
      </w:r>
      <w:r>
        <w:t>addition,</w:t>
      </w:r>
      <w:r>
        <w:rPr>
          <w:spacing w:val="-3"/>
        </w:rPr>
        <w:t xml:space="preserve"> </w:t>
      </w:r>
      <w:r>
        <w:t>police</w:t>
      </w:r>
      <w:r>
        <w:rPr>
          <w:spacing w:val="-3"/>
        </w:rPr>
        <w:t xml:space="preserve"> </w:t>
      </w:r>
      <w:r>
        <w:t>advisers</w:t>
      </w:r>
      <w:r>
        <w:rPr>
          <w:spacing w:val="-2"/>
        </w:rPr>
        <w:t xml:space="preserve"> </w:t>
      </w:r>
      <w:r>
        <w:t>were</w:t>
      </w:r>
      <w:r>
        <w:rPr>
          <w:spacing w:val="-1"/>
        </w:rPr>
        <w:t xml:space="preserve"> </w:t>
      </w:r>
      <w:r>
        <w:t>of</w:t>
      </w:r>
      <w:r>
        <w:rPr>
          <w:spacing w:val="-1"/>
        </w:rPr>
        <w:t xml:space="preserve"> </w:t>
      </w:r>
      <w:r>
        <w:t>the</w:t>
      </w:r>
      <w:r>
        <w:rPr>
          <w:spacing w:val="-3"/>
        </w:rPr>
        <w:t xml:space="preserve"> </w:t>
      </w:r>
      <w:r>
        <w:t>view</w:t>
      </w:r>
      <w:r>
        <w:rPr>
          <w:spacing w:val="-3"/>
        </w:rPr>
        <w:t xml:space="preserve"> </w:t>
      </w:r>
      <w:r>
        <w:t>that</w:t>
      </w:r>
      <w:r>
        <w:rPr>
          <w:spacing w:val="-3"/>
        </w:rPr>
        <w:t xml:space="preserve"> </w:t>
      </w:r>
      <w:r>
        <w:t>M&amp;E</w:t>
      </w:r>
      <w:r>
        <w:rPr>
          <w:spacing w:val="-4"/>
        </w:rPr>
        <w:t xml:space="preserve"> </w:t>
      </w:r>
      <w:r>
        <w:t>was not</w:t>
      </w:r>
      <w:r>
        <w:rPr>
          <w:spacing w:val="-1"/>
        </w:rPr>
        <w:t xml:space="preserve"> </w:t>
      </w:r>
      <w:r>
        <w:t>useful to them but was only fulfilling a requirement for DFAT. Making reporting useful for both streams as well as fulfilling</w:t>
      </w:r>
      <w:r>
        <w:rPr>
          <w:spacing w:val="40"/>
        </w:rPr>
        <w:t xml:space="preserve"> </w:t>
      </w:r>
      <w:r>
        <w:t>a contractual requirement should be addressed in the design for the new phase.</w:t>
      </w:r>
    </w:p>
    <w:p w14:paraId="7672849D" w14:textId="77777777" w:rsidR="009C36E3" w:rsidRDefault="000E7207">
      <w:pPr>
        <w:pStyle w:val="BodyText"/>
        <w:spacing w:before="120"/>
      </w:pPr>
      <w:r>
        <w:t>There</w:t>
      </w:r>
      <w:r>
        <w:rPr>
          <w:spacing w:val="-3"/>
        </w:rPr>
        <w:t xml:space="preserve"> </w:t>
      </w:r>
      <w:r>
        <w:t>are</w:t>
      </w:r>
      <w:r>
        <w:rPr>
          <w:spacing w:val="-3"/>
        </w:rPr>
        <w:t xml:space="preserve"> </w:t>
      </w:r>
      <w:r>
        <w:t>some</w:t>
      </w:r>
      <w:r>
        <w:rPr>
          <w:spacing w:val="-1"/>
        </w:rPr>
        <w:t xml:space="preserve"> </w:t>
      </w:r>
      <w:r>
        <w:t>excellent</w:t>
      </w:r>
      <w:r>
        <w:rPr>
          <w:spacing w:val="-1"/>
        </w:rPr>
        <w:t xml:space="preserve"> </w:t>
      </w:r>
      <w:r>
        <w:t>elements</w:t>
      </w:r>
      <w:r>
        <w:rPr>
          <w:spacing w:val="-2"/>
        </w:rPr>
        <w:t xml:space="preserve"> </w:t>
      </w:r>
      <w:r>
        <w:t>within</w:t>
      </w:r>
      <w:r>
        <w:rPr>
          <w:spacing w:val="-3"/>
        </w:rPr>
        <w:t xml:space="preserve"> </w:t>
      </w:r>
      <w:r>
        <w:t>the</w:t>
      </w:r>
      <w:r>
        <w:rPr>
          <w:spacing w:val="-3"/>
        </w:rPr>
        <w:t xml:space="preserve"> </w:t>
      </w:r>
      <w:r>
        <w:t>reports</w:t>
      </w:r>
      <w:r>
        <w:rPr>
          <w:spacing w:val="-2"/>
        </w:rPr>
        <w:t xml:space="preserve"> </w:t>
      </w:r>
      <w:r>
        <w:t>and</w:t>
      </w:r>
      <w:r>
        <w:rPr>
          <w:spacing w:val="-3"/>
        </w:rPr>
        <w:t xml:space="preserve"> </w:t>
      </w:r>
      <w:r>
        <w:t>data.</w:t>
      </w:r>
      <w:r>
        <w:rPr>
          <w:spacing w:val="-3"/>
        </w:rPr>
        <w:t xml:space="preserve"> </w:t>
      </w:r>
      <w:r>
        <w:t>These</w:t>
      </w:r>
      <w:r>
        <w:rPr>
          <w:spacing w:val="-1"/>
        </w:rPr>
        <w:t xml:space="preserve"> </w:t>
      </w:r>
      <w:r>
        <w:t>include</w:t>
      </w:r>
      <w:r>
        <w:rPr>
          <w:spacing w:val="-1"/>
        </w:rPr>
        <w:t xml:space="preserve"> </w:t>
      </w:r>
      <w:r>
        <w:t>the</w:t>
      </w:r>
      <w:r>
        <w:rPr>
          <w:spacing w:val="-1"/>
        </w:rPr>
        <w:t xml:space="preserve"> </w:t>
      </w:r>
      <w:r>
        <w:t>infographics,</w:t>
      </w:r>
      <w:r>
        <w:rPr>
          <w:spacing w:val="-3"/>
        </w:rPr>
        <w:t xml:space="preserve"> </w:t>
      </w:r>
      <w:r>
        <w:t>dashboard</w:t>
      </w:r>
      <w:r>
        <w:rPr>
          <w:spacing w:val="-3"/>
        </w:rPr>
        <w:t xml:space="preserve"> </w:t>
      </w:r>
      <w:r>
        <w:t>and</w:t>
      </w:r>
      <w:r>
        <w:rPr>
          <w:spacing w:val="-3"/>
        </w:rPr>
        <w:t xml:space="preserve"> </w:t>
      </w:r>
      <w:r>
        <w:t>the PJSS, which provides a baseline for community awareness and perceptions. It adds an important element of longitudinal and qualitative data, based on a remote survey and in-person FGDs, which is otherwise missing. The infographics</w:t>
      </w:r>
      <w:r>
        <w:rPr>
          <w:spacing w:val="-3"/>
        </w:rPr>
        <w:t xml:space="preserve"> </w:t>
      </w:r>
      <w:r>
        <w:t>reflect</w:t>
      </w:r>
      <w:r>
        <w:rPr>
          <w:spacing w:val="-4"/>
        </w:rPr>
        <w:t xml:space="preserve"> </w:t>
      </w:r>
      <w:r>
        <w:t>VAPJP</w:t>
      </w:r>
      <w:r>
        <w:rPr>
          <w:spacing w:val="-2"/>
        </w:rPr>
        <w:t xml:space="preserve"> </w:t>
      </w:r>
      <w:r>
        <w:t>management’s</w:t>
      </w:r>
      <w:r>
        <w:rPr>
          <w:spacing w:val="-3"/>
        </w:rPr>
        <w:t xml:space="preserve"> </w:t>
      </w:r>
      <w:r>
        <w:t>local</w:t>
      </w:r>
      <w:r>
        <w:rPr>
          <w:spacing w:val="-5"/>
        </w:rPr>
        <w:t xml:space="preserve"> </w:t>
      </w:r>
      <w:r>
        <w:t>knowledge</w:t>
      </w:r>
      <w:r>
        <w:rPr>
          <w:spacing w:val="-2"/>
        </w:rPr>
        <w:t xml:space="preserve"> </w:t>
      </w:r>
      <w:r>
        <w:t>and</w:t>
      </w:r>
      <w:r>
        <w:rPr>
          <w:spacing w:val="-4"/>
        </w:rPr>
        <w:t xml:space="preserve"> </w:t>
      </w:r>
      <w:r>
        <w:t>respect</w:t>
      </w:r>
      <w:r>
        <w:rPr>
          <w:spacing w:val="-4"/>
        </w:rPr>
        <w:t xml:space="preserve"> </w:t>
      </w:r>
      <w:r>
        <w:t>for</w:t>
      </w:r>
      <w:r>
        <w:rPr>
          <w:spacing w:val="-3"/>
        </w:rPr>
        <w:t xml:space="preserve"> </w:t>
      </w:r>
      <w:r>
        <w:t>local</w:t>
      </w:r>
      <w:r>
        <w:rPr>
          <w:spacing w:val="-3"/>
        </w:rPr>
        <w:t xml:space="preserve"> </w:t>
      </w:r>
      <w:r>
        <w:t>ways</w:t>
      </w:r>
      <w:r>
        <w:rPr>
          <w:spacing w:val="-3"/>
        </w:rPr>
        <w:t xml:space="preserve"> </w:t>
      </w:r>
      <w:r>
        <w:t>of</w:t>
      </w:r>
      <w:r>
        <w:rPr>
          <w:spacing w:val="-4"/>
        </w:rPr>
        <w:t xml:space="preserve"> </w:t>
      </w:r>
      <w:r>
        <w:t>working.</w:t>
      </w:r>
      <w:r>
        <w:rPr>
          <w:spacing w:val="-4"/>
        </w:rPr>
        <w:t xml:space="preserve"> </w:t>
      </w:r>
      <w:r>
        <w:t>One</w:t>
      </w:r>
      <w:r>
        <w:rPr>
          <w:spacing w:val="-4"/>
        </w:rPr>
        <w:t xml:space="preserve"> </w:t>
      </w:r>
      <w:r>
        <w:t>government leader</w:t>
      </w:r>
      <w:r>
        <w:rPr>
          <w:spacing w:val="-2"/>
        </w:rPr>
        <w:t xml:space="preserve"> </w:t>
      </w:r>
      <w:r>
        <w:t>declared:</w:t>
      </w:r>
      <w:r>
        <w:rPr>
          <w:spacing w:val="-3"/>
        </w:rPr>
        <w:t xml:space="preserve"> </w:t>
      </w:r>
      <w:r>
        <w:t>“No</w:t>
      </w:r>
      <w:r>
        <w:rPr>
          <w:spacing w:val="-1"/>
        </w:rPr>
        <w:t xml:space="preserve"> </w:t>
      </w:r>
      <w:r>
        <w:t>one</w:t>
      </w:r>
      <w:r>
        <w:rPr>
          <w:spacing w:val="-1"/>
        </w:rPr>
        <w:t xml:space="preserve"> </w:t>
      </w:r>
      <w:r>
        <w:t>in</w:t>
      </w:r>
      <w:r>
        <w:rPr>
          <w:spacing w:val="-1"/>
        </w:rPr>
        <w:t xml:space="preserve"> </w:t>
      </w:r>
      <w:r>
        <w:t>Vanuatu</w:t>
      </w:r>
      <w:r>
        <w:rPr>
          <w:spacing w:val="-3"/>
        </w:rPr>
        <w:t xml:space="preserve"> </w:t>
      </w:r>
      <w:r>
        <w:t>reads!”</w:t>
      </w:r>
      <w:r>
        <w:rPr>
          <w:spacing w:val="-2"/>
        </w:rPr>
        <w:t xml:space="preserve"> </w:t>
      </w:r>
      <w:r>
        <w:t>and</w:t>
      </w:r>
      <w:r>
        <w:rPr>
          <w:spacing w:val="-1"/>
        </w:rPr>
        <w:t xml:space="preserve"> </w:t>
      </w:r>
      <w:r>
        <w:t>commended</w:t>
      </w:r>
      <w:r>
        <w:rPr>
          <w:spacing w:val="-3"/>
        </w:rPr>
        <w:t xml:space="preserve"> </w:t>
      </w:r>
      <w:r>
        <w:t>the</w:t>
      </w:r>
      <w:r>
        <w:rPr>
          <w:spacing w:val="-1"/>
        </w:rPr>
        <w:t xml:space="preserve"> </w:t>
      </w:r>
      <w:r>
        <w:t>infographics</w:t>
      </w:r>
      <w:r>
        <w:rPr>
          <w:spacing w:val="-2"/>
        </w:rPr>
        <w:t xml:space="preserve"> </w:t>
      </w:r>
      <w:r>
        <w:t>as</w:t>
      </w:r>
      <w:r>
        <w:rPr>
          <w:spacing w:val="-2"/>
        </w:rPr>
        <w:t xml:space="preserve"> </w:t>
      </w:r>
      <w:r>
        <w:t>a</w:t>
      </w:r>
      <w:r>
        <w:rPr>
          <w:spacing w:val="-3"/>
        </w:rPr>
        <w:t xml:space="preserve"> </w:t>
      </w:r>
      <w:r>
        <w:t>better</w:t>
      </w:r>
      <w:r>
        <w:rPr>
          <w:spacing w:val="-2"/>
        </w:rPr>
        <w:t xml:space="preserve"> </w:t>
      </w:r>
      <w:r>
        <w:t>way</w:t>
      </w:r>
      <w:r>
        <w:rPr>
          <w:spacing w:val="-2"/>
        </w:rPr>
        <w:t xml:space="preserve"> </w:t>
      </w:r>
      <w:r>
        <w:t>to</w:t>
      </w:r>
      <w:r>
        <w:rPr>
          <w:spacing w:val="-1"/>
        </w:rPr>
        <w:t xml:space="preserve"> </w:t>
      </w:r>
      <w:r>
        <w:t>share</w:t>
      </w:r>
      <w:r>
        <w:rPr>
          <w:spacing w:val="-1"/>
        </w:rPr>
        <w:t xml:space="preserve"> </w:t>
      </w:r>
      <w:r>
        <w:t>information with local leaders and teams. These tools are useful ways to communicate detail and highlights that are shared in PMGs and appreciated. They could be improved by moving from presenting a snapshot of activities, to showing higher level analysis against outcomes that might inform policy and strategy.</w:t>
      </w:r>
    </w:p>
    <w:p w14:paraId="22567612" w14:textId="77777777" w:rsidR="009C36E3" w:rsidRDefault="000E7207">
      <w:pPr>
        <w:pStyle w:val="BodyText"/>
        <w:spacing w:before="121"/>
        <w:ind w:right="353"/>
      </w:pPr>
      <w:r>
        <w:t>Another</w:t>
      </w:r>
      <w:r>
        <w:rPr>
          <w:spacing w:val="-3"/>
        </w:rPr>
        <w:t xml:space="preserve"> </w:t>
      </w:r>
      <w:r>
        <w:t>area</w:t>
      </w:r>
      <w:r>
        <w:rPr>
          <w:spacing w:val="-4"/>
        </w:rPr>
        <w:t xml:space="preserve"> </w:t>
      </w:r>
      <w:r>
        <w:t>of</w:t>
      </w:r>
      <w:r>
        <w:rPr>
          <w:spacing w:val="-4"/>
        </w:rPr>
        <w:t xml:space="preserve"> </w:t>
      </w:r>
      <w:r>
        <w:t>strength</w:t>
      </w:r>
      <w:r>
        <w:rPr>
          <w:spacing w:val="-4"/>
        </w:rPr>
        <w:t xml:space="preserve"> </w:t>
      </w:r>
      <w:r>
        <w:t>is the</w:t>
      </w:r>
      <w:r>
        <w:rPr>
          <w:spacing w:val="-4"/>
        </w:rPr>
        <w:t xml:space="preserve"> </w:t>
      </w:r>
      <w:r>
        <w:t>strong</w:t>
      </w:r>
      <w:r>
        <w:rPr>
          <w:spacing w:val="-4"/>
        </w:rPr>
        <w:t xml:space="preserve"> </w:t>
      </w:r>
      <w:r>
        <w:t>data</w:t>
      </w:r>
      <w:r>
        <w:rPr>
          <w:spacing w:val="-4"/>
        </w:rPr>
        <w:t xml:space="preserve"> </w:t>
      </w:r>
      <w:r>
        <w:t>presented</w:t>
      </w:r>
      <w:r>
        <w:rPr>
          <w:spacing w:val="-4"/>
        </w:rPr>
        <w:t xml:space="preserve"> </w:t>
      </w:r>
      <w:r>
        <w:t>around</w:t>
      </w:r>
      <w:r>
        <w:rPr>
          <w:spacing w:val="-2"/>
        </w:rPr>
        <w:t xml:space="preserve"> </w:t>
      </w:r>
      <w:r>
        <w:t>progress</w:t>
      </w:r>
      <w:r>
        <w:rPr>
          <w:spacing w:val="-3"/>
        </w:rPr>
        <w:t xml:space="preserve"> </w:t>
      </w:r>
      <w:r>
        <w:t>and</w:t>
      </w:r>
      <w:r>
        <w:rPr>
          <w:spacing w:val="-4"/>
        </w:rPr>
        <w:t xml:space="preserve"> </w:t>
      </w:r>
      <w:r>
        <w:t>efficiency,</w:t>
      </w:r>
      <w:r>
        <w:rPr>
          <w:spacing w:val="-4"/>
        </w:rPr>
        <w:t xml:space="preserve"> </w:t>
      </w:r>
      <w:r>
        <w:t>including</w:t>
      </w:r>
      <w:r>
        <w:rPr>
          <w:spacing w:val="-4"/>
        </w:rPr>
        <w:t xml:space="preserve"> </w:t>
      </w:r>
      <w:r>
        <w:t>a</w:t>
      </w:r>
      <w:r>
        <w:rPr>
          <w:spacing w:val="-2"/>
        </w:rPr>
        <w:t xml:space="preserve"> </w:t>
      </w:r>
      <w:r>
        <w:t>detailed</w:t>
      </w:r>
      <w:r>
        <w:rPr>
          <w:spacing w:val="-2"/>
        </w:rPr>
        <w:t xml:space="preserve"> </w:t>
      </w:r>
      <w:r>
        <w:t xml:space="preserve">annex showing progress and expenditure against the costed workplan. This allows for clear tracking of outputs and </w:t>
      </w:r>
      <w:r>
        <w:rPr>
          <w:spacing w:val="-2"/>
        </w:rPr>
        <w:t>spend.</w:t>
      </w:r>
    </w:p>
    <w:p w14:paraId="69FC4DE7" w14:textId="77777777" w:rsidR="009C36E3" w:rsidRDefault="000E7207">
      <w:pPr>
        <w:pStyle w:val="Heading7"/>
        <w:spacing w:before="119"/>
      </w:pPr>
      <w:r>
        <w:t>Theory</w:t>
      </w:r>
      <w:r>
        <w:rPr>
          <w:spacing w:val="-7"/>
        </w:rPr>
        <w:t xml:space="preserve"> </w:t>
      </w:r>
      <w:r>
        <w:t>of</w:t>
      </w:r>
      <w:r>
        <w:rPr>
          <w:spacing w:val="-7"/>
        </w:rPr>
        <w:t xml:space="preserve"> </w:t>
      </w:r>
      <w:r>
        <w:t>change</w:t>
      </w:r>
      <w:r>
        <w:rPr>
          <w:spacing w:val="-7"/>
        </w:rPr>
        <w:t xml:space="preserve"> </w:t>
      </w:r>
      <w:r>
        <w:t>and</w:t>
      </w:r>
      <w:r>
        <w:rPr>
          <w:spacing w:val="-6"/>
        </w:rPr>
        <w:t xml:space="preserve"> </w:t>
      </w:r>
      <w:r>
        <w:t>measurable</w:t>
      </w:r>
      <w:r>
        <w:rPr>
          <w:spacing w:val="-7"/>
        </w:rPr>
        <w:t xml:space="preserve"> </w:t>
      </w:r>
      <w:r>
        <w:rPr>
          <w:spacing w:val="-2"/>
        </w:rPr>
        <w:t>outcomes</w:t>
      </w:r>
    </w:p>
    <w:p w14:paraId="0F458E0F" w14:textId="77777777" w:rsidR="009C36E3" w:rsidRDefault="000E7207">
      <w:pPr>
        <w:pStyle w:val="BodyText"/>
        <w:spacing w:before="121"/>
      </w:pPr>
      <w:r>
        <w:t>VAPJP, particularly the justice stream, struggles to communicate its successes in the absence of a ToC with measurable outcomes and targets. The EOPOs and IOs established during the VAPJP Design update were deliberately</w:t>
      </w:r>
      <w:r>
        <w:rPr>
          <w:spacing w:val="-2"/>
        </w:rPr>
        <w:t xml:space="preserve"> </w:t>
      </w:r>
      <w:r>
        <w:t>broad,</w:t>
      </w:r>
      <w:r>
        <w:rPr>
          <w:spacing w:val="-3"/>
        </w:rPr>
        <w:t xml:space="preserve"> </w:t>
      </w:r>
      <w:r>
        <w:t>to</w:t>
      </w:r>
      <w:r>
        <w:rPr>
          <w:spacing w:val="-1"/>
        </w:rPr>
        <w:t xml:space="preserve"> </w:t>
      </w:r>
      <w:r>
        <w:t>allow VAPJP</w:t>
      </w:r>
      <w:r>
        <w:rPr>
          <w:spacing w:val="-4"/>
        </w:rPr>
        <w:t xml:space="preserve"> </w:t>
      </w:r>
      <w:r>
        <w:t>to</w:t>
      </w:r>
      <w:r>
        <w:rPr>
          <w:spacing w:val="-3"/>
        </w:rPr>
        <w:t xml:space="preserve"> </w:t>
      </w:r>
      <w:r>
        <w:t>evolve</w:t>
      </w:r>
      <w:r>
        <w:rPr>
          <w:spacing w:val="-3"/>
        </w:rPr>
        <w:t xml:space="preserve"> </w:t>
      </w:r>
      <w:r>
        <w:t>in</w:t>
      </w:r>
      <w:r>
        <w:rPr>
          <w:spacing w:val="-3"/>
        </w:rPr>
        <w:t xml:space="preserve"> </w:t>
      </w:r>
      <w:r>
        <w:t>line</w:t>
      </w:r>
      <w:r>
        <w:rPr>
          <w:spacing w:val="-3"/>
        </w:rPr>
        <w:t xml:space="preserve"> </w:t>
      </w:r>
      <w:r>
        <w:t>with</w:t>
      </w:r>
      <w:r>
        <w:rPr>
          <w:spacing w:val="-3"/>
        </w:rPr>
        <w:t xml:space="preserve"> </w:t>
      </w:r>
      <w:r>
        <w:t>government</w:t>
      </w:r>
      <w:r>
        <w:rPr>
          <w:spacing w:val="-3"/>
        </w:rPr>
        <w:t xml:space="preserve"> </w:t>
      </w:r>
      <w:r>
        <w:t>priorities</w:t>
      </w:r>
      <w:r>
        <w:rPr>
          <w:spacing w:val="-2"/>
        </w:rPr>
        <w:t xml:space="preserve"> </w:t>
      </w:r>
      <w:r>
        <w:t>and</w:t>
      </w:r>
      <w:r>
        <w:rPr>
          <w:spacing w:val="-1"/>
        </w:rPr>
        <w:t xml:space="preserve"> </w:t>
      </w:r>
      <w:r>
        <w:t>to</w:t>
      </w:r>
      <w:r>
        <w:rPr>
          <w:spacing w:val="-3"/>
        </w:rPr>
        <w:t xml:space="preserve"> </w:t>
      </w:r>
      <w:r>
        <w:t>be</w:t>
      </w:r>
      <w:r>
        <w:rPr>
          <w:spacing w:val="-3"/>
        </w:rPr>
        <w:t xml:space="preserve"> </w:t>
      </w:r>
      <w:r>
        <w:t>flexible</w:t>
      </w:r>
      <w:r>
        <w:rPr>
          <w:spacing w:val="-1"/>
        </w:rPr>
        <w:t xml:space="preserve"> </w:t>
      </w:r>
      <w:r>
        <w:t>and</w:t>
      </w:r>
      <w:r>
        <w:rPr>
          <w:spacing w:val="-3"/>
        </w:rPr>
        <w:t xml:space="preserve"> </w:t>
      </w:r>
      <w:r>
        <w:t>responsive</w:t>
      </w:r>
      <w:r>
        <w:rPr>
          <w:spacing w:val="-3"/>
        </w:rPr>
        <w:t xml:space="preserve"> </w:t>
      </w:r>
      <w:r>
        <w:t>to partner government requests, especially in policing. However, this has contributed to gaps including:</w:t>
      </w:r>
    </w:p>
    <w:p w14:paraId="7A678194" w14:textId="77777777" w:rsidR="009C36E3" w:rsidRDefault="000E7207">
      <w:pPr>
        <w:pStyle w:val="ListParagraph"/>
        <w:numPr>
          <w:ilvl w:val="0"/>
          <w:numId w:val="25"/>
        </w:numPr>
        <w:tabs>
          <w:tab w:val="left" w:pos="1128"/>
        </w:tabs>
        <w:spacing w:before="122" w:line="244" w:lineRule="exact"/>
        <w:ind w:hanging="357"/>
        <w:rPr>
          <w:sz w:val="20"/>
        </w:rPr>
      </w:pPr>
      <w:r>
        <w:rPr>
          <w:sz w:val="20"/>
        </w:rPr>
        <w:t>A</w:t>
      </w:r>
      <w:r>
        <w:rPr>
          <w:spacing w:val="-6"/>
          <w:sz w:val="20"/>
        </w:rPr>
        <w:t xml:space="preserve"> </w:t>
      </w:r>
      <w:r>
        <w:rPr>
          <w:sz w:val="20"/>
        </w:rPr>
        <w:t>lack</w:t>
      </w:r>
      <w:r>
        <w:rPr>
          <w:spacing w:val="-4"/>
          <w:sz w:val="20"/>
        </w:rPr>
        <w:t xml:space="preserve"> </w:t>
      </w:r>
      <w:r>
        <w:rPr>
          <w:sz w:val="20"/>
        </w:rPr>
        <w:t>of</w:t>
      </w:r>
      <w:r>
        <w:rPr>
          <w:spacing w:val="-5"/>
          <w:sz w:val="20"/>
        </w:rPr>
        <w:t xml:space="preserve"> </w:t>
      </w:r>
      <w:r>
        <w:rPr>
          <w:sz w:val="20"/>
        </w:rPr>
        <w:t>direction</w:t>
      </w:r>
      <w:r>
        <w:rPr>
          <w:spacing w:val="-5"/>
          <w:sz w:val="20"/>
        </w:rPr>
        <w:t xml:space="preserve"> </w:t>
      </w:r>
      <w:r>
        <w:rPr>
          <w:sz w:val="20"/>
        </w:rPr>
        <w:t>for</w:t>
      </w:r>
      <w:r>
        <w:rPr>
          <w:spacing w:val="-4"/>
          <w:sz w:val="20"/>
        </w:rPr>
        <w:t xml:space="preserve"> </w:t>
      </w:r>
      <w:r>
        <w:rPr>
          <w:sz w:val="20"/>
        </w:rPr>
        <w:t>staff</w:t>
      </w:r>
      <w:r>
        <w:rPr>
          <w:spacing w:val="-3"/>
          <w:sz w:val="20"/>
        </w:rPr>
        <w:t xml:space="preserve"> </w:t>
      </w:r>
      <w:r>
        <w:rPr>
          <w:sz w:val="20"/>
        </w:rPr>
        <w:t>and</w:t>
      </w:r>
      <w:r>
        <w:rPr>
          <w:spacing w:val="-3"/>
          <w:sz w:val="20"/>
        </w:rPr>
        <w:t xml:space="preserve"> </w:t>
      </w:r>
      <w:r>
        <w:rPr>
          <w:spacing w:val="-2"/>
          <w:sz w:val="20"/>
        </w:rPr>
        <w:t>advisers</w:t>
      </w:r>
    </w:p>
    <w:p w14:paraId="6FE30A71" w14:textId="77777777" w:rsidR="009C36E3" w:rsidRDefault="000E7207">
      <w:pPr>
        <w:pStyle w:val="ListParagraph"/>
        <w:numPr>
          <w:ilvl w:val="0"/>
          <w:numId w:val="25"/>
        </w:numPr>
        <w:tabs>
          <w:tab w:val="left" w:pos="1128"/>
        </w:tabs>
        <w:spacing w:line="242" w:lineRule="exact"/>
        <w:ind w:hanging="357"/>
        <w:rPr>
          <w:sz w:val="20"/>
        </w:rPr>
      </w:pPr>
      <w:r>
        <w:rPr>
          <w:sz w:val="20"/>
        </w:rPr>
        <w:t>Difficulty</w:t>
      </w:r>
      <w:r>
        <w:rPr>
          <w:spacing w:val="-5"/>
          <w:sz w:val="20"/>
        </w:rPr>
        <w:t xml:space="preserve"> </w:t>
      </w:r>
      <w:r>
        <w:rPr>
          <w:sz w:val="20"/>
        </w:rPr>
        <w:t>linking</w:t>
      </w:r>
      <w:r>
        <w:rPr>
          <w:spacing w:val="-6"/>
          <w:sz w:val="20"/>
        </w:rPr>
        <w:t xml:space="preserve"> </w:t>
      </w:r>
      <w:r>
        <w:rPr>
          <w:sz w:val="20"/>
        </w:rPr>
        <w:t>activities</w:t>
      </w:r>
      <w:r>
        <w:rPr>
          <w:spacing w:val="-7"/>
          <w:sz w:val="20"/>
        </w:rPr>
        <w:t xml:space="preserve"> </w:t>
      </w:r>
      <w:r>
        <w:rPr>
          <w:sz w:val="20"/>
        </w:rPr>
        <w:t>to</w:t>
      </w:r>
      <w:r>
        <w:rPr>
          <w:spacing w:val="-6"/>
          <w:sz w:val="20"/>
        </w:rPr>
        <w:t xml:space="preserve"> </w:t>
      </w:r>
      <w:r>
        <w:rPr>
          <w:sz w:val="20"/>
        </w:rPr>
        <w:t>outcomes,</w:t>
      </w:r>
      <w:r>
        <w:rPr>
          <w:spacing w:val="-8"/>
          <w:sz w:val="20"/>
        </w:rPr>
        <w:t xml:space="preserve"> </w:t>
      </w:r>
      <w:r>
        <w:rPr>
          <w:sz w:val="20"/>
        </w:rPr>
        <w:t>to</w:t>
      </w:r>
      <w:r>
        <w:rPr>
          <w:spacing w:val="-8"/>
          <w:sz w:val="20"/>
        </w:rPr>
        <w:t xml:space="preserve"> </w:t>
      </w:r>
      <w:r>
        <w:rPr>
          <w:sz w:val="20"/>
        </w:rPr>
        <w:t>show</w:t>
      </w:r>
      <w:r>
        <w:rPr>
          <w:spacing w:val="-8"/>
          <w:sz w:val="20"/>
        </w:rPr>
        <w:t xml:space="preserve"> </w:t>
      </w:r>
      <w:r>
        <w:rPr>
          <w:sz w:val="20"/>
        </w:rPr>
        <w:t>the</w:t>
      </w:r>
      <w:r>
        <w:rPr>
          <w:spacing w:val="-6"/>
          <w:sz w:val="20"/>
        </w:rPr>
        <w:t xml:space="preserve"> </w:t>
      </w:r>
      <w:r>
        <w:rPr>
          <w:sz w:val="20"/>
        </w:rPr>
        <w:t>program’s</w:t>
      </w:r>
      <w:r>
        <w:rPr>
          <w:spacing w:val="-7"/>
          <w:sz w:val="20"/>
        </w:rPr>
        <w:t xml:space="preserve"> </w:t>
      </w:r>
      <w:r>
        <w:rPr>
          <w:sz w:val="20"/>
        </w:rPr>
        <w:t>contribution</w:t>
      </w:r>
      <w:r>
        <w:rPr>
          <w:spacing w:val="-8"/>
          <w:sz w:val="20"/>
        </w:rPr>
        <w:t xml:space="preserve"> </w:t>
      </w:r>
      <w:r>
        <w:rPr>
          <w:sz w:val="20"/>
        </w:rPr>
        <w:t>to</w:t>
      </w:r>
      <w:r>
        <w:rPr>
          <w:spacing w:val="-8"/>
          <w:sz w:val="20"/>
        </w:rPr>
        <w:t xml:space="preserve"> </w:t>
      </w:r>
      <w:r>
        <w:rPr>
          <w:spacing w:val="-2"/>
          <w:sz w:val="20"/>
        </w:rPr>
        <w:t>change</w:t>
      </w:r>
    </w:p>
    <w:p w14:paraId="74147EAB" w14:textId="77777777" w:rsidR="009C36E3" w:rsidRDefault="000E7207">
      <w:pPr>
        <w:pStyle w:val="ListParagraph"/>
        <w:numPr>
          <w:ilvl w:val="0"/>
          <w:numId w:val="25"/>
        </w:numPr>
        <w:tabs>
          <w:tab w:val="left" w:pos="1128"/>
        </w:tabs>
        <w:spacing w:line="244" w:lineRule="exact"/>
        <w:ind w:hanging="357"/>
        <w:rPr>
          <w:sz w:val="20"/>
        </w:rPr>
      </w:pPr>
      <w:r>
        <w:rPr>
          <w:sz w:val="20"/>
        </w:rPr>
        <w:t>Difficulty</w:t>
      </w:r>
      <w:r>
        <w:rPr>
          <w:spacing w:val="-5"/>
          <w:sz w:val="20"/>
        </w:rPr>
        <w:t xml:space="preserve"> </w:t>
      </w:r>
      <w:r>
        <w:rPr>
          <w:sz w:val="20"/>
        </w:rPr>
        <w:t>identifying</w:t>
      </w:r>
      <w:r>
        <w:rPr>
          <w:spacing w:val="-9"/>
          <w:sz w:val="20"/>
        </w:rPr>
        <w:t xml:space="preserve"> </w:t>
      </w:r>
      <w:r>
        <w:rPr>
          <w:sz w:val="20"/>
        </w:rPr>
        <w:t>relevant</w:t>
      </w:r>
      <w:r>
        <w:rPr>
          <w:spacing w:val="-8"/>
          <w:sz w:val="20"/>
        </w:rPr>
        <w:t xml:space="preserve"> </w:t>
      </w:r>
      <w:r>
        <w:rPr>
          <w:sz w:val="20"/>
        </w:rPr>
        <w:t>targets</w:t>
      </w:r>
      <w:r>
        <w:rPr>
          <w:spacing w:val="-5"/>
          <w:sz w:val="20"/>
        </w:rPr>
        <w:t xml:space="preserve"> </w:t>
      </w:r>
      <w:r>
        <w:rPr>
          <w:sz w:val="20"/>
        </w:rPr>
        <w:t>and</w:t>
      </w:r>
      <w:r>
        <w:rPr>
          <w:spacing w:val="-7"/>
          <w:sz w:val="20"/>
        </w:rPr>
        <w:t xml:space="preserve"> </w:t>
      </w:r>
      <w:r>
        <w:rPr>
          <w:sz w:val="20"/>
        </w:rPr>
        <w:t>indicators</w:t>
      </w:r>
      <w:r>
        <w:rPr>
          <w:spacing w:val="-6"/>
          <w:sz w:val="20"/>
        </w:rPr>
        <w:t xml:space="preserve"> </w:t>
      </w:r>
      <w:r>
        <w:rPr>
          <w:sz w:val="20"/>
        </w:rPr>
        <w:t>for</w:t>
      </w:r>
      <w:r>
        <w:rPr>
          <w:spacing w:val="-8"/>
          <w:sz w:val="20"/>
        </w:rPr>
        <w:t xml:space="preserve"> </w:t>
      </w:r>
      <w:r>
        <w:rPr>
          <w:sz w:val="20"/>
        </w:rPr>
        <w:t>IOs</w:t>
      </w:r>
      <w:r>
        <w:rPr>
          <w:spacing w:val="-8"/>
          <w:sz w:val="20"/>
        </w:rPr>
        <w:t xml:space="preserve"> </w:t>
      </w:r>
      <w:r>
        <w:rPr>
          <w:sz w:val="20"/>
        </w:rPr>
        <w:t>and</w:t>
      </w:r>
      <w:r>
        <w:rPr>
          <w:spacing w:val="-8"/>
          <w:sz w:val="20"/>
        </w:rPr>
        <w:t xml:space="preserve"> </w:t>
      </w:r>
      <w:r>
        <w:rPr>
          <w:spacing w:val="-2"/>
          <w:sz w:val="20"/>
        </w:rPr>
        <w:t>EOPOs</w:t>
      </w:r>
    </w:p>
    <w:p w14:paraId="514C5C6F" w14:textId="77777777" w:rsidR="009C36E3" w:rsidRDefault="000E7207">
      <w:pPr>
        <w:pStyle w:val="ListParagraph"/>
        <w:numPr>
          <w:ilvl w:val="0"/>
          <w:numId w:val="25"/>
        </w:numPr>
        <w:tabs>
          <w:tab w:val="left" w:pos="1128"/>
        </w:tabs>
        <w:spacing w:line="243" w:lineRule="exact"/>
        <w:ind w:hanging="357"/>
        <w:rPr>
          <w:sz w:val="20"/>
        </w:rPr>
      </w:pPr>
      <w:r>
        <w:rPr>
          <w:sz w:val="20"/>
        </w:rPr>
        <w:t>Lengthy</w:t>
      </w:r>
      <w:r>
        <w:rPr>
          <w:spacing w:val="-7"/>
          <w:sz w:val="20"/>
        </w:rPr>
        <w:t xml:space="preserve"> </w:t>
      </w:r>
      <w:r>
        <w:rPr>
          <w:sz w:val="20"/>
        </w:rPr>
        <w:t>reporting,</w:t>
      </w:r>
      <w:r>
        <w:rPr>
          <w:spacing w:val="-7"/>
          <w:sz w:val="20"/>
        </w:rPr>
        <w:t xml:space="preserve"> </w:t>
      </w:r>
      <w:r>
        <w:rPr>
          <w:sz w:val="20"/>
        </w:rPr>
        <w:t>as</w:t>
      </w:r>
      <w:r>
        <w:rPr>
          <w:spacing w:val="-7"/>
          <w:sz w:val="20"/>
        </w:rPr>
        <w:t xml:space="preserve"> </w:t>
      </w:r>
      <w:r>
        <w:rPr>
          <w:sz w:val="20"/>
        </w:rPr>
        <w:t>there</w:t>
      </w:r>
      <w:r>
        <w:rPr>
          <w:spacing w:val="-5"/>
          <w:sz w:val="20"/>
        </w:rPr>
        <w:t xml:space="preserve"> </w:t>
      </w:r>
      <w:r>
        <w:rPr>
          <w:sz w:val="20"/>
        </w:rPr>
        <w:t>is</w:t>
      </w:r>
      <w:r>
        <w:rPr>
          <w:spacing w:val="-7"/>
          <w:sz w:val="20"/>
        </w:rPr>
        <w:t xml:space="preserve"> </w:t>
      </w:r>
      <w:r>
        <w:rPr>
          <w:sz w:val="20"/>
        </w:rPr>
        <w:t>no</w:t>
      </w:r>
      <w:r>
        <w:rPr>
          <w:spacing w:val="-7"/>
          <w:sz w:val="20"/>
        </w:rPr>
        <w:t xml:space="preserve"> </w:t>
      </w:r>
      <w:r>
        <w:rPr>
          <w:sz w:val="20"/>
        </w:rPr>
        <w:t>clear</w:t>
      </w:r>
      <w:r>
        <w:rPr>
          <w:spacing w:val="-6"/>
          <w:sz w:val="20"/>
        </w:rPr>
        <w:t xml:space="preserve"> </w:t>
      </w:r>
      <w:r>
        <w:rPr>
          <w:sz w:val="20"/>
        </w:rPr>
        <w:t>framework</w:t>
      </w:r>
      <w:r>
        <w:rPr>
          <w:spacing w:val="-7"/>
          <w:sz w:val="20"/>
        </w:rPr>
        <w:t xml:space="preserve"> </w:t>
      </w:r>
      <w:r>
        <w:rPr>
          <w:sz w:val="20"/>
        </w:rPr>
        <w:t>to</w:t>
      </w:r>
      <w:r>
        <w:rPr>
          <w:spacing w:val="-7"/>
          <w:sz w:val="20"/>
        </w:rPr>
        <w:t xml:space="preserve"> </w:t>
      </w:r>
      <w:r>
        <w:rPr>
          <w:sz w:val="20"/>
        </w:rPr>
        <w:t>shape</w:t>
      </w:r>
      <w:r>
        <w:rPr>
          <w:spacing w:val="-6"/>
          <w:sz w:val="20"/>
        </w:rPr>
        <w:t xml:space="preserve"> </w:t>
      </w:r>
      <w:r>
        <w:rPr>
          <w:sz w:val="20"/>
        </w:rPr>
        <w:t>analysis</w:t>
      </w:r>
      <w:r>
        <w:rPr>
          <w:spacing w:val="-6"/>
          <w:sz w:val="20"/>
        </w:rPr>
        <w:t xml:space="preserve"> </w:t>
      </w:r>
      <w:r>
        <w:rPr>
          <w:sz w:val="20"/>
        </w:rPr>
        <w:t>towards</w:t>
      </w:r>
      <w:r>
        <w:rPr>
          <w:spacing w:val="-6"/>
          <w:sz w:val="20"/>
        </w:rPr>
        <w:t xml:space="preserve"> </w:t>
      </w:r>
      <w:r>
        <w:rPr>
          <w:sz w:val="20"/>
        </w:rPr>
        <w:t>outcomes;</w:t>
      </w:r>
      <w:r>
        <w:rPr>
          <w:spacing w:val="-8"/>
          <w:sz w:val="20"/>
        </w:rPr>
        <w:t xml:space="preserve"> </w:t>
      </w:r>
      <w:r>
        <w:rPr>
          <w:spacing w:val="-5"/>
          <w:sz w:val="20"/>
        </w:rPr>
        <w:t>and</w:t>
      </w:r>
    </w:p>
    <w:p w14:paraId="7982E0F8" w14:textId="77777777" w:rsidR="009C36E3" w:rsidRDefault="000E7207">
      <w:pPr>
        <w:pStyle w:val="BodyText"/>
        <w:ind w:left="1128"/>
      </w:pPr>
      <w:r>
        <w:t>Difficulty</w:t>
      </w:r>
      <w:r>
        <w:rPr>
          <w:spacing w:val="-3"/>
        </w:rPr>
        <w:t xml:space="preserve"> </w:t>
      </w:r>
      <w:r>
        <w:t>making</w:t>
      </w:r>
      <w:r>
        <w:rPr>
          <w:spacing w:val="-4"/>
        </w:rPr>
        <w:t xml:space="preserve"> </w:t>
      </w:r>
      <w:r>
        <w:t>strategic</w:t>
      </w:r>
      <w:r>
        <w:rPr>
          <w:spacing w:val="-3"/>
        </w:rPr>
        <w:t xml:space="preserve"> </w:t>
      </w:r>
      <w:r>
        <w:t>and</w:t>
      </w:r>
      <w:r>
        <w:rPr>
          <w:spacing w:val="-4"/>
        </w:rPr>
        <w:t xml:space="preserve"> </w:t>
      </w:r>
      <w:r>
        <w:t>management</w:t>
      </w:r>
      <w:r>
        <w:rPr>
          <w:spacing w:val="-4"/>
        </w:rPr>
        <w:t xml:space="preserve"> </w:t>
      </w:r>
      <w:r>
        <w:t>choices about</w:t>
      </w:r>
      <w:r>
        <w:rPr>
          <w:spacing w:val="-2"/>
        </w:rPr>
        <w:t xml:space="preserve"> </w:t>
      </w:r>
      <w:r>
        <w:t>which</w:t>
      </w:r>
      <w:r>
        <w:rPr>
          <w:spacing w:val="-2"/>
        </w:rPr>
        <w:t xml:space="preserve"> </w:t>
      </w:r>
      <w:r>
        <w:t>initiatives</w:t>
      </w:r>
      <w:r>
        <w:rPr>
          <w:spacing w:val="-3"/>
        </w:rPr>
        <w:t xml:space="preserve"> </w:t>
      </w:r>
      <w:r>
        <w:t>are</w:t>
      </w:r>
      <w:r>
        <w:rPr>
          <w:spacing w:val="-2"/>
        </w:rPr>
        <w:t xml:space="preserve"> </w:t>
      </w:r>
      <w:r>
        <w:t>most</w:t>
      </w:r>
      <w:r>
        <w:rPr>
          <w:spacing w:val="-4"/>
        </w:rPr>
        <w:t xml:space="preserve"> </w:t>
      </w:r>
      <w:r>
        <w:t>relevant</w:t>
      </w:r>
      <w:r>
        <w:rPr>
          <w:spacing w:val="-4"/>
        </w:rPr>
        <w:t xml:space="preserve"> </w:t>
      </w:r>
      <w:r>
        <w:t>and</w:t>
      </w:r>
      <w:r>
        <w:rPr>
          <w:spacing w:val="-2"/>
        </w:rPr>
        <w:t xml:space="preserve"> </w:t>
      </w:r>
      <w:r>
        <w:t>effective</w:t>
      </w:r>
      <w:r>
        <w:rPr>
          <w:spacing w:val="-4"/>
        </w:rPr>
        <w:t xml:space="preserve"> </w:t>
      </w:r>
      <w:r>
        <w:t xml:space="preserve">to </w:t>
      </w:r>
      <w:r>
        <w:rPr>
          <w:spacing w:val="-2"/>
        </w:rPr>
        <w:t>support.</w:t>
      </w:r>
    </w:p>
    <w:p w14:paraId="2CFD7159" w14:textId="77777777" w:rsidR="009C36E3" w:rsidRDefault="009C36E3">
      <w:pPr>
        <w:sectPr w:rsidR="009C36E3">
          <w:pgSz w:w="11910" w:h="16850"/>
          <w:pgMar w:top="1040" w:right="740" w:bottom="740" w:left="80" w:header="552" w:footer="559" w:gutter="0"/>
          <w:cols w:space="720"/>
        </w:sectPr>
      </w:pPr>
    </w:p>
    <w:p w14:paraId="11F22280" w14:textId="77777777" w:rsidR="009C36E3" w:rsidRDefault="000E7207">
      <w:pPr>
        <w:pStyle w:val="Heading7"/>
        <w:spacing w:before="91"/>
        <w:ind w:left="772"/>
      </w:pPr>
      <w:r>
        <w:t>Qualitative</w:t>
      </w:r>
      <w:r>
        <w:rPr>
          <w:spacing w:val="-8"/>
        </w:rPr>
        <w:t xml:space="preserve"> </w:t>
      </w:r>
      <w:r>
        <w:t>data</w:t>
      </w:r>
      <w:r>
        <w:rPr>
          <w:spacing w:val="-8"/>
        </w:rPr>
        <w:t xml:space="preserve"> </w:t>
      </w:r>
      <w:r>
        <w:t>to</w:t>
      </w:r>
      <w:r>
        <w:rPr>
          <w:spacing w:val="-7"/>
        </w:rPr>
        <w:t xml:space="preserve"> </w:t>
      </w:r>
      <w:r>
        <w:t>drive</w:t>
      </w:r>
      <w:r>
        <w:rPr>
          <w:spacing w:val="-8"/>
        </w:rPr>
        <w:t xml:space="preserve"> </w:t>
      </w:r>
      <w:r>
        <w:t>improvement</w:t>
      </w:r>
      <w:r>
        <w:rPr>
          <w:spacing w:val="-7"/>
        </w:rPr>
        <w:t xml:space="preserve"> </w:t>
      </w:r>
      <w:r>
        <w:t>and</w:t>
      </w:r>
      <w:r>
        <w:rPr>
          <w:spacing w:val="-7"/>
        </w:rPr>
        <w:t xml:space="preserve"> </w:t>
      </w:r>
      <w:r>
        <w:rPr>
          <w:spacing w:val="-2"/>
        </w:rPr>
        <w:t>learning</w:t>
      </w:r>
    </w:p>
    <w:p w14:paraId="112240B3" w14:textId="77777777" w:rsidR="009C36E3" w:rsidRDefault="000E7207">
      <w:pPr>
        <w:pStyle w:val="BodyText"/>
        <w:spacing w:before="120"/>
        <w:ind w:right="120"/>
      </w:pPr>
      <w:r>
        <w:t>Data</w:t>
      </w:r>
      <w:r>
        <w:rPr>
          <w:spacing w:val="-4"/>
        </w:rPr>
        <w:t xml:space="preserve"> </w:t>
      </w:r>
      <w:r>
        <w:t>within</w:t>
      </w:r>
      <w:r>
        <w:rPr>
          <w:spacing w:val="-2"/>
        </w:rPr>
        <w:t xml:space="preserve"> </w:t>
      </w:r>
      <w:r>
        <w:t>the</w:t>
      </w:r>
      <w:r>
        <w:rPr>
          <w:spacing w:val="-2"/>
        </w:rPr>
        <w:t xml:space="preserve"> </w:t>
      </w:r>
      <w:r>
        <w:t>MERL</w:t>
      </w:r>
      <w:r>
        <w:rPr>
          <w:spacing w:val="-4"/>
        </w:rPr>
        <w:t xml:space="preserve"> </w:t>
      </w:r>
      <w:r>
        <w:t>framework</w:t>
      </w:r>
      <w:r>
        <w:rPr>
          <w:spacing w:val="-3"/>
        </w:rPr>
        <w:t xml:space="preserve"> </w:t>
      </w:r>
      <w:r>
        <w:t>is</w:t>
      </w:r>
      <w:r>
        <w:rPr>
          <w:spacing w:val="-3"/>
        </w:rPr>
        <w:t xml:space="preserve"> </w:t>
      </w:r>
      <w:r>
        <w:t>predominantly</w:t>
      </w:r>
      <w:r>
        <w:rPr>
          <w:spacing w:val="-3"/>
        </w:rPr>
        <w:t xml:space="preserve"> </w:t>
      </w:r>
      <w:r>
        <w:t>quantitative,</w:t>
      </w:r>
      <w:r>
        <w:rPr>
          <w:spacing w:val="-2"/>
        </w:rPr>
        <w:t xml:space="preserve"> </w:t>
      </w:r>
      <w:r>
        <w:t>with</w:t>
      </w:r>
      <w:r>
        <w:rPr>
          <w:spacing w:val="-4"/>
        </w:rPr>
        <w:t xml:space="preserve"> </w:t>
      </w:r>
      <w:r>
        <w:t>qualitative</w:t>
      </w:r>
      <w:r>
        <w:rPr>
          <w:spacing w:val="-2"/>
        </w:rPr>
        <w:t xml:space="preserve"> </w:t>
      </w:r>
      <w:r>
        <w:t>data</w:t>
      </w:r>
      <w:r>
        <w:rPr>
          <w:spacing w:val="-4"/>
        </w:rPr>
        <w:t xml:space="preserve"> </w:t>
      </w:r>
      <w:r>
        <w:t>included</w:t>
      </w:r>
      <w:r>
        <w:rPr>
          <w:spacing w:val="-4"/>
        </w:rPr>
        <w:t xml:space="preserve"> </w:t>
      </w:r>
      <w:r>
        <w:t>through</w:t>
      </w:r>
      <w:r>
        <w:rPr>
          <w:spacing w:val="-4"/>
        </w:rPr>
        <w:t xml:space="preserve"> </w:t>
      </w:r>
      <w:r>
        <w:t>the</w:t>
      </w:r>
      <w:r>
        <w:rPr>
          <w:spacing w:val="-1"/>
        </w:rPr>
        <w:t xml:space="preserve"> </w:t>
      </w:r>
      <w:r>
        <w:t>PJSS</w:t>
      </w:r>
      <w:r>
        <w:rPr>
          <w:spacing w:val="-5"/>
        </w:rPr>
        <w:t xml:space="preserve"> </w:t>
      </w:r>
      <w:r>
        <w:t>and impact stories shared in reporting. This allows the program to demonstrate reach (e.g. #s trained and # locations) and to account for equipment distributed and infrastructure projects undertaken. It also provides public diplomacy material that can be shared via DFAT social media platforms. However, it does not allow the program to monitor or demonstrate fewer tangible successes that are critical in systems and capacity strengthening in the justice system, such as shifts in attitudes, behaviour change, and practice of trainees in specific technical areas.</w:t>
      </w:r>
    </w:p>
    <w:p w14:paraId="6A18CF58" w14:textId="77777777" w:rsidR="009C36E3" w:rsidRDefault="000E7207">
      <w:pPr>
        <w:pStyle w:val="BodyText"/>
        <w:spacing w:before="120"/>
        <w:ind w:right="167"/>
      </w:pPr>
      <w:r>
        <w:t>It is understood that the program struggled to devise suitable indicators for this kind of work when revising the MELF. To identify meaningful qualitative indicators, the program needs to start by defining quality and progress markers for specific activity areas, such as TA support for agency staff capacity development. This is particularly important where capacity is low, and hard won achievements need to be understood in context. It is likely that revisiting</w:t>
      </w:r>
      <w:r>
        <w:rPr>
          <w:spacing w:val="-3"/>
        </w:rPr>
        <w:t xml:space="preserve"> </w:t>
      </w:r>
      <w:r>
        <w:t>the</w:t>
      </w:r>
      <w:r>
        <w:rPr>
          <w:spacing w:val="-3"/>
        </w:rPr>
        <w:t xml:space="preserve"> </w:t>
      </w:r>
      <w:r>
        <w:t>more</w:t>
      </w:r>
      <w:r>
        <w:rPr>
          <w:spacing w:val="-3"/>
        </w:rPr>
        <w:t xml:space="preserve"> </w:t>
      </w:r>
      <w:r>
        <w:t>structured</w:t>
      </w:r>
      <w:r>
        <w:rPr>
          <w:spacing w:val="-3"/>
        </w:rPr>
        <w:t xml:space="preserve"> </w:t>
      </w:r>
      <w:r>
        <w:t>and</w:t>
      </w:r>
      <w:r>
        <w:rPr>
          <w:spacing w:val="-3"/>
        </w:rPr>
        <w:t xml:space="preserve"> </w:t>
      </w:r>
      <w:r>
        <w:t>purposeful</w:t>
      </w:r>
      <w:r>
        <w:rPr>
          <w:spacing w:val="-2"/>
        </w:rPr>
        <w:t xml:space="preserve"> </w:t>
      </w:r>
      <w:r>
        <w:t>approach</w:t>
      </w:r>
      <w:r>
        <w:rPr>
          <w:spacing w:val="-3"/>
        </w:rPr>
        <w:t xml:space="preserve"> </w:t>
      </w:r>
      <w:r>
        <w:t>to</w:t>
      </w:r>
      <w:r>
        <w:rPr>
          <w:spacing w:val="-3"/>
        </w:rPr>
        <w:t xml:space="preserve"> </w:t>
      </w:r>
      <w:r>
        <w:t>capacity</w:t>
      </w:r>
      <w:r>
        <w:rPr>
          <w:spacing w:val="-2"/>
        </w:rPr>
        <w:t xml:space="preserve"> </w:t>
      </w:r>
      <w:r>
        <w:t>building</w:t>
      </w:r>
      <w:r>
        <w:rPr>
          <w:spacing w:val="-3"/>
        </w:rPr>
        <w:t xml:space="preserve"> </w:t>
      </w:r>
      <w:r>
        <w:t>(and</w:t>
      </w:r>
      <w:r>
        <w:rPr>
          <w:spacing w:val="-1"/>
        </w:rPr>
        <w:t xml:space="preserve"> </w:t>
      </w:r>
      <w:r>
        <w:t>how it</w:t>
      </w:r>
      <w:r>
        <w:rPr>
          <w:spacing w:val="-3"/>
        </w:rPr>
        <w:t xml:space="preserve"> </w:t>
      </w:r>
      <w:r>
        <w:t>is</w:t>
      </w:r>
      <w:r>
        <w:rPr>
          <w:spacing w:val="-2"/>
        </w:rPr>
        <w:t xml:space="preserve"> </w:t>
      </w:r>
      <w:r>
        <w:t>to</w:t>
      </w:r>
      <w:r>
        <w:rPr>
          <w:spacing w:val="-3"/>
        </w:rPr>
        <w:t xml:space="preserve"> </w:t>
      </w:r>
      <w:r>
        <w:t>be</w:t>
      </w:r>
      <w:r>
        <w:rPr>
          <w:spacing w:val="-3"/>
        </w:rPr>
        <w:t xml:space="preserve"> </w:t>
      </w:r>
      <w:r>
        <w:t>measured)</w:t>
      </w:r>
      <w:r>
        <w:rPr>
          <w:spacing w:val="-2"/>
        </w:rPr>
        <w:t xml:space="preserve"> </w:t>
      </w:r>
      <w:r>
        <w:t>found</w:t>
      </w:r>
      <w:r>
        <w:rPr>
          <w:spacing w:val="-1"/>
        </w:rPr>
        <w:t xml:space="preserve"> </w:t>
      </w:r>
      <w:r>
        <w:t>in earlier iterations of the program (Stretem Rod Blo Jastis-SRBJ &amp; Policing and Justice Support Program Vanuatu- PJSPV)</w:t>
      </w:r>
      <w:r>
        <w:rPr>
          <w:spacing w:val="-2"/>
        </w:rPr>
        <w:t xml:space="preserve"> </w:t>
      </w:r>
      <w:r>
        <w:t>would</w:t>
      </w:r>
      <w:r>
        <w:rPr>
          <w:spacing w:val="-3"/>
        </w:rPr>
        <w:t xml:space="preserve"> </w:t>
      </w:r>
      <w:r>
        <w:t>be</w:t>
      </w:r>
      <w:r>
        <w:rPr>
          <w:spacing w:val="-3"/>
        </w:rPr>
        <w:t xml:space="preserve"> </w:t>
      </w:r>
      <w:r>
        <w:t>helpful. Communicating</w:t>
      </w:r>
      <w:r>
        <w:rPr>
          <w:spacing w:val="-3"/>
        </w:rPr>
        <w:t xml:space="preserve"> </w:t>
      </w:r>
      <w:r>
        <w:t>change</w:t>
      </w:r>
      <w:r>
        <w:rPr>
          <w:spacing w:val="-3"/>
        </w:rPr>
        <w:t xml:space="preserve"> </w:t>
      </w:r>
      <w:r>
        <w:t>in</w:t>
      </w:r>
      <w:r>
        <w:rPr>
          <w:spacing w:val="-1"/>
        </w:rPr>
        <w:t xml:space="preserve"> </w:t>
      </w:r>
      <w:r>
        <w:t>areas</w:t>
      </w:r>
      <w:r>
        <w:rPr>
          <w:spacing w:val="-2"/>
        </w:rPr>
        <w:t xml:space="preserve"> </w:t>
      </w:r>
      <w:r>
        <w:t>such</w:t>
      </w:r>
      <w:r>
        <w:rPr>
          <w:spacing w:val="-3"/>
        </w:rPr>
        <w:t xml:space="preserve"> </w:t>
      </w:r>
      <w:r>
        <w:t>as legal</w:t>
      </w:r>
      <w:r>
        <w:rPr>
          <w:spacing w:val="-2"/>
        </w:rPr>
        <w:t xml:space="preserve"> </w:t>
      </w:r>
      <w:r>
        <w:t>advocacy</w:t>
      </w:r>
      <w:r>
        <w:rPr>
          <w:spacing w:val="-2"/>
        </w:rPr>
        <w:t xml:space="preserve"> </w:t>
      </w:r>
      <w:r>
        <w:t>or</w:t>
      </w:r>
      <w:r>
        <w:rPr>
          <w:spacing w:val="-2"/>
        </w:rPr>
        <w:t xml:space="preserve"> </w:t>
      </w:r>
      <w:r>
        <w:t>quality</w:t>
      </w:r>
      <w:r>
        <w:rPr>
          <w:spacing w:val="-2"/>
        </w:rPr>
        <w:t xml:space="preserve"> </w:t>
      </w:r>
      <w:r>
        <w:t>of</w:t>
      </w:r>
      <w:r>
        <w:rPr>
          <w:spacing w:val="-3"/>
        </w:rPr>
        <w:t xml:space="preserve"> </w:t>
      </w:r>
      <w:r>
        <w:t>case</w:t>
      </w:r>
      <w:r>
        <w:rPr>
          <w:spacing w:val="-3"/>
        </w:rPr>
        <w:t xml:space="preserve"> </w:t>
      </w:r>
      <w:r>
        <w:t xml:space="preserve">management is challenging but not impossible. These previous iterations of the program also grappled with this question and evaluations highlighted some possible evaluative approaches that include longitudinal self-assessments and interviews to ascertain observations of improved performance in court from members of the judiciary (Vaartjes, </w:t>
      </w:r>
      <w:r>
        <w:rPr>
          <w:spacing w:val="-2"/>
        </w:rPr>
        <w:t>2016).</w:t>
      </w:r>
    </w:p>
    <w:p w14:paraId="54D74546" w14:textId="77777777" w:rsidR="009C36E3" w:rsidRDefault="000E7207">
      <w:pPr>
        <w:pStyle w:val="BodyText"/>
        <w:spacing w:before="121"/>
        <w:ind w:right="120"/>
      </w:pPr>
      <w:r>
        <w:t>There is much greater recognition of results in the policing stream of work, which includes a large array of equipment and infrastructure support alongside large trainee numbers. However, qualitative data would also assist in</w:t>
      </w:r>
      <w:r>
        <w:rPr>
          <w:spacing w:val="-3"/>
        </w:rPr>
        <w:t xml:space="preserve"> </w:t>
      </w:r>
      <w:r>
        <w:t>more</w:t>
      </w:r>
      <w:r>
        <w:rPr>
          <w:spacing w:val="-3"/>
        </w:rPr>
        <w:t xml:space="preserve"> </w:t>
      </w:r>
      <w:r>
        <w:t>critical</w:t>
      </w:r>
      <w:r>
        <w:rPr>
          <w:spacing w:val="-4"/>
        </w:rPr>
        <w:t xml:space="preserve"> </w:t>
      </w:r>
      <w:r>
        <w:t>reflection</w:t>
      </w:r>
      <w:r>
        <w:rPr>
          <w:spacing w:val="-3"/>
        </w:rPr>
        <w:t xml:space="preserve"> </w:t>
      </w:r>
      <w:r>
        <w:t>on</w:t>
      </w:r>
      <w:r>
        <w:rPr>
          <w:spacing w:val="-1"/>
        </w:rPr>
        <w:t xml:space="preserve"> </w:t>
      </w:r>
      <w:r>
        <w:t>the</w:t>
      </w:r>
      <w:r>
        <w:rPr>
          <w:spacing w:val="-1"/>
        </w:rPr>
        <w:t xml:space="preserve"> </w:t>
      </w:r>
      <w:r>
        <w:t>uptake</w:t>
      </w:r>
      <w:r>
        <w:rPr>
          <w:spacing w:val="-1"/>
        </w:rPr>
        <w:t xml:space="preserve"> </w:t>
      </w:r>
      <w:r>
        <w:t>of</w:t>
      </w:r>
      <w:r>
        <w:rPr>
          <w:spacing w:val="-3"/>
        </w:rPr>
        <w:t xml:space="preserve"> </w:t>
      </w:r>
      <w:r>
        <w:t>knowledge</w:t>
      </w:r>
      <w:r>
        <w:rPr>
          <w:spacing w:val="-3"/>
        </w:rPr>
        <w:t xml:space="preserve"> </w:t>
      </w:r>
      <w:r>
        <w:t>and</w:t>
      </w:r>
      <w:r>
        <w:rPr>
          <w:spacing w:val="-3"/>
        </w:rPr>
        <w:t xml:space="preserve"> </w:t>
      </w:r>
      <w:r>
        <w:t>use</w:t>
      </w:r>
      <w:r>
        <w:rPr>
          <w:spacing w:val="-1"/>
        </w:rPr>
        <w:t xml:space="preserve"> </w:t>
      </w:r>
      <w:r>
        <w:t>of</w:t>
      </w:r>
      <w:r>
        <w:rPr>
          <w:spacing w:val="-3"/>
        </w:rPr>
        <w:t xml:space="preserve"> </w:t>
      </w:r>
      <w:r>
        <w:t>assets</w:t>
      </w:r>
      <w:r>
        <w:rPr>
          <w:spacing w:val="-2"/>
        </w:rPr>
        <w:t xml:space="preserve"> </w:t>
      </w:r>
      <w:r>
        <w:t>provided,</w:t>
      </w:r>
      <w:r>
        <w:rPr>
          <w:spacing w:val="-3"/>
        </w:rPr>
        <w:t xml:space="preserve"> </w:t>
      </w:r>
      <w:r>
        <w:t>to</w:t>
      </w:r>
      <w:r>
        <w:rPr>
          <w:spacing w:val="-3"/>
        </w:rPr>
        <w:t xml:space="preserve"> </w:t>
      </w:r>
      <w:r>
        <w:t>indicate</w:t>
      </w:r>
      <w:r>
        <w:rPr>
          <w:spacing w:val="-3"/>
        </w:rPr>
        <w:t xml:space="preserve"> </w:t>
      </w:r>
      <w:r>
        <w:t>where</w:t>
      </w:r>
      <w:r>
        <w:rPr>
          <w:spacing w:val="-3"/>
        </w:rPr>
        <w:t xml:space="preserve"> </w:t>
      </w:r>
      <w:r>
        <w:t>positive</w:t>
      </w:r>
      <w:r>
        <w:rPr>
          <w:spacing w:val="-3"/>
        </w:rPr>
        <w:t xml:space="preserve"> </w:t>
      </w:r>
      <w:r>
        <w:t xml:space="preserve">shifts in attitudes and policing culture are occurring, and where change could be recognised as transformative and </w:t>
      </w:r>
      <w:r>
        <w:rPr>
          <w:spacing w:val="-2"/>
        </w:rPr>
        <w:t>sustainable.</w:t>
      </w:r>
    </w:p>
    <w:p w14:paraId="61897441" w14:textId="77777777" w:rsidR="009C36E3" w:rsidRDefault="000E7207">
      <w:pPr>
        <w:pStyle w:val="BodyText"/>
        <w:spacing w:before="120"/>
      </w:pPr>
      <w:r>
        <w:t>The MERL framework was initially built around data from government information systems on policing and court outcomes</w:t>
      </w:r>
      <w:r>
        <w:rPr>
          <w:spacing w:val="-2"/>
        </w:rPr>
        <w:t xml:space="preserve"> </w:t>
      </w:r>
      <w:r>
        <w:t>to</w:t>
      </w:r>
      <w:r>
        <w:rPr>
          <w:spacing w:val="-3"/>
        </w:rPr>
        <w:t xml:space="preserve"> </w:t>
      </w:r>
      <w:r>
        <w:t>strengthen</w:t>
      </w:r>
      <w:r>
        <w:rPr>
          <w:spacing w:val="-3"/>
        </w:rPr>
        <w:t xml:space="preserve"> </w:t>
      </w:r>
      <w:r>
        <w:t>capacity</w:t>
      </w:r>
      <w:r>
        <w:rPr>
          <w:spacing w:val="-2"/>
        </w:rPr>
        <w:t xml:space="preserve"> </w:t>
      </w:r>
      <w:r>
        <w:t>in</w:t>
      </w:r>
      <w:r>
        <w:rPr>
          <w:spacing w:val="-3"/>
        </w:rPr>
        <w:t xml:space="preserve"> </w:t>
      </w:r>
      <w:r>
        <w:t>the</w:t>
      </w:r>
      <w:r>
        <w:rPr>
          <w:spacing w:val="-3"/>
        </w:rPr>
        <w:t xml:space="preserve"> </w:t>
      </w:r>
      <w:r>
        <w:t>use</w:t>
      </w:r>
      <w:r>
        <w:rPr>
          <w:spacing w:val="-1"/>
        </w:rPr>
        <w:t xml:space="preserve"> </w:t>
      </w:r>
      <w:r>
        <w:t>of</w:t>
      </w:r>
      <w:r>
        <w:rPr>
          <w:spacing w:val="-3"/>
        </w:rPr>
        <w:t xml:space="preserve"> </w:t>
      </w:r>
      <w:r>
        <w:t>CMS</w:t>
      </w:r>
      <w:r>
        <w:rPr>
          <w:spacing w:val="-1"/>
        </w:rPr>
        <w:t xml:space="preserve"> </w:t>
      </w:r>
      <w:r>
        <w:t>and</w:t>
      </w:r>
      <w:r>
        <w:rPr>
          <w:spacing w:val="-3"/>
        </w:rPr>
        <w:t xml:space="preserve"> </w:t>
      </w:r>
      <w:r>
        <w:t>PIMS</w:t>
      </w:r>
      <w:r>
        <w:rPr>
          <w:spacing w:val="-1"/>
        </w:rPr>
        <w:t xml:space="preserve"> </w:t>
      </w:r>
      <w:r>
        <w:t>and</w:t>
      </w:r>
      <w:r>
        <w:rPr>
          <w:spacing w:val="-1"/>
        </w:rPr>
        <w:t xml:space="preserve"> </w:t>
      </w:r>
      <w:r>
        <w:t>avoid</w:t>
      </w:r>
      <w:r>
        <w:rPr>
          <w:spacing w:val="-3"/>
        </w:rPr>
        <w:t xml:space="preserve"> </w:t>
      </w:r>
      <w:r>
        <w:t>duplication</w:t>
      </w:r>
      <w:r>
        <w:rPr>
          <w:spacing w:val="-3"/>
        </w:rPr>
        <w:t xml:space="preserve"> </w:t>
      </w:r>
      <w:r>
        <w:t>of</w:t>
      </w:r>
      <w:r>
        <w:rPr>
          <w:spacing w:val="-1"/>
        </w:rPr>
        <w:t xml:space="preserve"> </w:t>
      </w:r>
      <w:r>
        <w:t>effort.</w:t>
      </w:r>
      <w:r>
        <w:rPr>
          <w:spacing w:val="-3"/>
        </w:rPr>
        <w:t xml:space="preserve"> </w:t>
      </w:r>
      <w:r>
        <w:t>In</w:t>
      </w:r>
      <w:r>
        <w:rPr>
          <w:spacing w:val="-1"/>
        </w:rPr>
        <w:t xml:space="preserve"> </w:t>
      </w:r>
      <w:r>
        <w:t>practice,</w:t>
      </w:r>
      <w:r>
        <w:rPr>
          <w:spacing w:val="-1"/>
        </w:rPr>
        <w:t xml:space="preserve"> </w:t>
      </w:r>
      <w:r>
        <w:t>the cyber- attack has meant that data has not been available, and in any case the broad nature of outcomes and high level</w:t>
      </w:r>
      <w:r>
        <w:rPr>
          <w:spacing w:val="-1"/>
        </w:rPr>
        <w:t xml:space="preserve"> </w:t>
      </w:r>
      <w:r>
        <w:t>of data means that it cannot demonstrate VAPJP contribution to change (attribution). The MERL Framework was redesigned in 2023-2024 to reduce reliance on evolving data systems.</w:t>
      </w:r>
    </w:p>
    <w:p w14:paraId="713DDC0B" w14:textId="77777777" w:rsidR="009C36E3" w:rsidRDefault="000E7207">
      <w:pPr>
        <w:pStyle w:val="Heading7"/>
        <w:spacing w:before="122"/>
      </w:pPr>
      <w:r>
        <w:t>Inclusion</w:t>
      </w:r>
      <w:r>
        <w:rPr>
          <w:spacing w:val="-6"/>
        </w:rPr>
        <w:t xml:space="preserve"> </w:t>
      </w:r>
      <w:r>
        <w:t>-</w:t>
      </w:r>
      <w:r>
        <w:rPr>
          <w:spacing w:val="-6"/>
        </w:rPr>
        <w:t xml:space="preserve"> </w:t>
      </w:r>
      <w:r>
        <w:t>GEDSI</w:t>
      </w:r>
      <w:r>
        <w:rPr>
          <w:spacing w:val="-4"/>
        </w:rPr>
        <w:t xml:space="preserve"> </w:t>
      </w:r>
      <w:r>
        <w:t>in</w:t>
      </w:r>
      <w:r>
        <w:rPr>
          <w:spacing w:val="-6"/>
        </w:rPr>
        <w:t xml:space="preserve"> </w:t>
      </w:r>
      <w:r>
        <w:rPr>
          <w:spacing w:val="-4"/>
        </w:rPr>
        <w:t>MERL</w:t>
      </w:r>
    </w:p>
    <w:p w14:paraId="6D2F8A8E" w14:textId="77777777" w:rsidR="009C36E3" w:rsidRDefault="000E7207">
      <w:pPr>
        <w:pStyle w:val="BodyText"/>
        <w:spacing w:before="118"/>
        <w:ind w:left="770" w:right="166"/>
      </w:pPr>
      <w:r>
        <w:t>Reports provide a level of gender disaggregated data, with some gaps, and reflect an awareness of and commitment to promoting inclusion. In line with known national (and indeed global) challenges around collecting disability</w:t>
      </w:r>
      <w:r>
        <w:rPr>
          <w:spacing w:val="-2"/>
        </w:rPr>
        <w:t xml:space="preserve"> </w:t>
      </w:r>
      <w:r>
        <w:t>data,</w:t>
      </w:r>
      <w:r>
        <w:rPr>
          <w:spacing w:val="-3"/>
        </w:rPr>
        <w:t xml:space="preserve"> </w:t>
      </w:r>
      <w:r>
        <w:t>the</w:t>
      </w:r>
      <w:r>
        <w:rPr>
          <w:spacing w:val="-3"/>
        </w:rPr>
        <w:t xml:space="preserve"> </w:t>
      </w:r>
      <w:r>
        <w:t>reports</w:t>
      </w:r>
      <w:r>
        <w:rPr>
          <w:spacing w:val="-2"/>
        </w:rPr>
        <w:t xml:space="preserve"> </w:t>
      </w:r>
      <w:r>
        <w:t>present</w:t>
      </w:r>
      <w:r>
        <w:rPr>
          <w:spacing w:val="-3"/>
        </w:rPr>
        <w:t xml:space="preserve"> </w:t>
      </w:r>
      <w:r>
        <w:t>limited</w:t>
      </w:r>
      <w:r>
        <w:rPr>
          <w:spacing w:val="-3"/>
        </w:rPr>
        <w:t xml:space="preserve"> </w:t>
      </w:r>
      <w:r>
        <w:t>disability</w:t>
      </w:r>
      <w:r>
        <w:rPr>
          <w:spacing w:val="-2"/>
        </w:rPr>
        <w:t xml:space="preserve"> </w:t>
      </w:r>
      <w:r>
        <w:t>data.</w:t>
      </w:r>
      <w:r>
        <w:rPr>
          <w:spacing w:val="-3"/>
        </w:rPr>
        <w:t xml:space="preserve"> </w:t>
      </w:r>
      <w:r>
        <w:t>The</w:t>
      </w:r>
      <w:r>
        <w:rPr>
          <w:spacing w:val="-3"/>
        </w:rPr>
        <w:t xml:space="preserve"> </w:t>
      </w:r>
      <w:r>
        <w:t>reports</w:t>
      </w:r>
      <w:r>
        <w:rPr>
          <w:spacing w:val="-2"/>
        </w:rPr>
        <w:t xml:space="preserve"> </w:t>
      </w:r>
      <w:r>
        <w:t>comply</w:t>
      </w:r>
      <w:r>
        <w:rPr>
          <w:spacing w:val="-2"/>
        </w:rPr>
        <w:t xml:space="preserve"> </w:t>
      </w:r>
      <w:r>
        <w:t>with</w:t>
      </w:r>
      <w:r>
        <w:rPr>
          <w:spacing w:val="-2"/>
        </w:rPr>
        <w:t xml:space="preserve"> </w:t>
      </w:r>
      <w:r>
        <w:t>DFAT</w:t>
      </w:r>
      <w:r>
        <w:rPr>
          <w:spacing w:val="-2"/>
        </w:rPr>
        <w:t xml:space="preserve"> </w:t>
      </w:r>
      <w:r>
        <w:t>M&amp;E</w:t>
      </w:r>
      <w:r>
        <w:rPr>
          <w:spacing w:val="-2"/>
        </w:rPr>
        <w:t xml:space="preserve"> </w:t>
      </w:r>
      <w:r>
        <w:t>guidance</w:t>
      </w:r>
      <w:r>
        <w:rPr>
          <w:spacing w:val="-3"/>
        </w:rPr>
        <w:t xml:space="preserve"> </w:t>
      </w:r>
      <w:r>
        <w:t>and</w:t>
      </w:r>
      <w:r>
        <w:rPr>
          <w:spacing w:val="-2"/>
        </w:rPr>
        <w:t xml:space="preserve"> </w:t>
      </w:r>
      <w:r>
        <w:t>include well-developed GEDSI sections that provide a summary of highlights and achievements with reference to the Gender Action Plan.</w:t>
      </w:r>
    </w:p>
    <w:p w14:paraId="53E34D77" w14:textId="77777777" w:rsidR="009C36E3" w:rsidRDefault="000E7207">
      <w:pPr>
        <w:pStyle w:val="BodyText"/>
        <w:spacing w:before="120"/>
        <w:ind w:left="770" w:right="120"/>
      </w:pPr>
      <w:r>
        <w:rPr>
          <w:b/>
        </w:rPr>
        <w:t xml:space="preserve">Process: </w:t>
      </w:r>
      <w:r>
        <w:t>Reporting is largely seen as a compliance burden by police and justice staff and advisers and did not appear</w:t>
      </w:r>
      <w:r>
        <w:rPr>
          <w:spacing w:val="-2"/>
        </w:rPr>
        <w:t xml:space="preserve"> </w:t>
      </w:r>
      <w:r>
        <w:t>to</w:t>
      </w:r>
      <w:r>
        <w:rPr>
          <w:spacing w:val="-1"/>
        </w:rPr>
        <w:t xml:space="preserve"> </w:t>
      </w:r>
      <w:r>
        <w:t>be</w:t>
      </w:r>
      <w:r>
        <w:rPr>
          <w:spacing w:val="-1"/>
        </w:rPr>
        <w:t xml:space="preserve"> </w:t>
      </w:r>
      <w:r>
        <w:t>used</w:t>
      </w:r>
      <w:r>
        <w:rPr>
          <w:spacing w:val="-3"/>
        </w:rPr>
        <w:t xml:space="preserve"> </w:t>
      </w:r>
      <w:r>
        <w:t>for</w:t>
      </w:r>
      <w:r>
        <w:rPr>
          <w:spacing w:val="-2"/>
        </w:rPr>
        <w:t xml:space="preserve"> </w:t>
      </w:r>
      <w:r>
        <w:t>internal</w:t>
      </w:r>
      <w:r>
        <w:rPr>
          <w:spacing w:val="-2"/>
        </w:rPr>
        <w:t xml:space="preserve"> </w:t>
      </w:r>
      <w:r>
        <w:t>VAPJP</w:t>
      </w:r>
      <w:r>
        <w:rPr>
          <w:spacing w:val="-1"/>
        </w:rPr>
        <w:t xml:space="preserve"> </w:t>
      </w:r>
      <w:r>
        <w:t>program</w:t>
      </w:r>
      <w:r>
        <w:rPr>
          <w:spacing w:val="-3"/>
        </w:rPr>
        <w:t xml:space="preserve"> </w:t>
      </w:r>
      <w:r>
        <w:t>management</w:t>
      </w:r>
      <w:r>
        <w:rPr>
          <w:spacing w:val="-3"/>
        </w:rPr>
        <w:t xml:space="preserve"> </w:t>
      </w:r>
      <w:r>
        <w:t>or learning</w:t>
      </w:r>
      <w:r>
        <w:rPr>
          <w:spacing w:val="-3"/>
        </w:rPr>
        <w:t xml:space="preserve"> </w:t>
      </w:r>
      <w:r>
        <w:t>purposes.</w:t>
      </w:r>
      <w:r>
        <w:rPr>
          <w:spacing w:val="-3"/>
        </w:rPr>
        <w:t xml:space="preserve"> </w:t>
      </w:r>
      <w:r>
        <w:t>Both</w:t>
      </w:r>
      <w:r>
        <w:rPr>
          <w:spacing w:val="-3"/>
        </w:rPr>
        <w:t xml:space="preserve"> </w:t>
      </w:r>
      <w:r>
        <w:t>police</w:t>
      </w:r>
      <w:r>
        <w:rPr>
          <w:spacing w:val="-3"/>
        </w:rPr>
        <w:t xml:space="preserve"> </w:t>
      </w:r>
      <w:r>
        <w:t>and</w:t>
      </w:r>
      <w:r>
        <w:rPr>
          <w:spacing w:val="-3"/>
        </w:rPr>
        <w:t xml:space="preserve"> </w:t>
      </w:r>
      <w:r>
        <w:t>justice</w:t>
      </w:r>
      <w:r>
        <w:rPr>
          <w:spacing w:val="-3"/>
        </w:rPr>
        <w:t xml:space="preserve"> </w:t>
      </w:r>
      <w:r>
        <w:t>stream staff and advisers invest significant time in detailed activity reporting, but consolidated reports are not discussed with the team, which would appear to be a missed opportunity. The Monitoring, Evaluation &amp; Learning (MEL) Adviser reports playing a limited role in developing the final reports, which are written mostly by the Program Coordinator Justice (PC-J) and Senior Manager. There are opportunities to improve the way that advisers are involved in reporting to address some of the communication issues within the team.</w:t>
      </w:r>
    </w:p>
    <w:p w14:paraId="243D43AD" w14:textId="77777777" w:rsidR="009C36E3" w:rsidRDefault="000E7207" w:rsidP="00E84525">
      <w:pPr>
        <w:pStyle w:val="Heading2"/>
        <w:numPr>
          <w:ilvl w:val="1"/>
          <w:numId w:val="33"/>
        </w:numPr>
      </w:pPr>
      <w:bookmarkStart w:id="45" w:name="3.2_Efficiency"/>
      <w:bookmarkStart w:id="46" w:name="_bookmark34"/>
      <w:bookmarkEnd w:id="45"/>
      <w:bookmarkEnd w:id="46"/>
      <w:r>
        <w:t>Efficiency</w:t>
      </w:r>
    </w:p>
    <w:p w14:paraId="5D5A19CA" w14:textId="77777777" w:rsidR="009C36E3" w:rsidRDefault="000E7207">
      <w:pPr>
        <w:spacing w:before="257"/>
        <w:ind w:left="771"/>
        <w:rPr>
          <w:sz w:val="20"/>
        </w:rPr>
      </w:pPr>
      <w:r>
        <w:rPr>
          <w:sz w:val="20"/>
        </w:rPr>
        <w:t xml:space="preserve">This section covers Efficiency through answering </w:t>
      </w:r>
      <w:r>
        <w:rPr>
          <w:b/>
          <w:sz w:val="20"/>
        </w:rPr>
        <w:t xml:space="preserve">KRQ 2. How efficient are VAPJP’s delivery modalities? </w:t>
      </w:r>
      <w:r>
        <w:rPr>
          <w:sz w:val="20"/>
        </w:rPr>
        <w:t>This section</w:t>
      </w:r>
      <w:r>
        <w:rPr>
          <w:spacing w:val="-4"/>
          <w:sz w:val="20"/>
        </w:rPr>
        <w:t xml:space="preserve"> </w:t>
      </w:r>
      <w:r>
        <w:rPr>
          <w:sz w:val="20"/>
        </w:rPr>
        <w:t>covers</w:t>
      </w:r>
      <w:r>
        <w:rPr>
          <w:spacing w:val="-3"/>
          <w:sz w:val="20"/>
        </w:rPr>
        <w:t xml:space="preserve"> </w:t>
      </w:r>
      <w:r>
        <w:rPr>
          <w:sz w:val="20"/>
        </w:rPr>
        <w:t>governance and</w:t>
      </w:r>
      <w:r>
        <w:rPr>
          <w:spacing w:val="-2"/>
          <w:sz w:val="20"/>
        </w:rPr>
        <w:t xml:space="preserve"> </w:t>
      </w:r>
      <w:r>
        <w:rPr>
          <w:sz w:val="20"/>
        </w:rPr>
        <w:t>planning</w:t>
      </w:r>
      <w:r>
        <w:rPr>
          <w:spacing w:val="-2"/>
          <w:sz w:val="20"/>
        </w:rPr>
        <w:t xml:space="preserve"> </w:t>
      </w:r>
      <w:r>
        <w:rPr>
          <w:sz w:val="20"/>
        </w:rPr>
        <w:t>for</w:t>
      </w:r>
      <w:r>
        <w:rPr>
          <w:spacing w:val="-3"/>
          <w:sz w:val="20"/>
        </w:rPr>
        <w:t xml:space="preserve"> </w:t>
      </w:r>
      <w:r>
        <w:rPr>
          <w:sz w:val="20"/>
        </w:rPr>
        <w:t>a</w:t>
      </w:r>
      <w:r>
        <w:rPr>
          <w:spacing w:val="-4"/>
          <w:sz w:val="20"/>
        </w:rPr>
        <w:t xml:space="preserve"> </w:t>
      </w:r>
      <w:r>
        <w:rPr>
          <w:sz w:val="20"/>
        </w:rPr>
        <w:t>joined-up</w:t>
      </w:r>
      <w:r>
        <w:rPr>
          <w:spacing w:val="-4"/>
          <w:sz w:val="20"/>
        </w:rPr>
        <w:t xml:space="preserve"> </w:t>
      </w:r>
      <w:r>
        <w:rPr>
          <w:sz w:val="20"/>
        </w:rPr>
        <w:t>approach,</w:t>
      </w:r>
      <w:r>
        <w:rPr>
          <w:spacing w:val="-2"/>
          <w:sz w:val="20"/>
        </w:rPr>
        <w:t xml:space="preserve"> </w:t>
      </w:r>
      <w:r>
        <w:rPr>
          <w:sz w:val="20"/>
        </w:rPr>
        <w:t>management,</w:t>
      </w:r>
      <w:r>
        <w:rPr>
          <w:spacing w:val="-2"/>
          <w:sz w:val="20"/>
        </w:rPr>
        <w:t xml:space="preserve"> </w:t>
      </w:r>
      <w:r>
        <w:rPr>
          <w:sz w:val="20"/>
        </w:rPr>
        <w:t>delivery</w:t>
      </w:r>
      <w:r>
        <w:rPr>
          <w:spacing w:val="-3"/>
          <w:sz w:val="20"/>
        </w:rPr>
        <w:t xml:space="preserve"> </w:t>
      </w:r>
      <w:r>
        <w:rPr>
          <w:sz w:val="20"/>
        </w:rPr>
        <w:t>modalities,</w:t>
      </w:r>
      <w:r>
        <w:rPr>
          <w:spacing w:val="-4"/>
          <w:sz w:val="20"/>
        </w:rPr>
        <w:t xml:space="preserve"> </w:t>
      </w:r>
      <w:r>
        <w:rPr>
          <w:sz w:val="20"/>
        </w:rPr>
        <w:t>and</w:t>
      </w:r>
      <w:r>
        <w:rPr>
          <w:spacing w:val="-4"/>
          <w:sz w:val="20"/>
        </w:rPr>
        <w:t xml:space="preserve"> </w:t>
      </w:r>
      <w:r>
        <w:rPr>
          <w:sz w:val="20"/>
        </w:rPr>
        <w:t>resource allocation and expenditure.</w:t>
      </w:r>
    </w:p>
    <w:p w14:paraId="649C4155" w14:textId="77777777" w:rsidR="009C36E3" w:rsidRDefault="000E7207">
      <w:pPr>
        <w:pStyle w:val="BodyText"/>
        <w:spacing w:before="121"/>
      </w:pPr>
      <w:r>
        <w:t>It</w:t>
      </w:r>
      <w:r>
        <w:rPr>
          <w:spacing w:val="-8"/>
        </w:rPr>
        <w:t xml:space="preserve"> </w:t>
      </w:r>
      <w:r>
        <w:t>is</w:t>
      </w:r>
      <w:r>
        <w:rPr>
          <w:spacing w:val="-6"/>
        </w:rPr>
        <w:t xml:space="preserve"> </w:t>
      </w:r>
      <w:r>
        <w:t>addressed</w:t>
      </w:r>
      <w:r>
        <w:rPr>
          <w:spacing w:val="-7"/>
        </w:rPr>
        <w:t xml:space="preserve"> </w:t>
      </w:r>
      <w:r>
        <w:t>through</w:t>
      </w:r>
      <w:r>
        <w:rPr>
          <w:spacing w:val="-7"/>
        </w:rPr>
        <w:t xml:space="preserve"> </w:t>
      </w:r>
      <w:r>
        <w:t>considering</w:t>
      </w:r>
      <w:r>
        <w:rPr>
          <w:spacing w:val="-8"/>
        </w:rPr>
        <w:t xml:space="preserve"> </w:t>
      </w:r>
      <w:r>
        <w:t>three</w:t>
      </w:r>
      <w:r>
        <w:rPr>
          <w:spacing w:val="-7"/>
        </w:rPr>
        <w:t xml:space="preserve"> </w:t>
      </w:r>
      <w:r>
        <w:t>sub-</w:t>
      </w:r>
      <w:r>
        <w:rPr>
          <w:spacing w:val="-2"/>
        </w:rPr>
        <w:t>questions</w:t>
      </w:r>
    </w:p>
    <w:p w14:paraId="598349BF" w14:textId="77777777" w:rsidR="009C36E3" w:rsidRDefault="000E7207">
      <w:pPr>
        <w:pStyle w:val="BodyText"/>
        <w:spacing w:before="120"/>
      </w:pPr>
      <w:r>
        <w:t>KRQ</w:t>
      </w:r>
      <w:r>
        <w:rPr>
          <w:spacing w:val="-5"/>
        </w:rPr>
        <w:t xml:space="preserve"> </w:t>
      </w:r>
      <w:r>
        <w:t>2.1</w:t>
      </w:r>
      <w:r>
        <w:rPr>
          <w:spacing w:val="-6"/>
        </w:rPr>
        <w:t xml:space="preserve"> </w:t>
      </w:r>
      <w:r>
        <w:t>Is</w:t>
      </w:r>
      <w:r>
        <w:rPr>
          <w:spacing w:val="-5"/>
        </w:rPr>
        <w:t xml:space="preserve"> </w:t>
      </w:r>
      <w:r>
        <w:t>the</w:t>
      </w:r>
      <w:r>
        <w:rPr>
          <w:spacing w:val="-5"/>
        </w:rPr>
        <w:t xml:space="preserve"> </w:t>
      </w:r>
      <w:r>
        <w:t>delivery</w:t>
      </w:r>
      <w:r>
        <w:rPr>
          <w:spacing w:val="-5"/>
        </w:rPr>
        <w:t xml:space="preserve"> </w:t>
      </w:r>
      <w:r>
        <w:t>and</w:t>
      </w:r>
      <w:r>
        <w:rPr>
          <w:spacing w:val="-4"/>
        </w:rPr>
        <w:t xml:space="preserve"> </w:t>
      </w:r>
      <w:r>
        <w:t>management</w:t>
      </w:r>
      <w:r>
        <w:rPr>
          <w:spacing w:val="-5"/>
        </w:rPr>
        <w:t xml:space="preserve"> </w:t>
      </w:r>
      <w:r>
        <w:t>approach</w:t>
      </w:r>
      <w:r>
        <w:rPr>
          <w:spacing w:val="-4"/>
        </w:rPr>
        <w:t xml:space="preserve"> </w:t>
      </w:r>
      <w:r>
        <w:t>of</w:t>
      </w:r>
      <w:r>
        <w:rPr>
          <w:spacing w:val="-4"/>
        </w:rPr>
        <w:t xml:space="preserve"> </w:t>
      </w:r>
      <w:r>
        <w:t>VAPJP</w:t>
      </w:r>
      <w:r>
        <w:rPr>
          <w:spacing w:val="-7"/>
        </w:rPr>
        <w:t xml:space="preserve"> </w:t>
      </w:r>
      <w:r>
        <w:t>fit</w:t>
      </w:r>
      <w:r>
        <w:rPr>
          <w:spacing w:val="-5"/>
        </w:rPr>
        <w:t xml:space="preserve"> </w:t>
      </w:r>
      <w:r>
        <w:t>for</w:t>
      </w:r>
      <w:r>
        <w:rPr>
          <w:spacing w:val="-5"/>
        </w:rPr>
        <w:t xml:space="preserve"> </w:t>
      </w:r>
      <w:r>
        <w:rPr>
          <w:spacing w:val="-2"/>
        </w:rPr>
        <w:t>purpose?</w:t>
      </w:r>
    </w:p>
    <w:p w14:paraId="1CB1057F" w14:textId="77777777" w:rsidR="009C36E3" w:rsidRDefault="000E7207">
      <w:pPr>
        <w:pStyle w:val="BodyText"/>
        <w:spacing w:before="118" w:line="364" w:lineRule="auto"/>
      </w:pPr>
      <w:r>
        <w:t>KRQ</w:t>
      </w:r>
      <w:r>
        <w:rPr>
          <w:spacing w:val="-2"/>
        </w:rPr>
        <w:t xml:space="preserve"> </w:t>
      </w:r>
      <w:r>
        <w:t>2.2</w:t>
      </w:r>
      <w:r>
        <w:rPr>
          <w:spacing w:val="-3"/>
        </w:rPr>
        <w:t xml:space="preserve"> </w:t>
      </w:r>
      <w:r>
        <w:t>To</w:t>
      </w:r>
      <w:r>
        <w:rPr>
          <w:spacing w:val="-3"/>
        </w:rPr>
        <w:t xml:space="preserve"> </w:t>
      </w:r>
      <w:r>
        <w:t>what</w:t>
      </w:r>
      <w:r>
        <w:rPr>
          <w:spacing w:val="-1"/>
        </w:rPr>
        <w:t xml:space="preserve"> </w:t>
      </w:r>
      <w:r>
        <w:t>extent</w:t>
      </w:r>
      <w:r>
        <w:rPr>
          <w:spacing w:val="-1"/>
        </w:rPr>
        <w:t xml:space="preserve"> </w:t>
      </w:r>
      <w:r>
        <w:t>do</w:t>
      </w:r>
      <w:r>
        <w:rPr>
          <w:spacing w:val="-1"/>
        </w:rPr>
        <w:t xml:space="preserve"> </w:t>
      </w:r>
      <w:r>
        <w:t>the</w:t>
      </w:r>
      <w:r>
        <w:rPr>
          <w:spacing w:val="-1"/>
        </w:rPr>
        <w:t xml:space="preserve"> </w:t>
      </w:r>
      <w:r>
        <w:t>governance</w:t>
      </w:r>
      <w:r>
        <w:rPr>
          <w:spacing w:val="-3"/>
        </w:rPr>
        <w:t xml:space="preserve"> </w:t>
      </w:r>
      <w:r>
        <w:t>and</w:t>
      </w:r>
      <w:r>
        <w:rPr>
          <w:spacing w:val="-3"/>
        </w:rPr>
        <w:t xml:space="preserve"> </w:t>
      </w:r>
      <w:r>
        <w:t>delivery</w:t>
      </w:r>
      <w:r>
        <w:rPr>
          <w:spacing w:val="-2"/>
        </w:rPr>
        <w:t xml:space="preserve"> </w:t>
      </w:r>
      <w:r>
        <w:t>modalities</w:t>
      </w:r>
      <w:r>
        <w:rPr>
          <w:spacing w:val="-2"/>
        </w:rPr>
        <w:t xml:space="preserve"> </w:t>
      </w:r>
      <w:r>
        <w:t>support</w:t>
      </w:r>
      <w:r>
        <w:rPr>
          <w:spacing w:val="-3"/>
        </w:rPr>
        <w:t xml:space="preserve"> </w:t>
      </w:r>
      <w:r>
        <w:t>progress</w:t>
      </w:r>
      <w:r>
        <w:rPr>
          <w:spacing w:val="-2"/>
        </w:rPr>
        <w:t xml:space="preserve"> </w:t>
      </w:r>
      <w:r>
        <w:t>towards</w:t>
      </w:r>
      <w:r>
        <w:rPr>
          <w:spacing w:val="-2"/>
        </w:rPr>
        <w:t xml:space="preserve"> </w:t>
      </w:r>
      <w:r>
        <w:t>the</w:t>
      </w:r>
      <w:r>
        <w:rPr>
          <w:spacing w:val="-3"/>
        </w:rPr>
        <w:t xml:space="preserve"> </w:t>
      </w:r>
      <w:r>
        <w:t>IOs</w:t>
      </w:r>
      <w:r>
        <w:rPr>
          <w:spacing w:val="-2"/>
        </w:rPr>
        <w:t xml:space="preserve"> </w:t>
      </w:r>
      <w:r>
        <w:t>and</w:t>
      </w:r>
      <w:r>
        <w:rPr>
          <w:spacing w:val="-3"/>
        </w:rPr>
        <w:t xml:space="preserve"> </w:t>
      </w:r>
      <w:r>
        <w:t>EOPOs? KRQ 2.3 Are resources allocated appropriately across program streams?</w:t>
      </w:r>
    </w:p>
    <w:p w14:paraId="4E2C9C32" w14:textId="77777777" w:rsidR="009C36E3" w:rsidRDefault="000E7207">
      <w:pPr>
        <w:spacing w:before="2"/>
        <w:ind w:left="1491" w:right="120"/>
        <w:rPr>
          <w:i/>
          <w:sz w:val="20"/>
        </w:rPr>
      </w:pPr>
      <w:r>
        <w:rPr>
          <w:noProof/>
        </w:rPr>
        <mc:AlternateContent>
          <mc:Choice Requires="wps">
            <w:drawing>
              <wp:anchor distT="0" distB="0" distL="0" distR="0" simplePos="0" relativeHeight="251651072" behindDoc="0" locked="0" layoutInCell="1" allowOverlap="1" wp14:anchorId="458160F1" wp14:editId="18A69228">
                <wp:simplePos x="0" y="0"/>
                <wp:positionH relativeFrom="page">
                  <wp:posOffset>573317</wp:posOffset>
                </wp:positionH>
                <wp:positionV relativeFrom="paragraph">
                  <wp:posOffset>43891</wp:posOffset>
                </wp:positionV>
                <wp:extent cx="275590" cy="274955"/>
                <wp:effectExtent l="0" t="0" r="0" b="0"/>
                <wp:wrapNone/>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4C6DC055" id="Graphic 59" o:spid="_x0000_s1026" alt="&quot;&quot;" style="position:absolute;margin-left:45.15pt;margin-top:3.45pt;width:21.7pt;height:21.65pt;z-index:15749120;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The delivery and management approach of VAPJP has facilitated program progress and adaptation</w:t>
      </w:r>
      <w:r>
        <w:rPr>
          <w:i/>
          <w:color w:val="007B92"/>
          <w:spacing w:val="-3"/>
          <w:sz w:val="20"/>
        </w:rPr>
        <w:t xml:space="preserve"> </w:t>
      </w:r>
      <w:r>
        <w:rPr>
          <w:i/>
          <w:color w:val="007B92"/>
          <w:sz w:val="20"/>
        </w:rPr>
        <w:t>despite</w:t>
      </w:r>
      <w:r>
        <w:rPr>
          <w:i/>
          <w:color w:val="007B92"/>
          <w:spacing w:val="-5"/>
          <w:sz w:val="20"/>
        </w:rPr>
        <w:t xml:space="preserve"> </w:t>
      </w:r>
      <w:r>
        <w:rPr>
          <w:i/>
          <w:color w:val="007B92"/>
          <w:sz w:val="20"/>
        </w:rPr>
        <w:t>significant</w:t>
      </w:r>
      <w:r>
        <w:rPr>
          <w:i/>
          <w:color w:val="007B92"/>
          <w:spacing w:val="-5"/>
          <w:sz w:val="20"/>
        </w:rPr>
        <w:t xml:space="preserve"> </w:t>
      </w:r>
      <w:r>
        <w:rPr>
          <w:i/>
          <w:color w:val="007B92"/>
          <w:sz w:val="20"/>
        </w:rPr>
        <w:t>contextual</w:t>
      </w:r>
      <w:r>
        <w:rPr>
          <w:i/>
          <w:color w:val="007B92"/>
          <w:spacing w:val="-6"/>
          <w:sz w:val="20"/>
        </w:rPr>
        <w:t xml:space="preserve"> </w:t>
      </w:r>
      <w:r>
        <w:rPr>
          <w:i/>
          <w:color w:val="007B92"/>
          <w:sz w:val="20"/>
        </w:rPr>
        <w:t>challenges,</w:t>
      </w:r>
      <w:r>
        <w:rPr>
          <w:i/>
          <w:color w:val="007B92"/>
          <w:spacing w:val="-5"/>
          <w:sz w:val="20"/>
        </w:rPr>
        <w:t xml:space="preserve"> </w:t>
      </w:r>
      <w:r>
        <w:rPr>
          <w:i/>
          <w:color w:val="007B92"/>
          <w:sz w:val="20"/>
        </w:rPr>
        <w:t>however</w:t>
      </w:r>
      <w:r>
        <w:rPr>
          <w:i/>
          <w:color w:val="007B92"/>
          <w:spacing w:val="-4"/>
          <w:sz w:val="20"/>
        </w:rPr>
        <w:t xml:space="preserve"> </w:t>
      </w:r>
      <w:r>
        <w:rPr>
          <w:i/>
          <w:color w:val="007B92"/>
          <w:sz w:val="20"/>
        </w:rPr>
        <w:t>adjustments</w:t>
      </w:r>
      <w:r>
        <w:rPr>
          <w:i/>
          <w:color w:val="007B92"/>
          <w:spacing w:val="-1"/>
          <w:sz w:val="20"/>
        </w:rPr>
        <w:t xml:space="preserve"> </w:t>
      </w:r>
      <w:r>
        <w:rPr>
          <w:i/>
          <w:color w:val="007B92"/>
          <w:sz w:val="20"/>
        </w:rPr>
        <w:t>are</w:t>
      </w:r>
      <w:r>
        <w:rPr>
          <w:i/>
          <w:color w:val="007B92"/>
          <w:spacing w:val="-5"/>
          <w:sz w:val="20"/>
        </w:rPr>
        <w:t xml:space="preserve"> </w:t>
      </w:r>
      <w:r>
        <w:rPr>
          <w:i/>
          <w:color w:val="007B92"/>
          <w:sz w:val="20"/>
        </w:rPr>
        <w:t>needed</w:t>
      </w:r>
      <w:r>
        <w:rPr>
          <w:i/>
          <w:color w:val="007B92"/>
          <w:spacing w:val="-3"/>
          <w:sz w:val="20"/>
        </w:rPr>
        <w:t xml:space="preserve"> </w:t>
      </w:r>
      <w:r>
        <w:rPr>
          <w:i/>
          <w:color w:val="007B92"/>
          <w:sz w:val="20"/>
        </w:rPr>
        <w:t>to</w:t>
      </w:r>
      <w:r>
        <w:rPr>
          <w:i/>
          <w:color w:val="007B92"/>
          <w:spacing w:val="-5"/>
          <w:sz w:val="20"/>
        </w:rPr>
        <w:t xml:space="preserve"> </w:t>
      </w:r>
      <w:r>
        <w:rPr>
          <w:i/>
          <w:color w:val="007B92"/>
          <w:sz w:val="20"/>
        </w:rPr>
        <w:t>strengthen planning and transparency, and further enhance outcomes.</w:t>
      </w:r>
    </w:p>
    <w:p w14:paraId="207119CF" w14:textId="77777777" w:rsidR="009C36E3" w:rsidRDefault="009C36E3">
      <w:pPr>
        <w:rPr>
          <w:sz w:val="20"/>
        </w:rPr>
        <w:sectPr w:rsidR="009C36E3">
          <w:pgSz w:w="11910" w:h="16850"/>
          <w:pgMar w:top="1040" w:right="740" w:bottom="740" w:left="80" w:header="552" w:footer="559" w:gutter="0"/>
          <w:cols w:space="720"/>
        </w:sectPr>
      </w:pPr>
    </w:p>
    <w:p w14:paraId="2DF7E667" w14:textId="77777777" w:rsidR="009C36E3" w:rsidRDefault="000E7207">
      <w:pPr>
        <w:spacing w:before="91"/>
        <w:ind w:left="1492" w:right="167"/>
        <w:rPr>
          <w:i/>
          <w:sz w:val="20"/>
        </w:rPr>
      </w:pPr>
      <w:r>
        <w:rPr>
          <w:noProof/>
        </w:rPr>
        <mc:AlternateContent>
          <mc:Choice Requires="wps">
            <w:drawing>
              <wp:anchor distT="0" distB="0" distL="0" distR="0" simplePos="0" relativeHeight="251654144" behindDoc="0" locked="0" layoutInCell="1" allowOverlap="1" wp14:anchorId="77294751" wp14:editId="1E3B4761">
                <wp:simplePos x="0" y="0"/>
                <wp:positionH relativeFrom="page">
                  <wp:posOffset>573317</wp:posOffset>
                </wp:positionH>
                <wp:positionV relativeFrom="paragraph">
                  <wp:posOffset>222681</wp:posOffset>
                </wp:positionV>
                <wp:extent cx="275590" cy="274955"/>
                <wp:effectExtent l="0" t="0" r="0" b="0"/>
                <wp:wrapNone/>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063C505D" id="Graphic 60" o:spid="_x0000_s1026" alt="&quot;&quot;" style="position:absolute;margin-left:45.15pt;margin-top:17.55pt;width:21.7pt;height:21.65pt;z-index:15751168;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&#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The current VAPJP</w:t>
      </w:r>
      <w:r>
        <w:rPr>
          <w:i/>
          <w:color w:val="007B92"/>
          <w:spacing w:val="-1"/>
          <w:sz w:val="20"/>
        </w:rPr>
        <w:t xml:space="preserve"> </w:t>
      </w:r>
      <w:r>
        <w:rPr>
          <w:i/>
          <w:color w:val="007B92"/>
          <w:sz w:val="20"/>
        </w:rPr>
        <w:t>model</w:t>
      </w:r>
      <w:r>
        <w:rPr>
          <w:i/>
          <w:color w:val="007B92"/>
          <w:spacing w:val="-1"/>
          <w:sz w:val="20"/>
        </w:rPr>
        <w:t xml:space="preserve"> </w:t>
      </w:r>
      <w:r>
        <w:rPr>
          <w:i/>
          <w:color w:val="007B92"/>
          <w:sz w:val="20"/>
        </w:rPr>
        <w:t>linking policing and justice outcomes is unique across the Australian aid</w:t>
      </w:r>
      <w:r>
        <w:rPr>
          <w:i/>
          <w:color w:val="007B92"/>
          <w:spacing w:val="-2"/>
          <w:sz w:val="20"/>
        </w:rPr>
        <w:t xml:space="preserve"> </w:t>
      </w:r>
      <w:r>
        <w:rPr>
          <w:i/>
          <w:color w:val="007B92"/>
          <w:sz w:val="20"/>
        </w:rPr>
        <w:t>program.</w:t>
      </w:r>
      <w:r>
        <w:rPr>
          <w:i/>
          <w:color w:val="007B92"/>
          <w:spacing w:val="-2"/>
          <w:sz w:val="20"/>
        </w:rPr>
        <w:t xml:space="preserve"> </w:t>
      </w:r>
      <w:r>
        <w:rPr>
          <w:i/>
          <w:color w:val="007B92"/>
          <w:sz w:val="20"/>
        </w:rPr>
        <w:t>VAPJP</w:t>
      </w:r>
      <w:r>
        <w:rPr>
          <w:i/>
          <w:color w:val="007B92"/>
          <w:spacing w:val="-2"/>
          <w:sz w:val="20"/>
        </w:rPr>
        <w:t xml:space="preserve"> </w:t>
      </w:r>
      <w:r>
        <w:rPr>
          <w:i/>
          <w:color w:val="007B92"/>
          <w:sz w:val="20"/>
        </w:rPr>
        <w:t>governance</w:t>
      </w:r>
      <w:r>
        <w:rPr>
          <w:i/>
          <w:color w:val="007B92"/>
          <w:spacing w:val="-2"/>
          <w:sz w:val="20"/>
        </w:rPr>
        <w:t xml:space="preserve"> </w:t>
      </w:r>
      <w:r>
        <w:rPr>
          <w:i/>
          <w:color w:val="007B92"/>
          <w:sz w:val="20"/>
        </w:rPr>
        <w:t>at</w:t>
      </w:r>
      <w:r>
        <w:rPr>
          <w:i/>
          <w:color w:val="007B92"/>
          <w:spacing w:val="-4"/>
          <w:sz w:val="20"/>
        </w:rPr>
        <w:t xml:space="preserve"> </w:t>
      </w:r>
      <w:r>
        <w:rPr>
          <w:i/>
          <w:color w:val="007B92"/>
          <w:sz w:val="20"/>
        </w:rPr>
        <w:t>government</w:t>
      </w:r>
      <w:r>
        <w:rPr>
          <w:i/>
          <w:color w:val="007B92"/>
          <w:spacing w:val="-2"/>
          <w:sz w:val="20"/>
        </w:rPr>
        <w:t xml:space="preserve"> </w:t>
      </w:r>
      <w:r>
        <w:rPr>
          <w:i/>
          <w:color w:val="007B92"/>
          <w:sz w:val="20"/>
        </w:rPr>
        <w:t>level</w:t>
      </w:r>
      <w:r>
        <w:rPr>
          <w:i/>
          <w:color w:val="007B92"/>
          <w:spacing w:val="-3"/>
          <w:sz w:val="20"/>
        </w:rPr>
        <w:t xml:space="preserve"> </w:t>
      </w:r>
      <w:r>
        <w:rPr>
          <w:i/>
          <w:color w:val="007B92"/>
          <w:sz w:val="20"/>
        </w:rPr>
        <w:t>plays</w:t>
      </w:r>
      <w:r>
        <w:rPr>
          <w:i/>
          <w:color w:val="007B92"/>
          <w:spacing w:val="-3"/>
          <w:sz w:val="20"/>
        </w:rPr>
        <w:t xml:space="preserve"> </w:t>
      </w:r>
      <w:r>
        <w:rPr>
          <w:i/>
          <w:color w:val="007B92"/>
          <w:sz w:val="20"/>
        </w:rPr>
        <w:t>a</w:t>
      </w:r>
      <w:r>
        <w:rPr>
          <w:i/>
          <w:color w:val="007B92"/>
          <w:spacing w:val="-1"/>
          <w:sz w:val="20"/>
        </w:rPr>
        <w:t xml:space="preserve"> </w:t>
      </w:r>
      <w:r>
        <w:rPr>
          <w:i/>
          <w:color w:val="007B92"/>
          <w:sz w:val="20"/>
        </w:rPr>
        <w:t>largely</w:t>
      </w:r>
      <w:r>
        <w:rPr>
          <w:i/>
          <w:color w:val="007B92"/>
          <w:spacing w:val="-3"/>
          <w:sz w:val="20"/>
        </w:rPr>
        <w:t xml:space="preserve"> </w:t>
      </w:r>
      <w:r>
        <w:rPr>
          <w:i/>
          <w:color w:val="007B92"/>
          <w:sz w:val="20"/>
        </w:rPr>
        <w:t>symbolic</w:t>
      </w:r>
      <w:r>
        <w:rPr>
          <w:i/>
          <w:color w:val="007B92"/>
          <w:spacing w:val="-3"/>
          <w:sz w:val="20"/>
        </w:rPr>
        <w:t xml:space="preserve"> </w:t>
      </w:r>
      <w:r>
        <w:rPr>
          <w:i/>
          <w:color w:val="007B92"/>
          <w:sz w:val="20"/>
        </w:rPr>
        <w:t>role</w:t>
      </w:r>
      <w:r>
        <w:rPr>
          <w:i/>
          <w:color w:val="007B92"/>
          <w:spacing w:val="-4"/>
          <w:sz w:val="20"/>
        </w:rPr>
        <w:t xml:space="preserve"> </w:t>
      </w:r>
      <w:r>
        <w:rPr>
          <w:i/>
          <w:color w:val="007B92"/>
          <w:sz w:val="20"/>
        </w:rPr>
        <w:t>in</w:t>
      </w:r>
      <w:r>
        <w:rPr>
          <w:i/>
          <w:color w:val="007B92"/>
          <w:spacing w:val="-2"/>
          <w:sz w:val="20"/>
        </w:rPr>
        <w:t xml:space="preserve"> </w:t>
      </w:r>
      <w:r>
        <w:rPr>
          <w:i/>
          <w:color w:val="007B92"/>
          <w:sz w:val="20"/>
        </w:rPr>
        <w:t>promoting</w:t>
      </w:r>
      <w:r>
        <w:rPr>
          <w:i/>
          <w:color w:val="007B92"/>
          <w:spacing w:val="-1"/>
          <w:sz w:val="20"/>
        </w:rPr>
        <w:t xml:space="preserve"> </w:t>
      </w:r>
      <w:r>
        <w:rPr>
          <w:i/>
          <w:color w:val="007B92"/>
          <w:sz w:val="20"/>
        </w:rPr>
        <w:t>a</w:t>
      </w:r>
      <w:r>
        <w:rPr>
          <w:i/>
          <w:color w:val="007B92"/>
          <w:spacing w:val="-4"/>
          <w:sz w:val="20"/>
        </w:rPr>
        <w:t xml:space="preserve"> </w:t>
      </w:r>
      <w:r>
        <w:rPr>
          <w:i/>
          <w:color w:val="007B92"/>
          <w:sz w:val="20"/>
        </w:rPr>
        <w:t>level</w:t>
      </w:r>
      <w:r>
        <w:rPr>
          <w:i/>
          <w:color w:val="007B92"/>
          <w:spacing w:val="-3"/>
          <w:sz w:val="20"/>
        </w:rPr>
        <w:t xml:space="preserve"> </w:t>
      </w:r>
      <w:r>
        <w:rPr>
          <w:i/>
          <w:color w:val="007B92"/>
          <w:sz w:val="20"/>
        </w:rPr>
        <w:t>of coordination between policing</w:t>
      </w:r>
      <w:r>
        <w:rPr>
          <w:i/>
          <w:color w:val="007B92"/>
          <w:spacing w:val="-1"/>
          <w:sz w:val="20"/>
        </w:rPr>
        <w:t xml:space="preserve"> </w:t>
      </w:r>
      <w:r>
        <w:rPr>
          <w:i/>
          <w:color w:val="007B92"/>
          <w:sz w:val="20"/>
        </w:rPr>
        <w:t>and justice, with</w:t>
      </w:r>
      <w:r>
        <w:rPr>
          <w:i/>
          <w:color w:val="007B92"/>
          <w:spacing w:val="-1"/>
          <w:sz w:val="20"/>
        </w:rPr>
        <w:t xml:space="preserve"> </w:t>
      </w:r>
      <w:r>
        <w:rPr>
          <w:i/>
          <w:color w:val="007B92"/>
          <w:sz w:val="20"/>
        </w:rPr>
        <w:t>room</w:t>
      </w:r>
      <w:r>
        <w:rPr>
          <w:i/>
          <w:color w:val="007B92"/>
          <w:spacing w:val="-1"/>
          <w:sz w:val="20"/>
        </w:rPr>
        <w:t xml:space="preserve"> </w:t>
      </w:r>
      <w:r>
        <w:rPr>
          <w:i/>
          <w:color w:val="007B92"/>
          <w:sz w:val="20"/>
        </w:rPr>
        <w:t>for better collaboration</w:t>
      </w:r>
      <w:r>
        <w:rPr>
          <w:i/>
          <w:color w:val="007B92"/>
          <w:spacing w:val="-1"/>
          <w:sz w:val="20"/>
        </w:rPr>
        <w:t xml:space="preserve"> </w:t>
      </w:r>
      <w:r>
        <w:rPr>
          <w:i/>
          <w:color w:val="007B92"/>
          <w:sz w:val="20"/>
        </w:rPr>
        <w:t>within the</w:t>
      </w:r>
      <w:r>
        <w:rPr>
          <w:i/>
          <w:color w:val="007B92"/>
          <w:spacing w:val="-1"/>
          <w:sz w:val="20"/>
        </w:rPr>
        <w:t xml:space="preserve"> </w:t>
      </w:r>
      <w:r>
        <w:rPr>
          <w:i/>
          <w:color w:val="007B92"/>
          <w:sz w:val="20"/>
        </w:rPr>
        <w:t>scope of</w:t>
      </w:r>
      <w:r>
        <w:rPr>
          <w:i/>
          <w:color w:val="007B92"/>
          <w:spacing w:val="-1"/>
          <w:sz w:val="20"/>
        </w:rPr>
        <w:t xml:space="preserve"> </w:t>
      </w:r>
      <w:r>
        <w:rPr>
          <w:i/>
          <w:color w:val="007B92"/>
          <w:sz w:val="20"/>
        </w:rPr>
        <w:t xml:space="preserve">this ODA </w:t>
      </w:r>
      <w:r>
        <w:rPr>
          <w:i/>
          <w:color w:val="007B92"/>
          <w:spacing w:val="-2"/>
          <w:sz w:val="20"/>
        </w:rPr>
        <w:t>program.</w:t>
      </w:r>
    </w:p>
    <w:p w14:paraId="1A4ECCD8" w14:textId="77777777" w:rsidR="009C36E3" w:rsidRDefault="000E7207">
      <w:pPr>
        <w:spacing w:before="121"/>
        <w:ind w:left="1492" w:right="192"/>
        <w:rPr>
          <w:i/>
          <w:sz w:val="20"/>
        </w:rPr>
      </w:pPr>
      <w:r>
        <w:rPr>
          <w:noProof/>
        </w:rPr>
        <mc:AlternateContent>
          <mc:Choice Requires="wps">
            <w:drawing>
              <wp:anchor distT="0" distB="0" distL="0" distR="0" simplePos="0" relativeHeight="251653120" behindDoc="0" locked="0" layoutInCell="1" allowOverlap="1" wp14:anchorId="2DF3A357" wp14:editId="78B6F754">
                <wp:simplePos x="0" y="0"/>
                <wp:positionH relativeFrom="page">
                  <wp:posOffset>573317</wp:posOffset>
                </wp:positionH>
                <wp:positionV relativeFrom="paragraph">
                  <wp:posOffset>140768</wp:posOffset>
                </wp:positionV>
                <wp:extent cx="275590" cy="274955"/>
                <wp:effectExtent l="0" t="0" r="0" b="0"/>
                <wp:wrapNone/>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5CF3BCCA" id="Graphic 61" o:spid="_x0000_s1026" alt="&quot;&quot;" style="position:absolute;margin-left:45.15pt;margin-top:11.1pt;width:21.7pt;height:21.65pt;z-index:15750656;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&#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Joint corporate support through the managing contractor generates considerable efficiencies, such as delivering on the increasing requests for infrastructure. However, as discussed elsewhere there are</w:t>
      </w:r>
      <w:r>
        <w:rPr>
          <w:i/>
          <w:color w:val="007B92"/>
          <w:spacing w:val="-4"/>
          <w:sz w:val="20"/>
        </w:rPr>
        <w:t xml:space="preserve"> </w:t>
      </w:r>
      <w:r>
        <w:rPr>
          <w:i/>
          <w:color w:val="007B92"/>
          <w:sz w:val="20"/>
        </w:rPr>
        <w:t>opportunities</w:t>
      </w:r>
      <w:r>
        <w:rPr>
          <w:i/>
          <w:color w:val="007B92"/>
          <w:spacing w:val="-3"/>
          <w:sz w:val="20"/>
        </w:rPr>
        <w:t xml:space="preserve"> </w:t>
      </w:r>
      <w:r>
        <w:rPr>
          <w:i/>
          <w:color w:val="007B92"/>
          <w:sz w:val="20"/>
        </w:rPr>
        <w:t>to</w:t>
      </w:r>
      <w:r>
        <w:rPr>
          <w:i/>
          <w:color w:val="007B92"/>
          <w:spacing w:val="-2"/>
          <w:sz w:val="20"/>
        </w:rPr>
        <w:t xml:space="preserve"> </w:t>
      </w:r>
      <w:r>
        <w:rPr>
          <w:i/>
          <w:color w:val="007B92"/>
          <w:sz w:val="20"/>
        </w:rPr>
        <w:t>improve</w:t>
      </w:r>
      <w:r>
        <w:rPr>
          <w:i/>
          <w:color w:val="007B92"/>
          <w:spacing w:val="-4"/>
          <w:sz w:val="20"/>
        </w:rPr>
        <w:t xml:space="preserve"> </w:t>
      </w:r>
      <w:r>
        <w:rPr>
          <w:i/>
          <w:color w:val="007B92"/>
          <w:sz w:val="20"/>
        </w:rPr>
        <w:t>processes</w:t>
      </w:r>
      <w:r>
        <w:rPr>
          <w:i/>
          <w:color w:val="007B92"/>
          <w:spacing w:val="-3"/>
          <w:sz w:val="20"/>
        </w:rPr>
        <w:t xml:space="preserve"> </w:t>
      </w:r>
      <w:r>
        <w:rPr>
          <w:i/>
          <w:color w:val="007B92"/>
          <w:sz w:val="20"/>
        </w:rPr>
        <w:t>to</w:t>
      </w:r>
      <w:r>
        <w:rPr>
          <w:i/>
          <w:color w:val="007B92"/>
          <w:spacing w:val="-4"/>
          <w:sz w:val="20"/>
        </w:rPr>
        <w:t xml:space="preserve"> </w:t>
      </w:r>
      <w:r>
        <w:rPr>
          <w:i/>
          <w:color w:val="007B92"/>
          <w:sz w:val="20"/>
        </w:rPr>
        <w:t>better</w:t>
      </w:r>
      <w:r>
        <w:rPr>
          <w:i/>
          <w:color w:val="007B92"/>
          <w:spacing w:val="-3"/>
          <w:sz w:val="20"/>
        </w:rPr>
        <w:t xml:space="preserve"> </w:t>
      </w:r>
      <w:r>
        <w:rPr>
          <w:i/>
          <w:color w:val="007B92"/>
          <w:sz w:val="20"/>
        </w:rPr>
        <w:t>meet</w:t>
      </w:r>
      <w:r>
        <w:rPr>
          <w:i/>
          <w:color w:val="007B92"/>
          <w:spacing w:val="-2"/>
          <w:sz w:val="20"/>
        </w:rPr>
        <w:t xml:space="preserve"> </w:t>
      </w:r>
      <w:r>
        <w:rPr>
          <w:i/>
          <w:color w:val="007B92"/>
          <w:sz w:val="20"/>
        </w:rPr>
        <w:t>the</w:t>
      </w:r>
      <w:r>
        <w:rPr>
          <w:i/>
          <w:color w:val="007B92"/>
          <w:spacing w:val="-4"/>
          <w:sz w:val="20"/>
        </w:rPr>
        <w:t xml:space="preserve"> </w:t>
      </w:r>
      <w:r>
        <w:rPr>
          <w:i/>
          <w:color w:val="007B92"/>
          <w:sz w:val="20"/>
        </w:rPr>
        <w:t>needs of</w:t>
      </w:r>
      <w:r>
        <w:rPr>
          <w:i/>
          <w:color w:val="007B92"/>
          <w:spacing w:val="-4"/>
          <w:sz w:val="20"/>
        </w:rPr>
        <w:t xml:space="preserve"> </w:t>
      </w:r>
      <w:r>
        <w:rPr>
          <w:i/>
          <w:color w:val="007B92"/>
          <w:sz w:val="20"/>
        </w:rPr>
        <w:t>both</w:t>
      </w:r>
      <w:r>
        <w:rPr>
          <w:i/>
          <w:color w:val="007B92"/>
          <w:spacing w:val="-4"/>
          <w:sz w:val="20"/>
        </w:rPr>
        <w:t xml:space="preserve"> </w:t>
      </w:r>
      <w:r>
        <w:rPr>
          <w:i/>
          <w:color w:val="007B92"/>
          <w:sz w:val="20"/>
        </w:rPr>
        <w:t>the</w:t>
      </w:r>
      <w:r>
        <w:rPr>
          <w:i/>
          <w:color w:val="007B92"/>
          <w:spacing w:val="-2"/>
          <w:sz w:val="20"/>
        </w:rPr>
        <w:t xml:space="preserve"> </w:t>
      </w:r>
      <w:r>
        <w:rPr>
          <w:i/>
          <w:color w:val="007B92"/>
          <w:sz w:val="20"/>
        </w:rPr>
        <w:t>justice</w:t>
      </w:r>
      <w:r>
        <w:rPr>
          <w:i/>
          <w:color w:val="007B92"/>
          <w:spacing w:val="-4"/>
          <w:sz w:val="20"/>
        </w:rPr>
        <w:t xml:space="preserve"> </w:t>
      </w:r>
      <w:r>
        <w:rPr>
          <w:i/>
          <w:color w:val="007B92"/>
          <w:sz w:val="20"/>
        </w:rPr>
        <w:t>and</w:t>
      </w:r>
      <w:r>
        <w:rPr>
          <w:i/>
          <w:color w:val="007B92"/>
          <w:spacing w:val="-4"/>
          <w:sz w:val="20"/>
        </w:rPr>
        <w:t xml:space="preserve"> </w:t>
      </w:r>
      <w:r>
        <w:rPr>
          <w:i/>
          <w:color w:val="007B92"/>
          <w:sz w:val="20"/>
        </w:rPr>
        <w:t>policing</w:t>
      </w:r>
      <w:r>
        <w:rPr>
          <w:i/>
          <w:color w:val="007B92"/>
          <w:spacing w:val="-4"/>
          <w:sz w:val="20"/>
        </w:rPr>
        <w:t xml:space="preserve"> </w:t>
      </w:r>
      <w:r>
        <w:rPr>
          <w:i/>
          <w:color w:val="007B92"/>
          <w:sz w:val="20"/>
        </w:rPr>
        <w:t>streams.</w:t>
      </w:r>
    </w:p>
    <w:p w14:paraId="5C1542A0" w14:textId="77777777" w:rsidR="009C36E3" w:rsidRDefault="000E7207">
      <w:pPr>
        <w:spacing w:before="119"/>
        <w:ind w:left="1491"/>
        <w:rPr>
          <w:i/>
          <w:sz w:val="20"/>
        </w:rPr>
      </w:pPr>
      <w:r>
        <w:rPr>
          <w:noProof/>
        </w:rPr>
        <mc:AlternateContent>
          <mc:Choice Requires="wps">
            <w:drawing>
              <wp:anchor distT="0" distB="0" distL="0" distR="0" simplePos="0" relativeHeight="251652096" behindDoc="0" locked="0" layoutInCell="1" allowOverlap="1" wp14:anchorId="5AB70626" wp14:editId="4941B484">
                <wp:simplePos x="0" y="0"/>
                <wp:positionH relativeFrom="page">
                  <wp:posOffset>573317</wp:posOffset>
                </wp:positionH>
                <wp:positionV relativeFrom="paragraph">
                  <wp:posOffset>117908</wp:posOffset>
                </wp:positionV>
                <wp:extent cx="275590" cy="274955"/>
                <wp:effectExtent l="0" t="0" r="0" b="0"/>
                <wp:wrapNone/>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70219587" id="Graphic 62" o:spid="_x0000_s1026" alt="&quot;&quot;" style="position:absolute;margin-left:45.15pt;margin-top:9.3pt;width:21.7pt;height:21.65pt;z-index:15750144;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&#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3"/>
          <w:sz w:val="20"/>
        </w:rPr>
        <w:t xml:space="preserve"> </w:t>
      </w:r>
      <w:r>
        <w:rPr>
          <w:i/>
          <w:color w:val="007B92"/>
          <w:sz w:val="20"/>
        </w:rPr>
        <w:t>There</w:t>
      </w:r>
      <w:r>
        <w:rPr>
          <w:i/>
          <w:color w:val="007B92"/>
          <w:spacing w:val="-4"/>
          <w:sz w:val="20"/>
        </w:rPr>
        <w:t xml:space="preserve"> </w:t>
      </w:r>
      <w:r>
        <w:rPr>
          <w:i/>
          <w:color w:val="007B92"/>
          <w:sz w:val="20"/>
        </w:rPr>
        <w:t>is</w:t>
      </w:r>
      <w:r>
        <w:rPr>
          <w:i/>
          <w:color w:val="007B92"/>
          <w:spacing w:val="-3"/>
          <w:sz w:val="20"/>
        </w:rPr>
        <w:t xml:space="preserve"> </w:t>
      </w:r>
      <w:r>
        <w:rPr>
          <w:i/>
          <w:color w:val="007B92"/>
          <w:sz w:val="20"/>
        </w:rPr>
        <w:t>a</w:t>
      </w:r>
      <w:r>
        <w:rPr>
          <w:i/>
          <w:color w:val="007B92"/>
          <w:spacing w:val="-2"/>
          <w:sz w:val="20"/>
        </w:rPr>
        <w:t xml:space="preserve"> </w:t>
      </w:r>
      <w:r>
        <w:rPr>
          <w:i/>
          <w:color w:val="007B92"/>
          <w:sz w:val="20"/>
        </w:rPr>
        <w:t>need</w:t>
      </w:r>
      <w:r>
        <w:rPr>
          <w:i/>
          <w:color w:val="007B92"/>
          <w:spacing w:val="-4"/>
          <w:sz w:val="20"/>
        </w:rPr>
        <w:t xml:space="preserve"> </w:t>
      </w:r>
      <w:r>
        <w:rPr>
          <w:i/>
          <w:color w:val="007B92"/>
          <w:sz w:val="20"/>
        </w:rPr>
        <w:t>to</w:t>
      </w:r>
      <w:r>
        <w:rPr>
          <w:i/>
          <w:color w:val="007B92"/>
          <w:spacing w:val="-4"/>
          <w:sz w:val="20"/>
        </w:rPr>
        <w:t xml:space="preserve"> </w:t>
      </w:r>
      <w:r>
        <w:rPr>
          <w:i/>
          <w:color w:val="007B92"/>
          <w:sz w:val="20"/>
        </w:rPr>
        <w:t>review</w:t>
      </w:r>
      <w:r>
        <w:rPr>
          <w:i/>
          <w:color w:val="007B92"/>
          <w:spacing w:val="-1"/>
          <w:sz w:val="20"/>
        </w:rPr>
        <w:t xml:space="preserve"> </w:t>
      </w:r>
      <w:r>
        <w:rPr>
          <w:i/>
          <w:color w:val="007B92"/>
          <w:sz w:val="20"/>
        </w:rPr>
        <w:t>processes</w:t>
      </w:r>
      <w:r>
        <w:rPr>
          <w:i/>
          <w:color w:val="007B92"/>
          <w:spacing w:val="-3"/>
          <w:sz w:val="20"/>
        </w:rPr>
        <w:t xml:space="preserve"> </w:t>
      </w:r>
      <w:r>
        <w:rPr>
          <w:i/>
          <w:color w:val="007B92"/>
          <w:sz w:val="20"/>
        </w:rPr>
        <w:t>within</w:t>
      </w:r>
      <w:r>
        <w:rPr>
          <w:i/>
          <w:color w:val="007B92"/>
          <w:spacing w:val="-4"/>
          <w:sz w:val="20"/>
        </w:rPr>
        <w:t xml:space="preserve"> </w:t>
      </w:r>
      <w:r>
        <w:rPr>
          <w:i/>
          <w:color w:val="007B92"/>
          <w:sz w:val="20"/>
        </w:rPr>
        <w:t>some</w:t>
      </w:r>
      <w:r>
        <w:rPr>
          <w:i/>
          <w:color w:val="007B92"/>
          <w:spacing w:val="-1"/>
          <w:sz w:val="20"/>
        </w:rPr>
        <w:t xml:space="preserve"> </w:t>
      </w:r>
      <w:r>
        <w:rPr>
          <w:i/>
          <w:color w:val="007B92"/>
          <w:sz w:val="20"/>
        </w:rPr>
        <w:t>delivery</w:t>
      </w:r>
      <w:r>
        <w:rPr>
          <w:i/>
          <w:color w:val="007B92"/>
          <w:spacing w:val="-3"/>
          <w:sz w:val="20"/>
        </w:rPr>
        <w:t xml:space="preserve"> </w:t>
      </w:r>
      <w:r>
        <w:rPr>
          <w:i/>
          <w:color w:val="007B92"/>
          <w:sz w:val="20"/>
        </w:rPr>
        <w:t>modalities</w:t>
      </w:r>
      <w:r>
        <w:rPr>
          <w:i/>
          <w:color w:val="007B92"/>
          <w:spacing w:val="-3"/>
          <w:sz w:val="20"/>
        </w:rPr>
        <w:t xml:space="preserve"> </w:t>
      </w:r>
      <w:r>
        <w:rPr>
          <w:i/>
          <w:color w:val="007B92"/>
          <w:sz w:val="20"/>
        </w:rPr>
        <w:t>to strengthen</w:t>
      </w:r>
      <w:r>
        <w:rPr>
          <w:i/>
          <w:color w:val="007B92"/>
          <w:spacing w:val="-4"/>
          <w:sz w:val="20"/>
        </w:rPr>
        <w:t xml:space="preserve"> </w:t>
      </w:r>
      <w:r>
        <w:rPr>
          <w:i/>
          <w:color w:val="007B92"/>
          <w:sz w:val="20"/>
        </w:rPr>
        <w:t>effectiveness, transparency and sustainability within and across the policing and justice streams of work, for distinct and joint outcomes. Current modalities are technical assistance through both Short-term and Long-term</w:t>
      </w:r>
    </w:p>
    <w:p w14:paraId="36A9CAE5" w14:textId="77777777" w:rsidR="009C36E3" w:rsidRDefault="000E7207">
      <w:pPr>
        <w:spacing w:before="2"/>
        <w:ind w:left="771"/>
        <w:rPr>
          <w:i/>
          <w:sz w:val="20"/>
        </w:rPr>
      </w:pPr>
      <w:r>
        <w:rPr>
          <w:i/>
          <w:color w:val="007B92"/>
          <w:sz w:val="20"/>
        </w:rPr>
        <w:t>Advisers</w:t>
      </w:r>
      <w:r>
        <w:rPr>
          <w:i/>
          <w:color w:val="007B92"/>
          <w:spacing w:val="-3"/>
          <w:sz w:val="20"/>
        </w:rPr>
        <w:t xml:space="preserve"> </w:t>
      </w:r>
      <w:r>
        <w:rPr>
          <w:i/>
          <w:color w:val="007B92"/>
          <w:sz w:val="20"/>
        </w:rPr>
        <w:t>(STA</w:t>
      </w:r>
      <w:r>
        <w:rPr>
          <w:i/>
          <w:color w:val="007B92"/>
          <w:spacing w:val="-5"/>
          <w:sz w:val="20"/>
        </w:rPr>
        <w:t xml:space="preserve"> </w:t>
      </w:r>
      <w:r>
        <w:rPr>
          <w:i/>
          <w:color w:val="007B92"/>
          <w:sz w:val="20"/>
        </w:rPr>
        <w:t>and</w:t>
      </w:r>
      <w:r>
        <w:rPr>
          <w:i/>
          <w:color w:val="007B92"/>
          <w:spacing w:val="-4"/>
          <w:sz w:val="20"/>
        </w:rPr>
        <w:t xml:space="preserve"> </w:t>
      </w:r>
      <w:r>
        <w:rPr>
          <w:i/>
          <w:color w:val="007B92"/>
          <w:sz w:val="20"/>
        </w:rPr>
        <w:t>LTA),</w:t>
      </w:r>
      <w:r>
        <w:rPr>
          <w:i/>
          <w:color w:val="007B92"/>
          <w:spacing w:val="-4"/>
          <w:sz w:val="20"/>
        </w:rPr>
        <w:t xml:space="preserve"> </w:t>
      </w:r>
      <w:r>
        <w:rPr>
          <w:i/>
          <w:color w:val="007B92"/>
          <w:sz w:val="20"/>
        </w:rPr>
        <w:t>training</w:t>
      </w:r>
      <w:r>
        <w:rPr>
          <w:i/>
          <w:color w:val="007B92"/>
          <w:spacing w:val="-2"/>
          <w:sz w:val="20"/>
        </w:rPr>
        <w:t xml:space="preserve"> </w:t>
      </w:r>
      <w:r>
        <w:rPr>
          <w:i/>
          <w:color w:val="007B92"/>
          <w:sz w:val="20"/>
        </w:rPr>
        <w:t>and</w:t>
      </w:r>
      <w:r>
        <w:rPr>
          <w:i/>
          <w:color w:val="007B92"/>
          <w:spacing w:val="-4"/>
          <w:sz w:val="20"/>
        </w:rPr>
        <w:t xml:space="preserve"> </w:t>
      </w:r>
      <w:r>
        <w:rPr>
          <w:i/>
          <w:color w:val="007B92"/>
          <w:sz w:val="20"/>
        </w:rPr>
        <w:t>professional</w:t>
      </w:r>
      <w:r>
        <w:rPr>
          <w:i/>
          <w:color w:val="007B92"/>
          <w:spacing w:val="-3"/>
          <w:sz w:val="20"/>
        </w:rPr>
        <w:t xml:space="preserve"> </w:t>
      </w:r>
      <w:r>
        <w:rPr>
          <w:i/>
          <w:color w:val="007B92"/>
          <w:sz w:val="20"/>
        </w:rPr>
        <w:t>development,</w:t>
      </w:r>
      <w:r>
        <w:rPr>
          <w:i/>
          <w:color w:val="007B92"/>
          <w:spacing w:val="-4"/>
          <w:sz w:val="20"/>
        </w:rPr>
        <w:t xml:space="preserve"> </w:t>
      </w:r>
      <w:r>
        <w:rPr>
          <w:i/>
          <w:color w:val="007B92"/>
          <w:sz w:val="20"/>
        </w:rPr>
        <w:t>GoV</w:t>
      </w:r>
      <w:r>
        <w:rPr>
          <w:i/>
          <w:color w:val="007B92"/>
          <w:spacing w:val="-5"/>
          <w:sz w:val="20"/>
        </w:rPr>
        <w:t xml:space="preserve"> </w:t>
      </w:r>
      <w:r>
        <w:rPr>
          <w:i/>
          <w:color w:val="007B92"/>
          <w:sz w:val="20"/>
        </w:rPr>
        <w:t>operational support,</w:t>
      </w:r>
      <w:r>
        <w:rPr>
          <w:i/>
          <w:color w:val="007B92"/>
          <w:spacing w:val="-4"/>
          <w:sz w:val="20"/>
        </w:rPr>
        <w:t xml:space="preserve"> </w:t>
      </w:r>
      <w:r>
        <w:rPr>
          <w:i/>
          <w:color w:val="007B92"/>
          <w:sz w:val="20"/>
        </w:rPr>
        <w:t>community</w:t>
      </w:r>
      <w:r>
        <w:rPr>
          <w:i/>
          <w:color w:val="007B92"/>
          <w:spacing w:val="-3"/>
          <w:sz w:val="20"/>
        </w:rPr>
        <w:t xml:space="preserve"> </w:t>
      </w:r>
      <w:r>
        <w:rPr>
          <w:i/>
          <w:color w:val="007B92"/>
          <w:sz w:val="20"/>
        </w:rPr>
        <w:t>grants, infrastructure and project delivery. These are discussed throughout the report.</w:t>
      </w:r>
    </w:p>
    <w:p w14:paraId="2AD973B5" w14:textId="77777777" w:rsidR="009C36E3" w:rsidRDefault="000E7207">
      <w:pPr>
        <w:spacing w:before="118"/>
        <w:ind w:left="1491"/>
        <w:rPr>
          <w:i/>
          <w:sz w:val="20"/>
        </w:rPr>
      </w:pPr>
      <w:r>
        <w:rPr>
          <w:noProof/>
        </w:rPr>
        <mc:AlternateContent>
          <mc:Choice Requires="wps">
            <w:drawing>
              <wp:anchor distT="0" distB="0" distL="0" distR="0" simplePos="0" relativeHeight="251655168" behindDoc="0" locked="0" layoutInCell="1" allowOverlap="1" wp14:anchorId="03BA0B39" wp14:editId="632E2370">
                <wp:simplePos x="0" y="0"/>
                <wp:positionH relativeFrom="page">
                  <wp:posOffset>573317</wp:posOffset>
                </wp:positionH>
                <wp:positionV relativeFrom="paragraph">
                  <wp:posOffset>117908</wp:posOffset>
                </wp:positionV>
                <wp:extent cx="275590" cy="274955"/>
                <wp:effectExtent l="0" t="0" r="0" b="0"/>
                <wp:wrapNone/>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57043DB8" id="Graphic 63" o:spid="_x0000_s1026" alt="&quot;&quot;" style="position:absolute;margin-left:45.15pt;margin-top:9.3pt;width:21.7pt;height:21.65pt;z-index:15751680;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&#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Within VAPJP managing the complex area of family protection and VAWC is something that necessarily</w:t>
      </w:r>
      <w:r>
        <w:rPr>
          <w:i/>
          <w:color w:val="007B92"/>
          <w:spacing w:val="-1"/>
          <w:sz w:val="20"/>
        </w:rPr>
        <w:t xml:space="preserve"> </w:t>
      </w:r>
      <w:r>
        <w:rPr>
          <w:i/>
          <w:color w:val="007B92"/>
          <w:sz w:val="20"/>
        </w:rPr>
        <w:t>involves</w:t>
      </w:r>
      <w:r>
        <w:rPr>
          <w:i/>
          <w:color w:val="007B92"/>
          <w:spacing w:val="-1"/>
          <w:sz w:val="20"/>
        </w:rPr>
        <w:t xml:space="preserve"> </w:t>
      </w:r>
      <w:r>
        <w:rPr>
          <w:i/>
          <w:color w:val="007B92"/>
          <w:sz w:val="20"/>
        </w:rPr>
        <w:t>all</w:t>
      </w:r>
      <w:r>
        <w:rPr>
          <w:i/>
          <w:color w:val="007B92"/>
          <w:spacing w:val="-5"/>
          <w:sz w:val="20"/>
        </w:rPr>
        <w:t xml:space="preserve"> </w:t>
      </w:r>
      <w:r>
        <w:rPr>
          <w:i/>
          <w:color w:val="007B92"/>
          <w:sz w:val="20"/>
        </w:rPr>
        <w:t>of</w:t>
      </w:r>
      <w:r>
        <w:rPr>
          <w:i/>
          <w:color w:val="007B92"/>
          <w:spacing w:val="-2"/>
          <w:sz w:val="20"/>
        </w:rPr>
        <w:t xml:space="preserve"> </w:t>
      </w:r>
      <w:r>
        <w:rPr>
          <w:i/>
          <w:color w:val="007B92"/>
          <w:sz w:val="20"/>
        </w:rPr>
        <w:t>the</w:t>
      </w:r>
      <w:r>
        <w:rPr>
          <w:i/>
          <w:color w:val="007B92"/>
          <w:spacing w:val="-4"/>
          <w:sz w:val="20"/>
        </w:rPr>
        <w:t xml:space="preserve"> </w:t>
      </w:r>
      <w:r>
        <w:rPr>
          <w:i/>
          <w:color w:val="007B92"/>
          <w:sz w:val="20"/>
        </w:rPr>
        <w:t>justice,</w:t>
      </w:r>
      <w:r>
        <w:rPr>
          <w:i/>
          <w:color w:val="007B92"/>
          <w:spacing w:val="-4"/>
          <w:sz w:val="20"/>
        </w:rPr>
        <w:t xml:space="preserve"> </w:t>
      </w:r>
      <w:r>
        <w:rPr>
          <w:i/>
          <w:color w:val="007B92"/>
          <w:sz w:val="20"/>
        </w:rPr>
        <w:t>community</w:t>
      </w:r>
      <w:r>
        <w:rPr>
          <w:i/>
          <w:color w:val="007B92"/>
          <w:spacing w:val="-3"/>
          <w:sz w:val="20"/>
        </w:rPr>
        <w:t xml:space="preserve"> </w:t>
      </w:r>
      <w:r>
        <w:rPr>
          <w:i/>
          <w:color w:val="007B92"/>
          <w:sz w:val="20"/>
        </w:rPr>
        <w:t>and policing</w:t>
      </w:r>
      <w:r>
        <w:rPr>
          <w:i/>
          <w:color w:val="007B92"/>
          <w:spacing w:val="-4"/>
          <w:sz w:val="20"/>
        </w:rPr>
        <w:t xml:space="preserve"> </w:t>
      </w:r>
      <w:r>
        <w:rPr>
          <w:i/>
          <w:color w:val="007B92"/>
          <w:sz w:val="20"/>
        </w:rPr>
        <w:t>streams</w:t>
      </w:r>
      <w:r>
        <w:rPr>
          <w:i/>
          <w:color w:val="007B92"/>
          <w:spacing w:val="-1"/>
          <w:sz w:val="20"/>
        </w:rPr>
        <w:t xml:space="preserve"> </w:t>
      </w:r>
      <w:r>
        <w:rPr>
          <w:i/>
          <w:color w:val="007B92"/>
          <w:sz w:val="20"/>
        </w:rPr>
        <w:t>and</w:t>
      </w:r>
      <w:r>
        <w:rPr>
          <w:i/>
          <w:color w:val="007B92"/>
          <w:spacing w:val="-2"/>
          <w:sz w:val="20"/>
        </w:rPr>
        <w:t xml:space="preserve"> </w:t>
      </w:r>
      <w:r>
        <w:rPr>
          <w:i/>
          <w:color w:val="007B92"/>
          <w:sz w:val="20"/>
        </w:rPr>
        <w:t>attendant</w:t>
      </w:r>
      <w:r>
        <w:rPr>
          <w:i/>
          <w:color w:val="007B92"/>
          <w:spacing w:val="-4"/>
          <w:sz w:val="20"/>
        </w:rPr>
        <w:t xml:space="preserve"> </w:t>
      </w:r>
      <w:r>
        <w:rPr>
          <w:i/>
          <w:color w:val="007B92"/>
          <w:sz w:val="20"/>
        </w:rPr>
        <w:t>advisers.</w:t>
      </w:r>
      <w:r>
        <w:rPr>
          <w:i/>
          <w:color w:val="007B92"/>
          <w:spacing w:val="-4"/>
          <w:sz w:val="20"/>
        </w:rPr>
        <w:t xml:space="preserve"> </w:t>
      </w:r>
      <w:r>
        <w:rPr>
          <w:i/>
          <w:color w:val="007B92"/>
          <w:sz w:val="20"/>
        </w:rPr>
        <w:t>While</w:t>
      </w:r>
      <w:r>
        <w:rPr>
          <w:i/>
          <w:color w:val="007B92"/>
          <w:spacing w:val="-4"/>
          <w:sz w:val="20"/>
        </w:rPr>
        <w:t xml:space="preserve"> </w:t>
      </w:r>
      <w:r>
        <w:rPr>
          <w:i/>
          <w:color w:val="007B92"/>
          <w:sz w:val="20"/>
        </w:rPr>
        <w:t>there are good relationships and communications between the respective advisers, it was apparent that many</w:t>
      </w:r>
    </w:p>
    <w:p w14:paraId="7338A94A" w14:textId="77777777" w:rsidR="009C36E3" w:rsidRDefault="000E7207">
      <w:pPr>
        <w:spacing w:before="2"/>
        <w:ind w:left="771" w:right="120"/>
        <w:rPr>
          <w:i/>
          <w:sz w:val="20"/>
        </w:rPr>
      </w:pPr>
      <w:r>
        <w:rPr>
          <w:i/>
          <w:color w:val="007B92"/>
          <w:sz w:val="20"/>
        </w:rPr>
        <w:t>across</w:t>
      </w:r>
      <w:r>
        <w:rPr>
          <w:i/>
          <w:color w:val="007B92"/>
          <w:spacing w:val="-2"/>
          <w:sz w:val="20"/>
        </w:rPr>
        <w:t xml:space="preserve"> </w:t>
      </w:r>
      <w:r>
        <w:rPr>
          <w:i/>
          <w:color w:val="007B92"/>
          <w:sz w:val="20"/>
        </w:rPr>
        <w:t>the</w:t>
      </w:r>
      <w:r>
        <w:rPr>
          <w:i/>
          <w:color w:val="007B92"/>
          <w:spacing w:val="-3"/>
          <w:sz w:val="20"/>
        </w:rPr>
        <w:t xml:space="preserve"> </w:t>
      </w:r>
      <w:r>
        <w:rPr>
          <w:i/>
          <w:color w:val="007B92"/>
          <w:sz w:val="20"/>
        </w:rPr>
        <w:t>program</w:t>
      </w:r>
      <w:r>
        <w:rPr>
          <w:i/>
          <w:color w:val="007B92"/>
          <w:spacing w:val="-3"/>
          <w:sz w:val="20"/>
        </w:rPr>
        <w:t xml:space="preserve"> </w:t>
      </w:r>
      <w:r>
        <w:rPr>
          <w:i/>
          <w:color w:val="007B92"/>
          <w:sz w:val="20"/>
        </w:rPr>
        <w:t>consider</w:t>
      </w:r>
      <w:r>
        <w:rPr>
          <w:i/>
          <w:color w:val="007B92"/>
          <w:spacing w:val="-2"/>
          <w:sz w:val="20"/>
        </w:rPr>
        <w:t xml:space="preserve"> </w:t>
      </w:r>
      <w:r>
        <w:rPr>
          <w:i/>
          <w:color w:val="007B92"/>
          <w:sz w:val="20"/>
        </w:rPr>
        <w:t>that</w:t>
      </w:r>
      <w:r>
        <w:rPr>
          <w:i/>
          <w:color w:val="007B92"/>
          <w:spacing w:val="-1"/>
          <w:sz w:val="20"/>
        </w:rPr>
        <w:t xml:space="preserve"> </w:t>
      </w:r>
      <w:r>
        <w:rPr>
          <w:i/>
          <w:color w:val="007B92"/>
          <w:sz w:val="20"/>
        </w:rPr>
        <w:t>the</w:t>
      </w:r>
      <w:r>
        <w:rPr>
          <w:i/>
          <w:color w:val="007B92"/>
          <w:spacing w:val="-1"/>
          <w:sz w:val="20"/>
        </w:rPr>
        <w:t xml:space="preserve"> </w:t>
      </w:r>
      <w:r>
        <w:rPr>
          <w:i/>
          <w:color w:val="007B92"/>
          <w:sz w:val="20"/>
        </w:rPr>
        <w:t>arrangements</w:t>
      </w:r>
      <w:r>
        <w:rPr>
          <w:i/>
          <w:color w:val="007B92"/>
          <w:spacing w:val="-2"/>
          <w:sz w:val="20"/>
        </w:rPr>
        <w:t xml:space="preserve"> </w:t>
      </w:r>
      <w:r>
        <w:rPr>
          <w:i/>
          <w:color w:val="007B92"/>
          <w:sz w:val="20"/>
        </w:rPr>
        <w:t>are</w:t>
      </w:r>
      <w:r>
        <w:rPr>
          <w:i/>
          <w:color w:val="007B92"/>
          <w:spacing w:val="-3"/>
          <w:sz w:val="20"/>
        </w:rPr>
        <w:t xml:space="preserve"> </w:t>
      </w:r>
      <w:r>
        <w:rPr>
          <w:i/>
          <w:color w:val="007B92"/>
          <w:sz w:val="20"/>
        </w:rPr>
        <w:t>not</w:t>
      </w:r>
      <w:r>
        <w:rPr>
          <w:i/>
          <w:color w:val="007B92"/>
          <w:spacing w:val="-1"/>
          <w:sz w:val="20"/>
        </w:rPr>
        <w:t xml:space="preserve"> </w:t>
      </w:r>
      <w:r>
        <w:rPr>
          <w:i/>
          <w:color w:val="007B92"/>
          <w:sz w:val="20"/>
        </w:rPr>
        <w:t>yet</w:t>
      </w:r>
      <w:r>
        <w:rPr>
          <w:i/>
          <w:color w:val="007B92"/>
          <w:spacing w:val="-3"/>
          <w:sz w:val="20"/>
        </w:rPr>
        <w:t xml:space="preserve"> </w:t>
      </w:r>
      <w:r>
        <w:rPr>
          <w:i/>
          <w:color w:val="007B92"/>
          <w:sz w:val="20"/>
        </w:rPr>
        <w:t>optimal</w:t>
      </w:r>
      <w:r>
        <w:rPr>
          <w:i/>
          <w:color w:val="007B92"/>
          <w:spacing w:val="-2"/>
          <w:sz w:val="20"/>
        </w:rPr>
        <w:t xml:space="preserve"> </w:t>
      </w:r>
      <w:r>
        <w:rPr>
          <w:i/>
          <w:color w:val="007B92"/>
          <w:sz w:val="20"/>
        </w:rPr>
        <w:t>for</w:t>
      </w:r>
      <w:r>
        <w:rPr>
          <w:i/>
          <w:color w:val="007B92"/>
          <w:spacing w:val="-2"/>
          <w:sz w:val="20"/>
        </w:rPr>
        <w:t xml:space="preserve"> </w:t>
      </w:r>
      <w:r>
        <w:rPr>
          <w:i/>
          <w:color w:val="007B92"/>
          <w:sz w:val="20"/>
        </w:rPr>
        <w:t>ensuring</w:t>
      </w:r>
      <w:r>
        <w:rPr>
          <w:i/>
          <w:color w:val="007B92"/>
          <w:spacing w:val="-3"/>
          <w:sz w:val="20"/>
        </w:rPr>
        <w:t xml:space="preserve"> </w:t>
      </w:r>
      <w:r>
        <w:rPr>
          <w:i/>
          <w:color w:val="007B92"/>
          <w:sz w:val="20"/>
        </w:rPr>
        <w:t>that</w:t>
      </w:r>
      <w:r>
        <w:rPr>
          <w:i/>
          <w:color w:val="007B92"/>
          <w:spacing w:val="-3"/>
          <w:sz w:val="20"/>
        </w:rPr>
        <w:t xml:space="preserve"> </w:t>
      </w:r>
      <w:r>
        <w:rPr>
          <w:i/>
          <w:color w:val="007B92"/>
          <w:sz w:val="20"/>
        </w:rPr>
        <w:t>all</w:t>
      </w:r>
      <w:r>
        <w:rPr>
          <w:i/>
          <w:color w:val="007B92"/>
          <w:spacing w:val="-2"/>
          <w:sz w:val="20"/>
        </w:rPr>
        <w:t xml:space="preserve"> </w:t>
      </w:r>
      <w:r>
        <w:rPr>
          <w:i/>
          <w:color w:val="007B92"/>
          <w:sz w:val="20"/>
        </w:rPr>
        <w:t>the</w:t>
      </w:r>
      <w:r>
        <w:rPr>
          <w:i/>
          <w:color w:val="007B92"/>
          <w:spacing w:val="-1"/>
          <w:sz w:val="20"/>
        </w:rPr>
        <w:t xml:space="preserve"> </w:t>
      </w:r>
      <w:r>
        <w:rPr>
          <w:i/>
          <w:color w:val="007B92"/>
          <w:sz w:val="20"/>
        </w:rPr>
        <w:t>parts</w:t>
      </w:r>
      <w:r>
        <w:rPr>
          <w:i/>
          <w:color w:val="007B92"/>
          <w:spacing w:val="-2"/>
          <w:sz w:val="20"/>
        </w:rPr>
        <w:t xml:space="preserve"> </w:t>
      </w:r>
      <w:r>
        <w:rPr>
          <w:i/>
          <w:color w:val="007B92"/>
          <w:sz w:val="20"/>
        </w:rPr>
        <w:t xml:space="preserve">collaborate toward the multi-faceted approaches required for preventing and responding to violence against women and </w:t>
      </w:r>
      <w:r>
        <w:rPr>
          <w:i/>
          <w:color w:val="007B92"/>
          <w:spacing w:val="-2"/>
          <w:sz w:val="20"/>
        </w:rPr>
        <w:t>children.</w:t>
      </w:r>
    </w:p>
    <w:p w14:paraId="5FC3611C" w14:textId="77777777" w:rsidR="009C36E3" w:rsidRDefault="000E7207">
      <w:pPr>
        <w:pStyle w:val="Heading7"/>
        <w:spacing w:before="119"/>
      </w:pPr>
      <w:r>
        <w:t>Governance</w:t>
      </w:r>
      <w:r>
        <w:rPr>
          <w:spacing w:val="-8"/>
        </w:rPr>
        <w:t xml:space="preserve"> </w:t>
      </w:r>
      <w:r>
        <w:t>and</w:t>
      </w:r>
      <w:r>
        <w:rPr>
          <w:spacing w:val="-7"/>
        </w:rPr>
        <w:t xml:space="preserve"> </w:t>
      </w:r>
      <w:r>
        <w:t>planning</w:t>
      </w:r>
      <w:r>
        <w:rPr>
          <w:spacing w:val="-7"/>
        </w:rPr>
        <w:t xml:space="preserve"> </w:t>
      </w:r>
      <w:r>
        <w:t>for</w:t>
      </w:r>
      <w:r>
        <w:rPr>
          <w:spacing w:val="-9"/>
        </w:rPr>
        <w:t xml:space="preserve"> </w:t>
      </w:r>
      <w:r>
        <w:t>a</w:t>
      </w:r>
      <w:r>
        <w:rPr>
          <w:spacing w:val="-8"/>
        </w:rPr>
        <w:t xml:space="preserve"> </w:t>
      </w:r>
      <w:r>
        <w:t>joined-up</w:t>
      </w:r>
      <w:r>
        <w:rPr>
          <w:spacing w:val="-7"/>
        </w:rPr>
        <w:t xml:space="preserve"> </w:t>
      </w:r>
      <w:r>
        <w:rPr>
          <w:spacing w:val="-2"/>
        </w:rPr>
        <w:t>approach</w:t>
      </w:r>
    </w:p>
    <w:p w14:paraId="6571584B" w14:textId="77777777" w:rsidR="009C36E3" w:rsidRDefault="000E7207">
      <w:pPr>
        <w:pStyle w:val="BodyText"/>
        <w:spacing w:before="120"/>
        <w:ind w:right="167"/>
      </w:pPr>
      <w:r>
        <w:t>The governance structure which was agreed on by key GoV sectoral leaders, provides the authority for communication</w:t>
      </w:r>
      <w:r>
        <w:rPr>
          <w:spacing w:val="-2"/>
        </w:rPr>
        <w:t xml:space="preserve"> </w:t>
      </w:r>
      <w:r>
        <w:t>and</w:t>
      </w:r>
      <w:r>
        <w:rPr>
          <w:spacing w:val="-4"/>
        </w:rPr>
        <w:t xml:space="preserve"> </w:t>
      </w:r>
      <w:r>
        <w:t>collaboration</w:t>
      </w:r>
      <w:r>
        <w:rPr>
          <w:spacing w:val="-2"/>
        </w:rPr>
        <w:t xml:space="preserve"> </w:t>
      </w:r>
      <w:r>
        <w:t>between</w:t>
      </w:r>
      <w:r>
        <w:rPr>
          <w:spacing w:val="-4"/>
        </w:rPr>
        <w:t xml:space="preserve"> </w:t>
      </w:r>
      <w:r>
        <w:t>the</w:t>
      </w:r>
      <w:r>
        <w:rPr>
          <w:spacing w:val="-4"/>
        </w:rPr>
        <w:t xml:space="preserve"> </w:t>
      </w:r>
      <w:r>
        <w:t>policing and</w:t>
      </w:r>
      <w:r>
        <w:rPr>
          <w:spacing w:val="-4"/>
        </w:rPr>
        <w:t xml:space="preserve"> </w:t>
      </w:r>
      <w:r>
        <w:t>justice</w:t>
      </w:r>
      <w:r>
        <w:rPr>
          <w:spacing w:val="-2"/>
        </w:rPr>
        <w:t xml:space="preserve"> </w:t>
      </w:r>
      <w:r>
        <w:t>streams,</w:t>
      </w:r>
      <w:r>
        <w:rPr>
          <w:spacing w:val="-2"/>
        </w:rPr>
        <w:t xml:space="preserve"> </w:t>
      </w:r>
      <w:r>
        <w:t>but</w:t>
      </w:r>
      <w:r>
        <w:rPr>
          <w:spacing w:val="-4"/>
        </w:rPr>
        <w:t xml:space="preserve"> </w:t>
      </w:r>
      <w:r>
        <w:t>stops</w:t>
      </w:r>
      <w:r>
        <w:rPr>
          <w:spacing w:val="-3"/>
        </w:rPr>
        <w:t xml:space="preserve"> </w:t>
      </w:r>
      <w:r>
        <w:t>short</w:t>
      </w:r>
      <w:r>
        <w:rPr>
          <w:spacing w:val="-4"/>
        </w:rPr>
        <w:t xml:space="preserve"> </w:t>
      </w:r>
      <w:r>
        <w:t>of</w:t>
      </w:r>
      <w:r>
        <w:rPr>
          <w:spacing w:val="-4"/>
        </w:rPr>
        <w:t xml:space="preserve"> </w:t>
      </w:r>
      <w:r>
        <w:t>requiring</w:t>
      </w:r>
      <w:r>
        <w:rPr>
          <w:spacing w:val="-4"/>
        </w:rPr>
        <w:t xml:space="preserve"> </w:t>
      </w:r>
      <w:r>
        <w:t>formal</w:t>
      </w:r>
      <w:r>
        <w:rPr>
          <w:spacing w:val="-3"/>
        </w:rPr>
        <w:t xml:space="preserve"> </w:t>
      </w:r>
      <w:r>
        <w:t>links between policing and justice beyond the government’s own Sectoral Leadership Group (SLG). The Senior Management</w:t>
      </w:r>
      <w:r>
        <w:rPr>
          <w:spacing w:val="-2"/>
        </w:rPr>
        <w:t xml:space="preserve"> </w:t>
      </w:r>
      <w:r>
        <w:t>Team</w:t>
      </w:r>
      <w:r>
        <w:rPr>
          <w:spacing w:val="-4"/>
        </w:rPr>
        <w:t xml:space="preserve"> </w:t>
      </w:r>
      <w:r>
        <w:t>meet</w:t>
      </w:r>
      <w:r>
        <w:rPr>
          <w:spacing w:val="-4"/>
        </w:rPr>
        <w:t xml:space="preserve"> </w:t>
      </w:r>
      <w:r>
        <w:t>regularly</w:t>
      </w:r>
      <w:r>
        <w:rPr>
          <w:spacing w:val="-3"/>
        </w:rPr>
        <w:t xml:space="preserve"> </w:t>
      </w:r>
      <w:r>
        <w:t>with</w:t>
      </w:r>
      <w:r>
        <w:rPr>
          <w:spacing w:val="-2"/>
        </w:rPr>
        <w:t xml:space="preserve"> </w:t>
      </w:r>
      <w:r>
        <w:t>each</w:t>
      </w:r>
      <w:r>
        <w:rPr>
          <w:spacing w:val="-2"/>
        </w:rPr>
        <w:t xml:space="preserve"> </w:t>
      </w:r>
      <w:r>
        <w:t>other</w:t>
      </w:r>
      <w:r>
        <w:rPr>
          <w:spacing w:val="-1"/>
        </w:rPr>
        <w:t xml:space="preserve"> </w:t>
      </w:r>
      <w:r>
        <w:t>and</w:t>
      </w:r>
      <w:r>
        <w:rPr>
          <w:spacing w:val="-4"/>
        </w:rPr>
        <w:t xml:space="preserve"> </w:t>
      </w:r>
      <w:r>
        <w:t>DFAT,</w:t>
      </w:r>
      <w:r>
        <w:rPr>
          <w:spacing w:val="-1"/>
        </w:rPr>
        <w:t xml:space="preserve"> </w:t>
      </w:r>
      <w:r>
        <w:t>as</w:t>
      </w:r>
      <w:r>
        <w:rPr>
          <w:spacing w:val="-3"/>
        </w:rPr>
        <w:t xml:space="preserve"> </w:t>
      </w:r>
      <w:r>
        <w:t>do</w:t>
      </w:r>
      <w:r>
        <w:rPr>
          <w:spacing w:val="-4"/>
        </w:rPr>
        <w:t xml:space="preserve"> </w:t>
      </w:r>
      <w:r>
        <w:t>staff</w:t>
      </w:r>
      <w:r>
        <w:rPr>
          <w:spacing w:val="-4"/>
        </w:rPr>
        <w:t xml:space="preserve"> </w:t>
      </w:r>
      <w:r>
        <w:t>when</w:t>
      </w:r>
      <w:r>
        <w:rPr>
          <w:spacing w:val="-2"/>
        </w:rPr>
        <w:t xml:space="preserve"> </w:t>
      </w:r>
      <w:r>
        <w:t>delivering</w:t>
      </w:r>
      <w:r>
        <w:rPr>
          <w:spacing w:val="-2"/>
        </w:rPr>
        <w:t xml:space="preserve"> </w:t>
      </w:r>
      <w:r>
        <w:t>joint</w:t>
      </w:r>
      <w:r>
        <w:rPr>
          <w:spacing w:val="-2"/>
        </w:rPr>
        <w:t xml:space="preserve"> </w:t>
      </w:r>
      <w:r>
        <w:t>activities.</w:t>
      </w:r>
      <w:r>
        <w:rPr>
          <w:spacing w:val="-1"/>
        </w:rPr>
        <w:t xml:space="preserve"> </w:t>
      </w:r>
      <w:r>
        <w:t>However, there is demand and interest among technical and field staff for a greater level of engagement between the streams, particularly those working with remote communities and in the field of family protection. Although formal governance groups have not met regularly, the structure supports coordination between policing and justice programming that has been very difficult to achieve in separate GoA policing and development programming in other locations.</w:t>
      </w:r>
    </w:p>
    <w:p w14:paraId="48552F61" w14:textId="77777777" w:rsidR="009C36E3" w:rsidRDefault="000E7207">
      <w:pPr>
        <w:pStyle w:val="BodyText"/>
        <w:spacing w:before="120"/>
        <w:ind w:right="288"/>
      </w:pPr>
      <w:r>
        <w:t xml:space="preserve">The program’s formal in-country </w:t>
      </w:r>
      <w:r>
        <w:rPr>
          <w:b/>
        </w:rPr>
        <w:t>governance mechanisms</w:t>
      </w:r>
      <w:r>
        <w:t>, specifically the PMGs, have been operating intermittently,</w:t>
      </w:r>
      <w:r>
        <w:rPr>
          <w:spacing w:val="-3"/>
        </w:rPr>
        <w:t xml:space="preserve"> </w:t>
      </w:r>
      <w:r>
        <w:t>reflecting</w:t>
      </w:r>
      <w:r>
        <w:rPr>
          <w:spacing w:val="-3"/>
        </w:rPr>
        <w:t xml:space="preserve"> </w:t>
      </w:r>
      <w:r>
        <w:t>the</w:t>
      </w:r>
      <w:r>
        <w:rPr>
          <w:spacing w:val="-2"/>
        </w:rPr>
        <w:t xml:space="preserve"> </w:t>
      </w:r>
      <w:r>
        <w:t>instability</w:t>
      </w:r>
      <w:r>
        <w:rPr>
          <w:spacing w:val="-2"/>
        </w:rPr>
        <w:t xml:space="preserve"> </w:t>
      </w:r>
      <w:r>
        <w:t>within</w:t>
      </w:r>
      <w:r>
        <w:rPr>
          <w:spacing w:val="-2"/>
        </w:rPr>
        <w:t xml:space="preserve"> </w:t>
      </w:r>
      <w:r>
        <w:t>MJCS</w:t>
      </w:r>
      <w:r>
        <w:rPr>
          <w:spacing w:val="-2"/>
        </w:rPr>
        <w:t xml:space="preserve"> </w:t>
      </w:r>
      <w:r>
        <w:t>and</w:t>
      </w:r>
      <w:r>
        <w:rPr>
          <w:spacing w:val="-2"/>
        </w:rPr>
        <w:t xml:space="preserve"> </w:t>
      </w:r>
      <w:r>
        <w:t>competing</w:t>
      </w:r>
      <w:r>
        <w:rPr>
          <w:spacing w:val="-3"/>
        </w:rPr>
        <w:t xml:space="preserve"> </w:t>
      </w:r>
      <w:r>
        <w:t>priorities</w:t>
      </w:r>
      <w:r>
        <w:rPr>
          <w:spacing w:val="-2"/>
        </w:rPr>
        <w:t xml:space="preserve"> </w:t>
      </w:r>
      <w:r>
        <w:t>in</w:t>
      </w:r>
      <w:r>
        <w:rPr>
          <w:spacing w:val="-3"/>
        </w:rPr>
        <w:t xml:space="preserve"> </w:t>
      </w:r>
      <w:r>
        <w:t>the</w:t>
      </w:r>
      <w:r>
        <w:rPr>
          <w:spacing w:val="-3"/>
        </w:rPr>
        <w:t xml:space="preserve"> </w:t>
      </w:r>
      <w:r>
        <w:t>policing</w:t>
      </w:r>
      <w:r>
        <w:rPr>
          <w:spacing w:val="-3"/>
        </w:rPr>
        <w:t xml:space="preserve"> </w:t>
      </w:r>
      <w:r>
        <w:t>sector.</w:t>
      </w:r>
      <w:r>
        <w:rPr>
          <w:spacing w:val="-3"/>
        </w:rPr>
        <w:t xml:space="preserve"> </w:t>
      </w:r>
      <w:r>
        <w:t>The</w:t>
      </w:r>
      <w:r>
        <w:rPr>
          <w:spacing w:val="-3"/>
        </w:rPr>
        <w:t xml:space="preserve"> </w:t>
      </w:r>
      <w:r>
        <w:t>GoV</w:t>
      </w:r>
      <w:r>
        <w:rPr>
          <w:spacing w:val="-4"/>
        </w:rPr>
        <w:t xml:space="preserve"> </w:t>
      </w:r>
      <w:r>
        <w:t>justice SLG</w:t>
      </w:r>
      <w:r>
        <w:rPr>
          <w:spacing w:val="-1"/>
        </w:rPr>
        <w:t xml:space="preserve"> </w:t>
      </w:r>
      <w:r>
        <w:t>convened for</w:t>
      </w:r>
      <w:r>
        <w:rPr>
          <w:spacing w:val="-1"/>
        </w:rPr>
        <w:t xml:space="preserve"> </w:t>
      </w:r>
      <w:r>
        <w:t>the</w:t>
      </w:r>
      <w:r>
        <w:rPr>
          <w:spacing w:val="-2"/>
        </w:rPr>
        <w:t xml:space="preserve"> </w:t>
      </w:r>
      <w:r>
        <w:t>first</w:t>
      </w:r>
      <w:r>
        <w:rPr>
          <w:spacing w:val="-2"/>
        </w:rPr>
        <w:t xml:space="preserve"> </w:t>
      </w:r>
      <w:r>
        <w:t>time in 18 months</w:t>
      </w:r>
      <w:r>
        <w:rPr>
          <w:spacing w:val="-1"/>
        </w:rPr>
        <w:t xml:space="preserve"> </w:t>
      </w:r>
      <w:r>
        <w:t>in</w:t>
      </w:r>
      <w:r>
        <w:rPr>
          <w:spacing w:val="-2"/>
        </w:rPr>
        <w:t xml:space="preserve"> </w:t>
      </w:r>
      <w:r>
        <w:t>2023</w:t>
      </w:r>
      <w:r>
        <w:rPr>
          <w:spacing w:val="-2"/>
        </w:rPr>
        <w:t xml:space="preserve"> </w:t>
      </w:r>
      <w:r>
        <w:t>following</w:t>
      </w:r>
      <w:r>
        <w:rPr>
          <w:spacing w:val="-2"/>
        </w:rPr>
        <w:t xml:space="preserve"> </w:t>
      </w:r>
      <w:r>
        <w:t>TC Kevin and</w:t>
      </w:r>
      <w:r>
        <w:rPr>
          <w:spacing w:val="-2"/>
        </w:rPr>
        <w:t xml:space="preserve"> </w:t>
      </w:r>
      <w:r>
        <w:t>Judy.</w:t>
      </w:r>
      <w:r>
        <w:rPr>
          <w:spacing w:val="-2"/>
        </w:rPr>
        <w:t xml:space="preserve"> </w:t>
      </w:r>
      <w:r>
        <w:t>Key</w:t>
      </w:r>
      <w:r>
        <w:rPr>
          <w:spacing w:val="-1"/>
        </w:rPr>
        <w:t xml:space="preserve"> </w:t>
      </w:r>
      <w:r>
        <w:t>decisions</w:t>
      </w:r>
      <w:r>
        <w:rPr>
          <w:spacing w:val="-1"/>
        </w:rPr>
        <w:t xml:space="preserve"> </w:t>
      </w:r>
      <w:r>
        <w:t>are</w:t>
      </w:r>
      <w:r>
        <w:rPr>
          <w:spacing w:val="-2"/>
        </w:rPr>
        <w:t xml:space="preserve"> </w:t>
      </w:r>
      <w:r>
        <w:t>progressed in ‘out of session’ meetings, and there are regular meetings between the PC-J and PC-P.</w:t>
      </w:r>
    </w:p>
    <w:p w14:paraId="070778EE" w14:textId="77777777" w:rsidR="009C36E3" w:rsidRDefault="000E7207">
      <w:pPr>
        <w:pStyle w:val="BodyText"/>
        <w:spacing w:before="122"/>
        <w:ind w:left="770" w:right="124"/>
      </w:pPr>
      <w:r>
        <w:t>Due to high turnover at the DG level of the MJCS, it has been difficult for the program to establish regular governance meetings across the Ministry and justice agencies, or broader justice sector.</w:t>
      </w:r>
      <w:hyperlink w:anchor="_bookmark35" w:history="1">
        <w:r>
          <w:rPr>
            <w:position w:val="6"/>
            <w:sz w:val="13"/>
          </w:rPr>
          <w:t>23</w:t>
        </w:r>
      </w:hyperlink>
      <w:r>
        <w:t>. This has presented challenges for VAPJP justice team and caused delays in the AP program. Overall, the frequent disruption has had implications for government ownership, cohesion, sustainability, and planning. The government’s SLG was activated after 18 months to facilitate emergency response following TCs Judy and Kevin, otherwise coordination and planning has tended to happen as needed, with a key role for LES in maintaining momentum and continuity. VAPJP has continued to push for these meetings, for practical reasons and in line with the program’s commitment to strengthen business planning and budgeting (IO 1. Output iii). In 2023, the January-June SMPR reported one Justice</w:t>
      </w:r>
      <w:r>
        <w:rPr>
          <w:spacing w:val="-3"/>
        </w:rPr>
        <w:t xml:space="preserve"> </w:t>
      </w:r>
      <w:r>
        <w:t>PMG</w:t>
      </w:r>
      <w:r>
        <w:rPr>
          <w:spacing w:val="-2"/>
        </w:rPr>
        <w:t xml:space="preserve"> </w:t>
      </w:r>
      <w:r>
        <w:t>and</w:t>
      </w:r>
      <w:r>
        <w:rPr>
          <w:spacing w:val="-3"/>
        </w:rPr>
        <w:t xml:space="preserve"> </w:t>
      </w:r>
      <w:r>
        <w:t>one</w:t>
      </w:r>
      <w:r>
        <w:rPr>
          <w:spacing w:val="-1"/>
        </w:rPr>
        <w:t xml:space="preserve"> </w:t>
      </w:r>
      <w:r>
        <w:t>SLG meeting,</w:t>
      </w:r>
      <w:r>
        <w:rPr>
          <w:spacing w:val="-3"/>
        </w:rPr>
        <w:t xml:space="preserve"> </w:t>
      </w:r>
      <w:r>
        <w:t>but</w:t>
      </w:r>
      <w:r>
        <w:rPr>
          <w:spacing w:val="-3"/>
        </w:rPr>
        <w:t xml:space="preserve"> </w:t>
      </w:r>
      <w:r>
        <w:t>no</w:t>
      </w:r>
      <w:r>
        <w:rPr>
          <w:spacing w:val="-3"/>
        </w:rPr>
        <w:t xml:space="preserve"> </w:t>
      </w:r>
      <w:r>
        <w:t>meetings</w:t>
      </w:r>
      <w:r>
        <w:rPr>
          <w:spacing w:val="-2"/>
        </w:rPr>
        <w:t xml:space="preserve"> </w:t>
      </w:r>
      <w:r>
        <w:t>of</w:t>
      </w:r>
      <w:r>
        <w:rPr>
          <w:spacing w:val="-3"/>
        </w:rPr>
        <w:t xml:space="preserve"> </w:t>
      </w:r>
      <w:r>
        <w:t>the</w:t>
      </w:r>
      <w:r>
        <w:rPr>
          <w:spacing w:val="-1"/>
        </w:rPr>
        <w:t xml:space="preserve"> </w:t>
      </w:r>
      <w:r>
        <w:t>Police</w:t>
      </w:r>
      <w:r>
        <w:rPr>
          <w:spacing w:val="-1"/>
        </w:rPr>
        <w:t xml:space="preserve"> </w:t>
      </w:r>
      <w:r>
        <w:t>PMG.</w:t>
      </w:r>
      <w:r>
        <w:rPr>
          <w:spacing w:val="-1"/>
        </w:rPr>
        <w:t xml:space="preserve"> </w:t>
      </w:r>
      <w:r>
        <w:t>In</w:t>
      </w:r>
      <w:r>
        <w:rPr>
          <w:spacing w:val="-1"/>
        </w:rPr>
        <w:t xml:space="preserve"> </w:t>
      </w:r>
      <w:r>
        <w:t>2022,</w:t>
      </w:r>
      <w:r>
        <w:rPr>
          <w:spacing w:val="-3"/>
        </w:rPr>
        <w:t xml:space="preserve"> </w:t>
      </w:r>
      <w:r>
        <w:t>there</w:t>
      </w:r>
      <w:r>
        <w:rPr>
          <w:spacing w:val="-3"/>
        </w:rPr>
        <w:t xml:space="preserve"> </w:t>
      </w:r>
      <w:r>
        <w:t>were</w:t>
      </w:r>
      <w:r>
        <w:rPr>
          <w:spacing w:val="-3"/>
        </w:rPr>
        <w:t xml:space="preserve"> </w:t>
      </w:r>
      <w:r>
        <w:t>one</w:t>
      </w:r>
      <w:r>
        <w:rPr>
          <w:spacing w:val="-3"/>
        </w:rPr>
        <w:t xml:space="preserve"> </w:t>
      </w:r>
      <w:r>
        <w:t>policing</w:t>
      </w:r>
      <w:r>
        <w:rPr>
          <w:spacing w:val="-3"/>
        </w:rPr>
        <w:t xml:space="preserve"> </w:t>
      </w:r>
      <w:r>
        <w:t>and</w:t>
      </w:r>
      <w:r>
        <w:rPr>
          <w:spacing w:val="-1"/>
        </w:rPr>
        <w:t xml:space="preserve"> </w:t>
      </w:r>
      <w:r>
        <w:t>three justice PMGs.</w:t>
      </w:r>
    </w:p>
    <w:p w14:paraId="44B6EA06" w14:textId="782FE366" w:rsidR="009C36E3" w:rsidRDefault="00A54485" w:rsidP="00CA2E1C">
      <w:pPr>
        <w:pStyle w:val="BodyText"/>
        <w:spacing w:before="118" w:after="2280"/>
        <w:ind w:right="164"/>
      </w:pPr>
      <w:r>
        <w:rPr>
          <w:noProof/>
        </w:rPr>
        <mc:AlternateContent>
          <mc:Choice Requires="wps">
            <w:drawing>
              <wp:anchor distT="0" distB="0" distL="0" distR="0" simplePos="0" relativeHeight="251684864" behindDoc="1" locked="0" layoutInCell="1" allowOverlap="1" wp14:anchorId="14061333" wp14:editId="71D179B4">
                <wp:simplePos x="0" y="0"/>
                <wp:positionH relativeFrom="page">
                  <wp:posOffset>554785</wp:posOffset>
                </wp:positionH>
                <wp:positionV relativeFrom="paragraph">
                  <wp:posOffset>1941640</wp:posOffset>
                </wp:positionV>
                <wp:extent cx="1828800" cy="6350"/>
                <wp:effectExtent l="0" t="0" r="0" b="0"/>
                <wp:wrapTopAndBottom/>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BFC5BB" id="Graphic 64" o:spid="_x0000_s1026" alt="&quot;&quot;" style="position:absolute;margin-left:43.7pt;margin-top:152.9pt;width:2in;height:.5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" path="m1828800,l,,,6108r1828800,l1828800,xe" fillcolor="black" stroked="f">
                <v:path arrowok="t"/>
                <w10:wrap type="topAndBottom" anchorx="page"/>
              </v:shape>
            </w:pict>
          </mc:Fallback>
        </mc:AlternateContent>
      </w:r>
      <w:r w:rsidR="000E7207">
        <w:t>In the Policing stream, with its simpler structure, the relationship between the COMPOL and PC-P has played a stronger</w:t>
      </w:r>
      <w:r w:rsidR="000E7207">
        <w:rPr>
          <w:spacing w:val="-2"/>
        </w:rPr>
        <w:t xml:space="preserve"> </w:t>
      </w:r>
      <w:r w:rsidR="000E7207">
        <w:t>role</w:t>
      </w:r>
      <w:r w:rsidR="000E7207">
        <w:rPr>
          <w:spacing w:val="-1"/>
        </w:rPr>
        <w:t xml:space="preserve"> </w:t>
      </w:r>
      <w:r w:rsidR="000E7207">
        <w:t>in</w:t>
      </w:r>
      <w:r w:rsidR="000E7207">
        <w:rPr>
          <w:spacing w:val="-3"/>
        </w:rPr>
        <w:t xml:space="preserve"> </w:t>
      </w:r>
      <w:r w:rsidR="000E7207">
        <w:t>progressing</w:t>
      </w:r>
      <w:r w:rsidR="000E7207">
        <w:rPr>
          <w:spacing w:val="-1"/>
        </w:rPr>
        <w:t xml:space="preserve"> </w:t>
      </w:r>
      <w:r w:rsidR="000E7207">
        <w:t>decisions</w:t>
      </w:r>
      <w:r w:rsidR="000E7207">
        <w:rPr>
          <w:spacing w:val="-2"/>
        </w:rPr>
        <w:t xml:space="preserve"> </w:t>
      </w:r>
      <w:r w:rsidR="000E7207">
        <w:t>and</w:t>
      </w:r>
      <w:r w:rsidR="000E7207">
        <w:rPr>
          <w:spacing w:val="-3"/>
        </w:rPr>
        <w:t xml:space="preserve"> </w:t>
      </w:r>
      <w:r w:rsidR="000E7207">
        <w:t>activities</w:t>
      </w:r>
      <w:r w:rsidR="000E7207">
        <w:rPr>
          <w:spacing w:val="-2"/>
        </w:rPr>
        <w:t xml:space="preserve"> </w:t>
      </w:r>
      <w:r w:rsidR="000E7207">
        <w:t>than</w:t>
      </w:r>
      <w:r w:rsidR="000E7207">
        <w:rPr>
          <w:spacing w:val="-3"/>
        </w:rPr>
        <w:t xml:space="preserve"> </w:t>
      </w:r>
      <w:r w:rsidR="000E7207">
        <w:t>the</w:t>
      </w:r>
      <w:r w:rsidR="000E7207">
        <w:rPr>
          <w:spacing w:val="-1"/>
        </w:rPr>
        <w:t xml:space="preserve"> </w:t>
      </w:r>
      <w:r w:rsidR="000E7207">
        <w:t>PMG.</w:t>
      </w:r>
      <w:r w:rsidR="000E7207">
        <w:rPr>
          <w:spacing w:val="-3"/>
        </w:rPr>
        <w:t xml:space="preserve"> </w:t>
      </w:r>
      <w:r w:rsidR="000E7207">
        <w:t>The</w:t>
      </w:r>
      <w:r w:rsidR="000E7207">
        <w:rPr>
          <w:spacing w:val="-3"/>
        </w:rPr>
        <w:t xml:space="preserve"> </w:t>
      </w:r>
      <w:r w:rsidR="000E7207">
        <w:t>current</w:t>
      </w:r>
      <w:r w:rsidR="000E7207">
        <w:rPr>
          <w:spacing w:val="-3"/>
        </w:rPr>
        <w:t xml:space="preserve"> </w:t>
      </w:r>
      <w:r w:rsidR="000E7207">
        <w:t>arrangement</w:t>
      </w:r>
      <w:r w:rsidR="000E7207">
        <w:rPr>
          <w:spacing w:val="-3"/>
        </w:rPr>
        <w:t xml:space="preserve"> </w:t>
      </w:r>
      <w:r w:rsidR="000E7207">
        <w:t>has</w:t>
      </w:r>
      <w:r w:rsidR="000E7207">
        <w:rPr>
          <w:spacing w:val="-2"/>
        </w:rPr>
        <w:t xml:space="preserve"> </w:t>
      </w:r>
      <w:r w:rsidR="000E7207">
        <w:t>worked</w:t>
      </w:r>
      <w:r w:rsidR="000E7207">
        <w:rPr>
          <w:spacing w:val="-1"/>
        </w:rPr>
        <w:t xml:space="preserve"> </w:t>
      </w:r>
      <w:r w:rsidR="000E7207">
        <w:t>based</w:t>
      </w:r>
      <w:r w:rsidR="000E7207">
        <w:rPr>
          <w:spacing w:val="-3"/>
        </w:rPr>
        <w:t xml:space="preserve"> </w:t>
      </w:r>
      <w:r w:rsidR="000E7207">
        <w:t>on the trust and good communication between COMPOL and the PC but will become a risk when she is replaced in the coming months. Program reporting also notes this as an area to address.</w:t>
      </w:r>
    </w:p>
    <w:p w14:paraId="551807DE" w14:textId="4D98C0F9" w:rsidR="009C36E3" w:rsidRDefault="000E7207" w:rsidP="008F6A88">
      <w:pPr>
        <w:pStyle w:val="BodyText"/>
        <w:spacing w:before="132"/>
        <w:rPr>
          <w:sz w:val="18"/>
        </w:rPr>
      </w:pPr>
      <w:bookmarkStart w:id="47" w:name="_bookmark35"/>
      <w:bookmarkEnd w:id="47"/>
      <w:r>
        <w:rPr>
          <w:position w:val="6"/>
          <w:sz w:val="13"/>
        </w:rPr>
        <w:t>23</w:t>
      </w:r>
      <w:r>
        <w:rPr>
          <w:spacing w:val="16"/>
          <w:position w:val="6"/>
          <w:sz w:val="13"/>
        </w:rPr>
        <w:t xml:space="preserve"> </w:t>
      </w:r>
      <w:r>
        <w:rPr>
          <w:sz w:val="18"/>
        </w:rPr>
        <w:t>MJCS</w:t>
      </w:r>
      <w:r>
        <w:rPr>
          <w:spacing w:val="-2"/>
          <w:sz w:val="18"/>
        </w:rPr>
        <w:t xml:space="preserve"> </w:t>
      </w:r>
      <w:r>
        <w:rPr>
          <w:sz w:val="18"/>
        </w:rPr>
        <w:t>comprises</w:t>
      </w:r>
      <w:r>
        <w:rPr>
          <w:spacing w:val="-1"/>
          <w:sz w:val="18"/>
        </w:rPr>
        <w:t xml:space="preserve"> </w:t>
      </w:r>
      <w:r>
        <w:rPr>
          <w:sz w:val="18"/>
        </w:rPr>
        <w:t>14</w:t>
      </w:r>
      <w:r>
        <w:rPr>
          <w:spacing w:val="-2"/>
          <w:sz w:val="18"/>
        </w:rPr>
        <w:t xml:space="preserve"> </w:t>
      </w:r>
      <w:r>
        <w:rPr>
          <w:sz w:val="18"/>
        </w:rPr>
        <w:t>component</w:t>
      </w:r>
      <w:r>
        <w:rPr>
          <w:spacing w:val="-2"/>
          <w:sz w:val="18"/>
        </w:rPr>
        <w:t xml:space="preserve"> </w:t>
      </w:r>
      <w:r>
        <w:rPr>
          <w:sz w:val="18"/>
        </w:rPr>
        <w:t>agencies.</w:t>
      </w:r>
      <w:r>
        <w:rPr>
          <w:spacing w:val="-2"/>
          <w:sz w:val="18"/>
        </w:rPr>
        <w:t xml:space="preserve"> </w:t>
      </w:r>
      <w:r>
        <w:rPr>
          <w:sz w:val="18"/>
        </w:rPr>
        <w:t>In</w:t>
      </w:r>
      <w:r>
        <w:rPr>
          <w:spacing w:val="-4"/>
          <w:sz w:val="18"/>
        </w:rPr>
        <w:t xml:space="preserve"> </w:t>
      </w:r>
      <w:r>
        <w:rPr>
          <w:sz w:val="18"/>
        </w:rPr>
        <w:t>addition,</w:t>
      </w:r>
      <w:r>
        <w:rPr>
          <w:spacing w:val="-2"/>
          <w:sz w:val="18"/>
        </w:rPr>
        <w:t xml:space="preserve"> </w:t>
      </w:r>
      <w:r>
        <w:rPr>
          <w:sz w:val="18"/>
        </w:rPr>
        <w:t>there</w:t>
      </w:r>
      <w:r>
        <w:rPr>
          <w:spacing w:val="-1"/>
          <w:sz w:val="18"/>
        </w:rPr>
        <w:t xml:space="preserve"> </w:t>
      </w:r>
      <w:r>
        <w:rPr>
          <w:sz w:val="18"/>
        </w:rPr>
        <w:t>are</w:t>
      </w:r>
      <w:r>
        <w:rPr>
          <w:spacing w:val="-4"/>
          <w:sz w:val="18"/>
        </w:rPr>
        <w:t xml:space="preserve"> </w:t>
      </w:r>
      <w:r>
        <w:rPr>
          <w:sz w:val="18"/>
        </w:rPr>
        <w:t>several</w:t>
      </w:r>
      <w:r>
        <w:rPr>
          <w:spacing w:val="-4"/>
          <w:sz w:val="18"/>
        </w:rPr>
        <w:t xml:space="preserve"> </w:t>
      </w:r>
      <w:r>
        <w:rPr>
          <w:sz w:val="18"/>
        </w:rPr>
        <w:t>statutory</w:t>
      </w:r>
      <w:r>
        <w:rPr>
          <w:spacing w:val="-1"/>
          <w:sz w:val="18"/>
        </w:rPr>
        <w:t xml:space="preserve"> </w:t>
      </w:r>
      <w:r>
        <w:rPr>
          <w:sz w:val="18"/>
        </w:rPr>
        <w:t>authorities</w:t>
      </w:r>
      <w:r>
        <w:rPr>
          <w:spacing w:val="-3"/>
          <w:sz w:val="18"/>
        </w:rPr>
        <w:t xml:space="preserve"> </w:t>
      </w:r>
      <w:r>
        <w:rPr>
          <w:sz w:val="18"/>
        </w:rPr>
        <w:t>in</w:t>
      </w:r>
      <w:r>
        <w:rPr>
          <w:spacing w:val="-1"/>
          <w:sz w:val="18"/>
        </w:rPr>
        <w:t xml:space="preserve"> </w:t>
      </w:r>
      <w:r>
        <w:rPr>
          <w:sz w:val="18"/>
        </w:rPr>
        <w:t>the</w:t>
      </w:r>
      <w:r>
        <w:rPr>
          <w:spacing w:val="-1"/>
          <w:sz w:val="18"/>
        </w:rPr>
        <w:t xml:space="preserve"> </w:t>
      </w:r>
      <w:r>
        <w:rPr>
          <w:sz w:val="18"/>
        </w:rPr>
        <w:t>justice</w:t>
      </w:r>
      <w:r>
        <w:rPr>
          <w:spacing w:val="-4"/>
          <w:sz w:val="18"/>
        </w:rPr>
        <w:t xml:space="preserve"> </w:t>
      </w:r>
      <w:r>
        <w:rPr>
          <w:sz w:val="18"/>
        </w:rPr>
        <w:t>sector</w:t>
      </w:r>
      <w:r>
        <w:rPr>
          <w:spacing w:val="-4"/>
          <w:sz w:val="18"/>
        </w:rPr>
        <w:t xml:space="preserve"> </w:t>
      </w:r>
      <w:r>
        <w:rPr>
          <w:sz w:val="18"/>
        </w:rPr>
        <w:t>and</w:t>
      </w:r>
      <w:r>
        <w:rPr>
          <w:spacing w:val="-4"/>
          <w:sz w:val="18"/>
        </w:rPr>
        <w:t xml:space="preserve"> </w:t>
      </w:r>
      <w:r>
        <w:rPr>
          <w:sz w:val="18"/>
        </w:rPr>
        <w:t>a</w:t>
      </w:r>
      <w:r>
        <w:rPr>
          <w:spacing w:val="-1"/>
          <w:sz w:val="18"/>
        </w:rPr>
        <w:t xml:space="preserve"> </w:t>
      </w:r>
      <w:r>
        <w:rPr>
          <w:sz w:val="18"/>
        </w:rPr>
        <w:t>range of civil society organisations which comprise the broader justice and community services sector. The Vanuatu Police Force which is conceptually part of the sector comes under PMO, although may return to MoI.</w:t>
      </w:r>
    </w:p>
    <w:p w14:paraId="15F2B0FC" w14:textId="77777777" w:rsidR="009C36E3" w:rsidRDefault="009C36E3">
      <w:pPr>
        <w:spacing w:line="242" w:lineRule="auto"/>
        <w:rPr>
          <w:sz w:val="18"/>
        </w:rPr>
        <w:sectPr w:rsidR="009C36E3">
          <w:pgSz w:w="11910" w:h="16850"/>
          <w:pgMar w:top="1040" w:right="740" w:bottom="740" w:left="80" w:header="552" w:footer="559" w:gutter="0"/>
          <w:cols w:space="720"/>
        </w:sectPr>
      </w:pPr>
    </w:p>
    <w:p w14:paraId="1A7C6527" w14:textId="77777777" w:rsidR="009C36E3" w:rsidRDefault="000E7207" w:rsidP="0008574F">
      <w:pPr>
        <w:spacing w:before="92"/>
        <w:ind w:left="771"/>
        <w:rPr>
          <w:i/>
          <w:sz w:val="16"/>
        </w:rPr>
      </w:pPr>
      <w:bookmarkStart w:id="48" w:name="_bookmark36"/>
      <w:bookmarkEnd w:id="48"/>
      <w:r>
        <w:rPr>
          <w:i/>
          <w:sz w:val="16"/>
        </w:rPr>
        <w:t>Figure</w:t>
      </w:r>
      <w:r>
        <w:rPr>
          <w:i/>
          <w:spacing w:val="-5"/>
          <w:sz w:val="16"/>
        </w:rPr>
        <w:t xml:space="preserve"> </w:t>
      </w:r>
      <w:r>
        <w:rPr>
          <w:i/>
          <w:sz w:val="16"/>
        </w:rPr>
        <w:t>2:</w:t>
      </w:r>
      <w:r>
        <w:rPr>
          <w:i/>
          <w:spacing w:val="-5"/>
          <w:sz w:val="16"/>
        </w:rPr>
        <w:t xml:space="preserve"> </w:t>
      </w:r>
      <w:r>
        <w:rPr>
          <w:i/>
          <w:sz w:val="16"/>
        </w:rPr>
        <w:t>The</w:t>
      </w:r>
      <w:r>
        <w:rPr>
          <w:i/>
          <w:spacing w:val="-5"/>
          <w:sz w:val="16"/>
        </w:rPr>
        <w:t xml:space="preserve"> </w:t>
      </w:r>
      <w:r>
        <w:rPr>
          <w:i/>
          <w:sz w:val="16"/>
        </w:rPr>
        <w:t>Program’s</w:t>
      </w:r>
      <w:r>
        <w:rPr>
          <w:i/>
          <w:spacing w:val="-5"/>
          <w:sz w:val="16"/>
        </w:rPr>
        <w:t xml:space="preserve"> </w:t>
      </w:r>
      <w:r>
        <w:rPr>
          <w:i/>
          <w:sz w:val="16"/>
        </w:rPr>
        <w:t>Governance</w:t>
      </w:r>
      <w:r>
        <w:rPr>
          <w:i/>
          <w:spacing w:val="-6"/>
          <w:sz w:val="16"/>
        </w:rPr>
        <w:t xml:space="preserve"> </w:t>
      </w:r>
      <w:r>
        <w:rPr>
          <w:i/>
          <w:sz w:val="16"/>
        </w:rPr>
        <w:t>Structure</w:t>
      </w:r>
      <w:r>
        <w:rPr>
          <w:i/>
          <w:spacing w:val="-4"/>
          <w:sz w:val="16"/>
        </w:rPr>
        <w:t xml:space="preserve"> </w:t>
      </w:r>
      <w:r>
        <w:rPr>
          <w:i/>
          <w:sz w:val="16"/>
        </w:rPr>
        <w:t>(2020</w:t>
      </w:r>
      <w:r>
        <w:rPr>
          <w:i/>
          <w:spacing w:val="-5"/>
          <w:sz w:val="16"/>
        </w:rPr>
        <w:t xml:space="preserve"> </w:t>
      </w:r>
      <w:r>
        <w:rPr>
          <w:i/>
          <w:sz w:val="16"/>
        </w:rPr>
        <w:t>Design</w:t>
      </w:r>
      <w:r>
        <w:rPr>
          <w:i/>
          <w:spacing w:val="-4"/>
          <w:sz w:val="16"/>
        </w:rPr>
        <w:t xml:space="preserve"> </w:t>
      </w:r>
      <w:r>
        <w:rPr>
          <w:i/>
          <w:spacing w:val="-2"/>
          <w:sz w:val="16"/>
        </w:rPr>
        <w:t>Update)</w:t>
      </w:r>
    </w:p>
    <w:p w14:paraId="7C77544B" w14:textId="017E5D26" w:rsidR="00B77B7F" w:rsidRDefault="00B77B7F" w:rsidP="007C6C5F">
      <w:pPr>
        <w:pStyle w:val="BodyText"/>
        <w:spacing w:before="360"/>
      </w:pPr>
      <w:r>
        <w:rPr>
          <w:noProof/>
        </w:rPr>
        <w:drawing>
          <wp:inline distT="0" distB="0" distL="0" distR="0" wp14:anchorId="67C82F07" wp14:editId="787010B3">
            <wp:extent cx="5393803" cy="2145847"/>
            <wp:effectExtent l="0" t="0" r="0" b="6985"/>
            <wp:docPr id="142" name="Picture 142" descr="The program's governance structure  2020 Design update show justice partnerships, policing partnerships and community partnerships how they feed information to the Vanuatu and Australian Govern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The program's governance structure  2020 Design update show justice partnerships, policing partnerships and community partnerships how they feed information to the Vanuatu and Australian Governments. "/>
                    <pic:cNvPicPr/>
                  </pic:nvPicPr>
                  <pic:blipFill>
                    <a:blip r:embed="rId15"/>
                    <a:stretch>
                      <a:fillRect/>
                    </a:stretch>
                  </pic:blipFill>
                  <pic:spPr>
                    <a:xfrm>
                      <a:off x="0" y="0"/>
                      <a:ext cx="5436578" cy="2162864"/>
                    </a:xfrm>
                    <a:prstGeom prst="rect">
                      <a:avLst/>
                    </a:prstGeom>
                  </pic:spPr>
                </pic:pic>
              </a:graphicData>
            </a:graphic>
          </wp:inline>
        </w:drawing>
      </w:r>
    </w:p>
    <w:p w14:paraId="302A8752" w14:textId="22BE600B" w:rsidR="009C36E3" w:rsidRDefault="000E7207" w:rsidP="00483255">
      <w:pPr>
        <w:pStyle w:val="BodyText"/>
        <w:spacing w:before="120"/>
      </w:pPr>
      <w:r>
        <w:t>At an operational level, communication and collaboration has taken place through meetings between advisers and staff from both streams of work and some joint activities. This has allowed the program to continue functioning despite</w:t>
      </w:r>
      <w:r>
        <w:rPr>
          <w:spacing w:val="-3"/>
        </w:rPr>
        <w:t xml:space="preserve"> </w:t>
      </w:r>
      <w:r>
        <w:t>the</w:t>
      </w:r>
      <w:r>
        <w:rPr>
          <w:spacing w:val="-3"/>
        </w:rPr>
        <w:t xml:space="preserve"> </w:t>
      </w:r>
      <w:r>
        <w:t>disruptions.</w:t>
      </w:r>
      <w:r>
        <w:rPr>
          <w:spacing w:val="-3"/>
        </w:rPr>
        <w:t xml:space="preserve"> </w:t>
      </w:r>
      <w:r>
        <w:t>It</w:t>
      </w:r>
      <w:r>
        <w:rPr>
          <w:spacing w:val="-3"/>
        </w:rPr>
        <w:t xml:space="preserve"> </w:t>
      </w:r>
      <w:r>
        <w:t>also</w:t>
      </w:r>
      <w:r>
        <w:rPr>
          <w:spacing w:val="-3"/>
        </w:rPr>
        <w:t xml:space="preserve"> </w:t>
      </w:r>
      <w:r>
        <w:t>means</w:t>
      </w:r>
      <w:r>
        <w:rPr>
          <w:spacing w:val="-2"/>
        </w:rPr>
        <w:t xml:space="preserve"> </w:t>
      </w:r>
      <w:r>
        <w:t>that</w:t>
      </w:r>
      <w:r>
        <w:rPr>
          <w:spacing w:val="-2"/>
        </w:rPr>
        <w:t xml:space="preserve"> </w:t>
      </w:r>
      <w:r>
        <w:t>the</w:t>
      </w:r>
      <w:r>
        <w:rPr>
          <w:spacing w:val="-2"/>
        </w:rPr>
        <w:t xml:space="preserve"> </w:t>
      </w:r>
      <w:r>
        <w:t>program</w:t>
      </w:r>
      <w:r>
        <w:rPr>
          <w:spacing w:val="-2"/>
        </w:rPr>
        <w:t xml:space="preserve"> </w:t>
      </w:r>
      <w:r>
        <w:t>is</w:t>
      </w:r>
      <w:r>
        <w:rPr>
          <w:spacing w:val="-2"/>
        </w:rPr>
        <w:t xml:space="preserve"> </w:t>
      </w:r>
      <w:r>
        <w:t>responding</w:t>
      </w:r>
      <w:r>
        <w:rPr>
          <w:spacing w:val="-3"/>
        </w:rPr>
        <w:t xml:space="preserve"> </w:t>
      </w:r>
      <w:r>
        <w:t>to</w:t>
      </w:r>
      <w:r>
        <w:rPr>
          <w:spacing w:val="-2"/>
        </w:rPr>
        <w:t xml:space="preserve"> </w:t>
      </w:r>
      <w:r>
        <w:t>a</w:t>
      </w:r>
      <w:r>
        <w:rPr>
          <w:spacing w:val="-2"/>
        </w:rPr>
        <w:t xml:space="preserve"> </w:t>
      </w:r>
      <w:r>
        <w:t>large</w:t>
      </w:r>
      <w:r>
        <w:rPr>
          <w:spacing w:val="-2"/>
        </w:rPr>
        <w:t xml:space="preserve"> </w:t>
      </w:r>
      <w:r>
        <w:t>number</w:t>
      </w:r>
      <w:r>
        <w:rPr>
          <w:spacing w:val="-2"/>
        </w:rPr>
        <w:t xml:space="preserve"> </w:t>
      </w:r>
      <w:r>
        <w:t>of</w:t>
      </w:r>
      <w:r>
        <w:rPr>
          <w:spacing w:val="-3"/>
        </w:rPr>
        <w:t xml:space="preserve"> </w:t>
      </w:r>
      <w:r>
        <w:t>ad</w:t>
      </w:r>
      <w:r>
        <w:rPr>
          <w:spacing w:val="-2"/>
        </w:rPr>
        <w:t xml:space="preserve"> </w:t>
      </w:r>
      <w:r>
        <w:t>hoc</w:t>
      </w:r>
      <w:r>
        <w:rPr>
          <w:spacing w:val="-2"/>
        </w:rPr>
        <w:t xml:space="preserve"> </w:t>
      </w:r>
      <w:r>
        <w:t>requests,</w:t>
      </w:r>
      <w:r>
        <w:rPr>
          <w:spacing w:val="-3"/>
        </w:rPr>
        <w:t xml:space="preserve"> </w:t>
      </w:r>
      <w:r>
        <w:t xml:space="preserve">outside the annual workplan, although this is to some extent anticipated with contingency budget lines. VAPJP staff noted that last-minute ad hoc requests increase pressure on them and add to workload for VAPJP staff seeking to </w:t>
      </w:r>
      <w:r>
        <w:rPr>
          <w:spacing w:val="-2"/>
        </w:rPr>
        <w:t>respond.</w:t>
      </w:r>
    </w:p>
    <w:p w14:paraId="6A9619A5" w14:textId="77777777" w:rsidR="009C36E3" w:rsidRDefault="000E7207">
      <w:pPr>
        <w:pStyle w:val="BodyText"/>
        <w:spacing w:before="121"/>
        <w:ind w:left="772" w:right="120"/>
      </w:pPr>
      <w:r>
        <w:t>Despite the changes in GoV leadership and from the PMGs, VAPJP has been effective in progressing its activities by engaging with the Human Resources, Finance and MEL Working Groups to continue supporting capacity strengthening and implementation. The Design Update also recommended convening a Community Partnerships Forum to connect organisations in this space, but that has not proceeded. Frequent changes in MJCS leadership have</w:t>
      </w:r>
      <w:r>
        <w:rPr>
          <w:spacing w:val="-3"/>
        </w:rPr>
        <w:t xml:space="preserve"> </w:t>
      </w:r>
      <w:r>
        <w:t>proved</w:t>
      </w:r>
      <w:r>
        <w:rPr>
          <w:spacing w:val="-3"/>
        </w:rPr>
        <w:t xml:space="preserve"> </w:t>
      </w:r>
      <w:r>
        <w:t>a</w:t>
      </w:r>
      <w:r>
        <w:rPr>
          <w:spacing w:val="-3"/>
        </w:rPr>
        <w:t xml:space="preserve"> </w:t>
      </w:r>
      <w:r>
        <w:t>challenge</w:t>
      </w:r>
      <w:r>
        <w:rPr>
          <w:spacing w:val="-3"/>
        </w:rPr>
        <w:t xml:space="preserve"> </w:t>
      </w:r>
      <w:r>
        <w:t>for</w:t>
      </w:r>
      <w:r>
        <w:rPr>
          <w:spacing w:val="-2"/>
        </w:rPr>
        <w:t xml:space="preserve"> </w:t>
      </w:r>
      <w:r>
        <w:t>the</w:t>
      </w:r>
      <w:r>
        <w:rPr>
          <w:spacing w:val="-3"/>
        </w:rPr>
        <w:t xml:space="preserve"> </w:t>
      </w:r>
      <w:r>
        <w:t>program</w:t>
      </w:r>
      <w:r>
        <w:rPr>
          <w:spacing w:val="-1"/>
        </w:rPr>
        <w:t xml:space="preserve"> </w:t>
      </w:r>
      <w:r>
        <w:t>and</w:t>
      </w:r>
      <w:r>
        <w:rPr>
          <w:spacing w:val="-1"/>
        </w:rPr>
        <w:t xml:space="preserve"> </w:t>
      </w:r>
      <w:r>
        <w:t>a</w:t>
      </w:r>
      <w:r>
        <w:rPr>
          <w:spacing w:val="-3"/>
        </w:rPr>
        <w:t xml:space="preserve"> </w:t>
      </w:r>
      <w:r>
        <w:t>barrier to</w:t>
      </w:r>
      <w:r>
        <w:rPr>
          <w:spacing w:val="-3"/>
        </w:rPr>
        <w:t xml:space="preserve"> </w:t>
      </w:r>
      <w:r>
        <w:t>strategic</w:t>
      </w:r>
      <w:r>
        <w:rPr>
          <w:spacing w:val="-2"/>
        </w:rPr>
        <w:t xml:space="preserve"> </w:t>
      </w:r>
      <w:r>
        <w:t>approaches</w:t>
      </w:r>
      <w:r>
        <w:rPr>
          <w:spacing w:val="-2"/>
        </w:rPr>
        <w:t xml:space="preserve"> </w:t>
      </w:r>
      <w:r>
        <w:t>needed</w:t>
      </w:r>
      <w:r>
        <w:rPr>
          <w:spacing w:val="-1"/>
        </w:rPr>
        <w:t xml:space="preserve"> </w:t>
      </w:r>
      <w:r>
        <w:t>to</w:t>
      </w:r>
      <w:r>
        <w:rPr>
          <w:spacing w:val="-3"/>
        </w:rPr>
        <w:t xml:space="preserve"> </w:t>
      </w:r>
      <w:r>
        <w:t>support</w:t>
      </w:r>
      <w:r>
        <w:rPr>
          <w:spacing w:val="-3"/>
        </w:rPr>
        <w:t xml:space="preserve"> </w:t>
      </w:r>
      <w:r>
        <w:t>sustainability</w:t>
      </w:r>
      <w:r>
        <w:rPr>
          <w:spacing w:val="-2"/>
        </w:rPr>
        <w:t xml:space="preserve"> </w:t>
      </w:r>
      <w:r>
        <w:t xml:space="preserve">and </w:t>
      </w:r>
      <w:r>
        <w:rPr>
          <w:spacing w:val="-2"/>
        </w:rPr>
        <w:t>impact.</w:t>
      </w:r>
    </w:p>
    <w:p w14:paraId="1B62CC60" w14:textId="77777777" w:rsidR="009C36E3" w:rsidRDefault="000E7207">
      <w:pPr>
        <w:pStyle w:val="BodyText"/>
        <w:spacing w:before="118"/>
        <w:ind w:right="120"/>
      </w:pPr>
      <w:r>
        <w:t>At the time of the design update, the Australian High Commission (AHC) had committed 50% of a First Secretary and a full-time Senior Program Manager to oversee the program and participate in the PMGs. However, AHC has not</w:t>
      </w:r>
      <w:r>
        <w:rPr>
          <w:spacing w:val="-3"/>
        </w:rPr>
        <w:t xml:space="preserve"> </w:t>
      </w:r>
      <w:r>
        <w:t>been</w:t>
      </w:r>
      <w:r>
        <w:rPr>
          <w:spacing w:val="-1"/>
        </w:rPr>
        <w:t xml:space="preserve"> </w:t>
      </w:r>
      <w:r>
        <w:t>resourced</w:t>
      </w:r>
      <w:r>
        <w:rPr>
          <w:spacing w:val="-3"/>
        </w:rPr>
        <w:t xml:space="preserve"> </w:t>
      </w:r>
      <w:r>
        <w:t>to</w:t>
      </w:r>
      <w:r>
        <w:rPr>
          <w:spacing w:val="-3"/>
        </w:rPr>
        <w:t xml:space="preserve"> </w:t>
      </w:r>
      <w:r>
        <w:t>fill</w:t>
      </w:r>
      <w:r>
        <w:rPr>
          <w:spacing w:val="-4"/>
        </w:rPr>
        <w:t xml:space="preserve"> </w:t>
      </w:r>
      <w:r>
        <w:t>these</w:t>
      </w:r>
      <w:r>
        <w:rPr>
          <w:spacing w:val="-3"/>
        </w:rPr>
        <w:t xml:space="preserve"> </w:t>
      </w:r>
      <w:r>
        <w:t>positions</w:t>
      </w:r>
      <w:r>
        <w:rPr>
          <w:spacing w:val="-2"/>
        </w:rPr>
        <w:t xml:space="preserve"> </w:t>
      </w:r>
      <w:r>
        <w:t>as</w:t>
      </w:r>
      <w:r>
        <w:rPr>
          <w:spacing w:val="-2"/>
        </w:rPr>
        <w:t xml:space="preserve"> </w:t>
      </w:r>
      <w:r>
        <w:t>planned.</w:t>
      </w:r>
      <w:r>
        <w:rPr>
          <w:spacing w:val="-1"/>
        </w:rPr>
        <w:t xml:space="preserve"> </w:t>
      </w:r>
      <w:r>
        <w:t>Given</w:t>
      </w:r>
      <w:r>
        <w:rPr>
          <w:spacing w:val="-3"/>
        </w:rPr>
        <w:t xml:space="preserve"> </w:t>
      </w:r>
      <w:r>
        <w:t>the</w:t>
      </w:r>
      <w:r>
        <w:rPr>
          <w:spacing w:val="-3"/>
        </w:rPr>
        <w:t xml:space="preserve"> </w:t>
      </w:r>
      <w:r>
        <w:t>complexity,</w:t>
      </w:r>
      <w:r>
        <w:rPr>
          <w:spacing w:val="-3"/>
        </w:rPr>
        <w:t xml:space="preserve"> </w:t>
      </w:r>
      <w:r>
        <w:t>sensitivity,</w:t>
      </w:r>
      <w:r>
        <w:rPr>
          <w:spacing w:val="-3"/>
        </w:rPr>
        <w:t xml:space="preserve"> </w:t>
      </w:r>
      <w:r>
        <w:t>and</w:t>
      </w:r>
      <w:r>
        <w:rPr>
          <w:spacing w:val="-3"/>
        </w:rPr>
        <w:t xml:space="preserve"> </w:t>
      </w:r>
      <w:r>
        <w:t>strategic importance</w:t>
      </w:r>
      <w:r>
        <w:rPr>
          <w:spacing w:val="-3"/>
        </w:rPr>
        <w:t xml:space="preserve"> </w:t>
      </w:r>
      <w:r>
        <w:t>of VAPJP this is unfortunate.</w:t>
      </w:r>
    </w:p>
    <w:p w14:paraId="384734E6" w14:textId="77777777" w:rsidR="009C36E3" w:rsidRDefault="000E7207">
      <w:pPr>
        <w:pStyle w:val="Heading7"/>
        <w:spacing w:before="122"/>
      </w:pPr>
      <w:r>
        <w:rPr>
          <w:spacing w:val="-2"/>
        </w:rPr>
        <w:t>Management</w:t>
      </w:r>
    </w:p>
    <w:p w14:paraId="1EC533F9" w14:textId="77777777" w:rsidR="009C36E3" w:rsidRDefault="000E7207">
      <w:pPr>
        <w:spacing w:before="121"/>
        <w:ind w:left="772"/>
        <w:rPr>
          <w:i/>
          <w:sz w:val="16"/>
        </w:rPr>
      </w:pPr>
      <w:bookmarkStart w:id="49" w:name="_bookmark37"/>
      <w:bookmarkEnd w:id="49"/>
      <w:r>
        <w:rPr>
          <w:i/>
          <w:sz w:val="16"/>
        </w:rPr>
        <w:t>Figure</w:t>
      </w:r>
      <w:r>
        <w:rPr>
          <w:i/>
          <w:spacing w:val="-5"/>
          <w:sz w:val="16"/>
        </w:rPr>
        <w:t xml:space="preserve"> </w:t>
      </w:r>
      <w:r>
        <w:rPr>
          <w:i/>
          <w:sz w:val="16"/>
        </w:rPr>
        <w:t>3:</w:t>
      </w:r>
      <w:r>
        <w:rPr>
          <w:i/>
          <w:spacing w:val="-5"/>
          <w:sz w:val="16"/>
        </w:rPr>
        <w:t xml:space="preserve"> </w:t>
      </w:r>
      <w:r>
        <w:rPr>
          <w:i/>
          <w:sz w:val="16"/>
        </w:rPr>
        <w:t>VAPJP</w:t>
      </w:r>
      <w:r>
        <w:rPr>
          <w:i/>
          <w:spacing w:val="-5"/>
          <w:sz w:val="16"/>
        </w:rPr>
        <w:t xml:space="preserve"> </w:t>
      </w:r>
      <w:r>
        <w:rPr>
          <w:i/>
          <w:sz w:val="16"/>
        </w:rPr>
        <w:t>management</w:t>
      </w:r>
      <w:r>
        <w:rPr>
          <w:i/>
          <w:spacing w:val="-6"/>
          <w:sz w:val="16"/>
        </w:rPr>
        <w:t xml:space="preserve"> </w:t>
      </w:r>
      <w:r>
        <w:rPr>
          <w:i/>
          <w:sz w:val="16"/>
        </w:rPr>
        <w:t>arrangements</w:t>
      </w:r>
      <w:r>
        <w:rPr>
          <w:i/>
          <w:spacing w:val="-4"/>
          <w:sz w:val="16"/>
        </w:rPr>
        <w:t xml:space="preserve"> </w:t>
      </w:r>
      <w:r>
        <w:rPr>
          <w:i/>
          <w:sz w:val="16"/>
        </w:rPr>
        <w:t>(2020</w:t>
      </w:r>
      <w:r>
        <w:rPr>
          <w:i/>
          <w:spacing w:val="-4"/>
          <w:sz w:val="16"/>
        </w:rPr>
        <w:t xml:space="preserve"> </w:t>
      </w:r>
      <w:r>
        <w:rPr>
          <w:i/>
          <w:sz w:val="16"/>
        </w:rPr>
        <w:t>Design</w:t>
      </w:r>
      <w:r>
        <w:rPr>
          <w:i/>
          <w:spacing w:val="-4"/>
          <w:sz w:val="16"/>
        </w:rPr>
        <w:t xml:space="preserve"> </w:t>
      </w:r>
      <w:r>
        <w:rPr>
          <w:i/>
          <w:spacing w:val="-2"/>
          <w:sz w:val="16"/>
        </w:rPr>
        <w:t>Update)</w:t>
      </w:r>
    </w:p>
    <w:p w14:paraId="37382E41" w14:textId="7B4E8DD5" w:rsidR="009C36E3" w:rsidRDefault="000E7207" w:rsidP="007C6C5F">
      <w:pPr>
        <w:pStyle w:val="BodyText"/>
        <w:spacing w:before="240"/>
      </w:pPr>
      <w:r>
        <w:rPr>
          <w:noProof/>
        </w:rPr>
        <w:drawing>
          <wp:anchor distT="0" distB="0" distL="0" distR="0" simplePos="0" relativeHeight="251686912" behindDoc="1" locked="0" layoutInCell="1" allowOverlap="1" wp14:anchorId="1032EF40" wp14:editId="191C4E77">
            <wp:simplePos x="0" y="0"/>
            <wp:positionH relativeFrom="page">
              <wp:posOffset>820755</wp:posOffset>
            </wp:positionH>
            <wp:positionV relativeFrom="paragraph">
              <wp:posOffset>111744</wp:posOffset>
            </wp:positionV>
            <wp:extent cx="4525294" cy="3177540"/>
            <wp:effectExtent l="0" t="0" r="0" b="0"/>
            <wp:wrapTopAndBottom/>
            <wp:docPr id="101" name="Imag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4525294" cy="3177540"/>
                    </a:xfrm>
                    <a:prstGeom prst="rect">
                      <a:avLst/>
                    </a:prstGeom>
                  </pic:spPr>
                </pic:pic>
              </a:graphicData>
            </a:graphic>
          </wp:anchor>
        </w:drawing>
      </w:r>
      <w:r>
        <w:t xml:space="preserve">The use of a </w:t>
      </w:r>
      <w:r>
        <w:rPr>
          <w:b/>
        </w:rPr>
        <w:t xml:space="preserve">managing contractor </w:t>
      </w:r>
      <w:r>
        <w:t>for overall administration is highly appreciated by Policing and government counterparts.</w:t>
      </w:r>
      <w:r>
        <w:rPr>
          <w:spacing w:val="-2"/>
        </w:rPr>
        <w:t xml:space="preserve"> </w:t>
      </w:r>
      <w:r>
        <w:t>The in-country</w:t>
      </w:r>
      <w:r>
        <w:rPr>
          <w:spacing w:val="-1"/>
        </w:rPr>
        <w:t xml:space="preserve"> </w:t>
      </w:r>
      <w:r>
        <w:t>team is</w:t>
      </w:r>
      <w:r>
        <w:rPr>
          <w:spacing w:val="-1"/>
        </w:rPr>
        <w:t xml:space="preserve"> </w:t>
      </w:r>
      <w:r>
        <w:t>highly</w:t>
      </w:r>
      <w:r>
        <w:rPr>
          <w:spacing w:val="-1"/>
        </w:rPr>
        <w:t xml:space="preserve"> </w:t>
      </w:r>
      <w:r>
        <w:t>regarded,</w:t>
      </w:r>
      <w:r>
        <w:rPr>
          <w:spacing w:val="-2"/>
        </w:rPr>
        <w:t xml:space="preserve"> </w:t>
      </w:r>
      <w:r>
        <w:t>committed</w:t>
      </w:r>
      <w:r>
        <w:rPr>
          <w:spacing w:val="-2"/>
        </w:rPr>
        <w:t xml:space="preserve"> </w:t>
      </w:r>
      <w:r>
        <w:t>and</w:t>
      </w:r>
      <w:r>
        <w:rPr>
          <w:spacing w:val="-2"/>
        </w:rPr>
        <w:t xml:space="preserve"> </w:t>
      </w:r>
      <w:r>
        <w:t>experienced, working in a</w:t>
      </w:r>
      <w:r>
        <w:rPr>
          <w:spacing w:val="-2"/>
        </w:rPr>
        <w:t xml:space="preserve"> </w:t>
      </w:r>
      <w:r>
        <w:t>challenging</w:t>
      </w:r>
      <w:r>
        <w:rPr>
          <w:spacing w:val="-2"/>
        </w:rPr>
        <w:t xml:space="preserve"> </w:t>
      </w:r>
      <w:r>
        <w:t>context to maintain relationships and deliver progress across the delivery modalities in both the policing and justice streams.</w:t>
      </w:r>
      <w:r>
        <w:rPr>
          <w:spacing w:val="-4"/>
        </w:rPr>
        <w:t xml:space="preserve"> </w:t>
      </w:r>
      <w:r>
        <w:t>The</w:t>
      </w:r>
      <w:r>
        <w:rPr>
          <w:spacing w:val="-4"/>
        </w:rPr>
        <w:t xml:space="preserve"> </w:t>
      </w:r>
      <w:r>
        <w:rPr>
          <w:b/>
        </w:rPr>
        <w:t>program</w:t>
      </w:r>
      <w:r>
        <w:rPr>
          <w:b/>
          <w:spacing w:val="-1"/>
        </w:rPr>
        <w:t xml:space="preserve"> </w:t>
      </w:r>
      <w:r>
        <w:rPr>
          <w:b/>
        </w:rPr>
        <w:t>management</w:t>
      </w:r>
      <w:r>
        <w:rPr>
          <w:b/>
          <w:spacing w:val="-3"/>
        </w:rPr>
        <w:t xml:space="preserve"> </w:t>
      </w:r>
      <w:r>
        <w:rPr>
          <w:b/>
        </w:rPr>
        <w:t>structure</w:t>
      </w:r>
      <w:r>
        <w:t>,</w:t>
      </w:r>
      <w:r>
        <w:rPr>
          <w:spacing w:val="-2"/>
        </w:rPr>
        <w:t xml:space="preserve"> </w:t>
      </w:r>
      <w:r>
        <w:t>with</w:t>
      </w:r>
      <w:r>
        <w:rPr>
          <w:spacing w:val="-2"/>
        </w:rPr>
        <w:t xml:space="preserve"> </w:t>
      </w:r>
      <w:r>
        <w:t>a</w:t>
      </w:r>
      <w:r>
        <w:rPr>
          <w:spacing w:val="-4"/>
        </w:rPr>
        <w:t xml:space="preserve"> </w:t>
      </w:r>
      <w:r>
        <w:t>PC-J</w:t>
      </w:r>
      <w:r>
        <w:rPr>
          <w:spacing w:val="-3"/>
        </w:rPr>
        <w:t xml:space="preserve"> </w:t>
      </w:r>
      <w:r>
        <w:t>and</w:t>
      </w:r>
      <w:r>
        <w:rPr>
          <w:spacing w:val="-2"/>
        </w:rPr>
        <w:t xml:space="preserve"> </w:t>
      </w:r>
      <w:r>
        <w:t>AFP</w:t>
      </w:r>
      <w:r>
        <w:rPr>
          <w:spacing w:val="-2"/>
        </w:rPr>
        <w:t xml:space="preserve"> </w:t>
      </w:r>
      <w:r>
        <w:t>Mission</w:t>
      </w:r>
      <w:r>
        <w:rPr>
          <w:spacing w:val="-4"/>
        </w:rPr>
        <w:t xml:space="preserve"> </w:t>
      </w:r>
      <w:r>
        <w:t>Commander</w:t>
      </w:r>
      <w:r>
        <w:rPr>
          <w:spacing w:val="-3"/>
        </w:rPr>
        <w:t xml:space="preserve"> </w:t>
      </w:r>
      <w:r>
        <w:t>fulfilling</w:t>
      </w:r>
      <w:r>
        <w:rPr>
          <w:spacing w:val="-2"/>
        </w:rPr>
        <w:t xml:space="preserve"> </w:t>
      </w:r>
      <w:r>
        <w:t>the</w:t>
      </w:r>
      <w:r>
        <w:rPr>
          <w:spacing w:val="-2"/>
        </w:rPr>
        <w:t xml:space="preserve"> </w:t>
      </w:r>
      <w:r>
        <w:t>role</w:t>
      </w:r>
      <w:r>
        <w:rPr>
          <w:spacing w:val="-2"/>
        </w:rPr>
        <w:t xml:space="preserve"> </w:t>
      </w:r>
      <w:r>
        <w:t>of</w:t>
      </w:r>
      <w:r>
        <w:rPr>
          <w:spacing w:val="-4"/>
        </w:rPr>
        <w:t xml:space="preserve"> </w:t>
      </w:r>
      <w:r>
        <w:t>PC-</w:t>
      </w:r>
    </w:p>
    <w:p w14:paraId="01533AB9" w14:textId="77777777" w:rsidR="009C36E3" w:rsidRDefault="009C36E3">
      <w:pPr>
        <w:sectPr w:rsidR="009C36E3">
          <w:pgSz w:w="11910" w:h="16850"/>
          <w:pgMar w:top="1040" w:right="740" w:bottom="740" w:left="80" w:header="552" w:footer="559" w:gutter="0"/>
          <w:cols w:space="720"/>
        </w:sectPr>
      </w:pPr>
    </w:p>
    <w:p w14:paraId="71008D24" w14:textId="77777777" w:rsidR="009C36E3" w:rsidRDefault="000E7207">
      <w:pPr>
        <w:pStyle w:val="BodyText"/>
        <w:spacing w:before="91"/>
        <w:ind w:left="772" w:right="120"/>
      </w:pPr>
      <w:r>
        <w:t>P</w:t>
      </w:r>
      <w:r>
        <w:rPr>
          <w:spacing w:val="-5"/>
        </w:rPr>
        <w:t xml:space="preserve"> </w:t>
      </w:r>
      <w:r>
        <w:t>are</w:t>
      </w:r>
      <w:r>
        <w:rPr>
          <w:spacing w:val="-4"/>
        </w:rPr>
        <w:t xml:space="preserve"> </w:t>
      </w:r>
      <w:r>
        <w:t>connected</w:t>
      </w:r>
      <w:r>
        <w:rPr>
          <w:spacing w:val="-4"/>
        </w:rPr>
        <w:t xml:space="preserve"> </w:t>
      </w:r>
      <w:r>
        <w:t>but</w:t>
      </w:r>
      <w:r>
        <w:rPr>
          <w:spacing w:val="-2"/>
        </w:rPr>
        <w:t xml:space="preserve"> </w:t>
      </w:r>
      <w:r>
        <w:t>independently</w:t>
      </w:r>
      <w:r>
        <w:rPr>
          <w:spacing w:val="-3"/>
        </w:rPr>
        <w:t xml:space="preserve"> </w:t>
      </w:r>
      <w:r>
        <w:t>responsible</w:t>
      </w:r>
      <w:r>
        <w:rPr>
          <w:spacing w:val="-4"/>
        </w:rPr>
        <w:t xml:space="preserve"> </w:t>
      </w:r>
      <w:r>
        <w:t>for</w:t>
      </w:r>
      <w:r>
        <w:rPr>
          <w:spacing w:val="-3"/>
        </w:rPr>
        <w:t xml:space="preserve"> </w:t>
      </w:r>
      <w:r>
        <w:t>the</w:t>
      </w:r>
      <w:r>
        <w:rPr>
          <w:spacing w:val="-2"/>
        </w:rPr>
        <w:t xml:space="preserve"> </w:t>
      </w:r>
      <w:r>
        <w:t>separate</w:t>
      </w:r>
      <w:r>
        <w:rPr>
          <w:spacing w:val="-2"/>
        </w:rPr>
        <w:t xml:space="preserve"> </w:t>
      </w:r>
      <w:r>
        <w:t>policing</w:t>
      </w:r>
      <w:r>
        <w:rPr>
          <w:spacing w:val="-1"/>
        </w:rPr>
        <w:t xml:space="preserve"> </w:t>
      </w:r>
      <w:r>
        <w:t>and</w:t>
      </w:r>
      <w:r>
        <w:rPr>
          <w:spacing w:val="-4"/>
        </w:rPr>
        <w:t xml:space="preserve"> </w:t>
      </w:r>
      <w:r>
        <w:t>justice</w:t>
      </w:r>
      <w:r>
        <w:rPr>
          <w:spacing w:val="-4"/>
        </w:rPr>
        <w:t xml:space="preserve"> </w:t>
      </w:r>
      <w:r>
        <w:t>streams</w:t>
      </w:r>
      <w:r>
        <w:rPr>
          <w:spacing w:val="-3"/>
        </w:rPr>
        <w:t xml:space="preserve"> </w:t>
      </w:r>
      <w:r>
        <w:t>of</w:t>
      </w:r>
      <w:r>
        <w:rPr>
          <w:spacing w:val="-4"/>
        </w:rPr>
        <w:t xml:space="preserve"> </w:t>
      </w:r>
      <w:r>
        <w:t>work,</w:t>
      </w:r>
      <w:r>
        <w:rPr>
          <w:spacing w:val="-4"/>
        </w:rPr>
        <w:t xml:space="preserve"> </w:t>
      </w:r>
      <w:r>
        <w:t>which</w:t>
      </w:r>
      <w:r>
        <w:rPr>
          <w:spacing w:val="-2"/>
        </w:rPr>
        <w:t xml:space="preserve"> </w:t>
      </w:r>
      <w:r>
        <w:t xml:space="preserve">allows for AFP to work directly with the VPF COMPOL. The MTR found that this provides benefits for both AFP and </w:t>
      </w:r>
      <w:r>
        <w:rPr>
          <w:spacing w:val="-2"/>
        </w:rPr>
        <w:t>VAPJP.</w:t>
      </w:r>
    </w:p>
    <w:p w14:paraId="3D33984A" w14:textId="77777777" w:rsidR="009C36E3" w:rsidRDefault="000E7207">
      <w:pPr>
        <w:pStyle w:val="BodyText"/>
        <w:spacing w:before="121"/>
        <w:ind w:left="772"/>
      </w:pPr>
      <w:r>
        <w:t>Flexibility is a core priority for AFP, to allow it to be operationally responsive and agile. The current model provides AFP</w:t>
      </w:r>
      <w:r>
        <w:rPr>
          <w:spacing w:val="-4"/>
        </w:rPr>
        <w:t xml:space="preserve"> </w:t>
      </w:r>
      <w:r>
        <w:t>with</w:t>
      </w:r>
      <w:r>
        <w:rPr>
          <w:spacing w:val="-1"/>
        </w:rPr>
        <w:t xml:space="preserve"> </w:t>
      </w:r>
      <w:r>
        <w:t>a</w:t>
      </w:r>
      <w:r>
        <w:rPr>
          <w:spacing w:val="-3"/>
        </w:rPr>
        <w:t xml:space="preserve"> </w:t>
      </w:r>
      <w:r>
        <w:t>high</w:t>
      </w:r>
      <w:r>
        <w:rPr>
          <w:spacing w:val="-3"/>
        </w:rPr>
        <w:t xml:space="preserve"> </w:t>
      </w:r>
      <w:r>
        <w:t>proportion</w:t>
      </w:r>
      <w:r>
        <w:rPr>
          <w:spacing w:val="-1"/>
        </w:rPr>
        <w:t xml:space="preserve"> </w:t>
      </w:r>
      <w:r>
        <w:t>of</w:t>
      </w:r>
      <w:r>
        <w:rPr>
          <w:spacing w:val="-3"/>
        </w:rPr>
        <w:t xml:space="preserve"> </w:t>
      </w:r>
      <w:r>
        <w:t>funding</w:t>
      </w:r>
      <w:r>
        <w:rPr>
          <w:spacing w:val="-3"/>
        </w:rPr>
        <w:t xml:space="preserve"> </w:t>
      </w:r>
      <w:r>
        <w:t>to</w:t>
      </w:r>
      <w:r>
        <w:rPr>
          <w:spacing w:val="-3"/>
        </w:rPr>
        <w:t xml:space="preserve"> </w:t>
      </w:r>
      <w:r>
        <w:t>meet</w:t>
      </w:r>
      <w:r>
        <w:rPr>
          <w:spacing w:val="-3"/>
        </w:rPr>
        <w:t xml:space="preserve"> </w:t>
      </w:r>
      <w:r>
        <w:t>the</w:t>
      </w:r>
      <w:r>
        <w:rPr>
          <w:spacing w:val="-1"/>
        </w:rPr>
        <w:t xml:space="preserve"> </w:t>
      </w:r>
      <w:r>
        <w:t>needs</w:t>
      </w:r>
      <w:r>
        <w:rPr>
          <w:spacing w:val="-2"/>
        </w:rPr>
        <w:t xml:space="preserve"> </w:t>
      </w:r>
      <w:r>
        <w:t>of</w:t>
      </w:r>
      <w:r>
        <w:rPr>
          <w:spacing w:val="-3"/>
        </w:rPr>
        <w:t xml:space="preserve"> </w:t>
      </w:r>
      <w:r>
        <w:t>their</w:t>
      </w:r>
      <w:r>
        <w:rPr>
          <w:spacing w:val="-2"/>
        </w:rPr>
        <w:t xml:space="preserve"> </w:t>
      </w:r>
      <w:r>
        <w:t>partnership</w:t>
      </w:r>
      <w:r>
        <w:rPr>
          <w:spacing w:val="-3"/>
        </w:rPr>
        <w:t xml:space="preserve"> </w:t>
      </w:r>
      <w:r>
        <w:t>program</w:t>
      </w:r>
      <w:r>
        <w:rPr>
          <w:spacing w:val="-3"/>
        </w:rPr>
        <w:t xml:space="preserve"> </w:t>
      </w:r>
      <w:r>
        <w:t>and</w:t>
      </w:r>
      <w:r>
        <w:rPr>
          <w:spacing w:val="-3"/>
        </w:rPr>
        <w:t xml:space="preserve"> </w:t>
      </w:r>
      <w:r>
        <w:t>allows</w:t>
      </w:r>
      <w:r>
        <w:rPr>
          <w:spacing w:val="-2"/>
        </w:rPr>
        <w:t xml:space="preserve"> </w:t>
      </w:r>
      <w:r>
        <w:t>for AFP</w:t>
      </w:r>
      <w:r>
        <w:rPr>
          <w:spacing w:val="-1"/>
        </w:rPr>
        <w:t xml:space="preserve"> </w:t>
      </w:r>
      <w:r>
        <w:t>to</w:t>
      </w:r>
      <w:r>
        <w:rPr>
          <w:spacing w:val="-1"/>
        </w:rPr>
        <w:t xml:space="preserve"> </w:t>
      </w:r>
      <w:r>
        <w:t>draw</w:t>
      </w:r>
      <w:r>
        <w:rPr>
          <w:spacing w:val="-3"/>
        </w:rPr>
        <w:t xml:space="preserve"> </w:t>
      </w:r>
      <w:r>
        <w:t>on additional resources where required. At times AFP is requested by the GoV to provide support that sits outside the scope of VAPJP. AFP has been able to mobilise additional resources from its own sources to meet these needs.</w:t>
      </w:r>
    </w:p>
    <w:p w14:paraId="7F6617C9" w14:textId="77777777" w:rsidR="009C36E3" w:rsidRDefault="000E7207">
      <w:pPr>
        <w:pStyle w:val="BodyText"/>
        <w:ind w:right="120"/>
      </w:pPr>
      <w:r>
        <w:t>The AFP notes that the managing contractor is responsible for all VAPJP finances, not the AFP; and that the managing contractor in turn must meet DFAT’s financial requirements. Within these arrangements AFP is of the view that the PC-P has established good controls for submission of approvals for funding support if activities are outside the AWP, as well as for expenditure for approved AWP items. If DFAT engagement is required for any additional</w:t>
      </w:r>
      <w:r>
        <w:rPr>
          <w:spacing w:val="-4"/>
        </w:rPr>
        <w:t xml:space="preserve"> </w:t>
      </w:r>
      <w:r>
        <w:t>projects,</w:t>
      </w:r>
      <w:r>
        <w:rPr>
          <w:spacing w:val="-3"/>
        </w:rPr>
        <w:t xml:space="preserve"> </w:t>
      </w:r>
      <w:r>
        <w:t>this</w:t>
      </w:r>
      <w:r>
        <w:rPr>
          <w:spacing w:val="-2"/>
        </w:rPr>
        <w:t xml:space="preserve"> </w:t>
      </w:r>
      <w:r>
        <w:t>may</w:t>
      </w:r>
      <w:r>
        <w:rPr>
          <w:spacing w:val="-2"/>
        </w:rPr>
        <w:t xml:space="preserve"> </w:t>
      </w:r>
      <w:r>
        <w:t>take</w:t>
      </w:r>
      <w:r>
        <w:rPr>
          <w:spacing w:val="-3"/>
        </w:rPr>
        <w:t xml:space="preserve"> </w:t>
      </w:r>
      <w:r>
        <w:t>extra</w:t>
      </w:r>
      <w:r>
        <w:rPr>
          <w:spacing w:val="-3"/>
        </w:rPr>
        <w:t xml:space="preserve"> </w:t>
      </w:r>
      <w:r>
        <w:t>time</w:t>
      </w:r>
      <w:r>
        <w:rPr>
          <w:spacing w:val="-1"/>
        </w:rPr>
        <w:t xml:space="preserve"> </w:t>
      </w:r>
      <w:r>
        <w:t>for</w:t>
      </w:r>
      <w:r>
        <w:rPr>
          <w:spacing w:val="-2"/>
        </w:rPr>
        <w:t xml:space="preserve"> </w:t>
      </w:r>
      <w:r>
        <w:t>submission</w:t>
      </w:r>
      <w:r>
        <w:rPr>
          <w:spacing w:val="-3"/>
        </w:rPr>
        <w:t xml:space="preserve"> </w:t>
      </w:r>
      <w:r>
        <w:t>of</w:t>
      </w:r>
      <w:r>
        <w:rPr>
          <w:spacing w:val="-3"/>
        </w:rPr>
        <w:t xml:space="preserve"> </w:t>
      </w:r>
      <w:r>
        <w:t>requests</w:t>
      </w:r>
      <w:r>
        <w:rPr>
          <w:spacing w:val="-2"/>
        </w:rPr>
        <w:t xml:space="preserve"> </w:t>
      </w:r>
      <w:r>
        <w:t>and</w:t>
      </w:r>
      <w:r>
        <w:rPr>
          <w:spacing w:val="-3"/>
        </w:rPr>
        <w:t xml:space="preserve"> </w:t>
      </w:r>
      <w:r>
        <w:t>justifications.</w:t>
      </w:r>
      <w:r>
        <w:rPr>
          <w:spacing w:val="-2"/>
        </w:rPr>
        <w:t xml:space="preserve"> </w:t>
      </w:r>
      <w:r>
        <w:t>The</w:t>
      </w:r>
      <w:r>
        <w:rPr>
          <w:spacing w:val="-1"/>
        </w:rPr>
        <w:t xml:space="preserve"> </w:t>
      </w:r>
      <w:r>
        <w:t>benefits</w:t>
      </w:r>
      <w:r>
        <w:rPr>
          <w:spacing w:val="-2"/>
        </w:rPr>
        <w:t xml:space="preserve"> </w:t>
      </w:r>
      <w:r>
        <w:t>of additional AFP funding also flow back to VAPJP and complement VAPJP activities. In the most recent report, VAPJP has adapted reporting to show additional resourcing separately. However, the MTR heard that requirements to seek program approvals internally within VAPJP for expenditure can limit responsiveness and there is a high administrative</w:t>
      </w:r>
      <w:r>
        <w:rPr>
          <w:spacing w:val="-1"/>
        </w:rPr>
        <w:t xml:space="preserve"> </w:t>
      </w:r>
      <w:r>
        <w:t>burden</w:t>
      </w:r>
      <w:r>
        <w:rPr>
          <w:spacing w:val="-3"/>
        </w:rPr>
        <w:t xml:space="preserve"> </w:t>
      </w:r>
      <w:r>
        <w:t>on</w:t>
      </w:r>
      <w:r>
        <w:rPr>
          <w:spacing w:val="-3"/>
        </w:rPr>
        <w:t xml:space="preserve"> </w:t>
      </w:r>
      <w:r>
        <w:t>AFP</w:t>
      </w:r>
      <w:r>
        <w:rPr>
          <w:spacing w:val="-4"/>
        </w:rPr>
        <w:t xml:space="preserve"> </w:t>
      </w:r>
      <w:r>
        <w:t>advisers.</w:t>
      </w:r>
      <w:r>
        <w:rPr>
          <w:spacing w:val="-3"/>
        </w:rPr>
        <w:t xml:space="preserve"> </w:t>
      </w:r>
      <w:r>
        <w:t>This</w:t>
      </w:r>
      <w:r>
        <w:rPr>
          <w:spacing w:val="-1"/>
        </w:rPr>
        <w:t xml:space="preserve"> </w:t>
      </w:r>
      <w:r>
        <w:t>has</w:t>
      </w:r>
      <w:r>
        <w:rPr>
          <w:spacing w:val="-2"/>
        </w:rPr>
        <w:t xml:space="preserve"> </w:t>
      </w:r>
      <w:r>
        <w:t>led</w:t>
      </w:r>
      <w:r>
        <w:rPr>
          <w:spacing w:val="-3"/>
        </w:rPr>
        <w:t xml:space="preserve"> </w:t>
      </w:r>
      <w:r>
        <w:t>to</w:t>
      </w:r>
      <w:r>
        <w:rPr>
          <w:spacing w:val="-3"/>
        </w:rPr>
        <w:t xml:space="preserve"> </w:t>
      </w:r>
      <w:r>
        <w:t>requests</w:t>
      </w:r>
      <w:r>
        <w:rPr>
          <w:spacing w:val="-2"/>
        </w:rPr>
        <w:t xml:space="preserve"> </w:t>
      </w:r>
      <w:r>
        <w:t>for</w:t>
      </w:r>
      <w:r>
        <w:rPr>
          <w:spacing w:val="-2"/>
        </w:rPr>
        <w:t xml:space="preserve"> </w:t>
      </w:r>
      <w:r>
        <w:t>administrative</w:t>
      </w:r>
      <w:r>
        <w:rPr>
          <w:spacing w:val="-3"/>
        </w:rPr>
        <w:t xml:space="preserve"> </w:t>
      </w:r>
      <w:r>
        <w:t>staff</w:t>
      </w:r>
      <w:r>
        <w:rPr>
          <w:spacing w:val="-3"/>
        </w:rPr>
        <w:t xml:space="preserve"> </w:t>
      </w:r>
      <w:r>
        <w:t>to</w:t>
      </w:r>
      <w:r>
        <w:rPr>
          <w:spacing w:val="-3"/>
        </w:rPr>
        <w:t xml:space="preserve"> </w:t>
      </w:r>
      <w:r>
        <w:t>support</w:t>
      </w:r>
      <w:r>
        <w:rPr>
          <w:spacing w:val="-3"/>
        </w:rPr>
        <w:t xml:space="preserve"> </w:t>
      </w:r>
      <w:r>
        <w:t>the</w:t>
      </w:r>
      <w:r>
        <w:rPr>
          <w:spacing w:val="-3"/>
        </w:rPr>
        <w:t xml:space="preserve"> </w:t>
      </w:r>
      <w:r>
        <w:t>policing</w:t>
      </w:r>
      <w:r>
        <w:rPr>
          <w:spacing w:val="-3"/>
        </w:rPr>
        <w:t xml:space="preserve"> </w:t>
      </w:r>
      <w:r>
        <w:t>side of VAPJP on logistics. Palladium is also responding to this issue by adapting logistics support.</w:t>
      </w:r>
    </w:p>
    <w:p w14:paraId="0AAB701C" w14:textId="77777777" w:rsidR="009C36E3" w:rsidRDefault="000E7207">
      <w:pPr>
        <w:pStyle w:val="Heading7"/>
        <w:spacing w:before="122"/>
      </w:pPr>
      <w:r>
        <w:t>Delivery</w:t>
      </w:r>
      <w:r>
        <w:rPr>
          <w:spacing w:val="-10"/>
        </w:rPr>
        <w:t xml:space="preserve"> </w:t>
      </w:r>
      <w:r>
        <w:rPr>
          <w:spacing w:val="-2"/>
        </w:rPr>
        <w:t>modalities</w:t>
      </w:r>
    </w:p>
    <w:p w14:paraId="6DF89FD6" w14:textId="77777777" w:rsidR="009C36E3" w:rsidRDefault="000E7207">
      <w:pPr>
        <w:pStyle w:val="BodyText"/>
        <w:spacing w:before="118"/>
        <w:ind w:right="167"/>
      </w:pPr>
      <w:r>
        <w:t>The</w:t>
      </w:r>
      <w:r>
        <w:rPr>
          <w:spacing w:val="-4"/>
        </w:rPr>
        <w:t xml:space="preserve"> </w:t>
      </w:r>
      <w:r>
        <w:t>MTR</w:t>
      </w:r>
      <w:r>
        <w:rPr>
          <w:spacing w:val="-4"/>
        </w:rPr>
        <w:t xml:space="preserve"> </w:t>
      </w:r>
      <w:r>
        <w:t>considered</w:t>
      </w:r>
      <w:r>
        <w:rPr>
          <w:spacing w:val="-4"/>
        </w:rPr>
        <w:t xml:space="preserve"> </w:t>
      </w:r>
      <w:r>
        <w:t>whether</w:t>
      </w:r>
      <w:r>
        <w:rPr>
          <w:spacing w:val="-3"/>
        </w:rPr>
        <w:t xml:space="preserve"> </w:t>
      </w:r>
      <w:r>
        <w:t>the</w:t>
      </w:r>
      <w:r>
        <w:rPr>
          <w:spacing w:val="-2"/>
        </w:rPr>
        <w:t xml:space="preserve"> </w:t>
      </w:r>
      <w:r>
        <w:t>delivery</w:t>
      </w:r>
      <w:r>
        <w:rPr>
          <w:spacing w:val="-3"/>
        </w:rPr>
        <w:t xml:space="preserve"> </w:t>
      </w:r>
      <w:r>
        <w:t>modalities are</w:t>
      </w:r>
      <w:r>
        <w:rPr>
          <w:spacing w:val="-4"/>
        </w:rPr>
        <w:t xml:space="preserve"> </w:t>
      </w:r>
      <w:r>
        <w:t>the</w:t>
      </w:r>
      <w:r>
        <w:rPr>
          <w:spacing w:val="-2"/>
        </w:rPr>
        <w:t xml:space="preserve"> </w:t>
      </w:r>
      <w:r>
        <w:t>right</w:t>
      </w:r>
      <w:r>
        <w:rPr>
          <w:spacing w:val="-4"/>
        </w:rPr>
        <w:t xml:space="preserve"> </w:t>
      </w:r>
      <w:r>
        <w:t>options</w:t>
      </w:r>
      <w:r>
        <w:rPr>
          <w:spacing w:val="-3"/>
        </w:rPr>
        <w:t xml:space="preserve"> </w:t>
      </w:r>
      <w:r>
        <w:t>to</w:t>
      </w:r>
      <w:r>
        <w:rPr>
          <w:spacing w:val="-2"/>
        </w:rPr>
        <w:t xml:space="preserve"> </w:t>
      </w:r>
      <w:r>
        <w:t>progress</w:t>
      </w:r>
      <w:r>
        <w:rPr>
          <w:spacing w:val="-3"/>
        </w:rPr>
        <w:t xml:space="preserve"> </w:t>
      </w:r>
      <w:r>
        <w:t>program</w:t>
      </w:r>
      <w:r>
        <w:rPr>
          <w:spacing w:val="-4"/>
        </w:rPr>
        <w:t xml:space="preserve"> </w:t>
      </w:r>
      <w:r>
        <w:t>objectives,</w:t>
      </w:r>
      <w:r>
        <w:rPr>
          <w:spacing w:val="-4"/>
        </w:rPr>
        <w:t xml:space="preserve"> </w:t>
      </w:r>
      <w:r>
        <w:t>and</w:t>
      </w:r>
      <w:r>
        <w:rPr>
          <w:spacing w:val="-4"/>
        </w:rPr>
        <w:t xml:space="preserve"> </w:t>
      </w:r>
      <w:r>
        <w:t>how well they are working. Current modalities include technical assistance (STA and LTA), training and professional development, GoV operational support, community grants, infrastructure and project delivery. The review found that current modalities have allowed the program to progress across the four streams of work (justice, policing, community, sector coordination) and react and adapt in response to the significant challenges of leadership changes,</w:t>
      </w:r>
      <w:r>
        <w:rPr>
          <w:spacing w:val="-1"/>
        </w:rPr>
        <w:t xml:space="preserve"> </w:t>
      </w:r>
      <w:r>
        <w:t>Covid-19,</w:t>
      </w:r>
      <w:r>
        <w:rPr>
          <w:spacing w:val="-3"/>
        </w:rPr>
        <w:t xml:space="preserve"> </w:t>
      </w:r>
      <w:r>
        <w:t>TCs Kevin</w:t>
      </w:r>
      <w:r>
        <w:rPr>
          <w:spacing w:val="-3"/>
        </w:rPr>
        <w:t xml:space="preserve"> </w:t>
      </w:r>
      <w:r>
        <w:t>and</w:t>
      </w:r>
      <w:r>
        <w:rPr>
          <w:spacing w:val="-3"/>
        </w:rPr>
        <w:t xml:space="preserve"> </w:t>
      </w:r>
      <w:r>
        <w:t>Judy</w:t>
      </w:r>
      <w:r>
        <w:rPr>
          <w:spacing w:val="-2"/>
        </w:rPr>
        <w:t xml:space="preserve"> </w:t>
      </w:r>
      <w:r>
        <w:t>and</w:t>
      </w:r>
      <w:r>
        <w:rPr>
          <w:spacing w:val="-3"/>
        </w:rPr>
        <w:t xml:space="preserve"> </w:t>
      </w:r>
      <w:r>
        <w:t>cyber-attack.</w:t>
      </w:r>
      <w:r>
        <w:rPr>
          <w:spacing w:val="-3"/>
        </w:rPr>
        <w:t xml:space="preserve"> </w:t>
      </w:r>
      <w:r>
        <w:t>Disaster</w:t>
      </w:r>
      <w:r>
        <w:rPr>
          <w:spacing w:val="-2"/>
        </w:rPr>
        <w:t xml:space="preserve"> </w:t>
      </w:r>
      <w:r>
        <w:t>response</w:t>
      </w:r>
      <w:r>
        <w:rPr>
          <w:spacing w:val="-3"/>
        </w:rPr>
        <w:t xml:space="preserve"> </w:t>
      </w:r>
      <w:r>
        <w:t>was managed</w:t>
      </w:r>
      <w:r>
        <w:rPr>
          <w:spacing w:val="-3"/>
        </w:rPr>
        <w:t xml:space="preserve"> </w:t>
      </w:r>
      <w:r>
        <w:t>effectively</w:t>
      </w:r>
      <w:r>
        <w:rPr>
          <w:spacing w:val="-2"/>
        </w:rPr>
        <w:t xml:space="preserve"> </w:t>
      </w:r>
      <w:r>
        <w:t>through</w:t>
      </w:r>
      <w:r>
        <w:rPr>
          <w:spacing w:val="-3"/>
        </w:rPr>
        <w:t xml:space="preserve"> </w:t>
      </w:r>
      <w:r>
        <w:t>the existing modalities, in particular through infrastructure, and efforts are being made to include disaster planning within longer term strategies and plans.</w:t>
      </w:r>
    </w:p>
    <w:p w14:paraId="7618C163" w14:textId="77777777" w:rsidR="009C36E3" w:rsidRDefault="000E7207">
      <w:pPr>
        <w:pStyle w:val="Heading8"/>
      </w:pPr>
      <w:r>
        <w:t>Technical</w:t>
      </w:r>
      <w:r>
        <w:rPr>
          <w:spacing w:val="-9"/>
        </w:rPr>
        <w:t xml:space="preserve"> </w:t>
      </w:r>
      <w:r>
        <w:t>Assistance,</w:t>
      </w:r>
      <w:r>
        <w:rPr>
          <w:spacing w:val="-10"/>
        </w:rPr>
        <w:t xml:space="preserve"> </w:t>
      </w:r>
      <w:r>
        <w:t>and</w:t>
      </w:r>
      <w:r>
        <w:rPr>
          <w:spacing w:val="-9"/>
        </w:rPr>
        <w:t xml:space="preserve"> </w:t>
      </w:r>
      <w:r>
        <w:t>training</w:t>
      </w:r>
      <w:r>
        <w:rPr>
          <w:spacing w:val="-10"/>
        </w:rPr>
        <w:t xml:space="preserve"> </w:t>
      </w:r>
      <w:r>
        <w:t>and</w:t>
      </w:r>
      <w:r>
        <w:rPr>
          <w:spacing w:val="-9"/>
        </w:rPr>
        <w:t xml:space="preserve"> </w:t>
      </w:r>
      <w:r>
        <w:t>professional</w:t>
      </w:r>
      <w:r>
        <w:rPr>
          <w:spacing w:val="-10"/>
        </w:rPr>
        <w:t xml:space="preserve"> </w:t>
      </w:r>
      <w:r>
        <w:rPr>
          <w:spacing w:val="-2"/>
        </w:rPr>
        <w:t>support</w:t>
      </w:r>
    </w:p>
    <w:p w14:paraId="2EBFDB7E" w14:textId="77777777" w:rsidR="009C36E3" w:rsidRDefault="000E7207">
      <w:pPr>
        <w:pStyle w:val="BodyText"/>
        <w:spacing w:before="120"/>
        <w:ind w:left="770" w:right="167"/>
      </w:pPr>
      <w:r>
        <w:t>The</w:t>
      </w:r>
      <w:r>
        <w:rPr>
          <w:spacing w:val="-3"/>
        </w:rPr>
        <w:t xml:space="preserve"> </w:t>
      </w:r>
      <w:r>
        <w:t>MTR was</w:t>
      </w:r>
      <w:r>
        <w:rPr>
          <w:spacing w:val="-2"/>
        </w:rPr>
        <w:t xml:space="preserve"> </w:t>
      </w:r>
      <w:r>
        <w:t>asked</w:t>
      </w:r>
      <w:r>
        <w:rPr>
          <w:spacing w:val="-3"/>
        </w:rPr>
        <w:t xml:space="preserve"> </w:t>
      </w:r>
      <w:r>
        <w:t>to</w:t>
      </w:r>
      <w:r>
        <w:rPr>
          <w:spacing w:val="-3"/>
        </w:rPr>
        <w:t xml:space="preserve"> </w:t>
      </w:r>
      <w:r>
        <w:t>review</w:t>
      </w:r>
      <w:r>
        <w:rPr>
          <w:spacing w:val="-3"/>
        </w:rPr>
        <w:t xml:space="preserve"> </w:t>
      </w:r>
      <w:r>
        <w:t>was</w:t>
      </w:r>
      <w:r>
        <w:rPr>
          <w:spacing w:val="-2"/>
        </w:rPr>
        <w:t xml:space="preserve"> </w:t>
      </w:r>
      <w:r>
        <w:t>the</w:t>
      </w:r>
      <w:r>
        <w:rPr>
          <w:spacing w:val="-3"/>
        </w:rPr>
        <w:t xml:space="preserve"> </w:t>
      </w:r>
      <w:r>
        <w:t>current</w:t>
      </w:r>
      <w:r>
        <w:rPr>
          <w:spacing w:val="-1"/>
        </w:rPr>
        <w:t xml:space="preserve"> </w:t>
      </w:r>
      <w:r>
        <w:t>‘adviser-heavy’</w:t>
      </w:r>
      <w:r>
        <w:rPr>
          <w:spacing w:val="-4"/>
        </w:rPr>
        <w:t xml:space="preserve"> </w:t>
      </w:r>
      <w:r>
        <w:t>nature</w:t>
      </w:r>
      <w:r>
        <w:rPr>
          <w:spacing w:val="-1"/>
        </w:rPr>
        <w:t xml:space="preserve"> </w:t>
      </w:r>
      <w:r>
        <w:t>of</w:t>
      </w:r>
      <w:r>
        <w:rPr>
          <w:spacing w:val="-3"/>
        </w:rPr>
        <w:t xml:space="preserve"> </w:t>
      </w:r>
      <w:r>
        <w:t>the</w:t>
      </w:r>
      <w:r>
        <w:rPr>
          <w:spacing w:val="-3"/>
        </w:rPr>
        <w:t xml:space="preserve"> </w:t>
      </w:r>
      <w:r>
        <w:t>program</w:t>
      </w:r>
      <w:r>
        <w:rPr>
          <w:spacing w:val="-3"/>
        </w:rPr>
        <w:t xml:space="preserve"> </w:t>
      </w:r>
      <w:r>
        <w:t>and</w:t>
      </w:r>
      <w:r>
        <w:rPr>
          <w:spacing w:val="-3"/>
        </w:rPr>
        <w:t xml:space="preserve"> </w:t>
      </w:r>
      <w:r>
        <w:t>to</w:t>
      </w:r>
      <w:r>
        <w:rPr>
          <w:spacing w:val="-3"/>
        </w:rPr>
        <w:t xml:space="preserve"> </w:t>
      </w:r>
      <w:r>
        <w:t>consider</w:t>
      </w:r>
      <w:r>
        <w:rPr>
          <w:spacing w:val="-2"/>
        </w:rPr>
        <w:t xml:space="preserve"> </w:t>
      </w:r>
      <w:r>
        <w:t>its</w:t>
      </w:r>
      <w:r>
        <w:rPr>
          <w:spacing w:val="-2"/>
        </w:rPr>
        <w:t xml:space="preserve"> </w:t>
      </w:r>
      <w:r>
        <w:t>suitability going forward. The use of LTA and STA embedded within the VPF and justice agencies to provide mentoring, technical advice and training is considered a very positive modality by government counterparts as discussed above in Section 3.1.1. In the current phase there appears no need to change this arrangement. This can be reviewed once a direction for the program for the next phase is clarified but based on interviews with key GoV personnel, a removal of advisers is unlikely to be well-regarded.</w:t>
      </w:r>
    </w:p>
    <w:p w14:paraId="1154333D" w14:textId="77777777" w:rsidR="009C36E3" w:rsidRDefault="000E7207">
      <w:pPr>
        <w:pStyle w:val="BodyText"/>
        <w:spacing w:before="120"/>
        <w:ind w:left="770" w:right="120"/>
      </w:pPr>
      <w:r>
        <w:t>Within the policing sector, the PC-P was commended for building a team of “the best of the best”, based on a careful and deliberate recruitment strategy to find the best fit for the context. Advisers in the justice stream are however finding it difficult to demonstrate achievement in the absence of a framework, targets and indicators (see MERL</w:t>
      </w:r>
      <w:r>
        <w:rPr>
          <w:spacing w:val="-3"/>
        </w:rPr>
        <w:t xml:space="preserve"> </w:t>
      </w:r>
      <w:r>
        <w:t>section</w:t>
      </w:r>
      <w:r>
        <w:rPr>
          <w:spacing w:val="-3"/>
        </w:rPr>
        <w:t xml:space="preserve"> </w:t>
      </w:r>
      <w:r>
        <w:t>3.3.1</w:t>
      </w:r>
      <w:r>
        <w:rPr>
          <w:spacing w:val="-1"/>
        </w:rPr>
        <w:t xml:space="preserve"> </w:t>
      </w:r>
      <w:r>
        <w:t>above).</w:t>
      </w:r>
      <w:r>
        <w:rPr>
          <w:spacing w:val="40"/>
        </w:rPr>
        <w:t xml:space="preserve"> </w:t>
      </w:r>
      <w:r>
        <w:t>They</w:t>
      </w:r>
      <w:r>
        <w:rPr>
          <w:spacing w:val="-2"/>
        </w:rPr>
        <w:t xml:space="preserve"> </w:t>
      </w:r>
      <w:r>
        <w:t>were</w:t>
      </w:r>
      <w:r>
        <w:rPr>
          <w:spacing w:val="-3"/>
        </w:rPr>
        <w:t xml:space="preserve"> </w:t>
      </w:r>
      <w:r>
        <w:t>seen</w:t>
      </w:r>
      <w:r>
        <w:rPr>
          <w:spacing w:val="-1"/>
        </w:rPr>
        <w:t xml:space="preserve"> </w:t>
      </w:r>
      <w:r>
        <w:t>by</w:t>
      </w:r>
      <w:r>
        <w:rPr>
          <w:spacing w:val="-2"/>
        </w:rPr>
        <w:t xml:space="preserve"> </w:t>
      </w:r>
      <w:r>
        <w:t>local</w:t>
      </w:r>
      <w:r>
        <w:rPr>
          <w:spacing w:val="-2"/>
        </w:rPr>
        <w:t xml:space="preserve"> </w:t>
      </w:r>
      <w:r>
        <w:t>counterparts</w:t>
      </w:r>
      <w:r>
        <w:rPr>
          <w:spacing w:val="-2"/>
        </w:rPr>
        <w:t xml:space="preserve"> </w:t>
      </w:r>
      <w:r>
        <w:t>to</w:t>
      </w:r>
      <w:r>
        <w:rPr>
          <w:spacing w:val="-3"/>
        </w:rPr>
        <w:t xml:space="preserve"> </w:t>
      </w:r>
      <w:r>
        <w:t>be</w:t>
      </w:r>
      <w:r>
        <w:rPr>
          <w:spacing w:val="-3"/>
        </w:rPr>
        <w:t xml:space="preserve"> </w:t>
      </w:r>
      <w:r>
        <w:t>strengthening</w:t>
      </w:r>
      <w:r>
        <w:rPr>
          <w:spacing w:val="-3"/>
        </w:rPr>
        <w:t xml:space="preserve"> </w:t>
      </w:r>
      <w:r>
        <w:t>capacity,</w:t>
      </w:r>
      <w:r>
        <w:rPr>
          <w:spacing w:val="-3"/>
        </w:rPr>
        <w:t xml:space="preserve"> </w:t>
      </w:r>
      <w:r>
        <w:t>supporting</w:t>
      </w:r>
      <w:r>
        <w:rPr>
          <w:spacing w:val="-1"/>
        </w:rPr>
        <w:t xml:space="preserve"> </w:t>
      </w:r>
      <w:r>
        <w:t>service delivery and representing agency interests by being a “mouthpiece to the project”.</w:t>
      </w:r>
      <w:r>
        <w:rPr>
          <w:spacing w:val="40"/>
        </w:rPr>
        <w:t xml:space="preserve"> </w:t>
      </w:r>
      <w:r>
        <w:t>However, the MTR found there are</w:t>
      </w:r>
      <w:r>
        <w:rPr>
          <w:spacing w:val="-2"/>
        </w:rPr>
        <w:t xml:space="preserve"> </w:t>
      </w:r>
      <w:r>
        <w:t>tensions between program</w:t>
      </w:r>
      <w:r>
        <w:rPr>
          <w:spacing w:val="-2"/>
        </w:rPr>
        <w:t xml:space="preserve"> </w:t>
      </w:r>
      <w:r>
        <w:t>management and</w:t>
      </w:r>
      <w:r>
        <w:rPr>
          <w:spacing w:val="-2"/>
        </w:rPr>
        <w:t xml:space="preserve"> </w:t>
      </w:r>
      <w:r>
        <w:t>justice</w:t>
      </w:r>
      <w:r>
        <w:rPr>
          <w:spacing w:val="-2"/>
        </w:rPr>
        <w:t xml:space="preserve"> </w:t>
      </w:r>
      <w:r>
        <w:t>advisers,</w:t>
      </w:r>
      <w:r>
        <w:rPr>
          <w:spacing w:val="-2"/>
        </w:rPr>
        <w:t xml:space="preserve"> </w:t>
      </w:r>
      <w:r>
        <w:t>who</w:t>
      </w:r>
      <w:r>
        <w:rPr>
          <w:spacing w:val="-2"/>
        </w:rPr>
        <w:t xml:space="preserve"> </w:t>
      </w:r>
      <w:r>
        <w:t>felt unclear on</w:t>
      </w:r>
      <w:r>
        <w:rPr>
          <w:spacing w:val="-2"/>
        </w:rPr>
        <w:t xml:space="preserve"> </w:t>
      </w:r>
      <w:r>
        <w:t>their</w:t>
      </w:r>
      <w:r>
        <w:rPr>
          <w:spacing w:val="-1"/>
        </w:rPr>
        <w:t xml:space="preserve"> </w:t>
      </w:r>
      <w:r>
        <w:t>roles</w:t>
      </w:r>
      <w:r>
        <w:rPr>
          <w:spacing w:val="-1"/>
        </w:rPr>
        <w:t xml:space="preserve"> </w:t>
      </w:r>
      <w:r>
        <w:t>and</w:t>
      </w:r>
      <w:r>
        <w:rPr>
          <w:spacing w:val="-2"/>
        </w:rPr>
        <w:t xml:space="preserve"> </w:t>
      </w:r>
      <w:r>
        <w:t>contribution to results</w:t>
      </w:r>
      <w:r>
        <w:rPr>
          <w:spacing w:val="-3"/>
        </w:rPr>
        <w:t xml:space="preserve"> </w:t>
      </w:r>
      <w:r>
        <w:t>and</w:t>
      </w:r>
      <w:r>
        <w:rPr>
          <w:spacing w:val="-4"/>
        </w:rPr>
        <w:t xml:space="preserve"> </w:t>
      </w:r>
      <w:r>
        <w:t>reporting.</w:t>
      </w:r>
      <w:r>
        <w:rPr>
          <w:spacing w:val="-4"/>
        </w:rPr>
        <w:t xml:space="preserve"> </w:t>
      </w:r>
      <w:r>
        <w:t>Reporting</w:t>
      </w:r>
      <w:r>
        <w:rPr>
          <w:spacing w:val="-2"/>
        </w:rPr>
        <w:t xml:space="preserve"> </w:t>
      </w:r>
      <w:r>
        <w:t>lines</w:t>
      </w:r>
      <w:r>
        <w:rPr>
          <w:spacing w:val="-3"/>
        </w:rPr>
        <w:t xml:space="preserve"> </w:t>
      </w:r>
      <w:r>
        <w:t>are</w:t>
      </w:r>
      <w:r>
        <w:rPr>
          <w:spacing w:val="-2"/>
        </w:rPr>
        <w:t xml:space="preserve"> </w:t>
      </w:r>
      <w:r>
        <w:t>also</w:t>
      </w:r>
      <w:r>
        <w:rPr>
          <w:spacing w:val="-2"/>
        </w:rPr>
        <w:t xml:space="preserve"> </w:t>
      </w:r>
      <w:r>
        <w:t>unclear</w:t>
      </w:r>
      <w:r>
        <w:rPr>
          <w:spacing w:val="-1"/>
        </w:rPr>
        <w:t xml:space="preserve"> </w:t>
      </w:r>
      <w:r>
        <w:t>between</w:t>
      </w:r>
      <w:r>
        <w:rPr>
          <w:spacing w:val="-2"/>
        </w:rPr>
        <w:t xml:space="preserve"> </w:t>
      </w:r>
      <w:r>
        <w:t>advisers</w:t>
      </w:r>
      <w:r>
        <w:rPr>
          <w:spacing w:val="-3"/>
        </w:rPr>
        <w:t xml:space="preserve"> </w:t>
      </w:r>
      <w:r>
        <w:t>and</w:t>
      </w:r>
      <w:r>
        <w:rPr>
          <w:spacing w:val="-2"/>
        </w:rPr>
        <w:t xml:space="preserve"> </w:t>
      </w:r>
      <w:r>
        <w:t>VAPJP</w:t>
      </w:r>
      <w:r>
        <w:rPr>
          <w:spacing w:val="-5"/>
        </w:rPr>
        <w:t xml:space="preserve"> </w:t>
      </w:r>
      <w:r>
        <w:t>management,</w:t>
      </w:r>
      <w:r>
        <w:rPr>
          <w:spacing w:val="-4"/>
        </w:rPr>
        <w:t xml:space="preserve"> </w:t>
      </w:r>
      <w:r>
        <w:t>with</w:t>
      </w:r>
      <w:r>
        <w:rPr>
          <w:spacing w:val="-2"/>
        </w:rPr>
        <w:t xml:space="preserve"> </w:t>
      </w:r>
      <w:r>
        <w:t>reports</w:t>
      </w:r>
      <w:r>
        <w:rPr>
          <w:spacing w:val="-3"/>
        </w:rPr>
        <w:t xml:space="preserve"> </w:t>
      </w:r>
      <w:r>
        <w:t>that advisers feel isolated from the program.</w:t>
      </w:r>
    </w:p>
    <w:p w14:paraId="663E630E" w14:textId="77777777" w:rsidR="009C36E3" w:rsidRDefault="000E7207">
      <w:pPr>
        <w:pStyle w:val="BodyText"/>
        <w:spacing w:before="120"/>
        <w:ind w:left="770" w:right="120"/>
      </w:pPr>
      <w:r>
        <w:t>Additional options for strengthening professional development and capability within agencies should also be considered</w:t>
      </w:r>
      <w:r>
        <w:rPr>
          <w:spacing w:val="-3"/>
        </w:rPr>
        <w:t xml:space="preserve"> </w:t>
      </w:r>
      <w:r>
        <w:t>to</w:t>
      </w:r>
      <w:r>
        <w:rPr>
          <w:spacing w:val="-1"/>
        </w:rPr>
        <w:t xml:space="preserve"> </w:t>
      </w:r>
      <w:r>
        <w:t>complement the</w:t>
      </w:r>
      <w:r>
        <w:rPr>
          <w:spacing w:val="-3"/>
        </w:rPr>
        <w:t xml:space="preserve"> </w:t>
      </w:r>
      <w:r>
        <w:t>work</w:t>
      </w:r>
      <w:r>
        <w:rPr>
          <w:spacing w:val="-2"/>
        </w:rPr>
        <w:t xml:space="preserve"> </w:t>
      </w:r>
      <w:r>
        <w:t>of</w:t>
      </w:r>
      <w:r>
        <w:rPr>
          <w:spacing w:val="-3"/>
        </w:rPr>
        <w:t xml:space="preserve"> </w:t>
      </w:r>
      <w:r>
        <w:t>advisers.</w:t>
      </w:r>
      <w:r>
        <w:rPr>
          <w:spacing w:val="-3"/>
        </w:rPr>
        <w:t xml:space="preserve"> </w:t>
      </w:r>
      <w:r>
        <w:t>This</w:t>
      </w:r>
      <w:r>
        <w:rPr>
          <w:spacing w:val="-2"/>
        </w:rPr>
        <w:t xml:space="preserve"> </w:t>
      </w:r>
      <w:r>
        <w:t>can</w:t>
      </w:r>
      <w:r>
        <w:rPr>
          <w:spacing w:val="-3"/>
        </w:rPr>
        <w:t xml:space="preserve"> </w:t>
      </w:r>
      <w:r>
        <w:t>include</w:t>
      </w:r>
      <w:r>
        <w:rPr>
          <w:spacing w:val="-3"/>
        </w:rPr>
        <w:t xml:space="preserve"> </w:t>
      </w:r>
      <w:r>
        <w:t>a</w:t>
      </w:r>
      <w:r>
        <w:rPr>
          <w:spacing w:val="-1"/>
        </w:rPr>
        <w:t xml:space="preserve"> </w:t>
      </w:r>
      <w:r>
        <w:t>greater</w:t>
      </w:r>
      <w:r>
        <w:rPr>
          <w:spacing w:val="-2"/>
        </w:rPr>
        <w:t xml:space="preserve"> </w:t>
      </w:r>
      <w:r>
        <w:t>engagement</w:t>
      </w:r>
      <w:r>
        <w:rPr>
          <w:spacing w:val="-3"/>
        </w:rPr>
        <w:t xml:space="preserve"> </w:t>
      </w:r>
      <w:r>
        <w:t>with</w:t>
      </w:r>
      <w:r>
        <w:rPr>
          <w:spacing w:val="-3"/>
        </w:rPr>
        <w:t xml:space="preserve"> </w:t>
      </w:r>
      <w:r>
        <w:t>e.g.</w:t>
      </w:r>
      <w:r>
        <w:rPr>
          <w:spacing w:val="-3"/>
        </w:rPr>
        <w:t xml:space="preserve"> </w:t>
      </w:r>
      <w:r>
        <w:t>the</w:t>
      </w:r>
      <w:r>
        <w:rPr>
          <w:spacing w:val="-1"/>
        </w:rPr>
        <w:t xml:space="preserve"> </w:t>
      </w:r>
      <w:r>
        <w:t>Victorian</w:t>
      </w:r>
      <w:r>
        <w:rPr>
          <w:spacing w:val="-3"/>
        </w:rPr>
        <w:t xml:space="preserve"> </w:t>
      </w:r>
      <w:r>
        <w:t>Bar Association, and a variety of twinning arrangements The program could also consider additional resourcing to support administration functions to ensure that key activities can go ahead, especially for staff in remote areas.</w:t>
      </w:r>
    </w:p>
    <w:p w14:paraId="026AFD43" w14:textId="77777777" w:rsidR="009C36E3" w:rsidRDefault="000E7207">
      <w:pPr>
        <w:pStyle w:val="BodyText"/>
        <w:ind w:left="770" w:right="120"/>
      </w:pPr>
      <w:r>
        <w:t>AFP</w:t>
      </w:r>
      <w:r>
        <w:rPr>
          <w:spacing w:val="-1"/>
        </w:rPr>
        <w:t xml:space="preserve"> </w:t>
      </w:r>
      <w:r>
        <w:t>advisers’</w:t>
      </w:r>
      <w:r>
        <w:rPr>
          <w:spacing w:val="-4"/>
        </w:rPr>
        <w:t xml:space="preserve"> </w:t>
      </w:r>
      <w:r>
        <w:t>time</w:t>
      </w:r>
      <w:r>
        <w:rPr>
          <w:spacing w:val="-3"/>
        </w:rPr>
        <w:t xml:space="preserve"> </w:t>
      </w:r>
      <w:r>
        <w:t>is</w:t>
      </w:r>
      <w:r>
        <w:rPr>
          <w:spacing w:val="-2"/>
        </w:rPr>
        <w:t xml:space="preserve"> </w:t>
      </w:r>
      <w:r>
        <w:t>costly</w:t>
      </w:r>
      <w:r>
        <w:rPr>
          <w:spacing w:val="-2"/>
        </w:rPr>
        <w:t xml:space="preserve"> </w:t>
      </w:r>
      <w:r>
        <w:t>and</w:t>
      </w:r>
      <w:r>
        <w:rPr>
          <w:spacing w:val="-1"/>
        </w:rPr>
        <w:t xml:space="preserve"> </w:t>
      </w:r>
      <w:r>
        <w:t>high</w:t>
      </w:r>
      <w:r>
        <w:rPr>
          <w:spacing w:val="-3"/>
        </w:rPr>
        <w:t xml:space="preserve"> </w:t>
      </w:r>
      <w:r>
        <w:t>value,</w:t>
      </w:r>
      <w:r>
        <w:rPr>
          <w:spacing w:val="-1"/>
        </w:rPr>
        <w:t xml:space="preserve"> </w:t>
      </w:r>
      <w:r>
        <w:t>so</w:t>
      </w:r>
      <w:r>
        <w:rPr>
          <w:spacing w:val="-3"/>
        </w:rPr>
        <w:t xml:space="preserve"> </w:t>
      </w:r>
      <w:r>
        <w:t>better</w:t>
      </w:r>
      <w:r>
        <w:rPr>
          <w:spacing w:val="-2"/>
        </w:rPr>
        <w:t xml:space="preserve"> </w:t>
      </w:r>
      <w:r>
        <w:t>value</w:t>
      </w:r>
      <w:r>
        <w:rPr>
          <w:spacing w:val="-3"/>
        </w:rPr>
        <w:t xml:space="preserve"> </w:t>
      </w:r>
      <w:r>
        <w:t>for money</w:t>
      </w:r>
      <w:r>
        <w:rPr>
          <w:spacing w:val="-2"/>
        </w:rPr>
        <w:t xml:space="preserve"> </w:t>
      </w:r>
      <w:r>
        <w:t>could</w:t>
      </w:r>
      <w:r>
        <w:rPr>
          <w:spacing w:val="-3"/>
        </w:rPr>
        <w:t xml:space="preserve"> </w:t>
      </w:r>
      <w:r>
        <w:t>be</w:t>
      </w:r>
      <w:r>
        <w:rPr>
          <w:spacing w:val="-3"/>
        </w:rPr>
        <w:t xml:space="preserve"> </w:t>
      </w:r>
      <w:r>
        <w:t>achieved</w:t>
      </w:r>
      <w:r>
        <w:rPr>
          <w:spacing w:val="-3"/>
        </w:rPr>
        <w:t xml:space="preserve"> </w:t>
      </w:r>
      <w:r>
        <w:t>by</w:t>
      </w:r>
      <w:r>
        <w:rPr>
          <w:spacing w:val="-2"/>
        </w:rPr>
        <w:t xml:space="preserve"> </w:t>
      </w:r>
      <w:r>
        <w:t>reducing</w:t>
      </w:r>
      <w:r>
        <w:rPr>
          <w:spacing w:val="-3"/>
        </w:rPr>
        <w:t xml:space="preserve"> </w:t>
      </w:r>
      <w:r>
        <w:t>time</w:t>
      </w:r>
      <w:r>
        <w:rPr>
          <w:spacing w:val="-3"/>
        </w:rPr>
        <w:t xml:space="preserve"> </w:t>
      </w:r>
      <w:r>
        <w:t>required for administrative tasks, by reallocating resources for LES support.</w:t>
      </w:r>
    </w:p>
    <w:p w14:paraId="5D829967" w14:textId="77777777" w:rsidR="009C36E3" w:rsidRDefault="000E7207">
      <w:pPr>
        <w:pStyle w:val="BodyText"/>
        <w:spacing w:before="120"/>
        <w:ind w:left="769" w:right="124"/>
      </w:pPr>
      <w:r>
        <w:t>The MTR found that cross-sector advisers tend to be focused on support to policing or support to justice programming. This is the case for the PFM, Police and Prosecutions Case Management and Communications roles,</w:t>
      </w:r>
      <w:r>
        <w:rPr>
          <w:spacing w:val="-3"/>
        </w:rPr>
        <w:t xml:space="preserve"> </w:t>
      </w:r>
      <w:r>
        <w:t>though</w:t>
      </w:r>
      <w:r>
        <w:rPr>
          <w:spacing w:val="-3"/>
        </w:rPr>
        <w:t xml:space="preserve"> </w:t>
      </w:r>
      <w:r>
        <w:t>these</w:t>
      </w:r>
      <w:r>
        <w:rPr>
          <w:spacing w:val="-3"/>
        </w:rPr>
        <w:t xml:space="preserve"> </w:t>
      </w:r>
      <w:r>
        <w:t>roles</w:t>
      </w:r>
      <w:r>
        <w:rPr>
          <w:spacing w:val="-2"/>
        </w:rPr>
        <w:t xml:space="preserve"> </w:t>
      </w:r>
      <w:r>
        <w:t>do</w:t>
      </w:r>
      <w:r>
        <w:rPr>
          <w:spacing w:val="-3"/>
        </w:rPr>
        <w:t xml:space="preserve"> </w:t>
      </w:r>
      <w:r>
        <w:t>work</w:t>
      </w:r>
      <w:r>
        <w:rPr>
          <w:spacing w:val="-2"/>
        </w:rPr>
        <w:t xml:space="preserve"> </w:t>
      </w:r>
      <w:r>
        <w:t>across</w:t>
      </w:r>
      <w:r>
        <w:rPr>
          <w:spacing w:val="-2"/>
        </w:rPr>
        <w:t xml:space="preserve"> </w:t>
      </w:r>
      <w:r>
        <w:t>both</w:t>
      </w:r>
      <w:r>
        <w:rPr>
          <w:spacing w:val="-1"/>
        </w:rPr>
        <w:t xml:space="preserve"> </w:t>
      </w:r>
      <w:r>
        <w:t>streams.</w:t>
      </w:r>
      <w:r>
        <w:rPr>
          <w:spacing w:val="-3"/>
        </w:rPr>
        <w:t xml:space="preserve"> </w:t>
      </w:r>
      <w:r>
        <w:t>This</w:t>
      </w:r>
      <w:r>
        <w:rPr>
          <w:spacing w:val="-2"/>
        </w:rPr>
        <w:t xml:space="preserve"> </w:t>
      </w:r>
      <w:r>
        <w:t>may</w:t>
      </w:r>
      <w:r>
        <w:rPr>
          <w:spacing w:val="-2"/>
        </w:rPr>
        <w:t xml:space="preserve"> </w:t>
      </w:r>
      <w:r>
        <w:t>be</w:t>
      </w:r>
      <w:r>
        <w:rPr>
          <w:spacing w:val="-1"/>
        </w:rPr>
        <w:t xml:space="preserve"> </w:t>
      </w:r>
      <w:r>
        <w:t>explained</w:t>
      </w:r>
      <w:r>
        <w:rPr>
          <w:spacing w:val="-1"/>
        </w:rPr>
        <w:t xml:space="preserve"> </w:t>
      </w:r>
      <w:r>
        <w:t>by</w:t>
      </w:r>
      <w:r>
        <w:rPr>
          <w:spacing w:val="-2"/>
        </w:rPr>
        <w:t xml:space="preserve"> </w:t>
      </w:r>
      <w:r>
        <w:t>the</w:t>
      </w:r>
      <w:r>
        <w:rPr>
          <w:spacing w:val="-3"/>
        </w:rPr>
        <w:t xml:space="preserve"> </w:t>
      </w:r>
      <w:r>
        <w:t>diffuse</w:t>
      </w:r>
      <w:r>
        <w:rPr>
          <w:spacing w:val="-3"/>
        </w:rPr>
        <w:t xml:space="preserve"> </w:t>
      </w:r>
      <w:r>
        <w:t>nature</w:t>
      </w:r>
      <w:r>
        <w:rPr>
          <w:spacing w:val="-1"/>
        </w:rPr>
        <w:t xml:space="preserve"> </w:t>
      </w:r>
      <w:r>
        <w:t>of</w:t>
      </w:r>
      <w:r>
        <w:rPr>
          <w:spacing w:val="-3"/>
        </w:rPr>
        <w:t xml:space="preserve"> </w:t>
      </w:r>
      <w:r>
        <w:t>the</w:t>
      </w:r>
      <w:r>
        <w:rPr>
          <w:spacing w:val="-3"/>
        </w:rPr>
        <w:t xml:space="preserve"> </w:t>
      </w:r>
      <w:r>
        <w:t xml:space="preserve">agencies and MJCS compared to the VPF structure, and the ease of reporting against policing outcomes which are more visible compared to outcomes related to strengthening the justice system. Other cross-sectoral advisers represent cross-cutting issues including GEDSI but are more closely connected with the justice than the policing stream of </w:t>
      </w:r>
      <w:r>
        <w:rPr>
          <w:spacing w:val="-2"/>
        </w:rPr>
        <w:t>work.</w:t>
      </w:r>
    </w:p>
    <w:p w14:paraId="7643E8BF" w14:textId="77777777" w:rsidR="009C36E3" w:rsidRDefault="000E7207">
      <w:pPr>
        <w:pStyle w:val="BodyText"/>
        <w:spacing w:before="121"/>
        <w:ind w:left="769" w:right="120"/>
      </w:pPr>
      <w:r>
        <w:t>Within</w:t>
      </w:r>
      <w:r>
        <w:rPr>
          <w:spacing w:val="-1"/>
        </w:rPr>
        <w:t xml:space="preserve"> </w:t>
      </w:r>
      <w:r>
        <w:t>VAPJP</w:t>
      </w:r>
      <w:r>
        <w:rPr>
          <w:spacing w:val="-2"/>
        </w:rPr>
        <w:t xml:space="preserve"> </w:t>
      </w:r>
      <w:r>
        <w:t>managing</w:t>
      </w:r>
      <w:r>
        <w:rPr>
          <w:spacing w:val="-1"/>
        </w:rPr>
        <w:t xml:space="preserve"> </w:t>
      </w:r>
      <w:r>
        <w:t>the</w:t>
      </w:r>
      <w:r>
        <w:rPr>
          <w:spacing w:val="-1"/>
        </w:rPr>
        <w:t xml:space="preserve"> </w:t>
      </w:r>
      <w:r>
        <w:t>complex area</w:t>
      </w:r>
      <w:r>
        <w:rPr>
          <w:spacing w:val="-1"/>
        </w:rPr>
        <w:t xml:space="preserve"> </w:t>
      </w:r>
      <w:r>
        <w:t xml:space="preserve">of </w:t>
      </w:r>
      <w:r>
        <w:rPr>
          <w:b/>
        </w:rPr>
        <w:t>family protection and VAWC</w:t>
      </w:r>
      <w:r>
        <w:rPr>
          <w:b/>
          <w:spacing w:val="-1"/>
        </w:rPr>
        <w:t xml:space="preserve"> </w:t>
      </w:r>
      <w:r>
        <w:t>is something that</w:t>
      </w:r>
      <w:r>
        <w:rPr>
          <w:spacing w:val="-1"/>
        </w:rPr>
        <w:t xml:space="preserve"> </w:t>
      </w:r>
      <w:r>
        <w:t>necessarily involves all of the justice, community and policing streams and attendant advisers and LES. While there are good relationships and communications between the respective streams, it was apparent that many across the program consider that the arrangements are not optimal for ensuring that all the parts collaborate toward the multi-faceted approaches</w:t>
      </w:r>
      <w:r>
        <w:rPr>
          <w:spacing w:val="-3"/>
        </w:rPr>
        <w:t xml:space="preserve"> </w:t>
      </w:r>
      <w:r>
        <w:t>required</w:t>
      </w:r>
      <w:r>
        <w:rPr>
          <w:spacing w:val="-2"/>
        </w:rPr>
        <w:t xml:space="preserve"> </w:t>
      </w:r>
      <w:r>
        <w:t>for</w:t>
      </w:r>
      <w:r>
        <w:rPr>
          <w:spacing w:val="-3"/>
        </w:rPr>
        <w:t xml:space="preserve"> </w:t>
      </w:r>
      <w:r>
        <w:t>preventing</w:t>
      </w:r>
      <w:r>
        <w:rPr>
          <w:spacing w:val="-2"/>
        </w:rPr>
        <w:t xml:space="preserve"> </w:t>
      </w:r>
      <w:r>
        <w:t>and</w:t>
      </w:r>
      <w:r>
        <w:rPr>
          <w:spacing w:val="-4"/>
        </w:rPr>
        <w:t xml:space="preserve"> </w:t>
      </w:r>
      <w:r>
        <w:t>responding</w:t>
      </w:r>
      <w:r>
        <w:rPr>
          <w:spacing w:val="-4"/>
        </w:rPr>
        <w:t xml:space="preserve"> </w:t>
      </w:r>
      <w:r>
        <w:t>to</w:t>
      </w:r>
      <w:r>
        <w:rPr>
          <w:spacing w:val="-2"/>
        </w:rPr>
        <w:t xml:space="preserve"> </w:t>
      </w:r>
      <w:r>
        <w:t>violence</w:t>
      </w:r>
      <w:r>
        <w:rPr>
          <w:spacing w:val="-4"/>
        </w:rPr>
        <w:t xml:space="preserve"> </w:t>
      </w:r>
      <w:r>
        <w:t>against</w:t>
      </w:r>
      <w:r>
        <w:rPr>
          <w:spacing w:val="-4"/>
        </w:rPr>
        <w:t xml:space="preserve"> </w:t>
      </w:r>
      <w:r>
        <w:t>women</w:t>
      </w:r>
      <w:r>
        <w:rPr>
          <w:spacing w:val="-4"/>
        </w:rPr>
        <w:t xml:space="preserve"> </w:t>
      </w:r>
      <w:r>
        <w:t>and</w:t>
      </w:r>
      <w:r>
        <w:rPr>
          <w:spacing w:val="-4"/>
        </w:rPr>
        <w:t xml:space="preserve"> </w:t>
      </w:r>
      <w:r>
        <w:t>children. Examining</w:t>
      </w:r>
      <w:r>
        <w:rPr>
          <w:spacing w:val="-4"/>
        </w:rPr>
        <w:t xml:space="preserve"> </w:t>
      </w:r>
      <w:r>
        <w:t>the</w:t>
      </w:r>
      <w:r>
        <w:rPr>
          <w:spacing w:val="-2"/>
        </w:rPr>
        <w:t xml:space="preserve"> </w:t>
      </w:r>
      <w:r>
        <w:t>optimal</w:t>
      </w:r>
    </w:p>
    <w:p w14:paraId="2644E08C" w14:textId="77777777" w:rsidR="009C36E3" w:rsidRDefault="009C36E3">
      <w:pPr>
        <w:sectPr w:rsidR="009C36E3">
          <w:pgSz w:w="11910" w:h="16850"/>
          <w:pgMar w:top="1040" w:right="740" w:bottom="740" w:left="80" w:header="552" w:footer="559" w:gutter="0"/>
          <w:cols w:space="720"/>
        </w:sectPr>
      </w:pPr>
    </w:p>
    <w:p w14:paraId="3B6729C2" w14:textId="77777777" w:rsidR="009C36E3" w:rsidRDefault="000E7207">
      <w:pPr>
        <w:pStyle w:val="BodyText"/>
        <w:spacing w:before="91"/>
        <w:ind w:right="353"/>
      </w:pPr>
      <w:r>
        <w:t>arrangements is something that should be considered in more detail in the forthcoming design, however one possibility could be a cross-sector VAWC prevention and services advisor who is responsible for policy, governance, connectivity between government and community agencies, and interfacing with a separate AFP adviser</w:t>
      </w:r>
      <w:r>
        <w:rPr>
          <w:spacing w:val="-3"/>
        </w:rPr>
        <w:t xml:space="preserve"> </w:t>
      </w:r>
      <w:r>
        <w:t>whose</w:t>
      </w:r>
      <w:r>
        <w:rPr>
          <w:spacing w:val="-4"/>
        </w:rPr>
        <w:t xml:space="preserve"> </w:t>
      </w:r>
      <w:r>
        <w:t>role</w:t>
      </w:r>
      <w:r>
        <w:rPr>
          <w:spacing w:val="-2"/>
        </w:rPr>
        <w:t xml:space="preserve"> </w:t>
      </w:r>
      <w:r>
        <w:t>is</w:t>
      </w:r>
      <w:r>
        <w:rPr>
          <w:spacing w:val="-3"/>
        </w:rPr>
        <w:t xml:space="preserve"> </w:t>
      </w:r>
      <w:r>
        <w:t>advising</w:t>
      </w:r>
      <w:r>
        <w:rPr>
          <w:spacing w:val="-4"/>
        </w:rPr>
        <w:t xml:space="preserve"> </w:t>
      </w:r>
      <w:r>
        <w:t>the</w:t>
      </w:r>
      <w:r>
        <w:rPr>
          <w:spacing w:val="-4"/>
        </w:rPr>
        <w:t xml:space="preserve"> </w:t>
      </w:r>
      <w:r>
        <w:t>FPU</w:t>
      </w:r>
      <w:r>
        <w:rPr>
          <w:spacing w:val="-4"/>
        </w:rPr>
        <w:t xml:space="preserve"> </w:t>
      </w:r>
      <w:r>
        <w:t>on</w:t>
      </w:r>
      <w:r>
        <w:rPr>
          <w:spacing w:val="-2"/>
        </w:rPr>
        <w:t xml:space="preserve"> </w:t>
      </w:r>
      <w:r>
        <w:t>the</w:t>
      </w:r>
      <w:r>
        <w:rPr>
          <w:spacing w:val="-2"/>
        </w:rPr>
        <w:t xml:space="preserve"> </w:t>
      </w:r>
      <w:r>
        <w:t>important</w:t>
      </w:r>
      <w:r>
        <w:rPr>
          <w:spacing w:val="-4"/>
        </w:rPr>
        <w:t xml:space="preserve"> </w:t>
      </w:r>
      <w:r>
        <w:t>and</w:t>
      </w:r>
      <w:r>
        <w:rPr>
          <w:spacing w:val="-4"/>
        </w:rPr>
        <w:t xml:space="preserve"> </w:t>
      </w:r>
      <w:r>
        <w:t>demanding</w:t>
      </w:r>
      <w:r>
        <w:rPr>
          <w:spacing w:val="-2"/>
        </w:rPr>
        <w:t xml:space="preserve"> </w:t>
      </w:r>
      <w:r>
        <w:t>work</w:t>
      </w:r>
      <w:r>
        <w:rPr>
          <w:spacing w:val="-3"/>
        </w:rPr>
        <w:t xml:space="preserve"> </w:t>
      </w:r>
      <w:r>
        <w:t>of</w:t>
      </w:r>
      <w:r>
        <w:rPr>
          <w:spacing w:val="-2"/>
        </w:rPr>
        <w:t xml:space="preserve"> </w:t>
      </w:r>
      <w:r>
        <w:t>operational</w:t>
      </w:r>
      <w:r>
        <w:rPr>
          <w:spacing w:val="-3"/>
        </w:rPr>
        <w:t xml:space="preserve"> </w:t>
      </w:r>
      <w:r>
        <w:t>investigations.</w:t>
      </w:r>
      <w:r>
        <w:rPr>
          <w:spacing w:val="-2"/>
        </w:rPr>
        <w:t xml:space="preserve"> </w:t>
      </w:r>
      <w:r>
        <w:t>The cross</w:t>
      </w:r>
      <w:r>
        <w:rPr>
          <w:spacing w:val="-3"/>
        </w:rPr>
        <w:t xml:space="preserve"> </w:t>
      </w:r>
      <w:r>
        <w:t>sector</w:t>
      </w:r>
      <w:r>
        <w:rPr>
          <w:spacing w:val="-3"/>
        </w:rPr>
        <w:t xml:space="preserve"> </w:t>
      </w:r>
      <w:r>
        <w:t>adviser</w:t>
      </w:r>
      <w:r>
        <w:rPr>
          <w:spacing w:val="-3"/>
        </w:rPr>
        <w:t xml:space="preserve"> </w:t>
      </w:r>
      <w:r>
        <w:t>could also</w:t>
      </w:r>
      <w:r>
        <w:rPr>
          <w:spacing w:val="-4"/>
        </w:rPr>
        <w:t xml:space="preserve"> </w:t>
      </w:r>
      <w:r>
        <w:t>engage</w:t>
      </w:r>
      <w:r>
        <w:rPr>
          <w:spacing w:val="-4"/>
        </w:rPr>
        <w:t xml:space="preserve"> </w:t>
      </w:r>
      <w:r>
        <w:t>with</w:t>
      </w:r>
      <w:r>
        <w:rPr>
          <w:spacing w:val="-2"/>
        </w:rPr>
        <w:t xml:space="preserve"> </w:t>
      </w:r>
      <w:r>
        <w:t>AFP</w:t>
      </w:r>
      <w:r>
        <w:rPr>
          <w:spacing w:val="-5"/>
        </w:rPr>
        <w:t xml:space="preserve"> </w:t>
      </w:r>
      <w:r>
        <w:t>and</w:t>
      </w:r>
      <w:r>
        <w:rPr>
          <w:spacing w:val="-2"/>
        </w:rPr>
        <w:t xml:space="preserve"> </w:t>
      </w:r>
      <w:r>
        <w:t>VPF</w:t>
      </w:r>
      <w:r>
        <w:rPr>
          <w:spacing w:val="-1"/>
        </w:rPr>
        <w:t xml:space="preserve"> </w:t>
      </w:r>
      <w:r>
        <w:t>on</w:t>
      </w:r>
      <w:r>
        <w:rPr>
          <w:spacing w:val="-4"/>
        </w:rPr>
        <w:t xml:space="preserve"> </w:t>
      </w:r>
      <w:r>
        <w:t>the</w:t>
      </w:r>
      <w:r>
        <w:rPr>
          <w:spacing w:val="-4"/>
        </w:rPr>
        <w:t xml:space="preserve"> </w:t>
      </w:r>
      <w:r>
        <w:t>critical</w:t>
      </w:r>
      <w:r>
        <w:rPr>
          <w:spacing w:val="-3"/>
        </w:rPr>
        <w:t xml:space="preserve"> </w:t>
      </w:r>
      <w:r>
        <w:t>and</w:t>
      </w:r>
      <w:r>
        <w:rPr>
          <w:spacing w:val="-2"/>
        </w:rPr>
        <w:t xml:space="preserve"> </w:t>
      </w:r>
      <w:r>
        <w:t>connected</w:t>
      </w:r>
      <w:r>
        <w:rPr>
          <w:spacing w:val="-2"/>
        </w:rPr>
        <w:t xml:space="preserve"> </w:t>
      </w:r>
      <w:r>
        <w:t>areas</w:t>
      </w:r>
      <w:r>
        <w:rPr>
          <w:spacing w:val="-3"/>
        </w:rPr>
        <w:t xml:space="preserve"> </w:t>
      </w:r>
      <w:r>
        <w:t>of</w:t>
      </w:r>
      <w:r>
        <w:rPr>
          <w:spacing w:val="-4"/>
        </w:rPr>
        <w:t xml:space="preserve"> </w:t>
      </w:r>
      <w:r>
        <w:t>recruit</w:t>
      </w:r>
      <w:r>
        <w:rPr>
          <w:spacing w:val="-2"/>
        </w:rPr>
        <w:t xml:space="preserve"> </w:t>
      </w:r>
      <w:r>
        <w:t>training and community awareness raising to ensure consistent best practice messaging and approach across GoA programming. There are a variety of models that would work to achieve these outcomes, but success will be dependent on clear responsibilities and good communications between the actors involved.</w:t>
      </w:r>
    </w:p>
    <w:p w14:paraId="7FB9DB94" w14:textId="325FE6B0" w:rsidR="009C36E3" w:rsidRDefault="000E7207">
      <w:pPr>
        <w:pStyle w:val="BodyText"/>
        <w:spacing w:before="121"/>
        <w:ind w:right="147"/>
      </w:pPr>
      <w:r>
        <w:t>The</w:t>
      </w:r>
      <w:r>
        <w:rPr>
          <w:spacing w:val="-4"/>
        </w:rPr>
        <w:t xml:space="preserve"> </w:t>
      </w:r>
      <w:r>
        <w:rPr>
          <w:b/>
          <w:i/>
        </w:rPr>
        <w:t>infrastructure</w:t>
      </w:r>
      <w:r>
        <w:rPr>
          <w:b/>
          <w:i/>
          <w:spacing w:val="-4"/>
        </w:rPr>
        <w:t xml:space="preserve"> </w:t>
      </w:r>
      <w:r>
        <w:t>modality</w:t>
      </w:r>
      <w:r>
        <w:rPr>
          <w:spacing w:val="-3"/>
        </w:rPr>
        <w:t xml:space="preserve"> </w:t>
      </w:r>
      <w:r>
        <w:t>has</w:t>
      </w:r>
      <w:r>
        <w:rPr>
          <w:spacing w:val="-3"/>
        </w:rPr>
        <w:t xml:space="preserve"> </w:t>
      </w:r>
      <w:r>
        <w:t>become</w:t>
      </w:r>
      <w:r>
        <w:rPr>
          <w:spacing w:val="-2"/>
        </w:rPr>
        <w:t xml:space="preserve"> </w:t>
      </w:r>
      <w:r>
        <w:t>increasingly important</w:t>
      </w:r>
      <w:r>
        <w:rPr>
          <w:spacing w:val="-2"/>
        </w:rPr>
        <w:t xml:space="preserve"> </w:t>
      </w:r>
      <w:r>
        <w:t>since</w:t>
      </w:r>
      <w:r>
        <w:rPr>
          <w:spacing w:val="-4"/>
        </w:rPr>
        <w:t xml:space="preserve"> </w:t>
      </w:r>
      <w:r>
        <w:t>the</w:t>
      </w:r>
      <w:r>
        <w:rPr>
          <w:spacing w:val="-4"/>
        </w:rPr>
        <w:t xml:space="preserve"> </w:t>
      </w:r>
      <w:r>
        <w:t>start</w:t>
      </w:r>
      <w:r>
        <w:rPr>
          <w:spacing w:val="-2"/>
        </w:rPr>
        <w:t xml:space="preserve"> </w:t>
      </w:r>
      <w:r>
        <w:t>of</w:t>
      </w:r>
      <w:r>
        <w:rPr>
          <w:spacing w:val="-2"/>
        </w:rPr>
        <w:t xml:space="preserve"> </w:t>
      </w:r>
      <w:r>
        <w:t>the</w:t>
      </w:r>
      <w:r>
        <w:rPr>
          <w:spacing w:val="-4"/>
        </w:rPr>
        <w:t xml:space="preserve"> </w:t>
      </w:r>
      <w:r>
        <w:t>program,</w:t>
      </w:r>
      <w:r>
        <w:rPr>
          <w:spacing w:val="-2"/>
        </w:rPr>
        <w:t xml:space="preserve"> </w:t>
      </w:r>
      <w:r>
        <w:t>partly</w:t>
      </w:r>
      <w:r>
        <w:rPr>
          <w:spacing w:val="-3"/>
        </w:rPr>
        <w:t xml:space="preserve"> </w:t>
      </w:r>
      <w:r>
        <w:t>responding</w:t>
      </w:r>
      <w:r>
        <w:rPr>
          <w:spacing w:val="-4"/>
        </w:rPr>
        <w:t xml:space="preserve"> </w:t>
      </w:r>
      <w:r>
        <w:t xml:space="preserve">to identified need, and partly responding to geo-strategic competition. Expenditure has ballooned against the expected </w:t>
      </w:r>
      <w:r w:rsidR="00DB0DE2">
        <w:t xml:space="preserve">minimum </w:t>
      </w:r>
      <w:r>
        <w:t>contribution of AUD1.6 m across VAPJP to an expected AUD4.</w:t>
      </w:r>
      <w:r w:rsidR="00DB0DE2">
        <w:t>3</w:t>
      </w:r>
      <w:r>
        <w:t>m, according to program calculations shared on 20 October 2023. The program has completed or is planning for 48 different activities, ranging from minor rehabilitation to planning, design and construction of Police Stations in Epi and Port Vila (ongoing) and Epi courthouse, and have also drawn on resources from the Australian defence program. The VAPJP Senior Manager was recognised and widely appreciated as skilled and effective in managing infrastructure planning and projects.</w:t>
      </w:r>
    </w:p>
    <w:p w14:paraId="1829B062" w14:textId="77777777" w:rsidR="009C36E3" w:rsidRDefault="000E7207">
      <w:pPr>
        <w:pStyle w:val="BodyText"/>
        <w:spacing w:before="121"/>
        <w:ind w:right="211"/>
        <w:jc w:val="both"/>
      </w:pPr>
      <w:r>
        <w:t>With</w:t>
      </w:r>
      <w:r>
        <w:rPr>
          <w:spacing w:val="-1"/>
        </w:rPr>
        <w:t xml:space="preserve"> </w:t>
      </w:r>
      <w:r>
        <w:t>pressure</w:t>
      </w:r>
      <w:r>
        <w:rPr>
          <w:spacing w:val="-1"/>
        </w:rPr>
        <w:t xml:space="preserve"> </w:t>
      </w:r>
      <w:r>
        <w:t>from</w:t>
      </w:r>
      <w:r>
        <w:rPr>
          <w:spacing w:val="-1"/>
        </w:rPr>
        <w:t xml:space="preserve"> </w:t>
      </w:r>
      <w:r>
        <w:t>government to move</w:t>
      </w:r>
      <w:r>
        <w:rPr>
          <w:spacing w:val="-1"/>
        </w:rPr>
        <w:t xml:space="preserve"> </w:t>
      </w:r>
      <w:r>
        <w:t>quickly, VAPJP</w:t>
      </w:r>
      <w:r>
        <w:rPr>
          <w:spacing w:val="-2"/>
        </w:rPr>
        <w:t xml:space="preserve"> </w:t>
      </w:r>
      <w:r>
        <w:t>has been able</w:t>
      </w:r>
      <w:r>
        <w:rPr>
          <w:spacing w:val="-1"/>
        </w:rPr>
        <w:t xml:space="preserve"> </w:t>
      </w:r>
      <w:r>
        <w:t>to</w:t>
      </w:r>
      <w:r>
        <w:rPr>
          <w:spacing w:val="-1"/>
        </w:rPr>
        <w:t xml:space="preserve"> </w:t>
      </w:r>
      <w:r>
        <w:t>navigate</w:t>
      </w:r>
      <w:r>
        <w:rPr>
          <w:spacing w:val="-1"/>
        </w:rPr>
        <w:t xml:space="preserve"> </w:t>
      </w:r>
      <w:r>
        <w:t>Vanuatu</w:t>
      </w:r>
      <w:r>
        <w:rPr>
          <w:spacing w:val="-1"/>
        </w:rPr>
        <w:t xml:space="preserve"> </w:t>
      </w:r>
      <w:r>
        <w:t>systems to</w:t>
      </w:r>
      <w:r>
        <w:rPr>
          <w:spacing w:val="-1"/>
        </w:rPr>
        <w:t xml:space="preserve"> </w:t>
      </w:r>
      <w:r>
        <w:t>deliver an impressive</w:t>
      </w:r>
      <w:r>
        <w:rPr>
          <w:spacing w:val="-2"/>
        </w:rPr>
        <w:t xml:space="preserve"> </w:t>
      </w:r>
      <w:r>
        <w:t>number</w:t>
      </w:r>
      <w:r>
        <w:rPr>
          <w:spacing w:val="-3"/>
        </w:rPr>
        <w:t xml:space="preserve"> </w:t>
      </w:r>
      <w:r>
        <w:t>of</w:t>
      </w:r>
      <w:r>
        <w:rPr>
          <w:spacing w:val="-4"/>
        </w:rPr>
        <w:t xml:space="preserve"> </w:t>
      </w:r>
      <w:r>
        <w:t>projects</w:t>
      </w:r>
      <w:r>
        <w:rPr>
          <w:spacing w:val="-3"/>
        </w:rPr>
        <w:t xml:space="preserve"> </w:t>
      </w:r>
      <w:r>
        <w:t>that</w:t>
      </w:r>
      <w:r>
        <w:rPr>
          <w:spacing w:val="-4"/>
        </w:rPr>
        <w:t xml:space="preserve"> </w:t>
      </w:r>
      <w:r>
        <w:t>are</w:t>
      </w:r>
      <w:r>
        <w:rPr>
          <w:spacing w:val="-2"/>
        </w:rPr>
        <w:t xml:space="preserve"> </w:t>
      </w:r>
      <w:r>
        <w:t>tested</w:t>
      </w:r>
      <w:r>
        <w:rPr>
          <w:spacing w:val="-2"/>
        </w:rPr>
        <w:t xml:space="preserve"> </w:t>
      </w:r>
      <w:r>
        <w:t>against</w:t>
      </w:r>
      <w:r>
        <w:rPr>
          <w:spacing w:val="-4"/>
        </w:rPr>
        <w:t xml:space="preserve"> </w:t>
      </w:r>
      <w:r>
        <w:t>quality</w:t>
      </w:r>
      <w:r>
        <w:rPr>
          <w:spacing w:val="-3"/>
        </w:rPr>
        <w:t xml:space="preserve"> </w:t>
      </w:r>
      <w:r>
        <w:t>standards.</w:t>
      </w:r>
      <w:r>
        <w:rPr>
          <w:spacing w:val="-2"/>
        </w:rPr>
        <w:t xml:space="preserve"> </w:t>
      </w:r>
      <w:r>
        <w:t>VAPJP</w:t>
      </w:r>
      <w:r>
        <w:rPr>
          <w:spacing w:val="-2"/>
        </w:rPr>
        <w:t xml:space="preserve"> </w:t>
      </w:r>
      <w:r>
        <w:t>has</w:t>
      </w:r>
      <w:r>
        <w:rPr>
          <w:spacing w:val="-3"/>
        </w:rPr>
        <w:t xml:space="preserve"> </w:t>
      </w:r>
      <w:r>
        <w:t>utilised</w:t>
      </w:r>
      <w:r>
        <w:rPr>
          <w:spacing w:val="-4"/>
        </w:rPr>
        <w:t xml:space="preserve"> </w:t>
      </w:r>
      <w:r>
        <w:t>their</w:t>
      </w:r>
      <w:r>
        <w:rPr>
          <w:spacing w:val="-3"/>
        </w:rPr>
        <w:t xml:space="preserve"> </w:t>
      </w:r>
      <w:r>
        <w:t>corporate</w:t>
      </w:r>
      <w:r>
        <w:rPr>
          <w:spacing w:val="-2"/>
        </w:rPr>
        <w:t xml:space="preserve"> </w:t>
      </w:r>
      <w:r>
        <w:t>partner Palladium Infrastructure to provide the police station design for the Port Vila Central Police Station valued at AUD</w:t>
      </w:r>
    </w:p>
    <w:p w14:paraId="12605D92" w14:textId="77777777" w:rsidR="009C36E3" w:rsidRDefault="000E7207">
      <w:pPr>
        <w:pStyle w:val="BodyText"/>
        <w:ind w:right="120"/>
      </w:pPr>
      <w:r>
        <w:t>1.5m. The total build is estimated at this stage at AUD 32m and is the highest value infrastructure activity undertaken</w:t>
      </w:r>
      <w:r>
        <w:rPr>
          <w:spacing w:val="-1"/>
        </w:rPr>
        <w:t xml:space="preserve"> </w:t>
      </w:r>
      <w:r>
        <w:t>under</w:t>
      </w:r>
      <w:r>
        <w:rPr>
          <w:spacing w:val="-2"/>
        </w:rPr>
        <w:t xml:space="preserve"> </w:t>
      </w:r>
      <w:r>
        <w:t>VAPJP.</w:t>
      </w:r>
      <w:r>
        <w:rPr>
          <w:spacing w:val="-1"/>
        </w:rPr>
        <w:t xml:space="preserve"> </w:t>
      </w:r>
      <w:r>
        <w:t>VAPJP</w:t>
      </w:r>
      <w:r>
        <w:rPr>
          <w:spacing w:val="-4"/>
        </w:rPr>
        <w:t xml:space="preserve"> </w:t>
      </w:r>
      <w:r>
        <w:t>secured</w:t>
      </w:r>
      <w:r>
        <w:rPr>
          <w:spacing w:val="-3"/>
        </w:rPr>
        <w:t xml:space="preserve"> </w:t>
      </w:r>
      <w:r>
        <w:t>DFAT approval</w:t>
      </w:r>
      <w:r>
        <w:rPr>
          <w:spacing w:val="-4"/>
        </w:rPr>
        <w:t xml:space="preserve"> </w:t>
      </w:r>
      <w:r>
        <w:t>to</w:t>
      </w:r>
      <w:r>
        <w:rPr>
          <w:spacing w:val="-3"/>
        </w:rPr>
        <w:t xml:space="preserve"> </w:t>
      </w:r>
      <w:r>
        <w:t>sole</w:t>
      </w:r>
      <w:r>
        <w:rPr>
          <w:spacing w:val="-3"/>
        </w:rPr>
        <w:t xml:space="preserve"> </w:t>
      </w:r>
      <w:r>
        <w:t>source</w:t>
      </w:r>
      <w:r>
        <w:rPr>
          <w:spacing w:val="-3"/>
        </w:rPr>
        <w:t xml:space="preserve"> </w:t>
      </w:r>
      <w:r>
        <w:t>the</w:t>
      </w:r>
      <w:r>
        <w:rPr>
          <w:spacing w:val="-3"/>
        </w:rPr>
        <w:t xml:space="preserve"> </w:t>
      </w:r>
      <w:r>
        <w:t>preliminary</w:t>
      </w:r>
      <w:r>
        <w:rPr>
          <w:spacing w:val="-2"/>
        </w:rPr>
        <w:t xml:space="preserve"> </w:t>
      </w:r>
      <w:r>
        <w:t>design</w:t>
      </w:r>
      <w:r>
        <w:rPr>
          <w:spacing w:val="-3"/>
        </w:rPr>
        <w:t xml:space="preserve"> </w:t>
      </w:r>
      <w:r>
        <w:t>concept</w:t>
      </w:r>
      <w:r>
        <w:rPr>
          <w:spacing w:val="-3"/>
        </w:rPr>
        <w:t xml:space="preserve"> </w:t>
      </w:r>
      <w:r>
        <w:t>activity, with</w:t>
      </w:r>
      <w:r>
        <w:rPr>
          <w:spacing w:val="-1"/>
        </w:rPr>
        <w:t xml:space="preserve"> </w:t>
      </w:r>
      <w:r>
        <w:t>proper</w:t>
      </w:r>
      <w:r>
        <w:rPr>
          <w:spacing w:val="-2"/>
        </w:rPr>
        <w:t xml:space="preserve"> </w:t>
      </w:r>
      <w:r>
        <w:t>processes</w:t>
      </w:r>
      <w:r>
        <w:rPr>
          <w:spacing w:val="-2"/>
        </w:rPr>
        <w:t xml:space="preserve"> </w:t>
      </w:r>
      <w:r>
        <w:t>in</w:t>
      </w:r>
      <w:r>
        <w:rPr>
          <w:spacing w:val="-1"/>
        </w:rPr>
        <w:t xml:space="preserve"> </w:t>
      </w:r>
      <w:r>
        <w:t>place</w:t>
      </w:r>
      <w:r>
        <w:rPr>
          <w:spacing w:val="-3"/>
        </w:rPr>
        <w:t xml:space="preserve"> </w:t>
      </w:r>
      <w:r>
        <w:t>to</w:t>
      </w:r>
      <w:r>
        <w:rPr>
          <w:spacing w:val="-1"/>
        </w:rPr>
        <w:t xml:space="preserve"> </w:t>
      </w:r>
      <w:r>
        <w:t>ensure</w:t>
      </w:r>
      <w:r>
        <w:rPr>
          <w:spacing w:val="-3"/>
        </w:rPr>
        <w:t xml:space="preserve"> </w:t>
      </w:r>
      <w:r>
        <w:t>value</w:t>
      </w:r>
      <w:r>
        <w:rPr>
          <w:spacing w:val="-1"/>
        </w:rPr>
        <w:t xml:space="preserve"> </w:t>
      </w:r>
      <w:r>
        <w:t>for</w:t>
      </w:r>
      <w:r>
        <w:rPr>
          <w:spacing w:val="-2"/>
        </w:rPr>
        <w:t xml:space="preserve"> </w:t>
      </w:r>
      <w:r>
        <w:t>money</w:t>
      </w:r>
      <w:r>
        <w:rPr>
          <w:spacing w:val="-2"/>
        </w:rPr>
        <w:t xml:space="preserve"> </w:t>
      </w:r>
      <w:r>
        <w:t>through</w:t>
      </w:r>
      <w:r>
        <w:rPr>
          <w:spacing w:val="-3"/>
        </w:rPr>
        <w:t xml:space="preserve"> </w:t>
      </w:r>
      <w:r>
        <w:t>the</w:t>
      </w:r>
      <w:r>
        <w:rPr>
          <w:spacing w:val="-1"/>
        </w:rPr>
        <w:t xml:space="preserve"> </w:t>
      </w:r>
      <w:r>
        <w:t>delivery</w:t>
      </w:r>
      <w:r>
        <w:rPr>
          <w:spacing w:val="-2"/>
        </w:rPr>
        <w:t xml:space="preserve"> </w:t>
      </w:r>
      <w:r>
        <w:t>of</w:t>
      </w:r>
      <w:r>
        <w:rPr>
          <w:spacing w:val="-1"/>
        </w:rPr>
        <w:t xml:space="preserve"> </w:t>
      </w:r>
      <w:r>
        <w:t>the</w:t>
      </w:r>
      <w:r>
        <w:rPr>
          <w:spacing w:val="-3"/>
        </w:rPr>
        <w:t xml:space="preserve"> </w:t>
      </w:r>
      <w:r>
        <w:t>project.</w:t>
      </w:r>
      <w:r>
        <w:rPr>
          <w:spacing w:val="-3"/>
        </w:rPr>
        <w:t xml:space="preserve"> </w:t>
      </w:r>
      <w:r>
        <w:t>This is</w:t>
      </w:r>
      <w:r>
        <w:rPr>
          <w:spacing w:val="-2"/>
        </w:rPr>
        <w:t xml:space="preserve"> </w:t>
      </w:r>
      <w:r>
        <w:t>an</w:t>
      </w:r>
      <w:r>
        <w:rPr>
          <w:spacing w:val="-1"/>
        </w:rPr>
        <w:t xml:space="preserve"> </w:t>
      </w:r>
      <w:r>
        <w:t>efficiency which has to be balanced against a reputation and probity risk, given the relationship between Palladium as the managing contractor and Palladium infrastructure. It is likely that moving forward the project management of the Port Vila Police Station will be managed by the Infrastructure desk of the AHC.</w:t>
      </w:r>
    </w:p>
    <w:p w14:paraId="15F265D6" w14:textId="1620B3BE" w:rsidR="009C36E3" w:rsidRDefault="000E7207">
      <w:pPr>
        <w:pStyle w:val="BodyText"/>
        <w:tabs>
          <w:tab w:val="left" w:pos="6706"/>
        </w:tabs>
        <w:spacing w:before="120"/>
        <w:ind w:right="133"/>
      </w:pPr>
      <w:r>
        <w:t>There has reportedly been a recognition across the Australian aid program in Vanuatu that getting agreement from the GoV to provide ongoing maintenance of donated infrastructure has proved challenging, resulting in GoA assuming these costs for a period of time, and influencing the design of some infrastructure to require lower maintenance. There are</w:t>
      </w:r>
      <w:r>
        <w:rPr>
          <w:spacing w:val="-1"/>
        </w:rPr>
        <w:t xml:space="preserve"> </w:t>
      </w:r>
      <w:r>
        <w:t>also</w:t>
      </w:r>
      <w:r>
        <w:rPr>
          <w:spacing w:val="-1"/>
        </w:rPr>
        <w:t xml:space="preserve"> </w:t>
      </w:r>
      <w:r>
        <w:t>concerns about building</w:t>
      </w:r>
      <w:r>
        <w:rPr>
          <w:spacing w:val="-1"/>
        </w:rPr>
        <w:t xml:space="preserve"> </w:t>
      </w:r>
      <w:r>
        <w:t>infrastructure</w:t>
      </w:r>
      <w:r>
        <w:rPr>
          <w:spacing w:val="-1"/>
        </w:rPr>
        <w:t xml:space="preserve"> </w:t>
      </w:r>
      <w:r>
        <w:t>without</w:t>
      </w:r>
      <w:r>
        <w:rPr>
          <w:spacing w:val="-1"/>
        </w:rPr>
        <w:t xml:space="preserve"> </w:t>
      </w:r>
      <w:r>
        <w:t>sufficient</w:t>
      </w:r>
      <w:r>
        <w:rPr>
          <w:spacing w:val="-1"/>
        </w:rPr>
        <w:t xml:space="preserve"> </w:t>
      </w:r>
      <w:r>
        <w:t>personnel available</w:t>
      </w:r>
      <w:r>
        <w:rPr>
          <w:spacing w:val="-1"/>
        </w:rPr>
        <w:t xml:space="preserve"> </w:t>
      </w:r>
      <w:r>
        <w:t>to</w:t>
      </w:r>
      <w:r>
        <w:rPr>
          <w:spacing w:val="-1"/>
        </w:rPr>
        <w:t xml:space="preserve"> </w:t>
      </w:r>
      <w:r>
        <w:t>staff</w:t>
      </w:r>
      <w:r>
        <w:rPr>
          <w:spacing w:val="-1"/>
        </w:rPr>
        <w:t xml:space="preserve"> </w:t>
      </w:r>
      <w:r>
        <w:t>or manage them, which is particularly an issue for remote areas, where staff are reluctant to go. Donated mobility assets</w:t>
      </w:r>
      <w:r>
        <w:rPr>
          <w:spacing w:val="-3"/>
        </w:rPr>
        <w:t xml:space="preserve"> </w:t>
      </w:r>
      <w:r>
        <w:t>are</w:t>
      </w:r>
      <w:r>
        <w:rPr>
          <w:spacing w:val="-4"/>
        </w:rPr>
        <w:t xml:space="preserve"> </w:t>
      </w:r>
      <w:r>
        <w:t>provided</w:t>
      </w:r>
      <w:r>
        <w:rPr>
          <w:spacing w:val="-2"/>
        </w:rPr>
        <w:t xml:space="preserve"> </w:t>
      </w:r>
      <w:r>
        <w:t>to</w:t>
      </w:r>
      <w:r>
        <w:rPr>
          <w:spacing w:val="-4"/>
        </w:rPr>
        <w:t xml:space="preserve"> </w:t>
      </w:r>
      <w:r>
        <w:t>facilitate</w:t>
      </w:r>
      <w:r>
        <w:rPr>
          <w:spacing w:val="-2"/>
        </w:rPr>
        <w:t xml:space="preserve"> </w:t>
      </w:r>
      <w:r>
        <w:t>VPF</w:t>
      </w:r>
      <w:r>
        <w:rPr>
          <w:spacing w:val="-3"/>
        </w:rPr>
        <w:t xml:space="preserve"> </w:t>
      </w:r>
      <w:r>
        <w:t>response</w:t>
      </w:r>
      <w:r>
        <w:rPr>
          <w:spacing w:val="-2"/>
        </w:rPr>
        <w:t xml:space="preserve"> </w:t>
      </w:r>
      <w:r>
        <w:t>to</w:t>
      </w:r>
      <w:r>
        <w:rPr>
          <w:spacing w:val="-4"/>
        </w:rPr>
        <w:t xml:space="preserve"> </w:t>
      </w:r>
      <w:r>
        <w:t>community</w:t>
      </w:r>
      <w:r>
        <w:rPr>
          <w:spacing w:val="-3"/>
        </w:rPr>
        <w:t xml:space="preserve"> </w:t>
      </w:r>
      <w:r>
        <w:t>issues,</w:t>
      </w:r>
      <w:r>
        <w:rPr>
          <w:spacing w:val="-2"/>
        </w:rPr>
        <w:t xml:space="preserve"> </w:t>
      </w:r>
      <w:r>
        <w:t>including</w:t>
      </w:r>
      <w:r>
        <w:rPr>
          <w:spacing w:val="-2"/>
        </w:rPr>
        <w:t xml:space="preserve"> </w:t>
      </w:r>
      <w:r>
        <w:t>domestic</w:t>
      </w:r>
      <w:r>
        <w:rPr>
          <w:spacing w:val="-3"/>
        </w:rPr>
        <w:t xml:space="preserve"> </w:t>
      </w:r>
      <w:r>
        <w:t>violence</w:t>
      </w:r>
      <w:r>
        <w:rPr>
          <w:spacing w:val="-4"/>
        </w:rPr>
        <w:t xml:space="preserve"> </w:t>
      </w:r>
      <w:r>
        <w:t>reports.</w:t>
      </w:r>
      <w:r>
        <w:rPr>
          <w:spacing w:val="-4"/>
        </w:rPr>
        <w:t xml:space="preserve"> </w:t>
      </w:r>
      <w:r>
        <w:t>These</w:t>
      </w:r>
      <w:r>
        <w:rPr>
          <w:spacing w:val="-4"/>
        </w:rPr>
        <w:t xml:space="preserve"> </w:t>
      </w:r>
      <w:r>
        <w:t>are valuable assets, and it is acknowledged that there are issues with appropriate use and maintenance of these vehicles, with conflicting reports on the extent to which VPF are required to be accountable for the use and maintenance of mobility assets. While there is no current Fleet Management Policy, the AFP reports that this is being worked towards and there are recorded financial allocations against vehicle repairs. VAPJP and AFP have provided something of a safety net by providing all donated mobility assets with an initial package of maintenance support to cover 50,000km, together with an extended warranty.</w:t>
      </w:r>
      <w:r>
        <w:tab/>
        <w:t>VAPJP is working hard to promote compliance with disability accessibility standards in infrastructure, as most public buildings, including some new GoV renovations, do not meet accessibility guidance. On one GoV legal office building visited by the MTR, while there was</w:t>
      </w:r>
      <w:r>
        <w:rPr>
          <w:spacing w:val="-2"/>
        </w:rPr>
        <w:t xml:space="preserve"> </w:t>
      </w:r>
      <w:r>
        <w:t>an</w:t>
      </w:r>
      <w:r>
        <w:rPr>
          <w:spacing w:val="-1"/>
        </w:rPr>
        <w:t xml:space="preserve"> </w:t>
      </w:r>
      <w:r>
        <w:t>accessible</w:t>
      </w:r>
      <w:r>
        <w:rPr>
          <w:spacing w:val="-3"/>
        </w:rPr>
        <w:t xml:space="preserve"> </w:t>
      </w:r>
      <w:r>
        <w:t>ramp</w:t>
      </w:r>
      <w:r>
        <w:rPr>
          <w:spacing w:val="-1"/>
        </w:rPr>
        <w:t xml:space="preserve"> </w:t>
      </w:r>
      <w:r>
        <w:t>present</w:t>
      </w:r>
      <w:r>
        <w:rPr>
          <w:spacing w:val="-1"/>
        </w:rPr>
        <w:t xml:space="preserve"> </w:t>
      </w:r>
      <w:r>
        <w:t>it</w:t>
      </w:r>
      <w:r>
        <w:rPr>
          <w:spacing w:val="-3"/>
        </w:rPr>
        <w:t xml:space="preserve"> </w:t>
      </w:r>
      <w:r>
        <w:t>was unable</w:t>
      </w:r>
      <w:r>
        <w:rPr>
          <w:spacing w:val="-1"/>
        </w:rPr>
        <w:t xml:space="preserve"> </w:t>
      </w:r>
      <w:r>
        <w:t>to</w:t>
      </w:r>
      <w:r>
        <w:rPr>
          <w:spacing w:val="-1"/>
        </w:rPr>
        <w:t xml:space="preserve"> </w:t>
      </w:r>
      <w:r>
        <w:t>be</w:t>
      </w:r>
      <w:r>
        <w:rPr>
          <w:spacing w:val="-3"/>
        </w:rPr>
        <w:t xml:space="preserve"> </w:t>
      </w:r>
      <w:r>
        <w:t>used</w:t>
      </w:r>
      <w:r>
        <w:rPr>
          <w:spacing w:val="-3"/>
        </w:rPr>
        <w:t xml:space="preserve"> </w:t>
      </w:r>
      <w:r>
        <w:t>as</w:t>
      </w:r>
      <w:r>
        <w:rPr>
          <w:spacing w:val="-2"/>
        </w:rPr>
        <w:t xml:space="preserve"> </w:t>
      </w:r>
      <w:r>
        <w:t>it was</w:t>
      </w:r>
      <w:r>
        <w:rPr>
          <w:spacing w:val="-2"/>
        </w:rPr>
        <w:t xml:space="preserve"> </w:t>
      </w:r>
      <w:r>
        <w:t>cluttered</w:t>
      </w:r>
      <w:r>
        <w:rPr>
          <w:spacing w:val="-3"/>
        </w:rPr>
        <w:t xml:space="preserve"> </w:t>
      </w:r>
      <w:r>
        <w:t>with</w:t>
      </w:r>
      <w:r>
        <w:rPr>
          <w:spacing w:val="-1"/>
        </w:rPr>
        <w:t xml:space="preserve"> </w:t>
      </w:r>
      <w:r>
        <w:t>pot</w:t>
      </w:r>
      <w:r>
        <w:rPr>
          <w:spacing w:val="-3"/>
        </w:rPr>
        <w:t xml:space="preserve"> </w:t>
      </w:r>
      <w:r>
        <w:t>plants</w:t>
      </w:r>
      <w:r>
        <w:rPr>
          <w:spacing w:val="-2"/>
        </w:rPr>
        <w:t xml:space="preserve"> </w:t>
      </w:r>
      <w:r>
        <w:t>making</w:t>
      </w:r>
      <w:r>
        <w:rPr>
          <w:spacing w:val="-1"/>
        </w:rPr>
        <w:t xml:space="preserve"> </w:t>
      </w:r>
      <w:r>
        <w:t>it</w:t>
      </w:r>
      <w:r>
        <w:rPr>
          <w:spacing w:val="-1"/>
        </w:rPr>
        <w:t xml:space="preserve"> </w:t>
      </w:r>
      <w:r>
        <w:t>inaccessible.</w:t>
      </w:r>
    </w:p>
    <w:p w14:paraId="0F397446" w14:textId="77777777" w:rsidR="009C36E3" w:rsidRDefault="000E7207">
      <w:pPr>
        <w:pStyle w:val="BodyText"/>
        <w:spacing w:before="122"/>
        <w:ind w:right="120"/>
      </w:pPr>
      <w:r>
        <w:t xml:space="preserve">The </w:t>
      </w:r>
      <w:r>
        <w:rPr>
          <w:b/>
          <w:i/>
        </w:rPr>
        <w:t xml:space="preserve">Community Grants and Project Delivery </w:t>
      </w:r>
      <w:r>
        <w:t xml:space="preserve">modalities provide the mechanisms for DFAT to provide support to the only disability service provider (VSPD) in the country, to engage the community through CSOs and to progress the AP project, which sits between DWA and MJCS. The program was also able to utilise the mechanism with a large grant to support World Vision’s Police Be the Change program. </w:t>
      </w:r>
      <w:r>
        <w:rPr>
          <w:b/>
        </w:rPr>
        <w:t xml:space="preserve">The grants mechanism has not been realised as an open grants process and has not reached its full potential. </w:t>
      </w:r>
      <w:r>
        <w:t>Flexibility, responsiveness, and innovation</w:t>
      </w:r>
      <w:r>
        <w:rPr>
          <w:spacing w:val="-2"/>
        </w:rPr>
        <w:t xml:space="preserve"> </w:t>
      </w:r>
      <w:r>
        <w:t>are</w:t>
      </w:r>
      <w:r>
        <w:rPr>
          <w:spacing w:val="-2"/>
        </w:rPr>
        <w:t xml:space="preserve"> </w:t>
      </w:r>
      <w:r>
        <w:t>extremely important for</w:t>
      </w:r>
      <w:r>
        <w:rPr>
          <w:spacing w:val="-1"/>
        </w:rPr>
        <w:t xml:space="preserve"> </w:t>
      </w:r>
      <w:r>
        <w:t>the</w:t>
      </w:r>
      <w:r>
        <w:rPr>
          <w:spacing w:val="-2"/>
        </w:rPr>
        <w:t xml:space="preserve"> </w:t>
      </w:r>
      <w:r>
        <w:t>essential</w:t>
      </w:r>
      <w:r>
        <w:rPr>
          <w:spacing w:val="-3"/>
        </w:rPr>
        <w:t xml:space="preserve"> </w:t>
      </w:r>
      <w:r>
        <w:t>community</w:t>
      </w:r>
      <w:r>
        <w:rPr>
          <w:spacing w:val="-1"/>
        </w:rPr>
        <w:t xml:space="preserve"> </w:t>
      </w:r>
      <w:r>
        <w:t>component of</w:t>
      </w:r>
      <w:r>
        <w:rPr>
          <w:spacing w:val="-2"/>
        </w:rPr>
        <w:t xml:space="preserve"> </w:t>
      </w:r>
      <w:r>
        <w:t>the program, but these</w:t>
      </w:r>
      <w:r>
        <w:rPr>
          <w:spacing w:val="-2"/>
        </w:rPr>
        <w:t xml:space="preserve"> </w:t>
      </w:r>
      <w:r>
        <w:t>include highly sensitive</w:t>
      </w:r>
      <w:r>
        <w:rPr>
          <w:spacing w:val="-2"/>
        </w:rPr>
        <w:t xml:space="preserve"> </w:t>
      </w:r>
      <w:r>
        <w:t>and</w:t>
      </w:r>
      <w:r>
        <w:rPr>
          <w:spacing w:val="-2"/>
        </w:rPr>
        <w:t xml:space="preserve"> </w:t>
      </w:r>
      <w:r>
        <w:t>potentially</w:t>
      </w:r>
      <w:r>
        <w:rPr>
          <w:spacing w:val="-3"/>
        </w:rPr>
        <w:t xml:space="preserve"> </w:t>
      </w:r>
      <w:r>
        <w:t>risky</w:t>
      </w:r>
      <w:r>
        <w:rPr>
          <w:spacing w:val="-3"/>
        </w:rPr>
        <w:t xml:space="preserve"> </w:t>
      </w:r>
      <w:r>
        <w:t>issues</w:t>
      </w:r>
      <w:r>
        <w:rPr>
          <w:spacing w:val="-3"/>
        </w:rPr>
        <w:t xml:space="preserve"> </w:t>
      </w:r>
      <w:r>
        <w:t>that</w:t>
      </w:r>
      <w:r>
        <w:rPr>
          <w:spacing w:val="-4"/>
        </w:rPr>
        <w:t xml:space="preserve"> </w:t>
      </w:r>
      <w:r>
        <w:t>affect</w:t>
      </w:r>
      <w:r>
        <w:rPr>
          <w:spacing w:val="-4"/>
        </w:rPr>
        <w:t xml:space="preserve"> </w:t>
      </w:r>
      <w:r>
        <w:t>the</w:t>
      </w:r>
      <w:r>
        <w:rPr>
          <w:spacing w:val="-4"/>
        </w:rPr>
        <w:t xml:space="preserve"> </w:t>
      </w:r>
      <w:r>
        <w:t>most</w:t>
      </w:r>
      <w:r>
        <w:rPr>
          <w:spacing w:val="-4"/>
        </w:rPr>
        <w:t xml:space="preserve"> </w:t>
      </w:r>
      <w:r>
        <w:t>vulnerable.</w:t>
      </w:r>
      <w:r>
        <w:rPr>
          <w:spacing w:val="-4"/>
        </w:rPr>
        <w:t xml:space="preserve"> </w:t>
      </w:r>
      <w:r>
        <w:t>Moving</w:t>
      </w:r>
      <w:r>
        <w:rPr>
          <w:spacing w:val="-2"/>
        </w:rPr>
        <w:t xml:space="preserve"> </w:t>
      </w:r>
      <w:r>
        <w:t>forward</w:t>
      </w:r>
      <w:r>
        <w:rPr>
          <w:spacing w:val="-4"/>
        </w:rPr>
        <w:t xml:space="preserve"> </w:t>
      </w:r>
      <w:r>
        <w:t>a</w:t>
      </w:r>
      <w:r>
        <w:rPr>
          <w:spacing w:val="-4"/>
        </w:rPr>
        <w:t xml:space="preserve"> </w:t>
      </w:r>
      <w:r>
        <w:t>robust</w:t>
      </w:r>
      <w:r>
        <w:rPr>
          <w:spacing w:val="-4"/>
        </w:rPr>
        <w:t xml:space="preserve"> </w:t>
      </w:r>
      <w:r>
        <w:t>grants program</w:t>
      </w:r>
      <w:r>
        <w:rPr>
          <w:spacing w:val="-2"/>
        </w:rPr>
        <w:t xml:space="preserve"> </w:t>
      </w:r>
      <w:r>
        <w:t>would need to include an accompaniment approach, and standards and processes should be in place to ensure appropriate technical review of grant proposals and activities, to manage risks and relationships with community and chiefs, and to ensure that a Do No Harm approach is employed.</w:t>
      </w:r>
    </w:p>
    <w:p w14:paraId="2A2E5761" w14:textId="77777777" w:rsidR="009C36E3" w:rsidRDefault="000E7207">
      <w:pPr>
        <w:pStyle w:val="BodyText"/>
        <w:spacing w:before="120"/>
        <w:ind w:right="120"/>
      </w:pPr>
      <w:r>
        <w:rPr>
          <w:b/>
          <w:i/>
        </w:rPr>
        <w:t>Operational</w:t>
      </w:r>
      <w:r>
        <w:rPr>
          <w:b/>
          <w:i/>
          <w:spacing w:val="-2"/>
        </w:rPr>
        <w:t xml:space="preserve"> </w:t>
      </w:r>
      <w:r>
        <w:rPr>
          <w:b/>
          <w:i/>
        </w:rPr>
        <w:t>support</w:t>
      </w:r>
      <w:r>
        <w:rPr>
          <w:b/>
          <w:i/>
          <w:spacing w:val="-3"/>
        </w:rPr>
        <w:t xml:space="preserve"> </w:t>
      </w:r>
      <w:r>
        <w:rPr>
          <w:b/>
          <w:i/>
        </w:rPr>
        <w:t>to</w:t>
      </w:r>
      <w:r>
        <w:rPr>
          <w:b/>
          <w:i/>
          <w:spacing w:val="-3"/>
        </w:rPr>
        <w:t xml:space="preserve"> </w:t>
      </w:r>
      <w:r>
        <w:rPr>
          <w:b/>
          <w:i/>
        </w:rPr>
        <w:t>GoV</w:t>
      </w:r>
      <w:r>
        <w:rPr>
          <w:b/>
          <w:i/>
          <w:spacing w:val="-4"/>
        </w:rPr>
        <w:t xml:space="preserve"> </w:t>
      </w:r>
      <w:r>
        <w:t>is</w:t>
      </w:r>
      <w:r>
        <w:rPr>
          <w:spacing w:val="-3"/>
        </w:rPr>
        <w:t xml:space="preserve"> </w:t>
      </w:r>
      <w:r>
        <w:t>a</w:t>
      </w:r>
      <w:r>
        <w:rPr>
          <w:spacing w:val="-4"/>
        </w:rPr>
        <w:t xml:space="preserve"> </w:t>
      </w:r>
      <w:r>
        <w:t>realistic</w:t>
      </w:r>
      <w:r>
        <w:rPr>
          <w:spacing w:val="-3"/>
        </w:rPr>
        <w:t xml:space="preserve"> </w:t>
      </w:r>
      <w:r>
        <w:t>response</w:t>
      </w:r>
      <w:r>
        <w:rPr>
          <w:spacing w:val="-4"/>
        </w:rPr>
        <w:t xml:space="preserve"> </w:t>
      </w:r>
      <w:r>
        <w:t>to</w:t>
      </w:r>
      <w:r>
        <w:rPr>
          <w:spacing w:val="-4"/>
        </w:rPr>
        <w:t xml:space="preserve"> </w:t>
      </w:r>
      <w:r>
        <w:t>the</w:t>
      </w:r>
      <w:r>
        <w:rPr>
          <w:spacing w:val="-2"/>
        </w:rPr>
        <w:t xml:space="preserve"> </w:t>
      </w:r>
      <w:r>
        <w:t>long-standing</w:t>
      </w:r>
      <w:r>
        <w:rPr>
          <w:spacing w:val="-4"/>
        </w:rPr>
        <w:t xml:space="preserve"> </w:t>
      </w:r>
      <w:r>
        <w:t>resourcing</w:t>
      </w:r>
      <w:r>
        <w:rPr>
          <w:spacing w:val="-4"/>
        </w:rPr>
        <w:t xml:space="preserve"> </w:t>
      </w:r>
      <w:r>
        <w:t>challenges</w:t>
      </w:r>
      <w:r>
        <w:rPr>
          <w:spacing w:val="-3"/>
        </w:rPr>
        <w:t xml:space="preserve"> </w:t>
      </w:r>
      <w:r>
        <w:t>facing</w:t>
      </w:r>
      <w:r>
        <w:rPr>
          <w:spacing w:val="-2"/>
        </w:rPr>
        <w:t xml:space="preserve"> </w:t>
      </w:r>
      <w:r>
        <w:t>policing</w:t>
      </w:r>
      <w:r>
        <w:rPr>
          <w:spacing w:val="-4"/>
        </w:rPr>
        <w:t xml:space="preserve"> </w:t>
      </w:r>
      <w:r>
        <w:t>and justice in Vanuatu. It also allows for the flexibility and responsiveness that is considered so important to AFP, to facilitate the required support and maintain the strong partnership with the VPF. With a high level of support to be continued into the future, stronger governance and planning processes should remain a priority for VAPJP, for better management and accountability, and for achieving what sustainability is possible in the circumstances.</w:t>
      </w:r>
    </w:p>
    <w:p w14:paraId="4EDAF5AF" w14:textId="77777777" w:rsidR="009C36E3" w:rsidRDefault="000E7207">
      <w:pPr>
        <w:pStyle w:val="BodyText"/>
      </w:pPr>
      <w:r>
        <w:t>However,</w:t>
      </w:r>
      <w:r>
        <w:rPr>
          <w:spacing w:val="-1"/>
        </w:rPr>
        <w:t xml:space="preserve"> </w:t>
      </w:r>
      <w:r>
        <w:t>it</w:t>
      </w:r>
      <w:r>
        <w:rPr>
          <w:spacing w:val="-3"/>
        </w:rPr>
        <w:t xml:space="preserve"> </w:t>
      </w:r>
      <w:r>
        <w:t>remains</w:t>
      </w:r>
      <w:r>
        <w:rPr>
          <w:spacing w:val="-2"/>
        </w:rPr>
        <w:t xml:space="preserve"> </w:t>
      </w:r>
      <w:r>
        <w:t>difficult</w:t>
      </w:r>
      <w:r>
        <w:rPr>
          <w:spacing w:val="-1"/>
        </w:rPr>
        <w:t xml:space="preserve"> </w:t>
      </w:r>
      <w:r>
        <w:t>for</w:t>
      </w:r>
      <w:r>
        <w:rPr>
          <w:spacing w:val="-2"/>
        </w:rPr>
        <w:t xml:space="preserve"> </w:t>
      </w:r>
      <w:r>
        <w:t>the</w:t>
      </w:r>
      <w:r>
        <w:rPr>
          <w:spacing w:val="-1"/>
        </w:rPr>
        <w:t xml:space="preserve"> </w:t>
      </w:r>
      <w:r>
        <w:t>program</w:t>
      </w:r>
      <w:r>
        <w:rPr>
          <w:spacing w:val="-3"/>
        </w:rPr>
        <w:t xml:space="preserve"> </w:t>
      </w:r>
      <w:r>
        <w:t>to</w:t>
      </w:r>
      <w:r>
        <w:rPr>
          <w:spacing w:val="-3"/>
        </w:rPr>
        <w:t xml:space="preserve"> </w:t>
      </w:r>
      <w:r>
        <w:t>drive</w:t>
      </w:r>
      <w:r>
        <w:rPr>
          <w:spacing w:val="-1"/>
        </w:rPr>
        <w:t xml:space="preserve"> </w:t>
      </w:r>
      <w:r>
        <w:t>long</w:t>
      </w:r>
      <w:r>
        <w:rPr>
          <w:spacing w:val="-3"/>
        </w:rPr>
        <w:t xml:space="preserve"> </w:t>
      </w:r>
      <w:r>
        <w:t>term</w:t>
      </w:r>
      <w:r>
        <w:rPr>
          <w:spacing w:val="-3"/>
        </w:rPr>
        <w:t xml:space="preserve"> </w:t>
      </w:r>
      <w:r>
        <w:t>planning</w:t>
      </w:r>
      <w:r>
        <w:rPr>
          <w:spacing w:val="-3"/>
        </w:rPr>
        <w:t xml:space="preserve"> </w:t>
      </w:r>
      <w:r>
        <w:t>or progress</w:t>
      </w:r>
      <w:r>
        <w:rPr>
          <w:spacing w:val="-2"/>
        </w:rPr>
        <w:t xml:space="preserve"> </w:t>
      </w:r>
      <w:r>
        <w:t>in</w:t>
      </w:r>
      <w:r>
        <w:rPr>
          <w:spacing w:val="-3"/>
        </w:rPr>
        <w:t xml:space="preserve"> </w:t>
      </w:r>
      <w:r>
        <w:t>this</w:t>
      </w:r>
      <w:r>
        <w:rPr>
          <w:spacing w:val="-2"/>
        </w:rPr>
        <w:t xml:space="preserve"> </w:t>
      </w:r>
      <w:r>
        <w:t>area</w:t>
      </w:r>
      <w:r>
        <w:rPr>
          <w:spacing w:val="-1"/>
        </w:rPr>
        <w:t xml:space="preserve"> </w:t>
      </w:r>
      <w:r>
        <w:t>in</w:t>
      </w:r>
      <w:r>
        <w:rPr>
          <w:spacing w:val="-3"/>
        </w:rPr>
        <w:t xml:space="preserve"> </w:t>
      </w:r>
      <w:r>
        <w:t>the</w:t>
      </w:r>
      <w:r>
        <w:rPr>
          <w:spacing w:val="-3"/>
        </w:rPr>
        <w:t xml:space="preserve"> </w:t>
      </w:r>
      <w:r>
        <w:t>face</w:t>
      </w:r>
      <w:r>
        <w:rPr>
          <w:spacing w:val="-3"/>
        </w:rPr>
        <w:t xml:space="preserve"> </w:t>
      </w:r>
      <w:r>
        <w:t>of</w:t>
      </w:r>
      <w:r>
        <w:rPr>
          <w:spacing w:val="-1"/>
        </w:rPr>
        <w:t xml:space="preserve"> </w:t>
      </w:r>
      <w:r>
        <w:t xml:space="preserve">GoV </w:t>
      </w:r>
      <w:r>
        <w:rPr>
          <w:spacing w:val="-2"/>
        </w:rPr>
        <w:t>instability.</w:t>
      </w:r>
    </w:p>
    <w:p w14:paraId="4110256C" w14:textId="77777777" w:rsidR="009C36E3" w:rsidRDefault="000E7207">
      <w:pPr>
        <w:pStyle w:val="Heading7"/>
        <w:jc w:val="both"/>
      </w:pPr>
      <w:r>
        <w:t>Resource</w:t>
      </w:r>
      <w:r>
        <w:rPr>
          <w:spacing w:val="-12"/>
        </w:rPr>
        <w:t xml:space="preserve"> </w:t>
      </w:r>
      <w:r>
        <w:t>allocation</w:t>
      </w:r>
      <w:r>
        <w:rPr>
          <w:spacing w:val="-9"/>
        </w:rPr>
        <w:t xml:space="preserve"> </w:t>
      </w:r>
      <w:r>
        <w:t>and</w:t>
      </w:r>
      <w:r>
        <w:rPr>
          <w:spacing w:val="-7"/>
        </w:rPr>
        <w:t xml:space="preserve"> </w:t>
      </w:r>
      <w:r>
        <w:rPr>
          <w:spacing w:val="-2"/>
        </w:rPr>
        <w:t>expenditure</w:t>
      </w:r>
    </w:p>
    <w:p w14:paraId="23787AD3" w14:textId="77777777" w:rsidR="009C36E3" w:rsidRDefault="000E7207">
      <w:pPr>
        <w:pStyle w:val="BodyText"/>
        <w:spacing w:before="118"/>
      </w:pPr>
      <w:r>
        <w:t>Program design anticipated allocations of 50% funding to policing, and 50% to Justice, Community and Sector Coordination. The January to June 2023 SMPR shows that 65% of activity funding has fallen to the policing side (AUD10m)</w:t>
      </w:r>
      <w:r>
        <w:rPr>
          <w:spacing w:val="-3"/>
        </w:rPr>
        <w:t xml:space="preserve"> </w:t>
      </w:r>
      <w:r>
        <w:t>and</w:t>
      </w:r>
      <w:r>
        <w:rPr>
          <w:spacing w:val="-4"/>
        </w:rPr>
        <w:t xml:space="preserve"> </w:t>
      </w:r>
      <w:r>
        <w:t>35%</w:t>
      </w:r>
      <w:r>
        <w:rPr>
          <w:spacing w:val="-3"/>
        </w:rPr>
        <w:t xml:space="preserve"> </w:t>
      </w:r>
      <w:r>
        <w:t>to</w:t>
      </w:r>
      <w:r>
        <w:rPr>
          <w:spacing w:val="-2"/>
        </w:rPr>
        <w:t xml:space="preserve"> </w:t>
      </w:r>
      <w:r>
        <w:t>Justice,</w:t>
      </w:r>
      <w:r>
        <w:rPr>
          <w:spacing w:val="-4"/>
        </w:rPr>
        <w:t xml:space="preserve"> </w:t>
      </w:r>
      <w:r>
        <w:t>Community</w:t>
      </w:r>
      <w:r>
        <w:rPr>
          <w:spacing w:val="-3"/>
        </w:rPr>
        <w:t xml:space="preserve"> </w:t>
      </w:r>
      <w:r>
        <w:t>and</w:t>
      </w:r>
      <w:r>
        <w:rPr>
          <w:spacing w:val="-2"/>
        </w:rPr>
        <w:t xml:space="preserve"> </w:t>
      </w:r>
      <w:r>
        <w:t>Sector</w:t>
      </w:r>
      <w:r>
        <w:rPr>
          <w:spacing w:val="-3"/>
        </w:rPr>
        <w:t xml:space="preserve"> </w:t>
      </w:r>
      <w:r>
        <w:t>Coordination</w:t>
      </w:r>
      <w:r>
        <w:rPr>
          <w:spacing w:val="-4"/>
        </w:rPr>
        <w:t xml:space="preserve"> </w:t>
      </w:r>
      <w:r>
        <w:t>(AUD5.5m).</w:t>
      </w:r>
      <w:r>
        <w:rPr>
          <w:spacing w:val="-2"/>
        </w:rPr>
        <w:t xml:space="preserve"> </w:t>
      </w:r>
      <w:r>
        <w:t>This</w:t>
      </w:r>
      <w:r>
        <w:rPr>
          <w:spacing w:val="-3"/>
        </w:rPr>
        <w:t xml:space="preserve"> </w:t>
      </w:r>
      <w:r>
        <w:t>does</w:t>
      </w:r>
      <w:r>
        <w:rPr>
          <w:spacing w:val="-3"/>
        </w:rPr>
        <w:t xml:space="preserve"> </w:t>
      </w:r>
      <w:r>
        <w:t>not</w:t>
      </w:r>
      <w:r>
        <w:rPr>
          <w:spacing w:val="-2"/>
        </w:rPr>
        <w:t xml:space="preserve"> </w:t>
      </w:r>
      <w:r>
        <w:t>include</w:t>
      </w:r>
      <w:r>
        <w:rPr>
          <w:spacing w:val="-4"/>
        </w:rPr>
        <w:t xml:space="preserve"> </w:t>
      </w:r>
      <w:r>
        <w:t>additional</w:t>
      </w:r>
    </w:p>
    <w:p w14:paraId="600CBB47" w14:textId="77777777" w:rsidR="009C36E3" w:rsidRDefault="009C36E3">
      <w:pPr>
        <w:sectPr w:rsidR="009C36E3">
          <w:pgSz w:w="11910" w:h="16850"/>
          <w:pgMar w:top="1040" w:right="740" w:bottom="740" w:left="80" w:header="552" w:footer="559" w:gutter="0"/>
          <w:cols w:space="720"/>
        </w:sectPr>
      </w:pPr>
    </w:p>
    <w:p w14:paraId="63798FB2" w14:textId="77777777" w:rsidR="009C36E3" w:rsidRDefault="000E7207">
      <w:pPr>
        <w:pStyle w:val="BodyText"/>
        <w:spacing w:before="91"/>
        <w:ind w:right="192"/>
      </w:pPr>
      <w:r>
        <w:t>resources</w:t>
      </w:r>
      <w:r>
        <w:rPr>
          <w:spacing w:val="-3"/>
        </w:rPr>
        <w:t xml:space="preserve"> </w:t>
      </w:r>
      <w:r>
        <w:t>allocated</w:t>
      </w:r>
      <w:r>
        <w:rPr>
          <w:spacing w:val="-4"/>
        </w:rPr>
        <w:t xml:space="preserve"> </w:t>
      </w:r>
      <w:r>
        <w:t>for</w:t>
      </w:r>
      <w:r>
        <w:rPr>
          <w:spacing w:val="-3"/>
        </w:rPr>
        <w:t xml:space="preserve"> </w:t>
      </w:r>
      <w:r>
        <w:t>TC</w:t>
      </w:r>
      <w:r>
        <w:rPr>
          <w:spacing w:val="-1"/>
        </w:rPr>
        <w:t xml:space="preserve"> </w:t>
      </w:r>
      <w:r>
        <w:t>Harold</w:t>
      </w:r>
      <w:r>
        <w:rPr>
          <w:spacing w:val="-4"/>
        </w:rPr>
        <w:t xml:space="preserve"> </w:t>
      </w:r>
      <w:r>
        <w:t>Labour</w:t>
      </w:r>
      <w:r>
        <w:rPr>
          <w:spacing w:val="-1"/>
        </w:rPr>
        <w:t xml:space="preserve"> </w:t>
      </w:r>
      <w:r>
        <w:t>and</w:t>
      </w:r>
      <w:r>
        <w:rPr>
          <w:spacing w:val="-2"/>
        </w:rPr>
        <w:t xml:space="preserve"> </w:t>
      </w:r>
      <w:r>
        <w:t>Cross</w:t>
      </w:r>
      <w:r>
        <w:rPr>
          <w:spacing w:val="-3"/>
        </w:rPr>
        <w:t xml:space="preserve"> </w:t>
      </w:r>
      <w:r>
        <w:t>sector</w:t>
      </w:r>
      <w:r>
        <w:rPr>
          <w:spacing w:val="-3"/>
        </w:rPr>
        <w:t xml:space="preserve"> </w:t>
      </w:r>
      <w:r>
        <w:t>strengthening</w:t>
      </w:r>
      <w:r>
        <w:rPr>
          <w:spacing w:val="-2"/>
        </w:rPr>
        <w:t xml:space="preserve"> </w:t>
      </w:r>
      <w:r>
        <w:t>(see</w:t>
      </w:r>
      <w:r>
        <w:rPr>
          <w:spacing w:val="-4"/>
        </w:rPr>
        <w:t xml:space="preserve"> </w:t>
      </w:r>
      <w:r>
        <w:t>table 3,</w:t>
      </w:r>
      <w:r>
        <w:rPr>
          <w:spacing w:val="-4"/>
        </w:rPr>
        <w:t xml:space="preserve"> </w:t>
      </w:r>
      <w:r>
        <w:t>below).</w:t>
      </w:r>
      <w:r>
        <w:rPr>
          <w:spacing w:val="-4"/>
        </w:rPr>
        <w:t xml:space="preserve"> </w:t>
      </w:r>
      <w:r>
        <w:t>VAPJP</w:t>
      </w:r>
      <w:r>
        <w:rPr>
          <w:spacing w:val="-5"/>
        </w:rPr>
        <w:t xml:space="preserve"> </w:t>
      </w:r>
      <w:r>
        <w:t>notes that this is skewed by infrastructure and a grant for PIMS in VPF but agrees this reinforces a widespread perception that security is the VAPJP core priority, particularly within the Justice sector. It is however significantly easier to spend through the policing sector, which has high demand for infrastructure and mobility assets, and has seen more stable leadership than the justice sector overall.</w:t>
      </w:r>
    </w:p>
    <w:p w14:paraId="498A9800" w14:textId="77777777" w:rsidR="009C36E3" w:rsidRDefault="000E7207">
      <w:pPr>
        <w:pStyle w:val="BodyText"/>
        <w:spacing w:before="120"/>
      </w:pPr>
      <w:r>
        <w:t>Processes</w:t>
      </w:r>
      <w:r>
        <w:rPr>
          <w:spacing w:val="-3"/>
        </w:rPr>
        <w:t xml:space="preserve"> </w:t>
      </w:r>
      <w:r>
        <w:t>for</w:t>
      </w:r>
      <w:r>
        <w:rPr>
          <w:spacing w:val="-3"/>
        </w:rPr>
        <w:t xml:space="preserve"> </w:t>
      </w:r>
      <w:r>
        <w:t>allocating</w:t>
      </w:r>
      <w:r>
        <w:rPr>
          <w:spacing w:val="-4"/>
        </w:rPr>
        <w:t xml:space="preserve"> </w:t>
      </w:r>
      <w:r>
        <w:t>expenditure</w:t>
      </w:r>
      <w:r>
        <w:rPr>
          <w:spacing w:val="-4"/>
        </w:rPr>
        <w:t xml:space="preserve"> </w:t>
      </w:r>
      <w:r>
        <w:t>are</w:t>
      </w:r>
      <w:r>
        <w:rPr>
          <w:spacing w:val="-2"/>
        </w:rPr>
        <w:t xml:space="preserve"> </w:t>
      </w:r>
      <w:r>
        <w:t>managed</w:t>
      </w:r>
      <w:r>
        <w:rPr>
          <w:spacing w:val="-4"/>
        </w:rPr>
        <w:t xml:space="preserve"> </w:t>
      </w:r>
      <w:r>
        <w:t>through</w:t>
      </w:r>
      <w:r>
        <w:rPr>
          <w:spacing w:val="-2"/>
        </w:rPr>
        <w:t xml:space="preserve"> </w:t>
      </w:r>
      <w:r>
        <w:t>the</w:t>
      </w:r>
      <w:r>
        <w:rPr>
          <w:spacing w:val="-2"/>
        </w:rPr>
        <w:t xml:space="preserve"> </w:t>
      </w:r>
      <w:r>
        <w:t>governance</w:t>
      </w:r>
      <w:r>
        <w:rPr>
          <w:spacing w:val="-2"/>
        </w:rPr>
        <w:t xml:space="preserve"> </w:t>
      </w:r>
      <w:r>
        <w:t>processes</w:t>
      </w:r>
      <w:r>
        <w:rPr>
          <w:spacing w:val="-3"/>
        </w:rPr>
        <w:t xml:space="preserve"> </w:t>
      </w:r>
      <w:r>
        <w:t>outlined</w:t>
      </w:r>
      <w:r>
        <w:rPr>
          <w:spacing w:val="-2"/>
        </w:rPr>
        <w:t xml:space="preserve"> </w:t>
      </w:r>
      <w:r>
        <w:t>above,</w:t>
      </w:r>
      <w:r>
        <w:rPr>
          <w:spacing w:val="-4"/>
        </w:rPr>
        <w:t xml:space="preserve"> </w:t>
      </w:r>
      <w:r>
        <w:t>noting</w:t>
      </w:r>
      <w:r>
        <w:rPr>
          <w:spacing w:val="-2"/>
        </w:rPr>
        <w:t xml:space="preserve"> </w:t>
      </w:r>
      <w:r>
        <w:t xml:space="preserve">the challenges due to leadership transitions, and potential to strengthen transparency around how resources are </w:t>
      </w:r>
      <w:r>
        <w:rPr>
          <w:spacing w:val="-2"/>
        </w:rPr>
        <w:t>allocated.</w:t>
      </w:r>
    </w:p>
    <w:p w14:paraId="64F606E6" w14:textId="71FBEB74" w:rsidR="009C36E3" w:rsidRDefault="000E7207">
      <w:pPr>
        <w:pStyle w:val="BodyText"/>
        <w:spacing w:before="121"/>
        <w:ind w:right="167"/>
      </w:pPr>
      <w:r>
        <w:t>Analysis of spending patterns across VAPJP shows that the program has been efficient at continuing implementation despite significant challenges. At the end of 2022, annual reporting showed that expenditure was on</w:t>
      </w:r>
      <w:r>
        <w:rPr>
          <w:spacing w:val="-3"/>
        </w:rPr>
        <w:t xml:space="preserve"> </w:t>
      </w:r>
      <w:r>
        <w:t>track</w:t>
      </w:r>
      <w:r>
        <w:rPr>
          <w:spacing w:val="-2"/>
        </w:rPr>
        <w:t xml:space="preserve"> </w:t>
      </w:r>
      <w:r>
        <w:t>(73% budget</w:t>
      </w:r>
      <w:r>
        <w:rPr>
          <w:spacing w:val="-1"/>
        </w:rPr>
        <w:t xml:space="preserve"> </w:t>
      </w:r>
      <w:r>
        <w:t>expensed</w:t>
      </w:r>
      <w:r>
        <w:rPr>
          <w:spacing w:val="-3"/>
        </w:rPr>
        <w:t xml:space="preserve"> </w:t>
      </w:r>
      <w:r>
        <w:t>vs</w:t>
      </w:r>
      <w:r>
        <w:rPr>
          <w:spacing w:val="-2"/>
        </w:rPr>
        <w:t xml:space="preserve"> </w:t>
      </w:r>
      <w:r>
        <w:t>75%</w:t>
      </w:r>
      <w:r>
        <w:rPr>
          <w:spacing w:val="-2"/>
        </w:rPr>
        <w:t xml:space="preserve"> </w:t>
      </w:r>
      <w:r>
        <w:t>time</w:t>
      </w:r>
      <w:r>
        <w:rPr>
          <w:spacing w:val="-3"/>
        </w:rPr>
        <w:t xml:space="preserve"> </w:t>
      </w:r>
      <w:r>
        <w:t>elapsed),</w:t>
      </w:r>
      <w:r>
        <w:rPr>
          <w:spacing w:val="-3"/>
        </w:rPr>
        <w:t xml:space="preserve"> </w:t>
      </w:r>
      <w:r>
        <w:t>indicating</w:t>
      </w:r>
      <w:r>
        <w:rPr>
          <w:spacing w:val="-1"/>
        </w:rPr>
        <w:t xml:space="preserve"> </w:t>
      </w:r>
      <w:r>
        <w:t>that</w:t>
      </w:r>
      <w:r>
        <w:rPr>
          <w:spacing w:val="-3"/>
        </w:rPr>
        <w:t xml:space="preserve"> </w:t>
      </w:r>
      <w:r>
        <w:t>the</w:t>
      </w:r>
      <w:r>
        <w:rPr>
          <w:spacing w:val="-3"/>
        </w:rPr>
        <w:t xml:space="preserve"> </w:t>
      </w:r>
      <w:r>
        <w:t>program</w:t>
      </w:r>
      <w:r>
        <w:rPr>
          <w:spacing w:val="-3"/>
        </w:rPr>
        <w:t xml:space="preserve"> </w:t>
      </w:r>
      <w:r>
        <w:t>was</w:t>
      </w:r>
      <w:r>
        <w:rPr>
          <w:spacing w:val="-2"/>
        </w:rPr>
        <w:t xml:space="preserve"> </w:t>
      </w:r>
      <w:r>
        <w:t>able</w:t>
      </w:r>
      <w:r>
        <w:rPr>
          <w:spacing w:val="-3"/>
        </w:rPr>
        <w:t xml:space="preserve"> </w:t>
      </w:r>
      <w:r>
        <w:t>to</w:t>
      </w:r>
      <w:r>
        <w:rPr>
          <w:spacing w:val="-1"/>
        </w:rPr>
        <w:t xml:space="preserve"> </w:t>
      </w:r>
      <w:r>
        <w:t>adapt</w:t>
      </w:r>
      <w:r>
        <w:rPr>
          <w:spacing w:val="-3"/>
        </w:rPr>
        <w:t xml:space="preserve"> </w:t>
      </w:r>
      <w:r>
        <w:t>and</w:t>
      </w:r>
      <w:r>
        <w:rPr>
          <w:spacing w:val="-1"/>
        </w:rPr>
        <w:t xml:space="preserve"> </w:t>
      </w:r>
      <w:r>
        <w:t>make</w:t>
      </w:r>
      <w:r>
        <w:rPr>
          <w:spacing w:val="-3"/>
        </w:rPr>
        <w:t xml:space="preserve"> </w:t>
      </w:r>
      <w:r>
        <w:t xml:space="preserve">up for delays caused by COVID-19. In </w:t>
      </w:r>
      <w:r w:rsidR="003B4CB4">
        <w:t>mid-2023</w:t>
      </w:r>
      <w:r>
        <w:t>, following a GoV-wide cyber-attack, TCs and leadership challenges, expenditure also remained on track against the annual work plan, with 54% activities in the AWP considered completed</w:t>
      </w:r>
      <w:r>
        <w:rPr>
          <w:spacing w:val="-1"/>
        </w:rPr>
        <w:t xml:space="preserve"> </w:t>
      </w:r>
      <w:r>
        <w:t>or on</w:t>
      </w:r>
      <w:r>
        <w:rPr>
          <w:spacing w:val="-1"/>
        </w:rPr>
        <w:t xml:space="preserve"> </w:t>
      </w:r>
      <w:r>
        <w:t>track (94</w:t>
      </w:r>
      <w:r>
        <w:rPr>
          <w:spacing w:val="-1"/>
        </w:rPr>
        <w:t xml:space="preserve"> </w:t>
      </w:r>
      <w:r>
        <w:t>activities on</w:t>
      </w:r>
      <w:r>
        <w:rPr>
          <w:spacing w:val="-1"/>
        </w:rPr>
        <w:t xml:space="preserve"> </w:t>
      </w:r>
      <w:r>
        <w:t>the 173 activities on</w:t>
      </w:r>
      <w:r>
        <w:rPr>
          <w:spacing w:val="-1"/>
        </w:rPr>
        <w:t xml:space="preserve"> </w:t>
      </w:r>
      <w:r>
        <w:t>the</w:t>
      </w:r>
      <w:r>
        <w:rPr>
          <w:spacing w:val="-1"/>
        </w:rPr>
        <w:t xml:space="preserve"> </w:t>
      </w:r>
      <w:r>
        <w:t>AWP).</w:t>
      </w:r>
      <w:r>
        <w:rPr>
          <w:spacing w:val="-1"/>
        </w:rPr>
        <w:t xml:space="preserve"> </w:t>
      </w:r>
      <w:r>
        <w:t>This was appropriate for the</w:t>
      </w:r>
      <w:r>
        <w:rPr>
          <w:spacing w:val="-1"/>
        </w:rPr>
        <w:t xml:space="preserve"> </w:t>
      </w:r>
      <w:r>
        <w:t>midpoint of</w:t>
      </w:r>
      <w:r>
        <w:rPr>
          <w:spacing w:val="-1"/>
        </w:rPr>
        <w:t xml:space="preserve"> </w:t>
      </w:r>
      <w:r>
        <w:t xml:space="preserve">the </w:t>
      </w:r>
      <w:r>
        <w:rPr>
          <w:spacing w:val="-2"/>
        </w:rPr>
        <w:t>year.</w:t>
      </w:r>
    </w:p>
    <w:p w14:paraId="4D7389A9" w14:textId="5636BD10" w:rsidR="009C36E3" w:rsidRDefault="000E7207">
      <w:pPr>
        <w:pStyle w:val="BodyText"/>
        <w:spacing w:before="121"/>
      </w:pPr>
      <w:r>
        <w:t>The program has flagged the need for additional allocations to complete activities and meet objectives until December 2024. Future demands include additional personnel, support for anticipated natural disasters and approved</w:t>
      </w:r>
      <w:r>
        <w:rPr>
          <w:spacing w:val="-4"/>
        </w:rPr>
        <w:t xml:space="preserve"> </w:t>
      </w:r>
      <w:r>
        <w:t>infrastructure</w:t>
      </w:r>
      <w:r>
        <w:rPr>
          <w:spacing w:val="-2"/>
        </w:rPr>
        <w:t xml:space="preserve"> </w:t>
      </w:r>
      <w:r>
        <w:t>activities.</w:t>
      </w:r>
      <w:r>
        <w:rPr>
          <w:spacing w:val="-4"/>
        </w:rPr>
        <w:t xml:space="preserve"> </w:t>
      </w:r>
      <w:r>
        <w:t>In</w:t>
      </w:r>
      <w:r>
        <w:rPr>
          <w:spacing w:val="-4"/>
        </w:rPr>
        <w:t xml:space="preserve"> </w:t>
      </w:r>
      <w:r>
        <w:t>the</w:t>
      </w:r>
      <w:r>
        <w:rPr>
          <w:spacing w:val="-4"/>
        </w:rPr>
        <w:t xml:space="preserve"> </w:t>
      </w:r>
      <w:r>
        <w:t>2023</w:t>
      </w:r>
      <w:r>
        <w:rPr>
          <w:spacing w:val="-2"/>
        </w:rPr>
        <w:t xml:space="preserve"> </w:t>
      </w:r>
      <w:r>
        <w:t>SMPR,</w:t>
      </w:r>
      <w:r>
        <w:rPr>
          <w:spacing w:val="-2"/>
        </w:rPr>
        <w:t xml:space="preserve"> </w:t>
      </w:r>
      <w:r>
        <w:t>VAPJP</w:t>
      </w:r>
      <w:r>
        <w:rPr>
          <w:spacing w:val="-2"/>
        </w:rPr>
        <w:t xml:space="preserve"> </w:t>
      </w:r>
      <w:r>
        <w:t>forecast</w:t>
      </w:r>
      <w:r>
        <w:rPr>
          <w:spacing w:val="-2"/>
        </w:rPr>
        <w:t xml:space="preserve"> </w:t>
      </w:r>
      <w:r>
        <w:t>a</w:t>
      </w:r>
      <w:r>
        <w:rPr>
          <w:spacing w:val="-4"/>
        </w:rPr>
        <w:t xml:space="preserve"> </w:t>
      </w:r>
      <w:r>
        <w:t>deficit</w:t>
      </w:r>
      <w:r>
        <w:rPr>
          <w:spacing w:val="-2"/>
        </w:rPr>
        <w:t xml:space="preserve"> </w:t>
      </w:r>
      <w:r>
        <w:t>of</w:t>
      </w:r>
      <w:r>
        <w:rPr>
          <w:spacing w:val="-2"/>
        </w:rPr>
        <w:t xml:space="preserve"> </w:t>
      </w:r>
      <w:r>
        <w:t>AUD</w:t>
      </w:r>
      <w:r>
        <w:rPr>
          <w:spacing w:val="-4"/>
        </w:rPr>
        <w:t xml:space="preserve"> </w:t>
      </w:r>
      <w:r>
        <w:t>2,934,921.27</w:t>
      </w:r>
      <w:r>
        <w:rPr>
          <w:spacing w:val="-2"/>
        </w:rPr>
        <w:t xml:space="preserve"> </w:t>
      </w:r>
      <w:r w:rsidR="00DB0DE2">
        <w:rPr>
          <w:spacing w:val="-2"/>
        </w:rPr>
        <w:t xml:space="preserve">for activities and operations </w:t>
      </w:r>
      <w:r>
        <w:t>by</w:t>
      </w:r>
      <w:r>
        <w:rPr>
          <w:spacing w:val="-3"/>
        </w:rPr>
        <w:t xml:space="preserve"> </w:t>
      </w:r>
      <w:r>
        <w:t>project</w:t>
      </w:r>
      <w:r>
        <w:rPr>
          <w:spacing w:val="-2"/>
        </w:rPr>
        <w:t xml:space="preserve"> </w:t>
      </w:r>
      <w:r>
        <w:t>end.</w:t>
      </w:r>
    </w:p>
    <w:p w14:paraId="6474E5A5" w14:textId="77777777" w:rsidR="009C36E3" w:rsidRDefault="000E7207" w:rsidP="00232113">
      <w:pPr>
        <w:spacing w:before="119" w:after="120"/>
        <w:ind w:left="771"/>
        <w:rPr>
          <w:i/>
          <w:sz w:val="16"/>
        </w:rPr>
      </w:pPr>
      <w:bookmarkStart w:id="50" w:name="_bookmark38"/>
      <w:bookmarkEnd w:id="50"/>
      <w:r>
        <w:rPr>
          <w:i/>
          <w:sz w:val="16"/>
        </w:rPr>
        <w:t>Table</w:t>
      </w:r>
      <w:r>
        <w:rPr>
          <w:i/>
          <w:spacing w:val="-6"/>
          <w:sz w:val="16"/>
        </w:rPr>
        <w:t xml:space="preserve"> </w:t>
      </w:r>
      <w:r>
        <w:rPr>
          <w:i/>
          <w:sz w:val="16"/>
        </w:rPr>
        <w:t>3:</w:t>
      </w:r>
      <w:r>
        <w:rPr>
          <w:i/>
          <w:spacing w:val="-6"/>
          <w:sz w:val="16"/>
        </w:rPr>
        <w:t xml:space="preserve"> </w:t>
      </w:r>
      <w:r>
        <w:rPr>
          <w:i/>
          <w:sz w:val="16"/>
        </w:rPr>
        <w:t>Percentage</w:t>
      </w:r>
      <w:r>
        <w:rPr>
          <w:i/>
          <w:spacing w:val="-6"/>
          <w:sz w:val="16"/>
        </w:rPr>
        <w:t xml:space="preserve"> </w:t>
      </w:r>
      <w:r>
        <w:rPr>
          <w:i/>
          <w:sz w:val="16"/>
        </w:rPr>
        <w:t>expenditure</w:t>
      </w:r>
      <w:r>
        <w:rPr>
          <w:i/>
          <w:spacing w:val="-5"/>
          <w:sz w:val="16"/>
        </w:rPr>
        <w:t xml:space="preserve"> </w:t>
      </w:r>
      <w:r>
        <w:rPr>
          <w:i/>
          <w:sz w:val="16"/>
        </w:rPr>
        <w:t>across</w:t>
      </w:r>
      <w:r>
        <w:rPr>
          <w:i/>
          <w:spacing w:val="-6"/>
          <w:sz w:val="16"/>
        </w:rPr>
        <w:t xml:space="preserve"> </w:t>
      </w:r>
      <w:r>
        <w:rPr>
          <w:i/>
          <w:spacing w:val="-2"/>
          <w:sz w:val="16"/>
        </w:rPr>
        <w:t>sectors</w:t>
      </w:r>
      <w:hyperlink w:anchor="_bookmark40" w:history="1">
        <w:r>
          <w:rPr>
            <w:i/>
            <w:spacing w:val="-2"/>
            <w:sz w:val="16"/>
            <w:vertAlign w:val="superscript"/>
          </w:rPr>
          <w:t>24</w:t>
        </w:r>
      </w:hyperlink>
      <w:r>
        <w:rPr>
          <w:i/>
          <w:spacing w:val="-2"/>
          <w:sz w:val="16"/>
        </w:rPr>
        <w:t>.</w:t>
      </w:r>
    </w:p>
    <w:tbl>
      <w:tblPr>
        <w:tblW w:w="0" w:type="auto"/>
        <w:tblInd w:w="779" w:type="dxa"/>
        <w:tblLayout w:type="fixed"/>
        <w:tblCellMar>
          <w:left w:w="0" w:type="dxa"/>
          <w:right w:w="0" w:type="dxa"/>
        </w:tblCellMar>
        <w:tblLook w:val="01E0" w:firstRow="1" w:lastRow="1" w:firstColumn="1" w:lastColumn="1" w:noHBand="0" w:noVBand="0"/>
      </w:tblPr>
      <w:tblGrid>
        <w:gridCol w:w="2693"/>
        <w:gridCol w:w="2093"/>
        <w:gridCol w:w="1796"/>
      </w:tblGrid>
      <w:tr w:rsidR="009C36E3" w14:paraId="0B76C82A" w14:textId="77777777">
        <w:trPr>
          <w:trHeight w:val="770"/>
        </w:trPr>
        <w:tc>
          <w:tcPr>
            <w:tcW w:w="2693" w:type="dxa"/>
            <w:shd w:val="clear" w:color="auto" w:fill="0064BB"/>
          </w:tcPr>
          <w:p w14:paraId="150B8C5B" w14:textId="77777777" w:rsidR="009C36E3" w:rsidRDefault="000E7207">
            <w:pPr>
              <w:pStyle w:val="TableParagraph"/>
              <w:spacing w:before="90"/>
              <w:rPr>
                <w:b/>
                <w:sz w:val="18"/>
              </w:rPr>
            </w:pPr>
            <w:r>
              <w:rPr>
                <w:b/>
                <w:color w:val="FFFFFF"/>
                <w:sz w:val="18"/>
              </w:rPr>
              <w:t>Activity</w:t>
            </w:r>
            <w:r>
              <w:rPr>
                <w:b/>
                <w:color w:val="FFFFFF"/>
                <w:spacing w:val="-3"/>
                <w:sz w:val="18"/>
              </w:rPr>
              <w:t xml:space="preserve"> </w:t>
            </w:r>
            <w:r>
              <w:rPr>
                <w:b/>
                <w:color w:val="FFFFFF"/>
                <w:spacing w:val="-2"/>
                <w:sz w:val="18"/>
              </w:rPr>
              <w:t>Sector</w:t>
            </w:r>
          </w:p>
        </w:tc>
        <w:tc>
          <w:tcPr>
            <w:tcW w:w="2093" w:type="dxa"/>
            <w:shd w:val="clear" w:color="auto" w:fill="0064BB"/>
          </w:tcPr>
          <w:p w14:paraId="771434C7" w14:textId="6DE15BD2" w:rsidR="009C36E3" w:rsidRDefault="000E7207">
            <w:pPr>
              <w:pStyle w:val="TableParagraph"/>
              <w:spacing w:before="90"/>
              <w:ind w:right="65"/>
              <w:rPr>
                <w:b/>
                <w:sz w:val="18"/>
              </w:rPr>
            </w:pPr>
            <w:r>
              <w:rPr>
                <w:b/>
                <w:color w:val="FFFFFF"/>
                <w:sz w:val="18"/>
              </w:rPr>
              <w:t>Program Activity Costs</w:t>
            </w:r>
            <w:r>
              <w:rPr>
                <w:b/>
                <w:color w:val="FFFFFF"/>
                <w:spacing w:val="-12"/>
                <w:sz w:val="18"/>
              </w:rPr>
              <w:t xml:space="preserve"> </w:t>
            </w:r>
            <w:r>
              <w:rPr>
                <w:b/>
                <w:color w:val="FFFFFF"/>
                <w:sz w:val="18"/>
              </w:rPr>
              <w:t>Actuals</w:t>
            </w:r>
            <w:r>
              <w:rPr>
                <w:b/>
                <w:color w:val="FFFFFF"/>
                <w:spacing w:val="-11"/>
                <w:sz w:val="18"/>
              </w:rPr>
              <w:t xml:space="preserve"> </w:t>
            </w:r>
            <w:r>
              <w:rPr>
                <w:b/>
                <w:color w:val="FFFFFF"/>
                <w:sz w:val="18"/>
              </w:rPr>
              <w:t>to</w:t>
            </w:r>
            <w:r>
              <w:rPr>
                <w:b/>
                <w:color w:val="FFFFFF"/>
                <w:spacing w:val="-13"/>
                <w:sz w:val="18"/>
              </w:rPr>
              <w:t xml:space="preserve"> </w:t>
            </w:r>
            <w:r>
              <w:rPr>
                <w:b/>
                <w:color w:val="FFFFFF"/>
                <w:sz w:val="18"/>
              </w:rPr>
              <w:t>date</w:t>
            </w:r>
            <w:r w:rsidR="00DB0DE2">
              <w:rPr>
                <w:b/>
                <w:color w:val="FFFFFF"/>
                <w:sz w:val="18"/>
              </w:rPr>
              <w:t xml:space="preserve"> (2016 – June 2023)</w:t>
            </w:r>
          </w:p>
        </w:tc>
        <w:tc>
          <w:tcPr>
            <w:tcW w:w="1796" w:type="dxa"/>
            <w:shd w:val="clear" w:color="auto" w:fill="0064BB"/>
          </w:tcPr>
          <w:p w14:paraId="5D39BF8F" w14:textId="77777777" w:rsidR="009C36E3" w:rsidRDefault="000E7207">
            <w:pPr>
              <w:pStyle w:val="TableParagraph"/>
              <w:spacing w:before="90"/>
              <w:ind w:left="141" w:right="446"/>
              <w:rPr>
                <w:b/>
                <w:sz w:val="18"/>
              </w:rPr>
            </w:pPr>
            <w:r>
              <w:rPr>
                <w:b/>
                <w:color w:val="FFFFFF"/>
                <w:sz w:val="18"/>
              </w:rPr>
              <w:t>%</w:t>
            </w:r>
            <w:r>
              <w:rPr>
                <w:b/>
                <w:color w:val="FFFFFF"/>
                <w:spacing w:val="-4"/>
                <w:sz w:val="18"/>
              </w:rPr>
              <w:t xml:space="preserve"> </w:t>
            </w:r>
            <w:r>
              <w:rPr>
                <w:b/>
                <w:color w:val="FFFFFF"/>
                <w:sz w:val="18"/>
              </w:rPr>
              <w:t>of</w:t>
            </w:r>
            <w:r>
              <w:rPr>
                <w:b/>
                <w:color w:val="FFFFFF"/>
                <w:spacing w:val="-2"/>
                <w:sz w:val="18"/>
              </w:rPr>
              <w:t xml:space="preserve"> </w:t>
            </w:r>
            <w:r>
              <w:rPr>
                <w:b/>
                <w:color w:val="FFFFFF"/>
                <w:sz w:val="18"/>
              </w:rPr>
              <w:t>Program Activity</w:t>
            </w:r>
            <w:r>
              <w:rPr>
                <w:b/>
                <w:color w:val="FFFFFF"/>
                <w:spacing w:val="-2"/>
                <w:sz w:val="18"/>
              </w:rPr>
              <w:t xml:space="preserve"> Costs</w:t>
            </w:r>
          </w:p>
        </w:tc>
      </w:tr>
      <w:tr w:rsidR="009C36E3" w14:paraId="0F76CC43" w14:textId="77777777">
        <w:trPr>
          <w:trHeight w:val="366"/>
        </w:trPr>
        <w:tc>
          <w:tcPr>
            <w:tcW w:w="2693" w:type="dxa"/>
            <w:tcBorders>
              <w:bottom w:val="single" w:sz="4" w:space="0" w:color="0064BB"/>
            </w:tcBorders>
            <w:shd w:val="clear" w:color="auto" w:fill="F1F1F1"/>
          </w:tcPr>
          <w:p w14:paraId="66E9A65B" w14:textId="77777777" w:rsidR="009C36E3" w:rsidRDefault="000E7207">
            <w:pPr>
              <w:pStyle w:val="TableParagraph"/>
              <w:spacing w:before="80"/>
              <w:rPr>
                <w:b/>
                <w:sz w:val="18"/>
              </w:rPr>
            </w:pPr>
            <w:r>
              <w:rPr>
                <w:b/>
                <w:spacing w:val="-2"/>
                <w:sz w:val="18"/>
              </w:rPr>
              <w:t>Policing</w:t>
            </w:r>
          </w:p>
        </w:tc>
        <w:tc>
          <w:tcPr>
            <w:tcW w:w="2093" w:type="dxa"/>
            <w:tcBorders>
              <w:bottom w:val="single" w:sz="4" w:space="0" w:color="0064BB"/>
            </w:tcBorders>
          </w:tcPr>
          <w:p w14:paraId="2C9FEC9E" w14:textId="77777777" w:rsidR="009C36E3" w:rsidRDefault="000E7207">
            <w:pPr>
              <w:pStyle w:val="TableParagraph"/>
              <w:spacing w:before="80"/>
              <w:rPr>
                <w:sz w:val="18"/>
              </w:rPr>
            </w:pPr>
            <w:r>
              <w:rPr>
                <w:spacing w:val="-2"/>
                <w:sz w:val="18"/>
              </w:rPr>
              <w:t>10,090,819.73</w:t>
            </w:r>
          </w:p>
        </w:tc>
        <w:tc>
          <w:tcPr>
            <w:tcW w:w="1796" w:type="dxa"/>
            <w:tcBorders>
              <w:bottom w:val="single" w:sz="4" w:space="0" w:color="0064BB"/>
            </w:tcBorders>
          </w:tcPr>
          <w:p w14:paraId="0E453109" w14:textId="77777777" w:rsidR="009C36E3" w:rsidRDefault="000E7207">
            <w:pPr>
              <w:pStyle w:val="TableParagraph"/>
              <w:spacing w:before="80"/>
              <w:ind w:left="141"/>
              <w:rPr>
                <w:sz w:val="18"/>
              </w:rPr>
            </w:pPr>
            <w:r>
              <w:rPr>
                <w:spacing w:val="-2"/>
                <w:sz w:val="18"/>
              </w:rPr>
              <w:t>64.6%</w:t>
            </w:r>
          </w:p>
        </w:tc>
      </w:tr>
      <w:tr w:rsidR="009C36E3" w14:paraId="68407E36" w14:textId="77777777">
        <w:trPr>
          <w:trHeight w:val="366"/>
        </w:trPr>
        <w:tc>
          <w:tcPr>
            <w:tcW w:w="2693" w:type="dxa"/>
            <w:tcBorders>
              <w:top w:val="single" w:sz="4" w:space="0" w:color="0064BB"/>
              <w:bottom w:val="single" w:sz="4" w:space="0" w:color="0064BB"/>
            </w:tcBorders>
            <w:shd w:val="clear" w:color="auto" w:fill="F1F1F1"/>
          </w:tcPr>
          <w:p w14:paraId="5B86DD56" w14:textId="77777777" w:rsidR="009C36E3" w:rsidRDefault="000E7207">
            <w:pPr>
              <w:pStyle w:val="TableParagraph"/>
              <w:spacing w:before="80"/>
              <w:rPr>
                <w:b/>
                <w:sz w:val="18"/>
              </w:rPr>
            </w:pPr>
            <w:r>
              <w:rPr>
                <w:b/>
                <w:spacing w:val="-2"/>
                <w:sz w:val="18"/>
              </w:rPr>
              <w:t>Justice</w:t>
            </w:r>
          </w:p>
        </w:tc>
        <w:tc>
          <w:tcPr>
            <w:tcW w:w="2093" w:type="dxa"/>
            <w:tcBorders>
              <w:top w:val="single" w:sz="4" w:space="0" w:color="0064BB"/>
              <w:bottom w:val="single" w:sz="4" w:space="0" w:color="0064BB"/>
            </w:tcBorders>
          </w:tcPr>
          <w:p w14:paraId="5FE61285" w14:textId="77777777" w:rsidR="009C36E3" w:rsidRDefault="000E7207">
            <w:pPr>
              <w:pStyle w:val="TableParagraph"/>
              <w:spacing w:before="80"/>
              <w:rPr>
                <w:sz w:val="18"/>
              </w:rPr>
            </w:pPr>
            <w:r>
              <w:rPr>
                <w:spacing w:val="-2"/>
                <w:sz w:val="18"/>
              </w:rPr>
              <w:t>3,558,587.47</w:t>
            </w:r>
          </w:p>
        </w:tc>
        <w:tc>
          <w:tcPr>
            <w:tcW w:w="1796" w:type="dxa"/>
            <w:tcBorders>
              <w:top w:val="single" w:sz="4" w:space="0" w:color="0064BB"/>
              <w:bottom w:val="single" w:sz="4" w:space="0" w:color="0064BB"/>
            </w:tcBorders>
          </w:tcPr>
          <w:p w14:paraId="18614FD6" w14:textId="77777777" w:rsidR="009C36E3" w:rsidRDefault="000E7207">
            <w:pPr>
              <w:pStyle w:val="TableParagraph"/>
              <w:spacing w:before="80"/>
              <w:ind w:left="141"/>
              <w:rPr>
                <w:sz w:val="18"/>
              </w:rPr>
            </w:pPr>
            <w:r>
              <w:rPr>
                <w:spacing w:val="-2"/>
                <w:sz w:val="18"/>
              </w:rPr>
              <w:t>22.8%</w:t>
            </w:r>
          </w:p>
        </w:tc>
      </w:tr>
      <w:tr w:rsidR="009C36E3" w14:paraId="229849F0" w14:textId="77777777">
        <w:trPr>
          <w:trHeight w:val="366"/>
        </w:trPr>
        <w:tc>
          <w:tcPr>
            <w:tcW w:w="2693" w:type="dxa"/>
            <w:tcBorders>
              <w:top w:val="single" w:sz="4" w:space="0" w:color="0064BB"/>
              <w:bottom w:val="single" w:sz="4" w:space="0" w:color="0064BB"/>
            </w:tcBorders>
            <w:shd w:val="clear" w:color="auto" w:fill="F1F1F1"/>
          </w:tcPr>
          <w:p w14:paraId="0D36C3AC" w14:textId="77777777" w:rsidR="009C36E3" w:rsidRDefault="000E7207">
            <w:pPr>
              <w:pStyle w:val="TableParagraph"/>
              <w:spacing w:before="80"/>
              <w:rPr>
                <w:b/>
                <w:sz w:val="18"/>
              </w:rPr>
            </w:pPr>
            <w:r>
              <w:rPr>
                <w:b/>
                <w:spacing w:val="-2"/>
                <w:sz w:val="18"/>
              </w:rPr>
              <w:t>Community</w:t>
            </w:r>
          </w:p>
        </w:tc>
        <w:tc>
          <w:tcPr>
            <w:tcW w:w="2093" w:type="dxa"/>
            <w:tcBorders>
              <w:top w:val="single" w:sz="4" w:space="0" w:color="0064BB"/>
              <w:bottom w:val="single" w:sz="4" w:space="0" w:color="0064BB"/>
            </w:tcBorders>
          </w:tcPr>
          <w:p w14:paraId="08FD6019" w14:textId="77777777" w:rsidR="009C36E3" w:rsidRDefault="000E7207">
            <w:pPr>
              <w:pStyle w:val="TableParagraph"/>
              <w:spacing w:before="80"/>
              <w:rPr>
                <w:sz w:val="18"/>
              </w:rPr>
            </w:pPr>
            <w:r>
              <w:rPr>
                <w:spacing w:val="-2"/>
                <w:sz w:val="18"/>
              </w:rPr>
              <w:t>1,241,227.92</w:t>
            </w:r>
          </w:p>
        </w:tc>
        <w:tc>
          <w:tcPr>
            <w:tcW w:w="1796" w:type="dxa"/>
            <w:tcBorders>
              <w:top w:val="single" w:sz="4" w:space="0" w:color="0064BB"/>
              <w:bottom w:val="single" w:sz="4" w:space="0" w:color="0064BB"/>
            </w:tcBorders>
          </w:tcPr>
          <w:p w14:paraId="7B5C64E9" w14:textId="77777777" w:rsidR="009C36E3" w:rsidRDefault="000E7207">
            <w:pPr>
              <w:pStyle w:val="TableParagraph"/>
              <w:spacing w:before="80"/>
              <w:ind w:left="141"/>
              <w:rPr>
                <w:sz w:val="18"/>
              </w:rPr>
            </w:pPr>
            <w:r>
              <w:rPr>
                <w:spacing w:val="-4"/>
                <w:sz w:val="18"/>
              </w:rPr>
              <w:t>7.9%</w:t>
            </w:r>
          </w:p>
        </w:tc>
      </w:tr>
      <w:tr w:rsidR="009C36E3" w14:paraId="17D1BFAD" w14:textId="77777777">
        <w:trPr>
          <w:trHeight w:val="366"/>
        </w:trPr>
        <w:tc>
          <w:tcPr>
            <w:tcW w:w="2693" w:type="dxa"/>
            <w:tcBorders>
              <w:top w:val="single" w:sz="4" w:space="0" w:color="0064BB"/>
              <w:bottom w:val="single" w:sz="4" w:space="0" w:color="0064BB"/>
            </w:tcBorders>
            <w:shd w:val="clear" w:color="auto" w:fill="F1F1F1"/>
          </w:tcPr>
          <w:p w14:paraId="47594970" w14:textId="77777777" w:rsidR="009C36E3" w:rsidRDefault="000E7207">
            <w:pPr>
              <w:pStyle w:val="TableParagraph"/>
              <w:spacing w:before="80"/>
              <w:rPr>
                <w:b/>
                <w:sz w:val="18"/>
              </w:rPr>
            </w:pPr>
            <w:r>
              <w:rPr>
                <w:b/>
                <w:sz w:val="18"/>
              </w:rPr>
              <w:t>Sector</w:t>
            </w:r>
            <w:r>
              <w:rPr>
                <w:b/>
                <w:spacing w:val="-2"/>
                <w:sz w:val="18"/>
              </w:rPr>
              <w:t xml:space="preserve"> Coordination</w:t>
            </w:r>
          </w:p>
        </w:tc>
        <w:tc>
          <w:tcPr>
            <w:tcW w:w="2093" w:type="dxa"/>
            <w:tcBorders>
              <w:top w:val="single" w:sz="4" w:space="0" w:color="0064BB"/>
              <w:bottom w:val="single" w:sz="4" w:space="0" w:color="0064BB"/>
            </w:tcBorders>
          </w:tcPr>
          <w:p w14:paraId="476331F1" w14:textId="77777777" w:rsidR="009C36E3" w:rsidRDefault="000E7207">
            <w:pPr>
              <w:pStyle w:val="TableParagraph"/>
              <w:spacing w:before="80"/>
              <w:rPr>
                <w:sz w:val="18"/>
              </w:rPr>
            </w:pPr>
            <w:r>
              <w:rPr>
                <w:spacing w:val="-2"/>
                <w:sz w:val="18"/>
              </w:rPr>
              <w:t>643,664.69</w:t>
            </w:r>
          </w:p>
        </w:tc>
        <w:tc>
          <w:tcPr>
            <w:tcW w:w="1796" w:type="dxa"/>
            <w:tcBorders>
              <w:top w:val="single" w:sz="4" w:space="0" w:color="0064BB"/>
              <w:bottom w:val="single" w:sz="4" w:space="0" w:color="0064BB"/>
            </w:tcBorders>
          </w:tcPr>
          <w:p w14:paraId="437FC5BD" w14:textId="77777777" w:rsidR="009C36E3" w:rsidRDefault="000E7207">
            <w:pPr>
              <w:pStyle w:val="TableParagraph"/>
              <w:spacing w:before="80"/>
              <w:ind w:left="141"/>
              <w:rPr>
                <w:sz w:val="18"/>
              </w:rPr>
            </w:pPr>
            <w:r>
              <w:rPr>
                <w:spacing w:val="-4"/>
                <w:sz w:val="18"/>
              </w:rPr>
              <w:t>4.1%</w:t>
            </w:r>
          </w:p>
        </w:tc>
      </w:tr>
      <w:tr w:rsidR="009C36E3" w14:paraId="2606E9E7" w14:textId="77777777">
        <w:trPr>
          <w:trHeight w:val="781"/>
        </w:trPr>
        <w:tc>
          <w:tcPr>
            <w:tcW w:w="2693" w:type="dxa"/>
            <w:tcBorders>
              <w:top w:val="single" w:sz="4" w:space="0" w:color="0064BB"/>
              <w:bottom w:val="single" w:sz="4" w:space="0" w:color="0064BB"/>
            </w:tcBorders>
            <w:shd w:val="clear" w:color="auto" w:fill="F1F1F1"/>
          </w:tcPr>
          <w:p w14:paraId="64B3056B" w14:textId="77777777" w:rsidR="009C36E3" w:rsidRDefault="000E7207">
            <w:pPr>
              <w:pStyle w:val="TableParagraph"/>
              <w:spacing w:before="80"/>
              <w:rPr>
                <w:b/>
                <w:sz w:val="18"/>
              </w:rPr>
            </w:pPr>
            <w:r>
              <w:rPr>
                <w:b/>
                <w:sz w:val="18"/>
              </w:rPr>
              <w:t>Cross</w:t>
            </w:r>
            <w:r>
              <w:rPr>
                <w:b/>
                <w:spacing w:val="-15"/>
                <w:sz w:val="18"/>
              </w:rPr>
              <w:t xml:space="preserve"> </w:t>
            </w:r>
            <w:r>
              <w:rPr>
                <w:b/>
                <w:sz w:val="18"/>
              </w:rPr>
              <w:t>sector</w:t>
            </w:r>
            <w:r>
              <w:rPr>
                <w:b/>
                <w:spacing w:val="-12"/>
                <w:sz w:val="18"/>
              </w:rPr>
              <w:t xml:space="preserve"> </w:t>
            </w:r>
            <w:r>
              <w:rPr>
                <w:b/>
                <w:sz w:val="18"/>
              </w:rPr>
              <w:t>strengthening activities and targeted interventions costs</w:t>
            </w:r>
          </w:p>
        </w:tc>
        <w:tc>
          <w:tcPr>
            <w:tcW w:w="2093" w:type="dxa"/>
            <w:tcBorders>
              <w:top w:val="single" w:sz="4" w:space="0" w:color="0064BB"/>
              <w:bottom w:val="single" w:sz="4" w:space="0" w:color="0064BB"/>
            </w:tcBorders>
          </w:tcPr>
          <w:p w14:paraId="42E3D534" w14:textId="77777777" w:rsidR="009C36E3" w:rsidRDefault="000E7207">
            <w:pPr>
              <w:pStyle w:val="TableParagraph"/>
              <w:spacing w:before="80"/>
              <w:rPr>
                <w:sz w:val="18"/>
              </w:rPr>
            </w:pPr>
            <w:r>
              <w:rPr>
                <w:spacing w:val="-2"/>
                <w:sz w:val="18"/>
              </w:rPr>
              <w:t>17,500.80</w:t>
            </w:r>
          </w:p>
        </w:tc>
        <w:tc>
          <w:tcPr>
            <w:tcW w:w="1796" w:type="dxa"/>
            <w:tcBorders>
              <w:top w:val="single" w:sz="4" w:space="0" w:color="0064BB"/>
              <w:bottom w:val="single" w:sz="4" w:space="0" w:color="0064BB"/>
            </w:tcBorders>
          </w:tcPr>
          <w:p w14:paraId="397704FB" w14:textId="77777777" w:rsidR="009C36E3" w:rsidRDefault="000E7207">
            <w:pPr>
              <w:pStyle w:val="TableParagraph"/>
              <w:spacing w:before="80"/>
              <w:ind w:left="141"/>
              <w:rPr>
                <w:sz w:val="18"/>
              </w:rPr>
            </w:pPr>
            <w:r>
              <w:rPr>
                <w:spacing w:val="-4"/>
                <w:sz w:val="18"/>
              </w:rPr>
              <w:t>0.1%</w:t>
            </w:r>
          </w:p>
        </w:tc>
      </w:tr>
      <w:tr w:rsidR="009C36E3" w14:paraId="04E2B9CE" w14:textId="77777777">
        <w:trPr>
          <w:trHeight w:val="366"/>
        </w:trPr>
        <w:tc>
          <w:tcPr>
            <w:tcW w:w="2693" w:type="dxa"/>
            <w:tcBorders>
              <w:top w:val="single" w:sz="4" w:space="0" w:color="0064BB"/>
              <w:bottom w:val="single" w:sz="4" w:space="0" w:color="0064BB"/>
            </w:tcBorders>
            <w:shd w:val="clear" w:color="auto" w:fill="F1F1F1"/>
          </w:tcPr>
          <w:p w14:paraId="7247F8CA" w14:textId="77777777" w:rsidR="009C36E3" w:rsidRDefault="000E7207">
            <w:pPr>
              <w:pStyle w:val="TableParagraph"/>
              <w:spacing w:before="80"/>
              <w:rPr>
                <w:b/>
                <w:sz w:val="18"/>
              </w:rPr>
            </w:pPr>
            <w:r>
              <w:rPr>
                <w:b/>
                <w:sz w:val="18"/>
              </w:rPr>
              <w:t>TC</w:t>
            </w:r>
            <w:r>
              <w:rPr>
                <w:b/>
                <w:spacing w:val="-3"/>
                <w:sz w:val="18"/>
              </w:rPr>
              <w:t xml:space="preserve"> </w:t>
            </w:r>
            <w:r>
              <w:rPr>
                <w:b/>
                <w:sz w:val="18"/>
              </w:rPr>
              <w:t>Harold</w:t>
            </w:r>
            <w:r>
              <w:rPr>
                <w:b/>
                <w:spacing w:val="-1"/>
                <w:sz w:val="18"/>
              </w:rPr>
              <w:t xml:space="preserve"> </w:t>
            </w:r>
            <w:r>
              <w:rPr>
                <w:b/>
                <w:spacing w:val="-2"/>
                <w:sz w:val="18"/>
              </w:rPr>
              <w:t>Labour</w:t>
            </w:r>
          </w:p>
        </w:tc>
        <w:tc>
          <w:tcPr>
            <w:tcW w:w="2093" w:type="dxa"/>
            <w:tcBorders>
              <w:top w:val="single" w:sz="4" w:space="0" w:color="0064BB"/>
              <w:bottom w:val="single" w:sz="4" w:space="0" w:color="0064BB"/>
            </w:tcBorders>
          </w:tcPr>
          <w:p w14:paraId="4E204E39" w14:textId="77777777" w:rsidR="009C36E3" w:rsidRDefault="000E7207">
            <w:pPr>
              <w:pStyle w:val="TableParagraph"/>
              <w:spacing w:before="80"/>
              <w:rPr>
                <w:sz w:val="18"/>
              </w:rPr>
            </w:pPr>
            <w:r>
              <w:rPr>
                <w:spacing w:val="-2"/>
                <w:sz w:val="18"/>
              </w:rPr>
              <w:t>67,505.16</w:t>
            </w:r>
          </w:p>
        </w:tc>
        <w:tc>
          <w:tcPr>
            <w:tcW w:w="1796" w:type="dxa"/>
            <w:tcBorders>
              <w:top w:val="single" w:sz="4" w:space="0" w:color="0064BB"/>
              <w:bottom w:val="single" w:sz="4" w:space="0" w:color="0064BB"/>
            </w:tcBorders>
          </w:tcPr>
          <w:p w14:paraId="4865CFD3" w14:textId="77777777" w:rsidR="009C36E3" w:rsidRDefault="000E7207">
            <w:pPr>
              <w:pStyle w:val="TableParagraph"/>
              <w:spacing w:before="80"/>
              <w:ind w:left="141"/>
              <w:rPr>
                <w:sz w:val="18"/>
              </w:rPr>
            </w:pPr>
            <w:r>
              <w:rPr>
                <w:spacing w:val="-4"/>
                <w:sz w:val="18"/>
              </w:rPr>
              <w:t>0.4%</w:t>
            </w:r>
          </w:p>
        </w:tc>
      </w:tr>
      <w:tr w:rsidR="009C36E3" w14:paraId="4122B20B" w14:textId="77777777">
        <w:trPr>
          <w:trHeight w:val="366"/>
        </w:trPr>
        <w:tc>
          <w:tcPr>
            <w:tcW w:w="2693" w:type="dxa"/>
            <w:tcBorders>
              <w:top w:val="single" w:sz="4" w:space="0" w:color="0064BB"/>
              <w:bottom w:val="single" w:sz="4" w:space="0" w:color="0064BB"/>
            </w:tcBorders>
            <w:shd w:val="clear" w:color="auto" w:fill="F1F1F1"/>
          </w:tcPr>
          <w:p w14:paraId="08FED9BF" w14:textId="77777777" w:rsidR="009C36E3" w:rsidRDefault="000E7207">
            <w:pPr>
              <w:pStyle w:val="TableParagraph"/>
              <w:spacing w:before="80"/>
              <w:rPr>
                <w:b/>
                <w:sz w:val="18"/>
              </w:rPr>
            </w:pPr>
            <w:r>
              <w:rPr>
                <w:b/>
                <w:spacing w:val="-2"/>
                <w:sz w:val="18"/>
              </w:rPr>
              <w:t>TOTAL</w:t>
            </w:r>
          </w:p>
        </w:tc>
        <w:tc>
          <w:tcPr>
            <w:tcW w:w="2093" w:type="dxa"/>
            <w:tcBorders>
              <w:top w:val="single" w:sz="4" w:space="0" w:color="0064BB"/>
              <w:bottom w:val="single" w:sz="4" w:space="0" w:color="0064BB"/>
            </w:tcBorders>
          </w:tcPr>
          <w:p w14:paraId="33F439EC" w14:textId="77777777" w:rsidR="009C36E3" w:rsidRDefault="000E7207">
            <w:pPr>
              <w:pStyle w:val="TableParagraph"/>
              <w:spacing w:before="80"/>
              <w:rPr>
                <w:sz w:val="18"/>
              </w:rPr>
            </w:pPr>
            <w:r>
              <w:rPr>
                <w:spacing w:val="-2"/>
                <w:sz w:val="18"/>
              </w:rPr>
              <w:t>15,619,305.77</w:t>
            </w:r>
          </w:p>
        </w:tc>
        <w:tc>
          <w:tcPr>
            <w:tcW w:w="1796" w:type="dxa"/>
            <w:tcBorders>
              <w:top w:val="single" w:sz="4" w:space="0" w:color="0064BB"/>
              <w:bottom w:val="single" w:sz="4" w:space="0" w:color="0064BB"/>
            </w:tcBorders>
          </w:tcPr>
          <w:p w14:paraId="3B5EDBCA" w14:textId="77777777" w:rsidR="009C36E3" w:rsidRDefault="000E7207">
            <w:pPr>
              <w:pStyle w:val="TableParagraph"/>
              <w:spacing w:before="80"/>
              <w:ind w:left="141"/>
              <w:rPr>
                <w:sz w:val="18"/>
              </w:rPr>
            </w:pPr>
            <w:r>
              <w:rPr>
                <w:spacing w:val="-2"/>
                <w:sz w:val="18"/>
              </w:rPr>
              <w:t>100.0%</w:t>
            </w:r>
          </w:p>
        </w:tc>
      </w:tr>
    </w:tbl>
    <w:p w14:paraId="263D850E" w14:textId="77777777" w:rsidR="009C36E3" w:rsidRDefault="000E7207" w:rsidP="00E84525">
      <w:pPr>
        <w:pStyle w:val="Heading2"/>
        <w:numPr>
          <w:ilvl w:val="1"/>
          <w:numId w:val="33"/>
        </w:numPr>
      </w:pPr>
      <w:bookmarkStart w:id="51" w:name="3.3_Relevance,_appropriateness,_and_sust"/>
      <w:bookmarkStart w:id="52" w:name="_bookmark39"/>
      <w:bookmarkEnd w:id="51"/>
      <w:bookmarkEnd w:id="52"/>
      <w:r>
        <w:t>Relevance,</w:t>
      </w:r>
      <w:r>
        <w:rPr>
          <w:spacing w:val="-10"/>
        </w:rPr>
        <w:t xml:space="preserve"> </w:t>
      </w:r>
      <w:r>
        <w:t>appropriateness,</w:t>
      </w:r>
      <w:r>
        <w:rPr>
          <w:spacing w:val="-8"/>
        </w:rPr>
        <w:t xml:space="preserve"> </w:t>
      </w:r>
      <w:r>
        <w:t>and</w:t>
      </w:r>
      <w:r>
        <w:rPr>
          <w:spacing w:val="-8"/>
        </w:rPr>
        <w:t xml:space="preserve"> </w:t>
      </w:r>
      <w:r>
        <w:t>sustainability</w:t>
      </w:r>
    </w:p>
    <w:p w14:paraId="2126250F" w14:textId="77777777" w:rsidR="009C36E3" w:rsidRDefault="000E7207">
      <w:pPr>
        <w:spacing w:before="257"/>
        <w:ind w:left="772"/>
        <w:rPr>
          <w:sz w:val="20"/>
        </w:rPr>
      </w:pPr>
      <w:r>
        <w:rPr>
          <w:sz w:val="20"/>
        </w:rPr>
        <w:t>This</w:t>
      </w:r>
      <w:r>
        <w:rPr>
          <w:spacing w:val="-3"/>
          <w:sz w:val="20"/>
        </w:rPr>
        <w:t xml:space="preserve"> </w:t>
      </w:r>
      <w:r>
        <w:rPr>
          <w:sz w:val="20"/>
        </w:rPr>
        <w:t>section</w:t>
      </w:r>
      <w:r>
        <w:rPr>
          <w:spacing w:val="-4"/>
          <w:sz w:val="20"/>
        </w:rPr>
        <w:t xml:space="preserve"> </w:t>
      </w:r>
      <w:r>
        <w:rPr>
          <w:sz w:val="20"/>
        </w:rPr>
        <w:t>addresses</w:t>
      </w:r>
      <w:r>
        <w:rPr>
          <w:spacing w:val="-3"/>
          <w:sz w:val="20"/>
        </w:rPr>
        <w:t xml:space="preserve"> </w:t>
      </w:r>
      <w:r>
        <w:rPr>
          <w:sz w:val="20"/>
        </w:rPr>
        <w:t>the</w:t>
      </w:r>
      <w:r>
        <w:rPr>
          <w:spacing w:val="-2"/>
          <w:sz w:val="20"/>
        </w:rPr>
        <w:t xml:space="preserve"> </w:t>
      </w:r>
      <w:r>
        <w:rPr>
          <w:sz w:val="20"/>
        </w:rPr>
        <w:t>relevance,</w:t>
      </w:r>
      <w:r>
        <w:rPr>
          <w:spacing w:val="-4"/>
          <w:sz w:val="20"/>
        </w:rPr>
        <w:t xml:space="preserve"> </w:t>
      </w:r>
      <w:r>
        <w:rPr>
          <w:sz w:val="20"/>
        </w:rPr>
        <w:t>appropriateness</w:t>
      </w:r>
      <w:r>
        <w:rPr>
          <w:spacing w:val="-3"/>
          <w:sz w:val="20"/>
        </w:rPr>
        <w:t xml:space="preserve"> </w:t>
      </w:r>
      <w:r>
        <w:rPr>
          <w:sz w:val="20"/>
        </w:rPr>
        <w:t>and</w:t>
      </w:r>
      <w:r>
        <w:rPr>
          <w:spacing w:val="-4"/>
          <w:sz w:val="20"/>
        </w:rPr>
        <w:t xml:space="preserve"> </w:t>
      </w:r>
      <w:r>
        <w:rPr>
          <w:sz w:val="20"/>
        </w:rPr>
        <w:t>sustainability</w:t>
      </w:r>
      <w:r>
        <w:rPr>
          <w:spacing w:val="-3"/>
          <w:sz w:val="20"/>
        </w:rPr>
        <w:t xml:space="preserve"> </w:t>
      </w:r>
      <w:r>
        <w:rPr>
          <w:sz w:val="20"/>
        </w:rPr>
        <w:t>of</w:t>
      </w:r>
      <w:r>
        <w:rPr>
          <w:spacing w:val="-2"/>
          <w:sz w:val="20"/>
        </w:rPr>
        <w:t xml:space="preserve"> </w:t>
      </w:r>
      <w:r>
        <w:rPr>
          <w:sz w:val="20"/>
        </w:rPr>
        <w:t>VAPJP</w:t>
      </w:r>
      <w:r>
        <w:rPr>
          <w:spacing w:val="-5"/>
          <w:sz w:val="20"/>
        </w:rPr>
        <w:t xml:space="preserve"> </w:t>
      </w:r>
      <w:r>
        <w:rPr>
          <w:sz w:val="20"/>
        </w:rPr>
        <w:t>through</w:t>
      </w:r>
      <w:r>
        <w:rPr>
          <w:spacing w:val="-2"/>
          <w:sz w:val="20"/>
        </w:rPr>
        <w:t xml:space="preserve"> </w:t>
      </w:r>
      <w:r>
        <w:rPr>
          <w:b/>
          <w:sz w:val="20"/>
        </w:rPr>
        <w:t>KRQ3:</w:t>
      </w:r>
      <w:r>
        <w:rPr>
          <w:b/>
          <w:spacing w:val="-3"/>
          <w:sz w:val="20"/>
        </w:rPr>
        <w:t xml:space="preserve"> </w:t>
      </w:r>
      <w:r>
        <w:rPr>
          <w:b/>
          <w:sz w:val="20"/>
        </w:rPr>
        <w:t>How</w:t>
      </w:r>
      <w:r>
        <w:rPr>
          <w:b/>
          <w:spacing w:val="-1"/>
          <w:sz w:val="20"/>
        </w:rPr>
        <w:t xml:space="preserve"> </w:t>
      </w:r>
      <w:r>
        <w:rPr>
          <w:b/>
          <w:sz w:val="20"/>
        </w:rPr>
        <w:t xml:space="preserve">relevant, appropriate, and sustainable is the VAPJP investment? </w:t>
      </w:r>
      <w:r>
        <w:rPr>
          <w:sz w:val="20"/>
        </w:rPr>
        <w:t>It covers adapting to operating context</w:t>
      </w:r>
      <w:r>
        <w:rPr>
          <w:i/>
          <w:color w:val="003478"/>
          <w:sz w:val="20"/>
        </w:rPr>
        <w:t xml:space="preserve">, </w:t>
      </w:r>
      <w:r>
        <w:rPr>
          <w:sz w:val="20"/>
        </w:rPr>
        <w:t>strategic alignment with Australia and Vanuatu’s interests, and sustainability and considers the following sub-questions:</w:t>
      </w:r>
    </w:p>
    <w:p w14:paraId="4F68620D" w14:textId="77777777" w:rsidR="009C36E3" w:rsidRDefault="000E7207">
      <w:pPr>
        <w:pStyle w:val="BodyText"/>
        <w:spacing w:before="119"/>
        <w:ind w:left="772"/>
      </w:pPr>
      <w:r>
        <w:t>KRQ</w:t>
      </w:r>
      <w:r>
        <w:rPr>
          <w:spacing w:val="-5"/>
        </w:rPr>
        <w:t xml:space="preserve"> </w:t>
      </w:r>
      <w:r>
        <w:t>3.1</w:t>
      </w:r>
      <w:r>
        <w:rPr>
          <w:spacing w:val="-6"/>
        </w:rPr>
        <w:t xml:space="preserve"> </w:t>
      </w:r>
      <w:r>
        <w:t>How</w:t>
      </w:r>
      <w:r>
        <w:rPr>
          <w:spacing w:val="-3"/>
        </w:rPr>
        <w:t xml:space="preserve"> </w:t>
      </w:r>
      <w:r>
        <w:t>has</w:t>
      </w:r>
      <w:r>
        <w:rPr>
          <w:spacing w:val="-5"/>
        </w:rPr>
        <w:t xml:space="preserve"> </w:t>
      </w:r>
      <w:r>
        <w:t>the</w:t>
      </w:r>
      <w:r>
        <w:rPr>
          <w:spacing w:val="-4"/>
        </w:rPr>
        <w:t xml:space="preserve"> </w:t>
      </w:r>
      <w:r>
        <w:t>operating</w:t>
      </w:r>
      <w:r>
        <w:rPr>
          <w:spacing w:val="-5"/>
        </w:rPr>
        <w:t xml:space="preserve"> </w:t>
      </w:r>
      <w:r>
        <w:t>context</w:t>
      </w:r>
      <w:r>
        <w:rPr>
          <w:spacing w:val="-6"/>
        </w:rPr>
        <w:t xml:space="preserve"> </w:t>
      </w:r>
      <w:r>
        <w:t>changed,</w:t>
      </w:r>
      <w:r>
        <w:rPr>
          <w:spacing w:val="-6"/>
        </w:rPr>
        <w:t xml:space="preserve"> </w:t>
      </w:r>
      <w:r>
        <w:t>and</w:t>
      </w:r>
      <w:r>
        <w:rPr>
          <w:spacing w:val="-3"/>
        </w:rPr>
        <w:t xml:space="preserve"> </w:t>
      </w:r>
      <w:r>
        <w:t>how</w:t>
      </w:r>
      <w:r>
        <w:rPr>
          <w:spacing w:val="-3"/>
        </w:rPr>
        <w:t xml:space="preserve"> </w:t>
      </w:r>
      <w:r>
        <w:t>has</w:t>
      </w:r>
      <w:r>
        <w:rPr>
          <w:spacing w:val="-5"/>
        </w:rPr>
        <w:t xml:space="preserve"> </w:t>
      </w:r>
      <w:r>
        <w:t>VAPJP</w:t>
      </w:r>
      <w:r>
        <w:rPr>
          <w:spacing w:val="-7"/>
        </w:rPr>
        <w:t xml:space="preserve"> </w:t>
      </w:r>
      <w:r>
        <w:t>adapted</w:t>
      </w:r>
      <w:r>
        <w:rPr>
          <w:spacing w:val="-5"/>
        </w:rPr>
        <w:t xml:space="preserve"> </w:t>
      </w:r>
      <w:r>
        <w:t>to</w:t>
      </w:r>
      <w:r>
        <w:rPr>
          <w:spacing w:val="-6"/>
        </w:rPr>
        <w:t xml:space="preserve"> </w:t>
      </w:r>
      <w:r>
        <w:rPr>
          <w:spacing w:val="-2"/>
        </w:rPr>
        <w:t>this?</w:t>
      </w:r>
    </w:p>
    <w:p w14:paraId="72867000" w14:textId="77777777" w:rsidR="009C36E3" w:rsidRDefault="000E7207">
      <w:pPr>
        <w:pStyle w:val="BodyText"/>
        <w:spacing w:before="120"/>
        <w:ind w:left="772" w:right="120"/>
      </w:pPr>
      <w:r>
        <w:t>KRQ</w:t>
      </w:r>
      <w:r>
        <w:rPr>
          <w:spacing w:val="-3"/>
        </w:rPr>
        <w:t xml:space="preserve"> </w:t>
      </w:r>
      <w:r>
        <w:t>3.2</w:t>
      </w:r>
      <w:r>
        <w:rPr>
          <w:spacing w:val="-4"/>
        </w:rPr>
        <w:t xml:space="preserve"> </w:t>
      </w:r>
      <w:r>
        <w:t>To</w:t>
      </w:r>
      <w:r>
        <w:rPr>
          <w:spacing w:val="-4"/>
        </w:rPr>
        <w:t xml:space="preserve"> </w:t>
      </w:r>
      <w:r>
        <w:t>what</w:t>
      </w:r>
      <w:r>
        <w:rPr>
          <w:spacing w:val="-2"/>
        </w:rPr>
        <w:t xml:space="preserve"> </w:t>
      </w:r>
      <w:r>
        <w:t>extent</w:t>
      </w:r>
      <w:r>
        <w:rPr>
          <w:spacing w:val="-2"/>
        </w:rPr>
        <w:t xml:space="preserve"> </w:t>
      </w:r>
      <w:r>
        <w:t>does</w:t>
      </w:r>
      <w:r>
        <w:rPr>
          <w:spacing w:val="-3"/>
        </w:rPr>
        <w:t xml:space="preserve"> </w:t>
      </w:r>
      <w:r>
        <w:t>the</w:t>
      </w:r>
      <w:r>
        <w:rPr>
          <w:spacing w:val="-2"/>
        </w:rPr>
        <w:t xml:space="preserve"> </w:t>
      </w:r>
      <w:r>
        <w:t>VAPJP</w:t>
      </w:r>
      <w:r>
        <w:rPr>
          <w:spacing w:val="-2"/>
        </w:rPr>
        <w:t xml:space="preserve"> </w:t>
      </w:r>
      <w:r>
        <w:t>design</w:t>
      </w:r>
      <w:r>
        <w:rPr>
          <w:spacing w:val="-4"/>
        </w:rPr>
        <w:t xml:space="preserve"> </w:t>
      </w:r>
      <w:r>
        <w:t>remain</w:t>
      </w:r>
      <w:r>
        <w:rPr>
          <w:spacing w:val="-4"/>
        </w:rPr>
        <w:t xml:space="preserve"> </w:t>
      </w:r>
      <w:r>
        <w:t>strategically</w:t>
      </w:r>
      <w:r>
        <w:rPr>
          <w:spacing w:val="-3"/>
        </w:rPr>
        <w:t xml:space="preserve"> </w:t>
      </w:r>
      <w:r>
        <w:t>aligned</w:t>
      </w:r>
      <w:r>
        <w:rPr>
          <w:spacing w:val="-2"/>
        </w:rPr>
        <w:t xml:space="preserve"> </w:t>
      </w:r>
      <w:r>
        <w:t>to</w:t>
      </w:r>
      <w:r>
        <w:rPr>
          <w:spacing w:val="-2"/>
        </w:rPr>
        <w:t xml:space="preserve"> </w:t>
      </w:r>
      <w:r>
        <w:t>Australia’s</w:t>
      </w:r>
      <w:r>
        <w:rPr>
          <w:spacing w:val="-3"/>
        </w:rPr>
        <w:t xml:space="preserve"> </w:t>
      </w:r>
      <w:r>
        <w:t>interests</w:t>
      </w:r>
      <w:r>
        <w:rPr>
          <w:spacing w:val="-3"/>
        </w:rPr>
        <w:t xml:space="preserve"> </w:t>
      </w:r>
      <w:r>
        <w:t>and comparative advantage, and Vanuatu government development priorities?</w:t>
      </w:r>
    </w:p>
    <w:p w14:paraId="2A83A3B1" w14:textId="77777777" w:rsidR="009C36E3" w:rsidRDefault="000E7207">
      <w:pPr>
        <w:pStyle w:val="BodyText"/>
        <w:spacing w:before="121"/>
        <w:ind w:left="772"/>
      </w:pPr>
      <w:r>
        <w:t>KRQ</w:t>
      </w:r>
      <w:r>
        <w:rPr>
          <w:spacing w:val="-5"/>
        </w:rPr>
        <w:t xml:space="preserve"> </w:t>
      </w:r>
      <w:r>
        <w:t>3.3</w:t>
      </w:r>
      <w:r>
        <w:rPr>
          <w:spacing w:val="-6"/>
        </w:rPr>
        <w:t xml:space="preserve"> </w:t>
      </w:r>
      <w:r>
        <w:t>To</w:t>
      </w:r>
      <w:r>
        <w:rPr>
          <w:spacing w:val="-6"/>
        </w:rPr>
        <w:t xml:space="preserve"> </w:t>
      </w:r>
      <w:r>
        <w:t>what</w:t>
      </w:r>
      <w:r>
        <w:rPr>
          <w:spacing w:val="-4"/>
        </w:rPr>
        <w:t xml:space="preserve"> </w:t>
      </w:r>
      <w:r>
        <w:t>extent</w:t>
      </w:r>
      <w:r>
        <w:rPr>
          <w:spacing w:val="-3"/>
        </w:rPr>
        <w:t xml:space="preserve"> </w:t>
      </w:r>
      <w:r>
        <w:t>are</w:t>
      </w:r>
      <w:r>
        <w:rPr>
          <w:spacing w:val="-6"/>
        </w:rPr>
        <w:t xml:space="preserve"> </w:t>
      </w:r>
      <w:r>
        <w:t>VAPJP</w:t>
      </w:r>
      <w:r>
        <w:rPr>
          <w:spacing w:val="-7"/>
        </w:rPr>
        <w:t xml:space="preserve"> </w:t>
      </w:r>
      <w:r>
        <w:t>outcomes</w:t>
      </w:r>
      <w:r>
        <w:rPr>
          <w:spacing w:val="-5"/>
        </w:rPr>
        <w:t xml:space="preserve"> </w:t>
      </w:r>
      <w:r>
        <w:rPr>
          <w:spacing w:val="-2"/>
        </w:rPr>
        <w:t>sustainable?</w:t>
      </w:r>
    </w:p>
    <w:p w14:paraId="172B822A" w14:textId="77777777" w:rsidR="009C36E3" w:rsidRDefault="000E7207">
      <w:pPr>
        <w:spacing w:before="118"/>
        <w:ind w:left="1492" w:right="634"/>
        <w:jc w:val="both"/>
        <w:rPr>
          <w:i/>
          <w:sz w:val="20"/>
        </w:rPr>
      </w:pPr>
      <w:r>
        <w:rPr>
          <w:noProof/>
        </w:rPr>
        <mc:AlternateContent>
          <mc:Choice Requires="wps">
            <w:drawing>
              <wp:anchor distT="0" distB="0" distL="0" distR="0" simplePos="0" relativeHeight="251657216" behindDoc="0" locked="0" layoutInCell="1" allowOverlap="1" wp14:anchorId="65497342" wp14:editId="66F8C21A">
                <wp:simplePos x="0" y="0"/>
                <wp:positionH relativeFrom="page">
                  <wp:posOffset>573317</wp:posOffset>
                </wp:positionH>
                <wp:positionV relativeFrom="paragraph">
                  <wp:posOffset>117806</wp:posOffset>
                </wp:positionV>
                <wp:extent cx="275590" cy="274955"/>
                <wp:effectExtent l="0" t="0" r="0" b="0"/>
                <wp:wrapNone/>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395EC75F" id="Graphic 102" o:spid="_x0000_s1026" alt="&quot;&quot;" style="position:absolute;margin-left:45.15pt;margin-top:9.3pt;width:21.7pt;height:21.65pt;z-index:15754240;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&#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3"/>
          <w:sz w:val="20"/>
        </w:rPr>
        <w:t xml:space="preserve"> </w:t>
      </w:r>
      <w:r>
        <w:rPr>
          <w:i/>
          <w:color w:val="007B92"/>
          <w:sz w:val="20"/>
        </w:rPr>
        <w:t>Many</w:t>
      </w:r>
      <w:r>
        <w:rPr>
          <w:i/>
          <w:color w:val="007B92"/>
          <w:spacing w:val="-3"/>
          <w:sz w:val="20"/>
        </w:rPr>
        <w:t xml:space="preserve"> </w:t>
      </w:r>
      <w:r>
        <w:rPr>
          <w:i/>
          <w:color w:val="007B92"/>
          <w:sz w:val="20"/>
        </w:rPr>
        <w:t>of</w:t>
      </w:r>
      <w:r>
        <w:rPr>
          <w:i/>
          <w:color w:val="007B92"/>
          <w:spacing w:val="-2"/>
          <w:sz w:val="20"/>
        </w:rPr>
        <w:t xml:space="preserve"> </w:t>
      </w:r>
      <w:r>
        <w:rPr>
          <w:i/>
          <w:color w:val="007B92"/>
          <w:sz w:val="20"/>
        </w:rPr>
        <w:t>the</w:t>
      </w:r>
      <w:r>
        <w:rPr>
          <w:i/>
          <w:color w:val="007B92"/>
          <w:spacing w:val="-4"/>
          <w:sz w:val="20"/>
        </w:rPr>
        <w:t xml:space="preserve"> </w:t>
      </w:r>
      <w:r>
        <w:rPr>
          <w:i/>
          <w:color w:val="007B92"/>
          <w:sz w:val="20"/>
        </w:rPr>
        <w:t>contextual</w:t>
      </w:r>
      <w:r>
        <w:rPr>
          <w:i/>
          <w:color w:val="007B92"/>
          <w:spacing w:val="-5"/>
          <w:sz w:val="20"/>
        </w:rPr>
        <w:t xml:space="preserve"> </w:t>
      </w:r>
      <w:r>
        <w:rPr>
          <w:i/>
          <w:color w:val="007B92"/>
          <w:sz w:val="20"/>
        </w:rPr>
        <w:t>factors</w:t>
      </w:r>
      <w:r>
        <w:rPr>
          <w:i/>
          <w:color w:val="007B92"/>
          <w:spacing w:val="-3"/>
          <w:sz w:val="20"/>
        </w:rPr>
        <w:t xml:space="preserve"> </w:t>
      </w:r>
      <w:r>
        <w:rPr>
          <w:i/>
          <w:color w:val="007B92"/>
          <w:sz w:val="20"/>
        </w:rPr>
        <w:t>and</w:t>
      </w:r>
      <w:r>
        <w:rPr>
          <w:i/>
          <w:color w:val="007B92"/>
          <w:spacing w:val="-2"/>
          <w:sz w:val="20"/>
        </w:rPr>
        <w:t xml:space="preserve"> </w:t>
      </w:r>
      <w:r>
        <w:rPr>
          <w:i/>
          <w:color w:val="007B92"/>
          <w:sz w:val="20"/>
        </w:rPr>
        <w:t>risks</w:t>
      </w:r>
      <w:r>
        <w:rPr>
          <w:i/>
          <w:color w:val="007B92"/>
          <w:spacing w:val="-3"/>
          <w:sz w:val="20"/>
        </w:rPr>
        <w:t xml:space="preserve"> </w:t>
      </w:r>
      <w:r>
        <w:rPr>
          <w:i/>
          <w:color w:val="007B92"/>
          <w:sz w:val="20"/>
        </w:rPr>
        <w:t>identified</w:t>
      </w:r>
      <w:r>
        <w:rPr>
          <w:i/>
          <w:color w:val="007B92"/>
          <w:spacing w:val="-2"/>
          <w:sz w:val="20"/>
        </w:rPr>
        <w:t xml:space="preserve"> </w:t>
      </w:r>
      <w:r>
        <w:rPr>
          <w:i/>
          <w:color w:val="007B92"/>
          <w:sz w:val="20"/>
        </w:rPr>
        <w:t>in</w:t>
      </w:r>
      <w:r>
        <w:rPr>
          <w:i/>
          <w:color w:val="007B92"/>
          <w:spacing w:val="-4"/>
          <w:sz w:val="20"/>
        </w:rPr>
        <w:t xml:space="preserve"> </w:t>
      </w:r>
      <w:r>
        <w:rPr>
          <w:i/>
          <w:color w:val="007B92"/>
          <w:sz w:val="20"/>
        </w:rPr>
        <w:t>the</w:t>
      </w:r>
      <w:r>
        <w:rPr>
          <w:i/>
          <w:color w:val="007B92"/>
          <w:spacing w:val="-4"/>
          <w:sz w:val="20"/>
        </w:rPr>
        <w:t xml:space="preserve"> </w:t>
      </w:r>
      <w:r>
        <w:rPr>
          <w:i/>
          <w:color w:val="007B92"/>
          <w:sz w:val="20"/>
        </w:rPr>
        <w:t>2020</w:t>
      </w:r>
      <w:r>
        <w:rPr>
          <w:i/>
          <w:color w:val="007B92"/>
          <w:spacing w:val="-2"/>
          <w:sz w:val="20"/>
        </w:rPr>
        <w:t xml:space="preserve"> </w:t>
      </w:r>
      <w:r>
        <w:rPr>
          <w:i/>
          <w:color w:val="007B92"/>
          <w:sz w:val="20"/>
        </w:rPr>
        <w:t>Design</w:t>
      </w:r>
      <w:r>
        <w:rPr>
          <w:i/>
          <w:color w:val="007B92"/>
          <w:spacing w:val="-4"/>
          <w:sz w:val="20"/>
        </w:rPr>
        <w:t xml:space="preserve"> </w:t>
      </w:r>
      <w:r>
        <w:rPr>
          <w:i/>
          <w:color w:val="007B92"/>
          <w:sz w:val="20"/>
        </w:rPr>
        <w:t>Update</w:t>
      </w:r>
      <w:r>
        <w:rPr>
          <w:i/>
          <w:color w:val="007B92"/>
          <w:spacing w:val="-4"/>
          <w:sz w:val="20"/>
        </w:rPr>
        <w:t xml:space="preserve"> </w:t>
      </w:r>
      <w:r>
        <w:rPr>
          <w:i/>
          <w:color w:val="007B92"/>
          <w:sz w:val="20"/>
        </w:rPr>
        <w:t>continue</w:t>
      </w:r>
      <w:r>
        <w:rPr>
          <w:i/>
          <w:color w:val="007B92"/>
          <w:spacing w:val="-2"/>
          <w:sz w:val="20"/>
        </w:rPr>
        <w:t xml:space="preserve"> </w:t>
      </w:r>
      <w:r>
        <w:rPr>
          <w:i/>
          <w:color w:val="007B92"/>
          <w:sz w:val="20"/>
        </w:rPr>
        <w:t>to</w:t>
      </w:r>
      <w:r>
        <w:rPr>
          <w:i/>
          <w:color w:val="007B92"/>
          <w:spacing w:val="-2"/>
          <w:sz w:val="20"/>
        </w:rPr>
        <w:t xml:space="preserve"> </w:t>
      </w:r>
      <w:r>
        <w:rPr>
          <w:i/>
          <w:color w:val="007B92"/>
          <w:sz w:val="20"/>
        </w:rPr>
        <w:t>be relevant to VAPJP. The program</w:t>
      </w:r>
      <w:r>
        <w:rPr>
          <w:i/>
          <w:color w:val="007B92"/>
          <w:spacing w:val="-2"/>
          <w:sz w:val="20"/>
        </w:rPr>
        <w:t xml:space="preserve"> </w:t>
      </w:r>
      <w:r>
        <w:rPr>
          <w:i/>
          <w:color w:val="007B92"/>
          <w:sz w:val="20"/>
        </w:rPr>
        <w:t>has</w:t>
      </w:r>
      <w:r>
        <w:rPr>
          <w:i/>
          <w:color w:val="007B92"/>
          <w:spacing w:val="-1"/>
          <w:sz w:val="20"/>
        </w:rPr>
        <w:t xml:space="preserve"> </w:t>
      </w:r>
      <w:r>
        <w:rPr>
          <w:i/>
          <w:color w:val="007B92"/>
          <w:sz w:val="20"/>
        </w:rPr>
        <w:t>pivoted to</w:t>
      </w:r>
      <w:r>
        <w:rPr>
          <w:i/>
          <w:color w:val="007B92"/>
          <w:spacing w:val="-2"/>
          <w:sz w:val="20"/>
        </w:rPr>
        <w:t xml:space="preserve"> </w:t>
      </w:r>
      <w:r>
        <w:rPr>
          <w:i/>
          <w:color w:val="007B92"/>
          <w:sz w:val="20"/>
        </w:rPr>
        <w:t>respond</w:t>
      </w:r>
      <w:r>
        <w:rPr>
          <w:i/>
          <w:color w:val="007B92"/>
          <w:spacing w:val="-2"/>
          <w:sz w:val="20"/>
        </w:rPr>
        <w:t xml:space="preserve"> </w:t>
      </w:r>
      <w:r>
        <w:rPr>
          <w:i/>
          <w:color w:val="007B92"/>
          <w:sz w:val="20"/>
        </w:rPr>
        <w:t>to</w:t>
      </w:r>
      <w:r>
        <w:rPr>
          <w:i/>
          <w:color w:val="007B92"/>
          <w:spacing w:val="-2"/>
          <w:sz w:val="20"/>
        </w:rPr>
        <w:t xml:space="preserve"> </w:t>
      </w:r>
      <w:r>
        <w:rPr>
          <w:i/>
          <w:color w:val="007B92"/>
          <w:sz w:val="20"/>
        </w:rPr>
        <w:t>the impact</w:t>
      </w:r>
      <w:r>
        <w:rPr>
          <w:i/>
          <w:color w:val="007B92"/>
          <w:spacing w:val="-2"/>
          <w:sz w:val="20"/>
        </w:rPr>
        <w:t xml:space="preserve"> </w:t>
      </w:r>
      <w:r>
        <w:rPr>
          <w:i/>
          <w:color w:val="007B92"/>
          <w:sz w:val="20"/>
        </w:rPr>
        <w:t>on the policing, law and justice sector of continued serious natural disasters and a whole of Vanuatu government cyber-attack. The</w:t>
      </w:r>
    </w:p>
    <w:p w14:paraId="7B2D35F5" w14:textId="77777777" w:rsidR="009C36E3" w:rsidRDefault="000E7207">
      <w:pPr>
        <w:spacing w:before="2"/>
        <w:ind w:left="772" w:right="185"/>
        <w:jc w:val="both"/>
        <w:rPr>
          <w:i/>
          <w:sz w:val="20"/>
        </w:rPr>
      </w:pPr>
      <w:r>
        <w:rPr>
          <w:i/>
          <w:color w:val="007B92"/>
          <w:sz w:val="20"/>
        </w:rPr>
        <w:t>program</w:t>
      </w:r>
      <w:r>
        <w:rPr>
          <w:i/>
          <w:color w:val="007B92"/>
          <w:spacing w:val="-2"/>
          <w:sz w:val="20"/>
        </w:rPr>
        <w:t xml:space="preserve"> </w:t>
      </w:r>
      <w:r>
        <w:rPr>
          <w:i/>
          <w:color w:val="007B92"/>
          <w:sz w:val="20"/>
        </w:rPr>
        <w:t>has</w:t>
      </w:r>
      <w:r>
        <w:rPr>
          <w:i/>
          <w:color w:val="007B92"/>
          <w:spacing w:val="-3"/>
          <w:sz w:val="20"/>
        </w:rPr>
        <w:t xml:space="preserve"> </w:t>
      </w:r>
      <w:r>
        <w:rPr>
          <w:i/>
          <w:color w:val="007B92"/>
          <w:sz w:val="20"/>
        </w:rPr>
        <w:t>adapted</w:t>
      </w:r>
      <w:r>
        <w:rPr>
          <w:i/>
          <w:color w:val="007B92"/>
          <w:spacing w:val="-2"/>
          <w:sz w:val="20"/>
        </w:rPr>
        <w:t xml:space="preserve"> </w:t>
      </w:r>
      <w:r>
        <w:rPr>
          <w:i/>
          <w:color w:val="007B92"/>
          <w:sz w:val="20"/>
        </w:rPr>
        <w:t>to</w:t>
      </w:r>
      <w:r>
        <w:rPr>
          <w:i/>
          <w:color w:val="007B92"/>
          <w:spacing w:val="-4"/>
          <w:sz w:val="20"/>
        </w:rPr>
        <w:t xml:space="preserve"> </w:t>
      </w:r>
      <w:r>
        <w:rPr>
          <w:i/>
          <w:color w:val="007B92"/>
          <w:sz w:val="20"/>
        </w:rPr>
        <w:t>continuing</w:t>
      </w:r>
      <w:r>
        <w:rPr>
          <w:i/>
          <w:color w:val="007B92"/>
          <w:spacing w:val="-4"/>
          <w:sz w:val="20"/>
        </w:rPr>
        <w:t xml:space="preserve"> </w:t>
      </w:r>
      <w:r>
        <w:rPr>
          <w:i/>
          <w:color w:val="007B92"/>
          <w:sz w:val="20"/>
        </w:rPr>
        <w:t>GoV</w:t>
      </w:r>
      <w:r>
        <w:rPr>
          <w:i/>
          <w:color w:val="007B92"/>
          <w:spacing w:val="-2"/>
          <w:sz w:val="20"/>
        </w:rPr>
        <w:t xml:space="preserve"> </w:t>
      </w:r>
      <w:r>
        <w:rPr>
          <w:i/>
          <w:color w:val="007B92"/>
          <w:sz w:val="20"/>
        </w:rPr>
        <w:t>instability,</w:t>
      </w:r>
      <w:r>
        <w:rPr>
          <w:i/>
          <w:color w:val="007B92"/>
          <w:spacing w:val="-2"/>
          <w:sz w:val="20"/>
        </w:rPr>
        <w:t xml:space="preserve"> </w:t>
      </w:r>
      <w:r>
        <w:rPr>
          <w:i/>
          <w:color w:val="007B92"/>
          <w:sz w:val="20"/>
        </w:rPr>
        <w:t>including</w:t>
      </w:r>
      <w:r>
        <w:rPr>
          <w:i/>
          <w:color w:val="007B92"/>
          <w:spacing w:val="-2"/>
          <w:sz w:val="20"/>
        </w:rPr>
        <w:t xml:space="preserve"> </w:t>
      </w:r>
      <w:r>
        <w:rPr>
          <w:i/>
          <w:color w:val="007B92"/>
          <w:sz w:val="20"/>
        </w:rPr>
        <w:t>in</w:t>
      </w:r>
      <w:r>
        <w:rPr>
          <w:i/>
          <w:color w:val="007B92"/>
          <w:spacing w:val="-4"/>
          <w:sz w:val="20"/>
        </w:rPr>
        <w:t xml:space="preserve"> </w:t>
      </w:r>
      <w:r>
        <w:rPr>
          <w:i/>
          <w:color w:val="007B92"/>
          <w:sz w:val="20"/>
        </w:rPr>
        <w:t>the</w:t>
      </w:r>
      <w:r>
        <w:rPr>
          <w:i/>
          <w:color w:val="007B92"/>
          <w:spacing w:val="-2"/>
          <w:sz w:val="20"/>
        </w:rPr>
        <w:t xml:space="preserve"> </w:t>
      </w:r>
      <w:r>
        <w:rPr>
          <w:i/>
          <w:color w:val="007B92"/>
          <w:sz w:val="20"/>
        </w:rPr>
        <w:t>leadership</w:t>
      </w:r>
      <w:r>
        <w:rPr>
          <w:i/>
          <w:color w:val="007B92"/>
          <w:spacing w:val="-4"/>
          <w:sz w:val="20"/>
        </w:rPr>
        <w:t xml:space="preserve"> </w:t>
      </w:r>
      <w:r>
        <w:rPr>
          <w:i/>
          <w:color w:val="007B92"/>
          <w:sz w:val="20"/>
        </w:rPr>
        <w:t>of</w:t>
      </w:r>
      <w:r>
        <w:rPr>
          <w:i/>
          <w:color w:val="007B92"/>
          <w:spacing w:val="-2"/>
          <w:sz w:val="20"/>
        </w:rPr>
        <w:t xml:space="preserve"> </w:t>
      </w:r>
      <w:r>
        <w:rPr>
          <w:i/>
          <w:color w:val="007B92"/>
          <w:sz w:val="20"/>
        </w:rPr>
        <w:t>the</w:t>
      </w:r>
      <w:r>
        <w:rPr>
          <w:i/>
          <w:color w:val="007B92"/>
          <w:spacing w:val="-4"/>
          <w:sz w:val="20"/>
        </w:rPr>
        <w:t xml:space="preserve"> </w:t>
      </w:r>
      <w:r>
        <w:rPr>
          <w:i/>
          <w:color w:val="007B92"/>
          <w:sz w:val="20"/>
        </w:rPr>
        <w:t>MJCS,</w:t>
      </w:r>
      <w:r>
        <w:rPr>
          <w:i/>
          <w:color w:val="007B92"/>
          <w:spacing w:val="-4"/>
          <w:sz w:val="20"/>
        </w:rPr>
        <w:t xml:space="preserve"> </w:t>
      </w:r>
      <w:r>
        <w:rPr>
          <w:i/>
          <w:color w:val="007B92"/>
          <w:sz w:val="20"/>
        </w:rPr>
        <w:t>although</w:t>
      </w:r>
      <w:r>
        <w:rPr>
          <w:i/>
          <w:color w:val="007B92"/>
          <w:spacing w:val="-4"/>
          <w:sz w:val="20"/>
        </w:rPr>
        <w:t xml:space="preserve"> </w:t>
      </w:r>
      <w:r>
        <w:rPr>
          <w:i/>
          <w:color w:val="007B92"/>
          <w:sz w:val="20"/>
        </w:rPr>
        <w:t>this</w:t>
      </w:r>
      <w:r>
        <w:rPr>
          <w:i/>
          <w:color w:val="007B92"/>
          <w:spacing w:val="-3"/>
          <w:sz w:val="20"/>
        </w:rPr>
        <w:t xml:space="preserve"> </w:t>
      </w:r>
      <w:r>
        <w:rPr>
          <w:i/>
          <w:color w:val="007B92"/>
          <w:sz w:val="20"/>
        </w:rPr>
        <w:t xml:space="preserve">has been </w:t>
      </w:r>
      <w:r>
        <w:rPr>
          <w:i/>
          <w:color w:val="007B92"/>
          <w:spacing w:val="-2"/>
          <w:sz w:val="20"/>
        </w:rPr>
        <w:t>challenging.</w:t>
      </w:r>
    </w:p>
    <w:p w14:paraId="107BFAC2" w14:textId="77777777" w:rsidR="009C36E3" w:rsidRDefault="000E7207">
      <w:pPr>
        <w:spacing w:before="121"/>
        <w:ind w:left="1491" w:right="120"/>
        <w:rPr>
          <w:i/>
          <w:sz w:val="20"/>
        </w:rPr>
      </w:pPr>
      <w:r>
        <w:rPr>
          <w:noProof/>
        </w:rPr>
        <mc:AlternateContent>
          <mc:Choice Requires="wps">
            <w:drawing>
              <wp:anchor distT="0" distB="0" distL="0" distR="0" simplePos="0" relativeHeight="251656192" behindDoc="0" locked="0" layoutInCell="1" allowOverlap="1" wp14:anchorId="61230B2E" wp14:editId="7C12594C">
                <wp:simplePos x="0" y="0"/>
                <wp:positionH relativeFrom="page">
                  <wp:posOffset>573317</wp:posOffset>
                </wp:positionH>
                <wp:positionV relativeFrom="paragraph">
                  <wp:posOffset>124155</wp:posOffset>
                </wp:positionV>
                <wp:extent cx="275590" cy="274955"/>
                <wp:effectExtent l="0" t="0" r="0" b="0"/>
                <wp:wrapNone/>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47A8FA0F" id="Graphic 103" o:spid="_x0000_s1026" alt="&quot;&quot;" style="position:absolute;margin-left:45.15pt;margin-top:9.8pt;width:21.7pt;height:21.65pt;z-index:15753728;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Finding:</w:t>
      </w:r>
      <w:r>
        <w:rPr>
          <w:b/>
          <w:i/>
          <w:color w:val="007B92"/>
          <w:spacing w:val="-3"/>
          <w:sz w:val="20"/>
        </w:rPr>
        <w:t xml:space="preserve"> </w:t>
      </w:r>
      <w:r>
        <w:rPr>
          <w:i/>
          <w:color w:val="007B92"/>
          <w:sz w:val="20"/>
        </w:rPr>
        <w:t>The</w:t>
      </w:r>
      <w:r>
        <w:rPr>
          <w:i/>
          <w:color w:val="007B92"/>
          <w:spacing w:val="-4"/>
          <w:sz w:val="20"/>
        </w:rPr>
        <w:t xml:space="preserve"> </w:t>
      </w:r>
      <w:r>
        <w:rPr>
          <w:i/>
          <w:color w:val="007B92"/>
          <w:sz w:val="20"/>
        </w:rPr>
        <w:t>VAPJP</w:t>
      </w:r>
      <w:r>
        <w:rPr>
          <w:i/>
          <w:color w:val="007B92"/>
          <w:spacing w:val="-5"/>
          <w:sz w:val="20"/>
        </w:rPr>
        <w:t xml:space="preserve"> </w:t>
      </w:r>
      <w:r>
        <w:rPr>
          <w:i/>
          <w:color w:val="007B92"/>
          <w:sz w:val="20"/>
        </w:rPr>
        <w:t>remains</w:t>
      </w:r>
      <w:r>
        <w:rPr>
          <w:i/>
          <w:color w:val="007B92"/>
          <w:spacing w:val="-3"/>
          <w:sz w:val="20"/>
        </w:rPr>
        <w:t xml:space="preserve"> </w:t>
      </w:r>
      <w:r>
        <w:rPr>
          <w:i/>
          <w:color w:val="007B92"/>
          <w:sz w:val="20"/>
        </w:rPr>
        <w:t>strategically</w:t>
      </w:r>
      <w:r>
        <w:rPr>
          <w:i/>
          <w:color w:val="007B92"/>
          <w:spacing w:val="-3"/>
          <w:sz w:val="20"/>
        </w:rPr>
        <w:t xml:space="preserve"> </w:t>
      </w:r>
      <w:r>
        <w:rPr>
          <w:i/>
          <w:color w:val="007B92"/>
          <w:sz w:val="20"/>
        </w:rPr>
        <w:t>aligned</w:t>
      </w:r>
      <w:r>
        <w:rPr>
          <w:i/>
          <w:color w:val="007B92"/>
          <w:spacing w:val="-4"/>
          <w:sz w:val="20"/>
        </w:rPr>
        <w:t xml:space="preserve"> </w:t>
      </w:r>
      <w:r>
        <w:rPr>
          <w:i/>
          <w:color w:val="007B92"/>
          <w:sz w:val="20"/>
        </w:rPr>
        <w:t>to</w:t>
      </w:r>
      <w:r>
        <w:rPr>
          <w:i/>
          <w:color w:val="007B92"/>
          <w:spacing w:val="-2"/>
          <w:sz w:val="20"/>
        </w:rPr>
        <w:t xml:space="preserve"> </w:t>
      </w:r>
      <w:r>
        <w:rPr>
          <w:i/>
          <w:color w:val="007B92"/>
          <w:sz w:val="20"/>
        </w:rPr>
        <w:t>Australia’s interests</w:t>
      </w:r>
      <w:r>
        <w:rPr>
          <w:i/>
          <w:color w:val="007B92"/>
          <w:spacing w:val="-3"/>
          <w:sz w:val="20"/>
        </w:rPr>
        <w:t xml:space="preserve"> </w:t>
      </w:r>
      <w:r>
        <w:rPr>
          <w:i/>
          <w:color w:val="007B92"/>
          <w:sz w:val="20"/>
        </w:rPr>
        <w:t>and</w:t>
      </w:r>
      <w:r>
        <w:rPr>
          <w:i/>
          <w:color w:val="007B92"/>
          <w:spacing w:val="-4"/>
          <w:sz w:val="20"/>
        </w:rPr>
        <w:t xml:space="preserve"> </w:t>
      </w:r>
      <w:r>
        <w:rPr>
          <w:i/>
          <w:color w:val="007B92"/>
          <w:sz w:val="20"/>
        </w:rPr>
        <w:t>comparative</w:t>
      </w:r>
      <w:r>
        <w:rPr>
          <w:i/>
          <w:color w:val="007B92"/>
          <w:spacing w:val="-2"/>
          <w:sz w:val="20"/>
        </w:rPr>
        <w:t xml:space="preserve"> </w:t>
      </w:r>
      <w:r>
        <w:rPr>
          <w:i/>
          <w:color w:val="007B92"/>
          <w:sz w:val="20"/>
        </w:rPr>
        <w:t>advantage.</w:t>
      </w:r>
      <w:r>
        <w:rPr>
          <w:i/>
          <w:color w:val="007B92"/>
          <w:spacing w:val="-4"/>
          <w:sz w:val="20"/>
        </w:rPr>
        <w:t xml:space="preserve"> </w:t>
      </w:r>
      <w:r>
        <w:rPr>
          <w:i/>
          <w:color w:val="007B92"/>
          <w:sz w:val="20"/>
        </w:rPr>
        <w:t>The program is aligned to Australia’s new international development policy (2023), the Australia Vanuatu bilateral security agreement (2022) and the expected contents of the forthcoming DFAT gender strategy</w:t>
      </w:r>
    </w:p>
    <w:p w14:paraId="709A8D6B" w14:textId="2D2D51CC" w:rsidR="009C36E3" w:rsidRPr="00327417" w:rsidRDefault="00327417" w:rsidP="00327417">
      <w:pPr>
        <w:spacing w:after="360" w:line="229" w:lineRule="exact"/>
        <w:ind w:left="771"/>
        <w:rPr>
          <w:i/>
          <w:sz w:val="20"/>
        </w:rPr>
      </w:pPr>
      <w:r>
        <w:rPr>
          <w:noProof/>
        </w:rPr>
        <mc:AlternateContent>
          <mc:Choice Requires="wps">
            <w:drawing>
              <wp:anchor distT="0" distB="0" distL="0" distR="0" simplePos="0" relativeHeight="251687936" behindDoc="1" locked="0" layoutInCell="1" allowOverlap="1" wp14:anchorId="3C072F26" wp14:editId="23F894E8">
                <wp:simplePos x="0" y="0"/>
                <wp:positionH relativeFrom="page">
                  <wp:posOffset>540385</wp:posOffset>
                </wp:positionH>
                <wp:positionV relativeFrom="paragraph">
                  <wp:posOffset>292570</wp:posOffset>
                </wp:positionV>
                <wp:extent cx="1828800" cy="6350"/>
                <wp:effectExtent l="0" t="0" r="0" b="0"/>
                <wp:wrapTopAndBottom/>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135277" id="Graphic 104" o:spid="_x0000_s1026" alt="&quot;&quot;" style="position:absolute;margin-left:42.55pt;margin-top:23.05pt;width:2in;height:.5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" path="m1828800,l,,,6096r1828800,l1828800,xe" fillcolor="black" stroked="f">
                <v:path arrowok="t"/>
                <w10:wrap type="topAndBottom" anchorx="page"/>
              </v:shape>
            </w:pict>
          </mc:Fallback>
        </mc:AlternateContent>
      </w:r>
      <w:r w:rsidR="000E7207">
        <w:rPr>
          <w:i/>
          <w:color w:val="007B92"/>
          <w:sz w:val="20"/>
        </w:rPr>
        <w:t>and</w:t>
      </w:r>
      <w:r w:rsidR="000E7207">
        <w:rPr>
          <w:i/>
          <w:color w:val="007B92"/>
          <w:spacing w:val="-7"/>
          <w:sz w:val="20"/>
        </w:rPr>
        <w:t xml:space="preserve"> </w:t>
      </w:r>
      <w:r w:rsidR="000E7207">
        <w:rPr>
          <w:i/>
          <w:color w:val="007B92"/>
          <w:sz w:val="20"/>
        </w:rPr>
        <w:t>DFAT</w:t>
      </w:r>
      <w:r w:rsidR="000E7207">
        <w:rPr>
          <w:i/>
          <w:color w:val="007B92"/>
          <w:spacing w:val="-6"/>
          <w:sz w:val="20"/>
        </w:rPr>
        <w:t xml:space="preserve"> </w:t>
      </w:r>
      <w:r w:rsidR="000E7207">
        <w:rPr>
          <w:i/>
          <w:color w:val="007B92"/>
          <w:sz w:val="20"/>
        </w:rPr>
        <w:t>disability</w:t>
      </w:r>
      <w:r w:rsidR="000E7207">
        <w:rPr>
          <w:i/>
          <w:color w:val="007B92"/>
          <w:spacing w:val="-6"/>
          <w:sz w:val="20"/>
        </w:rPr>
        <w:t xml:space="preserve"> </w:t>
      </w:r>
      <w:r w:rsidR="000E7207">
        <w:rPr>
          <w:i/>
          <w:color w:val="007B92"/>
          <w:sz w:val="20"/>
        </w:rPr>
        <w:t>equity</w:t>
      </w:r>
      <w:r w:rsidR="000E7207">
        <w:rPr>
          <w:i/>
          <w:color w:val="007B92"/>
          <w:spacing w:val="-4"/>
          <w:sz w:val="20"/>
        </w:rPr>
        <w:t xml:space="preserve"> </w:t>
      </w:r>
      <w:r w:rsidR="000E7207">
        <w:rPr>
          <w:i/>
          <w:color w:val="007B92"/>
          <w:sz w:val="20"/>
        </w:rPr>
        <w:t>and</w:t>
      </w:r>
      <w:r w:rsidR="000E7207">
        <w:rPr>
          <w:i/>
          <w:color w:val="007B92"/>
          <w:spacing w:val="-7"/>
          <w:sz w:val="20"/>
        </w:rPr>
        <w:t xml:space="preserve"> </w:t>
      </w:r>
      <w:r w:rsidR="000E7207">
        <w:rPr>
          <w:i/>
          <w:color w:val="007B92"/>
          <w:sz w:val="20"/>
        </w:rPr>
        <w:t>rights</w:t>
      </w:r>
      <w:r w:rsidR="000E7207">
        <w:rPr>
          <w:i/>
          <w:color w:val="007B92"/>
          <w:spacing w:val="-6"/>
          <w:sz w:val="20"/>
        </w:rPr>
        <w:t xml:space="preserve"> </w:t>
      </w:r>
      <w:r w:rsidR="000E7207">
        <w:rPr>
          <w:i/>
          <w:color w:val="007B92"/>
          <w:sz w:val="20"/>
        </w:rPr>
        <w:t>strategy.</w:t>
      </w:r>
      <w:r w:rsidR="000E7207">
        <w:rPr>
          <w:i/>
          <w:color w:val="007B92"/>
          <w:spacing w:val="-6"/>
          <w:sz w:val="20"/>
        </w:rPr>
        <w:t xml:space="preserve"> </w:t>
      </w:r>
      <w:r w:rsidR="000E7207">
        <w:rPr>
          <w:i/>
          <w:color w:val="007B92"/>
          <w:sz w:val="20"/>
        </w:rPr>
        <w:t>VAPJP</w:t>
      </w:r>
      <w:r w:rsidR="000E7207">
        <w:rPr>
          <w:i/>
          <w:color w:val="007B92"/>
          <w:spacing w:val="-6"/>
          <w:sz w:val="20"/>
        </w:rPr>
        <w:t xml:space="preserve"> </w:t>
      </w:r>
      <w:r w:rsidR="000E7207">
        <w:rPr>
          <w:i/>
          <w:color w:val="007B92"/>
          <w:sz w:val="20"/>
        </w:rPr>
        <w:t>continues</w:t>
      </w:r>
      <w:r w:rsidR="000E7207">
        <w:rPr>
          <w:i/>
          <w:color w:val="007B92"/>
          <w:spacing w:val="-6"/>
          <w:sz w:val="20"/>
        </w:rPr>
        <w:t xml:space="preserve"> </w:t>
      </w:r>
      <w:r w:rsidR="000E7207">
        <w:rPr>
          <w:i/>
          <w:color w:val="007B92"/>
          <w:sz w:val="20"/>
        </w:rPr>
        <w:t>to</w:t>
      </w:r>
      <w:r w:rsidR="000E7207">
        <w:rPr>
          <w:i/>
          <w:color w:val="007B92"/>
          <w:spacing w:val="-5"/>
          <w:sz w:val="20"/>
        </w:rPr>
        <w:t xml:space="preserve"> </w:t>
      </w:r>
      <w:r w:rsidR="000E7207">
        <w:rPr>
          <w:i/>
          <w:color w:val="007B92"/>
          <w:sz w:val="20"/>
        </w:rPr>
        <w:t>be</w:t>
      </w:r>
      <w:r w:rsidR="000E7207">
        <w:rPr>
          <w:i/>
          <w:color w:val="007B92"/>
          <w:spacing w:val="-5"/>
          <w:sz w:val="20"/>
        </w:rPr>
        <w:t xml:space="preserve"> </w:t>
      </w:r>
      <w:r w:rsidR="000E7207">
        <w:rPr>
          <w:i/>
          <w:color w:val="007B92"/>
          <w:sz w:val="20"/>
        </w:rPr>
        <w:t>aligned</w:t>
      </w:r>
      <w:r w:rsidR="000E7207">
        <w:rPr>
          <w:i/>
          <w:color w:val="007B92"/>
          <w:spacing w:val="-5"/>
          <w:sz w:val="20"/>
        </w:rPr>
        <w:t xml:space="preserve"> </w:t>
      </w:r>
      <w:r w:rsidR="000E7207">
        <w:rPr>
          <w:i/>
          <w:color w:val="007B92"/>
          <w:sz w:val="20"/>
        </w:rPr>
        <w:t>with</w:t>
      </w:r>
      <w:r w:rsidR="000E7207">
        <w:rPr>
          <w:i/>
          <w:color w:val="007B92"/>
          <w:spacing w:val="-7"/>
          <w:sz w:val="20"/>
        </w:rPr>
        <w:t xml:space="preserve"> </w:t>
      </w:r>
      <w:r w:rsidR="000E7207">
        <w:rPr>
          <w:i/>
          <w:color w:val="007B92"/>
          <w:sz w:val="20"/>
        </w:rPr>
        <w:t>Vanuatu</w:t>
      </w:r>
      <w:r w:rsidR="000E7207">
        <w:rPr>
          <w:i/>
          <w:color w:val="007B92"/>
          <w:spacing w:val="-7"/>
          <w:sz w:val="20"/>
        </w:rPr>
        <w:t xml:space="preserve"> </w:t>
      </w:r>
      <w:r w:rsidR="000E7207">
        <w:rPr>
          <w:i/>
          <w:color w:val="007B92"/>
          <w:sz w:val="20"/>
        </w:rPr>
        <w:t>2030:</w:t>
      </w:r>
      <w:r w:rsidR="000E7207">
        <w:rPr>
          <w:i/>
          <w:color w:val="007B92"/>
          <w:spacing w:val="-7"/>
          <w:sz w:val="20"/>
        </w:rPr>
        <w:t xml:space="preserve"> </w:t>
      </w:r>
      <w:r w:rsidR="000E7207">
        <w:rPr>
          <w:i/>
          <w:color w:val="007B92"/>
          <w:sz w:val="20"/>
        </w:rPr>
        <w:t>The</w:t>
      </w:r>
      <w:r w:rsidR="000E7207">
        <w:rPr>
          <w:i/>
          <w:color w:val="007B92"/>
          <w:spacing w:val="-5"/>
          <w:sz w:val="20"/>
        </w:rPr>
        <w:t xml:space="preserve"> </w:t>
      </w:r>
      <w:r w:rsidR="000E7207">
        <w:rPr>
          <w:i/>
          <w:color w:val="007B92"/>
          <w:spacing w:val="-2"/>
          <w:sz w:val="20"/>
        </w:rPr>
        <w:t>People’s</w:t>
      </w:r>
    </w:p>
    <w:p w14:paraId="74302FB7" w14:textId="77777777" w:rsidR="009C36E3" w:rsidRDefault="000E7207">
      <w:pPr>
        <w:ind w:left="772"/>
        <w:rPr>
          <w:sz w:val="18"/>
        </w:rPr>
      </w:pPr>
      <w:bookmarkStart w:id="53" w:name="_bookmark40"/>
      <w:bookmarkEnd w:id="53"/>
      <w:r>
        <w:rPr>
          <w:position w:val="6"/>
          <w:sz w:val="13"/>
        </w:rPr>
        <w:t>24</w:t>
      </w:r>
      <w:r>
        <w:rPr>
          <w:spacing w:val="16"/>
          <w:position w:val="6"/>
          <w:sz w:val="13"/>
        </w:rPr>
        <w:t xml:space="preserve"> </w:t>
      </w:r>
      <w:r>
        <w:rPr>
          <w:sz w:val="18"/>
        </w:rPr>
        <w:t>Data</w:t>
      </w:r>
      <w:r>
        <w:rPr>
          <w:spacing w:val="-1"/>
          <w:sz w:val="18"/>
        </w:rPr>
        <w:t xml:space="preserve"> </w:t>
      </w:r>
      <w:r>
        <w:rPr>
          <w:sz w:val="18"/>
        </w:rPr>
        <w:t>drawn</w:t>
      </w:r>
      <w:r>
        <w:rPr>
          <w:spacing w:val="-4"/>
          <w:sz w:val="18"/>
        </w:rPr>
        <w:t xml:space="preserve"> </w:t>
      </w:r>
      <w:r>
        <w:rPr>
          <w:sz w:val="18"/>
        </w:rPr>
        <w:t>from</w:t>
      </w:r>
      <w:r>
        <w:rPr>
          <w:spacing w:val="-2"/>
          <w:sz w:val="18"/>
        </w:rPr>
        <w:t xml:space="preserve"> </w:t>
      </w:r>
      <w:r>
        <w:rPr>
          <w:sz w:val="18"/>
        </w:rPr>
        <w:t>VAPJP</w:t>
      </w:r>
      <w:r>
        <w:rPr>
          <w:spacing w:val="-2"/>
          <w:sz w:val="18"/>
        </w:rPr>
        <w:t xml:space="preserve"> </w:t>
      </w:r>
      <w:r>
        <w:rPr>
          <w:sz w:val="18"/>
        </w:rPr>
        <w:t>Expenditure</w:t>
      </w:r>
      <w:r>
        <w:rPr>
          <w:spacing w:val="-1"/>
          <w:sz w:val="18"/>
        </w:rPr>
        <w:t xml:space="preserve"> </w:t>
      </w:r>
      <w:r>
        <w:rPr>
          <w:sz w:val="18"/>
        </w:rPr>
        <w:t>until</w:t>
      </w:r>
      <w:r>
        <w:rPr>
          <w:spacing w:val="-1"/>
          <w:sz w:val="18"/>
        </w:rPr>
        <w:t xml:space="preserve"> </w:t>
      </w:r>
      <w:r>
        <w:rPr>
          <w:sz w:val="18"/>
        </w:rPr>
        <w:t>30</w:t>
      </w:r>
      <w:r>
        <w:rPr>
          <w:spacing w:val="-3"/>
          <w:sz w:val="18"/>
        </w:rPr>
        <w:t xml:space="preserve"> </w:t>
      </w:r>
      <w:r>
        <w:rPr>
          <w:sz w:val="18"/>
        </w:rPr>
        <w:t>June</w:t>
      </w:r>
      <w:r>
        <w:rPr>
          <w:spacing w:val="-1"/>
          <w:sz w:val="18"/>
        </w:rPr>
        <w:t xml:space="preserve"> </w:t>
      </w:r>
      <w:r>
        <w:rPr>
          <w:sz w:val="18"/>
        </w:rPr>
        <w:t>2023</w:t>
      </w:r>
      <w:r>
        <w:rPr>
          <w:spacing w:val="-4"/>
          <w:sz w:val="18"/>
        </w:rPr>
        <w:t xml:space="preserve"> </w:t>
      </w:r>
      <w:r>
        <w:rPr>
          <w:sz w:val="18"/>
        </w:rPr>
        <w:t>–</w:t>
      </w:r>
      <w:r>
        <w:rPr>
          <w:spacing w:val="-3"/>
          <w:sz w:val="18"/>
        </w:rPr>
        <w:t xml:space="preserve"> </w:t>
      </w:r>
      <w:r>
        <w:rPr>
          <w:sz w:val="18"/>
        </w:rPr>
        <w:t>SMPR,</w:t>
      </w:r>
      <w:r>
        <w:rPr>
          <w:spacing w:val="-2"/>
          <w:sz w:val="18"/>
        </w:rPr>
        <w:t xml:space="preserve"> </w:t>
      </w:r>
      <w:r>
        <w:rPr>
          <w:sz w:val="18"/>
        </w:rPr>
        <w:t>Annex</w:t>
      </w:r>
      <w:r>
        <w:rPr>
          <w:spacing w:val="-1"/>
          <w:sz w:val="18"/>
        </w:rPr>
        <w:t xml:space="preserve"> </w:t>
      </w:r>
      <w:r>
        <w:rPr>
          <w:spacing w:val="-5"/>
          <w:sz w:val="18"/>
        </w:rPr>
        <w:t>F.</w:t>
      </w:r>
    </w:p>
    <w:p w14:paraId="77A36468" w14:textId="77777777" w:rsidR="009C36E3" w:rsidRDefault="009C36E3">
      <w:pPr>
        <w:rPr>
          <w:sz w:val="18"/>
        </w:rPr>
        <w:sectPr w:rsidR="009C36E3">
          <w:pgSz w:w="11910" w:h="16850"/>
          <w:pgMar w:top="1040" w:right="740" w:bottom="740" w:left="80" w:header="552" w:footer="559" w:gutter="0"/>
          <w:cols w:space="720"/>
        </w:sectPr>
      </w:pPr>
    </w:p>
    <w:p w14:paraId="524FDD65" w14:textId="77777777" w:rsidR="009C36E3" w:rsidRDefault="000E7207">
      <w:pPr>
        <w:spacing w:before="91"/>
        <w:ind w:left="771" w:right="120"/>
        <w:rPr>
          <w:i/>
          <w:sz w:val="20"/>
        </w:rPr>
      </w:pPr>
      <w:r>
        <w:rPr>
          <w:i/>
          <w:color w:val="007B92"/>
          <w:sz w:val="20"/>
        </w:rPr>
        <w:t>Plan,</w:t>
      </w:r>
      <w:r>
        <w:rPr>
          <w:i/>
          <w:color w:val="007B92"/>
          <w:spacing w:val="-4"/>
          <w:sz w:val="20"/>
        </w:rPr>
        <w:t xml:space="preserve"> </w:t>
      </w:r>
      <w:r>
        <w:rPr>
          <w:i/>
          <w:color w:val="007B92"/>
          <w:sz w:val="20"/>
        </w:rPr>
        <w:t>National</w:t>
      </w:r>
      <w:r>
        <w:rPr>
          <w:i/>
          <w:color w:val="007B92"/>
          <w:spacing w:val="-3"/>
          <w:sz w:val="20"/>
        </w:rPr>
        <w:t xml:space="preserve"> </w:t>
      </w:r>
      <w:r>
        <w:rPr>
          <w:i/>
          <w:color w:val="007B92"/>
          <w:sz w:val="20"/>
        </w:rPr>
        <w:t>Sustainable</w:t>
      </w:r>
      <w:r>
        <w:rPr>
          <w:i/>
          <w:color w:val="007B92"/>
          <w:spacing w:val="-2"/>
          <w:sz w:val="20"/>
        </w:rPr>
        <w:t xml:space="preserve"> </w:t>
      </w:r>
      <w:r>
        <w:rPr>
          <w:i/>
          <w:color w:val="007B92"/>
          <w:sz w:val="20"/>
        </w:rPr>
        <w:t>Development</w:t>
      </w:r>
      <w:r>
        <w:rPr>
          <w:i/>
          <w:color w:val="007B92"/>
          <w:spacing w:val="-2"/>
          <w:sz w:val="20"/>
        </w:rPr>
        <w:t xml:space="preserve"> </w:t>
      </w:r>
      <w:r>
        <w:rPr>
          <w:i/>
          <w:color w:val="007B92"/>
          <w:sz w:val="20"/>
        </w:rPr>
        <w:t>Plan</w:t>
      </w:r>
      <w:r>
        <w:rPr>
          <w:i/>
          <w:color w:val="007B92"/>
          <w:spacing w:val="-2"/>
          <w:sz w:val="20"/>
        </w:rPr>
        <w:t xml:space="preserve"> </w:t>
      </w:r>
      <w:r>
        <w:rPr>
          <w:i/>
          <w:color w:val="007B92"/>
          <w:sz w:val="20"/>
        </w:rPr>
        <w:t>2016-2030</w:t>
      </w:r>
      <w:r>
        <w:rPr>
          <w:i/>
          <w:color w:val="007B92"/>
          <w:spacing w:val="-4"/>
          <w:sz w:val="20"/>
        </w:rPr>
        <w:t xml:space="preserve"> </w:t>
      </w:r>
      <w:r>
        <w:rPr>
          <w:i/>
          <w:color w:val="007B92"/>
          <w:sz w:val="20"/>
        </w:rPr>
        <w:t>and</w:t>
      </w:r>
      <w:r>
        <w:rPr>
          <w:i/>
          <w:color w:val="007B92"/>
          <w:spacing w:val="-4"/>
          <w:sz w:val="20"/>
        </w:rPr>
        <w:t xml:space="preserve"> </w:t>
      </w:r>
      <w:r>
        <w:rPr>
          <w:i/>
          <w:color w:val="007B92"/>
          <w:sz w:val="20"/>
        </w:rPr>
        <w:t>the</w:t>
      </w:r>
      <w:r>
        <w:rPr>
          <w:i/>
          <w:color w:val="007B92"/>
          <w:spacing w:val="-4"/>
          <w:sz w:val="20"/>
        </w:rPr>
        <w:t xml:space="preserve"> </w:t>
      </w:r>
      <w:r>
        <w:rPr>
          <w:i/>
          <w:color w:val="007B92"/>
          <w:sz w:val="20"/>
        </w:rPr>
        <w:t>GoV</w:t>
      </w:r>
      <w:r>
        <w:rPr>
          <w:i/>
          <w:color w:val="007B92"/>
          <w:spacing w:val="-5"/>
          <w:sz w:val="20"/>
        </w:rPr>
        <w:t xml:space="preserve"> </w:t>
      </w:r>
      <w:r>
        <w:rPr>
          <w:i/>
          <w:color w:val="007B92"/>
          <w:sz w:val="20"/>
        </w:rPr>
        <w:t>National</w:t>
      </w:r>
      <w:r>
        <w:rPr>
          <w:i/>
          <w:color w:val="007B92"/>
          <w:spacing w:val="-5"/>
          <w:sz w:val="20"/>
        </w:rPr>
        <w:t xml:space="preserve"> </w:t>
      </w:r>
      <w:r>
        <w:rPr>
          <w:i/>
          <w:color w:val="007B92"/>
          <w:sz w:val="20"/>
        </w:rPr>
        <w:t>Security</w:t>
      </w:r>
      <w:r>
        <w:rPr>
          <w:i/>
          <w:color w:val="007B92"/>
          <w:spacing w:val="-3"/>
          <w:sz w:val="20"/>
        </w:rPr>
        <w:t xml:space="preserve"> </w:t>
      </w:r>
      <w:r>
        <w:rPr>
          <w:i/>
          <w:color w:val="007B92"/>
          <w:sz w:val="20"/>
        </w:rPr>
        <w:t>Strategy</w:t>
      </w:r>
      <w:r>
        <w:rPr>
          <w:i/>
          <w:color w:val="007B92"/>
          <w:spacing w:val="-3"/>
          <w:sz w:val="20"/>
        </w:rPr>
        <w:t xml:space="preserve"> </w:t>
      </w:r>
      <w:r>
        <w:rPr>
          <w:i/>
          <w:color w:val="007B92"/>
          <w:sz w:val="20"/>
        </w:rPr>
        <w:t>(2019),</w:t>
      </w:r>
      <w:r>
        <w:rPr>
          <w:i/>
          <w:color w:val="007B92"/>
          <w:spacing w:val="-2"/>
          <w:sz w:val="20"/>
        </w:rPr>
        <w:t xml:space="preserve"> </w:t>
      </w:r>
      <w:r>
        <w:rPr>
          <w:i/>
          <w:color w:val="007B92"/>
          <w:sz w:val="20"/>
        </w:rPr>
        <w:t>and</w:t>
      </w:r>
      <w:r>
        <w:rPr>
          <w:i/>
          <w:color w:val="007B92"/>
          <w:spacing w:val="-4"/>
          <w:sz w:val="20"/>
        </w:rPr>
        <w:t xml:space="preserve"> </w:t>
      </w:r>
      <w:r>
        <w:rPr>
          <w:i/>
          <w:color w:val="007B92"/>
          <w:sz w:val="20"/>
        </w:rPr>
        <w:t>the and the National Security Strategy Review (2022).</w:t>
      </w:r>
    </w:p>
    <w:p w14:paraId="5CED5005" w14:textId="77777777" w:rsidR="009C36E3" w:rsidRDefault="000E7207">
      <w:pPr>
        <w:spacing w:before="120"/>
        <w:ind w:left="1491" w:right="120"/>
        <w:rPr>
          <w:i/>
          <w:sz w:val="20"/>
        </w:rPr>
      </w:pPr>
      <w:r>
        <w:rPr>
          <w:noProof/>
        </w:rPr>
        <mc:AlternateContent>
          <mc:Choice Requires="wps">
            <w:drawing>
              <wp:anchor distT="0" distB="0" distL="0" distR="0" simplePos="0" relativeHeight="251658240" behindDoc="0" locked="0" layoutInCell="1" allowOverlap="1" wp14:anchorId="30D27D83" wp14:editId="703B4545">
                <wp:simplePos x="0" y="0"/>
                <wp:positionH relativeFrom="page">
                  <wp:posOffset>573317</wp:posOffset>
                </wp:positionH>
                <wp:positionV relativeFrom="paragraph">
                  <wp:posOffset>118544</wp:posOffset>
                </wp:positionV>
                <wp:extent cx="275590" cy="274955"/>
                <wp:effectExtent l="0" t="0" r="0" b="0"/>
                <wp:wrapNone/>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3B0B539E" id="Graphic 105" o:spid="_x0000_s1026" alt="&quot;&quot;" style="position:absolute;margin-left:45.15pt;margin-top:9.35pt;width:21.7pt;height:21.65pt;z-index:15754752;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In a context where both the policing and justice sector in Vanuatu are consistently under- resourced</w:t>
      </w:r>
      <w:r>
        <w:rPr>
          <w:i/>
          <w:color w:val="007B92"/>
          <w:spacing w:val="-4"/>
          <w:sz w:val="20"/>
        </w:rPr>
        <w:t xml:space="preserve"> </w:t>
      </w:r>
      <w:r>
        <w:rPr>
          <w:i/>
          <w:color w:val="007B92"/>
          <w:sz w:val="20"/>
        </w:rPr>
        <w:t>by</w:t>
      </w:r>
      <w:r>
        <w:rPr>
          <w:i/>
          <w:color w:val="007B92"/>
          <w:spacing w:val="-3"/>
          <w:sz w:val="20"/>
        </w:rPr>
        <w:t xml:space="preserve"> </w:t>
      </w:r>
      <w:r>
        <w:rPr>
          <w:i/>
          <w:color w:val="007B92"/>
          <w:sz w:val="20"/>
        </w:rPr>
        <w:t>GoV,</w:t>
      </w:r>
      <w:r>
        <w:rPr>
          <w:i/>
          <w:color w:val="007B92"/>
          <w:spacing w:val="-4"/>
          <w:sz w:val="20"/>
        </w:rPr>
        <w:t xml:space="preserve"> </w:t>
      </w:r>
      <w:r>
        <w:rPr>
          <w:i/>
          <w:color w:val="007B92"/>
          <w:sz w:val="20"/>
        </w:rPr>
        <w:t>determining</w:t>
      </w:r>
      <w:r>
        <w:rPr>
          <w:i/>
          <w:color w:val="007B92"/>
          <w:spacing w:val="-4"/>
          <w:sz w:val="20"/>
        </w:rPr>
        <w:t xml:space="preserve"> </w:t>
      </w:r>
      <w:r>
        <w:rPr>
          <w:i/>
          <w:color w:val="007B92"/>
          <w:sz w:val="20"/>
        </w:rPr>
        <w:t>what</w:t>
      </w:r>
      <w:r>
        <w:rPr>
          <w:i/>
          <w:color w:val="007B92"/>
          <w:spacing w:val="-4"/>
          <w:sz w:val="20"/>
        </w:rPr>
        <w:t xml:space="preserve"> </w:t>
      </w:r>
      <w:r>
        <w:rPr>
          <w:i/>
          <w:color w:val="007B92"/>
          <w:sz w:val="20"/>
        </w:rPr>
        <w:t>might</w:t>
      </w:r>
      <w:r>
        <w:rPr>
          <w:i/>
          <w:color w:val="007B92"/>
          <w:spacing w:val="-4"/>
          <w:sz w:val="20"/>
        </w:rPr>
        <w:t xml:space="preserve"> </w:t>
      </w:r>
      <w:r>
        <w:rPr>
          <w:i/>
          <w:color w:val="007B92"/>
          <w:sz w:val="20"/>
        </w:rPr>
        <w:t>constitute</w:t>
      </w:r>
      <w:r>
        <w:rPr>
          <w:i/>
          <w:color w:val="007B92"/>
          <w:spacing w:val="-2"/>
          <w:sz w:val="20"/>
        </w:rPr>
        <w:t xml:space="preserve"> </w:t>
      </w:r>
      <w:r>
        <w:rPr>
          <w:i/>
          <w:color w:val="007B92"/>
          <w:sz w:val="20"/>
        </w:rPr>
        <w:t>sustainable</w:t>
      </w:r>
      <w:r>
        <w:rPr>
          <w:i/>
          <w:color w:val="007B92"/>
          <w:spacing w:val="-4"/>
          <w:sz w:val="20"/>
        </w:rPr>
        <w:t xml:space="preserve"> </w:t>
      </w:r>
      <w:r>
        <w:rPr>
          <w:i/>
          <w:color w:val="007B92"/>
          <w:sz w:val="20"/>
        </w:rPr>
        <w:t>outcomes is</w:t>
      </w:r>
      <w:r>
        <w:rPr>
          <w:i/>
          <w:color w:val="007B92"/>
          <w:spacing w:val="-3"/>
          <w:sz w:val="20"/>
        </w:rPr>
        <w:t xml:space="preserve"> </w:t>
      </w:r>
      <w:r>
        <w:rPr>
          <w:i/>
          <w:color w:val="007B92"/>
          <w:sz w:val="20"/>
        </w:rPr>
        <w:t>a</w:t>
      </w:r>
      <w:r>
        <w:rPr>
          <w:i/>
          <w:color w:val="007B92"/>
          <w:spacing w:val="-2"/>
          <w:sz w:val="20"/>
        </w:rPr>
        <w:t xml:space="preserve"> </w:t>
      </w:r>
      <w:r>
        <w:rPr>
          <w:i/>
          <w:color w:val="007B92"/>
          <w:sz w:val="20"/>
        </w:rPr>
        <w:t>complex</w:t>
      </w:r>
      <w:r>
        <w:rPr>
          <w:i/>
          <w:color w:val="007B92"/>
          <w:spacing w:val="-3"/>
          <w:sz w:val="20"/>
        </w:rPr>
        <w:t xml:space="preserve"> </w:t>
      </w:r>
      <w:r>
        <w:rPr>
          <w:i/>
          <w:color w:val="007B92"/>
          <w:sz w:val="20"/>
        </w:rPr>
        <w:t>issue</w:t>
      </w:r>
      <w:r>
        <w:rPr>
          <w:i/>
          <w:color w:val="007B92"/>
          <w:spacing w:val="-4"/>
          <w:sz w:val="20"/>
        </w:rPr>
        <w:t xml:space="preserve"> </w:t>
      </w:r>
      <w:r>
        <w:rPr>
          <w:i/>
          <w:color w:val="007B92"/>
          <w:sz w:val="20"/>
        </w:rPr>
        <w:t>with</w:t>
      </w:r>
      <w:r>
        <w:rPr>
          <w:i/>
          <w:color w:val="007B92"/>
          <w:spacing w:val="-2"/>
          <w:sz w:val="20"/>
        </w:rPr>
        <w:t xml:space="preserve"> </w:t>
      </w:r>
      <w:r>
        <w:rPr>
          <w:i/>
          <w:color w:val="007B92"/>
          <w:sz w:val="20"/>
        </w:rPr>
        <w:t>a</w:t>
      </w:r>
      <w:r>
        <w:rPr>
          <w:i/>
          <w:color w:val="007B92"/>
          <w:spacing w:val="-2"/>
          <w:sz w:val="20"/>
        </w:rPr>
        <w:t xml:space="preserve"> </w:t>
      </w:r>
      <w:r>
        <w:rPr>
          <w:i/>
          <w:color w:val="007B92"/>
          <w:sz w:val="20"/>
        </w:rPr>
        <w:t>long history. This phase of VAPJP explicitly recognises the contribution that the Program makes towards</w:t>
      </w:r>
    </w:p>
    <w:p w14:paraId="1723B1FA" w14:textId="77777777" w:rsidR="009C36E3" w:rsidRDefault="000E7207">
      <w:pPr>
        <w:spacing w:before="2"/>
        <w:ind w:left="771"/>
        <w:rPr>
          <w:i/>
          <w:sz w:val="20"/>
        </w:rPr>
      </w:pPr>
      <w:r>
        <w:rPr>
          <w:i/>
          <w:color w:val="007B92"/>
          <w:sz w:val="20"/>
        </w:rPr>
        <w:t>supporting</w:t>
      </w:r>
      <w:r>
        <w:rPr>
          <w:i/>
          <w:color w:val="007B92"/>
          <w:spacing w:val="-6"/>
          <w:sz w:val="20"/>
        </w:rPr>
        <w:t xml:space="preserve"> </w:t>
      </w:r>
      <w:r>
        <w:rPr>
          <w:i/>
          <w:color w:val="007B92"/>
          <w:sz w:val="20"/>
        </w:rPr>
        <w:t>the</w:t>
      </w:r>
      <w:r>
        <w:rPr>
          <w:i/>
          <w:color w:val="007B92"/>
          <w:spacing w:val="-6"/>
          <w:sz w:val="20"/>
        </w:rPr>
        <w:t xml:space="preserve"> </w:t>
      </w:r>
      <w:r>
        <w:rPr>
          <w:i/>
          <w:color w:val="007B92"/>
          <w:sz w:val="20"/>
        </w:rPr>
        <w:t>GoV</w:t>
      </w:r>
      <w:r>
        <w:rPr>
          <w:i/>
          <w:color w:val="007B92"/>
          <w:spacing w:val="-7"/>
          <w:sz w:val="20"/>
        </w:rPr>
        <w:t xml:space="preserve"> </w:t>
      </w:r>
      <w:r>
        <w:rPr>
          <w:i/>
          <w:color w:val="007B92"/>
          <w:sz w:val="20"/>
        </w:rPr>
        <w:t>to</w:t>
      </w:r>
      <w:r>
        <w:rPr>
          <w:i/>
          <w:color w:val="007B92"/>
          <w:spacing w:val="-6"/>
          <w:sz w:val="20"/>
        </w:rPr>
        <w:t xml:space="preserve"> </w:t>
      </w:r>
      <w:r>
        <w:rPr>
          <w:i/>
          <w:color w:val="007B92"/>
          <w:sz w:val="20"/>
        </w:rPr>
        <w:t>maintain</w:t>
      </w:r>
      <w:r>
        <w:rPr>
          <w:i/>
          <w:color w:val="007B92"/>
          <w:spacing w:val="-4"/>
          <w:sz w:val="20"/>
        </w:rPr>
        <w:t xml:space="preserve"> </w:t>
      </w:r>
      <w:r>
        <w:rPr>
          <w:i/>
          <w:color w:val="007B92"/>
          <w:sz w:val="20"/>
        </w:rPr>
        <w:t>confidence</w:t>
      </w:r>
      <w:r>
        <w:rPr>
          <w:i/>
          <w:color w:val="007B92"/>
          <w:spacing w:val="-6"/>
          <w:sz w:val="20"/>
        </w:rPr>
        <w:t xml:space="preserve"> </w:t>
      </w:r>
      <w:r>
        <w:rPr>
          <w:i/>
          <w:color w:val="007B92"/>
          <w:sz w:val="20"/>
        </w:rPr>
        <w:t>of</w:t>
      </w:r>
      <w:r>
        <w:rPr>
          <w:i/>
          <w:color w:val="007B92"/>
          <w:spacing w:val="-5"/>
          <w:sz w:val="20"/>
        </w:rPr>
        <w:t xml:space="preserve"> </w:t>
      </w:r>
      <w:r>
        <w:rPr>
          <w:i/>
          <w:color w:val="007B92"/>
          <w:sz w:val="20"/>
        </w:rPr>
        <w:t>the</w:t>
      </w:r>
      <w:r>
        <w:rPr>
          <w:i/>
          <w:color w:val="007B92"/>
          <w:spacing w:val="-4"/>
          <w:sz w:val="20"/>
        </w:rPr>
        <w:t xml:space="preserve"> </w:t>
      </w:r>
      <w:r>
        <w:rPr>
          <w:i/>
          <w:color w:val="007B92"/>
          <w:sz w:val="20"/>
        </w:rPr>
        <w:t>public</w:t>
      </w:r>
      <w:r>
        <w:rPr>
          <w:i/>
          <w:color w:val="007B92"/>
          <w:spacing w:val="-5"/>
          <w:sz w:val="20"/>
        </w:rPr>
        <w:t xml:space="preserve"> </w:t>
      </w:r>
      <w:r>
        <w:rPr>
          <w:i/>
          <w:color w:val="007B92"/>
          <w:sz w:val="20"/>
        </w:rPr>
        <w:t>in</w:t>
      </w:r>
      <w:r>
        <w:rPr>
          <w:i/>
          <w:color w:val="007B92"/>
          <w:spacing w:val="-6"/>
          <w:sz w:val="20"/>
        </w:rPr>
        <w:t xml:space="preserve"> </w:t>
      </w:r>
      <w:r>
        <w:rPr>
          <w:i/>
          <w:color w:val="007B92"/>
          <w:sz w:val="20"/>
        </w:rPr>
        <w:t>stability</w:t>
      </w:r>
      <w:r>
        <w:rPr>
          <w:i/>
          <w:color w:val="007B92"/>
          <w:spacing w:val="-5"/>
          <w:sz w:val="20"/>
        </w:rPr>
        <w:t xml:space="preserve"> </w:t>
      </w:r>
      <w:r>
        <w:rPr>
          <w:i/>
          <w:color w:val="007B92"/>
          <w:sz w:val="20"/>
        </w:rPr>
        <w:t>and</w:t>
      </w:r>
      <w:r>
        <w:rPr>
          <w:i/>
          <w:color w:val="007B92"/>
          <w:spacing w:val="-6"/>
          <w:sz w:val="20"/>
        </w:rPr>
        <w:t xml:space="preserve"> </w:t>
      </w:r>
      <w:r>
        <w:rPr>
          <w:i/>
          <w:color w:val="007B92"/>
          <w:spacing w:val="-2"/>
          <w:sz w:val="20"/>
        </w:rPr>
        <w:t>security.</w:t>
      </w:r>
    </w:p>
    <w:p w14:paraId="4F6F7559" w14:textId="77777777" w:rsidR="009C36E3" w:rsidRDefault="000E7207">
      <w:pPr>
        <w:spacing w:before="118"/>
        <w:ind w:left="1491" w:firstLine="55"/>
        <w:rPr>
          <w:i/>
          <w:sz w:val="20"/>
        </w:rPr>
      </w:pPr>
      <w:r>
        <w:rPr>
          <w:noProof/>
        </w:rPr>
        <mc:AlternateContent>
          <mc:Choice Requires="wps">
            <w:drawing>
              <wp:anchor distT="0" distB="0" distL="0" distR="0" simplePos="0" relativeHeight="251659264" behindDoc="0" locked="0" layoutInCell="1" allowOverlap="1" wp14:anchorId="460129E9" wp14:editId="2CDD6280">
                <wp:simplePos x="0" y="0"/>
                <wp:positionH relativeFrom="page">
                  <wp:posOffset>573317</wp:posOffset>
                </wp:positionH>
                <wp:positionV relativeFrom="paragraph">
                  <wp:posOffset>117272</wp:posOffset>
                </wp:positionV>
                <wp:extent cx="275590" cy="274955"/>
                <wp:effectExtent l="0" t="0" r="0" b="0"/>
                <wp:wrapNone/>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5A2BAF74" id="Graphic 106" o:spid="_x0000_s1026" alt="&quot;&quot;" style="position:absolute;margin-left:45.15pt;margin-top:9.25pt;width:21.7pt;height:21.65pt;z-index:15755264;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There are a range of activities that the justice stream has undertaken that do not appear to be priorities</w:t>
      </w:r>
      <w:r>
        <w:rPr>
          <w:i/>
          <w:color w:val="007B92"/>
          <w:spacing w:val="-2"/>
          <w:sz w:val="20"/>
        </w:rPr>
        <w:t xml:space="preserve"> </w:t>
      </w:r>
      <w:r>
        <w:rPr>
          <w:i/>
          <w:color w:val="007B92"/>
          <w:sz w:val="20"/>
        </w:rPr>
        <w:t>within</w:t>
      </w:r>
      <w:r>
        <w:rPr>
          <w:i/>
          <w:color w:val="007B92"/>
          <w:spacing w:val="-3"/>
          <w:sz w:val="20"/>
        </w:rPr>
        <w:t xml:space="preserve"> </w:t>
      </w:r>
      <w:r>
        <w:rPr>
          <w:i/>
          <w:color w:val="007B92"/>
          <w:sz w:val="20"/>
        </w:rPr>
        <w:t>the</w:t>
      </w:r>
      <w:r>
        <w:rPr>
          <w:i/>
          <w:color w:val="007B92"/>
          <w:spacing w:val="-3"/>
          <w:sz w:val="20"/>
        </w:rPr>
        <w:t xml:space="preserve"> </w:t>
      </w:r>
      <w:r>
        <w:rPr>
          <w:i/>
          <w:color w:val="007B92"/>
          <w:sz w:val="20"/>
        </w:rPr>
        <w:t>scope</w:t>
      </w:r>
      <w:r>
        <w:rPr>
          <w:i/>
          <w:color w:val="007B92"/>
          <w:spacing w:val="-3"/>
          <w:sz w:val="20"/>
        </w:rPr>
        <w:t xml:space="preserve"> </w:t>
      </w:r>
      <w:r>
        <w:rPr>
          <w:i/>
          <w:color w:val="007B92"/>
          <w:sz w:val="20"/>
        </w:rPr>
        <w:t>of</w:t>
      </w:r>
      <w:r>
        <w:rPr>
          <w:i/>
          <w:color w:val="007B92"/>
          <w:spacing w:val="-3"/>
          <w:sz w:val="20"/>
        </w:rPr>
        <w:t xml:space="preserve"> </w:t>
      </w:r>
      <w:r>
        <w:rPr>
          <w:i/>
          <w:color w:val="007B92"/>
          <w:sz w:val="20"/>
        </w:rPr>
        <w:t>the</w:t>
      </w:r>
      <w:r>
        <w:rPr>
          <w:i/>
          <w:color w:val="007B92"/>
          <w:spacing w:val="-1"/>
          <w:sz w:val="20"/>
        </w:rPr>
        <w:t xml:space="preserve"> </w:t>
      </w:r>
      <w:r>
        <w:rPr>
          <w:i/>
          <w:color w:val="007B92"/>
          <w:sz w:val="20"/>
        </w:rPr>
        <w:t>program</w:t>
      </w:r>
      <w:r>
        <w:rPr>
          <w:i/>
          <w:color w:val="007B92"/>
          <w:spacing w:val="-3"/>
          <w:sz w:val="20"/>
        </w:rPr>
        <w:t xml:space="preserve"> </w:t>
      </w:r>
      <w:r>
        <w:rPr>
          <w:i/>
          <w:color w:val="007B92"/>
          <w:sz w:val="20"/>
        </w:rPr>
        <w:t>and</w:t>
      </w:r>
      <w:r>
        <w:rPr>
          <w:i/>
          <w:color w:val="007B92"/>
          <w:spacing w:val="-3"/>
          <w:sz w:val="20"/>
        </w:rPr>
        <w:t xml:space="preserve"> </w:t>
      </w:r>
      <w:r>
        <w:rPr>
          <w:i/>
          <w:color w:val="007B92"/>
          <w:sz w:val="20"/>
        </w:rPr>
        <w:t>stretch</w:t>
      </w:r>
      <w:r>
        <w:rPr>
          <w:i/>
          <w:color w:val="007B92"/>
          <w:spacing w:val="-3"/>
          <w:sz w:val="20"/>
        </w:rPr>
        <w:t xml:space="preserve"> </w:t>
      </w:r>
      <w:r>
        <w:rPr>
          <w:i/>
          <w:color w:val="007B92"/>
          <w:sz w:val="20"/>
        </w:rPr>
        <w:t>the</w:t>
      </w:r>
      <w:r>
        <w:rPr>
          <w:i/>
          <w:color w:val="007B92"/>
          <w:spacing w:val="-3"/>
          <w:sz w:val="20"/>
        </w:rPr>
        <w:t xml:space="preserve"> </w:t>
      </w:r>
      <w:r>
        <w:rPr>
          <w:i/>
          <w:color w:val="007B92"/>
          <w:sz w:val="20"/>
        </w:rPr>
        <w:t>attention</w:t>
      </w:r>
      <w:r>
        <w:rPr>
          <w:i/>
          <w:color w:val="007B92"/>
          <w:spacing w:val="-3"/>
          <w:sz w:val="20"/>
        </w:rPr>
        <w:t xml:space="preserve"> </w:t>
      </w:r>
      <w:r>
        <w:rPr>
          <w:i/>
          <w:color w:val="007B92"/>
          <w:sz w:val="20"/>
        </w:rPr>
        <w:t>of</w:t>
      </w:r>
      <w:r>
        <w:rPr>
          <w:i/>
          <w:color w:val="007B92"/>
          <w:spacing w:val="-1"/>
          <w:sz w:val="20"/>
        </w:rPr>
        <w:t xml:space="preserve"> </w:t>
      </w:r>
      <w:r>
        <w:rPr>
          <w:i/>
          <w:color w:val="007B92"/>
          <w:sz w:val="20"/>
        </w:rPr>
        <w:t>both</w:t>
      </w:r>
      <w:r>
        <w:rPr>
          <w:i/>
          <w:color w:val="007B92"/>
          <w:spacing w:val="-3"/>
          <w:sz w:val="20"/>
        </w:rPr>
        <w:t xml:space="preserve"> </w:t>
      </w:r>
      <w:r>
        <w:rPr>
          <w:i/>
          <w:color w:val="007B92"/>
          <w:sz w:val="20"/>
        </w:rPr>
        <w:t>the</w:t>
      </w:r>
      <w:r>
        <w:rPr>
          <w:i/>
          <w:color w:val="007B92"/>
          <w:spacing w:val="-3"/>
          <w:sz w:val="20"/>
        </w:rPr>
        <w:t xml:space="preserve"> </w:t>
      </w:r>
      <w:r>
        <w:rPr>
          <w:i/>
          <w:color w:val="007B92"/>
          <w:sz w:val="20"/>
        </w:rPr>
        <w:t>program</w:t>
      </w:r>
      <w:r>
        <w:rPr>
          <w:i/>
          <w:color w:val="007B92"/>
          <w:spacing w:val="-3"/>
          <w:sz w:val="20"/>
        </w:rPr>
        <w:t xml:space="preserve"> </w:t>
      </w:r>
      <w:r>
        <w:rPr>
          <w:i/>
          <w:color w:val="007B92"/>
          <w:sz w:val="20"/>
        </w:rPr>
        <w:t>and</w:t>
      </w:r>
      <w:r>
        <w:rPr>
          <w:i/>
          <w:color w:val="007B92"/>
          <w:spacing w:val="-3"/>
          <w:sz w:val="20"/>
        </w:rPr>
        <w:t xml:space="preserve"> </w:t>
      </w:r>
      <w:r>
        <w:rPr>
          <w:i/>
          <w:color w:val="007B92"/>
          <w:sz w:val="20"/>
        </w:rPr>
        <w:t>the</w:t>
      </w:r>
      <w:r>
        <w:rPr>
          <w:i/>
          <w:color w:val="007B92"/>
          <w:spacing w:val="-1"/>
          <w:sz w:val="20"/>
        </w:rPr>
        <w:t xml:space="preserve"> </w:t>
      </w:r>
      <w:r>
        <w:rPr>
          <w:i/>
          <w:color w:val="007B92"/>
          <w:sz w:val="20"/>
        </w:rPr>
        <w:t>absorption capacity of counterparts.</w:t>
      </w:r>
    </w:p>
    <w:p w14:paraId="01F5B3A6" w14:textId="77777777" w:rsidR="009C36E3" w:rsidRDefault="000E7207">
      <w:pPr>
        <w:spacing w:before="121"/>
        <w:ind w:left="1491"/>
        <w:rPr>
          <w:i/>
          <w:sz w:val="20"/>
        </w:rPr>
      </w:pPr>
      <w:r>
        <w:rPr>
          <w:noProof/>
        </w:rPr>
        <mc:AlternateContent>
          <mc:Choice Requires="wps">
            <w:drawing>
              <wp:anchor distT="0" distB="0" distL="0" distR="0" simplePos="0" relativeHeight="251660288" behindDoc="0" locked="0" layoutInCell="1" allowOverlap="1" wp14:anchorId="7AF694C5" wp14:editId="44189AD9">
                <wp:simplePos x="0" y="0"/>
                <wp:positionH relativeFrom="page">
                  <wp:posOffset>573317</wp:posOffset>
                </wp:positionH>
                <wp:positionV relativeFrom="paragraph">
                  <wp:posOffset>118543</wp:posOffset>
                </wp:positionV>
                <wp:extent cx="275590" cy="274955"/>
                <wp:effectExtent l="0" t="0" r="0" b="0"/>
                <wp:wrapNone/>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74955"/>
                        </a:xfrm>
                        <a:custGeom>
                          <a:avLst/>
                          <a:gdLst/>
                          <a:ahLst/>
                          <a:cxnLst/>
                          <a:rect l="l" t="t" r="r" b="b"/>
                          <a:pathLst>
                            <a:path w="275590" h="274955">
                              <a:moveTo>
                                <a:pt x="101720" y="202948"/>
                              </a:moveTo>
                              <a:lnTo>
                                <a:pt x="65082" y="196295"/>
                              </a:lnTo>
                              <a:lnTo>
                                <a:pt x="32407" y="175920"/>
                              </a:lnTo>
                              <a:lnTo>
                                <a:pt x="8931" y="143276"/>
                              </a:lnTo>
                              <a:lnTo>
                                <a:pt x="0" y="105491"/>
                              </a:lnTo>
                              <a:lnTo>
                                <a:pt x="5874" y="67116"/>
                              </a:lnTo>
                              <a:lnTo>
                                <a:pt x="26816" y="32704"/>
                              </a:lnTo>
                              <a:lnTo>
                                <a:pt x="59415" y="9032"/>
                              </a:lnTo>
                              <a:lnTo>
                                <a:pt x="97090" y="0"/>
                              </a:lnTo>
                              <a:lnTo>
                                <a:pt x="135356" y="5834"/>
                              </a:lnTo>
                              <a:lnTo>
                                <a:pt x="136960" y="6811"/>
                              </a:lnTo>
                              <a:lnTo>
                                <a:pt x="101458" y="6811"/>
                              </a:lnTo>
                              <a:lnTo>
                                <a:pt x="65977" y="13672"/>
                              </a:lnTo>
                              <a:lnTo>
                                <a:pt x="34853" y="34450"/>
                              </a:lnTo>
                              <a:lnTo>
                                <a:pt x="14216" y="65762"/>
                              </a:lnTo>
                              <a:lnTo>
                                <a:pt x="7337" y="101299"/>
                              </a:lnTo>
                              <a:lnTo>
                                <a:pt x="14216" y="136770"/>
                              </a:lnTo>
                              <a:lnTo>
                                <a:pt x="49309" y="179713"/>
                              </a:lnTo>
                              <a:lnTo>
                                <a:pt x="101589" y="195482"/>
                              </a:lnTo>
                              <a:lnTo>
                                <a:pt x="138970" y="195482"/>
                              </a:lnTo>
                              <a:lnTo>
                                <a:pt x="138293" y="195913"/>
                              </a:lnTo>
                              <a:lnTo>
                                <a:pt x="101720" y="202948"/>
                              </a:lnTo>
                              <a:close/>
                            </a:path>
                            <a:path w="275590" h="274955">
                              <a:moveTo>
                                <a:pt x="138970" y="195482"/>
                              </a:moveTo>
                              <a:lnTo>
                                <a:pt x="101589" y="195482"/>
                              </a:lnTo>
                              <a:lnTo>
                                <a:pt x="120124" y="193675"/>
                              </a:lnTo>
                              <a:lnTo>
                                <a:pt x="137709" y="188364"/>
                              </a:lnTo>
                              <a:lnTo>
                                <a:pt x="153918" y="179713"/>
                              </a:lnTo>
                              <a:lnTo>
                                <a:pt x="168325" y="167886"/>
                              </a:lnTo>
                              <a:lnTo>
                                <a:pt x="189011" y="136574"/>
                              </a:lnTo>
                              <a:lnTo>
                                <a:pt x="195972" y="101037"/>
                              </a:lnTo>
                              <a:lnTo>
                                <a:pt x="189109" y="65566"/>
                              </a:lnTo>
                              <a:lnTo>
                                <a:pt x="168325" y="34450"/>
                              </a:lnTo>
                              <a:lnTo>
                                <a:pt x="137004" y="13770"/>
                              </a:lnTo>
                              <a:lnTo>
                                <a:pt x="101458" y="6811"/>
                              </a:lnTo>
                              <a:lnTo>
                                <a:pt x="136960" y="6811"/>
                              </a:lnTo>
                              <a:lnTo>
                                <a:pt x="169723" y="26765"/>
                              </a:lnTo>
                              <a:lnTo>
                                <a:pt x="193346" y="59409"/>
                              </a:lnTo>
                              <a:lnTo>
                                <a:pt x="202261" y="97195"/>
                              </a:lnTo>
                              <a:lnTo>
                                <a:pt x="196305" y="135570"/>
                              </a:lnTo>
                              <a:lnTo>
                                <a:pt x="175313" y="169982"/>
                              </a:lnTo>
                              <a:lnTo>
                                <a:pt x="180554" y="175222"/>
                              </a:lnTo>
                              <a:lnTo>
                                <a:pt x="170771" y="175222"/>
                              </a:lnTo>
                              <a:lnTo>
                                <a:pt x="138970" y="195482"/>
                              </a:lnTo>
                              <a:close/>
                            </a:path>
                            <a:path w="275590" h="274955">
                              <a:moveTo>
                                <a:pt x="255676" y="274425"/>
                              </a:moveTo>
                              <a:lnTo>
                                <a:pt x="243447" y="274425"/>
                              </a:lnTo>
                              <a:lnTo>
                                <a:pt x="238555" y="272329"/>
                              </a:lnTo>
                              <a:lnTo>
                                <a:pt x="234712" y="268836"/>
                              </a:lnTo>
                              <a:lnTo>
                                <a:pt x="181253" y="215392"/>
                              </a:lnTo>
                              <a:lnTo>
                                <a:pt x="179157" y="209454"/>
                              </a:lnTo>
                              <a:lnTo>
                                <a:pt x="179937" y="202948"/>
                              </a:lnTo>
                              <a:lnTo>
                                <a:pt x="180554" y="198625"/>
                              </a:lnTo>
                              <a:lnTo>
                                <a:pt x="182301" y="193735"/>
                              </a:lnTo>
                              <a:lnTo>
                                <a:pt x="185446" y="189893"/>
                              </a:lnTo>
                              <a:lnTo>
                                <a:pt x="170771" y="175222"/>
                              </a:lnTo>
                              <a:lnTo>
                                <a:pt x="180554" y="175222"/>
                              </a:lnTo>
                              <a:lnTo>
                                <a:pt x="189988" y="184653"/>
                              </a:lnTo>
                              <a:lnTo>
                                <a:pt x="219688" y="184653"/>
                              </a:lnTo>
                              <a:lnTo>
                                <a:pt x="221075" y="186050"/>
                              </a:lnTo>
                              <a:lnTo>
                                <a:pt x="206061" y="186050"/>
                              </a:lnTo>
                              <a:lnTo>
                                <a:pt x="201169" y="186399"/>
                              </a:lnTo>
                              <a:lnTo>
                                <a:pt x="196277" y="188495"/>
                              </a:lnTo>
                              <a:lnTo>
                                <a:pt x="192783" y="191988"/>
                              </a:lnTo>
                              <a:lnTo>
                                <a:pt x="189289" y="195132"/>
                              </a:lnTo>
                              <a:lnTo>
                                <a:pt x="187193" y="199324"/>
                              </a:lnTo>
                              <a:lnTo>
                                <a:pt x="186844" y="203865"/>
                              </a:lnTo>
                              <a:lnTo>
                                <a:pt x="186494" y="207707"/>
                              </a:lnTo>
                              <a:lnTo>
                                <a:pt x="187542" y="211550"/>
                              </a:lnTo>
                              <a:lnTo>
                                <a:pt x="239254" y="263247"/>
                              </a:lnTo>
                              <a:lnTo>
                                <a:pt x="244173" y="266211"/>
                              </a:lnTo>
                              <a:lnTo>
                                <a:pt x="250042" y="266784"/>
                              </a:lnTo>
                              <a:lnTo>
                                <a:pt x="266814" y="266784"/>
                              </a:lnTo>
                              <a:lnTo>
                                <a:pt x="261966" y="271631"/>
                              </a:lnTo>
                              <a:lnTo>
                                <a:pt x="255676" y="274425"/>
                              </a:lnTo>
                              <a:close/>
                            </a:path>
                            <a:path w="275590" h="274955">
                              <a:moveTo>
                                <a:pt x="219688" y="184653"/>
                              </a:moveTo>
                              <a:lnTo>
                                <a:pt x="189988" y="184653"/>
                              </a:lnTo>
                              <a:lnTo>
                                <a:pt x="197528" y="180478"/>
                              </a:lnTo>
                              <a:lnTo>
                                <a:pt x="205493" y="179020"/>
                              </a:lnTo>
                              <a:lnTo>
                                <a:pt x="213131" y="180379"/>
                              </a:lnTo>
                              <a:lnTo>
                                <a:pt x="219688" y="184653"/>
                              </a:lnTo>
                              <a:close/>
                            </a:path>
                            <a:path w="275590" h="274955">
                              <a:moveTo>
                                <a:pt x="266814" y="266784"/>
                              </a:moveTo>
                              <a:lnTo>
                                <a:pt x="250042" y="266784"/>
                              </a:lnTo>
                              <a:lnTo>
                                <a:pt x="256108" y="265065"/>
                              </a:lnTo>
                              <a:lnTo>
                                <a:pt x="261616" y="261152"/>
                              </a:lnTo>
                              <a:lnTo>
                                <a:pt x="265110" y="258008"/>
                              </a:lnTo>
                              <a:lnTo>
                                <a:pt x="266857" y="253816"/>
                              </a:lnTo>
                              <a:lnTo>
                                <a:pt x="267556" y="249275"/>
                              </a:lnTo>
                              <a:lnTo>
                                <a:pt x="267905" y="245433"/>
                              </a:lnTo>
                              <a:lnTo>
                                <a:pt x="266857" y="241590"/>
                              </a:lnTo>
                              <a:lnTo>
                                <a:pt x="212700" y="187098"/>
                              </a:lnTo>
                              <a:lnTo>
                                <a:pt x="209555" y="186050"/>
                              </a:lnTo>
                              <a:lnTo>
                                <a:pt x="221075" y="186050"/>
                              </a:lnTo>
                              <a:lnTo>
                                <a:pt x="273146" y="238447"/>
                              </a:lnTo>
                              <a:lnTo>
                                <a:pt x="275243" y="244385"/>
                              </a:lnTo>
                              <a:lnTo>
                                <a:pt x="274544" y="250323"/>
                              </a:lnTo>
                              <a:lnTo>
                                <a:pt x="274195" y="256611"/>
                              </a:lnTo>
                              <a:lnTo>
                                <a:pt x="271399" y="262549"/>
                              </a:lnTo>
                              <a:lnTo>
                                <a:pt x="266814" y="266784"/>
                              </a:lnTo>
                              <a:close/>
                            </a:path>
                          </a:pathLst>
                        </a:custGeom>
                        <a:solidFill>
                          <a:srgbClr val="6CB8C4"/>
                        </a:solidFill>
                      </wps:spPr>
                      <wps:bodyPr wrap="square" lIns="0" tIns="0" rIns="0" bIns="0" rtlCol="0">
                        <a:prstTxWarp prst="textNoShape">
                          <a:avLst/>
                        </a:prstTxWarp>
                        <a:noAutofit/>
                      </wps:bodyPr>
                    </wps:wsp>
                  </a:graphicData>
                </a:graphic>
              </wp:anchor>
            </w:drawing>
          </mc:Choice>
          <mc:Fallback>
            <w:pict>
              <v:shape w14:anchorId="61162C64" id="Graphic 107" o:spid="_x0000_s1026" alt="&quot;&quot;" style="position:absolute;margin-left:45.15pt;margin-top:9.35pt;width:21.7pt;height:21.65pt;z-index:15755776;visibility:visible;mso-wrap-style:square;mso-wrap-distance-left:0;mso-wrap-distance-top:0;mso-wrap-distance-right:0;mso-wrap-distance-bottom:0;mso-position-horizontal:absolute;mso-position-horizontal-relative:page;mso-position-vertical:absolute;mso-position-vertical-relative:text;v-text-anchor:top" coordsize="27559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" path="m101720,202948l65082,196295,32407,175920,8931,143276,,105491,5874,67116,26816,32704,59415,9032,97090,r38266,5834l136960,6811r-35502,l65977,13672,34853,34450,14216,65762,7337,101299r6879,35471l49309,179713r52280,15769l138970,195482r-677,431l101720,202948xem138970,195482r-37381,l120124,193675r17585,-5311l153918,179713r14407,-11827l189011,136574r6961,-35537l189109,65566,168325,34450,137004,13770,101458,6811r35502,l169723,26765r23623,32644l202261,97195r-5956,38375l175313,169982r5241,5240l170771,175222r-31801,20260xem255676,274425r-12229,l238555,272329r-3843,-3493l181253,215392r-2096,-5938l179937,202948r617,-4323l182301,193735r3145,-3842l170771,175222r9783,l189988,184653r29700,l221075,186050r-15014,l201169,186399r-4892,2096l192783,191988r-3494,3144l187193,199324r-349,4541l186494,207707r1048,3843l239254,263247r4919,2964l250042,266784r16772,l261966,271631r-6290,2794xem219688,184653r-29700,l197528,180478r7965,-1458l213131,180379r6557,4274xem266814,266784r-16772,l256108,265065r5508,-3913l265110,258008r1747,-4192l267556,249275r349,-3842l266857,241590,212700,187098r-3145,-1048l221075,186050r52071,52397l275243,244385r-699,5938l274195,256611r-2796,5938l266814,266784xe" fillcolor="#6cb8c4" stroked="f">
                <v:path arrowok="t"/>
                <w10:wrap anchorx="page"/>
              </v:shape>
            </w:pict>
          </mc:Fallback>
        </mc:AlternateContent>
      </w:r>
      <w:r>
        <w:rPr>
          <w:b/>
          <w:i/>
          <w:color w:val="007B92"/>
          <w:sz w:val="20"/>
        </w:rPr>
        <w:t xml:space="preserve">Finding: </w:t>
      </w:r>
      <w:r>
        <w:rPr>
          <w:i/>
          <w:color w:val="007B92"/>
          <w:sz w:val="20"/>
        </w:rPr>
        <w:t>The work of the AFP advisor at the Police College is very much appreciated by VPF. However, there</w:t>
      </w:r>
      <w:r>
        <w:rPr>
          <w:i/>
          <w:color w:val="007B92"/>
          <w:spacing w:val="-3"/>
          <w:sz w:val="20"/>
        </w:rPr>
        <w:t xml:space="preserve"> </w:t>
      </w:r>
      <w:r>
        <w:rPr>
          <w:i/>
          <w:color w:val="007B92"/>
          <w:sz w:val="20"/>
        </w:rPr>
        <w:t>are</w:t>
      </w:r>
      <w:r>
        <w:rPr>
          <w:i/>
          <w:color w:val="007B92"/>
          <w:spacing w:val="-3"/>
          <w:sz w:val="20"/>
        </w:rPr>
        <w:t xml:space="preserve"> </w:t>
      </w:r>
      <w:r>
        <w:rPr>
          <w:i/>
          <w:color w:val="007B92"/>
          <w:sz w:val="20"/>
        </w:rPr>
        <w:t>four</w:t>
      </w:r>
      <w:r>
        <w:rPr>
          <w:i/>
          <w:color w:val="007B92"/>
          <w:spacing w:val="-2"/>
          <w:sz w:val="20"/>
        </w:rPr>
        <w:t xml:space="preserve"> </w:t>
      </w:r>
      <w:r>
        <w:rPr>
          <w:i/>
          <w:color w:val="007B92"/>
          <w:sz w:val="20"/>
        </w:rPr>
        <w:t>key</w:t>
      </w:r>
      <w:r>
        <w:rPr>
          <w:i/>
          <w:color w:val="007B92"/>
          <w:spacing w:val="-2"/>
          <w:sz w:val="20"/>
        </w:rPr>
        <w:t xml:space="preserve"> </w:t>
      </w:r>
      <w:r>
        <w:rPr>
          <w:i/>
          <w:color w:val="007B92"/>
          <w:sz w:val="20"/>
        </w:rPr>
        <w:t>factors</w:t>
      </w:r>
      <w:r>
        <w:rPr>
          <w:i/>
          <w:color w:val="007B92"/>
          <w:spacing w:val="-2"/>
          <w:sz w:val="20"/>
        </w:rPr>
        <w:t xml:space="preserve"> </w:t>
      </w:r>
      <w:r>
        <w:rPr>
          <w:i/>
          <w:color w:val="007B92"/>
          <w:sz w:val="20"/>
        </w:rPr>
        <w:t>that</w:t>
      </w:r>
      <w:r>
        <w:rPr>
          <w:i/>
          <w:color w:val="007B92"/>
          <w:spacing w:val="-3"/>
          <w:sz w:val="20"/>
        </w:rPr>
        <w:t xml:space="preserve"> </w:t>
      </w:r>
      <w:r>
        <w:rPr>
          <w:i/>
          <w:color w:val="007B92"/>
          <w:sz w:val="20"/>
        </w:rPr>
        <w:t>the</w:t>
      </w:r>
      <w:r>
        <w:rPr>
          <w:i/>
          <w:color w:val="007B92"/>
          <w:spacing w:val="-3"/>
          <w:sz w:val="20"/>
        </w:rPr>
        <w:t xml:space="preserve"> </w:t>
      </w:r>
      <w:r>
        <w:rPr>
          <w:i/>
          <w:color w:val="007B92"/>
          <w:sz w:val="20"/>
        </w:rPr>
        <w:t>MTR</w:t>
      </w:r>
      <w:r>
        <w:rPr>
          <w:i/>
          <w:color w:val="007B92"/>
          <w:spacing w:val="-3"/>
          <w:sz w:val="20"/>
        </w:rPr>
        <w:t xml:space="preserve"> </w:t>
      </w:r>
      <w:r>
        <w:rPr>
          <w:i/>
          <w:color w:val="007B92"/>
          <w:sz w:val="20"/>
        </w:rPr>
        <w:t>team</w:t>
      </w:r>
      <w:r>
        <w:rPr>
          <w:i/>
          <w:color w:val="007B92"/>
          <w:spacing w:val="-3"/>
          <w:sz w:val="20"/>
        </w:rPr>
        <w:t xml:space="preserve"> </w:t>
      </w:r>
      <w:r>
        <w:rPr>
          <w:i/>
          <w:color w:val="007B92"/>
          <w:sz w:val="20"/>
        </w:rPr>
        <w:t>were</w:t>
      </w:r>
      <w:r>
        <w:rPr>
          <w:i/>
          <w:color w:val="007B92"/>
          <w:spacing w:val="-1"/>
          <w:sz w:val="20"/>
        </w:rPr>
        <w:t xml:space="preserve"> </w:t>
      </w:r>
      <w:r>
        <w:rPr>
          <w:i/>
          <w:color w:val="007B92"/>
          <w:sz w:val="20"/>
        </w:rPr>
        <w:t>advised</w:t>
      </w:r>
      <w:r>
        <w:rPr>
          <w:i/>
          <w:color w:val="007B92"/>
          <w:spacing w:val="-3"/>
          <w:sz w:val="20"/>
        </w:rPr>
        <w:t xml:space="preserve"> </w:t>
      </w:r>
      <w:r>
        <w:rPr>
          <w:i/>
          <w:color w:val="007B92"/>
          <w:sz w:val="20"/>
        </w:rPr>
        <w:t>by</w:t>
      </w:r>
      <w:r>
        <w:rPr>
          <w:i/>
          <w:color w:val="007B92"/>
          <w:spacing w:val="-2"/>
          <w:sz w:val="20"/>
        </w:rPr>
        <w:t xml:space="preserve"> </w:t>
      </w:r>
      <w:r>
        <w:rPr>
          <w:i/>
          <w:color w:val="007B92"/>
          <w:sz w:val="20"/>
        </w:rPr>
        <w:t>various</w:t>
      </w:r>
      <w:r>
        <w:rPr>
          <w:i/>
          <w:color w:val="007B92"/>
          <w:spacing w:val="-2"/>
          <w:sz w:val="20"/>
        </w:rPr>
        <w:t xml:space="preserve"> </w:t>
      </w:r>
      <w:r>
        <w:rPr>
          <w:i/>
          <w:color w:val="007B92"/>
          <w:sz w:val="20"/>
        </w:rPr>
        <w:t>VPF</w:t>
      </w:r>
      <w:r>
        <w:rPr>
          <w:i/>
          <w:color w:val="007B92"/>
          <w:spacing w:val="-2"/>
          <w:sz w:val="20"/>
        </w:rPr>
        <w:t xml:space="preserve"> </w:t>
      </w:r>
      <w:r>
        <w:rPr>
          <w:i/>
          <w:color w:val="007B92"/>
          <w:sz w:val="20"/>
        </w:rPr>
        <w:t>officers</w:t>
      </w:r>
      <w:r>
        <w:rPr>
          <w:i/>
          <w:color w:val="007B92"/>
          <w:spacing w:val="-2"/>
          <w:sz w:val="20"/>
        </w:rPr>
        <w:t xml:space="preserve"> </w:t>
      </w:r>
      <w:r>
        <w:rPr>
          <w:i/>
          <w:color w:val="007B92"/>
          <w:sz w:val="20"/>
        </w:rPr>
        <w:t>that</w:t>
      </w:r>
      <w:r>
        <w:rPr>
          <w:i/>
          <w:color w:val="007B92"/>
          <w:spacing w:val="-3"/>
          <w:sz w:val="20"/>
        </w:rPr>
        <w:t xml:space="preserve"> </w:t>
      </w:r>
      <w:r>
        <w:rPr>
          <w:i/>
          <w:color w:val="007B92"/>
          <w:sz w:val="20"/>
        </w:rPr>
        <w:t>could</w:t>
      </w:r>
      <w:r>
        <w:rPr>
          <w:i/>
          <w:color w:val="007B92"/>
          <w:spacing w:val="-3"/>
          <w:sz w:val="20"/>
        </w:rPr>
        <w:t xml:space="preserve"> </w:t>
      </w:r>
      <w:r>
        <w:rPr>
          <w:i/>
          <w:color w:val="007B92"/>
          <w:sz w:val="20"/>
        </w:rPr>
        <w:t>make</w:t>
      </w:r>
      <w:r>
        <w:rPr>
          <w:i/>
          <w:color w:val="007B92"/>
          <w:spacing w:val="-1"/>
          <w:sz w:val="20"/>
        </w:rPr>
        <w:t xml:space="preserve"> </w:t>
      </w:r>
      <w:r>
        <w:rPr>
          <w:i/>
          <w:color w:val="007B92"/>
          <w:sz w:val="20"/>
        </w:rPr>
        <w:t>police training more sustainable and improve ownership. These are deploying an AFP adviser with a policing</w:t>
      </w:r>
    </w:p>
    <w:p w14:paraId="49F99263" w14:textId="77777777" w:rsidR="009C36E3" w:rsidRDefault="000E7207">
      <w:pPr>
        <w:ind w:left="771" w:right="167"/>
        <w:rPr>
          <w:i/>
          <w:sz w:val="20"/>
        </w:rPr>
      </w:pPr>
      <w:r>
        <w:rPr>
          <w:i/>
          <w:color w:val="007B92"/>
          <w:sz w:val="20"/>
        </w:rPr>
        <w:t>education</w:t>
      </w:r>
      <w:r>
        <w:rPr>
          <w:i/>
          <w:color w:val="007B92"/>
          <w:spacing w:val="-3"/>
          <w:sz w:val="20"/>
        </w:rPr>
        <w:t xml:space="preserve"> </w:t>
      </w:r>
      <w:r>
        <w:rPr>
          <w:i/>
          <w:color w:val="007B92"/>
          <w:sz w:val="20"/>
        </w:rPr>
        <w:t>(rather</w:t>
      </w:r>
      <w:r>
        <w:rPr>
          <w:i/>
          <w:color w:val="007B92"/>
          <w:spacing w:val="-3"/>
          <w:sz w:val="20"/>
        </w:rPr>
        <w:t xml:space="preserve"> </w:t>
      </w:r>
      <w:r>
        <w:rPr>
          <w:i/>
          <w:color w:val="007B92"/>
          <w:sz w:val="20"/>
        </w:rPr>
        <w:t>than</w:t>
      </w:r>
      <w:r>
        <w:rPr>
          <w:i/>
          <w:color w:val="007B92"/>
          <w:spacing w:val="-3"/>
          <w:sz w:val="20"/>
        </w:rPr>
        <w:t xml:space="preserve"> </w:t>
      </w:r>
      <w:r>
        <w:rPr>
          <w:i/>
          <w:color w:val="007B92"/>
          <w:sz w:val="20"/>
        </w:rPr>
        <w:t>community</w:t>
      </w:r>
      <w:r>
        <w:rPr>
          <w:i/>
          <w:color w:val="007B92"/>
          <w:spacing w:val="-3"/>
          <w:sz w:val="20"/>
        </w:rPr>
        <w:t xml:space="preserve"> </w:t>
      </w:r>
      <w:r>
        <w:rPr>
          <w:i/>
          <w:color w:val="007B92"/>
          <w:sz w:val="20"/>
        </w:rPr>
        <w:t>policing</w:t>
      </w:r>
      <w:r>
        <w:rPr>
          <w:i/>
          <w:color w:val="007B92"/>
          <w:spacing w:val="-3"/>
          <w:sz w:val="20"/>
        </w:rPr>
        <w:t xml:space="preserve"> </w:t>
      </w:r>
      <w:r>
        <w:rPr>
          <w:i/>
          <w:color w:val="007B92"/>
          <w:sz w:val="20"/>
        </w:rPr>
        <w:t>background),</w:t>
      </w:r>
      <w:r>
        <w:rPr>
          <w:i/>
          <w:color w:val="007B92"/>
          <w:spacing w:val="-4"/>
          <w:sz w:val="20"/>
        </w:rPr>
        <w:t xml:space="preserve"> </w:t>
      </w:r>
      <w:r>
        <w:rPr>
          <w:i/>
          <w:color w:val="007B92"/>
          <w:sz w:val="20"/>
        </w:rPr>
        <w:t>a</w:t>
      </w:r>
      <w:r>
        <w:rPr>
          <w:i/>
          <w:color w:val="007B92"/>
          <w:spacing w:val="-4"/>
          <w:sz w:val="20"/>
        </w:rPr>
        <w:t xml:space="preserve"> </w:t>
      </w:r>
      <w:r>
        <w:rPr>
          <w:i/>
          <w:color w:val="007B92"/>
          <w:sz w:val="20"/>
        </w:rPr>
        <w:t>greater</w:t>
      </w:r>
      <w:r>
        <w:rPr>
          <w:i/>
          <w:color w:val="007B92"/>
          <w:spacing w:val="-3"/>
          <w:sz w:val="20"/>
        </w:rPr>
        <w:t xml:space="preserve"> </w:t>
      </w:r>
      <w:r>
        <w:rPr>
          <w:i/>
          <w:color w:val="007B92"/>
          <w:sz w:val="20"/>
        </w:rPr>
        <w:t>emphasis</w:t>
      </w:r>
      <w:r>
        <w:rPr>
          <w:i/>
          <w:color w:val="007B92"/>
          <w:spacing w:val="-3"/>
          <w:sz w:val="20"/>
        </w:rPr>
        <w:t xml:space="preserve"> </w:t>
      </w:r>
      <w:r>
        <w:rPr>
          <w:i/>
          <w:color w:val="007B92"/>
          <w:sz w:val="20"/>
        </w:rPr>
        <w:t>on</w:t>
      </w:r>
      <w:r>
        <w:rPr>
          <w:i/>
          <w:color w:val="007B92"/>
          <w:spacing w:val="-3"/>
          <w:sz w:val="20"/>
        </w:rPr>
        <w:t xml:space="preserve"> </w:t>
      </w:r>
      <w:r>
        <w:rPr>
          <w:i/>
          <w:color w:val="007B92"/>
          <w:sz w:val="20"/>
        </w:rPr>
        <w:t>utilising</w:t>
      </w:r>
      <w:r>
        <w:rPr>
          <w:i/>
          <w:color w:val="007B92"/>
          <w:spacing w:val="-4"/>
          <w:sz w:val="20"/>
        </w:rPr>
        <w:t xml:space="preserve"> </w:t>
      </w:r>
      <w:r>
        <w:rPr>
          <w:i/>
          <w:color w:val="007B92"/>
          <w:sz w:val="20"/>
        </w:rPr>
        <w:t>a</w:t>
      </w:r>
      <w:r>
        <w:rPr>
          <w:i/>
          <w:color w:val="007B92"/>
          <w:spacing w:val="-3"/>
          <w:sz w:val="20"/>
        </w:rPr>
        <w:t xml:space="preserve"> </w:t>
      </w:r>
      <w:r>
        <w:rPr>
          <w:i/>
          <w:color w:val="007B92"/>
          <w:sz w:val="20"/>
        </w:rPr>
        <w:t>Train</w:t>
      </w:r>
      <w:r>
        <w:rPr>
          <w:i/>
          <w:color w:val="007B92"/>
          <w:spacing w:val="-3"/>
          <w:sz w:val="20"/>
        </w:rPr>
        <w:t xml:space="preserve"> </w:t>
      </w:r>
      <w:r>
        <w:rPr>
          <w:i/>
          <w:color w:val="007B92"/>
          <w:sz w:val="20"/>
        </w:rPr>
        <w:t>the</w:t>
      </w:r>
      <w:r>
        <w:rPr>
          <w:i/>
          <w:color w:val="007B92"/>
          <w:spacing w:val="-3"/>
          <w:sz w:val="20"/>
        </w:rPr>
        <w:t xml:space="preserve"> </w:t>
      </w:r>
      <w:r>
        <w:rPr>
          <w:i/>
          <w:color w:val="007B92"/>
          <w:sz w:val="20"/>
        </w:rPr>
        <w:t>Trainer approach and prioritising trainings in Bislama, and where possible decentralising training</w:t>
      </w:r>
    </w:p>
    <w:p w14:paraId="0671CAD2" w14:textId="77777777" w:rsidR="009C36E3" w:rsidRDefault="000E7207">
      <w:pPr>
        <w:pStyle w:val="Heading7"/>
        <w:spacing w:before="120"/>
      </w:pPr>
      <w:r>
        <w:t>Relevance</w:t>
      </w:r>
      <w:r>
        <w:rPr>
          <w:spacing w:val="-8"/>
        </w:rPr>
        <w:t xml:space="preserve"> </w:t>
      </w:r>
      <w:r>
        <w:t>and</w:t>
      </w:r>
      <w:r>
        <w:rPr>
          <w:spacing w:val="-8"/>
        </w:rPr>
        <w:t xml:space="preserve"> </w:t>
      </w:r>
      <w:r>
        <w:t>adapting</w:t>
      </w:r>
      <w:r>
        <w:rPr>
          <w:spacing w:val="-8"/>
        </w:rPr>
        <w:t xml:space="preserve"> </w:t>
      </w:r>
      <w:r>
        <w:t>to</w:t>
      </w:r>
      <w:r>
        <w:rPr>
          <w:spacing w:val="-8"/>
        </w:rPr>
        <w:t xml:space="preserve"> </w:t>
      </w:r>
      <w:r>
        <w:t>operating</w:t>
      </w:r>
      <w:r>
        <w:rPr>
          <w:spacing w:val="-8"/>
        </w:rPr>
        <w:t xml:space="preserve"> </w:t>
      </w:r>
      <w:r>
        <w:rPr>
          <w:spacing w:val="-2"/>
        </w:rPr>
        <w:t>context</w:t>
      </w:r>
    </w:p>
    <w:p w14:paraId="567E7F27" w14:textId="77777777" w:rsidR="009C36E3" w:rsidRDefault="000E7207">
      <w:pPr>
        <w:pStyle w:val="BodyText"/>
        <w:spacing w:before="121"/>
        <w:ind w:right="167"/>
      </w:pPr>
      <w:r>
        <w:t>Many of the contextual factors identified in the 2020 Design Update including an increased GoA focus on the Pacific region, economic downturn following COVID-19 and TC Harold, and the disproportionate effect of compound</w:t>
      </w:r>
      <w:r>
        <w:rPr>
          <w:spacing w:val="-3"/>
        </w:rPr>
        <w:t xml:space="preserve"> </w:t>
      </w:r>
      <w:r>
        <w:t>crises</w:t>
      </w:r>
      <w:r>
        <w:rPr>
          <w:spacing w:val="-3"/>
        </w:rPr>
        <w:t xml:space="preserve"> </w:t>
      </w:r>
      <w:r>
        <w:t>on</w:t>
      </w:r>
      <w:r>
        <w:rPr>
          <w:spacing w:val="-3"/>
        </w:rPr>
        <w:t xml:space="preserve"> </w:t>
      </w:r>
      <w:r>
        <w:t>women</w:t>
      </w:r>
      <w:r>
        <w:rPr>
          <w:spacing w:val="-3"/>
        </w:rPr>
        <w:t xml:space="preserve"> </w:t>
      </w:r>
      <w:r>
        <w:t>and</w:t>
      </w:r>
      <w:r>
        <w:rPr>
          <w:spacing w:val="-3"/>
        </w:rPr>
        <w:t xml:space="preserve"> </w:t>
      </w:r>
      <w:r>
        <w:t>children,</w:t>
      </w:r>
      <w:r>
        <w:rPr>
          <w:spacing w:val="-3"/>
        </w:rPr>
        <w:t xml:space="preserve"> </w:t>
      </w:r>
      <w:r>
        <w:t>including</w:t>
      </w:r>
      <w:r>
        <w:rPr>
          <w:spacing w:val="-2"/>
        </w:rPr>
        <w:t xml:space="preserve"> </w:t>
      </w:r>
      <w:r>
        <w:t>in</w:t>
      </w:r>
      <w:r>
        <w:rPr>
          <w:spacing w:val="-2"/>
        </w:rPr>
        <w:t xml:space="preserve"> </w:t>
      </w:r>
      <w:r>
        <w:t>relation</w:t>
      </w:r>
      <w:r>
        <w:rPr>
          <w:spacing w:val="-2"/>
        </w:rPr>
        <w:t xml:space="preserve"> </w:t>
      </w:r>
      <w:r>
        <w:t>to</w:t>
      </w:r>
      <w:r>
        <w:rPr>
          <w:spacing w:val="-2"/>
        </w:rPr>
        <w:t xml:space="preserve"> </w:t>
      </w:r>
      <w:r>
        <w:t>VAWC,</w:t>
      </w:r>
      <w:r>
        <w:rPr>
          <w:spacing w:val="-3"/>
        </w:rPr>
        <w:t xml:space="preserve"> </w:t>
      </w:r>
      <w:r>
        <w:t>remain</w:t>
      </w:r>
      <w:r>
        <w:rPr>
          <w:spacing w:val="-3"/>
        </w:rPr>
        <w:t xml:space="preserve"> </w:t>
      </w:r>
      <w:r>
        <w:t>relevant</w:t>
      </w:r>
      <w:r>
        <w:rPr>
          <w:spacing w:val="-3"/>
        </w:rPr>
        <w:t xml:space="preserve"> </w:t>
      </w:r>
      <w:r>
        <w:t>to</w:t>
      </w:r>
      <w:r>
        <w:rPr>
          <w:spacing w:val="-2"/>
        </w:rPr>
        <w:t xml:space="preserve"> </w:t>
      </w:r>
      <w:r>
        <w:t>the</w:t>
      </w:r>
      <w:r>
        <w:rPr>
          <w:spacing w:val="-2"/>
        </w:rPr>
        <w:t xml:space="preserve"> </w:t>
      </w:r>
      <w:r>
        <w:t>implementation</w:t>
      </w:r>
      <w:r>
        <w:rPr>
          <w:spacing w:val="-3"/>
        </w:rPr>
        <w:t xml:space="preserve"> </w:t>
      </w:r>
      <w:r>
        <w:t>of VAPJP in late 2023. In 2020 key risks identified related to major disasters; insufficient GoV</w:t>
      </w:r>
      <w:r>
        <w:rPr>
          <w:spacing w:val="-1"/>
        </w:rPr>
        <w:t xml:space="preserve"> </w:t>
      </w:r>
      <w:r>
        <w:t>budget allocations for sustainability of</w:t>
      </w:r>
      <w:r>
        <w:rPr>
          <w:spacing w:val="-4"/>
        </w:rPr>
        <w:t xml:space="preserve"> </w:t>
      </w:r>
      <w:r>
        <w:t>initiatives;</w:t>
      </w:r>
      <w:r>
        <w:rPr>
          <w:spacing w:val="-2"/>
        </w:rPr>
        <w:t xml:space="preserve"> </w:t>
      </w:r>
      <w:r>
        <w:t>potential</w:t>
      </w:r>
      <w:r>
        <w:rPr>
          <w:spacing w:val="-5"/>
        </w:rPr>
        <w:t xml:space="preserve"> </w:t>
      </w:r>
      <w:r>
        <w:t>changes</w:t>
      </w:r>
      <w:r>
        <w:rPr>
          <w:spacing w:val="-3"/>
        </w:rPr>
        <w:t xml:space="preserve"> </w:t>
      </w:r>
      <w:r>
        <w:t>to</w:t>
      </w:r>
      <w:r>
        <w:rPr>
          <w:spacing w:val="-4"/>
        </w:rPr>
        <w:t xml:space="preserve"> </w:t>
      </w:r>
      <w:r>
        <w:t>counterpart</w:t>
      </w:r>
      <w:r>
        <w:rPr>
          <w:spacing w:val="-4"/>
        </w:rPr>
        <w:t xml:space="preserve"> </w:t>
      </w:r>
      <w:r>
        <w:t>Ministries</w:t>
      </w:r>
      <w:r>
        <w:rPr>
          <w:spacing w:val="-3"/>
        </w:rPr>
        <w:t xml:space="preserve"> </w:t>
      </w:r>
      <w:r>
        <w:t>or</w:t>
      </w:r>
      <w:r>
        <w:rPr>
          <w:spacing w:val="-3"/>
        </w:rPr>
        <w:t xml:space="preserve"> </w:t>
      </w:r>
      <w:r>
        <w:t>agencies</w:t>
      </w:r>
      <w:r>
        <w:rPr>
          <w:spacing w:val="-3"/>
        </w:rPr>
        <w:t xml:space="preserve"> </w:t>
      </w:r>
      <w:r>
        <w:t>and</w:t>
      </w:r>
      <w:r>
        <w:rPr>
          <w:spacing w:val="-2"/>
        </w:rPr>
        <w:t xml:space="preserve"> </w:t>
      </w:r>
      <w:r>
        <w:t>low</w:t>
      </w:r>
      <w:r>
        <w:rPr>
          <w:spacing w:val="-1"/>
        </w:rPr>
        <w:t xml:space="preserve"> </w:t>
      </w:r>
      <w:r>
        <w:t>capacity</w:t>
      </w:r>
      <w:r>
        <w:rPr>
          <w:spacing w:val="-3"/>
        </w:rPr>
        <w:t xml:space="preserve"> </w:t>
      </w:r>
      <w:r>
        <w:t>in</w:t>
      </w:r>
      <w:r>
        <w:rPr>
          <w:spacing w:val="-4"/>
        </w:rPr>
        <w:t xml:space="preserve"> </w:t>
      </w:r>
      <w:r>
        <w:t>counterpart agencies (Anon, 2020).</w:t>
      </w:r>
    </w:p>
    <w:p w14:paraId="4DE0E318" w14:textId="77777777" w:rsidR="009C36E3" w:rsidRDefault="000E7207">
      <w:pPr>
        <w:pStyle w:val="BodyText"/>
        <w:spacing w:before="120"/>
        <w:ind w:right="178"/>
      </w:pPr>
      <w:r>
        <w:t>More recent developments in the GoV that impact VAPJP include lack of a substantive DG within MJCS, movement</w:t>
      </w:r>
      <w:r>
        <w:rPr>
          <w:spacing w:val="-1"/>
        </w:rPr>
        <w:t xml:space="preserve"> </w:t>
      </w:r>
      <w:r>
        <w:t>of</w:t>
      </w:r>
      <w:r>
        <w:rPr>
          <w:spacing w:val="-3"/>
        </w:rPr>
        <w:t xml:space="preserve"> </w:t>
      </w:r>
      <w:r>
        <w:t>the</w:t>
      </w:r>
      <w:r>
        <w:rPr>
          <w:spacing w:val="-3"/>
        </w:rPr>
        <w:t xml:space="preserve"> </w:t>
      </w:r>
      <w:r>
        <w:t>VPF</w:t>
      </w:r>
      <w:r>
        <w:rPr>
          <w:spacing w:val="-2"/>
        </w:rPr>
        <w:t xml:space="preserve"> </w:t>
      </w:r>
      <w:r>
        <w:t>to</w:t>
      </w:r>
      <w:r>
        <w:rPr>
          <w:spacing w:val="-3"/>
        </w:rPr>
        <w:t xml:space="preserve"> </w:t>
      </w:r>
      <w:r>
        <w:t>sit</w:t>
      </w:r>
      <w:r>
        <w:rPr>
          <w:spacing w:val="-1"/>
        </w:rPr>
        <w:t xml:space="preserve"> </w:t>
      </w:r>
      <w:r>
        <w:t>within</w:t>
      </w:r>
      <w:r>
        <w:rPr>
          <w:spacing w:val="-1"/>
        </w:rPr>
        <w:t xml:space="preserve"> </w:t>
      </w:r>
      <w:r>
        <w:t>the</w:t>
      </w:r>
      <w:r>
        <w:rPr>
          <w:spacing w:val="-1"/>
        </w:rPr>
        <w:t xml:space="preserve"> </w:t>
      </w:r>
      <w:r>
        <w:t>PMO portfolio</w:t>
      </w:r>
      <w:r>
        <w:rPr>
          <w:spacing w:val="-3"/>
        </w:rPr>
        <w:t xml:space="preserve"> </w:t>
      </w:r>
      <w:r>
        <w:t>(with</w:t>
      </w:r>
      <w:r>
        <w:rPr>
          <w:spacing w:val="-1"/>
        </w:rPr>
        <w:t xml:space="preserve"> </w:t>
      </w:r>
      <w:r>
        <w:t>a</w:t>
      </w:r>
      <w:r>
        <w:rPr>
          <w:spacing w:val="-3"/>
        </w:rPr>
        <w:t xml:space="preserve"> </w:t>
      </w:r>
      <w:r>
        <w:t>possible</w:t>
      </w:r>
      <w:r>
        <w:rPr>
          <w:spacing w:val="-1"/>
        </w:rPr>
        <w:t xml:space="preserve"> </w:t>
      </w:r>
      <w:r>
        <w:t>return</w:t>
      </w:r>
      <w:r>
        <w:rPr>
          <w:spacing w:val="-1"/>
        </w:rPr>
        <w:t xml:space="preserve"> </w:t>
      </w:r>
      <w:r>
        <w:t>to</w:t>
      </w:r>
      <w:r>
        <w:rPr>
          <w:spacing w:val="-3"/>
        </w:rPr>
        <w:t xml:space="preserve"> </w:t>
      </w:r>
      <w:r>
        <w:t>the</w:t>
      </w:r>
      <w:r>
        <w:rPr>
          <w:spacing w:val="-1"/>
        </w:rPr>
        <w:t xml:space="preserve"> </w:t>
      </w:r>
      <w:r>
        <w:t>Ministry</w:t>
      </w:r>
      <w:r>
        <w:rPr>
          <w:spacing w:val="-2"/>
        </w:rPr>
        <w:t xml:space="preserve"> </w:t>
      </w:r>
      <w:r>
        <w:t>of</w:t>
      </w:r>
      <w:r>
        <w:rPr>
          <w:spacing w:val="-3"/>
        </w:rPr>
        <w:t xml:space="preserve"> </w:t>
      </w:r>
      <w:r>
        <w:t>Internal</w:t>
      </w:r>
      <w:r>
        <w:rPr>
          <w:spacing w:val="-2"/>
        </w:rPr>
        <w:t xml:space="preserve"> </w:t>
      </w:r>
      <w:r>
        <w:t>Affairs-MoIA), a</w:t>
      </w:r>
      <w:r>
        <w:rPr>
          <w:spacing w:val="-2"/>
        </w:rPr>
        <w:t xml:space="preserve"> </w:t>
      </w:r>
      <w:r>
        <w:t>snap election</w:t>
      </w:r>
      <w:r>
        <w:rPr>
          <w:spacing w:val="-2"/>
        </w:rPr>
        <w:t xml:space="preserve"> </w:t>
      </w:r>
      <w:r>
        <w:t>which</w:t>
      </w:r>
      <w:r>
        <w:rPr>
          <w:spacing w:val="-2"/>
        </w:rPr>
        <w:t xml:space="preserve"> </w:t>
      </w:r>
      <w:r>
        <w:t>saw a</w:t>
      </w:r>
      <w:r>
        <w:rPr>
          <w:spacing w:val="-2"/>
        </w:rPr>
        <w:t xml:space="preserve"> </w:t>
      </w:r>
      <w:r>
        <w:t>new government</w:t>
      </w:r>
      <w:r>
        <w:rPr>
          <w:spacing w:val="-2"/>
        </w:rPr>
        <w:t xml:space="preserve"> </w:t>
      </w:r>
      <w:r>
        <w:t>established in</w:t>
      </w:r>
      <w:r>
        <w:rPr>
          <w:spacing w:val="-2"/>
        </w:rPr>
        <w:t xml:space="preserve"> </w:t>
      </w:r>
      <w:r>
        <w:t>October</w:t>
      </w:r>
      <w:r>
        <w:rPr>
          <w:spacing w:val="-1"/>
        </w:rPr>
        <w:t xml:space="preserve"> </w:t>
      </w:r>
      <w:r>
        <w:t>2022, and</w:t>
      </w:r>
      <w:r>
        <w:rPr>
          <w:spacing w:val="-2"/>
        </w:rPr>
        <w:t xml:space="preserve"> </w:t>
      </w:r>
      <w:r>
        <w:t>three Prime</w:t>
      </w:r>
      <w:r>
        <w:rPr>
          <w:spacing w:val="-2"/>
        </w:rPr>
        <w:t xml:space="preserve"> </w:t>
      </w:r>
      <w:r>
        <w:t>Ministers</w:t>
      </w:r>
      <w:r>
        <w:rPr>
          <w:spacing w:val="-1"/>
        </w:rPr>
        <w:t xml:space="preserve"> </w:t>
      </w:r>
      <w:r>
        <w:t>in</w:t>
      </w:r>
      <w:r>
        <w:rPr>
          <w:spacing w:val="-2"/>
        </w:rPr>
        <w:t xml:space="preserve"> </w:t>
      </w:r>
      <w:r>
        <w:t>the space of a month in late 2023. Plans to disband the MJCS have been shelved.</w:t>
      </w:r>
    </w:p>
    <w:p w14:paraId="4774E716" w14:textId="77777777" w:rsidR="009C36E3" w:rsidRDefault="000E7207">
      <w:pPr>
        <w:pStyle w:val="BodyText"/>
        <w:spacing w:before="120"/>
        <w:ind w:right="192"/>
      </w:pPr>
      <w:r>
        <w:t>Vanuatu continues to be vulnerable to a range of natural disasters, including earthquakes, volcanos, landslides, coastal flooding, and tsunamis (DFAT, 2021). Modeling by the Pacific Catastrophe Risk Assessment Financing Initiative estimates that on a long-term average, Vanuatu is expected to incur AUD48 million annually in losses because of</w:t>
      </w:r>
      <w:r>
        <w:rPr>
          <w:spacing w:val="-2"/>
        </w:rPr>
        <w:t xml:space="preserve"> </w:t>
      </w:r>
      <w:r>
        <w:t>earthquakes</w:t>
      </w:r>
      <w:r>
        <w:rPr>
          <w:spacing w:val="-1"/>
        </w:rPr>
        <w:t xml:space="preserve"> </w:t>
      </w:r>
      <w:r>
        <w:t>and</w:t>
      </w:r>
      <w:r>
        <w:rPr>
          <w:spacing w:val="-2"/>
        </w:rPr>
        <w:t xml:space="preserve"> </w:t>
      </w:r>
      <w:r>
        <w:t>cyclones.</w:t>
      </w:r>
      <w:r>
        <w:rPr>
          <w:spacing w:val="-2"/>
        </w:rPr>
        <w:t xml:space="preserve"> </w:t>
      </w:r>
      <w:r>
        <w:t>In</w:t>
      </w:r>
      <w:r>
        <w:rPr>
          <w:spacing w:val="-2"/>
        </w:rPr>
        <w:t xml:space="preserve"> </w:t>
      </w:r>
      <w:r>
        <w:t>the</w:t>
      </w:r>
      <w:r>
        <w:rPr>
          <w:spacing w:val="-2"/>
        </w:rPr>
        <w:t xml:space="preserve"> </w:t>
      </w:r>
      <w:r>
        <w:t>first</w:t>
      </w:r>
      <w:r>
        <w:rPr>
          <w:spacing w:val="-2"/>
        </w:rPr>
        <w:t xml:space="preserve"> </w:t>
      </w:r>
      <w:r>
        <w:t>week</w:t>
      </w:r>
      <w:r>
        <w:rPr>
          <w:spacing w:val="-1"/>
        </w:rPr>
        <w:t xml:space="preserve"> </w:t>
      </w:r>
      <w:r>
        <w:t>of</w:t>
      </w:r>
      <w:r>
        <w:rPr>
          <w:spacing w:val="-2"/>
        </w:rPr>
        <w:t xml:space="preserve"> </w:t>
      </w:r>
      <w:r>
        <w:t>March 2023,</w:t>
      </w:r>
      <w:r>
        <w:rPr>
          <w:spacing w:val="-2"/>
        </w:rPr>
        <w:t xml:space="preserve"> </w:t>
      </w:r>
      <w:r>
        <w:t>Vanuatu was</w:t>
      </w:r>
      <w:r>
        <w:rPr>
          <w:spacing w:val="-1"/>
        </w:rPr>
        <w:t xml:space="preserve"> </w:t>
      </w:r>
      <w:r>
        <w:t>hit by</w:t>
      </w:r>
      <w:r>
        <w:rPr>
          <w:spacing w:val="-1"/>
        </w:rPr>
        <w:t xml:space="preserve"> </w:t>
      </w:r>
      <w:r>
        <w:t>two category</w:t>
      </w:r>
      <w:r>
        <w:rPr>
          <w:spacing w:val="-1"/>
        </w:rPr>
        <w:t xml:space="preserve"> </w:t>
      </w:r>
      <w:r>
        <w:t>4</w:t>
      </w:r>
      <w:r>
        <w:rPr>
          <w:spacing w:val="-2"/>
        </w:rPr>
        <w:t xml:space="preserve"> </w:t>
      </w:r>
      <w:r>
        <w:t>tropical cyclones (TC Judy and Kevin) and earthquakes that affected more than 80% of the population. At this time the country was still recovering from the effects of category 5 TC Pam in 2015 and TC Harold in 2020, and several other disasters triggered by natural hazards including volcanic eruptions, drought, and infestation with coconut rhinoceros beetle (CRB). Vanuatu was subsequently struck by a Category 5 cyclone (TC Lola) in October 2023 with</w:t>
      </w:r>
      <w:r>
        <w:rPr>
          <w:spacing w:val="-3"/>
        </w:rPr>
        <w:t xml:space="preserve"> </w:t>
      </w:r>
      <w:r>
        <w:t>considerable</w:t>
      </w:r>
      <w:r>
        <w:rPr>
          <w:spacing w:val="-3"/>
        </w:rPr>
        <w:t xml:space="preserve"> </w:t>
      </w:r>
      <w:r>
        <w:t>damage</w:t>
      </w:r>
      <w:r>
        <w:rPr>
          <w:spacing w:val="-1"/>
        </w:rPr>
        <w:t xml:space="preserve"> </w:t>
      </w:r>
      <w:r>
        <w:t>to</w:t>
      </w:r>
      <w:r>
        <w:rPr>
          <w:spacing w:val="-3"/>
        </w:rPr>
        <w:t xml:space="preserve"> </w:t>
      </w:r>
      <w:r>
        <w:t>infrastructure</w:t>
      </w:r>
      <w:r>
        <w:rPr>
          <w:spacing w:val="-3"/>
        </w:rPr>
        <w:t xml:space="preserve"> </w:t>
      </w:r>
      <w:r>
        <w:t>and</w:t>
      </w:r>
      <w:r>
        <w:rPr>
          <w:spacing w:val="-3"/>
        </w:rPr>
        <w:t xml:space="preserve"> </w:t>
      </w:r>
      <w:r>
        <w:t>services</w:t>
      </w:r>
      <w:r>
        <w:rPr>
          <w:spacing w:val="-2"/>
        </w:rPr>
        <w:t xml:space="preserve"> </w:t>
      </w:r>
      <w:r>
        <w:t>in</w:t>
      </w:r>
      <w:r>
        <w:rPr>
          <w:spacing w:val="-3"/>
        </w:rPr>
        <w:t xml:space="preserve"> </w:t>
      </w:r>
      <w:r>
        <w:t>the</w:t>
      </w:r>
      <w:r>
        <w:rPr>
          <w:spacing w:val="-3"/>
        </w:rPr>
        <w:t xml:space="preserve"> </w:t>
      </w:r>
      <w:r>
        <w:t>northern</w:t>
      </w:r>
      <w:r>
        <w:rPr>
          <w:spacing w:val="-1"/>
        </w:rPr>
        <w:t xml:space="preserve"> </w:t>
      </w:r>
      <w:r>
        <w:t>part</w:t>
      </w:r>
      <w:r>
        <w:rPr>
          <w:spacing w:val="-1"/>
        </w:rPr>
        <w:t xml:space="preserve"> </w:t>
      </w:r>
      <w:r>
        <w:t>of</w:t>
      </w:r>
      <w:r>
        <w:rPr>
          <w:spacing w:val="-3"/>
        </w:rPr>
        <w:t xml:space="preserve"> </w:t>
      </w:r>
      <w:r>
        <w:t>the</w:t>
      </w:r>
      <w:r>
        <w:rPr>
          <w:spacing w:val="-1"/>
        </w:rPr>
        <w:t xml:space="preserve"> </w:t>
      </w:r>
      <w:r>
        <w:t>country.</w:t>
      </w:r>
      <w:r>
        <w:rPr>
          <w:spacing w:val="-3"/>
        </w:rPr>
        <w:t xml:space="preserve"> </w:t>
      </w:r>
      <w:r>
        <w:t>VAPJP</w:t>
      </w:r>
      <w:r>
        <w:rPr>
          <w:spacing w:val="-4"/>
        </w:rPr>
        <w:t xml:space="preserve"> </w:t>
      </w:r>
      <w:r>
        <w:t>has</w:t>
      </w:r>
      <w:r>
        <w:rPr>
          <w:spacing w:val="-2"/>
        </w:rPr>
        <w:t xml:space="preserve"> </w:t>
      </w:r>
      <w:r>
        <w:t>responded to cyclones with assistance to repair law, justice and policing infrastructure and services, as well as contributed to business continuity planning. During this time the program has had to contend with reduced engagement with counterparts due to competing priorities and leadership changes.</w:t>
      </w:r>
    </w:p>
    <w:p w14:paraId="6AD208E3" w14:textId="77777777" w:rsidR="009C36E3" w:rsidRDefault="000E7207">
      <w:pPr>
        <w:pStyle w:val="BodyText"/>
        <w:spacing w:before="121"/>
        <w:ind w:right="120"/>
      </w:pPr>
      <w:r>
        <w:t>The November 2022 cyber-attack on the GoV network continues to impact on sector functionality with extensive loss</w:t>
      </w:r>
      <w:r>
        <w:rPr>
          <w:spacing w:val="-3"/>
        </w:rPr>
        <w:t xml:space="preserve"> </w:t>
      </w:r>
      <w:r>
        <w:t>of</w:t>
      </w:r>
      <w:r>
        <w:rPr>
          <w:spacing w:val="-4"/>
        </w:rPr>
        <w:t xml:space="preserve"> </w:t>
      </w:r>
      <w:r>
        <w:t>data</w:t>
      </w:r>
      <w:r>
        <w:rPr>
          <w:spacing w:val="-2"/>
        </w:rPr>
        <w:t xml:space="preserve"> </w:t>
      </w:r>
      <w:r>
        <w:t>from</w:t>
      </w:r>
      <w:r>
        <w:rPr>
          <w:spacing w:val="-2"/>
        </w:rPr>
        <w:t xml:space="preserve"> </w:t>
      </w:r>
      <w:r>
        <w:t>PIMS</w:t>
      </w:r>
      <w:r>
        <w:rPr>
          <w:spacing w:val="-5"/>
        </w:rPr>
        <w:t xml:space="preserve"> </w:t>
      </w:r>
      <w:r>
        <w:t>and</w:t>
      </w:r>
      <w:r>
        <w:rPr>
          <w:spacing w:val="-2"/>
        </w:rPr>
        <w:t xml:space="preserve"> </w:t>
      </w:r>
      <w:r>
        <w:t>CMS.</w:t>
      </w:r>
      <w:r>
        <w:rPr>
          <w:spacing w:val="-4"/>
        </w:rPr>
        <w:t xml:space="preserve"> </w:t>
      </w:r>
      <w:r>
        <w:t>This has</w:t>
      </w:r>
      <w:r>
        <w:rPr>
          <w:spacing w:val="-3"/>
        </w:rPr>
        <w:t xml:space="preserve"> </w:t>
      </w:r>
      <w:r>
        <w:t>also</w:t>
      </w:r>
      <w:r>
        <w:rPr>
          <w:spacing w:val="-4"/>
        </w:rPr>
        <w:t xml:space="preserve"> </w:t>
      </w:r>
      <w:r>
        <w:t>impacted</w:t>
      </w:r>
      <w:r>
        <w:rPr>
          <w:spacing w:val="-4"/>
        </w:rPr>
        <w:t xml:space="preserve"> </w:t>
      </w:r>
      <w:r>
        <w:t>VAPJP’s ability</w:t>
      </w:r>
      <w:r>
        <w:rPr>
          <w:spacing w:val="-3"/>
        </w:rPr>
        <w:t xml:space="preserve"> </w:t>
      </w:r>
      <w:r>
        <w:t>to</w:t>
      </w:r>
      <w:r>
        <w:rPr>
          <w:spacing w:val="-4"/>
        </w:rPr>
        <w:t xml:space="preserve"> </w:t>
      </w:r>
      <w:r>
        <w:t>report</w:t>
      </w:r>
      <w:r>
        <w:rPr>
          <w:spacing w:val="-2"/>
        </w:rPr>
        <w:t xml:space="preserve"> </w:t>
      </w:r>
      <w:r>
        <w:t>on</w:t>
      </w:r>
      <w:r>
        <w:rPr>
          <w:spacing w:val="-4"/>
        </w:rPr>
        <w:t xml:space="preserve"> </w:t>
      </w:r>
      <w:r>
        <w:t>progress</w:t>
      </w:r>
      <w:r>
        <w:rPr>
          <w:spacing w:val="-3"/>
        </w:rPr>
        <w:t xml:space="preserve"> </w:t>
      </w:r>
      <w:r>
        <w:t>towards</w:t>
      </w:r>
      <w:r>
        <w:rPr>
          <w:spacing w:val="-3"/>
        </w:rPr>
        <w:t xml:space="preserve"> </w:t>
      </w:r>
      <w:r>
        <w:t>outcomes, and the evaluability of the program. VAPJP has responded with extensive support to reload and restore this data and expressed their hope that the process will be completed by the end of 2023.</w:t>
      </w:r>
    </w:p>
    <w:p w14:paraId="16ABDAC3" w14:textId="77777777" w:rsidR="009C36E3" w:rsidRDefault="000E7207">
      <w:pPr>
        <w:pStyle w:val="BodyText"/>
        <w:spacing w:before="119"/>
      </w:pPr>
      <w:r>
        <w:t>VAPJP also adapted to support GoV agencies during COVID-19 and associated restrictions, including through reallocation</w:t>
      </w:r>
      <w:r>
        <w:rPr>
          <w:spacing w:val="-2"/>
        </w:rPr>
        <w:t xml:space="preserve"> </w:t>
      </w:r>
      <w:r>
        <w:t>of</w:t>
      </w:r>
      <w:r>
        <w:rPr>
          <w:spacing w:val="-4"/>
        </w:rPr>
        <w:t xml:space="preserve"> </w:t>
      </w:r>
      <w:r>
        <w:t>funds</w:t>
      </w:r>
      <w:r>
        <w:rPr>
          <w:spacing w:val="-3"/>
        </w:rPr>
        <w:t xml:space="preserve"> </w:t>
      </w:r>
      <w:r>
        <w:t>to</w:t>
      </w:r>
      <w:r>
        <w:rPr>
          <w:spacing w:val="-4"/>
        </w:rPr>
        <w:t xml:space="preserve"> </w:t>
      </w:r>
      <w:r>
        <w:t>provide</w:t>
      </w:r>
      <w:r>
        <w:rPr>
          <w:spacing w:val="-4"/>
        </w:rPr>
        <w:t xml:space="preserve"> </w:t>
      </w:r>
      <w:r>
        <w:t>hand</w:t>
      </w:r>
      <w:r>
        <w:rPr>
          <w:spacing w:val="-2"/>
        </w:rPr>
        <w:t xml:space="preserve"> </w:t>
      </w:r>
      <w:r>
        <w:t>sanitiser,</w:t>
      </w:r>
      <w:r>
        <w:rPr>
          <w:spacing w:val="-2"/>
        </w:rPr>
        <w:t xml:space="preserve"> </w:t>
      </w:r>
      <w:r>
        <w:t>PPE,</w:t>
      </w:r>
      <w:r>
        <w:rPr>
          <w:spacing w:val="-2"/>
        </w:rPr>
        <w:t xml:space="preserve"> </w:t>
      </w:r>
      <w:r>
        <w:t>protective</w:t>
      </w:r>
      <w:r>
        <w:rPr>
          <w:spacing w:val="-4"/>
        </w:rPr>
        <w:t xml:space="preserve"> </w:t>
      </w:r>
      <w:r>
        <w:t>screens,</w:t>
      </w:r>
      <w:r>
        <w:rPr>
          <w:spacing w:val="-4"/>
        </w:rPr>
        <w:t xml:space="preserve"> </w:t>
      </w:r>
      <w:r>
        <w:t>sterilisation</w:t>
      </w:r>
      <w:r>
        <w:rPr>
          <w:spacing w:val="-4"/>
        </w:rPr>
        <w:t xml:space="preserve"> </w:t>
      </w:r>
      <w:r>
        <w:t>units,</w:t>
      </w:r>
      <w:r>
        <w:rPr>
          <w:spacing w:val="-2"/>
        </w:rPr>
        <w:t xml:space="preserve"> </w:t>
      </w:r>
      <w:r>
        <w:t>entry</w:t>
      </w:r>
      <w:r>
        <w:rPr>
          <w:spacing w:val="-3"/>
        </w:rPr>
        <w:t xml:space="preserve"> </w:t>
      </w:r>
      <w:r>
        <w:t>control</w:t>
      </w:r>
      <w:r>
        <w:rPr>
          <w:spacing w:val="-5"/>
        </w:rPr>
        <w:t xml:space="preserve"> </w:t>
      </w:r>
      <w:r>
        <w:t xml:space="preserve">technology, business continuity planning, supporting a switch to manual data entry for courts and extending teleconferencing </w:t>
      </w:r>
      <w:r>
        <w:rPr>
          <w:spacing w:val="-2"/>
        </w:rPr>
        <w:t>facilities.</w:t>
      </w:r>
    </w:p>
    <w:p w14:paraId="59F42CB3" w14:textId="64C6FC3D" w:rsidR="009C36E3" w:rsidRDefault="000E7207">
      <w:pPr>
        <w:pStyle w:val="BodyText"/>
        <w:spacing w:before="120"/>
        <w:ind w:right="195"/>
      </w:pPr>
      <w:r>
        <w:t>The focus of VAPJP on supporting the GoV decentralisation agenda remains relevant as Vanuatu’s archipelagic geography and widely dispersed population, along with limited transport and other basic infrastructure, present major</w:t>
      </w:r>
      <w:r>
        <w:rPr>
          <w:spacing w:val="-1"/>
        </w:rPr>
        <w:t xml:space="preserve"> </w:t>
      </w:r>
      <w:r>
        <w:t>challenges</w:t>
      </w:r>
      <w:r>
        <w:rPr>
          <w:spacing w:val="-1"/>
        </w:rPr>
        <w:t xml:space="preserve"> </w:t>
      </w:r>
      <w:r>
        <w:t>to</w:t>
      </w:r>
      <w:r>
        <w:rPr>
          <w:spacing w:val="-2"/>
        </w:rPr>
        <w:t xml:space="preserve"> </w:t>
      </w:r>
      <w:r>
        <w:t>service delivery</w:t>
      </w:r>
      <w:r w:rsidR="002807F8">
        <w:t xml:space="preserve"> </w:t>
      </w:r>
      <w:r>
        <w:t>(Putt and</w:t>
      </w:r>
      <w:r>
        <w:rPr>
          <w:spacing w:val="-2"/>
        </w:rPr>
        <w:t xml:space="preserve"> </w:t>
      </w:r>
      <w:r>
        <w:t>Dinnen, 2023). VAPJP’s</w:t>
      </w:r>
      <w:r>
        <w:rPr>
          <w:spacing w:val="-1"/>
        </w:rPr>
        <w:t xml:space="preserve"> </w:t>
      </w:r>
      <w:r>
        <w:t>PJSS</w:t>
      </w:r>
      <w:r>
        <w:rPr>
          <w:spacing w:val="-3"/>
        </w:rPr>
        <w:t xml:space="preserve"> </w:t>
      </w:r>
      <w:r>
        <w:t>confirmed</w:t>
      </w:r>
      <w:r>
        <w:rPr>
          <w:spacing w:val="-2"/>
        </w:rPr>
        <w:t xml:space="preserve"> </w:t>
      </w:r>
      <w:r>
        <w:t>that</w:t>
      </w:r>
      <w:r>
        <w:rPr>
          <w:spacing w:val="-2"/>
        </w:rPr>
        <w:t xml:space="preserve"> </w:t>
      </w:r>
      <w:r>
        <w:t>formal</w:t>
      </w:r>
      <w:r>
        <w:rPr>
          <w:spacing w:val="-3"/>
        </w:rPr>
        <w:t xml:space="preserve"> </w:t>
      </w:r>
      <w:r>
        <w:t>law</w:t>
      </w:r>
      <w:r>
        <w:rPr>
          <w:spacing w:val="-2"/>
        </w:rPr>
        <w:t xml:space="preserve"> </w:t>
      </w:r>
      <w:r>
        <w:t>and</w:t>
      </w:r>
      <w:r>
        <w:rPr>
          <w:spacing w:val="-2"/>
        </w:rPr>
        <w:t xml:space="preserve"> </w:t>
      </w:r>
      <w:r>
        <w:t>justice systems</w:t>
      </w:r>
      <w:r>
        <w:rPr>
          <w:spacing w:val="-2"/>
        </w:rPr>
        <w:t xml:space="preserve"> </w:t>
      </w:r>
      <w:r>
        <w:t>are</w:t>
      </w:r>
      <w:r>
        <w:rPr>
          <w:spacing w:val="-3"/>
        </w:rPr>
        <w:t xml:space="preserve"> </w:t>
      </w:r>
      <w:r>
        <w:t>not</w:t>
      </w:r>
      <w:r>
        <w:rPr>
          <w:spacing w:val="-1"/>
        </w:rPr>
        <w:t xml:space="preserve"> </w:t>
      </w:r>
      <w:r>
        <w:t>able</w:t>
      </w:r>
      <w:r>
        <w:rPr>
          <w:spacing w:val="-3"/>
        </w:rPr>
        <w:t xml:space="preserve"> </w:t>
      </w:r>
      <w:r>
        <w:t>to</w:t>
      </w:r>
      <w:r>
        <w:rPr>
          <w:spacing w:val="-3"/>
        </w:rPr>
        <w:t xml:space="preserve"> </w:t>
      </w:r>
      <w:r>
        <w:t>meet</w:t>
      </w:r>
      <w:r>
        <w:rPr>
          <w:spacing w:val="-3"/>
        </w:rPr>
        <w:t xml:space="preserve"> </w:t>
      </w:r>
      <w:r>
        <w:t>the</w:t>
      </w:r>
      <w:r>
        <w:rPr>
          <w:spacing w:val="-3"/>
        </w:rPr>
        <w:t xml:space="preserve"> </w:t>
      </w:r>
      <w:r>
        <w:t>majority</w:t>
      </w:r>
      <w:r>
        <w:rPr>
          <w:spacing w:val="-2"/>
        </w:rPr>
        <w:t xml:space="preserve"> </w:t>
      </w:r>
      <w:r>
        <w:t>of</w:t>
      </w:r>
      <w:r>
        <w:rPr>
          <w:spacing w:val="-1"/>
        </w:rPr>
        <w:t xml:space="preserve"> </w:t>
      </w:r>
      <w:r>
        <w:t>people’s</w:t>
      </w:r>
      <w:r>
        <w:rPr>
          <w:spacing w:val="-2"/>
        </w:rPr>
        <w:t xml:space="preserve"> </w:t>
      </w:r>
      <w:r>
        <w:t>needs,</w:t>
      </w:r>
      <w:r>
        <w:rPr>
          <w:spacing w:val="-3"/>
        </w:rPr>
        <w:t xml:space="preserve"> </w:t>
      </w:r>
      <w:r>
        <w:t>and</w:t>
      </w:r>
      <w:r>
        <w:rPr>
          <w:spacing w:val="-1"/>
        </w:rPr>
        <w:t xml:space="preserve"> </w:t>
      </w:r>
      <w:r>
        <w:t>instead</w:t>
      </w:r>
      <w:r>
        <w:rPr>
          <w:spacing w:val="-3"/>
        </w:rPr>
        <w:t xml:space="preserve"> </w:t>
      </w:r>
      <w:r>
        <w:t>people</w:t>
      </w:r>
      <w:r>
        <w:rPr>
          <w:spacing w:val="-1"/>
        </w:rPr>
        <w:t xml:space="preserve"> </w:t>
      </w:r>
      <w:r>
        <w:t>largely</w:t>
      </w:r>
      <w:r>
        <w:rPr>
          <w:spacing w:val="-2"/>
        </w:rPr>
        <w:t xml:space="preserve"> </w:t>
      </w:r>
      <w:r>
        <w:t>continue</w:t>
      </w:r>
      <w:r>
        <w:rPr>
          <w:spacing w:val="-3"/>
        </w:rPr>
        <w:t xml:space="preserve"> </w:t>
      </w:r>
      <w:r>
        <w:t>to</w:t>
      </w:r>
      <w:r>
        <w:rPr>
          <w:spacing w:val="-3"/>
        </w:rPr>
        <w:t xml:space="preserve"> </w:t>
      </w:r>
      <w:r>
        <w:t>rely</w:t>
      </w:r>
      <w:r>
        <w:rPr>
          <w:spacing w:val="-2"/>
        </w:rPr>
        <w:t xml:space="preserve"> </w:t>
      </w:r>
      <w:r>
        <w:t>on</w:t>
      </w:r>
      <w:r>
        <w:rPr>
          <w:spacing w:val="-3"/>
        </w:rPr>
        <w:t xml:space="preserve"> </w:t>
      </w:r>
      <w:r>
        <w:t>diverse non-state actors including chiefs and community leaders to provide security and justice. VAPJP’s scale up of its decentralised CA2J Justice component of the Program and enhancement of Police Rotations overlapping with CA2J services responds to this reality.</w:t>
      </w:r>
    </w:p>
    <w:p w14:paraId="0763C245" w14:textId="5EF7CAC1" w:rsidR="009C36E3" w:rsidRDefault="000E7207">
      <w:pPr>
        <w:pStyle w:val="BodyText"/>
        <w:spacing w:before="121"/>
        <w:ind w:right="120"/>
      </w:pPr>
      <w:r>
        <w:t>The PJSS noted that “To help inform any evaluation of whether the program is meeting the third end of program outcome</w:t>
      </w:r>
      <w:r>
        <w:rPr>
          <w:spacing w:val="-3"/>
        </w:rPr>
        <w:t xml:space="preserve"> </w:t>
      </w:r>
      <w:r>
        <w:t>area</w:t>
      </w:r>
      <w:r>
        <w:rPr>
          <w:spacing w:val="-3"/>
        </w:rPr>
        <w:t xml:space="preserve"> </w:t>
      </w:r>
      <w:r>
        <w:t>that</w:t>
      </w:r>
      <w:r>
        <w:rPr>
          <w:spacing w:val="-3"/>
        </w:rPr>
        <w:t xml:space="preserve"> </w:t>
      </w:r>
      <w:r>
        <w:t>focuses on</w:t>
      </w:r>
      <w:r>
        <w:rPr>
          <w:spacing w:val="-3"/>
        </w:rPr>
        <w:t xml:space="preserve"> </w:t>
      </w:r>
      <w:r>
        <w:t>public</w:t>
      </w:r>
      <w:r>
        <w:rPr>
          <w:spacing w:val="-2"/>
        </w:rPr>
        <w:t xml:space="preserve"> </w:t>
      </w:r>
      <w:r>
        <w:t>security</w:t>
      </w:r>
      <w:r>
        <w:rPr>
          <w:spacing w:val="-2"/>
        </w:rPr>
        <w:t xml:space="preserve"> </w:t>
      </w:r>
      <w:r>
        <w:t>and</w:t>
      </w:r>
      <w:r>
        <w:rPr>
          <w:spacing w:val="-3"/>
        </w:rPr>
        <w:t xml:space="preserve"> </w:t>
      </w:r>
      <w:r>
        <w:t>rule</w:t>
      </w:r>
      <w:r>
        <w:rPr>
          <w:spacing w:val="-1"/>
        </w:rPr>
        <w:t xml:space="preserve"> </w:t>
      </w:r>
      <w:r>
        <w:t>of</w:t>
      </w:r>
      <w:r>
        <w:rPr>
          <w:spacing w:val="-3"/>
        </w:rPr>
        <w:t xml:space="preserve"> </w:t>
      </w:r>
      <w:r>
        <w:t>law,</w:t>
      </w:r>
      <w:r>
        <w:rPr>
          <w:spacing w:val="-3"/>
        </w:rPr>
        <w:t xml:space="preserve"> </w:t>
      </w:r>
      <w:r>
        <w:t>we</w:t>
      </w:r>
      <w:r>
        <w:rPr>
          <w:spacing w:val="-3"/>
        </w:rPr>
        <w:t xml:space="preserve"> </w:t>
      </w:r>
      <w:r>
        <w:t>would</w:t>
      </w:r>
      <w:r>
        <w:rPr>
          <w:spacing w:val="-1"/>
        </w:rPr>
        <w:t xml:space="preserve"> </w:t>
      </w:r>
      <w:r>
        <w:t>recommend</w:t>
      </w:r>
      <w:r>
        <w:rPr>
          <w:spacing w:val="-3"/>
        </w:rPr>
        <w:t xml:space="preserve"> </w:t>
      </w:r>
      <w:r>
        <w:t>research</w:t>
      </w:r>
      <w:r>
        <w:rPr>
          <w:spacing w:val="-1"/>
        </w:rPr>
        <w:t xml:space="preserve"> </w:t>
      </w:r>
      <w:r>
        <w:t>on</w:t>
      </w:r>
      <w:r>
        <w:rPr>
          <w:spacing w:val="-3"/>
        </w:rPr>
        <w:t xml:space="preserve"> </w:t>
      </w:r>
      <w:r>
        <w:t>emerging</w:t>
      </w:r>
      <w:r>
        <w:rPr>
          <w:spacing w:val="-3"/>
        </w:rPr>
        <w:t xml:space="preserve"> </w:t>
      </w:r>
      <w:r>
        <w:t>threats posed by complex, cyber-based and transnational crime”</w:t>
      </w:r>
      <w:r w:rsidR="002807F8">
        <w:t xml:space="preserve"> </w:t>
      </w:r>
      <w:r>
        <w:t>(Putt and Dinnen 2023). During consultations the MTR team noted a growing demand for additional support on emerging crime types including money laundering and cybercrime which AFP, separate from VAPJP, has partly addressed by training from Cybersafety Pasifika and arranging the visit of two advisers to Vanuatu to advise on money laundering.</w:t>
      </w:r>
    </w:p>
    <w:p w14:paraId="1920927B" w14:textId="77777777" w:rsidR="009C36E3" w:rsidRDefault="009C36E3">
      <w:pPr>
        <w:sectPr w:rsidR="009C36E3">
          <w:pgSz w:w="11910" w:h="16850"/>
          <w:pgMar w:top="1040" w:right="740" w:bottom="740" w:left="80" w:header="552" w:footer="559" w:gutter="0"/>
          <w:cols w:space="720"/>
        </w:sectPr>
      </w:pPr>
    </w:p>
    <w:p w14:paraId="11A0421E" w14:textId="77777777" w:rsidR="009C36E3" w:rsidRDefault="000E7207">
      <w:pPr>
        <w:pStyle w:val="Heading7"/>
        <w:spacing w:before="91"/>
        <w:ind w:left="772"/>
        <w:jc w:val="both"/>
      </w:pPr>
      <w:r>
        <w:t>Strategic</w:t>
      </w:r>
      <w:r>
        <w:rPr>
          <w:spacing w:val="-12"/>
        </w:rPr>
        <w:t xml:space="preserve"> </w:t>
      </w:r>
      <w:r>
        <w:rPr>
          <w:spacing w:val="-2"/>
        </w:rPr>
        <w:t>alignment</w:t>
      </w:r>
    </w:p>
    <w:p w14:paraId="4C152CAC" w14:textId="77777777" w:rsidR="009C36E3" w:rsidRDefault="000E7207">
      <w:pPr>
        <w:pStyle w:val="BodyText"/>
        <w:spacing w:before="120"/>
        <w:ind w:left="772" w:right="251"/>
        <w:jc w:val="both"/>
      </w:pPr>
      <w:r>
        <w:t>This</w:t>
      </w:r>
      <w:r>
        <w:rPr>
          <w:spacing w:val="-3"/>
        </w:rPr>
        <w:t xml:space="preserve"> </w:t>
      </w:r>
      <w:r>
        <w:t>section</w:t>
      </w:r>
      <w:r>
        <w:rPr>
          <w:spacing w:val="-4"/>
        </w:rPr>
        <w:t xml:space="preserve"> </w:t>
      </w:r>
      <w:r>
        <w:t>provides</w:t>
      </w:r>
      <w:r>
        <w:rPr>
          <w:spacing w:val="-3"/>
        </w:rPr>
        <w:t xml:space="preserve"> </w:t>
      </w:r>
      <w:r>
        <w:t>analysis</w:t>
      </w:r>
      <w:r>
        <w:rPr>
          <w:spacing w:val="-3"/>
        </w:rPr>
        <w:t xml:space="preserve"> </w:t>
      </w:r>
      <w:r>
        <w:t>of</w:t>
      </w:r>
      <w:r>
        <w:rPr>
          <w:spacing w:val="-4"/>
        </w:rPr>
        <w:t xml:space="preserve"> </w:t>
      </w:r>
      <w:r>
        <w:t>the</w:t>
      </w:r>
      <w:r>
        <w:rPr>
          <w:spacing w:val="-4"/>
        </w:rPr>
        <w:t xml:space="preserve"> </w:t>
      </w:r>
      <w:r>
        <w:t>VAPJP</w:t>
      </w:r>
      <w:r>
        <w:rPr>
          <w:spacing w:val="-5"/>
        </w:rPr>
        <w:t xml:space="preserve"> </w:t>
      </w:r>
      <w:r>
        <w:t>design</w:t>
      </w:r>
      <w:r>
        <w:rPr>
          <w:spacing w:val="-2"/>
        </w:rPr>
        <w:t xml:space="preserve"> </w:t>
      </w:r>
      <w:r>
        <w:t>and</w:t>
      </w:r>
      <w:r>
        <w:rPr>
          <w:spacing w:val="-4"/>
        </w:rPr>
        <w:t xml:space="preserve"> </w:t>
      </w:r>
      <w:r>
        <w:t>priorities</w:t>
      </w:r>
      <w:r>
        <w:rPr>
          <w:spacing w:val="-3"/>
        </w:rPr>
        <w:t xml:space="preserve"> </w:t>
      </w:r>
      <w:r>
        <w:t>against</w:t>
      </w:r>
      <w:r>
        <w:rPr>
          <w:spacing w:val="-2"/>
        </w:rPr>
        <w:t xml:space="preserve"> </w:t>
      </w:r>
      <w:r>
        <w:t>Australia's</w:t>
      </w:r>
      <w:r>
        <w:rPr>
          <w:spacing w:val="-3"/>
        </w:rPr>
        <w:t xml:space="preserve"> </w:t>
      </w:r>
      <w:r>
        <w:t>high-level</w:t>
      </w:r>
      <w:r>
        <w:rPr>
          <w:spacing w:val="-5"/>
        </w:rPr>
        <w:t xml:space="preserve"> </w:t>
      </w:r>
      <w:r>
        <w:t>strategic interest</w:t>
      </w:r>
      <w:r>
        <w:rPr>
          <w:spacing w:val="-4"/>
        </w:rPr>
        <w:t xml:space="preserve"> </w:t>
      </w:r>
      <w:r>
        <w:t>in Vanuatu and</w:t>
      </w:r>
      <w:r>
        <w:rPr>
          <w:spacing w:val="-1"/>
        </w:rPr>
        <w:t xml:space="preserve"> </w:t>
      </w:r>
      <w:r>
        <w:t>the</w:t>
      </w:r>
      <w:r>
        <w:rPr>
          <w:spacing w:val="-1"/>
        </w:rPr>
        <w:t xml:space="preserve"> </w:t>
      </w:r>
      <w:r>
        <w:t>region.</w:t>
      </w:r>
      <w:r>
        <w:rPr>
          <w:spacing w:val="-1"/>
        </w:rPr>
        <w:t xml:space="preserve"> </w:t>
      </w:r>
      <w:r>
        <w:t>This assists in understanding whether VAPJP</w:t>
      </w:r>
      <w:r>
        <w:rPr>
          <w:spacing w:val="-2"/>
        </w:rPr>
        <w:t xml:space="preserve"> </w:t>
      </w:r>
      <w:r>
        <w:t xml:space="preserve">remains a priority for DFAT and its partner </w:t>
      </w:r>
      <w:r>
        <w:rPr>
          <w:spacing w:val="-4"/>
        </w:rPr>
        <w:t>AFP.</w:t>
      </w:r>
    </w:p>
    <w:p w14:paraId="635FB007" w14:textId="77777777" w:rsidR="009C36E3" w:rsidRDefault="000E7207">
      <w:pPr>
        <w:pStyle w:val="BodyText"/>
        <w:spacing w:before="121"/>
        <w:ind w:right="120"/>
      </w:pPr>
      <w:r>
        <w:t>VAPJP</w:t>
      </w:r>
      <w:r>
        <w:rPr>
          <w:spacing w:val="-2"/>
        </w:rPr>
        <w:t xml:space="preserve"> </w:t>
      </w:r>
      <w:r>
        <w:t>aligns</w:t>
      </w:r>
      <w:r>
        <w:rPr>
          <w:spacing w:val="-3"/>
        </w:rPr>
        <w:t xml:space="preserve"> </w:t>
      </w:r>
      <w:r>
        <w:t>with</w:t>
      </w:r>
      <w:r>
        <w:rPr>
          <w:spacing w:val="-2"/>
        </w:rPr>
        <w:t xml:space="preserve"> </w:t>
      </w:r>
      <w:r>
        <w:t>Australia’s</w:t>
      </w:r>
      <w:r>
        <w:rPr>
          <w:spacing w:val="-3"/>
        </w:rPr>
        <w:t xml:space="preserve"> </w:t>
      </w:r>
      <w:r>
        <w:t>new</w:t>
      </w:r>
      <w:r>
        <w:rPr>
          <w:spacing w:val="-4"/>
        </w:rPr>
        <w:t xml:space="preserve"> </w:t>
      </w:r>
      <w:r>
        <w:t>international</w:t>
      </w:r>
      <w:r>
        <w:rPr>
          <w:spacing w:val="-5"/>
        </w:rPr>
        <w:t xml:space="preserve"> </w:t>
      </w:r>
      <w:r>
        <w:t>development</w:t>
      </w:r>
      <w:r>
        <w:rPr>
          <w:spacing w:val="-4"/>
        </w:rPr>
        <w:t xml:space="preserve"> </w:t>
      </w:r>
      <w:r>
        <w:t>policy</w:t>
      </w:r>
      <w:r>
        <w:rPr>
          <w:spacing w:val="-3"/>
        </w:rPr>
        <w:t xml:space="preserve"> </w:t>
      </w:r>
      <w:r>
        <w:t>(2023)</w:t>
      </w:r>
      <w:r>
        <w:rPr>
          <w:spacing w:val="-3"/>
        </w:rPr>
        <w:t xml:space="preserve"> </w:t>
      </w:r>
      <w:r>
        <w:t>which</w:t>
      </w:r>
      <w:r>
        <w:rPr>
          <w:spacing w:val="-2"/>
        </w:rPr>
        <w:t xml:space="preserve"> </w:t>
      </w:r>
      <w:r>
        <w:t>supersedes</w:t>
      </w:r>
      <w:r>
        <w:rPr>
          <w:spacing w:val="-2"/>
        </w:rPr>
        <w:t xml:space="preserve"> </w:t>
      </w:r>
      <w:r>
        <w:t>the</w:t>
      </w:r>
      <w:r>
        <w:rPr>
          <w:spacing w:val="-2"/>
        </w:rPr>
        <w:t xml:space="preserve"> </w:t>
      </w:r>
      <w:r>
        <w:t>2016</w:t>
      </w:r>
      <w:r>
        <w:rPr>
          <w:spacing w:val="-4"/>
        </w:rPr>
        <w:t xml:space="preserve"> </w:t>
      </w:r>
      <w:r>
        <w:t>Pacific</w:t>
      </w:r>
      <w:r>
        <w:rPr>
          <w:spacing w:val="-3"/>
        </w:rPr>
        <w:t xml:space="preserve"> </w:t>
      </w:r>
      <w:r>
        <w:t>Step Up and the 2020 Partnerships for Recovery.</w:t>
      </w:r>
      <w:hyperlink w:anchor="_bookmark41" w:history="1">
        <w:r>
          <w:rPr>
            <w:position w:val="6"/>
            <w:sz w:val="13"/>
          </w:rPr>
          <w:t>25</w:t>
        </w:r>
      </w:hyperlink>
      <w:r>
        <w:rPr>
          <w:spacing w:val="25"/>
          <w:position w:val="6"/>
          <w:sz w:val="13"/>
        </w:rPr>
        <w:t xml:space="preserve"> </w:t>
      </w:r>
      <w:r>
        <w:t>The new policy continues to emphasise the strategic importance of the Pacific, seeking to place Australia as “the partner of choice for our region” (DFAT, 2023a). VAPJP also aligns with the Australia Vanuatu bilateral</w:t>
      </w:r>
      <w:r>
        <w:rPr>
          <w:spacing w:val="-1"/>
        </w:rPr>
        <w:t xml:space="preserve"> </w:t>
      </w:r>
      <w:r>
        <w:t>security agreement (2022) which covers a range of security initiatives including those related to humanitarian assistance and disaster relief; human security (such as activities that support the elimination of violence against women and girls, including violence prevention and increased access to justice), defence cooperation; and police, law enforcement and justice cooperation (GoA and GoV, 2022).</w:t>
      </w:r>
    </w:p>
    <w:p w14:paraId="68F0EBCF" w14:textId="77777777" w:rsidR="009C36E3" w:rsidRDefault="000E7207">
      <w:pPr>
        <w:pStyle w:val="BodyText"/>
        <w:spacing w:before="119"/>
        <w:ind w:right="126"/>
      </w:pPr>
      <w:r>
        <w:t>VAPJP continues to align with Vanuatu’s NSDP, in particular with its emphasis on social inclusion; security, peace and justice; and strong and effective institutions. It also aligns with the National Security Strategy 2019, and the National Security Strategy Review 2022, notably pillars 1,3, 4, 5 and 6 pillars which respectively cover National Security</w:t>
      </w:r>
      <w:r>
        <w:rPr>
          <w:spacing w:val="-3"/>
        </w:rPr>
        <w:t xml:space="preserve"> </w:t>
      </w:r>
      <w:r>
        <w:t>Forces,</w:t>
      </w:r>
      <w:r>
        <w:rPr>
          <w:spacing w:val="-4"/>
        </w:rPr>
        <w:t xml:space="preserve"> </w:t>
      </w:r>
      <w:r>
        <w:t>Disasters and</w:t>
      </w:r>
      <w:r>
        <w:rPr>
          <w:spacing w:val="-4"/>
        </w:rPr>
        <w:t xml:space="preserve"> </w:t>
      </w:r>
      <w:r>
        <w:t>Climate</w:t>
      </w:r>
      <w:r>
        <w:rPr>
          <w:spacing w:val="-4"/>
        </w:rPr>
        <w:t xml:space="preserve"> </w:t>
      </w:r>
      <w:r>
        <w:t>Change</w:t>
      </w:r>
      <w:r>
        <w:rPr>
          <w:spacing w:val="-4"/>
        </w:rPr>
        <w:t xml:space="preserve"> </w:t>
      </w:r>
      <w:r>
        <w:t>Resilience,</w:t>
      </w:r>
      <w:r>
        <w:rPr>
          <w:spacing w:val="-4"/>
        </w:rPr>
        <w:t xml:space="preserve"> </w:t>
      </w:r>
      <w:r>
        <w:t>Justice</w:t>
      </w:r>
      <w:r>
        <w:rPr>
          <w:spacing w:val="-2"/>
        </w:rPr>
        <w:t xml:space="preserve"> </w:t>
      </w:r>
      <w:r>
        <w:t>and</w:t>
      </w:r>
      <w:r>
        <w:rPr>
          <w:spacing w:val="-4"/>
        </w:rPr>
        <w:t xml:space="preserve"> </w:t>
      </w:r>
      <w:r>
        <w:t>Human Rights,</w:t>
      </w:r>
      <w:r>
        <w:rPr>
          <w:spacing w:val="-4"/>
        </w:rPr>
        <w:t xml:space="preserve"> </w:t>
      </w:r>
      <w:r>
        <w:t>Cyber</w:t>
      </w:r>
      <w:r>
        <w:rPr>
          <w:spacing w:val="-1"/>
        </w:rPr>
        <w:t xml:space="preserve"> </w:t>
      </w:r>
      <w:r>
        <w:t>Security,</w:t>
      </w:r>
      <w:r>
        <w:rPr>
          <w:spacing w:val="-2"/>
        </w:rPr>
        <w:t xml:space="preserve"> </w:t>
      </w:r>
      <w:r>
        <w:t>and</w:t>
      </w:r>
      <w:r>
        <w:rPr>
          <w:spacing w:val="-2"/>
        </w:rPr>
        <w:t xml:space="preserve"> </w:t>
      </w:r>
      <w:r>
        <w:t>Human Security. Similarly,</w:t>
      </w:r>
      <w:r>
        <w:rPr>
          <w:spacing w:val="-1"/>
        </w:rPr>
        <w:t xml:space="preserve"> </w:t>
      </w:r>
      <w:r>
        <w:t>there is an</w:t>
      </w:r>
      <w:r>
        <w:rPr>
          <w:spacing w:val="-1"/>
        </w:rPr>
        <w:t xml:space="preserve"> </w:t>
      </w:r>
      <w:r>
        <w:t>alignment with</w:t>
      </w:r>
      <w:r>
        <w:rPr>
          <w:spacing w:val="-1"/>
        </w:rPr>
        <w:t xml:space="preserve"> </w:t>
      </w:r>
      <w:r>
        <w:t>GoV National</w:t>
      </w:r>
      <w:r>
        <w:rPr>
          <w:spacing w:val="-2"/>
        </w:rPr>
        <w:t xml:space="preserve"> </w:t>
      </w:r>
      <w:r>
        <w:t>Gender Equality Policy 2020 –</w:t>
      </w:r>
      <w:r>
        <w:rPr>
          <w:spacing w:val="-1"/>
        </w:rPr>
        <w:t xml:space="preserve"> </w:t>
      </w:r>
      <w:r>
        <w:t>2030, National Disability Inclusive Development Policy, and the Vanuatu National Child Protection Policy 2016 – 2026. At a regional level</w:t>
      </w:r>
      <w:r>
        <w:rPr>
          <w:spacing w:val="40"/>
        </w:rPr>
        <w:t xml:space="preserve"> </w:t>
      </w:r>
      <w:r>
        <w:t xml:space="preserve">the program aligns with the </w:t>
      </w:r>
      <w:hyperlink r:id="rId17">
        <w:r>
          <w:t>Revitalised Pacific Leaders Gender Equality Declaration (PLGED)</w:t>
        </w:r>
      </w:hyperlink>
      <w:r>
        <w:rPr>
          <w:spacing w:val="40"/>
        </w:rPr>
        <w:t xml:space="preserve"> </w:t>
      </w:r>
      <w:r>
        <w:t xml:space="preserve">of the 52nd Pacific Islands Leaders Forum Meeting (PIFLM52) Communique, held in Rarotonga on 6-10 November 2023 (PIFLM52, </w:t>
      </w:r>
      <w:r>
        <w:rPr>
          <w:spacing w:val="-2"/>
        </w:rPr>
        <w:t>2023).</w:t>
      </w:r>
    </w:p>
    <w:p w14:paraId="7D935A48" w14:textId="2421C561" w:rsidR="009C36E3" w:rsidRDefault="000E7207">
      <w:pPr>
        <w:pStyle w:val="BodyText"/>
        <w:spacing w:before="122"/>
        <w:ind w:right="192"/>
      </w:pPr>
      <w:r>
        <w:t>Australia’s new international development policy notes that “Climate change is the greatest shared threat to all countries” (DFAT, 2023), with the severity of cyclone events expected to increase due to climate change (Asian Development Bank-ADB, 2023).VAPJP</w:t>
      </w:r>
      <w:r>
        <w:rPr>
          <w:spacing w:val="-2"/>
        </w:rPr>
        <w:t xml:space="preserve"> </w:t>
      </w:r>
      <w:r>
        <w:t>has already been</w:t>
      </w:r>
      <w:r>
        <w:rPr>
          <w:spacing w:val="-1"/>
        </w:rPr>
        <w:t xml:space="preserve"> </w:t>
      </w:r>
      <w:r>
        <w:t>required</w:t>
      </w:r>
      <w:r>
        <w:rPr>
          <w:spacing w:val="-1"/>
        </w:rPr>
        <w:t xml:space="preserve"> </w:t>
      </w:r>
      <w:r>
        <w:t>to</w:t>
      </w:r>
      <w:r>
        <w:rPr>
          <w:spacing w:val="-1"/>
        </w:rPr>
        <w:t xml:space="preserve"> </w:t>
      </w:r>
      <w:r>
        <w:t>significantly pivot its focus to</w:t>
      </w:r>
      <w:r>
        <w:rPr>
          <w:spacing w:val="-1"/>
        </w:rPr>
        <w:t xml:space="preserve"> </w:t>
      </w:r>
      <w:r>
        <w:t>respond</w:t>
      </w:r>
      <w:r>
        <w:rPr>
          <w:spacing w:val="-1"/>
        </w:rPr>
        <w:t xml:space="preserve"> </w:t>
      </w:r>
      <w:r>
        <w:t>to</w:t>
      </w:r>
      <w:r>
        <w:rPr>
          <w:spacing w:val="-1"/>
        </w:rPr>
        <w:t xml:space="preserve"> </w:t>
      </w:r>
      <w:r>
        <w:t>TCs Harold, Judy, Kevin (and now Lola). Support has been provided at the sector coordination level (since 2021) as well as to assess damage, assist with clean-ups, undertake rehabilitation of buildings and services in the sector, enable VPF to assist in national deployment operations for rapid assessment and distribution of aid to affected communities, and to support agenc</w:t>
      </w:r>
      <w:r w:rsidR="00B30B9A">
        <w:t>y planning</w:t>
      </w:r>
      <w:r>
        <w:t xml:space="preserve"> to ensure continuity of access to justice. It is clear that disaster preparedness and</w:t>
      </w:r>
      <w:r>
        <w:rPr>
          <w:spacing w:val="-1"/>
        </w:rPr>
        <w:t xml:space="preserve"> </w:t>
      </w:r>
      <w:r>
        <w:t>response</w:t>
      </w:r>
      <w:r>
        <w:rPr>
          <w:spacing w:val="-1"/>
        </w:rPr>
        <w:t xml:space="preserve"> </w:t>
      </w:r>
      <w:r>
        <w:t>for the</w:t>
      </w:r>
      <w:r>
        <w:rPr>
          <w:spacing w:val="-1"/>
        </w:rPr>
        <w:t xml:space="preserve"> </w:t>
      </w:r>
      <w:r>
        <w:t>sector should</w:t>
      </w:r>
      <w:r w:rsidR="00B30B9A">
        <w:t xml:space="preserve"> continue to</w:t>
      </w:r>
      <w:r>
        <w:rPr>
          <w:spacing w:val="-1"/>
        </w:rPr>
        <w:t xml:space="preserve"> </w:t>
      </w:r>
      <w:r>
        <w:t>be integrated in</w:t>
      </w:r>
      <w:r>
        <w:rPr>
          <w:spacing w:val="-1"/>
        </w:rPr>
        <w:t xml:space="preserve"> </w:t>
      </w:r>
      <w:r>
        <w:t>future planning and budgeting,</w:t>
      </w:r>
      <w:r>
        <w:rPr>
          <w:spacing w:val="-1"/>
        </w:rPr>
        <w:t xml:space="preserve"> </w:t>
      </w:r>
      <w:r>
        <w:t>together with</w:t>
      </w:r>
      <w:r>
        <w:rPr>
          <w:spacing w:val="-1"/>
        </w:rPr>
        <w:t xml:space="preserve"> </w:t>
      </w:r>
      <w:r>
        <w:t>the requirement</w:t>
      </w:r>
      <w:r>
        <w:rPr>
          <w:spacing w:val="-7"/>
        </w:rPr>
        <w:t xml:space="preserve"> </w:t>
      </w:r>
      <w:r>
        <w:t>for</w:t>
      </w:r>
      <w:r>
        <w:rPr>
          <w:spacing w:val="-6"/>
        </w:rPr>
        <w:t xml:space="preserve"> </w:t>
      </w:r>
      <w:r>
        <w:t>climate-change</w:t>
      </w:r>
      <w:r>
        <w:rPr>
          <w:spacing w:val="-5"/>
        </w:rPr>
        <w:t xml:space="preserve"> </w:t>
      </w:r>
      <w:r>
        <w:t>aware</w:t>
      </w:r>
      <w:r>
        <w:rPr>
          <w:spacing w:val="-5"/>
        </w:rPr>
        <w:t xml:space="preserve"> </w:t>
      </w:r>
      <w:r>
        <w:t>designs</w:t>
      </w:r>
      <w:r>
        <w:rPr>
          <w:spacing w:val="-6"/>
        </w:rPr>
        <w:t xml:space="preserve"> </w:t>
      </w:r>
      <w:r>
        <w:t>for</w:t>
      </w:r>
      <w:r>
        <w:rPr>
          <w:spacing w:val="-4"/>
        </w:rPr>
        <w:t xml:space="preserve"> </w:t>
      </w:r>
      <w:r>
        <w:t>any</w:t>
      </w:r>
      <w:r>
        <w:rPr>
          <w:spacing w:val="-6"/>
        </w:rPr>
        <w:t xml:space="preserve"> </w:t>
      </w:r>
      <w:r>
        <w:t>infrastructure.</w:t>
      </w:r>
      <w:r>
        <w:rPr>
          <w:spacing w:val="-7"/>
        </w:rPr>
        <w:t xml:space="preserve"> </w:t>
      </w:r>
      <w:r>
        <w:t>In</w:t>
      </w:r>
      <w:r>
        <w:rPr>
          <w:spacing w:val="-7"/>
        </w:rPr>
        <w:t xml:space="preserve"> </w:t>
      </w:r>
      <w:r>
        <w:t>relation</w:t>
      </w:r>
      <w:r>
        <w:rPr>
          <w:spacing w:val="-7"/>
        </w:rPr>
        <w:t xml:space="preserve"> </w:t>
      </w:r>
      <w:r>
        <w:t>to</w:t>
      </w:r>
      <w:r>
        <w:rPr>
          <w:spacing w:val="-5"/>
        </w:rPr>
        <w:t xml:space="preserve"> </w:t>
      </w:r>
      <w:r>
        <w:t>VPF</w:t>
      </w:r>
      <w:r>
        <w:rPr>
          <w:spacing w:val="-6"/>
        </w:rPr>
        <w:t xml:space="preserve"> </w:t>
      </w:r>
      <w:r>
        <w:t>the</w:t>
      </w:r>
      <w:r>
        <w:rPr>
          <w:spacing w:val="-7"/>
        </w:rPr>
        <w:t xml:space="preserve"> </w:t>
      </w:r>
      <w:r>
        <w:t>OPS</w:t>
      </w:r>
      <w:r>
        <w:rPr>
          <w:spacing w:val="-5"/>
        </w:rPr>
        <w:t xml:space="preserve"> </w:t>
      </w:r>
      <w:r>
        <w:t>is</w:t>
      </w:r>
      <w:r>
        <w:rPr>
          <w:spacing w:val="-6"/>
        </w:rPr>
        <w:t xml:space="preserve"> </w:t>
      </w:r>
      <w:r>
        <w:t>of</w:t>
      </w:r>
      <w:r>
        <w:rPr>
          <w:spacing w:val="-5"/>
        </w:rPr>
        <w:t xml:space="preserve"> </w:t>
      </w:r>
      <w:r>
        <w:t>the</w:t>
      </w:r>
      <w:r>
        <w:rPr>
          <w:spacing w:val="-7"/>
        </w:rPr>
        <w:t xml:space="preserve"> </w:t>
      </w:r>
      <w:r>
        <w:t>view</w:t>
      </w:r>
      <w:r>
        <w:rPr>
          <w:spacing w:val="-4"/>
        </w:rPr>
        <w:t xml:space="preserve"> </w:t>
      </w:r>
      <w:r>
        <w:rPr>
          <w:spacing w:val="-2"/>
        </w:rPr>
        <w:t>that:</w:t>
      </w:r>
    </w:p>
    <w:p w14:paraId="18FB868D" w14:textId="77777777" w:rsidR="009C36E3" w:rsidRDefault="000E7207">
      <w:pPr>
        <w:pStyle w:val="BodyText"/>
        <w:spacing w:before="119"/>
        <w:ind w:left="1128" w:right="167"/>
      </w:pPr>
      <w:r>
        <w:t>Whilst</w:t>
      </w:r>
      <w:r>
        <w:rPr>
          <w:spacing w:val="-3"/>
        </w:rPr>
        <w:t xml:space="preserve"> </w:t>
      </w:r>
      <w:r>
        <w:t>the</w:t>
      </w:r>
      <w:r>
        <w:rPr>
          <w:spacing w:val="-3"/>
        </w:rPr>
        <w:t xml:space="preserve"> </w:t>
      </w:r>
      <w:r>
        <w:t>timing</w:t>
      </w:r>
      <w:r>
        <w:rPr>
          <w:spacing w:val="-1"/>
        </w:rPr>
        <w:t xml:space="preserve"> </w:t>
      </w:r>
      <w:r>
        <w:t>of</w:t>
      </w:r>
      <w:r>
        <w:rPr>
          <w:spacing w:val="-3"/>
        </w:rPr>
        <w:t xml:space="preserve"> </w:t>
      </w:r>
      <w:r>
        <w:t>natural</w:t>
      </w:r>
      <w:r>
        <w:rPr>
          <w:spacing w:val="-2"/>
        </w:rPr>
        <w:t xml:space="preserve"> </w:t>
      </w:r>
      <w:r>
        <w:t>disasters</w:t>
      </w:r>
      <w:r>
        <w:rPr>
          <w:spacing w:val="-2"/>
        </w:rPr>
        <w:t xml:space="preserve"> </w:t>
      </w:r>
      <w:r>
        <w:t>can’t</w:t>
      </w:r>
      <w:r>
        <w:rPr>
          <w:spacing w:val="-3"/>
        </w:rPr>
        <w:t xml:space="preserve"> </w:t>
      </w:r>
      <w:r>
        <w:t>be</w:t>
      </w:r>
      <w:r>
        <w:rPr>
          <w:spacing w:val="-3"/>
        </w:rPr>
        <w:t xml:space="preserve"> </w:t>
      </w:r>
      <w:r>
        <w:t>anticipated,</w:t>
      </w:r>
      <w:r>
        <w:rPr>
          <w:spacing w:val="-3"/>
        </w:rPr>
        <w:t xml:space="preserve"> </w:t>
      </w:r>
      <w:r>
        <w:t>the</w:t>
      </w:r>
      <w:r>
        <w:rPr>
          <w:spacing w:val="-3"/>
        </w:rPr>
        <w:t xml:space="preserve"> </w:t>
      </w:r>
      <w:r>
        <w:t>regularity</w:t>
      </w:r>
      <w:r>
        <w:rPr>
          <w:spacing w:val="-2"/>
        </w:rPr>
        <w:t xml:space="preserve"> </w:t>
      </w:r>
      <w:r>
        <w:t>of</w:t>
      </w:r>
      <w:r>
        <w:rPr>
          <w:spacing w:val="-1"/>
        </w:rPr>
        <w:t xml:space="preserve"> </w:t>
      </w:r>
      <w:r>
        <w:t>natural disasters</w:t>
      </w:r>
      <w:r>
        <w:rPr>
          <w:spacing w:val="-2"/>
        </w:rPr>
        <w:t xml:space="preserve"> </w:t>
      </w:r>
      <w:r>
        <w:t>in</w:t>
      </w:r>
      <w:r>
        <w:rPr>
          <w:spacing w:val="-3"/>
        </w:rPr>
        <w:t xml:space="preserve"> </w:t>
      </w:r>
      <w:r>
        <w:t>Vanuatu</w:t>
      </w:r>
      <w:r>
        <w:rPr>
          <w:spacing w:val="-3"/>
        </w:rPr>
        <w:t xml:space="preserve"> </w:t>
      </w:r>
      <w:r>
        <w:t>renders them somewhat predictable, such that it can be reasonably expected that several natural disasters will occur each year. To that end, proactively planning for [humanitarian and disaster response] HADR – including through</w:t>
      </w:r>
      <w:r>
        <w:rPr>
          <w:spacing w:val="-3"/>
        </w:rPr>
        <w:t xml:space="preserve"> </w:t>
      </w:r>
      <w:r>
        <w:t>inclusion</w:t>
      </w:r>
      <w:r>
        <w:rPr>
          <w:spacing w:val="-1"/>
        </w:rPr>
        <w:t xml:space="preserve"> </w:t>
      </w:r>
      <w:r>
        <w:t>of</w:t>
      </w:r>
      <w:r>
        <w:rPr>
          <w:spacing w:val="-3"/>
        </w:rPr>
        <w:t xml:space="preserve"> </w:t>
      </w:r>
      <w:r>
        <w:t>indicative</w:t>
      </w:r>
      <w:r>
        <w:rPr>
          <w:spacing w:val="-3"/>
        </w:rPr>
        <w:t xml:space="preserve"> </w:t>
      </w:r>
      <w:r>
        <w:t>costs</w:t>
      </w:r>
      <w:r>
        <w:rPr>
          <w:spacing w:val="-2"/>
        </w:rPr>
        <w:t xml:space="preserve"> </w:t>
      </w:r>
      <w:r>
        <w:t>in</w:t>
      </w:r>
      <w:r>
        <w:rPr>
          <w:spacing w:val="-3"/>
        </w:rPr>
        <w:t xml:space="preserve"> </w:t>
      </w:r>
      <w:r>
        <w:t>annual</w:t>
      </w:r>
      <w:r>
        <w:rPr>
          <w:spacing w:val="-1"/>
        </w:rPr>
        <w:t xml:space="preserve"> </w:t>
      </w:r>
      <w:r>
        <w:t>budget</w:t>
      </w:r>
      <w:r>
        <w:rPr>
          <w:spacing w:val="-3"/>
        </w:rPr>
        <w:t xml:space="preserve"> </w:t>
      </w:r>
      <w:r>
        <w:t>submissions</w:t>
      </w:r>
      <w:r>
        <w:rPr>
          <w:spacing w:val="-2"/>
        </w:rPr>
        <w:t xml:space="preserve"> </w:t>
      </w:r>
      <w:r>
        <w:t>– ought</w:t>
      </w:r>
      <w:r>
        <w:rPr>
          <w:spacing w:val="-3"/>
        </w:rPr>
        <w:t xml:space="preserve"> </w:t>
      </w:r>
      <w:r>
        <w:t>to</w:t>
      </w:r>
      <w:r>
        <w:rPr>
          <w:spacing w:val="-3"/>
        </w:rPr>
        <w:t xml:space="preserve"> </w:t>
      </w:r>
      <w:r>
        <w:t>be</w:t>
      </w:r>
      <w:r>
        <w:rPr>
          <w:spacing w:val="-3"/>
        </w:rPr>
        <w:t xml:space="preserve"> </w:t>
      </w:r>
      <w:r>
        <w:t>possible</w:t>
      </w:r>
      <w:r>
        <w:rPr>
          <w:spacing w:val="-1"/>
        </w:rPr>
        <w:t xml:space="preserve"> </w:t>
      </w:r>
      <w:r>
        <w:t>and</w:t>
      </w:r>
      <w:r>
        <w:rPr>
          <w:spacing w:val="-3"/>
        </w:rPr>
        <w:t xml:space="preserve"> </w:t>
      </w:r>
      <w:r>
        <w:t>would</w:t>
      </w:r>
      <w:r>
        <w:rPr>
          <w:spacing w:val="-3"/>
        </w:rPr>
        <w:t xml:space="preserve"> </w:t>
      </w:r>
      <w:r>
        <w:t>contribute to the maintenance of important policing functions during such periods.</w:t>
      </w:r>
    </w:p>
    <w:p w14:paraId="04659596" w14:textId="77777777" w:rsidR="009C36E3" w:rsidRDefault="000E7207">
      <w:pPr>
        <w:pStyle w:val="BodyText"/>
        <w:spacing w:before="120"/>
      </w:pPr>
      <w:r>
        <w:t>While</w:t>
      </w:r>
      <w:r>
        <w:rPr>
          <w:spacing w:val="-1"/>
        </w:rPr>
        <w:t xml:space="preserve"> </w:t>
      </w:r>
      <w:r>
        <w:t>AFP</w:t>
      </w:r>
      <w:r>
        <w:rPr>
          <w:spacing w:val="-4"/>
        </w:rPr>
        <w:t xml:space="preserve"> </w:t>
      </w:r>
      <w:r>
        <w:t>is</w:t>
      </w:r>
      <w:r>
        <w:rPr>
          <w:spacing w:val="-2"/>
        </w:rPr>
        <w:t xml:space="preserve"> </w:t>
      </w:r>
      <w:r>
        <w:t>of</w:t>
      </w:r>
      <w:r>
        <w:rPr>
          <w:spacing w:val="-3"/>
        </w:rPr>
        <w:t xml:space="preserve"> </w:t>
      </w:r>
      <w:r>
        <w:t>the</w:t>
      </w:r>
      <w:r>
        <w:rPr>
          <w:spacing w:val="-3"/>
        </w:rPr>
        <w:t xml:space="preserve"> </w:t>
      </w:r>
      <w:r>
        <w:t>view</w:t>
      </w:r>
      <w:r>
        <w:rPr>
          <w:spacing w:val="-3"/>
        </w:rPr>
        <w:t xml:space="preserve"> </w:t>
      </w:r>
      <w:r>
        <w:t>that</w:t>
      </w:r>
      <w:r>
        <w:rPr>
          <w:spacing w:val="40"/>
        </w:rPr>
        <w:t xml:space="preserve"> </w:t>
      </w:r>
      <w:r>
        <w:t>allocation</w:t>
      </w:r>
      <w:r>
        <w:rPr>
          <w:spacing w:val="-3"/>
        </w:rPr>
        <w:t xml:space="preserve"> </w:t>
      </w:r>
      <w:r>
        <w:t>of</w:t>
      </w:r>
      <w:r>
        <w:rPr>
          <w:spacing w:val="-3"/>
        </w:rPr>
        <w:t xml:space="preserve"> </w:t>
      </w:r>
      <w:r>
        <w:t>funding</w:t>
      </w:r>
      <w:r>
        <w:rPr>
          <w:spacing w:val="-3"/>
        </w:rPr>
        <w:t xml:space="preserve"> </w:t>
      </w:r>
      <w:r>
        <w:t>through</w:t>
      </w:r>
      <w:r>
        <w:rPr>
          <w:spacing w:val="-1"/>
        </w:rPr>
        <w:t xml:space="preserve"> </w:t>
      </w:r>
      <w:r>
        <w:t>the</w:t>
      </w:r>
      <w:r>
        <w:rPr>
          <w:spacing w:val="-1"/>
        </w:rPr>
        <w:t xml:space="preserve"> </w:t>
      </w:r>
      <w:r>
        <w:t>AWP</w:t>
      </w:r>
      <w:r>
        <w:rPr>
          <w:spacing w:val="40"/>
        </w:rPr>
        <w:t xml:space="preserve"> </w:t>
      </w:r>
      <w:r>
        <w:t>runs</w:t>
      </w:r>
      <w:r>
        <w:rPr>
          <w:spacing w:val="-2"/>
        </w:rPr>
        <w:t xml:space="preserve"> </w:t>
      </w:r>
      <w:r>
        <w:t>the</w:t>
      </w:r>
      <w:r>
        <w:rPr>
          <w:spacing w:val="-3"/>
        </w:rPr>
        <w:t xml:space="preserve"> </w:t>
      </w:r>
      <w:r>
        <w:t>risk</w:t>
      </w:r>
      <w:r>
        <w:rPr>
          <w:spacing w:val="-2"/>
        </w:rPr>
        <w:t xml:space="preserve"> </w:t>
      </w:r>
      <w:r>
        <w:t>of</w:t>
      </w:r>
      <w:r>
        <w:rPr>
          <w:spacing w:val="-3"/>
        </w:rPr>
        <w:t xml:space="preserve"> </w:t>
      </w:r>
      <w:r>
        <w:t>a</w:t>
      </w:r>
      <w:r>
        <w:rPr>
          <w:spacing w:val="-3"/>
        </w:rPr>
        <w:t xml:space="preserve"> </w:t>
      </w:r>
      <w:r>
        <w:t>disaster</w:t>
      </w:r>
      <w:r>
        <w:rPr>
          <w:spacing w:val="-2"/>
        </w:rPr>
        <w:t xml:space="preserve"> </w:t>
      </w:r>
      <w:r>
        <w:t>NOT</w:t>
      </w:r>
      <w:r>
        <w:rPr>
          <w:spacing w:val="-2"/>
        </w:rPr>
        <w:t xml:space="preserve"> </w:t>
      </w:r>
      <w:r>
        <w:t>occurring,</w:t>
      </w:r>
      <w:r>
        <w:rPr>
          <w:spacing w:val="-3"/>
        </w:rPr>
        <w:t xml:space="preserve"> </w:t>
      </w:r>
      <w:r>
        <w:t>they believe that the key element for any flexibility in response is to ensure that DFAT allow for a buffer in any contract limitation to the program.</w:t>
      </w:r>
    </w:p>
    <w:p w14:paraId="48283E1C" w14:textId="77777777" w:rsidR="009C36E3" w:rsidRDefault="000E7207">
      <w:pPr>
        <w:pStyle w:val="BodyText"/>
        <w:spacing w:before="122"/>
        <w:ind w:right="170"/>
        <w:rPr>
          <w:sz w:val="13"/>
        </w:rPr>
      </w:pPr>
      <w:r>
        <w:t>From 2024–25, at least half of all new GoA bilateral and regional investments valued at more than AUD3 million will have a climate change objective, with a goal of reaching</w:t>
      </w:r>
      <w:r>
        <w:rPr>
          <w:spacing w:val="40"/>
        </w:rPr>
        <w:t xml:space="preserve"> </w:t>
      </w:r>
      <w:r>
        <w:t>80 per cent in 2028–29. Concern about climate change</w:t>
      </w:r>
      <w:r>
        <w:rPr>
          <w:spacing w:val="-1"/>
        </w:rPr>
        <w:t xml:space="preserve"> </w:t>
      </w:r>
      <w:r>
        <w:t>is</w:t>
      </w:r>
      <w:r>
        <w:rPr>
          <w:spacing w:val="-2"/>
        </w:rPr>
        <w:t xml:space="preserve"> </w:t>
      </w:r>
      <w:r>
        <w:t>shared</w:t>
      </w:r>
      <w:r>
        <w:rPr>
          <w:spacing w:val="-3"/>
        </w:rPr>
        <w:t xml:space="preserve"> </w:t>
      </w:r>
      <w:r>
        <w:t>by</w:t>
      </w:r>
      <w:r>
        <w:rPr>
          <w:spacing w:val="-2"/>
        </w:rPr>
        <w:t xml:space="preserve"> </w:t>
      </w:r>
      <w:r>
        <w:t>the</w:t>
      </w:r>
      <w:r>
        <w:rPr>
          <w:spacing w:val="-3"/>
        </w:rPr>
        <w:t xml:space="preserve"> </w:t>
      </w:r>
      <w:r>
        <w:t>GoV,</w:t>
      </w:r>
      <w:r>
        <w:rPr>
          <w:spacing w:val="-3"/>
        </w:rPr>
        <w:t xml:space="preserve"> </w:t>
      </w:r>
      <w:r>
        <w:t>as</w:t>
      </w:r>
      <w:r>
        <w:rPr>
          <w:spacing w:val="-2"/>
        </w:rPr>
        <w:t xml:space="preserve"> </w:t>
      </w:r>
      <w:r>
        <w:t>outlined</w:t>
      </w:r>
      <w:r>
        <w:rPr>
          <w:spacing w:val="-1"/>
        </w:rPr>
        <w:t xml:space="preserve"> </w:t>
      </w:r>
      <w:r>
        <w:t>in</w:t>
      </w:r>
      <w:r>
        <w:rPr>
          <w:spacing w:val="-3"/>
        </w:rPr>
        <w:t xml:space="preserve"> </w:t>
      </w:r>
      <w:r>
        <w:t>the</w:t>
      </w:r>
      <w:r>
        <w:rPr>
          <w:spacing w:val="-3"/>
        </w:rPr>
        <w:t xml:space="preserve"> </w:t>
      </w:r>
      <w:r>
        <w:t>NSDP,</w:t>
      </w:r>
      <w:r>
        <w:rPr>
          <w:spacing w:val="-1"/>
        </w:rPr>
        <w:t xml:space="preserve"> </w:t>
      </w:r>
      <w:r>
        <w:t>the</w:t>
      </w:r>
      <w:r>
        <w:rPr>
          <w:spacing w:val="-3"/>
        </w:rPr>
        <w:t xml:space="preserve"> </w:t>
      </w:r>
      <w:r>
        <w:t>National</w:t>
      </w:r>
      <w:r>
        <w:rPr>
          <w:spacing w:val="-2"/>
        </w:rPr>
        <w:t xml:space="preserve"> </w:t>
      </w:r>
      <w:r>
        <w:t>Security Strategy</w:t>
      </w:r>
      <w:r>
        <w:rPr>
          <w:spacing w:val="-2"/>
        </w:rPr>
        <w:t xml:space="preserve"> </w:t>
      </w:r>
      <w:r>
        <w:t>(and</w:t>
      </w:r>
      <w:r>
        <w:rPr>
          <w:spacing w:val="-1"/>
        </w:rPr>
        <w:t xml:space="preserve"> </w:t>
      </w:r>
      <w:r>
        <w:t>2022</w:t>
      </w:r>
      <w:r>
        <w:rPr>
          <w:spacing w:val="-3"/>
        </w:rPr>
        <w:t xml:space="preserve"> </w:t>
      </w:r>
      <w:r>
        <w:t>Review).</w:t>
      </w:r>
      <w:r>
        <w:rPr>
          <w:spacing w:val="-1"/>
        </w:rPr>
        <w:t xml:space="preserve"> </w:t>
      </w:r>
      <w:r>
        <w:t>It</w:t>
      </w:r>
      <w:r>
        <w:rPr>
          <w:spacing w:val="-3"/>
        </w:rPr>
        <w:t xml:space="preserve"> </w:t>
      </w:r>
      <w:r>
        <w:t>is</w:t>
      </w:r>
      <w:r>
        <w:rPr>
          <w:spacing w:val="-2"/>
        </w:rPr>
        <w:t xml:space="preserve"> </w:t>
      </w:r>
      <w:r>
        <w:t>also evident in Vanuatu leading a coalition of 132 nations in Adopting by Consensus for a UN General Assembly (UNGA) Resolution calling for a non-binding Advisory Opinion from the International Court of Justice to gain clarity how existing International Laws can be applied to strengthen action on climate change, protect people and the environment and save the Paris Agreement.</w:t>
      </w:r>
      <w:hyperlink w:anchor="_bookmark42" w:history="1">
        <w:r>
          <w:rPr>
            <w:position w:val="6"/>
            <w:sz w:val="13"/>
          </w:rPr>
          <w:t>26</w:t>
        </w:r>
      </w:hyperlink>
    </w:p>
    <w:p w14:paraId="16EC9432" w14:textId="7A769BA1" w:rsidR="009C36E3" w:rsidRDefault="000E7207" w:rsidP="003E2388">
      <w:pPr>
        <w:pStyle w:val="BodyText"/>
        <w:spacing w:before="118"/>
        <w:ind w:right="167"/>
      </w:pPr>
      <w:r>
        <w:t>VAPJP seeks to respond to development challenges facing the sector including limited access to justice, particularly for women, children and youth in remote and peri-urban areas; high levels of violence against women and</w:t>
      </w:r>
      <w:r>
        <w:rPr>
          <w:spacing w:val="-4"/>
        </w:rPr>
        <w:t xml:space="preserve"> </w:t>
      </w:r>
      <w:r>
        <w:t>children;</w:t>
      </w:r>
      <w:r>
        <w:rPr>
          <w:spacing w:val="-2"/>
        </w:rPr>
        <w:t xml:space="preserve"> </w:t>
      </w:r>
      <w:r>
        <w:t>limited</w:t>
      </w:r>
      <w:r>
        <w:rPr>
          <w:spacing w:val="-4"/>
        </w:rPr>
        <w:t xml:space="preserve"> </w:t>
      </w:r>
      <w:r>
        <w:t>community</w:t>
      </w:r>
      <w:r>
        <w:rPr>
          <w:spacing w:val="-3"/>
        </w:rPr>
        <w:t xml:space="preserve"> </w:t>
      </w:r>
      <w:r>
        <w:t>confidence</w:t>
      </w:r>
      <w:r>
        <w:rPr>
          <w:spacing w:val="-2"/>
        </w:rPr>
        <w:t xml:space="preserve"> </w:t>
      </w:r>
      <w:r>
        <w:t>in</w:t>
      </w:r>
      <w:r>
        <w:rPr>
          <w:spacing w:val="-2"/>
        </w:rPr>
        <w:t xml:space="preserve"> </w:t>
      </w:r>
      <w:r>
        <w:t>the</w:t>
      </w:r>
      <w:r>
        <w:rPr>
          <w:spacing w:val="-2"/>
        </w:rPr>
        <w:t xml:space="preserve"> </w:t>
      </w:r>
      <w:r>
        <w:t>effectiveness</w:t>
      </w:r>
      <w:r>
        <w:rPr>
          <w:spacing w:val="-3"/>
        </w:rPr>
        <w:t xml:space="preserve"> </w:t>
      </w:r>
      <w:r>
        <w:t>of</w:t>
      </w:r>
      <w:r>
        <w:rPr>
          <w:spacing w:val="-4"/>
        </w:rPr>
        <w:t xml:space="preserve"> </w:t>
      </w:r>
      <w:r>
        <w:t>justice</w:t>
      </w:r>
      <w:r>
        <w:rPr>
          <w:spacing w:val="-2"/>
        </w:rPr>
        <w:t xml:space="preserve"> </w:t>
      </w:r>
      <w:r>
        <w:t>institutions</w:t>
      </w:r>
      <w:r>
        <w:rPr>
          <w:spacing w:val="-3"/>
        </w:rPr>
        <w:t xml:space="preserve"> </w:t>
      </w:r>
      <w:r>
        <w:t>and</w:t>
      </w:r>
      <w:r>
        <w:rPr>
          <w:spacing w:val="-4"/>
        </w:rPr>
        <w:t xml:space="preserve"> </w:t>
      </w:r>
      <w:r>
        <w:t>the</w:t>
      </w:r>
      <w:r>
        <w:rPr>
          <w:spacing w:val="-4"/>
        </w:rPr>
        <w:t xml:space="preserve"> </w:t>
      </w:r>
      <w:r>
        <w:t>police;</w:t>
      </w:r>
      <w:r>
        <w:rPr>
          <w:spacing w:val="-4"/>
        </w:rPr>
        <w:t xml:space="preserve"> </w:t>
      </w:r>
      <w:r>
        <w:t>and</w:t>
      </w:r>
      <w:r>
        <w:rPr>
          <w:spacing w:val="-2"/>
        </w:rPr>
        <w:t xml:space="preserve"> </w:t>
      </w:r>
      <w:r>
        <w:t>increasing numbers of youth coming into conflict with the law. Many of these issues are best approached by formally</w:t>
      </w:r>
    </w:p>
    <w:bookmarkStart w:id="54" w:name="_bookmark41"/>
    <w:bookmarkEnd w:id="54"/>
    <w:p w14:paraId="0CFE08D3" w14:textId="333D7815" w:rsidR="009C36E3" w:rsidRDefault="00935AA1">
      <w:pPr>
        <w:spacing w:before="207"/>
        <w:ind w:left="771" w:right="167"/>
        <w:rPr>
          <w:sz w:val="18"/>
        </w:rPr>
      </w:pPr>
      <w:r>
        <w:rPr>
          <w:noProof/>
        </w:rPr>
        <mc:AlternateContent>
          <mc:Choice Requires="wps">
            <w:drawing>
              <wp:anchor distT="0" distB="0" distL="0" distR="0" simplePos="0" relativeHeight="251688960" behindDoc="1" locked="0" layoutInCell="1" allowOverlap="1" wp14:anchorId="49647CE7" wp14:editId="5D9004A0">
                <wp:simplePos x="0" y="0"/>
                <wp:positionH relativeFrom="page">
                  <wp:posOffset>525985</wp:posOffset>
                </wp:positionH>
                <wp:positionV relativeFrom="paragraph">
                  <wp:posOffset>238005</wp:posOffset>
                </wp:positionV>
                <wp:extent cx="1828800" cy="6350"/>
                <wp:effectExtent l="0" t="0" r="0" b="0"/>
                <wp:wrapTopAndBottom/>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8BC925" id="Graphic 108" o:spid="_x0000_s1026" alt="&quot;&quot;" style="position:absolute;margin-left:41.4pt;margin-top:18.75pt;width:2in;height:.5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" path="m1828800,l,,,6095r1828800,l1828800,xe" fillcolor="black" stroked="f">
                <v:path arrowok="t"/>
                <w10:wrap type="topAndBottom" anchorx="page"/>
              </v:shape>
            </w:pict>
          </mc:Fallback>
        </mc:AlternateContent>
      </w:r>
      <w:r w:rsidR="000E7207">
        <w:rPr>
          <w:position w:val="6"/>
          <w:sz w:val="13"/>
        </w:rPr>
        <w:t>25</w:t>
      </w:r>
      <w:r w:rsidR="000E7207">
        <w:rPr>
          <w:spacing w:val="16"/>
          <w:position w:val="6"/>
          <w:sz w:val="13"/>
        </w:rPr>
        <w:t xml:space="preserve"> </w:t>
      </w:r>
      <w:r w:rsidR="000E7207">
        <w:rPr>
          <w:sz w:val="18"/>
        </w:rPr>
        <w:t>The</w:t>
      </w:r>
      <w:r w:rsidR="000E7207">
        <w:rPr>
          <w:spacing w:val="-1"/>
          <w:sz w:val="18"/>
        </w:rPr>
        <w:t xml:space="preserve"> </w:t>
      </w:r>
      <w:r w:rsidR="000E7207">
        <w:rPr>
          <w:sz w:val="18"/>
        </w:rPr>
        <w:t>2020</w:t>
      </w:r>
      <w:r w:rsidR="000E7207">
        <w:rPr>
          <w:spacing w:val="-1"/>
          <w:sz w:val="18"/>
        </w:rPr>
        <w:t xml:space="preserve"> </w:t>
      </w:r>
      <w:r w:rsidR="000E7207">
        <w:rPr>
          <w:sz w:val="18"/>
        </w:rPr>
        <w:t>Design</w:t>
      </w:r>
      <w:r w:rsidR="000E7207">
        <w:rPr>
          <w:spacing w:val="-1"/>
          <w:sz w:val="18"/>
        </w:rPr>
        <w:t xml:space="preserve"> </w:t>
      </w:r>
      <w:r w:rsidR="000E7207">
        <w:rPr>
          <w:sz w:val="18"/>
        </w:rPr>
        <w:t>Update</w:t>
      </w:r>
      <w:r w:rsidR="000E7207">
        <w:rPr>
          <w:spacing w:val="-1"/>
          <w:sz w:val="18"/>
        </w:rPr>
        <w:t xml:space="preserve"> </w:t>
      </w:r>
      <w:r w:rsidR="000E7207">
        <w:rPr>
          <w:sz w:val="18"/>
        </w:rPr>
        <w:t>noted</w:t>
      </w:r>
      <w:r w:rsidR="000E7207">
        <w:rPr>
          <w:spacing w:val="-1"/>
          <w:sz w:val="18"/>
        </w:rPr>
        <w:t xml:space="preserve"> </w:t>
      </w:r>
      <w:r w:rsidR="000E7207">
        <w:rPr>
          <w:sz w:val="18"/>
        </w:rPr>
        <w:t>the</w:t>
      </w:r>
      <w:r w:rsidR="000E7207">
        <w:rPr>
          <w:spacing w:val="-4"/>
          <w:sz w:val="18"/>
        </w:rPr>
        <w:t xml:space="preserve"> </w:t>
      </w:r>
      <w:r w:rsidR="000E7207">
        <w:rPr>
          <w:sz w:val="18"/>
        </w:rPr>
        <w:t>alignment</w:t>
      </w:r>
      <w:r w:rsidR="000E7207">
        <w:rPr>
          <w:spacing w:val="-4"/>
          <w:sz w:val="18"/>
        </w:rPr>
        <w:t xml:space="preserve"> </w:t>
      </w:r>
      <w:r w:rsidR="000E7207">
        <w:rPr>
          <w:sz w:val="18"/>
        </w:rPr>
        <w:t>of</w:t>
      </w:r>
      <w:r w:rsidR="000E7207">
        <w:rPr>
          <w:spacing w:val="-2"/>
          <w:sz w:val="18"/>
        </w:rPr>
        <w:t xml:space="preserve"> </w:t>
      </w:r>
      <w:r w:rsidR="000E7207">
        <w:rPr>
          <w:sz w:val="18"/>
        </w:rPr>
        <w:t>VAPJP</w:t>
      </w:r>
      <w:r w:rsidR="000E7207">
        <w:rPr>
          <w:spacing w:val="-2"/>
          <w:sz w:val="18"/>
        </w:rPr>
        <w:t xml:space="preserve"> </w:t>
      </w:r>
      <w:r w:rsidR="000E7207">
        <w:rPr>
          <w:sz w:val="18"/>
        </w:rPr>
        <w:t>with</w:t>
      </w:r>
      <w:r w:rsidR="000E7207">
        <w:rPr>
          <w:spacing w:val="-1"/>
          <w:sz w:val="18"/>
        </w:rPr>
        <w:t xml:space="preserve"> </w:t>
      </w:r>
      <w:r w:rsidR="000E7207">
        <w:rPr>
          <w:sz w:val="18"/>
        </w:rPr>
        <w:t>the</w:t>
      </w:r>
      <w:r w:rsidR="000E7207">
        <w:rPr>
          <w:spacing w:val="-1"/>
          <w:sz w:val="18"/>
        </w:rPr>
        <w:t xml:space="preserve"> </w:t>
      </w:r>
      <w:r w:rsidR="000E7207">
        <w:rPr>
          <w:sz w:val="18"/>
        </w:rPr>
        <w:t>GoA’s</w:t>
      </w:r>
      <w:r w:rsidR="000E7207">
        <w:rPr>
          <w:spacing w:val="-3"/>
          <w:sz w:val="18"/>
        </w:rPr>
        <w:t xml:space="preserve"> </w:t>
      </w:r>
      <w:r w:rsidR="000E7207">
        <w:rPr>
          <w:sz w:val="18"/>
        </w:rPr>
        <w:t>2016</w:t>
      </w:r>
      <w:r w:rsidR="000E7207">
        <w:rPr>
          <w:spacing w:val="-4"/>
          <w:sz w:val="18"/>
        </w:rPr>
        <w:t xml:space="preserve"> </w:t>
      </w:r>
      <w:r w:rsidR="000E7207">
        <w:rPr>
          <w:sz w:val="18"/>
        </w:rPr>
        <w:t>Pacific</w:t>
      </w:r>
      <w:r w:rsidR="000E7207">
        <w:rPr>
          <w:spacing w:val="-1"/>
          <w:sz w:val="18"/>
        </w:rPr>
        <w:t xml:space="preserve"> </w:t>
      </w:r>
      <w:r w:rsidR="000E7207">
        <w:rPr>
          <w:sz w:val="18"/>
        </w:rPr>
        <w:t>Step</w:t>
      </w:r>
      <w:r w:rsidR="000E7207">
        <w:rPr>
          <w:spacing w:val="-6"/>
          <w:sz w:val="18"/>
        </w:rPr>
        <w:t xml:space="preserve"> </w:t>
      </w:r>
      <w:r w:rsidR="000E7207">
        <w:rPr>
          <w:sz w:val="18"/>
        </w:rPr>
        <w:t>Up,</w:t>
      </w:r>
      <w:r w:rsidR="000E7207">
        <w:rPr>
          <w:spacing w:val="-2"/>
          <w:sz w:val="18"/>
        </w:rPr>
        <w:t xml:space="preserve"> </w:t>
      </w:r>
      <w:r w:rsidR="000E7207">
        <w:rPr>
          <w:sz w:val="18"/>
        </w:rPr>
        <w:t>which</w:t>
      </w:r>
      <w:r w:rsidR="000E7207">
        <w:rPr>
          <w:spacing w:val="-2"/>
          <w:sz w:val="18"/>
        </w:rPr>
        <w:t xml:space="preserve"> </w:t>
      </w:r>
      <w:r w:rsidR="000E7207">
        <w:rPr>
          <w:sz w:val="18"/>
        </w:rPr>
        <w:t>saw</w:t>
      </w:r>
      <w:r w:rsidR="000E7207">
        <w:rPr>
          <w:spacing w:val="-2"/>
          <w:sz w:val="18"/>
        </w:rPr>
        <w:t xml:space="preserve"> </w:t>
      </w:r>
      <w:r w:rsidR="000E7207">
        <w:rPr>
          <w:sz w:val="18"/>
        </w:rPr>
        <w:t>an</w:t>
      </w:r>
      <w:r w:rsidR="000E7207">
        <w:rPr>
          <w:spacing w:val="-4"/>
          <w:sz w:val="18"/>
        </w:rPr>
        <w:t xml:space="preserve"> </w:t>
      </w:r>
      <w:r w:rsidR="000E7207">
        <w:rPr>
          <w:sz w:val="18"/>
        </w:rPr>
        <w:t>agreed</w:t>
      </w:r>
      <w:r w:rsidR="000E7207">
        <w:rPr>
          <w:spacing w:val="-1"/>
          <w:sz w:val="18"/>
        </w:rPr>
        <w:t xml:space="preserve"> </w:t>
      </w:r>
      <w:r w:rsidR="000E7207">
        <w:rPr>
          <w:sz w:val="18"/>
        </w:rPr>
        <w:t>package of enhanced security cooperation between Vanuatu and Australia in 2018 (Nichols et.al 2019). This enabled Australia to enhance its support though the Program alongside complementary commitments of the Australian Defence Force (ADF) to the VMF, a</w:t>
      </w:r>
      <w:r w:rsidR="000E7207">
        <w:rPr>
          <w:spacing w:val="-2"/>
          <w:sz w:val="18"/>
        </w:rPr>
        <w:t xml:space="preserve"> </w:t>
      </w:r>
      <w:r w:rsidR="000E7207">
        <w:rPr>
          <w:sz w:val="18"/>
        </w:rPr>
        <w:t>branch</w:t>
      </w:r>
      <w:r w:rsidR="000E7207">
        <w:rPr>
          <w:spacing w:val="-2"/>
          <w:sz w:val="18"/>
        </w:rPr>
        <w:t xml:space="preserve"> </w:t>
      </w:r>
      <w:r w:rsidR="000E7207">
        <w:rPr>
          <w:sz w:val="18"/>
        </w:rPr>
        <w:t>of the VPF,</w:t>
      </w:r>
      <w:r w:rsidR="000E7207">
        <w:rPr>
          <w:spacing w:val="-2"/>
          <w:sz w:val="18"/>
        </w:rPr>
        <w:t xml:space="preserve"> </w:t>
      </w:r>
      <w:r w:rsidR="000E7207">
        <w:rPr>
          <w:sz w:val="18"/>
        </w:rPr>
        <w:t>in their integrated</w:t>
      </w:r>
      <w:r w:rsidR="000E7207">
        <w:rPr>
          <w:spacing w:val="-2"/>
          <w:sz w:val="18"/>
        </w:rPr>
        <w:t xml:space="preserve"> </w:t>
      </w:r>
      <w:r w:rsidR="000E7207">
        <w:rPr>
          <w:sz w:val="18"/>
        </w:rPr>
        <w:t>policing</w:t>
      </w:r>
      <w:r w:rsidR="000E7207">
        <w:rPr>
          <w:spacing w:val="-2"/>
          <w:sz w:val="18"/>
        </w:rPr>
        <w:t xml:space="preserve"> </w:t>
      </w:r>
      <w:r w:rsidR="000E7207">
        <w:rPr>
          <w:sz w:val="18"/>
        </w:rPr>
        <w:t>and</w:t>
      </w:r>
      <w:r w:rsidR="000E7207">
        <w:rPr>
          <w:spacing w:val="-2"/>
          <w:sz w:val="18"/>
        </w:rPr>
        <w:t xml:space="preserve"> </w:t>
      </w:r>
      <w:r w:rsidR="000E7207">
        <w:rPr>
          <w:sz w:val="18"/>
        </w:rPr>
        <w:t>security structure).</w:t>
      </w:r>
      <w:r w:rsidR="000E7207">
        <w:rPr>
          <w:spacing w:val="-2"/>
          <w:sz w:val="18"/>
        </w:rPr>
        <w:t xml:space="preserve"> </w:t>
      </w:r>
      <w:r w:rsidR="000E7207">
        <w:rPr>
          <w:sz w:val="18"/>
        </w:rPr>
        <w:t>(DFAT, 2019). Alignment was also</w:t>
      </w:r>
      <w:r w:rsidR="000E7207">
        <w:rPr>
          <w:spacing w:val="-2"/>
          <w:sz w:val="18"/>
        </w:rPr>
        <w:t xml:space="preserve"> </w:t>
      </w:r>
      <w:r w:rsidR="000E7207">
        <w:rPr>
          <w:sz w:val="18"/>
        </w:rPr>
        <w:t>noted with the 2020 whole of government policy, Partnerships for Recovery – Australia’s COVID-19 Development Response which pivoted Australia’s aid program to work with partners to tackle COVID-19 in the Indo-Pacific region.</w:t>
      </w:r>
    </w:p>
    <w:p w14:paraId="08A54525" w14:textId="77777777" w:rsidR="009C36E3" w:rsidRDefault="000E7207">
      <w:pPr>
        <w:spacing w:before="132" w:line="242" w:lineRule="auto"/>
        <w:ind w:left="771" w:right="824"/>
        <w:jc w:val="both"/>
        <w:rPr>
          <w:sz w:val="18"/>
        </w:rPr>
      </w:pPr>
      <w:bookmarkStart w:id="55" w:name="_bookmark42"/>
      <w:bookmarkEnd w:id="55"/>
      <w:r>
        <w:rPr>
          <w:position w:val="6"/>
          <w:sz w:val="13"/>
        </w:rPr>
        <w:t>26</w:t>
      </w:r>
      <w:r>
        <w:rPr>
          <w:spacing w:val="16"/>
          <w:position w:val="6"/>
          <w:sz w:val="13"/>
        </w:rPr>
        <w:t xml:space="preserve"> </w:t>
      </w:r>
      <w:r>
        <w:rPr>
          <w:sz w:val="18"/>
        </w:rPr>
        <w:t>The</w:t>
      </w:r>
      <w:r>
        <w:rPr>
          <w:spacing w:val="-1"/>
          <w:sz w:val="18"/>
        </w:rPr>
        <w:t xml:space="preserve"> </w:t>
      </w:r>
      <w:hyperlink r:id="rId18">
        <w:r>
          <w:rPr>
            <w:sz w:val="18"/>
          </w:rPr>
          <w:t>ICJ</w:t>
        </w:r>
        <w:r>
          <w:rPr>
            <w:spacing w:val="-3"/>
            <w:sz w:val="18"/>
          </w:rPr>
          <w:t xml:space="preserve"> </w:t>
        </w:r>
        <w:r>
          <w:rPr>
            <w:sz w:val="18"/>
          </w:rPr>
          <w:t>climate</w:t>
        </w:r>
        <w:r>
          <w:rPr>
            <w:spacing w:val="-1"/>
            <w:sz w:val="18"/>
          </w:rPr>
          <w:t xml:space="preserve"> </w:t>
        </w:r>
        <w:r>
          <w:rPr>
            <w:sz w:val="18"/>
          </w:rPr>
          <w:t>Resolution</w:t>
        </w:r>
      </w:hyperlink>
      <w:r>
        <w:rPr>
          <w:spacing w:val="-1"/>
          <w:sz w:val="18"/>
        </w:rPr>
        <w:t xml:space="preserve"> </w:t>
      </w:r>
      <w:r>
        <w:rPr>
          <w:sz w:val="18"/>
        </w:rPr>
        <w:t>was</w:t>
      </w:r>
      <w:r>
        <w:rPr>
          <w:spacing w:val="-1"/>
          <w:sz w:val="18"/>
        </w:rPr>
        <w:t xml:space="preserve"> </w:t>
      </w:r>
      <w:r>
        <w:rPr>
          <w:sz w:val="18"/>
        </w:rPr>
        <w:t>adopted</w:t>
      </w:r>
      <w:r>
        <w:rPr>
          <w:spacing w:val="-1"/>
          <w:sz w:val="18"/>
        </w:rPr>
        <w:t xml:space="preserve"> </w:t>
      </w:r>
      <w:r>
        <w:rPr>
          <w:sz w:val="18"/>
        </w:rPr>
        <w:t>by</w:t>
      </w:r>
      <w:r>
        <w:rPr>
          <w:spacing w:val="-1"/>
          <w:sz w:val="18"/>
        </w:rPr>
        <w:t xml:space="preserve"> </w:t>
      </w:r>
      <w:r>
        <w:rPr>
          <w:sz w:val="18"/>
        </w:rPr>
        <w:t>consensus</w:t>
      </w:r>
      <w:r>
        <w:rPr>
          <w:spacing w:val="-3"/>
          <w:sz w:val="18"/>
        </w:rPr>
        <w:t xml:space="preserve"> </w:t>
      </w:r>
      <w:r>
        <w:rPr>
          <w:sz w:val="18"/>
        </w:rPr>
        <w:t>on</w:t>
      </w:r>
      <w:r>
        <w:rPr>
          <w:spacing w:val="-4"/>
          <w:sz w:val="18"/>
        </w:rPr>
        <w:t xml:space="preserve"> </w:t>
      </w:r>
      <w:r>
        <w:rPr>
          <w:sz w:val="18"/>
        </w:rPr>
        <w:t>29</w:t>
      </w:r>
      <w:r>
        <w:rPr>
          <w:spacing w:val="-1"/>
          <w:sz w:val="18"/>
        </w:rPr>
        <w:t xml:space="preserve"> </w:t>
      </w:r>
      <w:r>
        <w:rPr>
          <w:sz w:val="18"/>
        </w:rPr>
        <w:t>March</w:t>
      </w:r>
      <w:r>
        <w:rPr>
          <w:spacing w:val="-4"/>
          <w:sz w:val="18"/>
        </w:rPr>
        <w:t xml:space="preserve"> </w:t>
      </w:r>
      <w:r>
        <w:rPr>
          <w:sz w:val="18"/>
        </w:rPr>
        <w:t>2023</w:t>
      </w:r>
      <w:r>
        <w:rPr>
          <w:spacing w:val="-4"/>
          <w:sz w:val="18"/>
        </w:rPr>
        <w:t xml:space="preserve"> </w:t>
      </w:r>
      <w:r>
        <w:rPr>
          <w:sz w:val="18"/>
        </w:rPr>
        <w:t>during</w:t>
      </w:r>
      <w:r>
        <w:rPr>
          <w:spacing w:val="-1"/>
          <w:sz w:val="18"/>
        </w:rPr>
        <w:t xml:space="preserve"> </w:t>
      </w:r>
      <w:r>
        <w:rPr>
          <w:sz w:val="18"/>
        </w:rPr>
        <w:t>the</w:t>
      </w:r>
      <w:r>
        <w:rPr>
          <w:spacing w:val="-1"/>
          <w:sz w:val="18"/>
        </w:rPr>
        <w:t xml:space="preserve"> </w:t>
      </w:r>
      <w:r>
        <w:rPr>
          <w:sz w:val="18"/>
        </w:rPr>
        <w:t>77th</w:t>
      </w:r>
      <w:r>
        <w:rPr>
          <w:spacing w:val="-4"/>
          <w:sz w:val="18"/>
        </w:rPr>
        <w:t xml:space="preserve"> </w:t>
      </w:r>
      <w:r>
        <w:rPr>
          <w:sz w:val="18"/>
        </w:rPr>
        <w:t>session</w:t>
      </w:r>
      <w:r>
        <w:rPr>
          <w:spacing w:val="-1"/>
          <w:sz w:val="18"/>
        </w:rPr>
        <w:t xml:space="preserve"> </w:t>
      </w:r>
      <w:r>
        <w:rPr>
          <w:sz w:val="18"/>
        </w:rPr>
        <w:t>of</w:t>
      </w:r>
      <w:r>
        <w:rPr>
          <w:spacing w:val="-4"/>
          <w:sz w:val="18"/>
        </w:rPr>
        <w:t xml:space="preserve"> </w:t>
      </w:r>
      <w:r>
        <w:rPr>
          <w:sz w:val="18"/>
        </w:rPr>
        <w:t>the</w:t>
      </w:r>
      <w:r>
        <w:rPr>
          <w:spacing w:val="-1"/>
          <w:sz w:val="18"/>
        </w:rPr>
        <w:t xml:space="preserve"> </w:t>
      </w:r>
      <w:r>
        <w:rPr>
          <w:sz w:val="18"/>
        </w:rPr>
        <w:t>UN</w:t>
      </w:r>
      <w:r>
        <w:rPr>
          <w:spacing w:val="-2"/>
          <w:sz w:val="18"/>
        </w:rPr>
        <w:t xml:space="preserve"> </w:t>
      </w:r>
      <w:r>
        <w:rPr>
          <w:sz w:val="18"/>
        </w:rPr>
        <w:t>General Assembly</w:t>
      </w:r>
      <w:r>
        <w:rPr>
          <w:spacing w:val="-1"/>
          <w:sz w:val="18"/>
        </w:rPr>
        <w:t xml:space="preserve"> </w:t>
      </w:r>
      <w:r>
        <w:rPr>
          <w:sz w:val="18"/>
        </w:rPr>
        <w:t>requesting</w:t>
      </w:r>
      <w:r>
        <w:rPr>
          <w:spacing w:val="-1"/>
          <w:sz w:val="18"/>
        </w:rPr>
        <w:t xml:space="preserve"> </w:t>
      </w:r>
      <w:r>
        <w:rPr>
          <w:sz w:val="18"/>
        </w:rPr>
        <w:t>the</w:t>
      </w:r>
      <w:r>
        <w:rPr>
          <w:spacing w:val="-1"/>
          <w:sz w:val="18"/>
        </w:rPr>
        <w:t xml:space="preserve"> </w:t>
      </w:r>
      <w:r>
        <w:rPr>
          <w:sz w:val="18"/>
        </w:rPr>
        <w:t>International</w:t>
      </w:r>
      <w:r>
        <w:rPr>
          <w:spacing w:val="-1"/>
          <w:sz w:val="18"/>
        </w:rPr>
        <w:t xml:space="preserve"> </w:t>
      </w:r>
      <w:r>
        <w:rPr>
          <w:sz w:val="18"/>
        </w:rPr>
        <w:t>Court</w:t>
      </w:r>
      <w:r>
        <w:rPr>
          <w:spacing w:val="-2"/>
          <w:sz w:val="18"/>
        </w:rPr>
        <w:t xml:space="preserve"> </w:t>
      </w:r>
      <w:r>
        <w:rPr>
          <w:sz w:val="18"/>
        </w:rPr>
        <w:t>of</w:t>
      </w:r>
      <w:r>
        <w:rPr>
          <w:spacing w:val="-2"/>
          <w:sz w:val="18"/>
        </w:rPr>
        <w:t xml:space="preserve"> </w:t>
      </w:r>
      <w:r>
        <w:rPr>
          <w:sz w:val="18"/>
        </w:rPr>
        <w:t>Justice</w:t>
      </w:r>
      <w:r>
        <w:rPr>
          <w:spacing w:val="-4"/>
          <w:sz w:val="18"/>
        </w:rPr>
        <w:t xml:space="preserve"> </w:t>
      </w:r>
      <w:r>
        <w:rPr>
          <w:sz w:val="18"/>
        </w:rPr>
        <w:t>to</w:t>
      </w:r>
      <w:r>
        <w:rPr>
          <w:spacing w:val="-1"/>
          <w:sz w:val="18"/>
        </w:rPr>
        <w:t xml:space="preserve"> </w:t>
      </w:r>
      <w:r>
        <w:rPr>
          <w:sz w:val="18"/>
        </w:rPr>
        <w:t>provide</w:t>
      </w:r>
      <w:r>
        <w:rPr>
          <w:spacing w:val="-4"/>
          <w:sz w:val="18"/>
        </w:rPr>
        <w:t xml:space="preserve"> </w:t>
      </w:r>
      <w:r>
        <w:rPr>
          <w:sz w:val="18"/>
        </w:rPr>
        <w:t>an</w:t>
      </w:r>
      <w:r>
        <w:rPr>
          <w:spacing w:val="-4"/>
          <w:sz w:val="18"/>
        </w:rPr>
        <w:t xml:space="preserve"> </w:t>
      </w:r>
      <w:r>
        <w:rPr>
          <w:sz w:val="18"/>
        </w:rPr>
        <w:t>advisory</w:t>
      </w:r>
      <w:r>
        <w:rPr>
          <w:spacing w:val="-1"/>
          <w:sz w:val="18"/>
        </w:rPr>
        <w:t xml:space="preserve"> </w:t>
      </w:r>
      <w:r>
        <w:rPr>
          <w:sz w:val="18"/>
        </w:rPr>
        <w:t>opinion</w:t>
      </w:r>
      <w:r>
        <w:rPr>
          <w:spacing w:val="-4"/>
          <w:sz w:val="18"/>
        </w:rPr>
        <w:t xml:space="preserve"> </w:t>
      </w:r>
      <w:r>
        <w:rPr>
          <w:sz w:val="18"/>
        </w:rPr>
        <w:t>on</w:t>
      </w:r>
      <w:r>
        <w:rPr>
          <w:spacing w:val="-1"/>
          <w:sz w:val="18"/>
        </w:rPr>
        <w:t xml:space="preserve"> </w:t>
      </w:r>
      <w:r>
        <w:rPr>
          <w:sz w:val="18"/>
        </w:rPr>
        <w:t>the</w:t>
      </w:r>
      <w:r>
        <w:rPr>
          <w:spacing w:val="-1"/>
          <w:sz w:val="18"/>
        </w:rPr>
        <w:t xml:space="preserve"> </w:t>
      </w:r>
      <w:r>
        <w:rPr>
          <w:sz w:val="18"/>
        </w:rPr>
        <w:t>obligations</w:t>
      </w:r>
      <w:r>
        <w:rPr>
          <w:spacing w:val="-1"/>
          <w:sz w:val="18"/>
        </w:rPr>
        <w:t xml:space="preserve"> </w:t>
      </w:r>
      <w:r>
        <w:rPr>
          <w:sz w:val="18"/>
        </w:rPr>
        <w:t>of</w:t>
      </w:r>
      <w:r>
        <w:rPr>
          <w:spacing w:val="-4"/>
          <w:sz w:val="18"/>
        </w:rPr>
        <w:t xml:space="preserve"> </w:t>
      </w:r>
      <w:r>
        <w:rPr>
          <w:sz w:val="18"/>
        </w:rPr>
        <w:t>States</w:t>
      </w:r>
      <w:r>
        <w:rPr>
          <w:spacing w:val="-1"/>
          <w:sz w:val="18"/>
        </w:rPr>
        <w:t xml:space="preserve"> </w:t>
      </w:r>
      <w:r>
        <w:rPr>
          <w:sz w:val="18"/>
        </w:rPr>
        <w:t>under international law to protect the rights of present and future generations against the adverse effects of climate change.</w:t>
      </w:r>
    </w:p>
    <w:p w14:paraId="475A62A6" w14:textId="77777777" w:rsidR="009C36E3" w:rsidRDefault="009C36E3">
      <w:pPr>
        <w:spacing w:line="242" w:lineRule="auto"/>
        <w:jc w:val="both"/>
        <w:rPr>
          <w:sz w:val="18"/>
        </w:rPr>
        <w:sectPr w:rsidR="009C36E3">
          <w:pgSz w:w="11910" w:h="16850"/>
          <w:pgMar w:top="1040" w:right="740" w:bottom="740" w:left="80" w:header="552" w:footer="559" w:gutter="0"/>
          <w:cols w:space="720"/>
        </w:sectPr>
      </w:pPr>
    </w:p>
    <w:p w14:paraId="71875BB5" w14:textId="77777777" w:rsidR="009C36E3" w:rsidRDefault="000E7207">
      <w:pPr>
        <w:pStyle w:val="BodyText"/>
        <w:spacing w:before="91"/>
        <w:ind w:left="772"/>
      </w:pPr>
      <w:r>
        <w:t>connecting</w:t>
      </w:r>
      <w:r>
        <w:rPr>
          <w:spacing w:val="-2"/>
        </w:rPr>
        <w:t xml:space="preserve"> </w:t>
      </w:r>
      <w:r>
        <w:t>both</w:t>
      </w:r>
      <w:r>
        <w:rPr>
          <w:spacing w:val="-2"/>
        </w:rPr>
        <w:t xml:space="preserve"> </w:t>
      </w:r>
      <w:r>
        <w:t>police</w:t>
      </w:r>
      <w:r>
        <w:rPr>
          <w:spacing w:val="-2"/>
        </w:rPr>
        <w:t xml:space="preserve"> </w:t>
      </w:r>
      <w:r>
        <w:t>and</w:t>
      </w:r>
      <w:r>
        <w:rPr>
          <w:spacing w:val="-2"/>
        </w:rPr>
        <w:t xml:space="preserve"> </w:t>
      </w:r>
      <w:r>
        <w:t>justice</w:t>
      </w:r>
      <w:r>
        <w:rPr>
          <w:spacing w:val="-3"/>
        </w:rPr>
        <w:t xml:space="preserve"> </w:t>
      </w:r>
      <w:r>
        <w:t>actors</w:t>
      </w:r>
      <w:r>
        <w:rPr>
          <w:spacing w:val="-3"/>
        </w:rPr>
        <w:t xml:space="preserve"> </w:t>
      </w:r>
      <w:r>
        <w:t>so</w:t>
      </w:r>
      <w:r>
        <w:rPr>
          <w:spacing w:val="-3"/>
        </w:rPr>
        <w:t xml:space="preserve"> </w:t>
      </w:r>
      <w:r>
        <w:t>that</w:t>
      </w:r>
      <w:r>
        <w:rPr>
          <w:spacing w:val="-3"/>
        </w:rPr>
        <w:t xml:space="preserve"> </w:t>
      </w:r>
      <w:r>
        <w:t>they</w:t>
      </w:r>
      <w:r>
        <w:rPr>
          <w:spacing w:val="-3"/>
        </w:rPr>
        <w:t xml:space="preserve"> </w:t>
      </w:r>
      <w:r>
        <w:t>are</w:t>
      </w:r>
      <w:r>
        <w:rPr>
          <w:spacing w:val="-3"/>
        </w:rPr>
        <w:t xml:space="preserve"> </w:t>
      </w:r>
      <w:r>
        <w:t>coordinating</w:t>
      </w:r>
      <w:r>
        <w:rPr>
          <w:spacing w:val="-2"/>
        </w:rPr>
        <w:t xml:space="preserve"> </w:t>
      </w:r>
      <w:r>
        <w:t>effectively</w:t>
      </w:r>
      <w:r>
        <w:rPr>
          <w:spacing w:val="-3"/>
        </w:rPr>
        <w:t xml:space="preserve"> </w:t>
      </w:r>
      <w:r>
        <w:t>to</w:t>
      </w:r>
      <w:r>
        <w:rPr>
          <w:spacing w:val="-3"/>
        </w:rPr>
        <w:t xml:space="preserve"> </w:t>
      </w:r>
      <w:r>
        <w:t>improve</w:t>
      </w:r>
      <w:r>
        <w:rPr>
          <w:spacing w:val="-3"/>
        </w:rPr>
        <w:t xml:space="preserve"> </w:t>
      </w:r>
      <w:r>
        <w:t>access</w:t>
      </w:r>
      <w:r>
        <w:rPr>
          <w:spacing w:val="-3"/>
        </w:rPr>
        <w:t xml:space="preserve"> </w:t>
      </w:r>
      <w:r>
        <w:t>to</w:t>
      </w:r>
      <w:r>
        <w:rPr>
          <w:spacing w:val="-3"/>
        </w:rPr>
        <w:t xml:space="preserve"> </w:t>
      </w:r>
      <w:r>
        <w:t>justice.</w:t>
      </w:r>
      <w:r>
        <w:rPr>
          <w:spacing w:val="-3"/>
        </w:rPr>
        <w:t xml:space="preserve"> </w:t>
      </w:r>
      <w:r>
        <w:t>The mechanism to achieve this will be addressed further in the new Design.</w:t>
      </w:r>
    </w:p>
    <w:p w14:paraId="70D6340C" w14:textId="77777777" w:rsidR="009C36E3" w:rsidRDefault="000E7207">
      <w:pPr>
        <w:pStyle w:val="BodyText"/>
        <w:spacing w:before="120"/>
        <w:ind w:right="288"/>
      </w:pPr>
      <w:r>
        <w:t>The</w:t>
      </w:r>
      <w:r>
        <w:rPr>
          <w:spacing w:val="-4"/>
        </w:rPr>
        <w:t xml:space="preserve"> </w:t>
      </w:r>
      <w:r>
        <w:t>design</w:t>
      </w:r>
      <w:r>
        <w:rPr>
          <w:spacing w:val="-2"/>
        </w:rPr>
        <w:t xml:space="preserve"> </w:t>
      </w:r>
      <w:r>
        <w:t>of</w:t>
      </w:r>
      <w:r>
        <w:rPr>
          <w:spacing w:val="-2"/>
        </w:rPr>
        <w:t xml:space="preserve"> </w:t>
      </w:r>
      <w:r>
        <w:t>VAPJP</w:t>
      </w:r>
      <w:r>
        <w:rPr>
          <w:spacing w:val="-2"/>
        </w:rPr>
        <w:t xml:space="preserve"> </w:t>
      </w:r>
      <w:r>
        <w:t>is</w:t>
      </w:r>
      <w:r>
        <w:rPr>
          <w:spacing w:val="-3"/>
        </w:rPr>
        <w:t xml:space="preserve"> </w:t>
      </w:r>
      <w:r>
        <w:t>predicated</w:t>
      </w:r>
      <w:r>
        <w:rPr>
          <w:spacing w:val="-4"/>
        </w:rPr>
        <w:t xml:space="preserve"> </w:t>
      </w:r>
      <w:r>
        <w:t>on</w:t>
      </w:r>
      <w:r>
        <w:rPr>
          <w:spacing w:val="-4"/>
        </w:rPr>
        <w:t xml:space="preserve"> </w:t>
      </w:r>
      <w:r>
        <w:t>an</w:t>
      </w:r>
      <w:r>
        <w:rPr>
          <w:spacing w:val="-2"/>
        </w:rPr>
        <w:t xml:space="preserve"> </w:t>
      </w:r>
      <w:r>
        <w:t>understanding</w:t>
      </w:r>
      <w:r>
        <w:rPr>
          <w:spacing w:val="-4"/>
        </w:rPr>
        <w:t xml:space="preserve"> </w:t>
      </w:r>
      <w:r>
        <w:t>of</w:t>
      </w:r>
      <w:r>
        <w:rPr>
          <w:spacing w:val="-4"/>
        </w:rPr>
        <w:t xml:space="preserve"> </w:t>
      </w:r>
      <w:r>
        <w:t>the</w:t>
      </w:r>
      <w:r>
        <w:rPr>
          <w:spacing w:val="-2"/>
        </w:rPr>
        <w:t xml:space="preserve"> </w:t>
      </w:r>
      <w:r>
        <w:t>gender</w:t>
      </w:r>
      <w:r>
        <w:rPr>
          <w:spacing w:val="-3"/>
        </w:rPr>
        <w:t xml:space="preserve"> </w:t>
      </w:r>
      <w:r>
        <w:t>dimensions</w:t>
      </w:r>
      <w:r>
        <w:rPr>
          <w:spacing w:val="-3"/>
        </w:rPr>
        <w:t xml:space="preserve"> </w:t>
      </w:r>
      <w:r>
        <w:t>to</w:t>
      </w:r>
      <w:r>
        <w:rPr>
          <w:spacing w:val="-4"/>
        </w:rPr>
        <w:t xml:space="preserve"> </w:t>
      </w:r>
      <w:r>
        <w:t>policing</w:t>
      </w:r>
      <w:r>
        <w:rPr>
          <w:spacing w:val="-2"/>
        </w:rPr>
        <w:t xml:space="preserve"> </w:t>
      </w:r>
      <w:r>
        <w:t>and</w:t>
      </w:r>
      <w:r>
        <w:rPr>
          <w:spacing w:val="-4"/>
        </w:rPr>
        <w:t xml:space="preserve"> </w:t>
      </w:r>
      <w:r>
        <w:t>justice</w:t>
      </w:r>
      <w:r>
        <w:rPr>
          <w:spacing w:val="-4"/>
        </w:rPr>
        <w:t xml:space="preserve"> </w:t>
      </w:r>
      <w:r>
        <w:t>services in Vanuatu, with gender norms and women’s low status in society impacting women’s engagement in decision- making and leadership and underpinning the very high rates of domestic violence in Vanuatu. The US State Department Vanuatu 2022 Human Rights Report notes that there is a lack of investigation and accountability for gender-based violence, and that police sometimes did not promptly enforce court orders related to domestic violence. The report went on to note that:</w:t>
      </w:r>
    </w:p>
    <w:p w14:paraId="6497B5F4" w14:textId="77777777" w:rsidR="009C36E3" w:rsidRDefault="000E7207">
      <w:pPr>
        <w:pStyle w:val="BodyText"/>
        <w:spacing w:before="121"/>
        <w:ind w:left="1129" w:right="120"/>
      </w:pPr>
      <w:r>
        <w:t>According to the most recent survey data available, 60 percent of women in an intimate partner relationship experienced physical or sexual violence by a partner. According to the 2020 Offender Census Report from Correctional Services, 50 percent of prison inmates were charged with sex-related offenses. Most cases, including</w:t>
      </w:r>
      <w:r>
        <w:rPr>
          <w:spacing w:val="-4"/>
        </w:rPr>
        <w:t xml:space="preserve"> </w:t>
      </w:r>
      <w:r>
        <w:t>rape,</w:t>
      </w:r>
      <w:r>
        <w:rPr>
          <w:spacing w:val="-4"/>
        </w:rPr>
        <w:t xml:space="preserve"> </w:t>
      </w:r>
      <w:r>
        <w:t>were</w:t>
      </w:r>
      <w:r>
        <w:rPr>
          <w:spacing w:val="-4"/>
        </w:rPr>
        <w:t xml:space="preserve"> </w:t>
      </w:r>
      <w:r>
        <w:t>not</w:t>
      </w:r>
      <w:r>
        <w:rPr>
          <w:spacing w:val="-4"/>
        </w:rPr>
        <w:t xml:space="preserve"> </w:t>
      </w:r>
      <w:r>
        <w:t>reported</w:t>
      </w:r>
      <w:r>
        <w:rPr>
          <w:spacing w:val="-2"/>
        </w:rPr>
        <w:t xml:space="preserve"> </w:t>
      </w:r>
      <w:r>
        <w:t>to</w:t>
      </w:r>
      <w:r>
        <w:rPr>
          <w:spacing w:val="-4"/>
        </w:rPr>
        <w:t xml:space="preserve"> </w:t>
      </w:r>
      <w:r>
        <w:t>authorities</w:t>
      </w:r>
      <w:r>
        <w:rPr>
          <w:spacing w:val="-3"/>
        </w:rPr>
        <w:t xml:space="preserve"> </w:t>
      </w:r>
      <w:r>
        <w:t>because</w:t>
      </w:r>
      <w:r>
        <w:rPr>
          <w:spacing w:val="-4"/>
        </w:rPr>
        <w:t xml:space="preserve"> </w:t>
      </w:r>
      <w:r>
        <w:t>women,</w:t>
      </w:r>
      <w:r>
        <w:rPr>
          <w:spacing w:val="-4"/>
        </w:rPr>
        <w:t xml:space="preserve"> </w:t>
      </w:r>
      <w:r>
        <w:t>particularly in</w:t>
      </w:r>
      <w:r>
        <w:rPr>
          <w:spacing w:val="-4"/>
        </w:rPr>
        <w:t xml:space="preserve"> </w:t>
      </w:r>
      <w:r>
        <w:t>rural</w:t>
      </w:r>
      <w:r>
        <w:rPr>
          <w:spacing w:val="-5"/>
        </w:rPr>
        <w:t xml:space="preserve"> </w:t>
      </w:r>
      <w:r>
        <w:t>areas,</w:t>
      </w:r>
      <w:r>
        <w:rPr>
          <w:spacing w:val="-4"/>
        </w:rPr>
        <w:t xml:space="preserve"> </w:t>
      </w:r>
      <w:r>
        <w:t>were</w:t>
      </w:r>
      <w:r>
        <w:rPr>
          <w:spacing w:val="-2"/>
        </w:rPr>
        <w:t xml:space="preserve"> </w:t>
      </w:r>
      <w:r>
        <w:t>unaware</w:t>
      </w:r>
      <w:r>
        <w:rPr>
          <w:spacing w:val="-2"/>
        </w:rPr>
        <w:t xml:space="preserve"> </w:t>
      </w:r>
      <w:r>
        <w:t>of their rights or feared further abuse (US State Department, 2022).</w:t>
      </w:r>
    </w:p>
    <w:p w14:paraId="2B2C4CC0" w14:textId="77777777" w:rsidR="009C36E3" w:rsidRDefault="000E7207">
      <w:pPr>
        <w:pStyle w:val="BodyText"/>
        <w:spacing w:before="120"/>
        <w:ind w:right="120"/>
      </w:pPr>
      <w:r>
        <w:t>The</w:t>
      </w:r>
      <w:r>
        <w:rPr>
          <w:spacing w:val="-3"/>
        </w:rPr>
        <w:t xml:space="preserve"> </w:t>
      </w:r>
      <w:r>
        <w:t>UN Women’s</w:t>
      </w:r>
      <w:r>
        <w:rPr>
          <w:spacing w:val="-2"/>
        </w:rPr>
        <w:t xml:space="preserve"> </w:t>
      </w:r>
      <w:r>
        <w:t>2016</w:t>
      </w:r>
      <w:r>
        <w:rPr>
          <w:spacing w:val="-3"/>
        </w:rPr>
        <w:t xml:space="preserve"> </w:t>
      </w:r>
      <w:r>
        <w:t>study</w:t>
      </w:r>
      <w:r>
        <w:rPr>
          <w:spacing w:val="-2"/>
        </w:rPr>
        <w:t xml:space="preserve"> </w:t>
      </w:r>
      <w:r>
        <w:t>on</w:t>
      </w:r>
      <w:r>
        <w:rPr>
          <w:spacing w:val="-1"/>
        </w:rPr>
        <w:t xml:space="preserve"> </w:t>
      </w:r>
      <w:r>
        <w:t>Women</w:t>
      </w:r>
      <w:r>
        <w:rPr>
          <w:spacing w:val="-1"/>
        </w:rPr>
        <w:t xml:space="preserve"> </w:t>
      </w:r>
      <w:r>
        <w:t>and</w:t>
      </w:r>
      <w:r>
        <w:rPr>
          <w:spacing w:val="-1"/>
        </w:rPr>
        <w:t xml:space="preserve"> </w:t>
      </w:r>
      <w:r>
        <w:t>Children’s</w:t>
      </w:r>
      <w:r>
        <w:rPr>
          <w:spacing w:val="-2"/>
        </w:rPr>
        <w:t xml:space="preserve"> </w:t>
      </w:r>
      <w:r>
        <w:t>Access</w:t>
      </w:r>
      <w:r>
        <w:rPr>
          <w:spacing w:val="-2"/>
        </w:rPr>
        <w:t xml:space="preserve"> </w:t>
      </w:r>
      <w:r>
        <w:t>to</w:t>
      </w:r>
      <w:r>
        <w:rPr>
          <w:spacing w:val="-3"/>
        </w:rPr>
        <w:t xml:space="preserve"> </w:t>
      </w:r>
      <w:r>
        <w:t>the</w:t>
      </w:r>
      <w:r>
        <w:rPr>
          <w:spacing w:val="-3"/>
        </w:rPr>
        <w:t xml:space="preserve"> </w:t>
      </w:r>
      <w:r>
        <w:t>formal</w:t>
      </w:r>
      <w:r>
        <w:rPr>
          <w:spacing w:val="-4"/>
        </w:rPr>
        <w:t xml:space="preserve"> </w:t>
      </w:r>
      <w:r>
        <w:t>justice</w:t>
      </w:r>
      <w:r>
        <w:rPr>
          <w:spacing w:val="-2"/>
        </w:rPr>
        <w:t xml:space="preserve"> </w:t>
      </w:r>
      <w:r>
        <w:t>system</w:t>
      </w:r>
      <w:r>
        <w:rPr>
          <w:spacing w:val="-3"/>
        </w:rPr>
        <w:t xml:space="preserve"> </w:t>
      </w:r>
      <w:r>
        <w:t>in</w:t>
      </w:r>
      <w:r>
        <w:rPr>
          <w:spacing w:val="-1"/>
        </w:rPr>
        <w:t xml:space="preserve"> </w:t>
      </w:r>
      <w:r>
        <w:t>Vanuatu</w:t>
      </w:r>
      <w:r>
        <w:rPr>
          <w:spacing w:val="-3"/>
        </w:rPr>
        <w:t xml:space="preserve"> </w:t>
      </w:r>
      <w:r>
        <w:t>found</w:t>
      </w:r>
      <w:r>
        <w:rPr>
          <w:spacing w:val="-3"/>
        </w:rPr>
        <w:t xml:space="preserve"> </w:t>
      </w:r>
      <w:r>
        <w:t>that 98% of women and children experiencing violence in Vanuatu do not access the formal justice system (UN WOMEN, 2016).The new GoA international development policy also notes that Australia is developing a new international gender equality strategy which will reinstate a target of 80 per cent of all development investments being required to address gender equality effectively and the new requirement for new investments of more than AUD3 million to include gender equality objectives.</w:t>
      </w:r>
    </w:p>
    <w:p w14:paraId="5D8925EF" w14:textId="77777777" w:rsidR="009C36E3" w:rsidRDefault="000E7207">
      <w:pPr>
        <w:pStyle w:val="BodyText"/>
        <w:spacing w:before="120"/>
        <w:ind w:right="120"/>
      </w:pPr>
      <w:r>
        <w:t>VAPJP currently implements some limited initiatives to address disability inclusion. The US State Department (2022)</w:t>
      </w:r>
      <w:r>
        <w:rPr>
          <w:spacing w:val="-3"/>
        </w:rPr>
        <w:t xml:space="preserve"> </w:t>
      </w:r>
      <w:r>
        <w:t>notes</w:t>
      </w:r>
      <w:r>
        <w:rPr>
          <w:spacing w:val="-3"/>
        </w:rPr>
        <w:t xml:space="preserve"> </w:t>
      </w:r>
      <w:r>
        <w:t>that</w:t>
      </w:r>
      <w:r>
        <w:rPr>
          <w:spacing w:val="-2"/>
        </w:rPr>
        <w:t xml:space="preserve"> </w:t>
      </w:r>
      <w:r>
        <w:t>no</w:t>
      </w:r>
      <w:r>
        <w:rPr>
          <w:spacing w:val="-2"/>
        </w:rPr>
        <w:t xml:space="preserve"> </w:t>
      </w:r>
      <w:r>
        <w:t>law</w:t>
      </w:r>
      <w:r>
        <w:rPr>
          <w:spacing w:val="-4"/>
        </w:rPr>
        <w:t xml:space="preserve"> </w:t>
      </w:r>
      <w:r>
        <w:t>specifically</w:t>
      </w:r>
      <w:r>
        <w:rPr>
          <w:spacing w:val="-3"/>
        </w:rPr>
        <w:t xml:space="preserve"> </w:t>
      </w:r>
      <w:r>
        <w:t>prohibits discrimination</w:t>
      </w:r>
      <w:r>
        <w:rPr>
          <w:spacing w:val="-4"/>
        </w:rPr>
        <w:t xml:space="preserve"> </w:t>
      </w:r>
      <w:r>
        <w:t>against</w:t>
      </w:r>
      <w:r>
        <w:rPr>
          <w:spacing w:val="-4"/>
        </w:rPr>
        <w:t xml:space="preserve"> </w:t>
      </w:r>
      <w:r>
        <w:t>persons</w:t>
      </w:r>
      <w:r>
        <w:rPr>
          <w:spacing w:val="-3"/>
        </w:rPr>
        <w:t xml:space="preserve"> </w:t>
      </w:r>
      <w:r>
        <w:t>with</w:t>
      </w:r>
      <w:r>
        <w:rPr>
          <w:spacing w:val="-2"/>
        </w:rPr>
        <w:t xml:space="preserve"> </w:t>
      </w:r>
      <w:r>
        <w:t>disabilities,</w:t>
      </w:r>
      <w:r>
        <w:rPr>
          <w:spacing w:val="-4"/>
        </w:rPr>
        <w:t xml:space="preserve"> </w:t>
      </w:r>
      <w:r>
        <w:t>and</w:t>
      </w:r>
      <w:r>
        <w:rPr>
          <w:spacing w:val="-4"/>
        </w:rPr>
        <w:t xml:space="preserve"> </w:t>
      </w:r>
      <w:r>
        <w:t>that</w:t>
      </w:r>
      <w:r>
        <w:rPr>
          <w:spacing w:val="-4"/>
        </w:rPr>
        <w:t xml:space="preserve"> </w:t>
      </w:r>
      <w:r>
        <w:t>although</w:t>
      </w:r>
      <w:r>
        <w:rPr>
          <w:spacing w:val="-4"/>
        </w:rPr>
        <w:t xml:space="preserve"> </w:t>
      </w:r>
      <w:r>
        <w:t>the building code mandates access for persons with disabilities to existing and new facilities, most buildings did not facilitate such access. It is noted that Australia is developing a new disability equity and rights strategy “to ensure that we remain a strong and consistent advocate for disability equity and rights”. A focus on disability remains relevant for VAPJP.</w:t>
      </w:r>
    </w:p>
    <w:p w14:paraId="718126E6" w14:textId="006A5E16" w:rsidR="009C36E3" w:rsidRDefault="000E7207">
      <w:pPr>
        <w:pStyle w:val="BodyText"/>
        <w:spacing w:before="121"/>
        <w:ind w:right="167"/>
      </w:pPr>
      <w:r>
        <w:t>There are a range of activities within the justice stream that do not appear to be priorities within the scope of the program and stretch the attention of both the program and the absorption capacity of counterparts. While both customary law and working with children are priorities for the program, activities such as involvement with the Working Group on Customary and Informal Justice and SDG 16+, World Congress on Justice with Children and Pacific</w:t>
      </w:r>
      <w:r>
        <w:rPr>
          <w:spacing w:val="-2"/>
        </w:rPr>
        <w:t xml:space="preserve"> </w:t>
      </w:r>
      <w:r>
        <w:t>Oceania</w:t>
      </w:r>
      <w:r>
        <w:rPr>
          <w:spacing w:val="-1"/>
        </w:rPr>
        <w:t xml:space="preserve"> </w:t>
      </w:r>
      <w:r>
        <w:t>Working</w:t>
      </w:r>
      <w:r>
        <w:rPr>
          <w:spacing w:val="-3"/>
        </w:rPr>
        <w:t xml:space="preserve"> </w:t>
      </w:r>
      <w:r>
        <w:t>Group</w:t>
      </w:r>
      <w:r>
        <w:rPr>
          <w:spacing w:val="-3"/>
        </w:rPr>
        <w:t xml:space="preserve"> </w:t>
      </w:r>
      <w:r>
        <w:t>on</w:t>
      </w:r>
      <w:r>
        <w:rPr>
          <w:spacing w:val="-3"/>
        </w:rPr>
        <w:t xml:space="preserve"> </w:t>
      </w:r>
      <w:r>
        <w:t>Justice</w:t>
      </w:r>
      <w:r>
        <w:rPr>
          <w:spacing w:val="-1"/>
        </w:rPr>
        <w:t xml:space="preserve"> </w:t>
      </w:r>
      <w:r>
        <w:t>with</w:t>
      </w:r>
      <w:r>
        <w:rPr>
          <w:spacing w:val="-3"/>
        </w:rPr>
        <w:t xml:space="preserve"> </w:t>
      </w:r>
      <w:r>
        <w:t>Children</w:t>
      </w:r>
      <w:r w:rsidR="008A6B14">
        <w:t xml:space="preserve"> were questioned as the most efficient and effective use of resources, contributing to the program being over-extended on the justice side</w:t>
      </w:r>
      <w:r>
        <w:t>. Pulling back from these types of activities would free up time, budget and attention to the core business of the program.</w:t>
      </w:r>
    </w:p>
    <w:p w14:paraId="02BE4709" w14:textId="77777777" w:rsidR="009C36E3" w:rsidRDefault="000E7207">
      <w:pPr>
        <w:pStyle w:val="Heading7"/>
      </w:pPr>
      <w:r>
        <w:rPr>
          <w:spacing w:val="-2"/>
        </w:rPr>
        <w:t>Sustainability</w:t>
      </w:r>
    </w:p>
    <w:p w14:paraId="58B7D2F3" w14:textId="77777777" w:rsidR="009C36E3" w:rsidRDefault="000E7207">
      <w:pPr>
        <w:pStyle w:val="BodyText"/>
        <w:spacing w:before="120"/>
        <w:ind w:right="133"/>
      </w:pPr>
      <w:r>
        <w:t>In a context where both the policing and justice sector in Vanuatu are consistently under-resourced the notion of what might constitute sustainable outcomes is a complex and longstanding issue. OPS (2022) argues that under resourcing of the VPF is in part attributed to no evidence-based understanding of the true cost of policing the nation,</w:t>
      </w:r>
      <w:r>
        <w:rPr>
          <w:spacing w:val="-2"/>
        </w:rPr>
        <w:t xml:space="preserve"> </w:t>
      </w:r>
      <w:r>
        <w:t>coupled with</w:t>
      </w:r>
      <w:r>
        <w:rPr>
          <w:spacing w:val="-2"/>
        </w:rPr>
        <w:t xml:space="preserve"> </w:t>
      </w:r>
      <w:r>
        <w:t>budget ceilings</w:t>
      </w:r>
      <w:r>
        <w:rPr>
          <w:spacing w:val="-1"/>
        </w:rPr>
        <w:t xml:space="preserve"> </w:t>
      </w:r>
      <w:r>
        <w:t>(McLeod,</w:t>
      </w:r>
      <w:r>
        <w:rPr>
          <w:spacing w:val="-2"/>
        </w:rPr>
        <w:t xml:space="preserve"> </w:t>
      </w:r>
      <w:r>
        <w:t>2022).</w:t>
      </w:r>
      <w:r>
        <w:rPr>
          <w:spacing w:val="-1"/>
        </w:rPr>
        <w:t xml:space="preserve"> </w:t>
      </w:r>
      <w:r>
        <w:t>There</w:t>
      </w:r>
      <w:r>
        <w:rPr>
          <w:spacing w:val="-2"/>
        </w:rPr>
        <w:t xml:space="preserve"> </w:t>
      </w:r>
      <w:r>
        <w:t>is a</w:t>
      </w:r>
      <w:r>
        <w:rPr>
          <w:spacing w:val="-2"/>
        </w:rPr>
        <w:t xml:space="preserve"> </w:t>
      </w:r>
      <w:r>
        <w:t>sentiment</w:t>
      </w:r>
      <w:r>
        <w:rPr>
          <w:spacing w:val="-2"/>
        </w:rPr>
        <w:t xml:space="preserve"> </w:t>
      </w:r>
      <w:r>
        <w:t>that Australia’s</w:t>
      </w:r>
      <w:r>
        <w:rPr>
          <w:spacing w:val="-1"/>
        </w:rPr>
        <w:t xml:space="preserve"> </w:t>
      </w:r>
      <w:r>
        <w:t>contribution</w:t>
      </w:r>
      <w:r>
        <w:rPr>
          <w:spacing w:val="-2"/>
        </w:rPr>
        <w:t xml:space="preserve"> </w:t>
      </w:r>
      <w:r>
        <w:t>is</w:t>
      </w:r>
      <w:r>
        <w:rPr>
          <w:spacing w:val="-1"/>
        </w:rPr>
        <w:t xml:space="preserve"> </w:t>
      </w:r>
      <w:r>
        <w:t>necessary to maintain confidence of the public in the ability of the GoV to provide stability and security. This sentiment has intensified</w:t>
      </w:r>
      <w:r>
        <w:rPr>
          <w:spacing w:val="-1"/>
        </w:rPr>
        <w:t xml:space="preserve"> </w:t>
      </w:r>
      <w:r>
        <w:t>amidst</w:t>
      </w:r>
      <w:r>
        <w:rPr>
          <w:spacing w:val="-3"/>
        </w:rPr>
        <w:t xml:space="preserve"> </w:t>
      </w:r>
      <w:r>
        <w:t>a</w:t>
      </w:r>
      <w:r>
        <w:rPr>
          <w:spacing w:val="-1"/>
        </w:rPr>
        <w:t xml:space="preserve"> </w:t>
      </w:r>
      <w:r>
        <w:t>sense</w:t>
      </w:r>
      <w:r>
        <w:rPr>
          <w:spacing w:val="-1"/>
        </w:rPr>
        <w:t xml:space="preserve"> </w:t>
      </w:r>
      <w:r>
        <w:t>of</w:t>
      </w:r>
      <w:r>
        <w:rPr>
          <w:spacing w:val="-3"/>
        </w:rPr>
        <w:t xml:space="preserve"> </w:t>
      </w:r>
      <w:r>
        <w:t>a</w:t>
      </w:r>
      <w:r>
        <w:rPr>
          <w:spacing w:val="-1"/>
        </w:rPr>
        <w:t xml:space="preserve"> </w:t>
      </w:r>
      <w:r>
        <w:t>growing</w:t>
      </w:r>
      <w:r>
        <w:rPr>
          <w:spacing w:val="-1"/>
        </w:rPr>
        <w:t xml:space="preserve"> </w:t>
      </w:r>
      <w:r>
        <w:t>geo-political</w:t>
      </w:r>
      <w:r>
        <w:rPr>
          <w:spacing w:val="-4"/>
        </w:rPr>
        <w:t xml:space="preserve"> </w:t>
      </w:r>
      <w:r>
        <w:t>contest</w:t>
      </w:r>
      <w:r>
        <w:rPr>
          <w:spacing w:val="-1"/>
        </w:rPr>
        <w:t xml:space="preserve"> </w:t>
      </w:r>
      <w:r>
        <w:t>in</w:t>
      </w:r>
      <w:r>
        <w:rPr>
          <w:spacing w:val="-3"/>
        </w:rPr>
        <w:t xml:space="preserve"> </w:t>
      </w:r>
      <w:r>
        <w:t>the</w:t>
      </w:r>
      <w:r>
        <w:rPr>
          <w:spacing w:val="-3"/>
        </w:rPr>
        <w:t xml:space="preserve"> </w:t>
      </w:r>
      <w:r>
        <w:t>region.</w:t>
      </w:r>
      <w:r>
        <w:rPr>
          <w:spacing w:val="-1"/>
        </w:rPr>
        <w:t xml:space="preserve"> </w:t>
      </w:r>
      <w:r>
        <w:t>As</w:t>
      </w:r>
      <w:r>
        <w:rPr>
          <w:spacing w:val="-2"/>
        </w:rPr>
        <w:t xml:space="preserve"> </w:t>
      </w:r>
      <w:r>
        <w:t>early</w:t>
      </w:r>
      <w:r>
        <w:rPr>
          <w:spacing w:val="-2"/>
        </w:rPr>
        <w:t xml:space="preserve"> </w:t>
      </w:r>
      <w:r>
        <w:t>as</w:t>
      </w:r>
      <w:r>
        <w:rPr>
          <w:spacing w:val="-2"/>
        </w:rPr>
        <w:t xml:space="preserve"> </w:t>
      </w:r>
      <w:r>
        <w:t>2008</w:t>
      </w:r>
      <w:r>
        <w:rPr>
          <w:spacing w:val="-1"/>
        </w:rPr>
        <w:t xml:space="preserve"> </w:t>
      </w:r>
      <w:r>
        <w:t>a</w:t>
      </w:r>
      <w:r>
        <w:rPr>
          <w:spacing w:val="-3"/>
        </w:rPr>
        <w:t xml:space="preserve"> </w:t>
      </w:r>
      <w:r>
        <w:t>review</w:t>
      </w:r>
      <w:r>
        <w:rPr>
          <w:spacing w:val="-3"/>
        </w:rPr>
        <w:t xml:space="preserve"> </w:t>
      </w:r>
      <w:r>
        <w:t>of</w:t>
      </w:r>
      <w:r>
        <w:rPr>
          <w:spacing w:val="-3"/>
        </w:rPr>
        <w:t xml:space="preserve"> </w:t>
      </w:r>
      <w:r>
        <w:t>the</w:t>
      </w:r>
      <w:r>
        <w:rPr>
          <w:spacing w:val="-3"/>
        </w:rPr>
        <w:t xml:space="preserve"> </w:t>
      </w:r>
      <w:r>
        <w:t>Vanuatu Australia Policing Program (VAPP) implemented by the AFP, found that</w:t>
      </w:r>
    </w:p>
    <w:p w14:paraId="1F249457" w14:textId="275D17C8" w:rsidR="009C36E3" w:rsidRDefault="000E7207">
      <w:pPr>
        <w:pStyle w:val="BodyText"/>
        <w:spacing w:before="119"/>
        <w:ind w:left="1128"/>
      </w:pPr>
      <w:r>
        <w:t>Australia, through the [Vanuatu Police Force Capacity Building Program] VPFCBP, was providing 35% of the VPF’s</w:t>
      </w:r>
      <w:r>
        <w:rPr>
          <w:spacing w:val="-3"/>
        </w:rPr>
        <w:t xml:space="preserve"> </w:t>
      </w:r>
      <w:r>
        <w:t>budget,</w:t>
      </w:r>
      <w:r>
        <w:rPr>
          <w:spacing w:val="-2"/>
        </w:rPr>
        <w:t xml:space="preserve"> </w:t>
      </w:r>
      <w:r>
        <w:t>and</w:t>
      </w:r>
      <w:r>
        <w:rPr>
          <w:spacing w:val="-4"/>
        </w:rPr>
        <w:t xml:space="preserve"> </w:t>
      </w:r>
      <w:r>
        <w:t>the</w:t>
      </w:r>
      <w:r>
        <w:rPr>
          <w:spacing w:val="-4"/>
        </w:rPr>
        <w:t xml:space="preserve"> </w:t>
      </w:r>
      <w:r>
        <w:t>evaluators</w:t>
      </w:r>
      <w:r>
        <w:rPr>
          <w:spacing w:val="-3"/>
        </w:rPr>
        <w:t xml:space="preserve"> </w:t>
      </w:r>
      <w:r>
        <w:t>counselled</w:t>
      </w:r>
      <w:r>
        <w:rPr>
          <w:spacing w:val="-2"/>
        </w:rPr>
        <w:t xml:space="preserve"> </w:t>
      </w:r>
      <w:r>
        <w:t>both</w:t>
      </w:r>
      <w:r>
        <w:rPr>
          <w:spacing w:val="-4"/>
        </w:rPr>
        <w:t xml:space="preserve"> </w:t>
      </w:r>
      <w:r>
        <w:t>Australia</w:t>
      </w:r>
      <w:r>
        <w:rPr>
          <w:spacing w:val="-4"/>
        </w:rPr>
        <w:t xml:space="preserve"> </w:t>
      </w:r>
      <w:r>
        <w:t>and</w:t>
      </w:r>
      <w:r>
        <w:rPr>
          <w:spacing w:val="-2"/>
        </w:rPr>
        <w:t xml:space="preserve"> </w:t>
      </w:r>
      <w:r>
        <w:t>Vanuatu</w:t>
      </w:r>
      <w:r>
        <w:rPr>
          <w:spacing w:val="-2"/>
        </w:rPr>
        <w:t xml:space="preserve"> </w:t>
      </w:r>
      <w:r>
        <w:t>to</w:t>
      </w:r>
      <w:r>
        <w:rPr>
          <w:spacing w:val="-2"/>
        </w:rPr>
        <w:t xml:space="preserve"> </w:t>
      </w:r>
      <w:r>
        <w:t>‘recognise</w:t>
      </w:r>
      <w:r>
        <w:rPr>
          <w:spacing w:val="-2"/>
        </w:rPr>
        <w:t xml:space="preserve"> </w:t>
      </w:r>
      <w:r>
        <w:t>issues</w:t>
      </w:r>
      <w:r>
        <w:rPr>
          <w:spacing w:val="-3"/>
        </w:rPr>
        <w:t xml:space="preserve"> </w:t>
      </w:r>
      <w:r>
        <w:t>of</w:t>
      </w:r>
      <w:r>
        <w:rPr>
          <w:spacing w:val="-4"/>
        </w:rPr>
        <w:t xml:space="preserve"> </w:t>
      </w:r>
      <w:r>
        <w:t>sustainability, particularly recurrent cost financing implications</w:t>
      </w:r>
      <w:r w:rsidR="004F09BF">
        <w:t>’ (</w:t>
      </w:r>
      <w:r>
        <w:t>Edmanley, A. et.al., 2012).</w:t>
      </w:r>
    </w:p>
    <w:p w14:paraId="595B92D7" w14:textId="77777777" w:rsidR="009C36E3" w:rsidRDefault="000E7207">
      <w:pPr>
        <w:pStyle w:val="BodyText"/>
        <w:spacing w:before="121"/>
      </w:pPr>
      <w:r>
        <w:t>In</w:t>
      </w:r>
      <w:r>
        <w:rPr>
          <w:spacing w:val="-6"/>
        </w:rPr>
        <w:t xml:space="preserve"> </w:t>
      </w:r>
      <w:r>
        <w:t>2012</w:t>
      </w:r>
      <w:r>
        <w:rPr>
          <w:spacing w:val="-6"/>
        </w:rPr>
        <w:t xml:space="preserve"> </w:t>
      </w:r>
      <w:r>
        <w:t>the</w:t>
      </w:r>
      <w:r>
        <w:rPr>
          <w:spacing w:val="-5"/>
        </w:rPr>
        <w:t xml:space="preserve"> </w:t>
      </w:r>
      <w:r>
        <w:t>Independent</w:t>
      </w:r>
      <w:r>
        <w:rPr>
          <w:spacing w:val="-6"/>
        </w:rPr>
        <w:t xml:space="preserve"> </w:t>
      </w:r>
      <w:r>
        <w:t>Progress</w:t>
      </w:r>
      <w:r>
        <w:rPr>
          <w:spacing w:val="-5"/>
        </w:rPr>
        <w:t xml:space="preserve"> </w:t>
      </w:r>
      <w:r>
        <w:t>Report</w:t>
      </w:r>
      <w:r>
        <w:rPr>
          <w:spacing w:val="-5"/>
        </w:rPr>
        <w:t xml:space="preserve"> </w:t>
      </w:r>
      <w:r>
        <w:t>of</w:t>
      </w:r>
      <w:r>
        <w:rPr>
          <w:spacing w:val="-6"/>
        </w:rPr>
        <w:t xml:space="preserve"> </w:t>
      </w:r>
      <w:r>
        <w:t>the</w:t>
      </w:r>
      <w:r>
        <w:rPr>
          <w:spacing w:val="-4"/>
        </w:rPr>
        <w:t xml:space="preserve"> </w:t>
      </w:r>
      <w:r>
        <w:t>VAPP,</w:t>
      </w:r>
      <w:r>
        <w:rPr>
          <w:spacing w:val="-5"/>
        </w:rPr>
        <w:t xml:space="preserve"> </w:t>
      </w:r>
      <w:r>
        <w:t>found</w:t>
      </w:r>
      <w:r>
        <w:rPr>
          <w:spacing w:val="-6"/>
        </w:rPr>
        <w:t xml:space="preserve"> </w:t>
      </w:r>
      <w:r>
        <w:rPr>
          <w:spacing w:val="-4"/>
        </w:rPr>
        <w:t>that</w:t>
      </w:r>
    </w:p>
    <w:p w14:paraId="291D15A7" w14:textId="77777777" w:rsidR="009C36E3" w:rsidRDefault="000E7207">
      <w:pPr>
        <w:pStyle w:val="BodyText"/>
        <w:spacing w:before="121"/>
        <w:ind w:left="1128" w:right="126"/>
      </w:pPr>
      <w:r>
        <w:t>without continued financial support, many VAPP-funded activities are unlikely to continue and VAPP-funded equipment will not be adequately maintained. With their generous funding, VAPP has created some unrealistic expectations within the VPF of the services it, the VPF, can deliver. It could even be argued that the VAPP has decreased</w:t>
      </w:r>
      <w:r>
        <w:rPr>
          <w:spacing w:val="-2"/>
        </w:rPr>
        <w:t xml:space="preserve"> </w:t>
      </w:r>
      <w:r>
        <w:t>VPF</w:t>
      </w:r>
      <w:r>
        <w:rPr>
          <w:spacing w:val="-3"/>
        </w:rPr>
        <w:t xml:space="preserve"> </w:t>
      </w:r>
      <w:r>
        <w:t>sustainability</w:t>
      </w:r>
      <w:r>
        <w:rPr>
          <w:spacing w:val="-3"/>
        </w:rPr>
        <w:t xml:space="preserve"> </w:t>
      </w:r>
      <w:r>
        <w:t>by</w:t>
      </w:r>
      <w:r>
        <w:rPr>
          <w:spacing w:val="-3"/>
        </w:rPr>
        <w:t xml:space="preserve"> </w:t>
      </w:r>
      <w:r>
        <w:t>creating</w:t>
      </w:r>
      <w:r>
        <w:rPr>
          <w:spacing w:val="-4"/>
        </w:rPr>
        <w:t xml:space="preserve"> </w:t>
      </w:r>
      <w:r>
        <w:t>high</w:t>
      </w:r>
      <w:r>
        <w:rPr>
          <w:spacing w:val="-2"/>
        </w:rPr>
        <w:t xml:space="preserve"> </w:t>
      </w:r>
      <w:r>
        <w:t>expectations</w:t>
      </w:r>
      <w:r>
        <w:rPr>
          <w:spacing w:val="-3"/>
        </w:rPr>
        <w:t xml:space="preserve"> </w:t>
      </w:r>
      <w:r>
        <w:t>and</w:t>
      </w:r>
      <w:r>
        <w:rPr>
          <w:spacing w:val="-2"/>
        </w:rPr>
        <w:t xml:space="preserve"> </w:t>
      </w:r>
      <w:r>
        <w:t>an</w:t>
      </w:r>
      <w:r>
        <w:rPr>
          <w:spacing w:val="-2"/>
        </w:rPr>
        <w:t xml:space="preserve"> </w:t>
      </w:r>
      <w:r>
        <w:t>increased</w:t>
      </w:r>
      <w:r>
        <w:rPr>
          <w:spacing w:val="-2"/>
        </w:rPr>
        <w:t xml:space="preserve"> </w:t>
      </w:r>
      <w:r>
        <w:t>logistical</w:t>
      </w:r>
      <w:r>
        <w:rPr>
          <w:spacing w:val="-3"/>
        </w:rPr>
        <w:t xml:space="preserve"> </w:t>
      </w:r>
      <w:r>
        <w:t>burden.</w:t>
      </w:r>
      <w:r>
        <w:rPr>
          <w:spacing w:val="-4"/>
        </w:rPr>
        <w:t xml:space="preserve"> </w:t>
      </w:r>
      <w:r>
        <w:t>The</w:t>
      </w:r>
      <w:r>
        <w:rPr>
          <w:spacing w:val="-4"/>
        </w:rPr>
        <w:t xml:space="preserve"> </w:t>
      </w:r>
      <w:r>
        <w:t>team</w:t>
      </w:r>
      <w:r>
        <w:rPr>
          <w:spacing w:val="-2"/>
        </w:rPr>
        <w:t xml:space="preserve"> </w:t>
      </w:r>
      <w:r>
        <w:t>found that the VAPP’s ‘police post’ scheme is unsustainable. Significant and enduring Australian monetary support will be required to maintain its current personnel levels and policing activities (Edmanley, A. et.al., 2012).</w:t>
      </w:r>
    </w:p>
    <w:p w14:paraId="5BD46F73" w14:textId="77777777" w:rsidR="009C36E3" w:rsidRDefault="000E7207">
      <w:pPr>
        <w:pStyle w:val="BodyText"/>
        <w:spacing w:before="120"/>
        <w:ind w:right="167"/>
      </w:pPr>
      <w:r>
        <w:t>While it is likely that GoV policing and justice functions will continue to be under resourced, and it appears likely that GoA will need to continue to provide support to the policing, law and justice sector in Vanuatu for the foreseeable</w:t>
      </w:r>
      <w:r>
        <w:rPr>
          <w:spacing w:val="-4"/>
        </w:rPr>
        <w:t xml:space="preserve"> </w:t>
      </w:r>
      <w:r>
        <w:t>future,</w:t>
      </w:r>
      <w:r>
        <w:rPr>
          <w:spacing w:val="-1"/>
        </w:rPr>
        <w:t xml:space="preserve"> </w:t>
      </w:r>
      <w:r>
        <w:t>VAPJP</w:t>
      </w:r>
      <w:r>
        <w:rPr>
          <w:spacing w:val="-2"/>
        </w:rPr>
        <w:t xml:space="preserve"> </w:t>
      </w:r>
      <w:r>
        <w:t>has</w:t>
      </w:r>
      <w:r>
        <w:rPr>
          <w:spacing w:val="-3"/>
        </w:rPr>
        <w:t xml:space="preserve"> </w:t>
      </w:r>
      <w:r>
        <w:t>promoted</w:t>
      </w:r>
      <w:r>
        <w:rPr>
          <w:spacing w:val="-4"/>
        </w:rPr>
        <w:t xml:space="preserve"> </w:t>
      </w:r>
      <w:r>
        <w:t>ownership</w:t>
      </w:r>
      <w:r>
        <w:rPr>
          <w:spacing w:val="-4"/>
        </w:rPr>
        <w:t xml:space="preserve"> </w:t>
      </w:r>
      <w:r>
        <w:t>and</w:t>
      </w:r>
      <w:r>
        <w:rPr>
          <w:spacing w:val="-4"/>
        </w:rPr>
        <w:t xml:space="preserve"> </w:t>
      </w:r>
      <w:r>
        <w:t>sustainability</w:t>
      </w:r>
      <w:r>
        <w:rPr>
          <w:spacing w:val="-3"/>
        </w:rPr>
        <w:t xml:space="preserve"> </w:t>
      </w:r>
      <w:r>
        <w:t>to</w:t>
      </w:r>
      <w:r>
        <w:rPr>
          <w:spacing w:val="-4"/>
        </w:rPr>
        <w:t xml:space="preserve"> </w:t>
      </w:r>
      <w:r>
        <w:t>varying degrees</w:t>
      </w:r>
      <w:r>
        <w:rPr>
          <w:spacing w:val="-3"/>
        </w:rPr>
        <w:t xml:space="preserve"> </w:t>
      </w:r>
      <w:r>
        <w:t>and</w:t>
      </w:r>
      <w:r>
        <w:rPr>
          <w:spacing w:val="-2"/>
        </w:rPr>
        <w:t xml:space="preserve"> </w:t>
      </w:r>
      <w:r>
        <w:t>can</w:t>
      </w:r>
      <w:r>
        <w:rPr>
          <w:spacing w:val="-4"/>
        </w:rPr>
        <w:t xml:space="preserve"> </w:t>
      </w:r>
      <w:r>
        <w:t>support</w:t>
      </w:r>
      <w:r>
        <w:rPr>
          <w:spacing w:val="-4"/>
        </w:rPr>
        <w:t xml:space="preserve"> </w:t>
      </w:r>
      <w:r>
        <w:t>shifts in other areas, such as changes in laws, or knowledge, attitudes and practices that will have lasting impacts on the way people operate within these systems.</w:t>
      </w:r>
    </w:p>
    <w:p w14:paraId="7FC46910" w14:textId="77777777" w:rsidR="009C36E3" w:rsidRDefault="000E7207">
      <w:pPr>
        <w:pStyle w:val="BodyText"/>
        <w:spacing w:before="120"/>
      </w:pPr>
      <w:r>
        <w:t>Sustainability has</w:t>
      </w:r>
      <w:r>
        <w:rPr>
          <w:spacing w:val="-3"/>
        </w:rPr>
        <w:t xml:space="preserve"> </w:t>
      </w:r>
      <w:r>
        <w:t>not</w:t>
      </w:r>
      <w:r>
        <w:rPr>
          <w:spacing w:val="-4"/>
        </w:rPr>
        <w:t xml:space="preserve"> </w:t>
      </w:r>
      <w:r>
        <w:t>been</w:t>
      </w:r>
      <w:r>
        <w:rPr>
          <w:spacing w:val="-2"/>
        </w:rPr>
        <w:t xml:space="preserve"> </w:t>
      </w:r>
      <w:r>
        <w:t>a</w:t>
      </w:r>
      <w:r>
        <w:rPr>
          <w:spacing w:val="-4"/>
        </w:rPr>
        <w:t xml:space="preserve"> </w:t>
      </w:r>
      <w:r>
        <w:t>strong</w:t>
      </w:r>
      <w:r>
        <w:rPr>
          <w:spacing w:val="-4"/>
        </w:rPr>
        <w:t xml:space="preserve"> </w:t>
      </w:r>
      <w:r>
        <w:t>focus</w:t>
      </w:r>
      <w:r>
        <w:rPr>
          <w:spacing w:val="-3"/>
        </w:rPr>
        <w:t xml:space="preserve"> </w:t>
      </w:r>
      <w:r>
        <w:t>of</w:t>
      </w:r>
      <w:r>
        <w:rPr>
          <w:spacing w:val="-4"/>
        </w:rPr>
        <w:t xml:space="preserve"> </w:t>
      </w:r>
      <w:r>
        <w:t>the</w:t>
      </w:r>
      <w:r>
        <w:rPr>
          <w:spacing w:val="-2"/>
        </w:rPr>
        <w:t xml:space="preserve"> </w:t>
      </w:r>
      <w:r>
        <w:t>program</w:t>
      </w:r>
      <w:r>
        <w:rPr>
          <w:spacing w:val="-4"/>
        </w:rPr>
        <w:t xml:space="preserve"> </w:t>
      </w:r>
      <w:r>
        <w:t>and</w:t>
      </w:r>
      <w:r>
        <w:rPr>
          <w:spacing w:val="-4"/>
        </w:rPr>
        <w:t xml:space="preserve"> </w:t>
      </w:r>
      <w:r>
        <w:t>this</w:t>
      </w:r>
      <w:r>
        <w:rPr>
          <w:spacing w:val="-3"/>
        </w:rPr>
        <w:t xml:space="preserve"> </w:t>
      </w:r>
      <w:r>
        <w:t>can</w:t>
      </w:r>
      <w:r>
        <w:rPr>
          <w:spacing w:val="-2"/>
        </w:rPr>
        <w:t xml:space="preserve"> </w:t>
      </w:r>
      <w:r>
        <w:t>in</w:t>
      </w:r>
      <w:r>
        <w:rPr>
          <w:spacing w:val="-2"/>
        </w:rPr>
        <w:t xml:space="preserve"> </w:t>
      </w:r>
      <w:r>
        <w:t>part</w:t>
      </w:r>
      <w:r>
        <w:rPr>
          <w:spacing w:val="-4"/>
        </w:rPr>
        <w:t xml:space="preserve"> </w:t>
      </w:r>
      <w:r>
        <w:t>be</w:t>
      </w:r>
      <w:r>
        <w:rPr>
          <w:spacing w:val="-4"/>
        </w:rPr>
        <w:t xml:space="preserve"> </w:t>
      </w:r>
      <w:r>
        <w:t>explained</w:t>
      </w:r>
      <w:r>
        <w:rPr>
          <w:spacing w:val="-2"/>
        </w:rPr>
        <w:t xml:space="preserve"> </w:t>
      </w:r>
      <w:r>
        <w:t>through the</w:t>
      </w:r>
      <w:r>
        <w:rPr>
          <w:spacing w:val="-4"/>
        </w:rPr>
        <w:t xml:space="preserve"> </w:t>
      </w:r>
      <w:r>
        <w:t>challenging context of continuing GoV instability and lack of substantive leadership of MJCS. However, there are a range of</w:t>
      </w:r>
    </w:p>
    <w:p w14:paraId="2CFF864C" w14:textId="77777777" w:rsidR="009C36E3" w:rsidRDefault="009C36E3">
      <w:pPr>
        <w:sectPr w:rsidR="009C36E3">
          <w:pgSz w:w="11910" w:h="16850"/>
          <w:pgMar w:top="1040" w:right="740" w:bottom="740" w:left="80" w:header="552" w:footer="559" w:gutter="0"/>
          <w:cols w:space="720"/>
        </w:sectPr>
      </w:pPr>
    </w:p>
    <w:p w14:paraId="61CFD245" w14:textId="77777777" w:rsidR="009C36E3" w:rsidRDefault="000E7207">
      <w:pPr>
        <w:pStyle w:val="BodyText"/>
        <w:spacing w:before="91"/>
        <w:ind w:right="167"/>
      </w:pPr>
      <w:r>
        <w:t>positive examples of supporting improved ownership and sustainability through greater engagement with chiefs to promote sustainable access to justice solutions; the encouragement of VPF to undertake their own fire investigations building on experience gained with international experts when investigating the Chiefs Nakamal fire in Port Vila, and working toward re-accreditation of the PTC with the VQA. Some other examples cited in reports include VPF self-identification of priority for development of Asset Management Policy with focus on Fleet Management</w:t>
      </w:r>
      <w:r>
        <w:rPr>
          <w:spacing w:val="-2"/>
        </w:rPr>
        <w:t xml:space="preserve"> </w:t>
      </w:r>
      <w:r>
        <w:t>support</w:t>
      </w:r>
      <w:r>
        <w:rPr>
          <w:spacing w:val="-4"/>
        </w:rPr>
        <w:t xml:space="preserve"> </w:t>
      </w:r>
      <w:r>
        <w:t>at</w:t>
      </w:r>
      <w:r>
        <w:rPr>
          <w:spacing w:val="-2"/>
        </w:rPr>
        <w:t xml:space="preserve"> </w:t>
      </w:r>
      <w:r>
        <w:t>a</w:t>
      </w:r>
      <w:r>
        <w:rPr>
          <w:spacing w:val="-4"/>
        </w:rPr>
        <w:t xml:space="preserve"> </w:t>
      </w:r>
      <w:r>
        <w:t>national</w:t>
      </w:r>
      <w:r>
        <w:rPr>
          <w:spacing w:val="-5"/>
        </w:rPr>
        <w:t xml:space="preserve"> </w:t>
      </w:r>
      <w:r>
        <w:t>level,</w:t>
      </w:r>
      <w:r>
        <w:rPr>
          <w:spacing w:val="-2"/>
        </w:rPr>
        <w:t xml:space="preserve"> </w:t>
      </w:r>
      <w:r>
        <w:t>Maintenance</w:t>
      </w:r>
      <w:r>
        <w:rPr>
          <w:spacing w:val="-2"/>
        </w:rPr>
        <w:t xml:space="preserve"> </w:t>
      </w:r>
      <w:r>
        <w:t>of</w:t>
      </w:r>
      <w:r>
        <w:rPr>
          <w:spacing w:val="-4"/>
        </w:rPr>
        <w:t xml:space="preserve"> </w:t>
      </w:r>
      <w:r>
        <w:t>Courts</w:t>
      </w:r>
      <w:r>
        <w:rPr>
          <w:spacing w:val="-3"/>
        </w:rPr>
        <w:t xml:space="preserve"> </w:t>
      </w:r>
      <w:r>
        <w:t>Management</w:t>
      </w:r>
      <w:r>
        <w:rPr>
          <w:spacing w:val="-4"/>
        </w:rPr>
        <w:t xml:space="preserve"> </w:t>
      </w:r>
      <w:r>
        <w:t>Systems</w:t>
      </w:r>
      <w:r>
        <w:rPr>
          <w:spacing w:val="-3"/>
        </w:rPr>
        <w:t xml:space="preserve"> </w:t>
      </w:r>
      <w:r>
        <w:t>and</w:t>
      </w:r>
      <w:r>
        <w:rPr>
          <w:spacing w:val="-2"/>
        </w:rPr>
        <w:t xml:space="preserve"> </w:t>
      </w:r>
      <w:r>
        <w:t>Super-User</w:t>
      </w:r>
      <w:r>
        <w:rPr>
          <w:spacing w:val="-3"/>
        </w:rPr>
        <w:t xml:space="preserve"> </w:t>
      </w:r>
      <w:r>
        <w:t>training</w:t>
      </w:r>
      <w:r>
        <w:rPr>
          <w:spacing w:val="-4"/>
        </w:rPr>
        <w:t xml:space="preserve"> </w:t>
      </w:r>
      <w:r>
        <w:t>by the Courts ICT and Technology Systems Officer, previously delivered through VAPJP. However, there are opportunities to promote greater attention to sustainability by including it as a higher priority in programming, and capturing shifts in attitudes and behaviours through the MERL.</w:t>
      </w:r>
    </w:p>
    <w:p w14:paraId="7CC297E6" w14:textId="77777777" w:rsidR="009C36E3" w:rsidRDefault="000E7207">
      <w:pPr>
        <w:pStyle w:val="BodyText"/>
        <w:spacing w:before="122"/>
        <w:ind w:right="120"/>
      </w:pPr>
      <w:r>
        <w:t>The work of the AFP advisor at the Police College is very much appreciated by VPF officers. However, there are four key factors that the MTR team were advised by various VPF officers that could make police training more sustainable and improve ownership. These are deploying an AFP adviser with a policing education (rather than community policing background), a greater emphasis on utilising a Train the Trainer approach and undertaking trainings in Bislama rather than English, and where possible decentralising training. This would ensure better participation</w:t>
      </w:r>
      <w:r>
        <w:rPr>
          <w:spacing w:val="-1"/>
        </w:rPr>
        <w:t xml:space="preserve"> </w:t>
      </w:r>
      <w:r>
        <w:t>by</w:t>
      </w:r>
      <w:r>
        <w:rPr>
          <w:spacing w:val="-2"/>
        </w:rPr>
        <w:t xml:space="preserve"> </w:t>
      </w:r>
      <w:r>
        <w:t>women,</w:t>
      </w:r>
      <w:r>
        <w:rPr>
          <w:spacing w:val="-3"/>
        </w:rPr>
        <w:t xml:space="preserve"> </w:t>
      </w:r>
      <w:r>
        <w:t>people</w:t>
      </w:r>
      <w:r>
        <w:rPr>
          <w:spacing w:val="-3"/>
        </w:rPr>
        <w:t xml:space="preserve"> </w:t>
      </w:r>
      <w:r>
        <w:t>living</w:t>
      </w:r>
      <w:r>
        <w:rPr>
          <w:spacing w:val="-3"/>
        </w:rPr>
        <w:t xml:space="preserve"> </w:t>
      </w:r>
      <w:r>
        <w:t>with</w:t>
      </w:r>
      <w:r>
        <w:rPr>
          <w:spacing w:val="-3"/>
        </w:rPr>
        <w:t xml:space="preserve"> </w:t>
      </w:r>
      <w:r>
        <w:t>disability,</w:t>
      </w:r>
      <w:r>
        <w:rPr>
          <w:spacing w:val="-3"/>
        </w:rPr>
        <w:t xml:space="preserve"> </w:t>
      </w:r>
      <w:r>
        <w:t>and</w:t>
      </w:r>
      <w:r>
        <w:rPr>
          <w:spacing w:val="-3"/>
        </w:rPr>
        <w:t xml:space="preserve"> </w:t>
      </w:r>
      <w:r>
        <w:t>others</w:t>
      </w:r>
      <w:r>
        <w:rPr>
          <w:spacing w:val="-2"/>
        </w:rPr>
        <w:t xml:space="preserve"> </w:t>
      </w:r>
      <w:r>
        <w:t>from</w:t>
      </w:r>
      <w:r>
        <w:rPr>
          <w:spacing w:val="-3"/>
        </w:rPr>
        <w:t xml:space="preserve"> </w:t>
      </w:r>
      <w:r>
        <w:t>regional</w:t>
      </w:r>
      <w:r>
        <w:rPr>
          <w:spacing w:val="-2"/>
        </w:rPr>
        <w:t xml:space="preserve"> </w:t>
      </w:r>
      <w:r>
        <w:t>area</w:t>
      </w:r>
      <w:r>
        <w:rPr>
          <w:spacing w:val="-3"/>
        </w:rPr>
        <w:t xml:space="preserve"> </w:t>
      </w:r>
      <w:r>
        <w:t>who</w:t>
      </w:r>
      <w:r>
        <w:rPr>
          <w:spacing w:val="-1"/>
        </w:rPr>
        <w:t xml:space="preserve"> </w:t>
      </w:r>
      <w:r>
        <w:t>may</w:t>
      </w:r>
      <w:r>
        <w:rPr>
          <w:spacing w:val="-2"/>
        </w:rPr>
        <w:t xml:space="preserve"> </w:t>
      </w:r>
      <w:r>
        <w:t>face</w:t>
      </w:r>
      <w:r>
        <w:rPr>
          <w:spacing w:val="-3"/>
        </w:rPr>
        <w:t xml:space="preserve"> </w:t>
      </w:r>
      <w:r>
        <w:t>barriers</w:t>
      </w:r>
      <w:r>
        <w:rPr>
          <w:spacing w:val="-2"/>
        </w:rPr>
        <w:t xml:space="preserve"> </w:t>
      </w:r>
      <w:r>
        <w:t>to</w:t>
      </w:r>
      <w:r>
        <w:rPr>
          <w:spacing w:val="-1"/>
        </w:rPr>
        <w:t xml:space="preserve"> </w:t>
      </w:r>
      <w:r>
        <w:t>travel.</w:t>
      </w:r>
    </w:p>
    <w:p w14:paraId="504A55E7" w14:textId="77777777" w:rsidR="009C36E3" w:rsidRDefault="000E7207">
      <w:pPr>
        <w:pStyle w:val="BodyText"/>
        <w:spacing w:before="120"/>
        <w:ind w:right="192"/>
      </w:pPr>
      <w:r>
        <w:t>In interview, VPF staff noted their appreciation for the contribution of the current police advisor but suggested that in future and for the new design it will be important to deploy an advisor with a more appropriate /relevant education</w:t>
      </w:r>
      <w:r>
        <w:rPr>
          <w:spacing w:val="-2"/>
        </w:rPr>
        <w:t xml:space="preserve"> </w:t>
      </w:r>
      <w:r>
        <w:t>and</w:t>
      </w:r>
      <w:r>
        <w:rPr>
          <w:spacing w:val="-3"/>
        </w:rPr>
        <w:t xml:space="preserve"> </w:t>
      </w:r>
      <w:r>
        <w:t>training</w:t>
      </w:r>
      <w:r>
        <w:rPr>
          <w:spacing w:val="-2"/>
        </w:rPr>
        <w:t xml:space="preserve"> </w:t>
      </w:r>
      <w:r>
        <w:t>background</w:t>
      </w:r>
      <w:r>
        <w:rPr>
          <w:spacing w:val="-3"/>
        </w:rPr>
        <w:t xml:space="preserve"> </w:t>
      </w:r>
      <w:r>
        <w:t>who</w:t>
      </w:r>
      <w:r>
        <w:rPr>
          <w:spacing w:val="-3"/>
        </w:rPr>
        <w:t xml:space="preserve"> </w:t>
      </w:r>
      <w:r>
        <w:t>can</w:t>
      </w:r>
      <w:r>
        <w:rPr>
          <w:spacing w:val="-2"/>
        </w:rPr>
        <w:t xml:space="preserve"> </w:t>
      </w:r>
      <w:r>
        <w:t>advise</w:t>
      </w:r>
      <w:r>
        <w:rPr>
          <w:spacing w:val="-3"/>
        </w:rPr>
        <w:t xml:space="preserve"> </w:t>
      </w:r>
      <w:r>
        <w:t>them</w:t>
      </w:r>
      <w:r>
        <w:rPr>
          <w:spacing w:val="-3"/>
        </w:rPr>
        <w:t xml:space="preserve"> </w:t>
      </w:r>
      <w:r>
        <w:t>on</w:t>
      </w:r>
      <w:r>
        <w:rPr>
          <w:spacing w:val="-2"/>
        </w:rPr>
        <w:t xml:space="preserve"> </w:t>
      </w:r>
      <w:r>
        <w:t>the</w:t>
      </w:r>
      <w:r>
        <w:rPr>
          <w:spacing w:val="-3"/>
        </w:rPr>
        <w:t xml:space="preserve"> </w:t>
      </w:r>
      <w:r>
        <w:t>specifics</w:t>
      </w:r>
      <w:r>
        <w:rPr>
          <w:spacing w:val="-3"/>
        </w:rPr>
        <w:t xml:space="preserve"> </w:t>
      </w:r>
      <w:r>
        <w:t>of</w:t>
      </w:r>
      <w:r>
        <w:rPr>
          <w:spacing w:val="-3"/>
        </w:rPr>
        <w:t xml:space="preserve"> </w:t>
      </w:r>
      <w:r>
        <w:t>e.g.,</w:t>
      </w:r>
      <w:r>
        <w:rPr>
          <w:spacing w:val="-3"/>
        </w:rPr>
        <w:t xml:space="preserve"> </w:t>
      </w:r>
      <w:r>
        <w:t>their</w:t>
      </w:r>
      <w:r>
        <w:rPr>
          <w:spacing w:val="-3"/>
        </w:rPr>
        <w:t xml:space="preserve"> </w:t>
      </w:r>
      <w:r>
        <w:t>challenges</w:t>
      </w:r>
      <w:r>
        <w:rPr>
          <w:spacing w:val="-3"/>
        </w:rPr>
        <w:t xml:space="preserve"> </w:t>
      </w:r>
      <w:r>
        <w:t>with</w:t>
      </w:r>
      <w:r>
        <w:rPr>
          <w:spacing w:val="-3"/>
        </w:rPr>
        <w:t xml:space="preserve"> </w:t>
      </w:r>
      <w:r>
        <w:t>getting</w:t>
      </w:r>
      <w:r>
        <w:rPr>
          <w:spacing w:val="-2"/>
        </w:rPr>
        <w:t xml:space="preserve"> </w:t>
      </w:r>
      <w:r>
        <w:t>VQA accreditation and development of curriculum. Although police advisers report challenges with getting VPF to undertake and complete instructor courses, it would be good practice to focus in the future on training the trainer and delivery of course materials in Bislama rather than English. Collectively, these inter-related issues are frequently the subject of recommendations of evaluations of policing programs. While on this occasion the mismatch of background and responsibilities of the AFP advisor are in the area of the Police College, this is an issue that historically occurs in a variety of thematic areas in police missions. Decentralising trainings was particularly noted by the WAN as a way that female participation in training could be improved, as it would reduce</w:t>
      </w:r>
    </w:p>
    <w:p w14:paraId="4ECE68CB" w14:textId="77777777" w:rsidR="009C36E3" w:rsidRDefault="000E7207">
      <w:pPr>
        <w:pStyle w:val="BodyText"/>
      </w:pPr>
      <w:r>
        <w:t>pressure</w:t>
      </w:r>
      <w:r>
        <w:rPr>
          <w:spacing w:val="-8"/>
        </w:rPr>
        <w:t xml:space="preserve"> </w:t>
      </w:r>
      <w:r>
        <w:t>on</w:t>
      </w:r>
      <w:r>
        <w:rPr>
          <w:spacing w:val="-7"/>
        </w:rPr>
        <w:t xml:space="preserve"> </w:t>
      </w:r>
      <w:r>
        <w:t>female</w:t>
      </w:r>
      <w:r>
        <w:rPr>
          <w:spacing w:val="-5"/>
        </w:rPr>
        <w:t xml:space="preserve"> </w:t>
      </w:r>
      <w:r>
        <w:t>officers</w:t>
      </w:r>
      <w:r>
        <w:rPr>
          <w:spacing w:val="-6"/>
        </w:rPr>
        <w:t xml:space="preserve"> </w:t>
      </w:r>
      <w:r>
        <w:t>with</w:t>
      </w:r>
      <w:r>
        <w:rPr>
          <w:spacing w:val="-5"/>
        </w:rPr>
        <w:t xml:space="preserve"> </w:t>
      </w:r>
      <w:r>
        <w:t>family</w:t>
      </w:r>
      <w:r>
        <w:rPr>
          <w:spacing w:val="-7"/>
        </w:rPr>
        <w:t xml:space="preserve"> </w:t>
      </w:r>
      <w:r>
        <w:t>responsibilities</w:t>
      </w:r>
      <w:r>
        <w:rPr>
          <w:spacing w:val="-3"/>
        </w:rPr>
        <w:t xml:space="preserve"> </w:t>
      </w:r>
      <w:r>
        <w:t>who</w:t>
      </w:r>
      <w:r>
        <w:rPr>
          <w:spacing w:val="-7"/>
        </w:rPr>
        <w:t xml:space="preserve"> </w:t>
      </w:r>
      <w:r>
        <w:t>are</w:t>
      </w:r>
      <w:r>
        <w:rPr>
          <w:spacing w:val="-6"/>
        </w:rPr>
        <w:t xml:space="preserve"> </w:t>
      </w:r>
      <w:r>
        <w:t>reluctant</w:t>
      </w:r>
      <w:r>
        <w:rPr>
          <w:spacing w:val="-5"/>
        </w:rPr>
        <w:t xml:space="preserve"> </w:t>
      </w:r>
      <w:r>
        <w:t>to</w:t>
      </w:r>
      <w:r>
        <w:rPr>
          <w:spacing w:val="-7"/>
        </w:rPr>
        <w:t xml:space="preserve"> </w:t>
      </w:r>
      <w:r>
        <w:t>spend</w:t>
      </w:r>
      <w:r>
        <w:rPr>
          <w:spacing w:val="-5"/>
        </w:rPr>
        <w:t xml:space="preserve"> </w:t>
      </w:r>
      <w:r>
        <w:t>time</w:t>
      </w:r>
      <w:r>
        <w:rPr>
          <w:spacing w:val="-6"/>
        </w:rPr>
        <w:t xml:space="preserve"> </w:t>
      </w:r>
      <w:r>
        <w:t>away</w:t>
      </w:r>
      <w:r>
        <w:rPr>
          <w:spacing w:val="-3"/>
        </w:rPr>
        <w:t xml:space="preserve"> </w:t>
      </w:r>
      <w:r>
        <w:t>on</w:t>
      </w:r>
      <w:r>
        <w:rPr>
          <w:spacing w:val="-7"/>
        </w:rPr>
        <w:t xml:space="preserve"> </w:t>
      </w:r>
      <w:r>
        <w:t>training</w:t>
      </w:r>
      <w:r>
        <w:rPr>
          <w:spacing w:val="-5"/>
        </w:rPr>
        <w:t xml:space="preserve"> </w:t>
      </w:r>
      <w:r>
        <w:t>in</w:t>
      </w:r>
      <w:r>
        <w:rPr>
          <w:spacing w:val="-8"/>
        </w:rPr>
        <w:t xml:space="preserve"> </w:t>
      </w:r>
      <w:r>
        <w:t>Port</w:t>
      </w:r>
      <w:r>
        <w:rPr>
          <w:spacing w:val="-7"/>
        </w:rPr>
        <w:t xml:space="preserve"> </w:t>
      </w:r>
      <w:r>
        <w:rPr>
          <w:spacing w:val="-2"/>
        </w:rPr>
        <w:t>Vila.</w:t>
      </w:r>
    </w:p>
    <w:p w14:paraId="5F970079" w14:textId="77777777" w:rsidR="009C36E3" w:rsidRDefault="009C36E3">
      <w:pPr>
        <w:sectPr w:rsidR="009C36E3">
          <w:pgSz w:w="11910" w:h="16850"/>
          <w:pgMar w:top="1040" w:right="740" w:bottom="740" w:left="80" w:header="552" w:footer="559" w:gutter="0"/>
          <w:cols w:space="720"/>
        </w:sectPr>
      </w:pPr>
    </w:p>
    <w:p w14:paraId="3EF9FBCC" w14:textId="77777777" w:rsidR="009C36E3" w:rsidRDefault="000E7207" w:rsidP="00E84525">
      <w:pPr>
        <w:pStyle w:val="Heading1"/>
        <w:numPr>
          <w:ilvl w:val="0"/>
          <w:numId w:val="33"/>
        </w:numPr>
      </w:pPr>
      <w:bookmarkStart w:id="56" w:name="4_Future_focus"/>
      <w:bookmarkStart w:id="57" w:name="_bookmark43"/>
      <w:bookmarkEnd w:id="56"/>
      <w:bookmarkEnd w:id="57"/>
      <w:r>
        <w:t>Future</w:t>
      </w:r>
      <w:r>
        <w:rPr>
          <w:spacing w:val="-4"/>
        </w:rPr>
        <w:t xml:space="preserve"> focus</w:t>
      </w:r>
    </w:p>
    <w:p w14:paraId="173D92C9" w14:textId="77777777" w:rsidR="009C36E3" w:rsidRDefault="000E7207">
      <w:pPr>
        <w:pStyle w:val="BodyText"/>
        <w:spacing w:before="261"/>
      </w:pPr>
      <w:r>
        <w:t>This</w:t>
      </w:r>
      <w:r>
        <w:rPr>
          <w:spacing w:val="-2"/>
        </w:rPr>
        <w:t xml:space="preserve"> </w:t>
      </w:r>
      <w:r>
        <w:t>section</w:t>
      </w:r>
      <w:r>
        <w:rPr>
          <w:spacing w:val="-3"/>
        </w:rPr>
        <w:t xml:space="preserve"> </w:t>
      </w:r>
      <w:r>
        <w:t>focuses on</w:t>
      </w:r>
      <w:r>
        <w:rPr>
          <w:spacing w:val="-3"/>
        </w:rPr>
        <w:t xml:space="preserve"> </w:t>
      </w:r>
      <w:r>
        <w:rPr>
          <w:b/>
        </w:rPr>
        <w:t>KRQ4:</w:t>
      </w:r>
      <w:r>
        <w:rPr>
          <w:b/>
          <w:spacing w:val="-2"/>
        </w:rPr>
        <w:t xml:space="preserve"> </w:t>
      </w:r>
      <w:r>
        <w:t>What</w:t>
      </w:r>
      <w:r>
        <w:rPr>
          <w:spacing w:val="-3"/>
        </w:rPr>
        <w:t xml:space="preserve"> </w:t>
      </w:r>
      <w:r>
        <w:t>opportunities</w:t>
      </w:r>
      <w:r>
        <w:rPr>
          <w:spacing w:val="-2"/>
        </w:rPr>
        <w:t xml:space="preserve"> </w:t>
      </w:r>
      <w:r>
        <w:t>are</w:t>
      </w:r>
      <w:r>
        <w:rPr>
          <w:spacing w:val="-1"/>
        </w:rPr>
        <w:t xml:space="preserve"> </w:t>
      </w:r>
      <w:r>
        <w:t>there</w:t>
      </w:r>
      <w:r>
        <w:rPr>
          <w:spacing w:val="-3"/>
        </w:rPr>
        <w:t xml:space="preserve"> </w:t>
      </w:r>
      <w:r>
        <w:t>for</w:t>
      </w:r>
      <w:r>
        <w:rPr>
          <w:spacing w:val="-2"/>
        </w:rPr>
        <w:t xml:space="preserve"> </w:t>
      </w:r>
      <w:r>
        <w:t>Australia</w:t>
      </w:r>
      <w:r>
        <w:rPr>
          <w:spacing w:val="-3"/>
        </w:rPr>
        <w:t xml:space="preserve"> </w:t>
      </w:r>
      <w:r>
        <w:t>to</w:t>
      </w:r>
      <w:r>
        <w:rPr>
          <w:spacing w:val="-3"/>
        </w:rPr>
        <w:t xml:space="preserve"> </w:t>
      </w:r>
      <w:r>
        <w:t>contribute</w:t>
      </w:r>
      <w:r>
        <w:rPr>
          <w:spacing w:val="-1"/>
        </w:rPr>
        <w:t xml:space="preserve"> </w:t>
      </w:r>
      <w:r>
        <w:t>to</w:t>
      </w:r>
      <w:r>
        <w:rPr>
          <w:spacing w:val="-3"/>
        </w:rPr>
        <w:t xml:space="preserve"> </w:t>
      </w:r>
      <w:r>
        <w:t>the</w:t>
      </w:r>
      <w:r>
        <w:rPr>
          <w:spacing w:val="-1"/>
        </w:rPr>
        <w:t xml:space="preserve"> </w:t>
      </w:r>
      <w:r>
        <w:t>Vanuatu</w:t>
      </w:r>
      <w:r>
        <w:rPr>
          <w:spacing w:val="-3"/>
        </w:rPr>
        <w:t xml:space="preserve"> </w:t>
      </w:r>
      <w:r>
        <w:t>policing</w:t>
      </w:r>
      <w:r>
        <w:rPr>
          <w:spacing w:val="-3"/>
        </w:rPr>
        <w:t xml:space="preserve"> </w:t>
      </w:r>
      <w:r>
        <w:t>and justice sector effectively and efficiently, going forward?</w:t>
      </w:r>
      <w:r>
        <w:rPr>
          <w:b/>
        </w:rPr>
        <w:t xml:space="preserve">. </w:t>
      </w:r>
      <w:r>
        <w:t>It does this through addressing</w:t>
      </w:r>
    </w:p>
    <w:p w14:paraId="3034DC0C" w14:textId="77777777" w:rsidR="009C36E3" w:rsidRDefault="000E7207">
      <w:pPr>
        <w:pStyle w:val="BodyText"/>
        <w:spacing w:before="121"/>
      </w:pPr>
      <w:r>
        <w:t>KRQ</w:t>
      </w:r>
      <w:r>
        <w:rPr>
          <w:spacing w:val="-2"/>
        </w:rPr>
        <w:t xml:space="preserve"> </w:t>
      </w:r>
      <w:r>
        <w:t>4.1</w:t>
      </w:r>
      <w:r>
        <w:rPr>
          <w:spacing w:val="-3"/>
        </w:rPr>
        <w:t xml:space="preserve"> </w:t>
      </w:r>
      <w:r>
        <w:t>For</w:t>
      </w:r>
      <w:r>
        <w:rPr>
          <w:spacing w:val="-2"/>
        </w:rPr>
        <w:t xml:space="preserve"> </w:t>
      </w:r>
      <w:r>
        <w:t>the</w:t>
      </w:r>
      <w:r>
        <w:rPr>
          <w:spacing w:val="-3"/>
        </w:rPr>
        <w:t xml:space="preserve"> </w:t>
      </w:r>
      <w:r>
        <w:t>remaining</w:t>
      </w:r>
      <w:r>
        <w:rPr>
          <w:spacing w:val="-1"/>
        </w:rPr>
        <w:t xml:space="preserve"> </w:t>
      </w:r>
      <w:r>
        <w:t>period</w:t>
      </w:r>
      <w:r>
        <w:rPr>
          <w:spacing w:val="-3"/>
        </w:rPr>
        <w:t xml:space="preserve"> </w:t>
      </w:r>
      <w:r>
        <w:t>of</w:t>
      </w:r>
      <w:r>
        <w:rPr>
          <w:spacing w:val="-1"/>
        </w:rPr>
        <w:t xml:space="preserve"> </w:t>
      </w:r>
      <w:r>
        <w:t>VAPJP</w:t>
      </w:r>
      <w:r>
        <w:rPr>
          <w:spacing w:val="-1"/>
        </w:rPr>
        <w:t xml:space="preserve"> </w:t>
      </w:r>
      <w:r>
        <w:t>(to</w:t>
      </w:r>
      <w:r>
        <w:rPr>
          <w:spacing w:val="-3"/>
        </w:rPr>
        <w:t xml:space="preserve"> </w:t>
      </w:r>
      <w:r>
        <w:t>end</w:t>
      </w:r>
      <w:r>
        <w:rPr>
          <w:spacing w:val="-1"/>
        </w:rPr>
        <w:t xml:space="preserve"> </w:t>
      </w:r>
      <w:r>
        <w:t>2024),</w:t>
      </w:r>
      <w:r>
        <w:rPr>
          <w:spacing w:val="-3"/>
        </w:rPr>
        <w:t xml:space="preserve"> </w:t>
      </w:r>
      <w:r>
        <w:t>what</w:t>
      </w:r>
      <w:r>
        <w:rPr>
          <w:spacing w:val="-3"/>
        </w:rPr>
        <w:t xml:space="preserve"> </w:t>
      </w:r>
      <w:r>
        <w:t>further</w:t>
      </w:r>
      <w:r>
        <w:rPr>
          <w:spacing w:val="-2"/>
        </w:rPr>
        <w:t xml:space="preserve"> </w:t>
      </w:r>
      <w:r>
        <w:t>adaptation</w:t>
      </w:r>
      <w:r>
        <w:rPr>
          <w:spacing w:val="-1"/>
        </w:rPr>
        <w:t xml:space="preserve"> </w:t>
      </w:r>
      <w:r>
        <w:t>is</w:t>
      </w:r>
      <w:r>
        <w:rPr>
          <w:spacing w:val="-2"/>
        </w:rPr>
        <w:t xml:space="preserve"> </w:t>
      </w:r>
      <w:r>
        <w:t>required</w:t>
      </w:r>
      <w:r>
        <w:rPr>
          <w:spacing w:val="-1"/>
        </w:rPr>
        <w:t xml:space="preserve"> </w:t>
      </w:r>
      <w:r>
        <w:t>for</w:t>
      </w:r>
      <w:r>
        <w:rPr>
          <w:spacing w:val="-2"/>
        </w:rPr>
        <w:t xml:space="preserve"> </w:t>
      </w:r>
      <w:r>
        <w:t>the</w:t>
      </w:r>
      <w:r>
        <w:rPr>
          <w:spacing w:val="-3"/>
        </w:rPr>
        <w:t xml:space="preserve"> </w:t>
      </w:r>
      <w:r>
        <w:t>program</w:t>
      </w:r>
      <w:r>
        <w:rPr>
          <w:spacing w:val="-1"/>
        </w:rPr>
        <w:t xml:space="preserve"> </w:t>
      </w:r>
      <w:r>
        <w:t>to remain relevant to security and justice challenges in Vanuatu.</w:t>
      </w:r>
    </w:p>
    <w:p w14:paraId="1E39F43F" w14:textId="77777777" w:rsidR="009C36E3" w:rsidRDefault="000E7207" w:rsidP="00E84525">
      <w:pPr>
        <w:pStyle w:val="Heading2"/>
        <w:numPr>
          <w:ilvl w:val="1"/>
          <w:numId w:val="33"/>
        </w:numPr>
      </w:pPr>
      <w:bookmarkStart w:id="58" w:name="4.1_Adaptations_and_recommendations_unti"/>
      <w:bookmarkStart w:id="59" w:name="_bookmark44"/>
      <w:bookmarkEnd w:id="58"/>
      <w:bookmarkEnd w:id="59"/>
      <w:r>
        <w:t>Adaptations</w:t>
      </w:r>
      <w:r>
        <w:rPr>
          <w:spacing w:val="-7"/>
        </w:rPr>
        <w:t xml:space="preserve"> </w:t>
      </w:r>
      <w:r>
        <w:t>and</w:t>
      </w:r>
      <w:r>
        <w:rPr>
          <w:spacing w:val="-7"/>
        </w:rPr>
        <w:t xml:space="preserve"> </w:t>
      </w:r>
      <w:r>
        <w:t>recommendations</w:t>
      </w:r>
      <w:r>
        <w:rPr>
          <w:spacing w:val="-4"/>
        </w:rPr>
        <w:t xml:space="preserve"> </w:t>
      </w:r>
      <w:r>
        <w:t>until</w:t>
      </w:r>
      <w:r>
        <w:rPr>
          <w:spacing w:val="-5"/>
        </w:rPr>
        <w:t xml:space="preserve"> </w:t>
      </w:r>
      <w:r>
        <w:t>the</w:t>
      </w:r>
      <w:r>
        <w:rPr>
          <w:spacing w:val="-3"/>
        </w:rPr>
        <w:t xml:space="preserve"> </w:t>
      </w:r>
      <w:r>
        <w:t>end</w:t>
      </w:r>
      <w:r>
        <w:rPr>
          <w:spacing w:val="-5"/>
        </w:rPr>
        <w:t xml:space="preserve"> </w:t>
      </w:r>
      <w:r>
        <w:t>of</w:t>
      </w:r>
      <w:r>
        <w:rPr>
          <w:spacing w:val="-4"/>
        </w:rPr>
        <w:t xml:space="preserve"> </w:t>
      </w:r>
      <w:r>
        <w:t>this</w:t>
      </w:r>
      <w:r>
        <w:rPr>
          <w:spacing w:val="-4"/>
        </w:rPr>
        <w:t xml:space="preserve"> </w:t>
      </w:r>
      <w:r>
        <w:t>phase</w:t>
      </w:r>
      <w:r>
        <w:rPr>
          <w:spacing w:val="-3"/>
        </w:rPr>
        <w:t xml:space="preserve"> </w:t>
      </w:r>
      <w:r>
        <w:t>of</w:t>
      </w:r>
      <w:r>
        <w:rPr>
          <w:spacing w:val="-4"/>
        </w:rPr>
        <w:t xml:space="preserve"> VAPJP</w:t>
      </w:r>
    </w:p>
    <w:p w14:paraId="36A46A04" w14:textId="77777777" w:rsidR="00D0734F" w:rsidRDefault="000E7207" w:rsidP="003E2DF2">
      <w:pPr>
        <w:pStyle w:val="BodyText"/>
        <w:spacing w:before="257" w:after="120"/>
      </w:pPr>
      <w:r>
        <w:t>With less than 12 months to run, VAPJP needs to consolidate its successes and identify practical pathways for change</w:t>
      </w:r>
      <w:r>
        <w:rPr>
          <w:spacing w:val="-1"/>
        </w:rPr>
        <w:t xml:space="preserve"> </w:t>
      </w:r>
      <w:r>
        <w:t>for</w:t>
      </w:r>
      <w:r>
        <w:rPr>
          <w:spacing w:val="-2"/>
        </w:rPr>
        <w:t xml:space="preserve"> </w:t>
      </w:r>
      <w:r>
        <w:t>those</w:t>
      </w:r>
      <w:r>
        <w:rPr>
          <w:spacing w:val="-3"/>
        </w:rPr>
        <w:t xml:space="preserve"> </w:t>
      </w:r>
      <w:r>
        <w:t>areas</w:t>
      </w:r>
      <w:r>
        <w:rPr>
          <w:spacing w:val="-2"/>
        </w:rPr>
        <w:t xml:space="preserve"> </w:t>
      </w:r>
      <w:r>
        <w:t>needing</w:t>
      </w:r>
      <w:r>
        <w:rPr>
          <w:spacing w:val="-3"/>
        </w:rPr>
        <w:t xml:space="preserve"> </w:t>
      </w:r>
      <w:r>
        <w:t>long-term</w:t>
      </w:r>
      <w:r>
        <w:rPr>
          <w:spacing w:val="-3"/>
        </w:rPr>
        <w:t xml:space="preserve"> </w:t>
      </w:r>
      <w:r>
        <w:t>support.</w:t>
      </w:r>
      <w:r>
        <w:rPr>
          <w:spacing w:val="-3"/>
        </w:rPr>
        <w:t xml:space="preserve"> </w:t>
      </w:r>
      <w:r>
        <w:t>In</w:t>
      </w:r>
      <w:r>
        <w:rPr>
          <w:spacing w:val="-3"/>
        </w:rPr>
        <w:t xml:space="preserve"> </w:t>
      </w:r>
      <w:r>
        <w:t>this</w:t>
      </w:r>
      <w:r>
        <w:rPr>
          <w:spacing w:val="-2"/>
        </w:rPr>
        <w:t xml:space="preserve"> </w:t>
      </w:r>
      <w:r>
        <w:t>section,</w:t>
      </w:r>
      <w:r>
        <w:rPr>
          <w:spacing w:val="-3"/>
        </w:rPr>
        <w:t xml:space="preserve"> </w:t>
      </w:r>
      <w:r>
        <w:t>the</w:t>
      </w:r>
      <w:r>
        <w:rPr>
          <w:spacing w:val="-3"/>
        </w:rPr>
        <w:t xml:space="preserve"> </w:t>
      </w:r>
      <w:r>
        <w:t>MTR</w:t>
      </w:r>
      <w:r>
        <w:rPr>
          <w:spacing w:val="-3"/>
        </w:rPr>
        <w:t xml:space="preserve"> </w:t>
      </w:r>
      <w:r>
        <w:t>brings findings</w:t>
      </w:r>
      <w:r>
        <w:rPr>
          <w:spacing w:val="-2"/>
        </w:rPr>
        <w:t xml:space="preserve"> </w:t>
      </w:r>
      <w:r>
        <w:t>from</w:t>
      </w:r>
      <w:r>
        <w:rPr>
          <w:spacing w:val="-1"/>
        </w:rPr>
        <w:t xml:space="preserve"> </w:t>
      </w:r>
      <w:r>
        <w:t>across</w:t>
      </w:r>
      <w:r>
        <w:rPr>
          <w:spacing w:val="-2"/>
        </w:rPr>
        <w:t xml:space="preserve"> </w:t>
      </w:r>
      <w:r>
        <w:t>the</w:t>
      </w:r>
      <w:r>
        <w:rPr>
          <w:spacing w:val="-3"/>
        </w:rPr>
        <w:t xml:space="preserve"> </w:t>
      </w:r>
      <w:r>
        <w:t>report together in high level recommendations for actions that should be achievable before the end of the program.</w:t>
      </w:r>
    </w:p>
    <w:p w14:paraId="25F4B4DA" w14:textId="77777777" w:rsidR="00B52505" w:rsidRDefault="00B52505" w:rsidP="00B52505">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257" w:after="120"/>
      </w:pPr>
      <w:r w:rsidRPr="00B52505">
        <w:rPr>
          <w:rFonts w:ascii="Source Sans Pro"/>
          <w:b/>
          <w:color w:val="003478"/>
        </w:rPr>
        <w:t>Recommendation 1</w:t>
      </w:r>
      <w:r>
        <w:t xml:space="preserve">. </w:t>
      </w:r>
      <w:r w:rsidRPr="00B52505">
        <w:rPr>
          <w:rFonts w:ascii="Source Sans Pro"/>
          <w:color w:val="404040"/>
        </w:rPr>
        <w:t xml:space="preserve">The justice stream of VAPJP should strengthen effectiveness by focusing on the </w:t>
      </w:r>
      <w:r w:rsidRPr="00B52505">
        <w:rPr>
          <w:rFonts w:ascii="Source Sans Pro"/>
          <w:color w:val="404040"/>
        </w:rPr>
        <w:t>‘</w:t>
      </w:r>
      <w:r w:rsidRPr="00B52505">
        <w:rPr>
          <w:rFonts w:ascii="Source Sans Pro"/>
          <w:color w:val="404040"/>
        </w:rPr>
        <w:t xml:space="preserve">core </w:t>
      </w:r>
      <w:proofErr w:type="gramStart"/>
      <w:r w:rsidRPr="00B52505">
        <w:rPr>
          <w:rFonts w:ascii="Source Sans Pro"/>
          <w:color w:val="404040"/>
        </w:rPr>
        <w:t>business</w:t>
      </w:r>
      <w:r w:rsidRPr="00B52505">
        <w:rPr>
          <w:rFonts w:ascii="Source Sans Pro"/>
          <w:color w:val="404040"/>
        </w:rPr>
        <w:t>’</w:t>
      </w:r>
      <w:proofErr w:type="gramEnd"/>
      <w:r w:rsidRPr="00B52505">
        <w:rPr>
          <w:rFonts w:ascii="Source Sans Pro"/>
          <w:color w:val="404040"/>
        </w:rPr>
        <w:t xml:space="preserve"> expressed in EOPO1 of improving the quality and reach of justice services, particularly for vulnerable women, children, youth and people with disability. This will require a concerted effort to strengthen visibility around outcomes and quality of results.</w:t>
      </w:r>
    </w:p>
    <w:p w14:paraId="37CAD93A" w14:textId="77777777" w:rsidR="00B52505" w:rsidRDefault="00B52505" w:rsidP="00B52505">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257" w:after="120"/>
      </w:pPr>
      <w:r w:rsidRPr="00B52505">
        <w:rPr>
          <w:rFonts w:ascii="Source Sans Pro"/>
          <w:b/>
          <w:color w:val="003478"/>
        </w:rPr>
        <w:t>Recommendation 2</w:t>
      </w:r>
      <w:r>
        <w:t xml:space="preserve">. </w:t>
      </w:r>
      <w:r w:rsidRPr="00B52505">
        <w:rPr>
          <w:rFonts w:ascii="Source Sans Pro"/>
          <w:color w:val="404040"/>
        </w:rPr>
        <w:t xml:space="preserve">The policing stream does not need to significantly change its current focus, although it also requires a concerted effort to strengthen visibility around outcomes and quality of results. The policing stream should maintain its EOPO1 focus of improving the quality and reach of justice services, particularly for vulnerable women, children, </w:t>
      </w:r>
      <w:proofErr w:type="gramStart"/>
      <w:r w:rsidRPr="00B52505">
        <w:rPr>
          <w:rFonts w:ascii="Source Sans Pro"/>
          <w:color w:val="404040"/>
        </w:rPr>
        <w:t>youth</w:t>
      </w:r>
      <w:proofErr w:type="gramEnd"/>
      <w:r w:rsidRPr="00B52505">
        <w:rPr>
          <w:rFonts w:ascii="Source Sans Pro"/>
          <w:color w:val="404040"/>
        </w:rPr>
        <w:t xml:space="preserve"> and people with disability.</w:t>
      </w:r>
    </w:p>
    <w:p w14:paraId="3B3F15FB" w14:textId="7BFC4B3A" w:rsidR="00B52505" w:rsidRDefault="00B52505" w:rsidP="00B52505">
      <w:pPr>
        <w:pStyle w:val="BodyText"/>
        <w:spacing w:before="257" w:after="120"/>
      </w:pPr>
      <w:r>
        <w:t>Recommendation 3. VAPJP should revisit earlier program approaches to capacity building and its measurement, modified to reflect current program circumstances. Consideration should also be given to developing a Theory of Change during the forthcoming design process that may also be of utility to the existing program.</w:t>
      </w:r>
    </w:p>
    <w:p w14:paraId="296C3308" w14:textId="2A1469F0" w:rsidR="009C36E3" w:rsidRDefault="00DB452C" w:rsidP="00DB452C">
      <w:pPr>
        <w:pStyle w:val="BodyText"/>
        <w:spacing w:before="120"/>
      </w:pPr>
      <w:r>
        <w:t>T</w:t>
      </w:r>
      <w:r w:rsidR="000E7207">
        <w:t>he MTR found that VAPJP should continue to focus on, and extend, the focus inherent in EOPO1. It is well understood that improving services for vulnerable groups actually improves services for everyone.</w:t>
      </w:r>
      <w:r w:rsidR="000E7207">
        <w:rPr>
          <w:spacing w:val="40"/>
        </w:rPr>
        <w:t xml:space="preserve"> </w:t>
      </w:r>
      <w:r w:rsidR="000E7207">
        <w:t>While the policing</w:t>
      </w:r>
      <w:r w:rsidR="000E7207">
        <w:rPr>
          <w:spacing w:val="-3"/>
        </w:rPr>
        <w:t xml:space="preserve"> </w:t>
      </w:r>
      <w:r w:rsidR="000E7207">
        <w:t>stream</w:t>
      </w:r>
      <w:r w:rsidR="000E7207">
        <w:rPr>
          <w:spacing w:val="-2"/>
        </w:rPr>
        <w:t xml:space="preserve"> </w:t>
      </w:r>
      <w:r w:rsidR="000E7207">
        <w:t>does</w:t>
      </w:r>
      <w:r w:rsidR="000E7207">
        <w:rPr>
          <w:spacing w:val="-2"/>
        </w:rPr>
        <w:t xml:space="preserve"> </w:t>
      </w:r>
      <w:r w:rsidR="000E7207">
        <w:t>not</w:t>
      </w:r>
      <w:r w:rsidR="000E7207">
        <w:rPr>
          <w:spacing w:val="-2"/>
        </w:rPr>
        <w:t xml:space="preserve"> </w:t>
      </w:r>
      <w:r w:rsidR="000E7207">
        <w:t>need</w:t>
      </w:r>
      <w:r w:rsidR="000E7207">
        <w:rPr>
          <w:spacing w:val="-3"/>
        </w:rPr>
        <w:t xml:space="preserve"> </w:t>
      </w:r>
      <w:r w:rsidR="000E7207">
        <w:t>to</w:t>
      </w:r>
      <w:r w:rsidR="000E7207">
        <w:rPr>
          <w:spacing w:val="-2"/>
        </w:rPr>
        <w:t xml:space="preserve"> </w:t>
      </w:r>
      <w:r w:rsidR="000E7207">
        <w:t>significantly</w:t>
      </w:r>
      <w:r w:rsidR="000E7207">
        <w:rPr>
          <w:spacing w:val="-2"/>
        </w:rPr>
        <w:t xml:space="preserve"> </w:t>
      </w:r>
      <w:r w:rsidR="000E7207">
        <w:t>change</w:t>
      </w:r>
      <w:r w:rsidR="000E7207">
        <w:rPr>
          <w:spacing w:val="-2"/>
        </w:rPr>
        <w:t xml:space="preserve"> </w:t>
      </w:r>
      <w:r w:rsidR="000E7207">
        <w:t>its</w:t>
      </w:r>
      <w:r w:rsidR="000E7207">
        <w:rPr>
          <w:spacing w:val="-2"/>
        </w:rPr>
        <w:t xml:space="preserve"> </w:t>
      </w:r>
      <w:r w:rsidR="000E7207">
        <w:t>focus,</w:t>
      </w:r>
      <w:r w:rsidR="000E7207">
        <w:rPr>
          <w:spacing w:val="-3"/>
        </w:rPr>
        <w:t xml:space="preserve"> </w:t>
      </w:r>
      <w:r w:rsidR="000E7207">
        <w:t>the</w:t>
      </w:r>
      <w:r w:rsidR="000E7207">
        <w:rPr>
          <w:spacing w:val="-3"/>
        </w:rPr>
        <w:t xml:space="preserve"> </w:t>
      </w:r>
      <w:r w:rsidR="000E7207">
        <w:t>justice</w:t>
      </w:r>
      <w:r w:rsidR="000E7207">
        <w:rPr>
          <w:spacing w:val="-3"/>
        </w:rPr>
        <w:t xml:space="preserve"> </w:t>
      </w:r>
      <w:r w:rsidR="000E7207">
        <w:t>stream</w:t>
      </w:r>
      <w:r w:rsidR="000E7207">
        <w:rPr>
          <w:spacing w:val="-1"/>
        </w:rPr>
        <w:t xml:space="preserve"> </w:t>
      </w:r>
      <w:r w:rsidR="000E7207">
        <w:t>is</w:t>
      </w:r>
      <w:r w:rsidR="000E7207">
        <w:rPr>
          <w:spacing w:val="-2"/>
        </w:rPr>
        <w:t xml:space="preserve"> </w:t>
      </w:r>
      <w:r w:rsidR="000E7207">
        <w:t>implementing</w:t>
      </w:r>
      <w:r w:rsidR="000E7207">
        <w:rPr>
          <w:spacing w:val="-2"/>
        </w:rPr>
        <w:t xml:space="preserve"> </w:t>
      </w:r>
      <w:r w:rsidR="000E7207">
        <w:t>a</w:t>
      </w:r>
      <w:r w:rsidR="000E7207">
        <w:rPr>
          <w:spacing w:val="-3"/>
        </w:rPr>
        <w:t xml:space="preserve"> </w:t>
      </w:r>
      <w:r w:rsidR="000E7207">
        <w:t>wide</w:t>
      </w:r>
      <w:r w:rsidR="000E7207">
        <w:rPr>
          <w:spacing w:val="-3"/>
        </w:rPr>
        <w:t xml:space="preserve"> </w:t>
      </w:r>
      <w:r w:rsidR="000E7207">
        <w:t>range</w:t>
      </w:r>
      <w:r w:rsidR="000E7207">
        <w:rPr>
          <w:spacing w:val="-3"/>
        </w:rPr>
        <w:t xml:space="preserve"> </w:t>
      </w:r>
      <w:r w:rsidR="000E7207">
        <w:t>of activities, some of which do not contribute directly to strengthening local capability, promoting gender equality within sector workforces or strengthening community access to prevention and responsive services for women, children and persons with disabilities, including in remote areas.</w:t>
      </w:r>
    </w:p>
    <w:p w14:paraId="36EE8FED" w14:textId="746BFE43" w:rsidR="009C36E3" w:rsidRDefault="000E7207">
      <w:pPr>
        <w:pStyle w:val="BodyText"/>
        <w:spacing w:before="121"/>
        <w:ind w:right="167" w:hanging="1"/>
      </w:pPr>
      <w:r>
        <w:t>As noted elsewhere, VAPJP lacks a ToC, which would also provide better guidance for the VAPJP team and counterparts</w:t>
      </w:r>
      <w:r>
        <w:rPr>
          <w:spacing w:val="-1"/>
        </w:rPr>
        <w:t xml:space="preserve"> </w:t>
      </w:r>
      <w:r>
        <w:t>on how activities</w:t>
      </w:r>
      <w:r>
        <w:rPr>
          <w:spacing w:val="-1"/>
        </w:rPr>
        <w:t xml:space="preserve"> </w:t>
      </w:r>
      <w:r>
        <w:t>are</w:t>
      </w:r>
      <w:r>
        <w:rPr>
          <w:spacing w:val="-2"/>
        </w:rPr>
        <w:t xml:space="preserve"> </w:t>
      </w:r>
      <w:r>
        <w:t>contributing</w:t>
      </w:r>
      <w:r>
        <w:rPr>
          <w:spacing w:val="-2"/>
        </w:rPr>
        <w:t xml:space="preserve"> </w:t>
      </w:r>
      <w:r>
        <w:t>to</w:t>
      </w:r>
      <w:r>
        <w:rPr>
          <w:spacing w:val="-2"/>
        </w:rPr>
        <w:t xml:space="preserve"> </w:t>
      </w:r>
      <w:r>
        <w:t>results.</w:t>
      </w:r>
      <w:r>
        <w:rPr>
          <w:spacing w:val="-2"/>
        </w:rPr>
        <w:t xml:space="preserve"> </w:t>
      </w:r>
      <w:r>
        <w:t>VAPJP’s</w:t>
      </w:r>
      <w:r>
        <w:rPr>
          <w:spacing w:val="-1"/>
        </w:rPr>
        <w:t xml:space="preserve"> </w:t>
      </w:r>
      <w:r>
        <w:t>MERL</w:t>
      </w:r>
      <w:r>
        <w:rPr>
          <w:spacing w:val="-2"/>
        </w:rPr>
        <w:t xml:space="preserve"> </w:t>
      </w:r>
      <w:r>
        <w:t>team is working</w:t>
      </w:r>
      <w:r>
        <w:rPr>
          <w:spacing w:val="-2"/>
        </w:rPr>
        <w:t xml:space="preserve"> </w:t>
      </w:r>
      <w:r>
        <w:t>to</w:t>
      </w:r>
      <w:r>
        <w:rPr>
          <w:spacing w:val="-2"/>
        </w:rPr>
        <w:t xml:space="preserve"> </w:t>
      </w:r>
      <w:r>
        <w:t>collect qualitative</w:t>
      </w:r>
      <w:r>
        <w:rPr>
          <w:spacing w:val="-2"/>
        </w:rPr>
        <w:t xml:space="preserve"> </w:t>
      </w:r>
      <w:r>
        <w:t>and outcome</w:t>
      </w:r>
      <w:r>
        <w:rPr>
          <w:spacing w:val="-3"/>
        </w:rPr>
        <w:t xml:space="preserve"> </w:t>
      </w:r>
      <w:r>
        <w:t>data,</w:t>
      </w:r>
      <w:r>
        <w:rPr>
          <w:spacing w:val="-1"/>
        </w:rPr>
        <w:t xml:space="preserve"> </w:t>
      </w:r>
      <w:r>
        <w:t>and</w:t>
      </w:r>
      <w:r>
        <w:rPr>
          <w:spacing w:val="-1"/>
        </w:rPr>
        <w:t xml:space="preserve"> </w:t>
      </w:r>
      <w:r>
        <w:t>this</w:t>
      </w:r>
      <w:r>
        <w:rPr>
          <w:spacing w:val="-2"/>
        </w:rPr>
        <w:t xml:space="preserve"> </w:t>
      </w:r>
      <w:r>
        <w:t>effort</w:t>
      </w:r>
      <w:r>
        <w:rPr>
          <w:spacing w:val="-3"/>
        </w:rPr>
        <w:t xml:space="preserve"> </w:t>
      </w:r>
      <w:r>
        <w:t>should</w:t>
      </w:r>
      <w:r>
        <w:rPr>
          <w:spacing w:val="-3"/>
        </w:rPr>
        <w:t xml:space="preserve"> </w:t>
      </w:r>
      <w:r>
        <w:t>continue,</w:t>
      </w:r>
      <w:r>
        <w:rPr>
          <w:spacing w:val="-3"/>
        </w:rPr>
        <w:t xml:space="preserve"> </w:t>
      </w:r>
      <w:r>
        <w:t>so</w:t>
      </w:r>
      <w:r>
        <w:rPr>
          <w:spacing w:val="-1"/>
        </w:rPr>
        <w:t xml:space="preserve"> </w:t>
      </w:r>
      <w:r>
        <w:t>that</w:t>
      </w:r>
      <w:r>
        <w:rPr>
          <w:spacing w:val="-1"/>
        </w:rPr>
        <w:t xml:space="preserve"> </w:t>
      </w:r>
      <w:r>
        <w:t>the</w:t>
      </w:r>
      <w:r>
        <w:rPr>
          <w:spacing w:val="-3"/>
        </w:rPr>
        <w:t xml:space="preserve"> </w:t>
      </w:r>
      <w:r>
        <w:t>program</w:t>
      </w:r>
      <w:r>
        <w:rPr>
          <w:spacing w:val="-3"/>
        </w:rPr>
        <w:t xml:space="preserve"> </w:t>
      </w:r>
      <w:r>
        <w:t>can</w:t>
      </w:r>
      <w:r>
        <w:rPr>
          <w:spacing w:val="-3"/>
        </w:rPr>
        <w:t xml:space="preserve"> </w:t>
      </w:r>
      <w:r>
        <w:t>better</w:t>
      </w:r>
      <w:r>
        <w:rPr>
          <w:spacing w:val="-2"/>
        </w:rPr>
        <w:t xml:space="preserve"> </w:t>
      </w:r>
      <w:r>
        <w:t>demonstrate</w:t>
      </w:r>
      <w:r>
        <w:rPr>
          <w:spacing w:val="-3"/>
        </w:rPr>
        <w:t xml:space="preserve"> </w:t>
      </w:r>
      <w:r>
        <w:t>the</w:t>
      </w:r>
      <w:r>
        <w:rPr>
          <w:spacing w:val="-3"/>
        </w:rPr>
        <w:t xml:space="preserve"> </w:t>
      </w:r>
      <w:r>
        <w:t>value,</w:t>
      </w:r>
      <w:r>
        <w:rPr>
          <w:spacing w:val="-3"/>
        </w:rPr>
        <w:t xml:space="preserve"> </w:t>
      </w:r>
      <w:r>
        <w:t>standard</w:t>
      </w:r>
      <w:r>
        <w:rPr>
          <w:spacing w:val="-3"/>
        </w:rPr>
        <w:t xml:space="preserve"> </w:t>
      </w:r>
      <w:r>
        <w:t>and extent of change within the ‘core’ activity focus areas. This would also assist the new Communications STA to promote justice as well as policing work. While key messaging for communications purposes is contained in the draft communications strategy awaiting DFAT endorsement, in interview it appeared that the communications officer was principally focused on the policing stream.</w:t>
      </w:r>
    </w:p>
    <w:p w14:paraId="4B402834" w14:textId="6501B607" w:rsidR="00480C9E" w:rsidRDefault="000E7207">
      <w:pPr>
        <w:pStyle w:val="BodyText"/>
        <w:spacing w:before="118"/>
      </w:pPr>
      <w:r>
        <w:t>The</w:t>
      </w:r>
      <w:r>
        <w:rPr>
          <w:spacing w:val="-3"/>
        </w:rPr>
        <w:t xml:space="preserve"> </w:t>
      </w:r>
      <w:r>
        <w:t>program</w:t>
      </w:r>
      <w:r>
        <w:rPr>
          <w:spacing w:val="-3"/>
        </w:rPr>
        <w:t xml:space="preserve"> </w:t>
      </w:r>
      <w:r>
        <w:t>should</w:t>
      </w:r>
      <w:r>
        <w:rPr>
          <w:spacing w:val="-3"/>
        </w:rPr>
        <w:t xml:space="preserve"> </w:t>
      </w:r>
      <w:r>
        <w:t>increase</w:t>
      </w:r>
      <w:r>
        <w:rPr>
          <w:spacing w:val="-3"/>
        </w:rPr>
        <w:t xml:space="preserve"> </w:t>
      </w:r>
      <w:r>
        <w:t>attention</w:t>
      </w:r>
      <w:r>
        <w:rPr>
          <w:spacing w:val="-3"/>
        </w:rPr>
        <w:t xml:space="preserve"> </w:t>
      </w:r>
      <w:r>
        <w:t>to</w:t>
      </w:r>
      <w:r>
        <w:rPr>
          <w:spacing w:val="-3"/>
        </w:rPr>
        <w:t xml:space="preserve"> </w:t>
      </w:r>
      <w:r>
        <w:t>areas</w:t>
      </w:r>
      <w:r>
        <w:rPr>
          <w:spacing w:val="-2"/>
        </w:rPr>
        <w:t xml:space="preserve"> </w:t>
      </w:r>
      <w:r>
        <w:t>where</w:t>
      </w:r>
      <w:r>
        <w:rPr>
          <w:spacing w:val="-1"/>
        </w:rPr>
        <w:t xml:space="preserve"> </w:t>
      </w:r>
      <w:r>
        <w:t>there</w:t>
      </w:r>
      <w:r>
        <w:rPr>
          <w:spacing w:val="-1"/>
        </w:rPr>
        <w:t xml:space="preserve"> </w:t>
      </w:r>
      <w:r>
        <w:t>are</w:t>
      </w:r>
      <w:r>
        <w:rPr>
          <w:spacing w:val="-3"/>
        </w:rPr>
        <w:t xml:space="preserve"> </w:t>
      </w:r>
      <w:r>
        <w:t>early</w:t>
      </w:r>
      <w:r>
        <w:rPr>
          <w:spacing w:val="-2"/>
        </w:rPr>
        <w:t xml:space="preserve"> </w:t>
      </w:r>
      <w:r>
        <w:t>signs</w:t>
      </w:r>
      <w:r>
        <w:rPr>
          <w:spacing w:val="-2"/>
        </w:rPr>
        <w:t xml:space="preserve"> </w:t>
      </w:r>
      <w:r>
        <w:t>of</w:t>
      </w:r>
      <w:r>
        <w:rPr>
          <w:spacing w:val="-3"/>
        </w:rPr>
        <w:t xml:space="preserve"> </w:t>
      </w:r>
      <w:r>
        <w:t>joint</w:t>
      </w:r>
      <w:r>
        <w:rPr>
          <w:spacing w:val="-3"/>
        </w:rPr>
        <w:t xml:space="preserve"> </w:t>
      </w:r>
      <w:r>
        <w:t>policing,</w:t>
      </w:r>
      <w:r>
        <w:rPr>
          <w:spacing w:val="-1"/>
        </w:rPr>
        <w:t xml:space="preserve"> </w:t>
      </w:r>
      <w:proofErr w:type="gramStart"/>
      <w:r>
        <w:t>justice</w:t>
      </w:r>
      <w:proofErr w:type="gramEnd"/>
      <w:r>
        <w:rPr>
          <w:spacing w:val="-3"/>
        </w:rPr>
        <w:t xml:space="preserve"> </w:t>
      </w:r>
      <w:r>
        <w:t>and</w:t>
      </w:r>
      <w:r>
        <w:rPr>
          <w:spacing w:val="-3"/>
        </w:rPr>
        <w:t xml:space="preserve"> </w:t>
      </w:r>
      <w:r>
        <w:t>community outcomes, such as any results flowing from the Epi courthouse and police station development, identify support or activities that may strengthen these initiatives, and identify opportunities to replicate them or take them to scale.</w:t>
      </w:r>
    </w:p>
    <w:p w14:paraId="31759330" w14:textId="77777777" w:rsidR="00B52505" w:rsidRDefault="00480C9E" w:rsidP="00B52505">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121"/>
        <w:ind w:left="851" w:right="163"/>
        <w:rPr>
          <w:rFonts w:ascii="Source Sans Pro"/>
          <w:color w:val="404040"/>
        </w:rPr>
      </w:pPr>
      <w:r>
        <w:rPr>
          <w:rFonts w:ascii="Source Sans Pro"/>
          <w:b/>
          <w:color w:val="003478"/>
        </w:rPr>
        <w:t>Recommendation</w:t>
      </w:r>
      <w:r>
        <w:rPr>
          <w:rFonts w:ascii="Source Sans Pro"/>
          <w:b/>
          <w:color w:val="003478"/>
          <w:spacing w:val="-2"/>
        </w:rPr>
        <w:t xml:space="preserve"> </w:t>
      </w:r>
      <w:r>
        <w:rPr>
          <w:rFonts w:ascii="Source Sans Pro"/>
          <w:b/>
          <w:color w:val="003478"/>
        </w:rPr>
        <w:t>4.</w:t>
      </w:r>
      <w:r>
        <w:rPr>
          <w:rFonts w:ascii="Source Sans Pro"/>
          <w:b/>
          <w:color w:val="003478"/>
          <w:spacing w:val="-2"/>
        </w:rPr>
        <w:t xml:space="preserve"> </w:t>
      </w:r>
      <w:r>
        <w:rPr>
          <w:rFonts w:ascii="Source Sans Pro"/>
          <w:color w:val="404040"/>
        </w:rPr>
        <w:t>Both</w:t>
      </w:r>
      <w:r>
        <w:rPr>
          <w:rFonts w:ascii="Source Sans Pro"/>
          <w:color w:val="404040"/>
          <w:spacing w:val="-3"/>
        </w:rPr>
        <w:t xml:space="preserve"> </w:t>
      </w:r>
      <w:r>
        <w:rPr>
          <w:rFonts w:ascii="Source Sans Pro"/>
          <w:color w:val="404040"/>
        </w:rPr>
        <w:t>the</w:t>
      </w:r>
      <w:r>
        <w:rPr>
          <w:rFonts w:ascii="Source Sans Pro"/>
          <w:color w:val="404040"/>
          <w:spacing w:val="-3"/>
        </w:rPr>
        <w:t xml:space="preserve"> </w:t>
      </w:r>
      <w:r>
        <w:rPr>
          <w:rFonts w:ascii="Source Sans Pro"/>
          <w:color w:val="404040"/>
        </w:rPr>
        <w:t>justice</w:t>
      </w:r>
      <w:r>
        <w:rPr>
          <w:rFonts w:ascii="Source Sans Pro"/>
          <w:color w:val="404040"/>
          <w:spacing w:val="-3"/>
        </w:rPr>
        <w:t xml:space="preserve"> </w:t>
      </w:r>
      <w:r>
        <w:rPr>
          <w:rFonts w:ascii="Source Sans Pro"/>
          <w:color w:val="404040"/>
        </w:rPr>
        <w:t>and</w:t>
      </w:r>
      <w:r>
        <w:rPr>
          <w:rFonts w:ascii="Source Sans Pro"/>
          <w:color w:val="404040"/>
          <w:spacing w:val="-3"/>
        </w:rPr>
        <w:t xml:space="preserve"> </w:t>
      </w:r>
      <w:r>
        <w:rPr>
          <w:rFonts w:ascii="Source Sans Pro"/>
          <w:color w:val="404040"/>
        </w:rPr>
        <w:t>policing</w:t>
      </w:r>
      <w:r>
        <w:rPr>
          <w:rFonts w:ascii="Source Sans Pro"/>
          <w:color w:val="404040"/>
          <w:spacing w:val="-2"/>
        </w:rPr>
        <w:t xml:space="preserve"> </w:t>
      </w:r>
      <w:r>
        <w:rPr>
          <w:rFonts w:ascii="Source Sans Pro"/>
          <w:color w:val="404040"/>
        </w:rPr>
        <w:t>streams</w:t>
      </w:r>
      <w:r>
        <w:rPr>
          <w:rFonts w:ascii="Source Sans Pro"/>
          <w:color w:val="404040"/>
          <w:spacing w:val="-2"/>
        </w:rPr>
        <w:t xml:space="preserve"> </w:t>
      </w:r>
      <w:r>
        <w:rPr>
          <w:rFonts w:ascii="Source Sans Pro"/>
          <w:color w:val="404040"/>
        </w:rPr>
        <w:t>of</w:t>
      </w:r>
      <w:r>
        <w:rPr>
          <w:rFonts w:ascii="Source Sans Pro"/>
          <w:color w:val="404040"/>
          <w:spacing w:val="-3"/>
        </w:rPr>
        <w:t xml:space="preserve"> </w:t>
      </w:r>
      <w:r>
        <w:rPr>
          <w:rFonts w:ascii="Source Sans Pro"/>
          <w:color w:val="404040"/>
        </w:rPr>
        <w:t>VAPJP</w:t>
      </w:r>
      <w:r>
        <w:rPr>
          <w:rFonts w:ascii="Source Sans Pro"/>
          <w:color w:val="404040"/>
          <w:spacing w:val="-3"/>
        </w:rPr>
        <w:t xml:space="preserve"> </w:t>
      </w:r>
      <w:r>
        <w:rPr>
          <w:rFonts w:ascii="Source Sans Pro"/>
          <w:color w:val="404040"/>
        </w:rPr>
        <w:t>should</w:t>
      </w:r>
      <w:r>
        <w:rPr>
          <w:rFonts w:ascii="Source Sans Pro"/>
          <w:color w:val="404040"/>
          <w:spacing w:val="-3"/>
        </w:rPr>
        <w:t xml:space="preserve"> </w:t>
      </w:r>
      <w:r>
        <w:rPr>
          <w:rFonts w:ascii="Source Sans Pro"/>
          <w:color w:val="404040"/>
        </w:rPr>
        <w:t>prioritise</w:t>
      </w:r>
      <w:r>
        <w:rPr>
          <w:rFonts w:ascii="Source Sans Pro"/>
          <w:color w:val="404040"/>
          <w:spacing w:val="-3"/>
        </w:rPr>
        <w:t xml:space="preserve"> </w:t>
      </w:r>
      <w:r>
        <w:rPr>
          <w:rFonts w:ascii="Source Sans Pro"/>
          <w:color w:val="404040"/>
        </w:rPr>
        <w:t>sustainability</w:t>
      </w:r>
      <w:r>
        <w:rPr>
          <w:rFonts w:ascii="Source Sans Pro"/>
          <w:color w:val="404040"/>
          <w:spacing w:val="-2"/>
        </w:rPr>
        <w:t xml:space="preserve"> </w:t>
      </w:r>
      <w:r>
        <w:rPr>
          <w:rFonts w:ascii="Source Sans Pro"/>
          <w:color w:val="404040"/>
        </w:rPr>
        <w:t>and</w:t>
      </w:r>
      <w:r>
        <w:rPr>
          <w:rFonts w:ascii="Source Sans Pro"/>
          <w:color w:val="404040"/>
          <w:spacing w:val="-3"/>
        </w:rPr>
        <w:t xml:space="preserve"> </w:t>
      </w:r>
      <w:r>
        <w:rPr>
          <w:rFonts w:ascii="Source Sans Pro"/>
          <w:color w:val="404040"/>
        </w:rPr>
        <w:t>exit</w:t>
      </w:r>
      <w:r>
        <w:rPr>
          <w:rFonts w:ascii="Source Sans Pro"/>
          <w:color w:val="404040"/>
          <w:spacing w:val="-3"/>
        </w:rPr>
        <w:t xml:space="preserve"> </w:t>
      </w:r>
      <w:r>
        <w:rPr>
          <w:rFonts w:ascii="Source Sans Pro"/>
          <w:color w:val="404040"/>
        </w:rPr>
        <w:t>planning</w:t>
      </w:r>
      <w:r>
        <w:rPr>
          <w:rFonts w:ascii="Source Sans Pro"/>
          <w:color w:val="404040"/>
          <w:spacing w:val="40"/>
        </w:rPr>
        <w:t xml:space="preserve"> </w:t>
      </w:r>
      <w:r>
        <w:rPr>
          <w:rFonts w:ascii="Source Sans Pro"/>
          <w:color w:val="404040"/>
        </w:rPr>
        <w:t>for all activities, so that benefits outlast the program. With participation and input from counterparts across the</w:t>
      </w:r>
      <w:r>
        <w:rPr>
          <w:rFonts w:ascii="Source Sans Pro"/>
          <w:color w:val="404040"/>
          <w:spacing w:val="40"/>
        </w:rPr>
        <w:t xml:space="preserve"> </w:t>
      </w:r>
      <w:r>
        <w:rPr>
          <w:rFonts w:ascii="Source Sans Pro"/>
          <w:color w:val="404040"/>
        </w:rPr>
        <w:t>program, VAPJP should develop a sustainability plan that reflects output and IO targets for the end of program, and</w:t>
      </w:r>
      <w:r>
        <w:rPr>
          <w:rFonts w:ascii="Source Sans Pro"/>
          <w:color w:val="404040"/>
          <w:spacing w:val="40"/>
        </w:rPr>
        <w:t xml:space="preserve"> </w:t>
      </w:r>
      <w:r>
        <w:rPr>
          <w:rFonts w:ascii="Source Sans Pro"/>
          <w:color w:val="404040"/>
        </w:rPr>
        <w:t>identifies expected support required to maintain progress or protect changes already achieved.</w:t>
      </w:r>
    </w:p>
    <w:p w14:paraId="313B4A31" w14:textId="46C2925B" w:rsidR="00480C9E" w:rsidRDefault="00480C9E" w:rsidP="00B52505">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121"/>
        <w:ind w:left="851" w:right="163"/>
      </w:pPr>
      <w:r>
        <w:rPr>
          <w:rFonts w:ascii="Source Sans Pro"/>
          <w:b/>
          <w:color w:val="003478"/>
        </w:rPr>
        <w:t xml:space="preserve">Recommendation 5. </w:t>
      </w:r>
      <w:r>
        <w:rPr>
          <w:rFonts w:ascii="Source Sans Pro"/>
          <w:color w:val="404040"/>
        </w:rPr>
        <w:t>The policing stream should consider four key changes to make police training more sustainable</w:t>
      </w:r>
      <w:r>
        <w:rPr>
          <w:rFonts w:ascii="Source Sans Pro"/>
          <w:color w:val="404040"/>
          <w:spacing w:val="40"/>
        </w:rPr>
        <w:t xml:space="preserve"> </w:t>
      </w:r>
      <w:r>
        <w:rPr>
          <w:rFonts w:ascii="Source Sans Pro"/>
          <w:color w:val="404040"/>
        </w:rPr>
        <w:t>and improve ownership. These are deploying an AFP adviser with a policing education background (rather than a</w:t>
      </w:r>
      <w:r>
        <w:rPr>
          <w:rFonts w:ascii="Source Sans Pro"/>
          <w:color w:val="404040"/>
          <w:spacing w:val="40"/>
        </w:rPr>
        <w:t xml:space="preserve"> </w:t>
      </w:r>
      <w:r>
        <w:rPr>
          <w:rFonts w:ascii="Source Sans Pro"/>
          <w:color w:val="404040"/>
        </w:rPr>
        <w:t>community policing background), a greater emphasis on utilising a Train the Trainer approach, prioritising trainings</w:t>
      </w:r>
      <w:r>
        <w:rPr>
          <w:rFonts w:ascii="Source Sans Pro"/>
          <w:color w:val="404040"/>
          <w:spacing w:val="40"/>
        </w:rPr>
        <w:t xml:space="preserve"> </w:t>
      </w:r>
      <w:r>
        <w:rPr>
          <w:rFonts w:ascii="Source Sans Pro"/>
          <w:color w:val="404040"/>
        </w:rPr>
        <w:t>and</w:t>
      </w:r>
      <w:r>
        <w:rPr>
          <w:rFonts w:ascii="Source Sans Pro"/>
          <w:color w:val="404040"/>
          <w:spacing w:val="-3"/>
        </w:rPr>
        <w:t xml:space="preserve"> </w:t>
      </w:r>
      <w:r>
        <w:rPr>
          <w:rFonts w:ascii="Source Sans Pro"/>
          <w:color w:val="404040"/>
        </w:rPr>
        <w:t>curriculum</w:t>
      </w:r>
      <w:r>
        <w:rPr>
          <w:rFonts w:ascii="Source Sans Pro"/>
          <w:color w:val="404040"/>
          <w:spacing w:val="-2"/>
        </w:rPr>
        <w:t xml:space="preserve"> </w:t>
      </w:r>
      <w:r>
        <w:rPr>
          <w:rFonts w:ascii="Source Sans Pro"/>
          <w:color w:val="404040"/>
        </w:rPr>
        <w:t>development in</w:t>
      </w:r>
      <w:r>
        <w:rPr>
          <w:rFonts w:ascii="Source Sans Pro"/>
          <w:color w:val="404040"/>
          <w:spacing w:val="-4"/>
        </w:rPr>
        <w:t xml:space="preserve"> </w:t>
      </w:r>
      <w:r w:rsidR="000800C0">
        <w:rPr>
          <w:rFonts w:ascii="Source Sans Pro"/>
          <w:color w:val="404040"/>
        </w:rPr>
        <w:t>Bislama</w:t>
      </w:r>
      <w:r w:rsidR="000800C0">
        <w:rPr>
          <w:rFonts w:ascii="Source Sans Pro"/>
          <w:color w:val="404040"/>
          <w:spacing w:val="-2"/>
        </w:rPr>
        <w:t>,</w:t>
      </w:r>
      <w:r>
        <w:rPr>
          <w:rFonts w:ascii="Source Sans Pro"/>
          <w:color w:val="404040"/>
          <w:spacing w:val="-2"/>
        </w:rPr>
        <w:t xml:space="preserve"> </w:t>
      </w:r>
      <w:r>
        <w:rPr>
          <w:rFonts w:ascii="Source Sans Pro"/>
          <w:color w:val="404040"/>
        </w:rPr>
        <w:t>and</w:t>
      </w:r>
      <w:r>
        <w:rPr>
          <w:rFonts w:ascii="Source Sans Pro"/>
          <w:color w:val="404040"/>
          <w:spacing w:val="-3"/>
        </w:rPr>
        <w:t xml:space="preserve"> </w:t>
      </w:r>
      <w:r>
        <w:rPr>
          <w:rFonts w:ascii="Source Sans Pro"/>
          <w:color w:val="404040"/>
        </w:rPr>
        <w:t>where</w:t>
      </w:r>
      <w:r>
        <w:rPr>
          <w:rFonts w:ascii="Source Sans Pro"/>
          <w:color w:val="404040"/>
          <w:spacing w:val="-3"/>
        </w:rPr>
        <w:t xml:space="preserve"> </w:t>
      </w:r>
      <w:r>
        <w:rPr>
          <w:rFonts w:ascii="Source Sans Pro"/>
          <w:color w:val="404040"/>
        </w:rPr>
        <w:t>possible</w:t>
      </w:r>
      <w:r>
        <w:rPr>
          <w:rFonts w:ascii="Source Sans Pro"/>
          <w:color w:val="404040"/>
          <w:spacing w:val="-3"/>
        </w:rPr>
        <w:t xml:space="preserve"> </w:t>
      </w:r>
      <w:r>
        <w:rPr>
          <w:rFonts w:ascii="Source Sans Pro"/>
          <w:color w:val="404040"/>
        </w:rPr>
        <w:t>decentralising</w:t>
      </w:r>
      <w:r>
        <w:rPr>
          <w:rFonts w:ascii="Source Sans Pro"/>
          <w:color w:val="404040"/>
          <w:spacing w:val="-2"/>
        </w:rPr>
        <w:t xml:space="preserve"> </w:t>
      </w:r>
      <w:r>
        <w:rPr>
          <w:rFonts w:ascii="Source Sans Pro"/>
          <w:color w:val="404040"/>
        </w:rPr>
        <w:t>training</w:t>
      </w:r>
      <w:r>
        <w:rPr>
          <w:rFonts w:ascii="Source Sans Pro"/>
          <w:color w:val="404040"/>
          <w:spacing w:val="-2"/>
        </w:rPr>
        <w:t xml:space="preserve"> </w:t>
      </w:r>
      <w:r>
        <w:rPr>
          <w:rFonts w:ascii="Source Sans Pro"/>
          <w:color w:val="404040"/>
        </w:rPr>
        <w:t>which</w:t>
      </w:r>
      <w:r>
        <w:rPr>
          <w:rFonts w:ascii="Source Sans Pro"/>
          <w:color w:val="404040"/>
          <w:spacing w:val="-3"/>
        </w:rPr>
        <w:t xml:space="preserve"> </w:t>
      </w:r>
      <w:r>
        <w:rPr>
          <w:rFonts w:ascii="Source Sans Pro"/>
          <w:color w:val="404040"/>
        </w:rPr>
        <w:t>will</w:t>
      </w:r>
      <w:r>
        <w:rPr>
          <w:rFonts w:ascii="Source Sans Pro"/>
          <w:color w:val="404040"/>
          <w:spacing w:val="-3"/>
        </w:rPr>
        <w:t xml:space="preserve"> </w:t>
      </w:r>
      <w:r>
        <w:rPr>
          <w:rFonts w:ascii="Source Sans Pro"/>
          <w:color w:val="404040"/>
        </w:rPr>
        <w:t>encourage</w:t>
      </w:r>
      <w:r>
        <w:rPr>
          <w:rFonts w:ascii="Source Sans Pro"/>
          <w:color w:val="404040"/>
          <w:spacing w:val="-3"/>
        </w:rPr>
        <w:t xml:space="preserve"> </w:t>
      </w:r>
      <w:r>
        <w:rPr>
          <w:rFonts w:ascii="Source Sans Pro"/>
          <w:color w:val="404040"/>
        </w:rPr>
        <w:t>more</w:t>
      </w:r>
      <w:r>
        <w:rPr>
          <w:rFonts w:ascii="Source Sans Pro"/>
          <w:color w:val="404040"/>
          <w:spacing w:val="-3"/>
        </w:rPr>
        <w:t xml:space="preserve"> </w:t>
      </w:r>
      <w:r>
        <w:rPr>
          <w:rFonts w:ascii="Source Sans Pro"/>
          <w:color w:val="404040"/>
        </w:rPr>
        <w:t>female</w:t>
      </w:r>
      <w:r>
        <w:rPr>
          <w:rFonts w:ascii="Source Sans Pro"/>
          <w:color w:val="404040"/>
          <w:spacing w:val="40"/>
        </w:rPr>
        <w:t xml:space="preserve"> </w:t>
      </w:r>
      <w:r>
        <w:rPr>
          <w:rFonts w:ascii="Source Sans Pro"/>
          <w:color w:val="404040"/>
        </w:rPr>
        <w:t>officers to undertake training.</w:t>
      </w:r>
    </w:p>
    <w:p w14:paraId="5E7C5C23" w14:textId="63CC73B1" w:rsidR="009C36E3" w:rsidRDefault="00584D54" w:rsidP="00507F14">
      <w:pPr>
        <w:pStyle w:val="BodyText"/>
        <w:spacing w:before="240"/>
        <w:ind w:right="119"/>
      </w:pPr>
      <w:r>
        <w:t>A</w:t>
      </w:r>
      <w:r w:rsidR="000E7207">
        <w:t>s noted earlier in this report, the VPF and, to a lesser extent, MJCS, will continue to require levels of budget support</w:t>
      </w:r>
      <w:r w:rsidR="000E7207">
        <w:rPr>
          <w:spacing w:val="-4"/>
        </w:rPr>
        <w:t xml:space="preserve"> </w:t>
      </w:r>
      <w:r w:rsidR="000E7207">
        <w:t>to</w:t>
      </w:r>
      <w:r w:rsidR="000E7207">
        <w:rPr>
          <w:spacing w:val="-4"/>
        </w:rPr>
        <w:t xml:space="preserve"> </w:t>
      </w:r>
      <w:r w:rsidR="000E7207">
        <w:t>remain</w:t>
      </w:r>
      <w:r w:rsidR="000E7207">
        <w:rPr>
          <w:spacing w:val="-4"/>
        </w:rPr>
        <w:t xml:space="preserve"> </w:t>
      </w:r>
      <w:r w:rsidR="000E7207">
        <w:t>operational.</w:t>
      </w:r>
      <w:r w:rsidR="000E7207">
        <w:rPr>
          <w:spacing w:val="-4"/>
        </w:rPr>
        <w:t xml:space="preserve"> </w:t>
      </w:r>
      <w:r w:rsidR="000E7207">
        <w:t>However,</w:t>
      </w:r>
      <w:r w:rsidR="000E7207">
        <w:rPr>
          <w:spacing w:val="-4"/>
        </w:rPr>
        <w:t xml:space="preserve"> </w:t>
      </w:r>
      <w:r w:rsidR="000E7207">
        <w:t>the</w:t>
      </w:r>
      <w:r w:rsidR="000E7207">
        <w:rPr>
          <w:spacing w:val="-2"/>
        </w:rPr>
        <w:t xml:space="preserve"> </w:t>
      </w:r>
      <w:r w:rsidR="000E7207">
        <w:t>project</w:t>
      </w:r>
      <w:r w:rsidR="000E7207">
        <w:rPr>
          <w:spacing w:val="-4"/>
        </w:rPr>
        <w:t xml:space="preserve"> </w:t>
      </w:r>
      <w:r w:rsidR="000E7207">
        <w:t>is achieving</w:t>
      </w:r>
      <w:r w:rsidR="000E7207">
        <w:rPr>
          <w:spacing w:val="-4"/>
        </w:rPr>
        <w:t xml:space="preserve"> </w:t>
      </w:r>
      <w:r w:rsidR="000E7207">
        <w:t>change</w:t>
      </w:r>
      <w:r w:rsidR="000E7207">
        <w:rPr>
          <w:spacing w:val="-4"/>
        </w:rPr>
        <w:t xml:space="preserve"> </w:t>
      </w:r>
      <w:r w:rsidR="000E7207">
        <w:t>within</w:t>
      </w:r>
      <w:r w:rsidR="000E7207">
        <w:rPr>
          <w:spacing w:val="-4"/>
        </w:rPr>
        <w:t xml:space="preserve"> </w:t>
      </w:r>
      <w:r w:rsidR="000E7207">
        <w:t>knowledge,</w:t>
      </w:r>
      <w:r w:rsidR="000E7207">
        <w:rPr>
          <w:spacing w:val="-4"/>
        </w:rPr>
        <w:t xml:space="preserve"> </w:t>
      </w:r>
      <w:r w:rsidR="000E7207">
        <w:t>attitudes</w:t>
      </w:r>
      <w:r w:rsidR="000E7207">
        <w:rPr>
          <w:spacing w:val="-3"/>
        </w:rPr>
        <w:t xml:space="preserve"> </w:t>
      </w:r>
      <w:r w:rsidR="000E7207">
        <w:t>and</w:t>
      </w:r>
      <w:r w:rsidR="000E7207">
        <w:rPr>
          <w:spacing w:val="-2"/>
        </w:rPr>
        <w:t xml:space="preserve"> </w:t>
      </w:r>
      <w:r w:rsidR="000E7207">
        <w:t>practice, systems to strengthen efficiency, effectiveness and accountability and improvements in quality, and should set these up for ongoing success after the end of the current phase.</w:t>
      </w:r>
    </w:p>
    <w:p w14:paraId="47BA8062" w14:textId="50DAC44C" w:rsidR="009C36E3" w:rsidRDefault="000E7207">
      <w:pPr>
        <w:pStyle w:val="BodyText"/>
        <w:spacing w:before="91"/>
        <w:ind w:left="772" w:right="353"/>
      </w:pPr>
      <w:r>
        <w:t>With</w:t>
      </w:r>
      <w:r>
        <w:rPr>
          <w:spacing w:val="-3"/>
        </w:rPr>
        <w:t xml:space="preserve"> </w:t>
      </w:r>
      <w:r>
        <w:t>the</w:t>
      </w:r>
      <w:r>
        <w:rPr>
          <w:spacing w:val="-3"/>
        </w:rPr>
        <w:t xml:space="preserve"> </w:t>
      </w:r>
      <w:r>
        <w:t>short</w:t>
      </w:r>
      <w:r>
        <w:rPr>
          <w:spacing w:val="-3"/>
        </w:rPr>
        <w:t xml:space="preserve"> </w:t>
      </w:r>
      <w:r>
        <w:t>time</w:t>
      </w:r>
      <w:r>
        <w:rPr>
          <w:spacing w:val="-3"/>
        </w:rPr>
        <w:t xml:space="preserve"> </w:t>
      </w:r>
      <w:r>
        <w:t>left</w:t>
      </w:r>
      <w:r>
        <w:rPr>
          <w:spacing w:val="-3"/>
        </w:rPr>
        <w:t xml:space="preserve"> </w:t>
      </w:r>
      <w:r>
        <w:t>to</w:t>
      </w:r>
      <w:r>
        <w:rPr>
          <w:spacing w:val="-3"/>
        </w:rPr>
        <w:t xml:space="preserve"> </w:t>
      </w:r>
      <w:r>
        <w:t>run,</w:t>
      </w:r>
      <w:r>
        <w:rPr>
          <w:spacing w:val="-3"/>
        </w:rPr>
        <w:t xml:space="preserve"> </w:t>
      </w:r>
      <w:r>
        <w:t>the</w:t>
      </w:r>
      <w:r>
        <w:rPr>
          <w:spacing w:val="-3"/>
        </w:rPr>
        <w:t xml:space="preserve"> </w:t>
      </w:r>
      <w:r>
        <w:t>program</w:t>
      </w:r>
      <w:r>
        <w:rPr>
          <w:spacing w:val="-3"/>
        </w:rPr>
        <w:t xml:space="preserve"> </w:t>
      </w:r>
      <w:r>
        <w:t>should</w:t>
      </w:r>
      <w:r>
        <w:rPr>
          <w:spacing w:val="-3"/>
        </w:rPr>
        <w:t xml:space="preserve"> </w:t>
      </w:r>
      <w:r>
        <w:t>embed</w:t>
      </w:r>
      <w:r>
        <w:rPr>
          <w:spacing w:val="-3"/>
        </w:rPr>
        <w:t xml:space="preserve"> </w:t>
      </w:r>
      <w:r>
        <w:t>a</w:t>
      </w:r>
      <w:r>
        <w:rPr>
          <w:spacing w:val="-3"/>
        </w:rPr>
        <w:t xml:space="preserve"> </w:t>
      </w:r>
      <w:r>
        <w:t>sustainability</w:t>
      </w:r>
      <w:r>
        <w:rPr>
          <w:spacing w:val="-2"/>
        </w:rPr>
        <w:t xml:space="preserve"> </w:t>
      </w:r>
      <w:r>
        <w:t>lens</w:t>
      </w:r>
      <w:r>
        <w:rPr>
          <w:spacing w:val="-2"/>
        </w:rPr>
        <w:t xml:space="preserve"> </w:t>
      </w:r>
      <w:r>
        <w:t>across</w:t>
      </w:r>
      <w:r>
        <w:rPr>
          <w:spacing w:val="-2"/>
        </w:rPr>
        <w:t xml:space="preserve"> </w:t>
      </w:r>
      <w:r>
        <w:t>all</w:t>
      </w:r>
      <w:r>
        <w:rPr>
          <w:spacing w:val="-2"/>
        </w:rPr>
        <w:t xml:space="preserve"> </w:t>
      </w:r>
      <w:r>
        <w:t>activities,</w:t>
      </w:r>
      <w:r>
        <w:rPr>
          <w:spacing w:val="-1"/>
        </w:rPr>
        <w:t xml:space="preserve"> </w:t>
      </w:r>
      <w:r>
        <w:t>including training, asset management and maintenance, and infrastructure planning and management.</w:t>
      </w:r>
    </w:p>
    <w:p w14:paraId="58DBFE6D" w14:textId="77777777" w:rsidR="009C36E3" w:rsidRDefault="000E7207">
      <w:pPr>
        <w:pStyle w:val="BodyText"/>
        <w:spacing w:before="120"/>
        <w:ind w:left="772"/>
      </w:pPr>
      <w:r>
        <w:t>It</w:t>
      </w:r>
      <w:r>
        <w:rPr>
          <w:spacing w:val="-3"/>
        </w:rPr>
        <w:t xml:space="preserve"> </w:t>
      </w:r>
      <w:r>
        <w:t>is</w:t>
      </w:r>
      <w:r>
        <w:rPr>
          <w:spacing w:val="-2"/>
        </w:rPr>
        <w:t xml:space="preserve"> </w:t>
      </w:r>
      <w:r>
        <w:t>also</w:t>
      </w:r>
      <w:r>
        <w:rPr>
          <w:spacing w:val="-3"/>
        </w:rPr>
        <w:t xml:space="preserve"> </w:t>
      </w:r>
      <w:r>
        <w:t>important</w:t>
      </w:r>
      <w:r>
        <w:rPr>
          <w:spacing w:val="-1"/>
        </w:rPr>
        <w:t xml:space="preserve"> </w:t>
      </w:r>
      <w:r>
        <w:t>to</w:t>
      </w:r>
      <w:r>
        <w:rPr>
          <w:spacing w:val="-3"/>
        </w:rPr>
        <w:t xml:space="preserve"> </w:t>
      </w:r>
      <w:r>
        <w:t>embed</w:t>
      </w:r>
      <w:r>
        <w:rPr>
          <w:spacing w:val="-3"/>
        </w:rPr>
        <w:t xml:space="preserve"> </w:t>
      </w:r>
      <w:r>
        <w:t>activities</w:t>
      </w:r>
      <w:r>
        <w:rPr>
          <w:spacing w:val="-2"/>
        </w:rPr>
        <w:t xml:space="preserve"> </w:t>
      </w:r>
      <w:r>
        <w:t>such</w:t>
      </w:r>
      <w:r>
        <w:rPr>
          <w:spacing w:val="-1"/>
        </w:rPr>
        <w:t xml:space="preserve"> </w:t>
      </w:r>
      <w:r>
        <w:t>as</w:t>
      </w:r>
      <w:r>
        <w:rPr>
          <w:spacing w:val="-2"/>
        </w:rPr>
        <w:t xml:space="preserve"> </w:t>
      </w:r>
      <w:r>
        <w:t>the</w:t>
      </w:r>
      <w:r>
        <w:rPr>
          <w:spacing w:val="-1"/>
        </w:rPr>
        <w:t xml:space="preserve"> </w:t>
      </w:r>
      <w:r>
        <w:t>WAN</w:t>
      </w:r>
      <w:r>
        <w:rPr>
          <w:spacing w:val="-3"/>
        </w:rPr>
        <w:t xml:space="preserve"> </w:t>
      </w:r>
      <w:r>
        <w:t>within</w:t>
      </w:r>
      <w:r>
        <w:rPr>
          <w:spacing w:val="-1"/>
        </w:rPr>
        <w:t xml:space="preserve"> </w:t>
      </w:r>
      <w:r>
        <w:t>planning,</w:t>
      </w:r>
      <w:r>
        <w:rPr>
          <w:spacing w:val="-3"/>
        </w:rPr>
        <w:t xml:space="preserve"> </w:t>
      </w:r>
      <w:r>
        <w:t>to</w:t>
      </w:r>
      <w:r>
        <w:rPr>
          <w:spacing w:val="-3"/>
        </w:rPr>
        <w:t xml:space="preserve"> </w:t>
      </w:r>
      <w:r>
        <w:t>ensure</w:t>
      </w:r>
      <w:r>
        <w:rPr>
          <w:spacing w:val="-3"/>
        </w:rPr>
        <w:t xml:space="preserve"> </w:t>
      </w:r>
      <w:r>
        <w:t>ongoing</w:t>
      </w:r>
      <w:r>
        <w:rPr>
          <w:spacing w:val="-3"/>
        </w:rPr>
        <w:t xml:space="preserve"> </w:t>
      </w:r>
      <w:r>
        <w:t>resourcing</w:t>
      </w:r>
      <w:r>
        <w:rPr>
          <w:spacing w:val="-1"/>
        </w:rPr>
        <w:t xml:space="preserve"> </w:t>
      </w:r>
      <w:r>
        <w:t>and management priority even after the current PC-P leaves, or if other champions of change move on.</w:t>
      </w:r>
    </w:p>
    <w:p w14:paraId="0ABC78BD" w14:textId="77777777" w:rsidR="009C36E3" w:rsidRDefault="000E7207">
      <w:pPr>
        <w:pStyle w:val="BodyText"/>
        <w:spacing w:before="121"/>
        <w:ind w:left="772" w:right="163"/>
        <w:jc w:val="both"/>
      </w:pPr>
      <w:r>
        <w:t>With</w:t>
      </w:r>
      <w:r>
        <w:rPr>
          <w:spacing w:val="-4"/>
        </w:rPr>
        <w:t xml:space="preserve"> </w:t>
      </w:r>
      <w:r>
        <w:t>participation</w:t>
      </w:r>
      <w:r>
        <w:rPr>
          <w:spacing w:val="-2"/>
        </w:rPr>
        <w:t xml:space="preserve"> </w:t>
      </w:r>
      <w:r>
        <w:t>and</w:t>
      </w:r>
      <w:r>
        <w:rPr>
          <w:spacing w:val="-2"/>
        </w:rPr>
        <w:t xml:space="preserve"> </w:t>
      </w:r>
      <w:r>
        <w:t>input</w:t>
      </w:r>
      <w:r>
        <w:rPr>
          <w:spacing w:val="-2"/>
        </w:rPr>
        <w:t xml:space="preserve"> </w:t>
      </w:r>
      <w:r>
        <w:t>from</w:t>
      </w:r>
      <w:r>
        <w:rPr>
          <w:spacing w:val="-4"/>
        </w:rPr>
        <w:t xml:space="preserve"> </w:t>
      </w:r>
      <w:r>
        <w:t>counterparts</w:t>
      </w:r>
      <w:r>
        <w:rPr>
          <w:spacing w:val="-3"/>
        </w:rPr>
        <w:t xml:space="preserve"> </w:t>
      </w:r>
      <w:r>
        <w:t>across</w:t>
      </w:r>
      <w:r>
        <w:rPr>
          <w:spacing w:val="-3"/>
        </w:rPr>
        <w:t xml:space="preserve"> </w:t>
      </w:r>
      <w:r>
        <w:t>the</w:t>
      </w:r>
      <w:r>
        <w:rPr>
          <w:spacing w:val="-4"/>
        </w:rPr>
        <w:t xml:space="preserve"> </w:t>
      </w:r>
      <w:r>
        <w:t>program,</w:t>
      </w:r>
      <w:r>
        <w:rPr>
          <w:spacing w:val="-2"/>
        </w:rPr>
        <w:t xml:space="preserve"> </w:t>
      </w:r>
      <w:r>
        <w:t>VAPJP</w:t>
      </w:r>
      <w:r>
        <w:rPr>
          <w:spacing w:val="-5"/>
        </w:rPr>
        <w:t xml:space="preserve"> </w:t>
      </w:r>
      <w:r>
        <w:t>should</w:t>
      </w:r>
      <w:r>
        <w:rPr>
          <w:spacing w:val="-2"/>
        </w:rPr>
        <w:t xml:space="preserve"> </w:t>
      </w:r>
      <w:r>
        <w:t>develop</w:t>
      </w:r>
      <w:r>
        <w:rPr>
          <w:spacing w:val="-2"/>
        </w:rPr>
        <w:t xml:space="preserve"> </w:t>
      </w:r>
      <w:r>
        <w:t>a</w:t>
      </w:r>
      <w:r>
        <w:rPr>
          <w:spacing w:val="-4"/>
        </w:rPr>
        <w:t xml:space="preserve"> </w:t>
      </w:r>
      <w:r>
        <w:t>sustainability</w:t>
      </w:r>
      <w:r>
        <w:rPr>
          <w:spacing w:val="-3"/>
        </w:rPr>
        <w:t xml:space="preserve"> </w:t>
      </w:r>
      <w:r>
        <w:t>plan</w:t>
      </w:r>
      <w:r>
        <w:rPr>
          <w:spacing w:val="-4"/>
        </w:rPr>
        <w:t xml:space="preserve"> </w:t>
      </w:r>
      <w:r>
        <w:t>that reflects</w:t>
      </w:r>
      <w:r>
        <w:rPr>
          <w:spacing w:val="-2"/>
        </w:rPr>
        <w:t xml:space="preserve"> </w:t>
      </w:r>
      <w:r>
        <w:t>output</w:t>
      </w:r>
      <w:r>
        <w:rPr>
          <w:spacing w:val="-1"/>
        </w:rPr>
        <w:t xml:space="preserve"> </w:t>
      </w:r>
      <w:r>
        <w:t>and</w:t>
      </w:r>
      <w:r>
        <w:rPr>
          <w:spacing w:val="-3"/>
        </w:rPr>
        <w:t xml:space="preserve"> </w:t>
      </w:r>
      <w:r>
        <w:t>IO</w:t>
      </w:r>
      <w:r>
        <w:rPr>
          <w:spacing w:val="-2"/>
        </w:rPr>
        <w:t xml:space="preserve"> </w:t>
      </w:r>
      <w:r>
        <w:t>targets</w:t>
      </w:r>
      <w:r>
        <w:rPr>
          <w:spacing w:val="-2"/>
        </w:rPr>
        <w:t xml:space="preserve"> </w:t>
      </w:r>
      <w:r>
        <w:t>for</w:t>
      </w:r>
      <w:r>
        <w:rPr>
          <w:spacing w:val="-2"/>
        </w:rPr>
        <w:t xml:space="preserve"> </w:t>
      </w:r>
      <w:r>
        <w:t>the</w:t>
      </w:r>
      <w:r>
        <w:rPr>
          <w:spacing w:val="-1"/>
        </w:rPr>
        <w:t xml:space="preserve"> </w:t>
      </w:r>
      <w:r>
        <w:t>end</w:t>
      </w:r>
      <w:r>
        <w:rPr>
          <w:spacing w:val="-2"/>
        </w:rPr>
        <w:t xml:space="preserve"> </w:t>
      </w:r>
      <w:r>
        <w:t>of</w:t>
      </w:r>
      <w:r>
        <w:rPr>
          <w:spacing w:val="-1"/>
        </w:rPr>
        <w:t xml:space="preserve"> </w:t>
      </w:r>
      <w:r>
        <w:t>program,</w:t>
      </w:r>
      <w:r>
        <w:rPr>
          <w:spacing w:val="-3"/>
        </w:rPr>
        <w:t xml:space="preserve"> </w:t>
      </w:r>
      <w:r>
        <w:t>and</w:t>
      </w:r>
      <w:r>
        <w:rPr>
          <w:spacing w:val="-3"/>
        </w:rPr>
        <w:t xml:space="preserve"> </w:t>
      </w:r>
      <w:r>
        <w:t>identifies</w:t>
      </w:r>
      <w:r>
        <w:rPr>
          <w:spacing w:val="-2"/>
        </w:rPr>
        <w:t xml:space="preserve"> </w:t>
      </w:r>
      <w:r>
        <w:t>expected</w:t>
      </w:r>
      <w:r>
        <w:rPr>
          <w:spacing w:val="-3"/>
        </w:rPr>
        <w:t xml:space="preserve"> </w:t>
      </w:r>
      <w:r>
        <w:t>support</w:t>
      </w:r>
      <w:r>
        <w:rPr>
          <w:spacing w:val="-3"/>
        </w:rPr>
        <w:t xml:space="preserve"> </w:t>
      </w:r>
      <w:r>
        <w:t>required</w:t>
      </w:r>
      <w:r>
        <w:rPr>
          <w:spacing w:val="-3"/>
        </w:rPr>
        <w:t xml:space="preserve"> </w:t>
      </w:r>
      <w:r>
        <w:t>to</w:t>
      </w:r>
      <w:r>
        <w:rPr>
          <w:spacing w:val="-3"/>
        </w:rPr>
        <w:t xml:space="preserve"> </w:t>
      </w:r>
      <w:r>
        <w:t>maintain</w:t>
      </w:r>
      <w:r>
        <w:rPr>
          <w:spacing w:val="-1"/>
        </w:rPr>
        <w:t xml:space="preserve"> </w:t>
      </w:r>
      <w:r>
        <w:t>progress or protect changes already achieved.</w:t>
      </w:r>
    </w:p>
    <w:p w14:paraId="2732FEE9" w14:textId="77777777" w:rsidR="000626DB" w:rsidRDefault="000626DB" w:rsidP="000626DB">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120"/>
        <w:ind w:right="119"/>
        <w:rPr>
          <w:rFonts w:ascii="Source Sans Pro"/>
        </w:rPr>
      </w:pPr>
      <w:r>
        <w:rPr>
          <w:rFonts w:ascii="Source Sans Pro"/>
          <w:b/>
          <w:color w:val="003478"/>
        </w:rPr>
        <w:t>Recommendation</w:t>
      </w:r>
      <w:r>
        <w:rPr>
          <w:rFonts w:ascii="Source Sans Pro"/>
          <w:b/>
          <w:color w:val="003478"/>
          <w:spacing w:val="-2"/>
        </w:rPr>
        <w:t xml:space="preserve"> </w:t>
      </w:r>
      <w:r>
        <w:rPr>
          <w:rFonts w:ascii="Source Sans Pro"/>
          <w:b/>
          <w:color w:val="003478"/>
        </w:rPr>
        <w:t>6.</w:t>
      </w:r>
      <w:r>
        <w:rPr>
          <w:rFonts w:ascii="Source Sans Pro"/>
          <w:b/>
          <w:color w:val="003478"/>
          <w:spacing w:val="10"/>
        </w:rPr>
        <w:t xml:space="preserve"> </w:t>
      </w:r>
      <w:r>
        <w:rPr>
          <w:rFonts w:ascii="Source Sans Pro"/>
          <w:color w:val="404040"/>
        </w:rPr>
        <w:t>VAPJP</w:t>
      </w:r>
      <w:r>
        <w:rPr>
          <w:rFonts w:ascii="Source Sans Pro"/>
          <w:color w:val="404040"/>
          <w:spacing w:val="-1"/>
        </w:rPr>
        <w:t xml:space="preserve"> </w:t>
      </w:r>
      <w:r>
        <w:rPr>
          <w:rFonts w:ascii="Source Sans Pro"/>
          <w:color w:val="404040"/>
        </w:rPr>
        <w:t>reporting</w:t>
      </w:r>
      <w:r>
        <w:rPr>
          <w:rFonts w:ascii="Source Sans Pro"/>
          <w:color w:val="404040"/>
          <w:spacing w:val="-3"/>
        </w:rPr>
        <w:t xml:space="preserve"> </w:t>
      </w:r>
      <w:r>
        <w:rPr>
          <w:rFonts w:ascii="Source Sans Pro"/>
          <w:color w:val="404040"/>
        </w:rPr>
        <w:t>should</w:t>
      </w:r>
      <w:r>
        <w:rPr>
          <w:rFonts w:ascii="Source Sans Pro"/>
          <w:color w:val="404040"/>
          <w:spacing w:val="-3"/>
        </w:rPr>
        <w:t xml:space="preserve"> </w:t>
      </w:r>
      <w:r>
        <w:rPr>
          <w:rFonts w:ascii="Source Sans Pro"/>
          <w:color w:val="404040"/>
        </w:rPr>
        <w:t>be</w:t>
      </w:r>
      <w:r>
        <w:rPr>
          <w:rFonts w:ascii="Source Sans Pro"/>
          <w:color w:val="404040"/>
          <w:spacing w:val="-4"/>
        </w:rPr>
        <w:t xml:space="preserve"> </w:t>
      </w:r>
      <w:r>
        <w:rPr>
          <w:rFonts w:ascii="Source Sans Pro"/>
          <w:color w:val="404040"/>
        </w:rPr>
        <w:t>improved</w:t>
      </w:r>
      <w:r>
        <w:rPr>
          <w:rFonts w:ascii="Source Sans Pro"/>
          <w:color w:val="404040"/>
          <w:spacing w:val="-3"/>
        </w:rPr>
        <w:t xml:space="preserve"> </w:t>
      </w:r>
      <w:r>
        <w:rPr>
          <w:rFonts w:ascii="Source Sans Pro"/>
          <w:color w:val="404040"/>
        </w:rPr>
        <w:t>and</w:t>
      </w:r>
      <w:r>
        <w:rPr>
          <w:rFonts w:ascii="Source Sans Pro"/>
          <w:color w:val="404040"/>
          <w:spacing w:val="-4"/>
        </w:rPr>
        <w:t xml:space="preserve"> </w:t>
      </w:r>
      <w:r>
        <w:rPr>
          <w:rFonts w:ascii="Source Sans Pro"/>
          <w:color w:val="404040"/>
        </w:rPr>
        <w:t>rationalised</w:t>
      </w:r>
      <w:r>
        <w:rPr>
          <w:rFonts w:ascii="Source Sans Pro"/>
          <w:color w:val="404040"/>
          <w:spacing w:val="-3"/>
        </w:rPr>
        <w:t xml:space="preserve"> </w:t>
      </w:r>
      <w:r>
        <w:rPr>
          <w:rFonts w:ascii="Source Sans Pro"/>
          <w:color w:val="404040"/>
        </w:rPr>
        <w:t>to</w:t>
      </w:r>
      <w:r>
        <w:rPr>
          <w:rFonts w:ascii="Source Sans Pro"/>
          <w:color w:val="404040"/>
          <w:spacing w:val="-4"/>
        </w:rPr>
        <w:t xml:space="preserve"> </w:t>
      </w:r>
      <w:r>
        <w:rPr>
          <w:rFonts w:ascii="Source Sans Pro"/>
          <w:color w:val="404040"/>
        </w:rPr>
        <w:t>meet</w:t>
      </w:r>
      <w:r>
        <w:rPr>
          <w:rFonts w:ascii="Source Sans Pro"/>
          <w:color w:val="404040"/>
          <w:spacing w:val="-3"/>
        </w:rPr>
        <w:t xml:space="preserve"> </w:t>
      </w:r>
      <w:r>
        <w:rPr>
          <w:rFonts w:ascii="Source Sans Pro"/>
          <w:color w:val="404040"/>
        </w:rPr>
        <w:t>DFAT</w:t>
      </w:r>
      <w:r>
        <w:rPr>
          <w:rFonts w:ascii="Source Sans Pro"/>
          <w:color w:val="404040"/>
          <w:spacing w:val="-2"/>
        </w:rPr>
        <w:t xml:space="preserve"> </w:t>
      </w:r>
      <w:r>
        <w:rPr>
          <w:rFonts w:ascii="Source Sans Pro"/>
          <w:color w:val="404040"/>
        </w:rPr>
        <w:t>and</w:t>
      </w:r>
      <w:r>
        <w:rPr>
          <w:rFonts w:ascii="Source Sans Pro"/>
          <w:color w:val="404040"/>
          <w:spacing w:val="-3"/>
        </w:rPr>
        <w:t xml:space="preserve"> </w:t>
      </w:r>
      <w:r>
        <w:rPr>
          <w:rFonts w:ascii="Source Sans Pro"/>
          <w:color w:val="404040"/>
        </w:rPr>
        <w:t>AFP</w:t>
      </w:r>
      <w:r>
        <w:rPr>
          <w:rFonts w:ascii="Source Sans Pro"/>
          <w:color w:val="404040"/>
          <w:spacing w:val="-4"/>
        </w:rPr>
        <w:t xml:space="preserve"> </w:t>
      </w:r>
      <w:r>
        <w:rPr>
          <w:rFonts w:ascii="Source Sans Pro"/>
          <w:color w:val="404040"/>
        </w:rPr>
        <w:t>strategic</w:t>
      </w:r>
      <w:r>
        <w:rPr>
          <w:rFonts w:ascii="Source Sans Pro"/>
          <w:color w:val="404040"/>
          <w:spacing w:val="40"/>
        </w:rPr>
        <w:t xml:space="preserve"> </w:t>
      </w:r>
      <w:r>
        <w:rPr>
          <w:rFonts w:ascii="Source Sans Pro"/>
          <w:color w:val="404040"/>
        </w:rPr>
        <w:t>requirements, as well as inform adaptive programming across VAPJP.</w:t>
      </w:r>
    </w:p>
    <w:p w14:paraId="292AA501" w14:textId="77777777" w:rsidR="009C36E3" w:rsidRDefault="000E7207">
      <w:pPr>
        <w:pStyle w:val="BodyText"/>
        <w:spacing w:before="122"/>
      </w:pPr>
      <w:r>
        <w:t>VAPJP</w:t>
      </w:r>
      <w:r>
        <w:rPr>
          <w:spacing w:val="-2"/>
        </w:rPr>
        <w:t xml:space="preserve"> </w:t>
      </w:r>
      <w:r>
        <w:t>and</w:t>
      </w:r>
      <w:r>
        <w:rPr>
          <w:spacing w:val="-2"/>
        </w:rPr>
        <w:t xml:space="preserve"> </w:t>
      </w:r>
      <w:r>
        <w:t>DFAT,</w:t>
      </w:r>
      <w:r>
        <w:rPr>
          <w:spacing w:val="-4"/>
        </w:rPr>
        <w:t xml:space="preserve"> </w:t>
      </w:r>
      <w:r>
        <w:t>together</w:t>
      </w:r>
      <w:r>
        <w:rPr>
          <w:spacing w:val="-1"/>
        </w:rPr>
        <w:t xml:space="preserve"> </w:t>
      </w:r>
      <w:r>
        <w:t>with</w:t>
      </w:r>
      <w:r>
        <w:rPr>
          <w:spacing w:val="-2"/>
        </w:rPr>
        <w:t xml:space="preserve"> </w:t>
      </w:r>
      <w:r>
        <w:t>the</w:t>
      </w:r>
      <w:r>
        <w:rPr>
          <w:spacing w:val="-2"/>
        </w:rPr>
        <w:t xml:space="preserve"> </w:t>
      </w:r>
      <w:r>
        <w:t>managing</w:t>
      </w:r>
      <w:r>
        <w:rPr>
          <w:spacing w:val="-4"/>
        </w:rPr>
        <w:t xml:space="preserve"> </w:t>
      </w:r>
      <w:r>
        <w:t>contractor,</w:t>
      </w:r>
      <w:r>
        <w:rPr>
          <w:spacing w:val="-4"/>
        </w:rPr>
        <w:t xml:space="preserve"> </w:t>
      </w:r>
      <w:r>
        <w:t>have</w:t>
      </w:r>
      <w:r>
        <w:rPr>
          <w:spacing w:val="-2"/>
        </w:rPr>
        <w:t xml:space="preserve"> </w:t>
      </w:r>
      <w:r>
        <w:t>been</w:t>
      </w:r>
      <w:r>
        <w:rPr>
          <w:spacing w:val="-4"/>
        </w:rPr>
        <w:t xml:space="preserve"> </w:t>
      </w:r>
      <w:r>
        <w:t>working</w:t>
      </w:r>
      <w:r>
        <w:rPr>
          <w:spacing w:val="-4"/>
        </w:rPr>
        <w:t xml:space="preserve"> </w:t>
      </w:r>
      <w:r>
        <w:t>to</w:t>
      </w:r>
      <w:r>
        <w:rPr>
          <w:spacing w:val="-4"/>
        </w:rPr>
        <w:t xml:space="preserve"> </w:t>
      </w:r>
      <w:r>
        <w:t>tighten</w:t>
      </w:r>
      <w:r>
        <w:rPr>
          <w:spacing w:val="-4"/>
        </w:rPr>
        <w:t xml:space="preserve"> </w:t>
      </w:r>
      <w:r>
        <w:t>program</w:t>
      </w:r>
      <w:r>
        <w:rPr>
          <w:spacing w:val="-4"/>
        </w:rPr>
        <w:t xml:space="preserve"> </w:t>
      </w:r>
      <w:r>
        <w:t>reporting,</w:t>
      </w:r>
      <w:r>
        <w:rPr>
          <w:spacing w:val="-2"/>
        </w:rPr>
        <w:t xml:space="preserve"> </w:t>
      </w:r>
      <w:r>
        <w:t>but</w:t>
      </w:r>
      <w:r>
        <w:rPr>
          <w:spacing w:val="-4"/>
        </w:rPr>
        <w:t xml:space="preserve"> </w:t>
      </w:r>
      <w:r>
        <w:t>this has been difficult to achieve, with too much output-level information provided and unclear guidance back to the program as to what should be included. Challenges related to the lack of a ToC and reporting that focuses on detailed output reporting are outlined in the MERL section of this report.</w:t>
      </w:r>
    </w:p>
    <w:p w14:paraId="6408CFC8" w14:textId="77777777" w:rsidR="009C36E3" w:rsidRDefault="000E7207">
      <w:pPr>
        <w:pStyle w:val="BodyText"/>
        <w:spacing w:before="122"/>
        <w:ind w:right="120"/>
      </w:pPr>
      <w:r>
        <w:t>Reporting should provide a succinct summary of progress against outcomes in line with the program logic and MERL framework indicators and targets that also provide information about the quality and extent of change. An initial</w:t>
      </w:r>
      <w:r>
        <w:rPr>
          <w:spacing w:val="-4"/>
        </w:rPr>
        <w:t xml:space="preserve"> </w:t>
      </w:r>
      <w:r>
        <w:t>summary</w:t>
      </w:r>
      <w:r>
        <w:rPr>
          <w:spacing w:val="-2"/>
        </w:rPr>
        <w:t xml:space="preserve"> </w:t>
      </w:r>
      <w:r>
        <w:t>of</w:t>
      </w:r>
      <w:r>
        <w:rPr>
          <w:spacing w:val="-1"/>
        </w:rPr>
        <w:t xml:space="preserve"> </w:t>
      </w:r>
      <w:r>
        <w:t>progress against</w:t>
      </w:r>
      <w:r>
        <w:rPr>
          <w:spacing w:val="-3"/>
        </w:rPr>
        <w:t xml:space="preserve"> </w:t>
      </w:r>
      <w:r>
        <w:t>outcomes</w:t>
      </w:r>
      <w:r>
        <w:rPr>
          <w:spacing w:val="-2"/>
        </w:rPr>
        <w:t xml:space="preserve"> </w:t>
      </w:r>
      <w:r>
        <w:t>can</w:t>
      </w:r>
      <w:r>
        <w:rPr>
          <w:spacing w:val="-3"/>
        </w:rPr>
        <w:t xml:space="preserve"> </w:t>
      </w:r>
      <w:r>
        <w:t>be</w:t>
      </w:r>
      <w:r>
        <w:rPr>
          <w:spacing w:val="-3"/>
        </w:rPr>
        <w:t xml:space="preserve"> </w:t>
      </w:r>
      <w:r>
        <w:t>consolidated</w:t>
      </w:r>
      <w:r>
        <w:rPr>
          <w:spacing w:val="-1"/>
        </w:rPr>
        <w:t xml:space="preserve"> </w:t>
      </w:r>
      <w:r>
        <w:t>and</w:t>
      </w:r>
      <w:r>
        <w:rPr>
          <w:spacing w:val="-3"/>
        </w:rPr>
        <w:t xml:space="preserve"> </w:t>
      </w:r>
      <w:r>
        <w:t>presented</w:t>
      </w:r>
      <w:r>
        <w:rPr>
          <w:spacing w:val="-1"/>
        </w:rPr>
        <w:t xml:space="preserve"> </w:t>
      </w:r>
      <w:r>
        <w:t>with</w:t>
      </w:r>
      <w:r>
        <w:rPr>
          <w:spacing w:val="-3"/>
        </w:rPr>
        <w:t xml:space="preserve"> </w:t>
      </w:r>
      <w:r>
        <w:t>visual</w:t>
      </w:r>
      <w:r>
        <w:rPr>
          <w:spacing w:val="-2"/>
        </w:rPr>
        <w:t xml:space="preserve"> </w:t>
      </w:r>
      <w:r>
        <w:t>tools</w:t>
      </w:r>
      <w:r>
        <w:rPr>
          <w:spacing w:val="-2"/>
        </w:rPr>
        <w:t xml:space="preserve"> </w:t>
      </w:r>
      <w:r>
        <w:t>such</w:t>
      </w:r>
      <w:r>
        <w:rPr>
          <w:spacing w:val="-3"/>
        </w:rPr>
        <w:t xml:space="preserve"> </w:t>
      </w:r>
      <w:r>
        <w:t>as</w:t>
      </w:r>
      <w:r>
        <w:rPr>
          <w:spacing w:val="-2"/>
        </w:rPr>
        <w:t xml:space="preserve"> </w:t>
      </w:r>
      <w:r>
        <w:t>a</w:t>
      </w:r>
      <w:r>
        <w:rPr>
          <w:spacing w:val="-1"/>
        </w:rPr>
        <w:t xml:space="preserve"> </w:t>
      </w:r>
      <w:r>
        <w:t>traffic light system, which can then be broken down and explained under each Output and Outcome area. All narrative data</w:t>
      </w:r>
      <w:r>
        <w:rPr>
          <w:spacing w:val="-3"/>
        </w:rPr>
        <w:t xml:space="preserve"> </w:t>
      </w:r>
      <w:r>
        <w:t>should</w:t>
      </w:r>
      <w:r>
        <w:rPr>
          <w:spacing w:val="-3"/>
        </w:rPr>
        <w:t xml:space="preserve"> </w:t>
      </w:r>
      <w:r>
        <w:t>be</w:t>
      </w:r>
      <w:r>
        <w:rPr>
          <w:spacing w:val="-3"/>
        </w:rPr>
        <w:t xml:space="preserve"> </w:t>
      </w:r>
      <w:r>
        <w:t>synthesised</w:t>
      </w:r>
      <w:r>
        <w:rPr>
          <w:spacing w:val="-2"/>
        </w:rPr>
        <w:t xml:space="preserve"> </w:t>
      </w:r>
      <w:r>
        <w:t>and</w:t>
      </w:r>
      <w:r>
        <w:rPr>
          <w:spacing w:val="-3"/>
        </w:rPr>
        <w:t xml:space="preserve"> </w:t>
      </w:r>
      <w:r>
        <w:t>reported</w:t>
      </w:r>
      <w:r>
        <w:rPr>
          <w:spacing w:val="-3"/>
        </w:rPr>
        <w:t xml:space="preserve"> </w:t>
      </w:r>
      <w:r>
        <w:t>under</w:t>
      </w:r>
      <w:r>
        <w:rPr>
          <w:spacing w:val="-1"/>
        </w:rPr>
        <w:t xml:space="preserve"> </w:t>
      </w:r>
      <w:r>
        <w:t>headings</w:t>
      </w:r>
      <w:r>
        <w:rPr>
          <w:spacing w:val="-2"/>
        </w:rPr>
        <w:t xml:space="preserve"> </w:t>
      </w:r>
      <w:r>
        <w:t>related</w:t>
      </w:r>
      <w:r>
        <w:rPr>
          <w:spacing w:val="-3"/>
        </w:rPr>
        <w:t xml:space="preserve"> </w:t>
      </w:r>
      <w:r>
        <w:t>to</w:t>
      </w:r>
      <w:r>
        <w:rPr>
          <w:spacing w:val="-3"/>
        </w:rPr>
        <w:t xml:space="preserve"> </w:t>
      </w:r>
      <w:r>
        <w:t>the</w:t>
      </w:r>
      <w:r>
        <w:rPr>
          <w:spacing w:val="-3"/>
        </w:rPr>
        <w:t xml:space="preserve"> </w:t>
      </w:r>
      <w:r>
        <w:t>Outcomes and</w:t>
      </w:r>
      <w:r>
        <w:rPr>
          <w:spacing w:val="-3"/>
        </w:rPr>
        <w:t xml:space="preserve"> </w:t>
      </w:r>
      <w:r>
        <w:t>Outputs,</w:t>
      </w:r>
      <w:r>
        <w:rPr>
          <w:spacing w:val="-3"/>
        </w:rPr>
        <w:t xml:space="preserve"> </w:t>
      </w:r>
      <w:r>
        <w:t>with</w:t>
      </w:r>
      <w:r>
        <w:rPr>
          <w:spacing w:val="-3"/>
        </w:rPr>
        <w:t xml:space="preserve"> </w:t>
      </w:r>
      <w:r>
        <w:t>sub-headings to aid readers. This also applies for ‘new’ activity areas which reflect adaptation and learning, with explanation.</w:t>
      </w:r>
    </w:p>
    <w:p w14:paraId="4118233E" w14:textId="77777777" w:rsidR="009C36E3" w:rsidRDefault="000E7207">
      <w:pPr>
        <w:pStyle w:val="BodyText"/>
        <w:ind w:right="120"/>
      </w:pPr>
      <w:r>
        <w:t>Reflections on thematic areas for DFAT Investment Monitoring Report (IMR) and Final Investment Monitoring Report (FIMR) reporting can also be included. This approach means that not all achievements or activities will be summarised in the body of the report but allows reviewers to gain a stronger sense of the program’s direction, progress and challenges. Annexes such as the AWP update and financial reporting provide sufficient detail for accountability, and reviewers have the option to request additional information as needed. The infographics that VAPJP</w:t>
      </w:r>
      <w:r>
        <w:rPr>
          <w:spacing w:val="-2"/>
        </w:rPr>
        <w:t xml:space="preserve"> </w:t>
      </w:r>
      <w:r>
        <w:t>develops</w:t>
      </w:r>
      <w:r>
        <w:rPr>
          <w:spacing w:val="-3"/>
        </w:rPr>
        <w:t xml:space="preserve"> </w:t>
      </w:r>
      <w:r>
        <w:t>are</w:t>
      </w:r>
      <w:r>
        <w:rPr>
          <w:spacing w:val="-2"/>
        </w:rPr>
        <w:t xml:space="preserve"> </w:t>
      </w:r>
      <w:r>
        <w:t>also</w:t>
      </w:r>
      <w:r>
        <w:rPr>
          <w:spacing w:val="-2"/>
        </w:rPr>
        <w:t xml:space="preserve"> </w:t>
      </w:r>
      <w:r>
        <w:t>useful</w:t>
      </w:r>
      <w:r>
        <w:rPr>
          <w:spacing w:val="-3"/>
        </w:rPr>
        <w:t xml:space="preserve"> </w:t>
      </w:r>
      <w:r>
        <w:t>as</w:t>
      </w:r>
      <w:r>
        <w:rPr>
          <w:spacing w:val="-3"/>
        </w:rPr>
        <w:t xml:space="preserve"> </w:t>
      </w:r>
      <w:r>
        <w:t>a</w:t>
      </w:r>
      <w:r>
        <w:rPr>
          <w:spacing w:val="-4"/>
        </w:rPr>
        <w:t xml:space="preserve"> </w:t>
      </w:r>
      <w:r>
        <w:t>complementary</w:t>
      </w:r>
      <w:r>
        <w:rPr>
          <w:spacing w:val="-3"/>
        </w:rPr>
        <w:t xml:space="preserve"> </w:t>
      </w:r>
      <w:r>
        <w:t>and</w:t>
      </w:r>
      <w:r>
        <w:rPr>
          <w:spacing w:val="-4"/>
        </w:rPr>
        <w:t xml:space="preserve"> </w:t>
      </w:r>
      <w:r>
        <w:t>responsive</w:t>
      </w:r>
      <w:r>
        <w:rPr>
          <w:spacing w:val="-4"/>
        </w:rPr>
        <w:t xml:space="preserve"> </w:t>
      </w:r>
      <w:r>
        <w:t>approach</w:t>
      </w:r>
      <w:r>
        <w:rPr>
          <w:spacing w:val="-4"/>
        </w:rPr>
        <w:t xml:space="preserve"> </w:t>
      </w:r>
      <w:r>
        <w:t>to</w:t>
      </w:r>
      <w:r>
        <w:rPr>
          <w:spacing w:val="-2"/>
        </w:rPr>
        <w:t xml:space="preserve"> </w:t>
      </w:r>
      <w:r>
        <w:t>sharing</w:t>
      </w:r>
      <w:r>
        <w:rPr>
          <w:spacing w:val="-2"/>
        </w:rPr>
        <w:t xml:space="preserve"> </w:t>
      </w:r>
      <w:r>
        <w:t>information,</w:t>
      </w:r>
      <w:r>
        <w:rPr>
          <w:spacing w:val="-4"/>
        </w:rPr>
        <w:t xml:space="preserve"> </w:t>
      </w:r>
      <w:r>
        <w:t>particularly with government and community stakeholders.</w:t>
      </w:r>
    </w:p>
    <w:p w14:paraId="560CD777" w14:textId="77777777" w:rsidR="009C36E3" w:rsidRDefault="000E7207">
      <w:pPr>
        <w:pStyle w:val="BodyText"/>
        <w:spacing w:before="119"/>
        <w:ind w:right="120"/>
      </w:pPr>
      <w:r>
        <w:t>To aid reporting, the Outputs in the program logic in the Activity Logic could be reframed as IOs, as they provide a useful</w:t>
      </w:r>
      <w:r>
        <w:rPr>
          <w:spacing w:val="-2"/>
        </w:rPr>
        <w:t xml:space="preserve"> </w:t>
      </w:r>
      <w:r>
        <w:t>guide</w:t>
      </w:r>
      <w:r>
        <w:rPr>
          <w:spacing w:val="-1"/>
        </w:rPr>
        <w:t xml:space="preserve"> </w:t>
      </w:r>
      <w:r>
        <w:t>for</w:t>
      </w:r>
      <w:r>
        <w:rPr>
          <w:spacing w:val="-2"/>
        </w:rPr>
        <w:t xml:space="preserve"> </w:t>
      </w:r>
      <w:r>
        <w:t>understanding</w:t>
      </w:r>
      <w:r>
        <w:rPr>
          <w:spacing w:val="-1"/>
        </w:rPr>
        <w:t xml:space="preserve"> </w:t>
      </w:r>
      <w:r>
        <w:t>how the</w:t>
      </w:r>
      <w:r>
        <w:rPr>
          <w:spacing w:val="-1"/>
        </w:rPr>
        <w:t xml:space="preserve"> </w:t>
      </w:r>
      <w:r>
        <w:t>program</w:t>
      </w:r>
      <w:r>
        <w:rPr>
          <w:spacing w:val="-3"/>
        </w:rPr>
        <w:t xml:space="preserve"> </w:t>
      </w:r>
      <w:r>
        <w:t>activities</w:t>
      </w:r>
      <w:r>
        <w:rPr>
          <w:spacing w:val="-2"/>
        </w:rPr>
        <w:t xml:space="preserve"> </w:t>
      </w:r>
      <w:r>
        <w:t>are</w:t>
      </w:r>
      <w:r>
        <w:rPr>
          <w:spacing w:val="-3"/>
        </w:rPr>
        <w:t xml:space="preserve"> </w:t>
      </w:r>
      <w:r>
        <w:t>contributing</w:t>
      </w:r>
      <w:r>
        <w:rPr>
          <w:spacing w:val="-3"/>
        </w:rPr>
        <w:t xml:space="preserve"> </w:t>
      </w:r>
      <w:r>
        <w:t>to</w:t>
      </w:r>
      <w:r>
        <w:rPr>
          <w:spacing w:val="-1"/>
        </w:rPr>
        <w:t xml:space="preserve"> </w:t>
      </w:r>
      <w:r>
        <w:t>the</w:t>
      </w:r>
      <w:r>
        <w:rPr>
          <w:spacing w:val="-1"/>
        </w:rPr>
        <w:t xml:space="preserve"> </w:t>
      </w:r>
      <w:r>
        <w:t>EOPOs,</w:t>
      </w:r>
      <w:r>
        <w:rPr>
          <w:spacing w:val="-3"/>
        </w:rPr>
        <w:t xml:space="preserve"> </w:t>
      </w:r>
      <w:r>
        <w:t>which</w:t>
      </w:r>
      <w:r>
        <w:rPr>
          <w:spacing w:val="-1"/>
        </w:rPr>
        <w:t xml:space="preserve"> </w:t>
      </w:r>
      <w:r>
        <w:t>are</w:t>
      </w:r>
      <w:r>
        <w:rPr>
          <w:spacing w:val="-3"/>
        </w:rPr>
        <w:t xml:space="preserve"> </w:t>
      </w:r>
      <w:r>
        <w:t>very</w:t>
      </w:r>
      <w:r>
        <w:rPr>
          <w:spacing w:val="-2"/>
        </w:rPr>
        <w:t xml:space="preserve"> </w:t>
      </w:r>
      <w:r>
        <w:t>broad.</w:t>
      </w:r>
      <w:r>
        <w:rPr>
          <w:spacing w:val="-3"/>
        </w:rPr>
        <w:t xml:space="preserve"> </w:t>
      </w:r>
      <w:r>
        <w:t xml:space="preserve">For example, the Justice Outputs reflect changes in behaviour and processes, such as </w:t>
      </w:r>
      <w:r>
        <w:rPr>
          <w:i/>
        </w:rPr>
        <w:t xml:space="preserve">Output ii. Build capacity of justice agencies to support vulnerable victims of crime. </w:t>
      </w:r>
      <w:r>
        <w:t>Though framed as an output in the document, capacity development</w:t>
      </w:r>
      <w:r>
        <w:rPr>
          <w:spacing w:val="-2"/>
        </w:rPr>
        <w:t xml:space="preserve"> </w:t>
      </w:r>
      <w:r>
        <w:t>is</w:t>
      </w:r>
      <w:r>
        <w:rPr>
          <w:spacing w:val="-3"/>
        </w:rPr>
        <w:t xml:space="preserve"> </w:t>
      </w:r>
      <w:r>
        <w:t>in</w:t>
      </w:r>
      <w:r>
        <w:rPr>
          <w:spacing w:val="-4"/>
        </w:rPr>
        <w:t xml:space="preserve"> </w:t>
      </w:r>
      <w:r>
        <w:t>fact</w:t>
      </w:r>
      <w:r>
        <w:rPr>
          <w:spacing w:val="-2"/>
        </w:rPr>
        <w:t xml:space="preserve"> </w:t>
      </w:r>
      <w:r>
        <w:t>a</w:t>
      </w:r>
      <w:r>
        <w:rPr>
          <w:spacing w:val="-4"/>
        </w:rPr>
        <w:t xml:space="preserve"> </w:t>
      </w:r>
      <w:r>
        <w:t>higher-level</w:t>
      </w:r>
      <w:r>
        <w:rPr>
          <w:spacing w:val="-5"/>
        </w:rPr>
        <w:t xml:space="preserve"> </w:t>
      </w:r>
      <w:r>
        <w:t>change,</w:t>
      </w:r>
      <w:r>
        <w:rPr>
          <w:spacing w:val="-2"/>
        </w:rPr>
        <w:t xml:space="preserve"> </w:t>
      </w:r>
      <w:r>
        <w:t>that</w:t>
      </w:r>
      <w:r>
        <w:rPr>
          <w:spacing w:val="-2"/>
        </w:rPr>
        <w:t xml:space="preserve"> </w:t>
      </w:r>
      <w:r>
        <w:t>can</w:t>
      </w:r>
      <w:r>
        <w:rPr>
          <w:spacing w:val="-2"/>
        </w:rPr>
        <w:t xml:space="preserve"> </w:t>
      </w:r>
      <w:r>
        <w:t>be</w:t>
      </w:r>
      <w:r>
        <w:rPr>
          <w:spacing w:val="-4"/>
        </w:rPr>
        <w:t xml:space="preserve"> </w:t>
      </w:r>
      <w:r>
        <w:t>attributed</w:t>
      </w:r>
      <w:r>
        <w:rPr>
          <w:spacing w:val="-2"/>
        </w:rPr>
        <w:t xml:space="preserve"> </w:t>
      </w:r>
      <w:r>
        <w:t>to</w:t>
      </w:r>
      <w:r>
        <w:rPr>
          <w:spacing w:val="-4"/>
        </w:rPr>
        <w:t xml:space="preserve"> </w:t>
      </w:r>
      <w:r>
        <w:t>a</w:t>
      </w:r>
      <w:r>
        <w:rPr>
          <w:spacing w:val="-2"/>
        </w:rPr>
        <w:t xml:space="preserve"> </w:t>
      </w:r>
      <w:r>
        <w:t>combination</w:t>
      </w:r>
      <w:r>
        <w:rPr>
          <w:spacing w:val="-4"/>
        </w:rPr>
        <w:t xml:space="preserve"> </w:t>
      </w:r>
      <w:r>
        <w:t>of</w:t>
      </w:r>
      <w:r>
        <w:rPr>
          <w:spacing w:val="-2"/>
        </w:rPr>
        <w:t xml:space="preserve"> </w:t>
      </w:r>
      <w:r>
        <w:t>trainings</w:t>
      </w:r>
      <w:r>
        <w:rPr>
          <w:spacing w:val="-3"/>
        </w:rPr>
        <w:t xml:space="preserve"> </w:t>
      </w:r>
      <w:r>
        <w:t>delivered,</w:t>
      </w:r>
      <w:r>
        <w:rPr>
          <w:spacing w:val="-2"/>
        </w:rPr>
        <w:t xml:space="preserve"> </w:t>
      </w:r>
      <w:r>
        <w:t>planning support provided, standards for GEDSI promoted and so on.</w:t>
      </w:r>
    </w:p>
    <w:p w14:paraId="45B2D72F" w14:textId="77777777" w:rsidR="009C36E3" w:rsidRDefault="000E7207">
      <w:pPr>
        <w:pStyle w:val="BodyText"/>
        <w:spacing w:before="120"/>
        <w:ind w:right="120"/>
      </w:pPr>
      <w:r>
        <w:t>This recommendation also ties in with Recommendation 1 and Recommendation 2 above, which calls for clearer definition</w:t>
      </w:r>
      <w:r>
        <w:rPr>
          <w:spacing w:val="-3"/>
        </w:rPr>
        <w:t xml:space="preserve"> </w:t>
      </w:r>
      <w:r>
        <w:t>of</w:t>
      </w:r>
      <w:r>
        <w:rPr>
          <w:spacing w:val="-1"/>
        </w:rPr>
        <w:t xml:space="preserve"> </w:t>
      </w:r>
      <w:r>
        <w:t>what</w:t>
      </w:r>
      <w:r>
        <w:rPr>
          <w:spacing w:val="-1"/>
        </w:rPr>
        <w:t xml:space="preserve"> </w:t>
      </w:r>
      <w:r>
        <w:t>success</w:t>
      </w:r>
      <w:r>
        <w:rPr>
          <w:spacing w:val="-2"/>
        </w:rPr>
        <w:t xml:space="preserve"> </w:t>
      </w:r>
      <w:r>
        <w:t>looks</w:t>
      </w:r>
      <w:r>
        <w:rPr>
          <w:spacing w:val="-2"/>
        </w:rPr>
        <w:t xml:space="preserve"> </w:t>
      </w:r>
      <w:r>
        <w:t>like</w:t>
      </w:r>
      <w:r>
        <w:rPr>
          <w:spacing w:val="-1"/>
        </w:rPr>
        <w:t xml:space="preserve"> </w:t>
      </w:r>
      <w:r>
        <w:t>for</w:t>
      </w:r>
      <w:r>
        <w:rPr>
          <w:spacing w:val="-2"/>
        </w:rPr>
        <w:t xml:space="preserve"> </w:t>
      </w:r>
      <w:r>
        <w:t>VAPJP</w:t>
      </w:r>
      <w:r>
        <w:rPr>
          <w:spacing w:val="-4"/>
        </w:rPr>
        <w:t xml:space="preserve"> </w:t>
      </w:r>
      <w:r>
        <w:t>in</w:t>
      </w:r>
      <w:r>
        <w:rPr>
          <w:spacing w:val="-3"/>
        </w:rPr>
        <w:t xml:space="preserve"> </w:t>
      </w:r>
      <w:r>
        <w:t>terms</w:t>
      </w:r>
      <w:r>
        <w:rPr>
          <w:spacing w:val="-2"/>
        </w:rPr>
        <w:t xml:space="preserve"> </w:t>
      </w:r>
      <w:r>
        <w:t>of</w:t>
      </w:r>
      <w:r>
        <w:rPr>
          <w:spacing w:val="-3"/>
        </w:rPr>
        <w:t xml:space="preserve"> </w:t>
      </w:r>
      <w:r>
        <w:t>quality,</w:t>
      </w:r>
      <w:r>
        <w:rPr>
          <w:spacing w:val="-3"/>
        </w:rPr>
        <w:t xml:space="preserve"> </w:t>
      </w:r>
      <w:r>
        <w:t>so</w:t>
      </w:r>
      <w:r>
        <w:rPr>
          <w:spacing w:val="-3"/>
        </w:rPr>
        <w:t xml:space="preserve"> </w:t>
      </w:r>
      <w:r>
        <w:t>that</w:t>
      </w:r>
      <w:r>
        <w:rPr>
          <w:spacing w:val="-3"/>
        </w:rPr>
        <w:t xml:space="preserve"> </w:t>
      </w:r>
      <w:r>
        <w:t>assessments</w:t>
      </w:r>
      <w:r>
        <w:rPr>
          <w:spacing w:val="-2"/>
        </w:rPr>
        <w:t xml:space="preserve"> </w:t>
      </w:r>
      <w:r>
        <w:t>and</w:t>
      </w:r>
      <w:r>
        <w:rPr>
          <w:spacing w:val="-1"/>
        </w:rPr>
        <w:t xml:space="preserve"> </w:t>
      </w:r>
      <w:r>
        <w:t>descriptions of</w:t>
      </w:r>
      <w:r>
        <w:rPr>
          <w:spacing w:val="-3"/>
        </w:rPr>
        <w:t xml:space="preserve"> </w:t>
      </w:r>
      <w:r>
        <w:t>quality (and</w:t>
      </w:r>
      <w:r>
        <w:rPr>
          <w:spacing w:val="-4"/>
        </w:rPr>
        <w:t xml:space="preserve"> </w:t>
      </w:r>
      <w:r>
        <w:t>challenges)</w:t>
      </w:r>
      <w:r>
        <w:rPr>
          <w:spacing w:val="-3"/>
        </w:rPr>
        <w:t xml:space="preserve"> </w:t>
      </w:r>
      <w:r>
        <w:t>can</w:t>
      </w:r>
      <w:r>
        <w:rPr>
          <w:spacing w:val="-4"/>
        </w:rPr>
        <w:t xml:space="preserve"> </w:t>
      </w:r>
      <w:r>
        <w:t>be</w:t>
      </w:r>
      <w:r>
        <w:rPr>
          <w:spacing w:val="-4"/>
        </w:rPr>
        <w:t xml:space="preserve"> </w:t>
      </w:r>
      <w:r>
        <w:t>based</w:t>
      </w:r>
      <w:r>
        <w:rPr>
          <w:spacing w:val="-4"/>
        </w:rPr>
        <w:t xml:space="preserve"> </w:t>
      </w:r>
      <w:r>
        <w:t>on</w:t>
      </w:r>
      <w:r>
        <w:rPr>
          <w:spacing w:val="-2"/>
        </w:rPr>
        <w:t xml:space="preserve"> </w:t>
      </w:r>
      <w:r>
        <w:t>the</w:t>
      </w:r>
      <w:r>
        <w:rPr>
          <w:spacing w:val="-2"/>
        </w:rPr>
        <w:t xml:space="preserve"> </w:t>
      </w:r>
      <w:r>
        <w:t>program’s</w:t>
      </w:r>
      <w:r>
        <w:rPr>
          <w:spacing w:val="-3"/>
        </w:rPr>
        <w:t xml:space="preserve"> </w:t>
      </w:r>
      <w:r>
        <w:t>quality</w:t>
      </w:r>
      <w:r>
        <w:rPr>
          <w:spacing w:val="-3"/>
        </w:rPr>
        <w:t xml:space="preserve"> </w:t>
      </w:r>
      <w:r>
        <w:t>targets.</w:t>
      </w:r>
      <w:r>
        <w:rPr>
          <w:spacing w:val="-4"/>
        </w:rPr>
        <w:t xml:space="preserve"> </w:t>
      </w:r>
      <w:r>
        <w:t>Identifying</w:t>
      </w:r>
      <w:r>
        <w:rPr>
          <w:spacing w:val="-4"/>
        </w:rPr>
        <w:t xml:space="preserve"> </w:t>
      </w:r>
      <w:r>
        <w:t>quality standards and</w:t>
      </w:r>
      <w:r>
        <w:rPr>
          <w:spacing w:val="-2"/>
        </w:rPr>
        <w:t xml:space="preserve"> </w:t>
      </w:r>
      <w:r>
        <w:t>indicators</w:t>
      </w:r>
      <w:r>
        <w:rPr>
          <w:spacing w:val="-3"/>
        </w:rPr>
        <w:t xml:space="preserve"> </w:t>
      </w:r>
      <w:r>
        <w:t>would be best done through facilitated reflections sessions including the MERL team, technical advisers, key staff and government counterparts.</w:t>
      </w:r>
    </w:p>
    <w:p w14:paraId="596AF5FB" w14:textId="77777777" w:rsidR="0072274A" w:rsidRDefault="0072274A" w:rsidP="00FB69DA">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120"/>
        <w:ind w:right="119"/>
        <w:rPr>
          <w:rFonts w:ascii="Source Sans Pro"/>
        </w:rPr>
      </w:pPr>
      <w:r>
        <w:rPr>
          <w:rFonts w:ascii="Source Sans Pro"/>
          <w:b/>
          <w:color w:val="003478"/>
        </w:rPr>
        <w:t>Recommendation</w:t>
      </w:r>
      <w:r>
        <w:rPr>
          <w:rFonts w:ascii="Source Sans Pro"/>
          <w:b/>
          <w:color w:val="003478"/>
          <w:spacing w:val="-2"/>
        </w:rPr>
        <w:t xml:space="preserve"> </w:t>
      </w:r>
      <w:r>
        <w:rPr>
          <w:rFonts w:ascii="Source Sans Pro"/>
          <w:b/>
          <w:color w:val="003478"/>
        </w:rPr>
        <w:t>7.</w:t>
      </w:r>
      <w:r>
        <w:rPr>
          <w:rFonts w:ascii="Source Sans Pro"/>
          <w:b/>
          <w:color w:val="003478"/>
          <w:spacing w:val="11"/>
        </w:rPr>
        <w:t xml:space="preserve"> </w:t>
      </w:r>
      <w:r>
        <w:rPr>
          <w:rFonts w:ascii="Source Sans Pro"/>
          <w:color w:val="404040"/>
        </w:rPr>
        <w:t>VAPJP,</w:t>
      </w:r>
      <w:r>
        <w:rPr>
          <w:rFonts w:ascii="Source Sans Pro"/>
          <w:color w:val="404040"/>
          <w:spacing w:val="-2"/>
        </w:rPr>
        <w:t xml:space="preserve"> </w:t>
      </w:r>
      <w:r>
        <w:rPr>
          <w:rFonts w:ascii="Source Sans Pro"/>
          <w:color w:val="404040"/>
        </w:rPr>
        <w:t>DFAT</w:t>
      </w:r>
      <w:r>
        <w:rPr>
          <w:rFonts w:ascii="Source Sans Pro"/>
          <w:color w:val="404040"/>
          <w:spacing w:val="-1"/>
        </w:rPr>
        <w:t xml:space="preserve"> </w:t>
      </w:r>
      <w:r>
        <w:rPr>
          <w:rFonts w:ascii="Source Sans Pro"/>
          <w:color w:val="404040"/>
        </w:rPr>
        <w:t>and</w:t>
      </w:r>
      <w:r>
        <w:rPr>
          <w:rFonts w:ascii="Source Sans Pro"/>
          <w:color w:val="404040"/>
          <w:spacing w:val="-3"/>
        </w:rPr>
        <w:t xml:space="preserve"> </w:t>
      </w:r>
      <w:r>
        <w:rPr>
          <w:rFonts w:ascii="Source Sans Pro"/>
          <w:color w:val="404040"/>
        </w:rPr>
        <w:t>AFP</w:t>
      </w:r>
      <w:r>
        <w:rPr>
          <w:rFonts w:ascii="Source Sans Pro"/>
          <w:color w:val="404040"/>
          <w:spacing w:val="-3"/>
        </w:rPr>
        <w:t xml:space="preserve"> </w:t>
      </w:r>
      <w:r>
        <w:rPr>
          <w:rFonts w:ascii="Source Sans Pro"/>
          <w:color w:val="404040"/>
        </w:rPr>
        <w:t>should</w:t>
      </w:r>
      <w:r>
        <w:rPr>
          <w:rFonts w:ascii="Source Sans Pro"/>
          <w:color w:val="404040"/>
          <w:spacing w:val="-3"/>
        </w:rPr>
        <w:t xml:space="preserve"> </w:t>
      </w:r>
      <w:r>
        <w:rPr>
          <w:rFonts w:ascii="Source Sans Pro"/>
          <w:color w:val="404040"/>
        </w:rPr>
        <w:t>support</w:t>
      </w:r>
      <w:r>
        <w:rPr>
          <w:rFonts w:ascii="Source Sans Pro"/>
          <w:color w:val="404040"/>
          <w:spacing w:val="-3"/>
        </w:rPr>
        <w:t xml:space="preserve"> </w:t>
      </w:r>
      <w:r>
        <w:rPr>
          <w:rFonts w:ascii="Source Sans Pro"/>
          <w:color w:val="404040"/>
        </w:rPr>
        <w:t>the</w:t>
      </w:r>
      <w:r>
        <w:rPr>
          <w:rFonts w:ascii="Source Sans Pro"/>
          <w:color w:val="404040"/>
          <w:spacing w:val="-3"/>
        </w:rPr>
        <w:t xml:space="preserve"> </w:t>
      </w:r>
      <w:r>
        <w:rPr>
          <w:rFonts w:ascii="Source Sans Pro"/>
          <w:color w:val="404040"/>
        </w:rPr>
        <w:t>transition</w:t>
      </w:r>
      <w:r>
        <w:rPr>
          <w:rFonts w:ascii="Source Sans Pro"/>
          <w:color w:val="404040"/>
          <w:spacing w:val="-4"/>
        </w:rPr>
        <w:t xml:space="preserve"> </w:t>
      </w:r>
      <w:r>
        <w:rPr>
          <w:rFonts w:ascii="Source Sans Pro"/>
          <w:color w:val="404040"/>
        </w:rPr>
        <w:t>to</w:t>
      </w:r>
      <w:r>
        <w:rPr>
          <w:rFonts w:ascii="Source Sans Pro"/>
          <w:color w:val="404040"/>
          <w:spacing w:val="-3"/>
        </w:rPr>
        <w:t xml:space="preserve"> </w:t>
      </w:r>
      <w:r>
        <w:rPr>
          <w:rFonts w:ascii="Source Sans Pro"/>
          <w:color w:val="404040"/>
        </w:rPr>
        <w:t>the</w:t>
      </w:r>
      <w:r>
        <w:rPr>
          <w:rFonts w:ascii="Source Sans Pro"/>
          <w:color w:val="404040"/>
          <w:spacing w:val="-1"/>
        </w:rPr>
        <w:t xml:space="preserve"> </w:t>
      </w:r>
      <w:r>
        <w:rPr>
          <w:rFonts w:ascii="Source Sans Pro"/>
          <w:color w:val="404040"/>
        </w:rPr>
        <w:t>new</w:t>
      </w:r>
      <w:r>
        <w:rPr>
          <w:rFonts w:ascii="Source Sans Pro"/>
          <w:color w:val="404040"/>
          <w:spacing w:val="-2"/>
        </w:rPr>
        <w:t xml:space="preserve"> </w:t>
      </w:r>
      <w:r>
        <w:rPr>
          <w:rFonts w:ascii="Source Sans Pro"/>
          <w:color w:val="404040"/>
        </w:rPr>
        <w:t>PC-P,</w:t>
      </w:r>
      <w:r>
        <w:rPr>
          <w:rFonts w:ascii="Source Sans Pro"/>
          <w:color w:val="404040"/>
          <w:spacing w:val="-2"/>
        </w:rPr>
        <w:t xml:space="preserve"> </w:t>
      </w:r>
      <w:r>
        <w:rPr>
          <w:rFonts w:ascii="Source Sans Pro"/>
          <w:color w:val="404040"/>
        </w:rPr>
        <w:t>with</w:t>
      </w:r>
      <w:r>
        <w:rPr>
          <w:rFonts w:ascii="Source Sans Pro"/>
          <w:color w:val="404040"/>
          <w:spacing w:val="-3"/>
        </w:rPr>
        <w:t xml:space="preserve"> </w:t>
      </w:r>
      <w:r>
        <w:rPr>
          <w:rFonts w:ascii="Source Sans Pro"/>
          <w:color w:val="404040"/>
        </w:rPr>
        <w:t>a</w:t>
      </w:r>
      <w:r>
        <w:rPr>
          <w:rFonts w:ascii="Source Sans Pro"/>
          <w:color w:val="404040"/>
          <w:spacing w:val="-2"/>
        </w:rPr>
        <w:t xml:space="preserve"> </w:t>
      </w:r>
      <w:r>
        <w:rPr>
          <w:rFonts w:ascii="Source Sans Pro"/>
          <w:color w:val="404040"/>
        </w:rPr>
        <w:t>view</w:t>
      </w:r>
      <w:r>
        <w:rPr>
          <w:rFonts w:ascii="Source Sans Pro"/>
          <w:color w:val="404040"/>
          <w:spacing w:val="-2"/>
        </w:rPr>
        <w:t xml:space="preserve"> </w:t>
      </w:r>
      <w:r>
        <w:rPr>
          <w:rFonts w:ascii="Source Sans Pro"/>
          <w:color w:val="404040"/>
        </w:rPr>
        <w:t>to</w:t>
      </w:r>
      <w:r>
        <w:rPr>
          <w:rFonts w:ascii="Source Sans Pro"/>
          <w:color w:val="404040"/>
          <w:spacing w:val="-3"/>
        </w:rPr>
        <w:t xml:space="preserve"> </w:t>
      </w:r>
      <w:r>
        <w:rPr>
          <w:rFonts w:ascii="Source Sans Pro"/>
          <w:color w:val="404040"/>
        </w:rPr>
        <w:t>maintaining</w:t>
      </w:r>
      <w:r>
        <w:rPr>
          <w:rFonts w:ascii="Source Sans Pro"/>
          <w:color w:val="404040"/>
          <w:spacing w:val="40"/>
        </w:rPr>
        <w:t xml:space="preserve"> </w:t>
      </w:r>
      <w:r>
        <w:rPr>
          <w:rFonts w:ascii="Source Sans Pro"/>
          <w:color w:val="404040"/>
        </w:rPr>
        <w:t>and enhancing systems and processes for collaboration and joint outcomes across the Justice and Policing sector</w:t>
      </w:r>
      <w:r>
        <w:rPr>
          <w:rFonts w:ascii="Source Sans Pro"/>
          <w:color w:val="404040"/>
          <w:spacing w:val="40"/>
        </w:rPr>
        <w:t xml:space="preserve"> </w:t>
      </w:r>
      <w:r>
        <w:rPr>
          <w:rFonts w:ascii="Source Sans Pro"/>
          <w:color w:val="404040"/>
        </w:rPr>
        <w:t>through strong communications, and recognition of shared goals and mutual accountability. Consideration could be</w:t>
      </w:r>
      <w:r>
        <w:rPr>
          <w:rFonts w:ascii="Source Sans Pro"/>
          <w:color w:val="404040"/>
          <w:spacing w:val="40"/>
        </w:rPr>
        <w:t xml:space="preserve"> </w:t>
      </w:r>
      <w:r>
        <w:rPr>
          <w:rFonts w:ascii="Source Sans Pro"/>
          <w:color w:val="404040"/>
        </w:rPr>
        <w:t>given to engaging a Partnership Broker to assist with establishing this relationship from the outset.</w:t>
      </w:r>
    </w:p>
    <w:p w14:paraId="69EB5DA6" w14:textId="77777777" w:rsidR="00831FFF" w:rsidRDefault="000E7207" w:rsidP="00CB17FD">
      <w:pPr>
        <w:pStyle w:val="BodyText"/>
        <w:spacing w:before="124"/>
        <w:ind w:right="120"/>
      </w:pPr>
      <w:r>
        <w:t>At the time of the MTR mission, relationships between the two Program Coordinators were strong, and this contributed to the successes of the program. Many respondents expressed concerns that this may change with a change in personnel, with respondents citing earlier examples of less than satisfactory relationships. It will be important</w:t>
      </w:r>
      <w:r>
        <w:rPr>
          <w:spacing w:val="-2"/>
        </w:rPr>
        <w:t xml:space="preserve"> </w:t>
      </w:r>
      <w:r>
        <w:t>to</w:t>
      </w:r>
      <w:r>
        <w:rPr>
          <w:spacing w:val="-2"/>
        </w:rPr>
        <w:t xml:space="preserve"> </w:t>
      </w:r>
      <w:r>
        <w:t>establish</w:t>
      </w:r>
      <w:r>
        <w:rPr>
          <w:spacing w:val="-4"/>
        </w:rPr>
        <w:t xml:space="preserve"> </w:t>
      </w:r>
      <w:r>
        <w:t>robust</w:t>
      </w:r>
      <w:r>
        <w:rPr>
          <w:spacing w:val="-4"/>
        </w:rPr>
        <w:t xml:space="preserve"> </w:t>
      </w:r>
      <w:r>
        <w:t>systems</w:t>
      </w:r>
      <w:r>
        <w:rPr>
          <w:spacing w:val="-3"/>
        </w:rPr>
        <w:t xml:space="preserve"> </w:t>
      </w:r>
      <w:r>
        <w:t>and</w:t>
      </w:r>
      <w:r>
        <w:rPr>
          <w:spacing w:val="-4"/>
        </w:rPr>
        <w:t xml:space="preserve"> </w:t>
      </w:r>
      <w:r>
        <w:t>processes</w:t>
      </w:r>
      <w:r>
        <w:rPr>
          <w:spacing w:val="-3"/>
        </w:rPr>
        <w:t xml:space="preserve"> </w:t>
      </w:r>
      <w:r>
        <w:t>for</w:t>
      </w:r>
      <w:r>
        <w:rPr>
          <w:spacing w:val="-3"/>
        </w:rPr>
        <w:t xml:space="preserve"> </w:t>
      </w:r>
      <w:r>
        <w:t>a</w:t>
      </w:r>
      <w:r>
        <w:rPr>
          <w:spacing w:val="-4"/>
        </w:rPr>
        <w:t xml:space="preserve"> </w:t>
      </w:r>
      <w:r>
        <w:t>strong</w:t>
      </w:r>
      <w:r>
        <w:rPr>
          <w:spacing w:val="-2"/>
        </w:rPr>
        <w:t xml:space="preserve"> </w:t>
      </w:r>
      <w:r>
        <w:t>and</w:t>
      </w:r>
      <w:r>
        <w:rPr>
          <w:spacing w:val="-4"/>
        </w:rPr>
        <w:t xml:space="preserve"> </w:t>
      </w:r>
      <w:r>
        <w:t>positive</w:t>
      </w:r>
      <w:r>
        <w:rPr>
          <w:spacing w:val="-2"/>
        </w:rPr>
        <w:t xml:space="preserve"> </w:t>
      </w:r>
      <w:r>
        <w:t>foundation</w:t>
      </w:r>
      <w:r>
        <w:rPr>
          <w:spacing w:val="-2"/>
        </w:rPr>
        <w:t xml:space="preserve"> </w:t>
      </w:r>
      <w:r>
        <w:t>for</w:t>
      </w:r>
      <w:r>
        <w:rPr>
          <w:spacing w:val="-3"/>
        </w:rPr>
        <w:t xml:space="preserve"> </w:t>
      </w:r>
      <w:r>
        <w:t>collaboration</w:t>
      </w:r>
      <w:r>
        <w:rPr>
          <w:spacing w:val="-4"/>
        </w:rPr>
        <w:t xml:space="preserve"> </w:t>
      </w:r>
      <w:r>
        <w:t>between the Justice, Policing and Community streams of VAPJP, not only at management level but also at adviser level, since outcomes will be heavily dependent on good relationships. Experience from other policing and justice programs has shown this to be a risk area, given differences in priorities, culture and accountability between the policing and security and development spheres. It may be valuable to consider engaging a Partnership Broker to assist with establishing this relationship from the outset</w:t>
      </w:r>
      <w:r w:rsidR="00831FFF">
        <w:t>.</w:t>
      </w:r>
    </w:p>
    <w:p w14:paraId="79CBBEF7" w14:textId="2A9DF5F4" w:rsidR="009C36E3" w:rsidRDefault="00DA45CB" w:rsidP="007135DD">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120"/>
        <w:ind w:right="119"/>
        <w:rPr>
          <w:sz w:val="8"/>
        </w:rPr>
        <w:sectPr w:rsidR="009C36E3">
          <w:pgSz w:w="11910" w:h="16850"/>
          <w:pgMar w:top="1040" w:right="740" w:bottom="740" w:left="80" w:header="552" w:footer="559" w:gutter="0"/>
          <w:cols w:space="720"/>
        </w:sectPr>
      </w:pPr>
      <w:r>
        <w:rPr>
          <w:rFonts w:ascii="Source Sans Pro" w:hAnsi="Source Sans Pro"/>
          <w:b/>
          <w:color w:val="003478"/>
        </w:rPr>
        <w:t>Recommendation</w:t>
      </w:r>
      <w:r>
        <w:rPr>
          <w:rFonts w:ascii="Source Sans Pro" w:hAnsi="Source Sans Pro"/>
          <w:b/>
          <w:color w:val="003478"/>
          <w:spacing w:val="-2"/>
        </w:rPr>
        <w:t xml:space="preserve"> </w:t>
      </w:r>
      <w:r>
        <w:rPr>
          <w:rFonts w:ascii="Source Sans Pro" w:hAnsi="Source Sans Pro"/>
          <w:b/>
          <w:color w:val="003478"/>
        </w:rPr>
        <w:t>8.</w:t>
      </w:r>
      <w:r>
        <w:rPr>
          <w:rFonts w:ascii="Source Sans Pro" w:hAnsi="Source Sans Pro"/>
          <w:b/>
          <w:color w:val="003478"/>
          <w:spacing w:val="11"/>
        </w:rPr>
        <w:t xml:space="preserve"> </w:t>
      </w:r>
      <w:r>
        <w:rPr>
          <w:rFonts w:ascii="Source Sans Pro" w:hAnsi="Source Sans Pro"/>
          <w:color w:val="404040"/>
        </w:rPr>
        <w:t>Management and</w:t>
      </w:r>
      <w:r>
        <w:rPr>
          <w:rFonts w:ascii="Source Sans Pro" w:hAnsi="Source Sans Pro"/>
          <w:color w:val="404040"/>
          <w:spacing w:val="-2"/>
        </w:rPr>
        <w:t xml:space="preserve"> </w:t>
      </w:r>
      <w:r>
        <w:rPr>
          <w:rFonts w:ascii="Source Sans Pro" w:hAnsi="Source Sans Pro"/>
          <w:color w:val="404040"/>
        </w:rPr>
        <w:t>advisers</w:t>
      </w:r>
      <w:r>
        <w:rPr>
          <w:rFonts w:ascii="Source Sans Pro" w:hAnsi="Source Sans Pro"/>
          <w:color w:val="404040"/>
          <w:spacing w:val="-3"/>
        </w:rPr>
        <w:t xml:space="preserve"> </w:t>
      </w:r>
      <w:r>
        <w:rPr>
          <w:rFonts w:ascii="Source Sans Pro" w:hAnsi="Source Sans Pro"/>
          <w:color w:val="404040"/>
        </w:rPr>
        <w:t>from</w:t>
      </w:r>
      <w:r>
        <w:rPr>
          <w:rFonts w:ascii="Source Sans Pro" w:hAnsi="Source Sans Pro"/>
          <w:color w:val="404040"/>
          <w:spacing w:val="-2"/>
        </w:rPr>
        <w:t xml:space="preserve"> </w:t>
      </w:r>
      <w:r>
        <w:rPr>
          <w:rFonts w:ascii="Source Sans Pro" w:hAnsi="Source Sans Pro"/>
          <w:color w:val="404040"/>
        </w:rPr>
        <w:t>the</w:t>
      </w:r>
      <w:r>
        <w:rPr>
          <w:rFonts w:ascii="Source Sans Pro" w:hAnsi="Source Sans Pro"/>
          <w:color w:val="404040"/>
          <w:spacing w:val="-3"/>
        </w:rPr>
        <w:t xml:space="preserve"> </w:t>
      </w:r>
      <w:r>
        <w:rPr>
          <w:rFonts w:ascii="Source Sans Pro" w:hAnsi="Source Sans Pro"/>
          <w:color w:val="404040"/>
        </w:rPr>
        <w:t>justice</w:t>
      </w:r>
      <w:r>
        <w:rPr>
          <w:rFonts w:ascii="Source Sans Pro" w:hAnsi="Source Sans Pro"/>
          <w:color w:val="404040"/>
          <w:spacing w:val="-3"/>
        </w:rPr>
        <w:t xml:space="preserve"> </w:t>
      </w:r>
      <w:r>
        <w:rPr>
          <w:rFonts w:ascii="Source Sans Pro" w:hAnsi="Source Sans Pro"/>
          <w:color w:val="404040"/>
        </w:rPr>
        <w:t>stream</w:t>
      </w:r>
      <w:r>
        <w:rPr>
          <w:rFonts w:ascii="Source Sans Pro" w:hAnsi="Source Sans Pro"/>
          <w:color w:val="404040"/>
          <w:spacing w:val="-2"/>
        </w:rPr>
        <w:t xml:space="preserve"> </w:t>
      </w:r>
      <w:r>
        <w:rPr>
          <w:rFonts w:ascii="Source Sans Pro" w:hAnsi="Source Sans Pro"/>
          <w:color w:val="404040"/>
        </w:rPr>
        <w:t>of</w:t>
      </w:r>
      <w:r>
        <w:rPr>
          <w:rFonts w:ascii="Source Sans Pro" w:hAnsi="Source Sans Pro"/>
          <w:color w:val="404040"/>
          <w:spacing w:val="-3"/>
        </w:rPr>
        <w:t xml:space="preserve"> </w:t>
      </w:r>
      <w:r>
        <w:rPr>
          <w:rFonts w:ascii="Source Sans Pro" w:hAnsi="Source Sans Pro"/>
          <w:color w:val="404040"/>
        </w:rPr>
        <w:t>VAPJP</w:t>
      </w:r>
      <w:r>
        <w:rPr>
          <w:rFonts w:ascii="Source Sans Pro" w:hAnsi="Source Sans Pro"/>
          <w:color w:val="404040"/>
          <w:spacing w:val="-3"/>
        </w:rPr>
        <w:t xml:space="preserve"> </w:t>
      </w:r>
      <w:r>
        <w:rPr>
          <w:rFonts w:ascii="Source Sans Pro" w:hAnsi="Source Sans Pro"/>
          <w:color w:val="404040"/>
        </w:rPr>
        <w:t>should</w:t>
      </w:r>
      <w:r>
        <w:rPr>
          <w:rFonts w:ascii="Source Sans Pro" w:hAnsi="Source Sans Pro"/>
          <w:color w:val="404040"/>
          <w:spacing w:val="-3"/>
        </w:rPr>
        <w:t xml:space="preserve"> </w:t>
      </w:r>
      <w:r>
        <w:rPr>
          <w:rFonts w:ascii="Source Sans Pro" w:hAnsi="Source Sans Pro"/>
          <w:color w:val="404040"/>
        </w:rPr>
        <w:t>work</w:t>
      </w:r>
      <w:r>
        <w:rPr>
          <w:rFonts w:ascii="Source Sans Pro" w:hAnsi="Source Sans Pro"/>
          <w:color w:val="404040"/>
          <w:spacing w:val="-3"/>
        </w:rPr>
        <w:t xml:space="preserve"> </w:t>
      </w:r>
      <w:r>
        <w:rPr>
          <w:rFonts w:ascii="Source Sans Pro" w:hAnsi="Source Sans Pro"/>
          <w:color w:val="404040"/>
        </w:rPr>
        <w:t>collaboratively,</w:t>
      </w:r>
      <w:r>
        <w:rPr>
          <w:rFonts w:ascii="Source Sans Pro" w:hAnsi="Source Sans Pro"/>
          <w:color w:val="404040"/>
          <w:spacing w:val="-2"/>
        </w:rPr>
        <w:t xml:space="preserve"> </w:t>
      </w:r>
      <w:r>
        <w:rPr>
          <w:rFonts w:ascii="Source Sans Pro" w:hAnsi="Source Sans Pro"/>
          <w:color w:val="404040"/>
        </w:rPr>
        <w:t>to</w:t>
      </w:r>
      <w:r>
        <w:rPr>
          <w:rFonts w:ascii="Source Sans Pro" w:hAnsi="Source Sans Pro"/>
          <w:color w:val="404040"/>
          <w:spacing w:val="40"/>
        </w:rPr>
        <w:t xml:space="preserve"> </w:t>
      </w:r>
      <w:r>
        <w:rPr>
          <w:rFonts w:ascii="Source Sans Pro" w:hAnsi="Source Sans Pro"/>
          <w:color w:val="404040"/>
        </w:rPr>
        <w:t>build a positive workplace environment that facilitates understanding and recognition of advisers’ contributions and challenges, and where possible increases connections between agencies.</w:t>
      </w:r>
    </w:p>
    <w:p w14:paraId="1869FC4C" w14:textId="77777777" w:rsidR="009C36E3" w:rsidRDefault="000E7207">
      <w:pPr>
        <w:pStyle w:val="BodyText"/>
        <w:spacing w:before="91"/>
        <w:ind w:right="120"/>
      </w:pPr>
      <w:r>
        <w:t>As noted earlier, the MTR became aware of concerns about low morale, principally (though not exclusively) in the justice stream, particularly involving advisers involved with legal and community-facing work. These issues should be addressed to ensure the program can continue to deliver technical support and professional development opportunities</w:t>
      </w:r>
      <w:r>
        <w:rPr>
          <w:spacing w:val="-3"/>
        </w:rPr>
        <w:t xml:space="preserve"> </w:t>
      </w:r>
      <w:r>
        <w:t>in</w:t>
      </w:r>
      <w:r>
        <w:rPr>
          <w:spacing w:val="-4"/>
        </w:rPr>
        <w:t xml:space="preserve"> </w:t>
      </w:r>
      <w:r>
        <w:t>key areas,</w:t>
      </w:r>
      <w:r>
        <w:rPr>
          <w:spacing w:val="-2"/>
        </w:rPr>
        <w:t xml:space="preserve"> </w:t>
      </w:r>
      <w:r>
        <w:t>and</w:t>
      </w:r>
      <w:r>
        <w:rPr>
          <w:spacing w:val="-4"/>
        </w:rPr>
        <w:t xml:space="preserve"> </w:t>
      </w:r>
      <w:r>
        <w:t>to</w:t>
      </w:r>
      <w:r>
        <w:rPr>
          <w:spacing w:val="-4"/>
        </w:rPr>
        <w:t xml:space="preserve"> </w:t>
      </w:r>
      <w:r>
        <w:t>support</w:t>
      </w:r>
      <w:r>
        <w:rPr>
          <w:spacing w:val="-4"/>
        </w:rPr>
        <w:t xml:space="preserve"> </w:t>
      </w:r>
      <w:r>
        <w:t>wellbeing</w:t>
      </w:r>
      <w:r>
        <w:rPr>
          <w:spacing w:val="-2"/>
        </w:rPr>
        <w:t xml:space="preserve"> </w:t>
      </w:r>
      <w:r>
        <w:t>and</w:t>
      </w:r>
      <w:r>
        <w:rPr>
          <w:spacing w:val="-4"/>
        </w:rPr>
        <w:t xml:space="preserve"> </w:t>
      </w:r>
      <w:r>
        <w:t>a</w:t>
      </w:r>
      <w:r>
        <w:rPr>
          <w:spacing w:val="-4"/>
        </w:rPr>
        <w:t xml:space="preserve"> </w:t>
      </w:r>
      <w:r>
        <w:t>positive</w:t>
      </w:r>
      <w:r>
        <w:rPr>
          <w:spacing w:val="-4"/>
        </w:rPr>
        <w:t xml:space="preserve"> </w:t>
      </w:r>
      <w:r>
        <w:t>experience</w:t>
      </w:r>
      <w:r>
        <w:rPr>
          <w:spacing w:val="-2"/>
        </w:rPr>
        <w:t xml:space="preserve"> </w:t>
      </w:r>
      <w:r>
        <w:t>across</w:t>
      </w:r>
      <w:r>
        <w:rPr>
          <w:spacing w:val="-3"/>
        </w:rPr>
        <w:t xml:space="preserve"> </w:t>
      </w:r>
      <w:r>
        <w:t>the</w:t>
      </w:r>
      <w:r>
        <w:rPr>
          <w:spacing w:val="-4"/>
        </w:rPr>
        <w:t xml:space="preserve"> </w:t>
      </w:r>
      <w:r>
        <w:t>team</w:t>
      </w:r>
      <w:r>
        <w:rPr>
          <w:spacing w:val="-2"/>
        </w:rPr>
        <w:t xml:space="preserve"> </w:t>
      </w:r>
      <w:r>
        <w:t>and</w:t>
      </w:r>
      <w:r>
        <w:rPr>
          <w:spacing w:val="-2"/>
        </w:rPr>
        <w:t xml:space="preserve"> </w:t>
      </w:r>
      <w:r>
        <w:t>management.</w:t>
      </w:r>
      <w:r>
        <w:rPr>
          <w:spacing w:val="-2"/>
        </w:rPr>
        <w:t xml:space="preserve"> </w:t>
      </w:r>
      <w:r>
        <w:t>It may be valuable to engage Palladium or independent human resources support to explore underlying issues.</w:t>
      </w:r>
    </w:p>
    <w:p w14:paraId="48C71829" w14:textId="77777777" w:rsidR="00A75B06" w:rsidRDefault="00A75B06" w:rsidP="00A75B06">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120"/>
        <w:ind w:right="119"/>
        <w:rPr>
          <w:rFonts w:ascii="Source Sans Pro"/>
        </w:rPr>
      </w:pPr>
      <w:r>
        <w:rPr>
          <w:rFonts w:ascii="Source Sans Pro"/>
          <w:b/>
          <w:color w:val="003478"/>
        </w:rPr>
        <w:t>Recommendation 9.</w:t>
      </w:r>
      <w:r>
        <w:rPr>
          <w:rFonts w:ascii="Source Sans Pro"/>
          <w:b/>
          <w:color w:val="003478"/>
          <w:spacing w:val="25"/>
        </w:rPr>
        <w:t xml:space="preserve"> </w:t>
      </w:r>
      <w:r>
        <w:rPr>
          <w:rFonts w:ascii="Source Sans Pro"/>
          <w:color w:val="404040"/>
        </w:rPr>
        <w:t>DFAT and VAPJP should review budget allocations to ensure sufficient funding for community-</w:t>
      </w:r>
      <w:r>
        <w:rPr>
          <w:rFonts w:ascii="Source Sans Pro"/>
          <w:color w:val="404040"/>
          <w:spacing w:val="40"/>
        </w:rPr>
        <w:t xml:space="preserve"> </w:t>
      </w:r>
      <w:r>
        <w:rPr>
          <w:rFonts w:ascii="Source Sans Pro"/>
          <w:color w:val="404040"/>
        </w:rPr>
        <w:t>facing</w:t>
      </w:r>
      <w:r>
        <w:rPr>
          <w:rFonts w:ascii="Source Sans Pro"/>
          <w:color w:val="404040"/>
          <w:spacing w:val="-2"/>
        </w:rPr>
        <w:t xml:space="preserve"> </w:t>
      </w:r>
      <w:r>
        <w:rPr>
          <w:rFonts w:ascii="Source Sans Pro"/>
          <w:color w:val="404040"/>
        </w:rPr>
        <w:t>activities</w:t>
      </w:r>
      <w:r>
        <w:rPr>
          <w:rFonts w:ascii="Source Sans Pro"/>
          <w:color w:val="404040"/>
          <w:spacing w:val="-2"/>
        </w:rPr>
        <w:t xml:space="preserve"> </w:t>
      </w:r>
      <w:r>
        <w:rPr>
          <w:rFonts w:ascii="Source Sans Pro"/>
          <w:color w:val="404040"/>
        </w:rPr>
        <w:t>to</w:t>
      </w:r>
      <w:r>
        <w:rPr>
          <w:rFonts w:ascii="Source Sans Pro"/>
          <w:color w:val="404040"/>
          <w:spacing w:val="-3"/>
        </w:rPr>
        <w:t xml:space="preserve"> </w:t>
      </w:r>
      <w:r>
        <w:rPr>
          <w:rFonts w:ascii="Source Sans Pro"/>
          <w:color w:val="404040"/>
        </w:rPr>
        <w:t>strengthen</w:t>
      </w:r>
      <w:r>
        <w:rPr>
          <w:rFonts w:ascii="Source Sans Pro"/>
          <w:color w:val="404040"/>
          <w:spacing w:val="-4"/>
        </w:rPr>
        <w:t xml:space="preserve"> </w:t>
      </w:r>
      <w:r>
        <w:rPr>
          <w:rFonts w:ascii="Source Sans Pro"/>
          <w:color w:val="404040"/>
        </w:rPr>
        <w:t>prevention</w:t>
      </w:r>
      <w:r>
        <w:rPr>
          <w:rFonts w:ascii="Source Sans Pro"/>
          <w:color w:val="404040"/>
          <w:spacing w:val="-4"/>
        </w:rPr>
        <w:t xml:space="preserve"> </w:t>
      </w:r>
      <w:r>
        <w:rPr>
          <w:rFonts w:ascii="Source Sans Pro"/>
          <w:color w:val="404040"/>
        </w:rPr>
        <w:t>and</w:t>
      </w:r>
      <w:r>
        <w:rPr>
          <w:rFonts w:ascii="Source Sans Pro"/>
          <w:color w:val="404040"/>
          <w:spacing w:val="-3"/>
        </w:rPr>
        <w:t xml:space="preserve"> </w:t>
      </w:r>
      <w:r>
        <w:rPr>
          <w:rFonts w:ascii="Source Sans Pro"/>
          <w:color w:val="404040"/>
        </w:rPr>
        <w:t>responsive</w:t>
      </w:r>
      <w:r>
        <w:rPr>
          <w:rFonts w:ascii="Source Sans Pro"/>
          <w:color w:val="404040"/>
          <w:spacing w:val="-1"/>
        </w:rPr>
        <w:t xml:space="preserve"> </w:t>
      </w:r>
      <w:r>
        <w:rPr>
          <w:rFonts w:ascii="Source Sans Pro"/>
          <w:color w:val="404040"/>
        </w:rPr>
        <w:t>services</w:t>
      </w:r>
      <w:r>
        <w:rPr>
          <w:rFonts w:ascii="Source Sans Pro"/>
          <w:color w:val="404040"/>
          <w:spacing w:val="-2"/>
        </w:rPr>
        <w:t xml:space="preserve"> </w:t>
      </w:r>
      <w:r>
        <w:rPr>
          <w:rFonts w:ascii="Source Sans Pro"/>
          <w:color w:val="404040"/>
        </w:rPr>
        <w:t>to</w:t>
      </w:r>
      <w:r>
        <w:rPr>
          <w:rFonts w:ascii="Source Sans Pro"/>
          <w:color w:val="404040"/>
          <w:spacing w:val="-3"/>
        </w:rPr>
        <w:t xml:space="preserve"> </w:t>
      </w:r>
      <w:r>
        <w:rPr>
          <w:rFonts w:ascii="Source Sans Pro"/>
          <w:color w:val="404040"/>
        </w:rPr>
        <w:t>violence</w:t>
      </w:r>
      <w:r>
        <w:rPr>
          <w:rFonts w:ascii="Source Sans Pro"/>
          <w:color w:val="404040"/>
          <w:spacing w:val="-3"/>
        </w:rPr>
        <w:t xml:space="preserve"> </w:t>
      </w:r>
      <w:r>
        <w:rPr>
          <w:rFonts w:ascii="Source Sans Pro"/>
          <w:color w:val="404040"/>
        </w:rPr>
        <w:t>against women</w:t>
      </w:r>
      <w:r>
        <w:rPr>
          <w:rFonts w:ascii="Source Sans Pro"/>
          <w:color w:val="404040"/>
          <w:spacing w:val="-4"/>
        </w:rPr>
        <w:t xml:space="preserve"> </w:t>
      </w:r>
      <w:r>
        <w:rPr>
          <w:rFonts w:ascii="Source Sans Pro"/>
          <w:color w:val="404040"/>
        </w:rPr>
        <w:t>and</w:t>
      </w:r>
      <w:r>
        <w:rPr>
          <w:rFonts w:ascii="Source Sans Pro"/>
          <w:color w:val="404040"/>
          <w:spacing w:val="-3"/>
        </w:rPr>
        <w:t xml:space="preserve"> </w:t>
      </w:r>
      <w:r>
        <w:rPr>
          <w:rFonts w:ascii="Source Sans Pro"/>
          <w:color w:val="404040"/>
        </w:rPr>
        <w:t>children,</w:t>
      </w:r>
      <w:r>
        <w:rPr>
          <w:rFonts w:ascii="Source Sans Pro"/>
          <w:color w:val="404040"/>
          <w:spacing w:val="-2"/>
        </w:rPr>
        <w:t xml:space="preserve"> </w:t>
      </w:r>
      <w:r>
        <w:rPr>
          <w:rFonts w:ascii="Source Sans Pro"/>
          <w:color w:val="404040"/>
        </w:rPr>
        <w:t>and</w:t>
      </w:r>
      <w:r>
        <w:rPr>
          <w:rFonts w:ascii="Source Sans Pro"/>
          <w:color w:val="404040"/>
          <w:spacing w:val="-3"/>
        </w:rPr>
        <w:t xml:space="preserve"> </w:t>
      </w:r>
      <w:r>
        <w:rPr>
          <w:rFonts w:ascii="Source Sans Pro"/>
          <w:color w:val="404040"/>
        </w:rPr>
        <w:t>people</w:t>
      </w:r>
      <w:r>
        <w:rPr>
          <w:rFonts w:ascii="Source Sans Pro"/>
          <w:color w:val="404040"/>
          <w:spacing w:val="40"/>
        </w:rPr>
        <w:t xml:space="preserve"> </w:t>
      </w:r>
      <w:r>
        <w:rPr>
          <w:rFonts w:ascii="Source Sans Pro"/>
          <w:color w:val="404040"/>
        </w:rPr>
        <w:t>with disabilities that align with best practice and Do No Harm principles. This applies to both the FPU in the policing</w:t>
      </w:r>
      <w:r>
        <w:rPr>
          <w:rFonts w:ascii="Source Sans Pro"/>
          <w:color w:val="404040"/>
          <w:spacing w:val="40"/>
        </w:rPr>
        <w:t xml:space="preserve"> </w:t>
      </w:r>
      <w:r>
        <w:rPr>
          <w:rFonts w:ascii="Source Sans Pro"/>
          <w:color w:val="404040"/>
        </w:rPr>
        <w:t>stream and the CA2J activities in the justice stream.</w:t>
      </w:r>
    </w:p>
    <w:p w14:paraId="78B0644B" w14:textId="77777777" w:rsidR="009C36E3" w:rsidRDefault="000E7207">
      <w:pPr>
        <w:pStyle w:val="BodyText"/>
        <w:spacing w:before="124"/>
        <w:ind w:left="772" w:right="120"/>
      </w:pPr>
      <w:r>
        <w:t>The community access to justice activities sit at the interface of formal and traditional policing and justice systems and</w:t>
      </w:r>
      <w:r>
        <w:rPr>
          <w:spacing w:val="-4"/>
        </w:rPr>
        <w:t xml:space="preserve"> </w:t>
      </w:r>
      <w:r>
        <w:t>cover</w:t>
      </w:r>
      <w:r>
        <w:rPr>
          <w:spacing w:val="-3"/>
        </w:rPr>
        <w:t xml:space="preserve"> </w:t>
      </w:r>
      <w:r>
        <w:t>support</w:t>
      </w:r>
      <w:r>
        <w:rPr>
          <w:spacing w:val="-4"/>
        </w:rPr>
        <w:t xml:space="preserve"> </w:t>
      </w:r>
      <w:r>
        <w:t>for</w:t>
      </w:r>
      <w:r>
        <w:rPr>
          <w:spacing w:val="-3"/>
        </w:rPr>
        <w:t xml:space="preserve"> </w:t>
      </w:r>
      <w:r>
        <w:t>disability</w:t>
      </w:r>
      <w:r>
        <w:rPr>
          <w:spacing w:val="-3"/>
        </w:rPr>
        <w:t xml:space="preserve"> </w:t>
      </w:r>
      <w:r>
        <w:t>inclusion</w:t>
      </w:r>
      <w:r>
        <w:rPr>
          <w:spacing w:val="-4"/>
        </w:rPr>
        <w:t xml:space="preserve"> </w:t>
      </w:r>
      <w:r>
        <w:t>and</w:t>
      </w:r>
      <w:r>
        <w:rPr>
          <w:spacing w:val="-2"/>
        </w:rPr>
        <w:t xml:space="preserve"> </w:t>
      </w:r>
      <w:r>
        <w:t>gender</w:t>
      </w:r>
      <w:r>
        <w:rPr>
          <w:spacing w:val="-3"/>
        </w:rPr>
        <w:t xml:space="preserve"> </w:t>
      </w:r>
      <w:r>
        <w:t>equality,</w:t>
      </w:r>
      <w:r>
        <w:rPr>
          <w:spacing w:val="-2"/>
        </w:rPr>
        <w:t xml:space="preserve"> </w:t>
      </w:r>
      <w:r>
        <w:t>and</w:t>
      </w:r>
      <w:r>
        <w:rPr>
          <w:spacing w:val="-2"/>
        </w:rPr>
        <w:t xml:space="preserve"> </w:t>
      </w:r>
      <w:r>
        <w:t>work</w:t>
      </w:r>
      <w:r>
        <w:rPr>
          <w:spacing w:val="-3"/>
        </w:rPr>
        <w:t xml:space="preserve"> </w:t>
      </w:r>
      <w:r>
        <w:t>with</w:t>
      </w:r>
      <w:r>
        <w:rPr>
          <w:spacing w:val="-4"/>
        </w:rPr>
        <w:t xml:space="preserve"> </w:t>
      </w:r>
      <w:r>
        <w:t>chiefs</w:t>
      </w:r>
      <w:r>
        <w:rPr>
          <w:spacing w:val="-3"/>
        </w:rPr>
        <w:t xml:space="preserve"> </w:t>
      </w:r>
      <w:r>
        <w:t>and</w:t>
      </w:r>
      <w:r>
        <w:rPr>
          <w:spacing w:val="-2"/>
        </w:rPr>
        <w:t xml:space="preserve"> </w:t>
      </w:r>
      <w:r>
        <w:t>APs in</w:t>
      </w:r>
      <w:r>
        <w:rPr>
          <w:spacing w:val="-4"/>
        </w:rPr>
        <w:t xml:space="preserve"> </w:t>
      </w:r>
      <w:r>
        <w:t>communities</w:t>
      </w:r>
      <w:r>
        <w:rPr>
          <w:spacing w:val="-3"/>
        </w:rPr>
        <w:t xml:space="preserve"> </w:t>
      </w:r>
      <w:r>
        <w:t>to</w:t>
      </w:r>
      <w:r>
        <w:rPr>
          <w:spacing w:val="-4"/>
        </w:rPr>
        <w:t xml:space="preserve"> </w:t>
      </w:r>
      <w:r>
        <w:t>raise awareness around VAWC and the justice system. The MTR found that activities under the CA2J workstream are appropriately expanding, and need sufficient resources not only for the activities themselves but also to provide program oversight, ensure best practice and uphold Do No Harm standards. Community grants should also sit under the CA2J workstream, to ensure appropriate oversight of activities and technical approaches used.</w:t>
      </w:r>
    </w:p>
    <w:p w14:paraId="22048A42" w14:textId="77777777" w:rsidR="009C36E3" w:rsidRDefault="000E7207">
      <w:pPr>
        <w:pStyle w:val="BodyText"/>
        <w:spacing w:before="121"/>
        <w:ind w:left="772" w:right="586"/>
        <w:jc w:val="both"/>
      </w:pPr>
      <w:r>
        <w:t>The</w:t>
      </w:r>
      <w:r>
        <w:rPr>
          <w:spacing w:val="-3"/>
        </w:rPr>
        <w:t xml:space="preserve"> </w:t>
      </w:r>
      <w:r>
        <w:t>FPU in</w:t>
      </w:r>
      <w:r>
        <w:rPr>
          <w:spacing w:val="-1"/>
        </w:rPr>
        <w:t xml:space="preserve"> </w:t>
      </w:r>
      <w:r>
        <w:t>policing</w:t>
      </w:r>
      <w:r>
        <w:rPr>
          <w:spacing w:val="-1"/>
        </w:rPr>
        <w:t xml:space="preserve"> </w:t>
      </w:r>
      <w:r>
        <w:t>is</w:t>
      </w:r>
      <w:r>
        <w:rPr>
          <w:spacing w:val="-2"/>
        </w:rPr>
        <w:t xml:space="preserve"> </w:t>
      </w:r>
      <w:r>
        <w:t>also</w:t>
      </w:r>
      <w:r>
        <w:rPr>
          <w:spacing w:val="-1"/>
        </w:rPr>
        <w:t xml:space="preserve"> </w:t>
      </w:r>
      <w:r>
        <w:t>working</w:t>
      </w:r>
      <w:r>
        <w:rPr>
          <w:spacing w:val="-1"/>
        </w:rPr>
        <w:t xml:space="preserve"> </w:t>
      </w:r>
      <w:r>
        <w:t>with</w:t>
      </w:r>
      <w:r>
        <w:rPr>
          <w:spacing w:val="-3"/>
        </w:rPr>
        <w:t xml:space="preserve"> </w:t>
      </w:r>
      <w:r>
        <w:t>vulnerable</w:t>
      </w:r>
      <w:r>
        <w:rPr>
          <w:spacing w:val="-1"/>
        </w:rPr>
        <w:t xml:space="preserve"> </w:t>
      </w:r>
      <w:r>
        <w:t>people</w:t>
      </w:r>
      <w:r>
        <w:rPr>
          <w:spacing w:val="-3"/>
        </w:rPr>
        <w:t xml:space="preserve"> </w:t>
      </w:r>
      <w:r>
        <w:t>who</w:t>
      </w:r>
      <w:r>
        <w:rPr>
          <w:spacing w:val="-3"/>
        </w:rPr>
        <w:t xml:space="preserve"> </w:t>
      </w:r>
      <w:r>
        <w:t>are</w:t>
      </w:r>
      <w:r>
        <w:rPr>
          <w:spacing w:val="-1"/>
        </w:rPr>
        <w:t xml:space="preserve"> </w:t>
      </w:r>
      <w:r>
        <w:t>at</w:t>
      </w:r>
      <w:r>
        <w:rPr>
          <w:spacing w:val="-3"/>
        </w:rPr>
        <w:t xml:space="preserve"> </w:t>
      </w:r>
      <w:r>
        <w:t>risk</w:t>
      </w:r>
      <w:r>
        <w:rPr>
          <w:spacing w:val="-2"/>
        </w:rPr>
        <w:t xml:space="preserve"> </w:t>
      </w:r>
      <w:r>
        <w:t>of</w:t>
      </w:r>
      <w:r>
        <w:rPr>
          <w:spacing w:val="-1"/>
        </w:rPr>
        <w:t xml:space="preserve"> </w:t>
      </w:r>
      <w:r>
        <w:t>harm</w:t>
      </w:r>
      <w:r>
        <w:rPr>
          <w:spacing w:val="-3"/>
        </w:rPr>
        <w:t xml:space="preserve"> </w:t>
      </w:r>
      <w:r>
        <w:t>and</w:t>
      </w:r>
      <w:r>
        <w:rPr>
          <w:spacing w:val="-3"/>
        </w:rPr>
        <w:t xml:space="preserve"> </w:t>
      </w:r>
      <w:r>
        <w:t>need</w:t>
      </w:r>
      <w:r>
        <w:rPr>
          <w:spacing w:val="-1"/>
        </w:rPr>
        <w:t xml:space="preserve"> </w:t>
      </w:r>
      <w:r>
        <w:t>greater</w:t>
      </w:r>
      <w:r>
        <w:rPr>
          <w:spacing w:val="-2"/>
        </w:rPr>
        <w:t xml:space="preserve"> </w:t>
      </w:r>
      <w:r>
        <w:t>access</w:t>
      </w:r>
      <w:r>
        <w:rPr>
          <w:spacing w:val="-2"/>
        </w:rPr>
        <w:t xml:space="preserve"> </w:t>
      </w:r>
      <w:r>
        <w:t>to police resources to protect women, children and people with disability. Currently FPU does not have sufficient infrastructure to provide protection for women and children when making reports.</w:t>
      </w:r>
    </w:p>
    <w:p w14:paraId="14384F53" w14:textId="77777777" w:rsidR="00FA745C" w:rsidRDefault="00FA745C" w:rsidP="00FA745C">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120"/>
        <w:ind w:right="119"/>
        <w:rPr>
          <w:rFonts w:ascii="Source Sans Pro"/>
        </w:rPr>
      </w:pPr>
      <w:r>
        <w:rPr>
          <w:rFonts w:ascii="Source Sans Pro"/>
          <w:b/>
          <w:color w:val="003478"/>
        </w:rPr>
        <w:t>Recommendation 10.</w:t>
      </w:r>
      <w:r>
        <w:rPr>
          <w:rFonts w:ascii="Source Sans Pro"/>
          <w:b/>
          <w:color w:val="003478"/>
          <w:spacing w:val="26"/>
        </w:rPr>
        <w:t xml:space="preserve"> </w:t>
      </w:r>
      <w:r>
        <w:rPr>
          <w:rFonts w:ascii="Source Sans Pro"/>
          <w:color w:val="404040"/>
        </w:rPr>
        <w:t>VAPJP and the managing contractor, in close collaboration with the AFP, should increase</w:t>
      </w:r>
      <w:r>
        <w:rPr>
          <w:rFonts w:ascii="Source Sans Pro"/>
          <w:color w:val="404040"/>
          <w:spacing w:val="40"/>
        </w:rPr>
        <w:t xml:space="preserve"> </w:t>
      </w:r>
      <w:r>
        <w:rPr>
          <w:rFonts w:ascii="Source Sans Pro"/>
          <w:color w:val="404040"/>
        </w:rPr>
        <w:t>efficiency by updating logistics and procurement procedures, and improving resourcing for administrative and</w:t>
      </w:r>
      <w:r>
        <w:rPr>
          <w:rFonts w:ascii="Source Sans Pro"/>
          <w:color w:val="404040"/>
          <w:spacing w:val="40"/>
        </w:rPr>
        <w:t xml:space="preserve"> </w:t>
      </w:r>
      <w:r>
        <w:rPr>
          <w:rFonts w:ascii="Source Sans Pro"/>
          <w:color w:val="404040"/>
        </w:rPr>
        <w:t>reporting</w:t>
      </w:r>
      <w:r>
        <w:rPr>
          <w:rFonts w:ascii="Source Sans Pro"/>
          <w:color w:val="404040"/>
          <w:spacing w:val="-2"/>
        </w:rPr>
        <w:t xml:space="preserve"> </w:t>
      </w:r>
      <w:r>
        <w:rPr>
          <w:rFonts w:ascii="Source Sans Pro"/>
          <w:color w:val="404040"/>
        </w:rPr>
        <w:t>support</w:t>
      </w:r>
      <w:r>
        <w:rPr>
          <w:rFonts w:ascii="Source Sans Pro"/>
          <w:color w:val="404040"/>
          <w:spacing w:val="-3"/>
        </w:rPr>
        <w:t xml:space="preserve"> </w:t>
      </w:r>
      <w:r>
        <w:rPr>
          <w:rFonts w:ascii="Source Sans Pro"/>
          <w:color w:val="404040"/>
        </w:rPr>
        <w:t>for</w:t>
      </w:r>
      <w:r>
        <w:rPr>
          <w:rFonts w:ascii="Source Sans Pro"/>
          <w:color w:val="404040"/>
          <w:spacing w:val="-2"/>
        </w:rPr>
        <w:t xml:space="preserve"> </w:t>
      </w:r>
      <w:r>
        <w:rPr>
          <w:rFonts w:ascii="Source Sans Pro"/>
          <w:color w:val="404040"/>
        </w:rPr>
        <w:t>AFP</w:t>
      </w:r>
      <w:r>
        <w:rPr>
          <w:rFonts w:ascii="Source Sans Pro"/>
          <w:color w:val="404040"/>
          <w:spacing w:val="-3"/>
        </w:rPr>
        <w:t xml:space="preserve"> </w:t>
      </w:r>
      <w:r>
        <w:rPr>
          <w:rFonts w:ascii="Source Sans Pro"/>
          <w:color w:val="404040"/>
        </w:rPr>
        <w:t>advisers,</w:t>
      </w:r>
      <w:r>
        <w:rPr>
          <w:rFonts w:ascii="Source Sans Pro"/>
          <w:color w:val="404040"/>
          <w:spacing w:val="-2"/>
        </w:rPr>
        <w:t xml:space="preserve"> </w:t>
      </w:r>
      <w:r>
        <w:rPr>
          <w:rFonts w:ascii="Source Sans Pro"/>
          <w:color w:val="404040"/>
        </w:rPr>
        <w:t>that</w:t>
      </w:r>
      <w:r>
        <w:rPr>
          <w:rFonts w:ascii="Source Sans Pro"/>
          <w:color w:val="404040"/>
          <w:spacing w:val="-3"/>
        </w:rPr>
        <w:t xml:space="preserve"> </w:t>
      </w:r>
      <w:r>
        <w:rPr>
          <w:rFonts w:ascii="Source Sans Pro"/>
          <w:color w:val="404040"/>
        </w:rPr>
        <w:t>currently</w:t>
      </w:r>
      <w:r>
        <w:rPr>
          <w:rFonts w:ascii="Source Sans Pro"/>
          <w:color w:val="404040"/>
          <w:spacing w:val="-2"/>
        </w:rPr>
        <w:t xml:space="preserve"> </w:t>
      </w:r>
      <w:r>
        <w:rPr>
          <w:rFonts w:ascii="Source Sans Pro"/>
          <w:color w:val="404040"/>
        </w:rPr>
        <w:t>take</w:t>
      </w:r>
      <w:r>
        <w:rPr>
          <w:rFonts w:ascii="Source Sans Pro"/>
          <w:color w:val="404040"/>
          <w:spacing w:val="-3"/>
        </w:rPr>
        <w:t xml:space="preserve"> </w:t>
      </w:r>
      <w:r>
        <w:rPr>
          <w:rFonts w:ascii="Source Sans Pro"/>
          <w:color w:val="404040"/>
        </w:rPr>
        <w:t>time</w:t>
      </w:r>
      <w:r>
        <w:rPr>
          <w:rFonts w:ascii="Source Sans Pro"/>
          <w:color w:val="404040"/>
          <w:spacing w:val="-3"/>
        </w:rPr>
        <w:t xml:space="preserve"> </w:t>
      </w:r>
      <w:r>
        <w:rPr>
          <w:rFonts w:ascii="Source Sans Pro"/>
          <w:color w:val="404040"/>
        </w:rPr>
        <w:t>of</w:t>
      </w:r>
      <w:r>
        <w:rPr>
          <w:rFonts w:ascii="Source Sans Pro"/>
          <w:color w:val="404040"/>
          <w:spacing w:val="-3"/>
        </w:rPr>
        <w:t xml:space="preserve"> </w:t>
      </w:r>
      <w:r>
        <w:rPr>
          <w:rFonts w:ascii="Source Sans Pro"/>
          <w:color w:val="404040"/>
        </w:rPr>
        <w:t>technical</w:t>
      </w:r>
      <w:r>
        <w:rPr>
          <w:rFonts w:ascii="Source Sans Pro"/>
          <w:color w:val="404040"/>
          <w:spacing w:val="-3"/>
        </w:rPr>
        <w:t xml:space="preserve"> </w:t>
      </w:r>
      <w:r>
        <w:rPr>
          <w:rFonts w:ascii="Source Sans Pro"/>
          <w:color w:val="404040"/>
        </w:rPr>
        <w:t>specialists</w:t>
      </w:r>
      <w:r>
        <w:rPr>
          <w:rFonts w:ascii="Source Sans Pro"/>
          <w:color w:val="404040"/>
          <w:spacing w:val="-2"/>
        </w:rPr>
        <w:t xml:space="preserve"> </w:t>
      </w:r>
      <w:r>
        <w:rPr>
          <w:rFonts w:ascii="Source Sans Pro"/>
          <w:color w:val="404040"/>
        </w:rPr>
        <w:t>away</w:t>
      </w:r>
      <w:r>
        <w:rPr>
          <w:rFonts w:ascii="Source Sans Pro"/>
          <w:color w:val="404040"/>
          <w:spacing w:val="-2"/>
        </w:rPr>
        <w:t xml:space="preserve"> </w:t>
      </w:r>
      <w:r>
        <w:rPr>
          <w:rFonts w:ascii="Source Sans Pro"/>
          <w:color w:val="404040"/>
        </w:rPr>
        <w:t>from</w:t>
      </w:r>
      <w:r>
        <w:rPr>
          <w:rFonts w:ascii="Source Sans Pro"/>
          <w:color w:val="404040"/>
          <w:spacing w:val="-2"/>
        </w:rPr>
        <w:t xml:space="preserve"> </w:t>
      </w:r>
      <w:r>
        <w:rPr>
          <w:rFonts w:ascii="Source Sans Pro"/>
          <w:color w:val="404040"/>
        </w:rPr>
        <w:t>delivering</w:t>
      </w:r>
      <w:r>
        <w:rPr>
          <w:rFonts w:ascii="Source Sans Pro"/>
          <w:color w:val="404040"/>
          <w:spacing w:val="-2"/>
        </w:rPr>
        <w:t xml:space="preserve"> </w:t>
      </w:r>
      <w:r>
        <w:rPr>
          <w:rFonts w:ascii="Source Sans Pro"/>
          <w:color w:val="404040"/>
        </w:rPr>
        <w:t>expert</w:t>
      </w:r>
      <w:r>
        <w:rPr>
          <w:rFonts w:ascii="Source Sans Pro"/>
          <w:color w:val="404040"/>
          <w:spacing w:val="-3"/>
        </w:rPr>
        <w:t xml:space="preserve"> </w:t>
      </w:r>
      <w:r>
        <w:rPr>
          <w:rFonts w:ascii="Source Sans Pro"/>
          <w:color w:val="404040"/>
        </w:rPr>
        <w:t>support</w:t>
      </w:r>
      <w:r>
        <w:rPr>
          <w:rFonts w:ascii="Source Sans Pro"/>
          <w:color w:val="404040"/>
          <w:spacing w:val="40"/>
        </w:rPr>
        <w:t xml:space="preserve"> </w:t>
      </w:r>
      <w:r>
        <w:rPr>
          <w:rFonts w:ascii="Source Sans Pro"/>
          <w:color w:val="404040"/>
        </w:rPr>
        <w:t>and services. Delegations of authority can be reviewed in the new design.</w:t>
      </w:r>
    </w:p>
    <w:p w14:paraId="5434D188" w14:textId="3B7C7824" w:rsidR="009C36E3" w:rsidRDefault="00030B4C">
      <w:pPr>
        <w:pStyle w:val="BodyText"/>
        <w:spacing w:before="124"/>
        <w:ind w:left="772" w:right="120"/>
      </w:pPr>
      <w:r>
        <w:t>A</w:t>
      </w:r>
      <w:r w:rsidR="000E7207">
        <w:t>FP</w:t>
      </w:r>
      <w:r w:rsidR="000E7207">
        <w:rPr>
          <w:spacing w:val="-2"/>
        </w:rPr>
        <w:t xml:space="preserve"> </w:t>
      </w:r>
      <w:r w:rsidR="000E7207">
        <w:t>advisers</w:t>
      </w:r>
      <w:r w:rsidR="000E7207">
        <w:rPr>
          <w:spacing w:val="-3"/>
        </w:rPr>
        <w:t xml:space="preserve"> </w:t>
      </w:r>
      <w:r w:rsidR="000E7207">
        <w:t>are</w:t>
      </w:r>
      <w:r w:rsidR="000E7207">
        <w:rPr>
          <w:spacing w:val="-4"/>
        </w:rPr>
        <w:t xml:space="preserve"> </w:t>
      </w:r>
      <w:r w:rsidR="000E7207">
        <w:t>spending</w:t>
      </w:r>
      <w:r w:rsidR="000E7207">
        <w:rPr>
          <w:spacing w:val="-2"/>
        </w:rPr>
        <w:t xml:space="preserve"> </w:t>
      </w:r>
      <w:r w:rsidR="000E7207">
        <w:t>too</w:t>
      </w:r>
      <w:r w:rsidR="000E7207">
        <w:rPr>
          <w:spacing w:val="-2"/>
        </w:rPr>
        <w:t xml:space="preserve"> </w:t>
      </w:r>
      <w:r w:rsidR="000E7207">
        <w:t>much</w:t>
      </w:r>
      <w:r w:rsidR="000E7207">
        <w:rPr>
          <w:spacing w:val="-4"/>
        </w:rPr>
        <w:t xml:space="preserve"> </w:t>
      </w:r>
      <w:r w:rsidR="000E7207">
        <w:t>time</w:t>
      </w:r>
      <w:r w:rsidR="000E7207">
        <w:rPr>
          <w:spacing w:val="-4"/>
        </w:rPr>
        <w:t xml:space="preserve"> </w:t>
      </w:r>
      <w:r w:rsidR="000E7207">
        <w:t>on</w:t>
      </w:r>
      <w:r w:rsidR="000E7207">
        <w:rPr>
          <w:spacing w:val="-2"/>
        </w:rPr>
        <w:t xml:space="preserve"> </w:t>
      </w:r>
      <w:r w:rsidR="000E7207">
        <w:t>program</w:t>
      </w:r>
      <w:r w:rsidR="000E7207">
        <w:rPr>
          <w:spacing w:val="-2"/>
        </w:rPr>
        <w:t xml:space="preserve"> </w:t>
      </w:r>
      <w:r w:rsidR="000E7207">
        <w:t>reporting</w:t>
      </w:r>
      <w:r w:rsidR="000E7207">
        <w:rPr>
          <w:spacing w:val="-4"/>
        </w:rPr>
        <w:t xml:space="preserve"> </w:t>
      </w:r>
      <w:r w:rsidR="000E7207">
        <w:t>and</w:t>
      </w:r>
      <w:r w:rsidR="000E7207">
        <w:rPr>
          <w:spacing w:val="-2"/>
        </w:rPr>
        <w:t xml:space="preserve"> </w:t>
      </w:r>
      <w:r w:rsidR="000E7207">
        <w:t>administrative</w:t>
      </w:r>
      <w:r w:rsidR="000E7207">
        <w:rPr>
          <w:spacing w:val="-4"/>
        </w:rPr>
        <w:t xml:space="preserve"> </w:t>
      </w:r>
      <w:r w:rsidR="000E7207">
        <w:t>procedures</w:t>
      </w:r>
      <w:r w:rsidR="000E7207">
        <w:rPr>
          <w:spacing w:val="-3"/>
        </w:rPr>
        <w:t xml:space="preserve"> </w:t>
      </w:r>
      <w:r w:rsidR="000E7207">
        <w:t>that</w:t>
      </w:r>
      <w:r w:rsidR="000E7207">
        <w:rPr>
          <w:spacing w:val="-4"/>
        </w:rPr>
        <w:t xml:space="preserve"> </w:t>
      </w:r>
      <w:r w:rsidR="000E7207">
        <w:t>would</w:t>
      </w:r>
      <w:r w:rsidR="000E7207">
        <w:rPr>
          <w:spacing w:val="-4"/>
        </w:rPr>
        <w:t xml:space="preserve"> </w:t>
      </w:r>
      <w:r w:rsidR="000E7207">
        <w:t>be</w:t>
      </w:r>
      <w:r w:rsidR="000E7207">
        <w:rPr>
          <w:spacing w:val="-2"/>
        </w:rPr>
        <w:t xml:space="preserve"> </w:t>
      </w:r>
      <w:r w:rsidR="000E7207">
        <w:t>better spent working with the VPF to strengthen capabilities and extend policing services. This is causing some tensions. Some of these issues can be addressed through changes that are already underway within the managing contractor, related to travel arrangements and access to corporate credit. However further consideration should be given to understanding and meeting AFP advisers’ needs for autonomy and flexibility so that they are able to support the VPF adequately and responsively in line with their policing mandate.</w:t>
      </w:r>
    </w:p>
    <w:p w14:paraId="5E193B0A" w14:textId="77777777" w:rsidR="00030B4C" w:rsidRDefault="00030B4C" w:rsidP="00D36F58">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120"/>
        <w:ind w:right="119"/>
        <w:rPr>
          <w:rFonts w:ascii="Source Sans Pro"/>
        </w:rPr>
      </w:pPr>
      <w:r>
        <w:rPr>
          <w:rFonts w:ascii="Source Sans Pro"/>
          <w:b/>
          <w:color w:val="003478"/>
        </w:rPr>
        <w:t>Recommendation</w:t>
      </w:r>
      <w:r>
        <w:rPr>
          <w:rFonts w:ascii="Source Sans Pro"/>
          <w:b/>
          <w:color w:val="003478"/>
          <w:spacing w:val="-2"/>
        </w:rPr>
        <w:t xml:space="preserve"> </w:t>
      </w:r>
      <w:r>
        <w:rPr>
          <w:rFonts w:ascii="Source Sans Pro"/>
          <w:b/>
          <w:color w:val="003478"/>
        </w:rPr>
        <w:t>11.</w:t>
      </w:r>
      <w:r>
        <w:rPr>
          <w:rFonts w:ascii="Source Sans Pro"/>
          <w:b/>
          <w:color w:val="003478"/>
          <w:spacing w:val="11"/>
        </w:rPr>
        <w:t xml:space="preserve"> </w:t>
      </w:r>
      <w:r>
        <w:rPr>
          <w:rFonts w:ascii="Source Sans Pro"/>
          <w:color w:val="404040"/>
        </w:rPr>
        <w:t>As</w:t>
      </w:r>
      <w:r>
        <w:rPr>
          <w:rFonts w:ascii="Source Sans Pro"/>
          <w:color w:val="404040"/>
          <w:spacing w:val="-2"/>
        </w:rPr>
        <w:t xml:space="preserve"> </w:t>
      </w:r>
      <w:r>
        <w:rPr>
          <w:rFonts w:ascii="Source Sans Pro"/>
          <w:color w:val="404040"/>
        </w:rPr>
        <w:t>infrastructure</w:t>
      </w:r>
      <w:r>
        <w:rPr>
          <w:rFonts w:ascii="Source Sans Pro"/>
          <w:color w:val="404040"/>
          <w:spacing w:val="-3"/>
        </w:rPr>
        <w:t xml:space="preserve"> </w:t>
      </w:r>
      <w:r>
        <w:rPr>
          <w:rFonts w:ascii="Source Sans Pro"/>
          <w:color w:val="404040"/>
        </w:rPr>
        <w:t>and</w:t>
      </w:r>
      <w:r>
        <w:rPr>
          <w:rFonts w:ascii="Source Sans Pro"/>
          <w:color w:val="404040"/>
          <w:spacing w:val="-3"/>
        </w:rPr>
        <w:t xml:space="preserve"> </w:t>
      </w:r>
      <w:r>
        <w:rPr>
          <w:rFonts w:ascii="Source Sans Pro"/>
          <w:color w:val="404040"/>
        </w:rPr>
        <w:t>provision</w:t>
      </w:r>
      <w:r>
        <w:rPr>
          <w:rFonts w:ascii="Source Sans Pro"/>
          <w:color w:val="404040"/>
          <w:spacing w:val="-4"/>
        </w:rPr>
        <w:t xml:space="preserve"> </w:t>
      </w:r>
      <w:r>
        <w:rPr>
          <w:rFonts w:ascii="Source Sans Pro"/>
          <w:color w:val="404040"/>
        </w:rPr>
        <w:t>of</w:t>
      </w:r>
      <w:r>
        <w:rPr>
          <w:rFonts w:ascii="Source Sans Pro"/>
          <w:color w:val="404040"/>
          <w:spacing w:val="-3"/>
        </w:rPr>
        <w:t xml:space="preserve"> </w:t>
      </w:r>
      <w:r>
        <w:rPr>
          <w:rFonts w:ascii="Source Sans Pro"/>
          <w:color w:val="404040"/>
        </w:rPr>
        <w:t>assets</w:t>
      </w:r>
      <w:r>
        <w:rPr>
          <w:rFonts w:ascii="Source Sans Pro"/>
          <w:color w:val="404040"/>
          <w:spacing w:val="-2"/>
        </w:rPr>
        <w:t xml:space="preserve"> </w:t>
      </w:r>
      <w:r>
        <w:rPr>
          <w:rFonts w:ascii="Source Sans Pro"/>
          <w:color w:val="404040"/>
        </w:rPr>
        <w:t>will</w:t>
      </w:r>
      <w:r>
        <w:rPr>
          <w:rFonts w:ascii="Source Sans Pro"/>
          <w:color w:val="404040"/>
          <w:spacing w:val="-3"/>
        </w:rPr>
        <w:t xml:space="preserve"> </w:t>
      </w:r>
      <w:r>
        <w:rPr>
          <w:rFonts w:ascii="Source Sans Pro"/>
          <w:color w:val="404040"/>
        </w:rPr>
        <w:t>remain</w:t>
      </w:r>
      <w:r>
        <w:rPr>
          <w:rFonts w:ascii="Source Sans Pro"/>
          <w:color w:val="404040"/>
          <w:spacing w:val="-4"/>
        </w:rPr>
        <w:t xml:space="preserve"> </w:t>
      </w:r>
      <w:r>
        <w:rPr>
          <w:rFonts w:ascii="Source Sans Pro"/>
          <w:color w:val="404040"/>
        </w:rPr>
        <w:t>a</w:t>
      </w:r>
      <w:r>
        <w:rPr>
          <w:rFonts w:ascii="Source Sans Pro"/>
          <w:color w:val="404040"/>
          <w:spacing w:val="-2"/>
        </w:rPr>
        <w:t xml:space="preserve"> </w:t>
      </w:r>
      <w:r>
        <w:rPr>
          <w:rFonts w:ascii="Source Sans Pro"/>
          <w:color w:val="404040"/>
        </w:rPr>
        <w:t>significant element</w:t>
      </w:r>
      <w:r>
        <w:rPr>
          <w:rFonts w:ascii="Source Sans Pro"/>
          <w:color w:val="404040"/>
          <w:spacing w:val="-3"/>
        </w:rPr>
        <w:t xml:space="preserve"> </w:t>
      </w:r>
      <w:r>
        <w:rPr>
          <w:rFonts w:ascii="Source Sans Pro"/>
          <w:color w:val="404040"/>
        </w:rPr>
        <w:t>of</w:t>
      </w:r>
      <w:r>
        <w:rPr>
          <w:rFonts w:ascii="Source Sans Pro"/>
          <w:color w:val="404040"/>
          <w:spacing w:val="-3"/>
        </w:rPr>
        <w:t xml:space="preserve"> </w:t>
      </w:r>
      <w:r>
        <w:rPr>
          <w:rFonts w:ascii="Source Sans Pro"/>
          <w:color w:val="404040"/>
        </w:rPr>
        <w:t>VAPJP,</w:t>
      </w:r>
      <w:r>
        <w:rPr>
          <w:rFonts w:ascii="Source Sans Pro"/>
          <w:color w:val="404040"/>
          <w:spacing w:val="-2"/>
        </w:rPr>
        <w:t xml:space="preserve"> </w:t>
      </w:r>
      <w:r>
        <w:rPr>
          <w:rFonts w:ascii="Source Sans Pro"/>
          <w:color w:val="404040"/>
        </w:rPr>
        <w:t>the</w:t>
      </w:r>
      <w:r>
        <w:rPr>
          <w:rFonts w:ascii="Source Sans Pro"/>
          <w:color w:val="404040"/>
          <w:spacing w:val="-3"/>
        </w:rPr>
        <w:t xml:space="preserve"> </w:t>
      </w:r>
      <w:r>
        <w:rPr>
          <w:rFonts w:ascii="Source Sans Pro"/>
          <w:color w:val="404040"/>
        </w:rPr>
        <w:t>program</w:t>
      </w:r>
      <w:r>
        <w:rPr>
          <w:rFonts w:ascii="Source Sans Pro"/>
          <w:color w:val="404040"/>
          <w:spacing w:val="40"/>
        </w:rPr>
        <w:t xml:space="preserve"> </w:t>
      </w:r>
      <w:r>
        <w:rPr>
          <w:rFonts w:ascii="Source Sans Pro"/>
          <w:color w:val="404040"/>
        </w:rPr>
        <w:t>should continue to promote disability inclusion in designs, and planning for adequate utilisation, management and</w:t>
      </w:r>
      <w:r>
        <w:rPr>
          <w:rFonts w:ascii="Source Sans Pro"/>
          <w:color w:val="404040"/>
          <w:spacing w:val="40"/>
        </w:rPr>
        <w:t xml:space="preserve"> </w:t>
      </w:r>
      <w:r>
        <w:rPr>
          <w:rFonts w:ascii="Source Sans Pro"/>
          <w:color w:val="404040"/>
        </w:rPr>
        <w:t>maintenance of assets and infrastructure developed.</w:t>
      </w:r>
    </w:p>
    <w:p w14:paraId="736FDF5C" w14:textId="77777777" w:rsidR="009C36E3" w:rsidRDefault="000E7207">
      <w:pPr>
        <w:pStyle w:val="BodyText"/>
        <w:spacing w:before="124"/>
      </w:pPr>
      <w:r>
        <w:t>VAPJP</w:t>
      </w:r>
      <w:r>
        <w:rPr>
          <w:spacing w:val="-1"/>
        </w:rPr>
        <w:t xml:space="preserve"> </w:t>
      </w:r>
      <w:r>
        <w:t>is</w:t>
      </w:r>
      <w:r>
        <w:rPr>
          <w:spacing w:val="-2"/>
        </w:rPr>
        <w:t xml:space="preserve"> </w:t>
      </w:r>
      <w:r>
        <w:t>recognised</w:t>
      </w:r>
      <w:r>
        <w:rPr>
          <w:spacing w:val="-1"/>
        </w:rPr>
        <w:t xml:space="preserve"> </w:t>
      </w:r>
      <w:r>
        <w:t>for</w:t>
      </w:r>
      <w:r>
        <w:rPr>
          <w:spacing w:val="-2"/>
        </w:rPr>
        <w:t xml:space="preserve"> </w:t>
      </w:r>
      <w:r>
        <w:t>providing</w:t>
      </w:r>
      <w:r>
        <w:rPr>
          <w:spacing w:val="-1"/>
        </w:rPr>
        <w:t xml:space="preserve"> </w:t>
      </w:r>
      <w:r>
        <w:t>high</w:t>
      </w:r>
      <w:r>
        <w:rPr>
          <w:spacing w:val="-3"/>
        </w:rPr>
        <w:t xml:space="preserve"> </w:t>
      </w:r>
      <w:r>
        <w:t>quality</w:t>
      </w:r>
      <w:r>
        <w:rPr>
          <w:spacing w:val="-2"/>
        </w:rPr>
        <w:t xml:space="preserve"> </w:t>
      </w:r>
      <w:r>
        <w:t>assets and</w:t>
      </w:r>
      <w:r>
        <w:rPr>
          <w:spacing w:val="-1"/>
        </w:rPr>
        <w:t xml:space="preserve"> </w:t>
      </w:r>
      <w:r>
        <w:t>infrastructure</w:t>
      </w:r>
      <w:r>
        <w:rPr>
          <w:spacing w:val="-3"/>
        </w:rPr>
        <w:t xml:space="preserve"> </w:t>
      </w:r>
      <w:r>
        <w:t>that</w:t>
      </w:r>
      <w:r>
        <w:rPr>
          <w:spacing w:val="-3"/>
        </w:rPr>
        <w:t xml:space="preserve"> </w:t>
      </w:r>
      <w:r>
        <w:t>meets</w:t>
      </w:r>
      <w:r>
        <w:rPr>
          <w:spacing w:val="-2"/>
        </w:rPr>
        <w:t xml:space="preserve"> </w:t>
      </w:r>
      <w:r>
        <w:t>the</w:t>
      </w:r>
      <w:r>
        <w:rPr>
          <w:spacing w:val="-3"/>
        </w:rPr>
        <w:t xml:space="preserve"> </w:t>
      </w:r>
      <w:r>
        <w:t>needs</w:t>
      </w:r>
      <w:r>
        <w:rPr>
          <w:spacing w:val="-2"/>
        </w:rPr>
        <w:t xml:space="preserve"> </w:t>
      </w:r>
      <w:r>
        <w:t>of,</w:t>
      </w:r>
      <w:r>
        <w:rPr>
          <w:spacing w:val="-3"/>
        </w:rPr>
        <w:t xml:space="preserve"> </w:t>
      </w:r>
      <w:r>
        <w:t>and</w:t>
      </w:r>
      <w:r>
        <w:rPr>
          <w:spacing w:val="-3"/>
        </w:rPr>
        <w:t xml:space="preserve"> </w:t>
      </w:r>
      <w:r>
        <w:t>responds</w:t>
      </w:r>
      <w:r>
        <w:rPr>
          <w:spacing w:val="-2"/>
        </w:rPr>
        <w:t xml:space="preserve"> </w:t>
      </w:r>
      <w:r>
        <w:t>to, requests by Vanuatu officials. VAPJP should continue to promote quality and sustainable use of assets and infrastructure</w:t>
      </w:r>
      <w:r>
        <w:rPr>
          <w:spacing w:val="-2"/>
        </w:rPr>
        <w:t xml:space="preserve"> </w:t>
      </w:r>
      <w:r>
        <w:t>to</w:t>
      </w:r>
      <w:r>
        <w:rPr>
          <w:spacing w:val="-2"/>
        </w:rPr>
        <w:t xml:space="preserve"> </w:t>
      </w:r>
      <w:r>
        <w:t>maximise</w:t>
      </w:r>
      <w:r>
        <w:rPr>
          <w:spacing w:val="-3"/>
        </w:rPr>
        <w:t xml:space="preserve"> </w:t>
      </w:r>
      <w:r>
        <w:t>the</w:t>
      </w:r>
      <w:r>
        <w:rPr>
          <w:spacing w:val="-3"/>
        </w:rPr>
        <w:t xml:space="preserve"> </w:t>
      </w:r>
      <w:r>
        <w:t>value</w:t>
      </w:r>
      <w:r>
        <w:rPr>
          <w:spacing w:val="-2"/>
        </w:rPr>
        <w:t xml:space="preserve"> </w:t>
      </w:r>
      <w:r>
        <w:t>of</w:t>
      </w:r>
      <w:r>
        <w:rPr>
          <w:spacing w:val="-3"/>
        </w:rPr>
        <w:t xml:space="preserve"> </w:t>
      </w:r>
      <w:r>
        <w:t>these</w:t>
      </w:r>
      <w:r>
        <w:rPr>
          <w:spacing w:val="-3"/>
        </w:rPr>
        <w:t xml:space="preserve"> </w:t>
      </w:r>
      <w:r>
        <w:t>contributions</w:t>
      </w:r>
      <w:r>
        <w:rPr>
          <w:spacing w:val="-2"/>
        </w:rPr>
        <w:t xml:space="preserve"> </w:t>
      </w:r>
      <w:r>
        <w:t>for</w:t>
      </w:r>
      <w:r>
        <w:rPr>
          <w:spacing w:val="-2"/>
        </w:rPr>
        <w:t xml:space="preserve"> </w:t>
      </w:r>
      <w:r>
        <w:t>both</w:t>
      </w:r>
      <w:r>
        <w:rPr>
          <w:spacing w:val="-3"/>
        </w:rPr>
        <w:t xml:space="preserve"> </w:t>
      </w:r>
      <w:r>
        <w:t>GoV</w:t>
      </w:r>
      <w:r>
        <w:rPr>
          <w:spacing w:val="-2"/>
        </w:rPr>
        <w:t xml:space="preserve"> </w:t>
      </w:r>
      <w:r>
        <w:t>and</w:t>
      </w:r>
      <w:r>
        <w:rPr>
          <w:spacing w:val="-3"/>
        </w:rPr>
        <w:t xml:space="preserve"> </w:t>
      </w:r>
      <w:r>
        <w:t>GoA.</w:t>
      </w:r>
      <w:r>
        <w:rPr>
          <w:spacing w:val="-2"/>
        </w:rPr>
        <w:t xml:space="preserve"> </w:t>
      </w:r>
      <w:r>
        <w:t>In</w:t>
      </w:r>
      <w:r>
        <w:rPr>
          <w:spacing w:val="-3"/>
        </w:rPr>
        <w:t xml:space="preserve"> </w:t>
      </w:r>
      <w:r>
        <w:t>addition,</w:t>
      </w:r>
      <w:r>
        <w:rPr>
          <w:spacing w:val="-2"/>
        </w:rPr>
        <w:t xml:space="preserve"> </w:t>
      </w:r>
      <w:r>
        <w:t>VAPJP</w:t>
      </w:r>
      <w:r>
        <w:rPr>
          <w:spacing w:val="-2"/>
        </w:rPr>
        <w:t xml:space="preserve"> </w:t>
      </w:r>
      <w:r>
        <w:t>is</w:t>
      </w:r>
      <w:r>
        <w:rPr>
          <w:spacing w:val="-2"/>
        </w:rPr>
        <w:t xml:space="preserve"> </w:t>
      </w:r>
      <w:r>
        <w:t>playing</w:t>
      </w:r>
      <w:r>
        <w:rPr>
          <w:spacing w:val="-3"/>
        </w:rPr>
        <w:t xml:space="preserve"> </w:t>
      </w:r>
      <w:r>
        <w:t>an important role</w:t>
      </w:r>
      <w:r>
        <w:rPr>
          <w:spacing w:val="-2"/>
        </w:rPr>
        <w:t xml:space="preserve"> </w:t>
      </w:r>
      <w:r>
        <w:t>in</w:t>
      </w:r>
      <w:r>
        <w:rPr>
          <w:spacing w:val="-2"/>
        </w:rPr>
        <w:t xml:space="preserve"> </w:t>
      </w:r>
      <w:r>
        <w:t>promoting gender</w:t>
      </w:r>
      <w:r>
        <w:rPr>
          <w:spacing w:val="-1"/>
        </w:rPr>
        <w:t xml:space="preserve"> </w:t>
      </w:r>
      <w:r>
        <w:t>and</w:t>
      </w:r>
      <w:r>
        <w:rPr>
          <w:spacing w:val="-2"/>
        </w:rPr>
        <w:t xml:space="preserve"> </w:t>
      </w:r>
      <w:r>
        <w:t>disability</w:t>
      </w:r>
      <w:r>
        <w:rPr>
          <w:spacing w:val="-1"/>
        </w:rPr>
        <w:t xml:space="preserve"> </w:t>
      </w:r>
      <w:r>
        <w:t>inclusion</w:t>
      </w:r>
      <w:r>
        <w:rPr>
          <w:spacing w:val="-2"/>
        </w:rPr>
        <w:t xml:space="preserve"> </w:t>
      </w:r>
      <w:r>
        <w:t>in</w:t>
      </w:r>
      <w:r>
        <w:rPr>
          <w:spacing w:val="-2"/>
        </w:rPr>
        <w:t xml:space="preserve"> </w:t>
      </w:r>
      <w:r>
        <w:t>infrastructure, though model</w:t>
      </w:r>
      <w:r>
        <w:rPr>
          <w:spacing w:val="-3"/>
        </w:rPr>
        <w:t xml:space="preserve"> </w:t>
      </w:r>
      <w:r>
        <w:t>designs,</w:t>
      </w:r>
      <w:r>
        <w:rPr>
          <w:spacing w:val="-2"/>
        </w:rPr>
        <w:t xml:space="preserve"> </w:t>
      </w:r>
      <w:r>
        <w:t>disability</w:t>
      </w:r>
      <w:r>
        <w:rPr>
          <w:spacing w:val="-1"/>
        </w:rPr>
        <w:t xml:space="preserve"> </w:t>
      </w:r>
      <w:r>
        <w:t>audits and awareness raising. This should continue, and further opportunities to take this to scale identified if possible.</w:t>
      </w:r>
    </w:p>
    <w:p w14:paraId="7F1BE352" w14:textId="77777777" w:rsidR="000047A7" w:rsidRDefault="000047A7" w:rsidP="000047A7">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120"/>
        <w:ind w:right="119"/>
        <w:rPr>
          <w:rFonts w:ascii="Source Sans Pro"/>
        </w:rPr>
      </w:pPr>
      <w:r>
        <w:rPr>
          <w:rFonts w:ascii="Source Sans Pro"/>
          <w:b/>
          <w:color w:val="003478"/>
        </w:rPr>
        <w:t>Recommendation</w:t>
      </w:r>
      <w:r>
        <w:rPr>
          <w:rFonts w:ascii="Source Sans Pro"/>
          <w:b/>
          <w:color w:val="003478"/>
          <w:spacing w:val="-3"/>
        </w:rPr>
        <w:t xml:space="preserve"> </w:t>
      </w:r>
      <w:r>
        <w:rPr>
          <w:rFonts w:ascii="Source Sans Pro"/>
          <w:b/>
          <w:color w:val="003478"/>
        </w:rPr>
        <w:t>12.</w:t>
      </w:r>
      <w:r>
        <w:rPr>
          <w:rFonts w:ascii="Source Sans Pro"/>
          <w:b/>
          <w:color w:val="003478"/>
          <w:spacing w:val="10"/>
        </w:rPr>
        <w:t xml:space="preserve"> </w:t>
      </w:r>
      <w:r>
        <w:rPr>
          <w:rFonts w:ascii="Source Sans Pro"/>
          <w:color w:val="404040"/>
        </w:rPr>
        <w:t>Given</w:t>
      </w:r>
      <w:r>
        <w:rPr>
          <w:rFonts w:ascii="Source Sans Pro"/>
          <w:color w:val="404040"/>
          <w:spacing w:val="-2"/>
        </w:rPr>
        <w:t xml:space="preserve"> </w:t>
      </w:r>
      <w:r>
        <w:rPr>
          <w:rFonts w:ascii="Source Sans Pro"/>
          <w:color w:val="404040"/>
        </w:rPr>
        <w:t>the</w:t>
      </w:r>
      <w:r>
        <w:rPr>
          <w:rFonts w:ascii="Source Sans Pro"/>
          <w:color w:val="404040"/>
          <w:spacing w:val="-4"/>
        </w:rPr>
        <w:t xml:space="preserve"> </w:t>
      </w:r>
      <w:r>
        <w:rPr>
          <w:rFonts w:ascii="Source Sans Pro"/>
          <w:color w:val="404040"/>
        </w:rPr>
        <w:t>stated</w:t>
      </w:r>
      <w:r>
        <w:rPr>
          <w:rFonts w:ascii="Source Sans Pro"/>
          <w:color w:val="404040"/>
          <w:spacing w:val="-4"/>
        </w:rPr>
        <w:t xml:space="preserve"> </w:t>
      </w:r>
      <w:r>
        <w:rPr>
          <w:rFonts w:ascii="Source Sans Pro"/>
          <w:color w:val="404040"/>
        </w:rPr>
        <w:t>strategic</w:t>
      </w:r>
      <w:r>
        <w:rPr>
          <w:rFonts w:ascii="Source Sans Pro"/>
          <w:color w:val="404040"/>
          <w:spacing w:val="-3"/>
        </w:rPr>
        <w:t xml:space="preserve"> </w:t>
      </w:r>
      <w:r>
        <w:rPr>
          <w:rFonts w:ascii="Source Sans Pro"/>
          <w:color w:val="404040"/>
        </w:rPr>
        <w:t>importance</w:t>
      </w:r>
      <w:r>
        <w:rPr>
          <w:rFonts w:ascii="Source Sans Pro"/>
          <w:color w:val="404040"/>
          <w:spacing w:val="-4"/>
        </w:rPr>
        <w:t xml:space="preserve"> </w:t>
      </w:r>
      <w:r>
        <w:rPr>
          <w:rFonts w:ascii="Source Sans Pro"/>
          <w:color w:val="404040"/>
        </w:rPr>
        <w:t>of</w:t>
      </w:r>
      <w:r>
        <w:rPr>
          <w:rFonts w:ascii="Source Sans Pro"/>
          <w:color w:val="404040"/>
          <w:spacing w:val="-4"/>
        </w:rPr>
        <w:t xml:space="preserve"> </w:t>
      </w:r>
      <w:r>
        <w:rPr>
          <w:rFonts w:ascii="Source Sans Pro"/>
          <w:color w:val="404040"/>
        </w:rPr>
        <w:t>the</w:t>
      </w:r>
      <w:r>
        <w:rPr>
          <w:rFonts w:ascii="Source Sans Pro"/>
          <w:color w:val="404040"/>
          <w:spacing w:val="-4"/>
        </w:rPr>
        <w:t xml:space="preserve"> </w:t>
      </w:r>
      <w:r>
        <w:rPr>
          <w:rFonts w:ascii="Source Sans Pro"/>
          <w:color w:val="404040"/>
        </w:rPr>
        <w:t>VAPJP</w:t>
      </w:r>
      <w:r>
        <w:rPr>
          <w:rFonts w:ascii="Source Sans Pro"/>
          <w:color w:val="404040"/>
          <w:spacing w:val="-4"/>
        </w:rPr>
        <w:t xml:space="preserve"> </w:t>
      </w:r>
      <w:r>
        <w:rPr>
          <w:rFonts w:ascii="Source Sans Pro"/>
          <w:color w:val="404040"/>
        </w:rPr>
        <w:t>program,</w:t>
      </w:r>
      <w:r>
        <w:rPr>
          <w:rFonts w:ascii="Source Sans Pro"/>
          <w:color w:val="404040"/>
          <w:spacing w:val="-3"/>
        </w:rPr>
        <w:t xml:space="preserve"> </w:t>
      </w:r>
      <w:r>
        <w:rPr>
          <w:rFonts w:ascii="Source Sans Pro"/>
          <w:color w:val="404040"/>
        </w:rPr>
        <w:t>DFAT</w:t>
      </w:r>
      <w:r>
        <w:rPr>
          <w:rFonts w:ascii="Source Sans Pro"/>
          <w:color w:val="404040"/>
          <w:spacing w:val="-2"/>
        </w:rPr>
        <w:t xml:space="preserve"> </w:t>
      </w:r>
      <w:r>
        <w:rPr>
          <w:rFonts w:ascii="Source Sans Pro"/>
          <w:color w:val="404040"/>
        </w:rPr>
        <w:t>should</w:t>
      </w:r>
      <w:r>
        <w:rPr>
          <w:rFonts w:ascii="Source Sans Pro"/>
          <w:color w:val="404040"/>
          <w:spacing w:val="-4"/>
        </w:rPr>
        <w:t xml:space="preserve"> </w:t>
      </w:r>
      <w:r>
        <w:rPr>
          <w:rFonts w:ascii="Source Sans Pro"/>
          <w:color w:val="404040"/>
        </w:rPr>
        <w:t>apply</w:t>
      </w:r>
      <w:r>
        <w:rPr>
          <w:rFonts w:ascii="Source Sans Pro"/>
          <w:color w:val="404040"/>
          <w:spacing w:val="-3"/>
        </w:rPr>
        <w:t xml:space="preserve"> </w:t>
      </w:r>
      <w:r>
        <w:rPr>
          <w:rFonts w:ascii="Source Sans Pro"/>
          <w:color w:val="404040"/>
        </w:rPr>
        <w:t>significantly</w:t>
      </w:r>
      <w:r>
        <w:rPr>
          <w:rFonts w:ascii="Source Sans Pro"/>
          <w:color w:val="404040"/>
          <w:spacing w:val="40"/>
        </w:rPr>
        <w:t xml:space="preserve"> </w:t>
      </w:r>
      <w:r>
        <w:rPr>
          <w:rFonts w:ascii="Source Sans Pro"/>
          <w:color w:val="404040"/>
        </w:rPr>
        <w:t>more resourcing at Post to management and oversight of the Program.</w:t>
      </w:r>
    </w:p>
    <w:p w14:paraId="09CFE0A2" w14:textId="4A59794C" w:rsidR="009C36E3" w:rsidRDefault="000E7207" w:rsidP="00686D6F">
      <w:pPr>
        <w:pStyle w:val="BodyText"/>
        <w:spacing w:before="120"/>
        <w:ind w:right="119"/>
      </w:pPr>
      <w:r>
        <w:t>VAPJP is considered an increasingly strategic program for GoA, noting the</w:t>
      </w:r>
      <w:r>
        <w:rPr>
          <w:spacing w:val="-1"/>
        </w:rPr>
        <w:t xml:space="preserve"> </w:t>
      </w:r>
      <w:r>
        <w:t>challenges faced</w:t>
      </w:r>
      <w:r>
        <w:rPr>
          <w:spacing w:val="-1"/>
        </w:rPr>
        <w:t xml:space="preserve"> </w:t>
      </w:r>
      <w:r>
        <w:t>by the</w:t>
      </w:r>
      <w:r>
        <w:rPr>
          <w:spacing w:val="-1"/>
        </w:rPr>
        <w:t xml:space="preserve"> </w:t>
      </w:r>
      <w:r>
        <w:t>sector,</w:t>
      </w:r>
      <w:r>
        <w:rPr>
          <w:spacing w:val="-1"/>
        </w:rPr>
        <w:t xml:space="preserve"> </w:t>
      </w:r>
      <w:r>
        <w:t>and Vanuatu more</w:t>
      </w:r>
      <w:r>
        <w:rPr>
          <w:spacing w:val="-1"/>
        </w:rPr>
        <w:t xml:space="preserve"> </w:t>
      </w:r>
      <w:r>
        <w:t>broadly.</w:t>
      </w:r>
      <w:r>
        <w:rPr>
          <w:spacing w:val="-1"/>
        </w:rPr>
        <w:t xml:space="preserve"> </w:t>
      </w:r>
      <w:r>
        <w:t>Staff</w:t>
      </w:r>
      <w:r>
        <w:rPr>
          <w:spacing w:val="-1"/>
        </w:rPr>
        <w:t xml:space="preserve"> </w:t>
      </w:r>
      <w:r>
        <w:t>currently managing</w:t>
      </w:r>
      <w:r>
        <w:rPr>
          <w:spacing w:val="-1"/>
        </w:rPr>
        <w:t xml:space="preserve"> </w:t>
      </w:r>
      <w:r>
        <w:t>the</w:t>
      </w:r>
      <w:r>
        <w:rPr>
          <w:spacing w:val="-1"/>
        </w:rPr>
        <w:t xml:space="preserve"> </w:t>
      </w:r>
      <w:r>
        <w:t>program do an exemplary</w:t>
      </w:r>
      <w:r>
        <w:rPr>
          <w:spacing w:val="-2"/>
        </w:rPr>
        <w:t xml:space="preserve"> </w:t>
      </w:r>
      <w:r>
        <w:t>job,</w:t>
      </w:r>
      <w:r>
        <w:rPr>
          <w:spacing w:val="-3"/>
        </w:rPr>
        <w:t xml:space="preserve"> </w:t>
      </w:r>
      <w:r>
        <w:t>but</w:t>
      </w:r>
      <w:r>
        <w:rPr>
          <w:spacing w:val="-1"/>
        </w:rPr>
        <w:t xml:space="preserve"> </w:t>
      </w:r>
      <w:r>
        <w:t>it</w:t>
      </w:r>
      <w:r>
        <w:rPr>
          <w:spacing w:val="-3"/>
        </w:rPr>
        <w:t xml:space="preserve"> </w:t>
      </w:r>
      <w:r>
        <w:t>is not</w:t>
      </w:r>
      <w:r>
        <w:rPr>
          <w:spacing w:val="-3"/>
        </w:rPr>
        <w:t xml:space="preserve"> </w:t>
      </w:r>
      <w:r>
        <w:t>reasonable</w:t>
      </w:r>
      <w:r>
        <w:rPr>
          <w:spacing w:val="-3"/>
        </w:rPr>
        <w:t xml:space="preserve"> </w:t>
      </w:r>
      <w:r>
        <w:t>to</w:t>
      </w:r>
      <w:r>
        <w:rPr>
          <w:spacing w:val="-1"/>
        </w:rPr>
        <w:t xml:space="preserve"> </w:t>
      </w:r>
      <w:r>
        <w:t>expect</w:t>
      </w:r>
      <w:r>
        <w:rPr>
          <w:spacing w:val="-3"/>
        </w:rPr>
        <w:t xml:space="preserve"> </w:t>
      </w:r>
      <w:r>
        <w:t>them</w:t>
      </w:r>
      <w:r>
        <w:rPr>
          <w:spacing w:val="-1"/>
        </w:rPr>
        <w:t xml:space="preserve"> </w:t>
      </w:r>
      <w:r>
        <w:t>to</w:t>
      </w:r>
      <w:r>
        <w:rPr>
          <w:spacing w:val="-3"/>
        </w:rPr>
        <w:t xml:space="preserve"> </w:t>
      </w:r>
      <w:r>
        <w:t>continue</w:t>
      </w:r>
      <w:r>
        <w:rPr>
          <w:spacing w:val="-3"/>
        </w:rPr>
        <w:t xml:space="preserve"> </w:t>
      </w:r>
      <w:r>
        <w:t>to</w:t>
      </w:r>
      <w:r>
        <w:rPr>
          <w:spacing w:val="-1"/>
        </w:rPr>
        <w:t xml:space="preserve"> </w:t>
      </w:r>
      <w:r>
        <w:t>manage</w:t>
      </w:r>
      <w:r>
        <w:rPr>
          <w:spacing w:val="-3"/>
        </w:rPr>
        <w:t xml:space="preserve"> </w:t>
      </w:r>
      <w:r>
        <w:t>risks</w:t>
      </w:r>
      <w:r>
        <w:rPr>
          <w:spacing w:val="-2"/>
        </w:rPr>
        <w:t xml:space="preserve"> </w:t>
      </w:r>
      <w:r>
        <w:t>and</w:t>
      </w:r>
      <w:r>
        <w:rPr>
          <w:spacing w:val="-1"/>
        </w:rPr>
        <w:t xml:space="preserve"> </w:t>
      </w:r>
      <w:r>
        <w:t>provide</w:t>
      </w:r>
      <w:r>
        <w:rPr>
          <w:spacing w:val="-3"/>
        </w:rPr>
        <w:t xml:space="preserve"> </w:t>
      </w:r>
      <w:r>
        <w:t>oversight</w:t>
      </w:r>
      <w:r>
        <w:rPr>
          <w:spacing w:val="-3"/>
        </w:rPr>
        <w:t xml:space="preserve"> </w:t>
      </w:r>
      <w:r>
        <w:t>without additional senior level resources being applied.</w:t>
      </w:r>
    </w:p>
    <w:p w14:paraId="55D4D526" w14:textId="77777777" w:rsidR="007A6C43" w:rsidRDefault="007A6C43" w:rsidP="007A6C43">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120"/>
        <w:ind w:right="119"/>
        <w:jc w:val="both"/>
        <w:rPr>
          <w:rFonts w:ascii="Source Sans Pro" w:hAnsi="Source Sans Pro"/>
        </w:rPr>
      </w:pPr>
      <w:r>
        <w:rPr>
          <w:rFonts w:ascii="Source Sans Pro" w:hAnsi="Source Sans Pro"/>
          <w:b/>
          <w:color w:val="003478"/>
        </w:rPr>
        <w:t>Recommendation</w:t>
      </w:r>
      <w:r>
        <w:rPr>
          <w:rFonts w:ascii="Source Sans Pro" w:hAnsi="Source Sans Pro"/>
          <w:b/>
          <w:color w:val="003478"/>
          <w:spacing w:val="-2"/>
        </w:rPr>
        <w:t xml:space="preserve"> </w:t>
      </w:r>
      <w:r>
        <w:rPr>
          <w:rFonts w:ascii="Source Sans Pro" w:hAnsi="Source Sans Pro"/>
          <w:b/>
          <w:color w:val="003478"/>
        </w:rPr>
        <w:t xml:space="preserve">13. </w:t>
      </w:r>
      <w:r>
        <w:rPr>
          <w:rFonts w:ascii="Source Sans Pro" w:hAnsi="Source Sans Pro"/>
          <w:color w:val="404040"/>
        </w:rPr>
        <w:t>Given</w:t>
      </w:r>
      <w:r>
        <w:rPr>
          <w:rFonts w:ascii="Source Sans Pro" w:hAnsi="Source Sans Pro"/>
          <w:color w:val="404040"/>
          <w:spacing w:val="-1"/>
        </w:rPr>
        <w:t xml:space="preserve"> </w:t>
      </w:r>
      <w:r>
        <w:rPr>
          <w:rFonts w:ascii="Source Sans Pro" w:hAnsi="Source Sans Pro"/>
          <w:color w:val="404040"/>
        </w:rPr>
        <w:t>the</w:t>
      </w:r>
      <w:r>
        <w:rPr>
          <w:rFonts w:ascii="Source Sans Pro" w:hAnsi="Source Sans Pro"/>
          <w:color w:val="404040"/>
          <w:spacing w:val="-3"/>
        </w:rPr>
        <w:t xml:space="preserve"> </w:t>
      </w:r>
      <w:r>
        <w:rPr>
          <w:rFonts w:ascii="Source Sans Pro" w:hAnsi="Source Sans Pro"/>
          <w:color w:val="404040"/>
        </w:rPr>
        <w:t>frequency</w:t>
      </w:r>
      <w:r>
        <w:rPr>
          <w:rFonts w:ascii="Source Sans Pro" w:hAnsi="Source Sans Pro"/>
          <w:color w:val="404040"/>
          <w:spacing w:val="-2"/>
        </w:rPr>
        <w:t xml:space="preserve"> </w:t>
      </w:r>
      <w:r>
        <w:rPr>
          <w:rFonts w:ascii="Source Sans Pro" w:hAnsi="Source Sans Pro"/>
          <w:color w:val="404040"/>
        </w:rPr>
        <w:t>and</w:t>
      </w:r>
      <w:r>
        <w:rPr>
          <w:rFonts w:ascii="Source Sans Pro" w:hAnsi="Source Sans Pro"/>
          <w:color w:val="404040"/>
          <w:spacing w:val="-3"/>
        </w:rPr>
        <w:t xml:space="preserve"> </w:t>
      </w:r>
      <w:r>
        <w:rPr>
          <w:rFonts w:ascii="Source Sans Pro" w:hAnsi="Source Sans Pro"/>
          <w:color w:val="404040"/>
        </w:rPr>
        <w:t>severity</w:t>
      </w:r>
      <w:r>
        <w:rPr>
          <w:rFonts w:ascii="Source Sans Pro" w:hAnsi="Source Sans Pro"/>
          <w:color w:val="404040"/>
          <w:spacing w:val="-2"/>
        </w:rPr>
        <w:t xml:space="preserve"> </w:t>
      </w:r>
      <w:r>
        <w:rPr>
          <w:rFonts w:ascii="Source Sans Pro" w:hAnsi="Source Sans Pro"/>
          <w:color w:val="404040"/>
        </w:rPr>
        <w:t>of</w:t>
      </w:r>
      <w:r>
        <w:rPr>
          <w:rFonts w:ascii="Source Sans Pro" w:hAnsi="Source Sans Pro"/>
          <w:color w:val="404040"/>
          <w:spacing w:val="-1"/>
        </w:rPr>
        <w:t xml:space="preserve"> </w:t>
      </w:r>
      <w:r>
        <w:rPr>
          <w:rFonts w:ascii="Source Sans Pro" w:hAnsi="Source Sans Pro"/>
          <w:color w:val="404040"/>
        </w:rPr>
        <w:t>natural</w:t>
      </w:r>
      <w:r>
        <w:rPr>
          <w:rFonts w:ascii="Source Sans Pro" w:hAnsi="Source Sans Pro"/>
          <w:color w:val="404040"/>
          <w:spacing w:val="-3"/>
        </w:rPr>
        <w:t xml:space="preserve"> </w:t>
      </w:r>
      <w:r>
        <w:rPr>
          <w:rFonts w:ascii="Source Sans Pro" w:hAnsi="Source Sans Pro"/>
          <w:color w:val="404040"/>
        </w:rPr>
        <w:t>disasters,</w:t>
      </w:r>
      <w:r>
        <w:rPr>
          <w:rFonts w:ascii="Source Sans Pro" w:hAnsi="Source Sans Pro"/>
          <w:color w:val="404040"/>
          <w:spacing w:val="-2"/>
        </w:rPr>
        <w:t xml:space="preserve"> </w:t>
      </w:r>
      <w:r>
        <w:rPr>
          <w:rFonts w:ascii="Source Sans Pro" w:hAnsi="Source Sans Pro"/>
          <w:color w:val="404040"/>
        </w:rPr>
        <w:t>VAPJP</w:t>
      </w:r>
      <w:r>
        <w:rPr>
          <w:rFonts w:ascii="Source Sans Pro" w:hAnsi="Source Sans Pro"/>
          <w:color w:val="404040"/>
          <w:spacing w:val="-3"/>
        </w:rPr>
        <w:t xml:space="preserve"> </w:t>
      </w:r>
      <w:r>
        <w:rPr>
          <w:rFonts w:ascii="Source Sans Pro" w:hAnsi="Source Sans Pro"/>
          <w:color w:val="404040"/>
        </w:rPr>
        <w:t>should</w:t>
      </w:r>
      <w:r>
        <w:rPr>
          <w:rFonts w:ascii="Source Sans Pro" w:hAnsi="Source Sans Pro"/>
          <w:color w:val="404040"/>
          <w:spacing w:val="-3"/>
        </w:rPr>
        <w:t xml:space="preserve"> </w:t>
      </w:r>
      <w:r>
        <w:rPr>
          <w:rFonts w:ascii="Source Sans Pro" w:hAnsi="Source Sans Pro"/>
          <w:color w:val="404040"/>
        </w:rPr>
        <w:t>continue</w:t>
      </w:r>
      <w:r>
        <w:rPr>
          <w:rFonts w:ascii="Source Sans Pro" w:hAnsi="Source Sans Pro"/>
          <w:color w:val="404040"/>
          <w:spacing w:val="-3"/>
        </w:rPr>
        <w:t xml:space="preserve"> </w:t>
      </w:r>
      <w:r>
        <w:rPr>
          <w:rFonts w:ascii="Source Sans Pro" w:hAnsi="Source Sans Pro"/>
          <w:color w:val="404040"/>
        </w:rPr>
        <w:t>to</w:t>
      </w:r>
      <w:r>
        <w:rPr>
          <w:rFonts w:ascii="Source Sans Pro" w:hAnsi="Source Sans Pro"/>
          <w:color w:val="404040"/>
          <w:spacing w:val="-3"/>
        </w:rPr>
        <w:t xml:space="preserve"> </w:t>
      </w:r>
      <w:r>
        <w:rPr>
          <w:rFonts w:ascii="Source Sans Pro" w:hAnsi="Source Sans Pro"/>
          <w:color w:val="404040"/>
        </w:rPr>
        <w:t>work</w:t>
      </w:r>
      <w:r>
        <w:rPr>
          <w:rFonts w:ascii="Source Sans Pro" w:hAnsi="Source Sans Pro"/>
          <w:color w:val="404040"/>
          <w:spacing w:val="-3"/>
        </w:rPr>
        <w:t xml:space="preserve"> </w:t>
      </w:r>
      <w:r>
        <w:rPr>
          <w:rFonts w:ascii="Source Sans Pro" w:hAnsi="Source Sans Pro"/>
          <w:color w:val="404040"/>
        </w:rPr>
        <w:t>with</w:t>
      </w:r>
      <w:r>
        <w:rPr>
          <w:rFonts w:ascii="Source Sans Pro" w:hAnsi="Source Sans Pro"/>
          <w:color w:val="404040"/>
          <w:spacing w:val="40"/>
        </w:rPr>
        <w:t xml:space="preserve"> </w:t>
      </w:r>
      <w:r>
        <w:rPr>
          <w:rFonts w:ascii="Source Sans Pro" w:hAnsi="Source Sans Pro"/>
          <w:color w:val="404040"/>
        </w:rPr>
        <w:t>partner</w:t>
      </w:r>
      <w:r>
        <w:rPr>
          <w:rFonts w:ascii="Source Sans Pro" w:hAnsi="Source Sans Pro"/>
          <w:color w:val="404040"/>
          <w:spacing w:val="-3"/>
        </w:rPr>
        <w:t xml:space="preserve"> </w:t>
      </w:r>
      <w:r>
        <w:rPr>
          <w:rFonts w:ascii="Source Sans Pro" w:hAnsi="Source Sans Pro"/>
          <w:color w:val="404040"/>
        </w:rPr>
        <w:t>agencies</w:t>
      </w:r>
      <w:r>
        <w:rPr>
          <w:rFonts w:ascii="Source Sans Pro" w:hAnsi="Source Sans Pro"/>
          <w:color w:val="404040"/>
          <w:spacing w:val="-3"/>
        </w:rPr>
        <w:t xml:space="preserve"> </w:t>
      </w:r>
      <w:r>
        <w:rPr>
          <w:rFonts w:ascii="Source Sans Pro" w:hAnsi="Source Sans Pro"/>
          <w:color w:val="404040"/>
        </w:rPr>
        <w:t>on</w:t>
      </w:r>
      <w:r>
        <w:rPr>
          <w:rFonts w:ascii="Source Sans Pro" w:hAnsi="Source Sans Pro"/>
          <w:color w:val="404040"/>
          <w:spacing w:val="-5"/>
        </w:rPr>
        <w:t xml:space="preserve"> </w:t>
      </w:r>
      <w:r>
        <w:rPr>
          <w:rFonts w:ascii="Source Sans Pro" w:hAnsi="Source Sans Pro"/>
          <w:color w:val="404040"/>
        </w:rPr>
        <w:t>practical</w:t>
      </w:r>
      <w:r>
        <w:rPr>
          <w:rFonts w:ascii="Source Sans Pro" w:hAnsi="Source Sans Pro"/>
          <w:color w:val="404040"/>
          <w:spacing w:val="-2"/>
        </w:rPr>
        <w:t xml:space="preserve"> </w:t>
      </w:r>
      <w:r>
        <w:rPr>
          <w:rFonts w:ascii="Source Sans Pro" w:hAnsi="Source Sans Pro"/>
          <w:color w:val="404040"/>
        </w:rPr>
        <w:t>disaster</w:t>
      </w:r>
      <w:r>
        <w:rPr>
          <w:rFonts w:ascii="Source Sans Pro" w:hAnsi="Source Sans Pro"/>
          <w:color w:val="404040"/>
          <w:spacing w:val="-3"/>
        </w:rPr>
        <w:t xml:space="preserve"> </w:t>
      </w:r>
      <w:r>
        <w:rPr>
          <w:rFonts w:ascii="Source Sans Pro" w:hAnsi="Source Sans Pro"/>
          <w:color w:val="404040"/>
        </w:rPr>
        <w:t>risk</w:t>
      </w:r>
      <w:r>
        <w:rPr>
          <w:rFonts w:ascii="Source Sans Pro" w:hAnsi="Source Sans Pro"/>
          <w:color w:val="404040"/>
          <w:spacing w:val="-4"/>
        </w:rPr>
        <w:t xml:space="preserve"> </w:t>
      </w:r>
      <w:r>
        <w:rPr>
          <w:rFonts w:ascii="Source Sans Pro" w:hAnsi="Source Sans Pro"/>
          <w:color w:val="404040"/>
        </w:rPr>
        <w:t>reduction,</w:t>
      </w:r>
      <w:r>
        <w:rPr>
          <w:rFonts w:ascii="Source Sans Pro" w:hAnsi="Source Sans Pro"/>
          <w:color w:val="404040"/>
          <w:spacing w:val="-3"/>
        </w:rPr>
        <w:t xml:space="preserve"> </w:t>
      </w:r>
      <w:r>
        <w:rPr>
          <w:rFonts w:ascii="Source Sans Pro" w:hAnsi="Source Sans Pro"/>
          <w:color w:val="404040"/>
        </w:rPr>
        <w:t>and</w:t>
      </w:r>
      <w:r>
        <w:rPr>
          <w:rFonts w:ascii="Source Sans Pro" w:hAnsi="Source Sans Pro"/>
          <w:color w:val="404040"/>
          <w:spacing w:val="-4"/>
        </w:rPr>
        <w:t xml:space="preserve"> </w:t>
      </w:r>
      <w:r>
        <w:rPr>
          <w:rFonts w:ascii="Source Sans Pro" w:hAnsi="Source Sans Pro"/>
          <w:color w:val="404040"/>
        </w:rPr>
        <w:t>‘chain-of-justice’</w:t>
      </w:r>
      <w:r>
        <w:rPr>
          <w:rFonts w:ascii="Source Sans Pro" w:hAnsi="Source Sans Pro"/>
          <w:color w:val="404040"/>
          <w:spacing w:val="-3"/>
        </w:rPr>
        <w:t xml:space="preserve"> </w:t>
      </w:r>
      <w:r>
        <w:rPr>
          <w:rFonts w:ascii="Source Sans Pro" w:hAnsi="Source Sans Pro"/>
          <w:color w:val="404040"/>
        </w:rPr>
        <w:t>preparedness-</w:t>
      </w:r>
      <w:r>
        <w:rPr>
          <w:rFonts w:ascii="Source Sans Pro" w:hAnsi="Source Sans Pro"/>
          <w:color w:val="404040"/>
          <w:spacing w:val="-3"/>
        </w:rPr>
        <w:t xml:space="preserve"> </w:t>
      </w:r>
      <w:r>
        <w:rPr>
          <w:rFonts w:ascii="Source Sans Pro" w:hAnsi="Source Sans Pro"/>
          <w:color w:val="404040"/>
        </w:rPr>
        <w:t>including</w:t>
      </w:r>
      <w:r>
        <w:rPr>
          <w:rFonts w:ascii="Source Sans Pro" w:hAnsi="Source Sans Pro"/>
          <w:color w:val="404040"/>
          <w:spacing w:val="-3"/>
        </w:rPr>
        <w:t xml:space="preserve"> </w:t>
      </w:r>
      <w:r>
        <w:rPr>
          <w:rFonts w:ascii="Source Sans Pro" w:hAnsi="Source Sans Pro"/>
          <w:color w:val="404040"/>
        </w:rPr>
        <w:t>response</w:t>
      </w:r>
      <w:r>
        <w:rPr>
          <w:rFonts w:ascii="Source Sans Pro" w:hAnsi="Source Sans Pro"/>
          <w:color w:val="404040"/>
          <w:spacing w:val="-4"/>
        </w:rPr>
        <w:t xml:space="preserve"> </w:t>
      </w:r>
      <w:r>
        <w:rPr>
          <w:rFonts w:ascii="Source Sans Pro" w:hAnsi="Source Sans Pro"/>
          <w:color w:val="404040"/>
        </w:rPr>
        <w:t>and</w:t>
      </w:r>
      <w:r>
        <w:rPr>
          <w:rFonts w:ascii="Source Sans Pro" w:hAnsi="Source Sans Pro"/>
          <w:color w:val="404040"/>
          <w:spacing w:val="40"/>
        </w:rPr>
        <w:t xml:space="preserve"> </w:t>
      </w:r>
      <w:r>
        <w:rPr>
          <w:rFonts w:ascii="Source Sans Pro" w:hAnsi="Source Sans Pro"/>
          <w:color w:val="404040"/>
        </w:rPr>
        <w:t>recovery, as well as responding to disasters in a coordinated fashion with the relevant GoV agencies.</w:t>
      </w:r>
    </w:p>
    <w:p w14:paraId="421E2FF9" w14:textId="77777777" w:rsidR="009C36E3" w:rsidRDefault="000E7207">
      <w:pPr>
        <w:pStyle w:val="BodyText"/>
        <w:spacing w:before="124"/>
        <w:ind w:left="772"/>
      </w:pPr>
      <w:r>
        <w:t>Some respondents have suggested that global best practice in responding to disasters should be the focus of research within the program. The MTR team is of the view that it is planning and awareness, not research, that is required at this point; given the tendency for the program to continually expand its focus. The mechanism for ensuring</w:t>
      </w:r>
      <w:r>
        <w:rPr>
          <w:spacing w:val="-4"/>
        </w:rPr>
        <w:t xml:space="preserve"> </w:t>
      </w:r>
      <w:r>
        <w:t>sufficient</w:t>
      </w:r>
      <w:r>
        <w:rPr>
          <w:spacing w:val="-4"/>
        </w:rPr>
        <w:t xml:space="preserve"> </w:t>
      </w:r>
      <w:r>
        <w:t>budgetary</w:t>
      </w:r>
      <w:r>
        <w:rPr>
          <w:spacing w:val="-3"/>
        </w:rPr>
        <w:t xml:space="preserve"> </w:t>
      </w:r>
      <w:r>
        <w:t>allocations</w:t>
      </w:r>
      <w:r>
        <w:rPr>
          <w:spacing w:val="-3"/>
        </w:rPr>
        <w:t xml:space="preserve"> </w:t>
      </w:r>
      <w:r>
        <w:t>and</w:t>
      </w:r>
      <w:r>
        <w:rPr>
          <w:spacing w:val="-4"/>
        </w:rPr>
        <w:t xml:space="preserve"> </w:t>
      </w:r>
      <w:r>
        <w:t>flexibility for</w:t>
      </w:r>
      <w:r>
        <w:rPr>
          <w:spacing w:val="-3"/>
        </w:rPr>
        <w:t xml:space="preserve"> </w:t>
      </w:r>
      <w:r>
        <w:t>inevitable</w:t>
      </w:r>
      <w:r>
        <w:rPr>
          <w:spacing w:val="-4"/>
        </w:rPr>
        <w:t xml:space="preserve"> </w:t>
      </w:r>
      <w:r>
        <w:t>disasters</w:t>
      </w:r>
      <w:r>
        <w:rPr>
          <w:spacing w:val="-2"/>
        </w:rPr>
        <w:t xml:space="preserve"> </w:t>
      </w:r>
      <w:r>
        <w:t>are</w:t>
      </w:r>
      <w:r>
        <w:rPr>
          <w:spacing w:val="-4"/>
        </w:rPr>
        <w:t xml:space="preserve"> </w:t>
      </w:r>
      <w:r>
        <w:t>included</w:t>
      </w:r>
      <w:r>
        <w:rPr>
          <w:spacing w:val="-2"/>
        </w:rPr>
        <w:t xml:space="preserve"> </w:t>
      </w:r>
      <w:r>
        <w:t>in</w:t>
      </w:r>
      <w:r>
        <w:rPr>
          <w:spacing w:val="-4"/>
        </w:rPr>
        <w:t xml:space="preserve"> </w:t>
      </w:r>
      <w:r>
        <w:t>the</w:t>
      </w:r>
      <w:r>
        <w:rPr>
          <w:spacing w:val="-4"/>
        </w:rPr>
        <w:t xml:space="preserve"> </w:t>
      </w:r>
      <w:r>
        <w:t>program,</w:t>
      </w:r>
      <w:r>
        <w:rPr>
          <w:spacing w:val="-4"/>
        </w:rPr>
        <w:t xml:space="preserve"> </w:t>
      </w:r>
      <w:r>
        <w:t>without disrupting existing program activities, can be addressed in the forthcoming design.</w:t>
      </w:r>
    </w:p>
    <w:p w14:paraId="1B232A31" w14:textId="77777777" w:rsidR="009C36E3" w:rsidRDefault="009C36E3">
      <w:pPr>
        <w:sectPr w:rsidR="009C36E3">
          <w:pgSz w:w="11910" w:h="16850"/>
          <w:pgMar w:top="1040" w:right="740" w:bottom="740" w:left="80" w:header="552" w:footer="559" w:gutter="0"/>
          <w:cols w:space="720"/>
        </w:sectPr>
      </w:pPr>
    </w:p>
    <w:p w14:paraId="185DBA9C" w14:textId="06223B35" w:rsidR="009A49FB" w:rsidRDefault="00F4430F" w:rsidP="003A4DAE">
      <w:pPr>
        <w:pStyle w:val="BodyText"/>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pPr>
      <w:r>
        <w:rPr>
          <w:rFonts w:ascii="Source Sans Pro"/>
          <w:b/>
          <w:color w:val="003478"/>
        </w:rPr>
        <w:t xml:space="preserve">Recommendation 14. </w:t>
      </w:r>
      <w:r>
        <w:rPr>
          <w:rFonts w:ascii="Source Sans Pro"/>
          <w:color w:val="404040"/>
        </w:rPr>
        <w:t>There are a number of areas that warrant further attention at the design stage, which will</w:t>
      </w:r>
      <w:r>
        <w:rPr>
          <w:rFonts w:ascii="Source Sans Pro"/>
          <w:color w:val="404040"/>
          <w:spacing w:val="40"/>
        </w:rPr>
        <w:t xml:space="preserve"> </w:t>
      </w:r>
      <w:r>
        <w:rPr>
          <w:rFonts w:ascii="Source Sans Pro"/>
          <w:color w:val="404040"/>
        </w:rPr>
        <w:t>overlap with the final year of the program. These include the multi-agency work being carried out on Epi to determine</w:t>
      </w:r>
      <w:r>
        <w:rPr>
          <w:rFonts w:ascii="Source Sans Pro"/>
          <w:color w:val="404040"/>
          <w:spacing w:val="40"/>
        </w:rPr>
        <w:t xml:space="preserve"> </w:t>
      </w:r>
      <w:r>
        <w:rPr>
          <w:rFonts w:ascii="Source Sans Pro"/>
          <w:color w:val="404040"/>
        </w:rPr>
        <w:t>its strengths and challenges, and to what extent it can be used as a model in the future. It also includes coordination</w:t>
      </w:r>
      <w:r>
        <w:rPr>
          <w:rFonts w:ascii="Source Sans Pro"/>
          <w:color w:val="404040"/>
          <w:spacing w:val="40"/>
        </w:rPr>
        <w:t xml:space="preserve"> </w:t>
      </w:r>
      <w:r>
        <w:rPr>
          <w:rFonts w:ascii="Source Sans Pro"/>
          <w:color w:val="404040"/>
        </w:rPr>
        <w:t>with other donors, the best model for achieving joined-up outcomes for prevention and response to VAWC, the best</w:t>
      </w:r>
      <w:r>
        <w:rPr>
          <w:rFonts w:ascii="Source Sans Pro"/>
          <w:color w:val="404040"/>
          <w:spacing w:val="40"/>
        </w:rPr>
        <w:t xml:space="preserve"> </w:t>
      </w:r>
      <w:r>
        <w:rPr>
          <w:rFonts w:ascii="Source Sans Pro"/>
          <w:color w:val="404040"/>
        </w:rPr>
        <w:t>mechanism</w:t>
      </w:r>
      <w:r>
        <w:rPr>
          <w:rFonts w:ascii="Source Sans Pro"/>
          <w:color w:val="404040"/>
          <w:spacing w:val="-3"/>
        </w:rPr>
        <w:t xml:space="preserve"> </w:t>
      </w:r>
      <w:r>
        <w:rPr>
          <w:rFonts w:ascii="Source Sans Pro"/>
          <w:color w:val="404040"/>
        </w:rPr>
        <w:t>for</w:t>
      </w:r>
      <w:r>
        <w:rPr>
          <w:rFonts w:ascii="Source Sans Pro"/>
          <w:color w:val="404040"/>
          <w:spacing w:val="-3"/>
        </w:rPr>
        <w:t xml:space="preserve"> </w:t>
      </w:r>
      <w:r>
        <w:rPr>
          <w:rFonts w:ascii="Source Sans Pro"/>
          <w:color w:val="404040"/>
        </w:rPr>
        <w:t>ensuring</w:t>
      </w:r>
      <w:r>
        <w:rPr>
          <w:rFonts w:ascii="Source Sans Pro"/>
          <w:color w:val="404040"/>
          <w:spacing w:val="-3"/>
        </w:rPr>
        <w:t xml:space="preserve"> </w:t>
      </w:r>
      <w:r>
        <w:rPr>
          <w:rFonts w:ascii="Source Sans Pro"/>
          <w:color w:val="404040"/>
        </w:rPr>
        <w:t>responsiveness</w:t>
      </w:r>
      <w:r>
        <w:rPr>
          <w:rFonts w:ascii="Source Sans Pro"/>
          <w:color w:val="404040"/>
          <w:spacing w:val="-3"/>
        </w:rPr>
        <w:t xml:space="preserve"> </w:t>
      </w:r>
      <w:r>
        <w:rPr>
          <w:rFonts w:ascii="Source Sans Pro"/>
          <w:color w:val="404040"/>
        </w:rPr>
        <w:t>to</w:t>
      </w:r>
      <w:r>
        <w:rPr>
          <w:rFonts w:ascii="Source Sans Pro"/>
          <w:color w:val="404040"/>
          <w:spacing w:val="-4"/>
        </w:rPr>
        <w:t xml:space="preserve"> </w:t>
      </w:r>
      <w:r>
        <w:rPr>
          <w:rFonts w:ascii="Source Sans Pro"/>
          <w:color w:val="404040"/>
        </w:rPr>
        <w:t>natural</w:t>
      </w:r>
      <w:r>
        <w:rPr>
          <w:rFonts w:ascii="Source Sans Pro"/>
          <w:color w:val="404040"/>
          <w:spacing w:val="-4"/>
        </w:rPr>
        <w:t xml:space="preserve"> </w:t>
      </w:r>
      <w:r>
        <w:rPr>
          <w:rFonts w:ascii="Source Sans Pro"/>
          <w:color w:val="404040"/>
        </w:rPr>
        <w:t>disasters,</w:t>
      </w:r>
      <w:r>
        <w:rPr>
          <w:rFonts w:ascii="Source Sans Pro"/>
          <w:color w:val="404040"/>
          <w:spacing w:val="-3"/>
        </w:rPr>
        <w:t xml:space="preserve"> </w:t>
      </w:r>
      <w:r>
        <w:rPr>
          <w:rFonts w:ascii="Source Sans Pro"/>
          <w:color w:val="404040"/>
        </w:rPr>
        <w:t>the</w:t>
      </w:r>
      <w:r>
        <w:rPr>
          <w:rFonts w:ascii="Source Sans Pro"/>
          <w:color w:val="404040"/>
          <w:spacing w:val="-4"/>
        </w:rPr>
        <w:t xml:space="preserve"> </w:t>
      </w:r>
      <w:r>
        <w:rPr>
          <w:rFonts w:ascii="Source Sans Pro"/>
          <w:color w:val="404040"/>
        </w:rPr>
        <w:t>suitability</w:t>
      </w:r>
      <w:r>
        <w:rPr>
          <w:rFonts w:ascii="Source Sans Pro"/>
          <w:color w:val="404040"/>
          <w:spacing w:val="-3"/>
        </w:rPr>
        <w:t xml:space="preserve"> </w:t>
      </w:r>
      <w:r>
        <w:rPr>
          <w:rFonts w:ascii="Source Sans Pro"/>
          <w:color w:val="404040"/>
        </w:rPr>
        <w:t>of</w:t>
      </w:r>
      <w:r>
        <w:rPr>
          <w:rFonts w:ascii="Source Sans Pro"/>
          <w:color w:val="404040"/>
          <w:spacing w:val="-4"/>
        </w:rPr>
        <w:t xml:space="preserve"> </w:t>
      </w:r>
      <w:r>
        <w:rPr>
          <w:rFonts w:ascii="Source Sans Pro"/>
          <w:color w:val="404040"/>
        </w:rPr>
        <w:t>including</w:t>
      </w:r>
      <w:r>
        <w:rPr>
          <w:rFonts w:ascii="Source Sans Pro"/>
          <w:color w:val="404040"/>
          <w:spacing w:val="-1"/>
        </w:rPr>
        <w:t xml:space="preserve"> </w:t>
      </w:r>
      <w:r>
        <w:rPr>
          <w:rFonts w:ascii="Source Sans Pro"/>
          <w:color w:val="404040"/>
        </w:rPr>
        <w:t>Corrections</w:t>
      </w:r>
      <w:r>
        <w:rPr>
          <w:rFonts w:ascii="Source Sans Pro"/>
          <w:color w:val="404040"/>
          <w:spacing w:val="-3"/>
        </w:rPr>
        <w:t xml:space="preserve"> </w:t>
      </w:r>
      <w:r>
        <w:rPr>
          <w:rFonts w:ascii="Source Sans Pro"/>
          <w:color w:val="404040"/>
        </w:rPr>
        <w:t>in</w:t>
      </w:r>
      <w:r>
        <w:rPr>
          <w:rFonts w:ascii="Source Sans Pro"/>
          <w:color w:val="404040"/>
          <w:spacing w:val="-5"/>
        </w:rPr>
        <w:t xml:space="preserve"> </w:t>
      </w:r>
      <w:r>
        <w:rPr>
          <w:rFonts w:ascii="Source Sans Pro"/>
          <w:color w:val="404040"/>
        </w:rPr>
        <w:t>a</w:t>
      </w:r>
      <w:r>
        <w:rPr>
          <w:rFonts w:ascii="Source Sans Pro"/>
          <w:color w:val="404040"/>
          <w:spacing w:val="-3"/>
        </w:rPr>
        <w:t xml:space="preserve"> </w:t>
      </w:r>
      <w:r>
        <w:rPr>
          <w:rFonts w:ascii="Source Sans Pro"/>
          <w:color w:val="404040"/>
        </w:rPr>
        <w:t>future</w:t>
      </w:r>
      <w:r>
        <w:rPr>
          <w:rFonts w:ascii="Source Sans Pro"/>
          <w:color w:val="404040"/>
          <w:spacing w:val="-2"/>
        </w:rPr>
        <w:t xml:space="preserve"> </w:t>
      </w:r>
      <w:r>
        <w:rPr>
          <w:rFonts w:ascii="Source Sans Pro"/>
          <w:color w:val="404040"/>
        </w:rPr>
        <w:t>iteration</w:t>
      </w:r>
      <w:r>
        <w:rPr>
          <w:rFonts w:ascii="Source Sans Pro"/>
          <w:color w:val="404040"/>
          <w:spacing w:val="40"/>
        </w:rPr>
        <w:t xml:space="preserve"> </w:t>
      </w:r>
      <w:r>
        <w:rPr>
          <w:rFonts w:ascii="Source Sans Pro"/>
          <w:color w:val="404040"/>
        </w:rPr>
        <w:t>of the program, and whether a six monthly PowerPoint, instead of written reporting would serve the interests of DFAT,</w:t>
      </w:r>
      <w:r>
        <w:rPr>
          <w:rFonts w:ascii="Source Sans Pro"/>
          <w:color w:val="404040"/>
          <w:spacing w:val="40"/>
        </w:rPr>
        <w:t xml:space="preserve"> </w:t>
      </w:r>
      <w:r>
        <w:rPr>
          <w:rFonts w:ascii="Source Sans Pro"/>
          <w:color w:val="404040"/>
        </w:rPr>
        <w:t>AFP and VAPJP.</w:t>
      </w:r>
    </w:p>
    <w:p w14:paraId="3260EA61" w14:textId="77777777" w:rsidR="009C36E3" w:rsidRDefault="009C36E3">
      <w:pPr>
        <w:sectPr w:rsidR="009C36E3">
          <w:pgSz w:w="11910" w:h="16850"/>
          <w:pgMar w:top="1040" w:right="740" w:bottom="740" w:left="80" w:header="552" w:footer="559" w:gutter="0"/>
          <w:cols w:space="720"/>
        </w:sectPr>
      </w:pPr>
    </w:p>
    <w:p w14:paraId="4B0C66A7" w14:textId="77777777" w:rsidR="009C36E3" w:rsidRDefault="000E7207" w:rsidP="003A4DAE">
      <w:pPr>
        <w:pStyle w:val="Heading1"/>
        <w:spacing w:after="120"/>
        <w:ind w:left="771"/>
      </w:pPr>
      <w:r>
        <w:t>Annex</w:t>
      </w:r>
      <w:r>
        <w:rPr>
          <w:spacing w:val="-6"/>
        </w:rPr>
        <w:t xml:space="preserve"> </w:t>
      </w:r>
      <w:r>
        <w:t>1:</w:t>
      </w:r>
      <w:r>
        <w:rPr>
          <w:spacing w:val="-3"/>
        </w:rPr>
        <w:t xml:space="preserve"> </w:t>
      </w:r>
      <w:r>
        <w:t>Consultation</w:t>
      </w:r>
      <w:r>
        <w:rPr>
          <w:spacing w:val="-3"/>
        </w:rPr>
        <w:t xml:space="preserve"> </w:t>
      </w:r>
      <w:r>
        <w:rPr>
          <w:spacing w:val="-4"/>
        </w:rPr>
        <w:t>List</w:t>
      </w:r>
    </w:p>
    <w:tbl>
      <w:tblPr>
        <w:tblW w:w="0" w:type="auto"/>
        <w:tblInd w:w="779" w:type="dxa"/>
        <w:tblLayout w:type="fixed"/>
        <w:tblCellMar>
          <w:left w:w="0" w:type="dxa"/>
          <w:right w:w="0" w:type="dxa"/>
        </w:tblCellMar>
        <w:tblLook w:val="01E0" w:firstRow="1" w:lastRow="1" w:firstColumn="1" w:lastColumn="1" w:noHBand="0" w:noVBand="0"/>
      </w:tblPr>
      <w:tblGrid>
        <w:gridCol w:w="708"/>
        <w:gridCol w:w="2526"/>
        <w:gridCol w:w="4125"/>
        <w:gridCol w:w="2846"/>
      </w:tblGrid>
      <w:tr w:rsidR="009C36E3" w14:paraId="1E40F60F" w14:textId="77777777" w:rsidTr="00963BD9">
        <w:trPr>
          <w:trHeight w:val="405"/>
        </w:trPr>
        <w:tc>
          <w:tcPr>
            <w:tcW w:w="708" w:type="dxa"/>
            <w:shd w:val="clear" w:color="auto" w:fill="0064BB"/>
          </w:tcPr>
          <w:p w14:paraId="42E25D48" w14:textId="7C80D835" w:rsidR="009C36E3" w:rsidRDefault="00963BD9" w:rsidP="00963BD9">
            <w:pPr>
              <w:pStyle w:val="TableParagraph"/>
              <w:spacing w:before="88"/>
              <w:rPr>
                <w:b/>
                <w:sz w:val="20"/>
              </w:rPr>
            </w:pPr>
            <w:r w:rsidRPr="00963BD9">
              <w:rPr>
                <w:b/>
                <w:color w:val="FFFFFF" w:themeColor="background1"/>
                <w:sz w:val="20"/>
              </w:rPr>
              <w:t>No.</w:t>
            </w:r>
          </w:p>
        </w:tc>
        <w:tc>
          <w:tcPr>
            <w:tcW w:w="2526" w:type="dxa"/>
            <w:shd w:val="clear" w:color="auto" w:fill="0064BB"/>
            <w:vAlign w:val="center"/>
          </w:tcPr>
          <w:p w14:paraId="01216941" w14:textId="4D51163C" w:rsidR="009C36E3" w:rsidRDefault="001C0270" w:rsidP="00963BD9">
            <w:pPr>
              <w:pStyle w:val="TableParagraph"/>
              <w:spacing w:before="0"/>
              <w:ind w:left="0"/>
              <w:rPr>
                <w:rFonts w:ascii="Times New Roman"/>
                <w:sz w:val="20"/>
              </w:rPr>
            </w:pPr>
            <w:r>
              <w:rPr>
                <w:b/>
                <w:color w:val="FFFFFF"/>
                <w:spacing w:val="-4"/>
                <w:sz w:val="20"/>
              </w:rPr>
              <w:t>Name</w:t>
            </w:r>
          </w:p>
        </w:tc>
        <w:tc>
          <w:tcPr>
            <w:tcW w:w="4125" w:type="dxa"/>
            <w:shd w:val="clear" w:color="auto" w:fill="0064BB"/>
          </w:tcPr>
          <w:p w14:paraId="79CF8AC6" w14:textId="77777777" w:rsidR="009C36E3" w:rsidRDefault="000E7207">
            <w:pPr>
              <w:pStyle w:val="TableParagraph"/>
              <w:spacing w:before="88"/>
              <w:ind w:left="418"/>
              <w:rPr>
                <w:b/>
                <w:sz w:val="20"/>
              </w:rPr>
            </w:pPr>
            <w:r>
              <w:rPr>
                <w:b/>
                <w:color w:val="FFFFFF"/>
                <w:spacing w:val="-2"/>
                <w:sz w:val="20"/>
              </w:rPr>
              <w:t>Position</w:t>
            </w:r>
          </w:p>
        </w:tc>
        <w:tc>
          <w:tcPr>
            <w:tcW w:w="2846" w:type="dxa"/>
            <w:shd w:val="clear" w:color="auto" w:fill="0064BB"/>
          </w:tcPr>
          <w:p w14:paraId="2A0BB58F" w14:textId="77777777" w:rsidR="009C36E3" w:rsidRDefault="000E7207">
            <w:pPr>
              <w:pStyle w:val="TableParagraph"/>
              <w:spacing w:before="88"/>
              <w:ind w:left="119"/>
              <w:rPr>
                <w:b/>
                <w:sz w:val="20"/>
              </w:rPr>
            </w:pPr>
            <w:r>
              <w:rPr>
                <w:b/>
                <w:color w:val="FFFFFF"/>
                <w:spacing w:val="-2"/>
                <w:sz w:val="20"/>
              </w:rPr>
              <w:t>Organisation</w:t>
            </w:r>
          </w:p>
        </w:tc>
      </w:tr>
      <w:tr w:rsidR="009C36E3" w14:paraId="58AD5D33" w14:textId="77777777">
        <w:trPr>
          <w:trHeight w:val="390"/>
        </w:trPr>
        <w:tc>
          <w:tcPr>
            <w:tcW w:w="708" w:type="dxa"/>
            <w:tcBorders>
              <w:top w:val="single" w:sz="4" w:space="0" w:color="0064BB"/>
              <w:bottom w:val="single" w:sz="4" w:space="0" w:color="0064BB"/>
            </w:tcBorders>
            <w:shd w:val="clear" w:color="auto" w:fill="F1F1F1"/>
          </w:tcPr>
          <w:p w14:paraId="3A47E4DB" w14:textId="77777777" w:rsidR="009C36E3" w:rsidRDefault="000E7207">
            <w:pPr>
              <w:pStyle w:val="TableParagraph"/>
              <w:spacing w:before="83"/>
              <w:rPr>
                <w:b/>
                <w:sz w:val="18"/>
              </w:rPr>
            </w:pPr>
            <w:r>
              <w:rPr>
                <w:b/>
                <w:spacing w:val="-10"/>
                <w:sz w:val="18"/>
              </w:rPr>
              <w:t>1</w:t>
            </w:r>
          </w:p>
        </w:tc>
        <w:tc>
          <w:tcPr>
            <w:tcW w:w="2526" w:type="dxa"/>
            <w:tcBorders>
              <w:top w:val="single" w:sz="4" w:space="0" w:color="0064BB"/>
              <w:bottom w:val="single" w:sz="4" w:space="0" w:color="0064BB"/>
            </w:tcBorders>
          </w:tcPr>
          <w:p w14:paraId="73236F5C" w14:textId="77777777" w:rsidR="009C36E3" w:rsidRDefault="000E7207">
            <w:pPr>
              <w:pStyle w:val="TableParagraph"/>
              <w:spacing w:before="81"/>
              <w:ind w:left="108"/>
              <w:rPr>
                <w:sz w:val="20"/>
              </w:rPr>
            </w:pPr>
            <w:r>
              <w:rPr>
                <w:sz w:val="20"/>
              </w:rPr>
              <w:t>Arnold</w:t>
            </w:r>
            <w:r>
              <w:rPr>
                <w:spacing w:val="-6"/>
                <w:sz w:val="20"/>
              </w:rPr>
              <w:t xml:space="preserve"> </w:t>
            </w:r>
            <w:r>
              <w:rPr>
                <w:sz w:val="20"/>
              </w:rPr>
              <w:t>Kiel</w:t>
            </w:r>
            <w:r>
              <w:rPr>
                <w:spacing w:val="-6"/>
                <w:sz w:val="20"/>
              </w:rPr>
              <w:t xml:space="preserve"> </w:t>
            </w:r>
            <w:r>
              <w:rPr>
                <w:spacing w:val="-2"/>
                <w:sz w:val="20"/>
              </w:rPr>
              <w:t>Loughman</w:t>
            </w:r>
          </w:p>
        </w:tc>
        <w:tc>
          <w:tcPr>
            <w:tcW w:w="4125" w:type="dxa"/>
            <w:tcBorders>
              <w:top w:val="single" w:sz="4" w:space="0" w:color="0064BB"/>
              <w:bottom w:val="single" w:sz="4" w:space="0" w:color="0064BB"/>
            </w:tcBorders>
          </w:tcPr>
          <w:p w14:paraId="31741967" w14:textId="77777777" w:rsidR="009C36E3" w:rsidRDefault="000E7207">
            <w:pPr>
              <w:pStyle w:val="TableParagraph"/>
              <w:spacing w:before="81"/>
              <w:ind w:left="418"/>
              <w:rPr>
                <w:sz w:val="20"/>
              </w:rPr>
            </w:pPr>
            <w:r>
              <w:rPr>
                <w:sz w:val="20"/>
              </w:rPr>
              <w:t>Attorney</w:t>
            </w:r>
            <w:r>
              <w:rPr>
                <w:spacing w:val="-11"/>
                <w:sz w:val="20"/>
              </w:rPr>
              <w:t xml:space="preserve"> </w:t>
            </w:r>
            <w:r>
              <w:rPr>
                <w:spacing w:val="-2"/>
                <w:sz w:val="20"/>
              </w:rPr>
              <w:t>General</w:t>
            </w:r>
          </w:p>
        </w:tc>
        <w:tc>
          <w:tcPr>
            <w:tcW w:w="2846" w:type="dxa"/>
            <w:tcBorders>
              <w:top w:val="single" w:sz="4" w:space="0" w:color="0064BB"/>
              <w:bottom w:val="single" w:sz="4" w:space="0" w:color="0064BB"/>
            </w:tcBorders>
          </w:tcPr>
          <w:p w14:paraId="4DFF5D5B" w14:textId="77777777" w:rsidR="009C36E3" w:rsidRDefault="000E7207">
            <w:pPr>
              <w:pStyle w:val="TableParagraph"/>
              <w:spacing w:before="81"/>
              <w:ind w:left="119"/>
              <w:rPr>
                <w:sz w:val="20"/>
              </w:rPr>
            </w:pPr>
            <w:r>
              <w:rPr>
                <w:sz w:val="20"/>
              </w:rPr>
              <w:t>State</w:t>
            </w:r>
            <w:r>
              <w:rPr>
                <w:spacing w:val="-6"/>
                <w:sz w:val="20"/>
              </w:rPr>
              <w:t xml:space="preserve"> </w:t>
            </w:r>
            <w:r>
              <w:rPr>
                <w:sz w:val="20"/>
              </w:rPr>
              <w:t>Law</w:t>
            </w:r>
            <w:r>
              <w:rPr>
                <w:spacing w:val="-5"/>
                <w:sz w:val="20"/>
              </w:rPr>
              <w:t xml:space="preserve"> </w:t>
            </w:r>
            <w:r>
              <w:rPr>
                <w:spacing w:val="-2"/>
                <w:sz w:val="20"/>
              </w:rPr>
              <w:t>Office</w:t>
            </w:r>
          </w:p>
        </w:tc>
      </w:tr>
      <w:tr w:rsidR="009C36E3" w14:paraId="11ACBAB6" w14:textId="77777777">
        <w:trPr>
          <w:trHeight w:val="390"/>
        </w:trPr>
        <w:tc>
          <w:tcPr>
            <w:tcW w:w="708" w:type="dxa"/>
            <w:tcBorders>
              <w:top w:val="single" w:sz="4" w:space="0" w:color="0064BB"/>
              <w:bottom w:val="single" w:sz="4" w:space="0" w:color="0064BB"/>
            </w:tcBorders>
            <w:shd w:val="clear" w:color="auto" w:fill="F1F1F1"/>
          </w:tcPr>
          <w:p w14:paraId="0DDD5202" w14:textId="77777777" w:rsidR="009C36E3" w:rsidRDefault="000E7207">
            <w:pPr>
              <w:pStyle w:val="TableParagraph"/>
              <w:spacing w:before="80"/>
              <w:rPr>
                <w:b/>
                <w:sz w:val="18"/>
              </w:rPr>
            </w:pPr>
            <w:r>
              <w:rPr>
                <w:b/>
                <w:spacing w:val="-10"/>
                <w:sz w:val="18"/>
              </w:rPr>
              <w:t>2</w:t>
            </w:r>
          </w:p>
        </w:tc>
        <w:tc>
          <w:tcPr>
            <w:tcW w:w="2526" w:type="dxa"/>
            <w:tcBorders>
              <w:top w:val="single" w:sz="4" w:space="0" w:color="0064BB"/>
              <w:bottom w:val="single" w:sz="4" w:space="0" w:color="0064BB"/>
            </w:tcBorders>
          </w:tcPr>
          <w:p w14:paraId="7E9FE074" w14:textId="77777777" w:rsidR="009C36E3" w:rsidRDefault="000E7207">
            <w:pPr>
              <w:pStyle w:val="TableParagraph"/>
              <w:ind w:left="108"/>
              <w:rPr>
                <w:sz w:val="20"/>
              </w:rPr>
            </w:pPr>
            <w:r>
              <w:rPr>
                <w:sz w:val="20"/>
              </w:rPr>
              <w:t>Jackson</w:t>
            </w:r>
            <w:r>
              <w:rPr>
                <w:spacing w:val="-7"/>
                <w:sz w:val="20"/>
              </w:rPr>
              <w:t xml:space="preserve"> </w:t>
            </w:r>
            <w:r>
              <w:rPr>
                <w:spacing w:val="-2"/>
                <w:sz w:val="20"/>
              </w:rPr>
              <w:t>Semeno</w:t>
            </w:r>
          </w:p>
        </w:tc>
        <w:tc>
          <w:tcPr>
            <w:tcW w:w="4125" w:type="dxa"/>
            <w:tcBorders>
              <w:top w:val="single" w:sz="4" w:space="0" w:color="0064BB"/>
              <w:bottom w:val="single" w:sz="4" w:space="0" w:color="0064BB"/>
            </w:tcBorders>
          </w:tcPr>
          <w:p w14:paraId="5672B827" w14:textId="77777777" w:rsidR="009C36E3" w:rsidRDefault="000E7207">
            <w:pPr>
              <w:pStyle w:val="TableParagraph"/>
              <w:ind w:left="418"/>
              <w:rPr>
                <w:sz w:val="20"/>
              </w:rPr>
            </w:pPr>
            <w:r>
              <w:rPr>
                <w:sz w:val="20"/>
              </w:rPr>
              <w:t>Director,</w:t>
            </w:r>
            <w:r>
              <w:rPr>
                <w:spacing w:val="-10"/>
                <w:sz w:val="20"/>
              </w:rPr>
              <w:t xml:space="preserve"> </w:t>
            </w:r>
            <w:r>
              <w:rPr>
                <w:sz w:val="20"/>
              </w:rPr>
              <w:t>Corporate</w:t>
            </w:r>
            <w:r>
              <w:rPr>
                <w:spacing w:val="-10"/>
                <w:sz w:val="20"/>
              </w:rPr>
              <w:t xml:space="preserve"> </w:t>
            </w:r>
            <w:r>
              <w:rPr>
                <w:sz w:val="20"/>
              </w:rPr>
              <w:t>Services</w:t>
            </w:r>
            <w:r>
              <w:rPr>
                <w:spacing w:val="-9"/>
                <w:sz w:val="20"/>
              </w:rPr>
              <w:t xml:space="preserve"> </w:t>
            </w:r>
            <w:r>
              <w:rPr>
                <w:spacing w:val="-4"/>
                <w:sz w:val="20"/>
              </w:rPr>
              <w:t>Unit</w:t>
            </w:r>
          </w:p>
        </w:tc>
        <w:tc>
          <w:tcPr>
            <w:tcW w:w="2846" w:type="dxa"/>
            <w:tcBorders>
              <w:top w:val="single" w:sz="4" w:space="0" w:color="0064BB"/>
              <w:bottom w:val="single" w:sz="4" w:space="0" w:color="0064BB"/>
            </w:tcBorders>
          </w:tcPr>
          <w:p w14:paraId="0A0F8D4F" w14:textId="77777777" w:rsidR="009C36E3" w:rsidRDefault="000E7207">
            <w:pPr>
              <w:pStyle w:val="TableParagraph"/>
              <w:ind w:left="119"/>
              <w:rPr>
                <w:sz w:val="20"/>
              </w:rPr>
            </w:pPr>
            <w:r>
              <w:rPr>
                <w:sz w:val="20"/>
              </w:rPr>
              <w:t>State</w:t>
            </w:r>
            <w:r>
              <w:rPr>
                <w:spacing w:val="-6"/>
                <w:sz w:val="20"/>
              </w:rPr>
              <w:t xml:space="preserve"> </w:t>
            </w:r>
            <w:r>
              <w:rPr>
                <w:sz w:val="20"/>
              </w:rPr>
              <w:t>Law</w:t>
            </w:r>
            <w:r>
              <w:rPr>
                <w:spacing w:val="-5"/>
                <w:sz w:val="20"/>
              </w:rPr>
              <w:t xml:space="preserve"> </w:t>
            </w:r>
            <w:r>
              <w:rPr>
                <w:spacing w:val="-2"/>
                <w:sz w:val="20"/>
              </w:rPr>
              <w:t>Office</w:t>
            </w:r>
          </w:p>
        </w:tc>
      </w:tr>
      <w:tr w:rsidR="009C36E3" w14:paraId="3A14293D" w14:textId="77777777">
        <w:trPr>
          <w:trHeight w:val="388"/>
        </w:trPr>
        <w:tc>
          <w:tcPr>
            <w:tcW w:w="708" w:type="dxa"/>
            <w:tcBorders>
              <w:top w:val="single" w:sz="4" w:space="0" w:color="0064BB"/>
              <w:bottom w:val="single" w:sz="4" w:space="0" w:color="0064BB"/>
            </w:tcBorders>
            <w:shd w:val="clear" w:color="auto" w:fill="F1F1F1"/>
          </w:tcPr>
          <w:p w14:paraId="2A8395A3" w14:textId="77777777" w:rsidR="009C36E3" w:rsidRDefault="000E7207">
            <w:pPr>
              <w:pStyle w:val="TableParagraph"/>
              <w:spacing w:before="80"/>
              <w:rPr>
                <w:b/>
                <w:sz w:val="18"/>
              </w:rPr>
            </w:pPr>
            <w:r>
              <w:rPr>
                <w:b/>
                <w:spacing w:val="-10"/>
                <w:sz w:val="18"/>
              </w:rPr>
              <w:t>3</w:t>
            </w:r>
          </w:p>
        </w:tc>
        <w:tc>
          <w:tcPr>
            <w:tcW w:w="2526" w:type="dxa"/>
            <w:tcBorders>
              <w:top w:val="single" w:sz="4" w:space="0" w:color="0064BB"/>
              <w:bottom w:val="single" w:sz="4" w:space="0" w:color="0064BB"/>
            </w:tcBorders>
          </w:tcPr>
          <w:p w14:paraId="15104690" w14:textId="77777777" w:rsidR="009C36E3" w:rsidRDefault="000E7207">
            <w:pPr>
              <w:pStyle w:val="TableParagraph"/>
              <w:ind w:left="108"/>
              <w:rPr>
                <w:sz w:val="20"/>
              </w:rPr>
            </w:pPr>
            <w:r>
              <w:rPr>
                <w:sz w:val="20"/>
              </w:rPr>
              <w:t>Cherol</w:t>
            </w:r>
            <w:r>
              <w:rPr>
                <w:spacing w:val="-7"/>
                <w:sz w:val="20"/>
              </w:rPr>
              <w:t xml:space="preserve"> </w:t>
            </w:r>
            <w:r>
              <w:rPr>
                <w:sz w:val="20"/>
              </w:rPr>
              <w:t>Ala</w:t>
            </w:r>
            <w:r>
              <w:rPr>
                <w:spacing w:val="-6"/>
                <w:sz w:val="20"/>
              </w:rPr>
              <w:t xml:space="preserve"> </w:t>
            </w:r>
            <w:r>
              <w:rPr>
                <w:spacing w:val="-4"/>
                <w:sz w:val="20"/>
              </w:rPr>
              <w:t>Ianna</w:t>
            </w:r>
          </w:p>
        </w:tc>
        <w:tc>
          <w:tcPr>
            <w:tcW w:w="4125" w:type="dxa"/>
            <w:tcBorders>
              <w:top w:val="single" w:sz="4" w:space="0" w:color="0064BB"/>
              <w:bottom w:val="single" w:sz="4" w:space="0" w:color="0064BB"/>
            </w:tcBorders>
          </w:tcPr>
          <w:p w14:paraId="2C6FCC91" w14:textId="77777777" w:rsidR="009C36E3" w:rsidRDefault="000E7207">
            <w:pPr>
              <w:pStyle w:val="TableParagraph"/>
              <w:ind w:left="418"/>
              <w:rPr>
                <w:sz w:val="20"/>
              </w:rPr>
            </w:pPr>
            <w:r>
              <w:rPr>
                <w:sz w:val="20"/>
              </w:rPr>
              <w:t>Director</w:t>
            </w:r>
            <w:r>
              <w:rPr>
                <w:spacing w:val="-13"/>
                <w:sz w:val="20"/>
              </w:rPr>
              <w:t xml:space="preserve"> </w:t>
            </w:r>
            <w:r>
              <w:rPr>
                <w:spacing w:val="-2"/>
                <w:sz w:val="20"/>
              </w:rPr>
              <w:t>General</w:t>
            </w:r>
          </w:p>
        </w:tc>
        <w:tc>
          <w:tcPr>
            <w:tcW w:w="2846" w:type="dxa"/>
            <w:tcBorders>
              <w:top w:val="single" w:sz="4" w:space="0" w:color="0064BB"/>
              <w:bottom w:val="single" w:sz="4" w:space="0" w:color="0064BB"/>
            </w:tcBorders>
          </w:tcPr>
          <w:p w14:paraId="5807B0BD" w14:textId="77777777" w:rsidR="009C36E3" w:rsidRDefault="000E7207">
            <w:pPr>
              <w:pStyle w:val="TableParagraph"/>
              <w:ind w:left="119"/>
              <w:rPr>
                <w:sz w:val="20"/>
              </w:rPr>
            </w:pPr>
            <w:r>
              <w:rPr>
                <w:sz w:val="20"/>
              </w:rPr>
              <w:t>Office</w:t>
            </w:r>
            <w:r>
              <w:rPr>
                <w:spacing w:val="-7"/>
                <w:sz w:val="20"/>
              </w:rPr>
              <w:t xml:space="preserve"> </w:t>
            </w:r>
            <w:r>
              <w:rPr>
                <w:sz w:val="20"/>
              </w:rPr>
              <w:t>of</w:t>
            </w:r>
            <w:r>
              <w:rPr>
                <w:spacing w:val="-4"/>
                <w:sz w:val="20"/>
              </w:rPr>
              <w:t xml:space="preserve"> </w:t>
            </w:r>
            <w:r>
              <w:rPr>
                <w:sz w:val="20"/>
              </w:rPr>
              <w:t>the</w:t>
            </w:r>
            <w:r>
              <w:rPr>
                <w:spacing w:val="-4"/>
                <w:sz w:val="20"/>
              </w:rPr>
              <w:t xml:space="preserve"> </w:t>
            </w:r>
            <w:r>
              <w:rPr>
                <w:sz w:val="20"/>
              </w:rPr>
              <w:t>Prime</w:t>
            </w:r>
            <w:r>
              <w:rPr>
                <w:spacing w:val="-4"/>
                <w:sz w:val="20"/>
              </w:rPr>
              <w:t xml:space="preserve"> </w:t>
            </w:r>
            <w:r>
              <w:rPr>
                <w:spacing w:val="-2"/>
                <w:sz w:val="20"/>
              </w:rPr>
              <w:t>Minister</w:t>
            </w:r>
          </w:p>
        </w:tc>
      </w:tr>
      <w:tr w:rsidR="009C36E3" w14:paraId="59D0C599" w14:textId="77777777">
        <w:trPr>
          <w:trHeight w:val="621"/>
        </w:trPr>
        <w:tc>
          <w:tcPr>
            <w:tcW w:w="708" w:type="dxa"/>
            <w:tcBorders>
              <w:top w:val="single" w:sz="4" w:space="0" w:color="0064BB"/>
              <w:bottom w:val="single" w:sz="4" w:space="0" w:color="0064BB"/>
            </w:tcBorders>
            <w:shd w:val="clear" w:color="auto" w:fill="F1F1F1"/>
          </w:tcPr>
          <w:p w14:paraId="327ED630" w14:textId="77777777" w:rsidR="009C36E3" w:rsidRDefault="000E7207">
            <w:pPr>
              <w:pStyle w:val="TableParagraph"/>
              <w:spacing w:before="83"/>
              <w:rPr>
                <w:b/>
                <w:sz w:val="18"/>
              </w:rPr>
            </w:pPr>
            <w:r>
              <w:rPr>
                <w:b/>
                <w:spacing w:val="-10"/>
                <w:sz w:val="18"/>
              </w:rPr>
              <w:t>4</w:t>
            </w:r>
          </w:p>
        </w:tc>
        <w:tc>
          <w:tcPr>
            <w:tcW w:w="2526" w:type="dxa"/>
            <w:tcBorders>
              <w:top w:val="single" w:sz="4" w:space="0" w:color="0064BB"/>
              <w:bottom w:val="single" w:sz="4" w:space="0" w:color="0064BB"/>
            </w:tcBorders>
          </w:tcPr>
          <w:p w14:paraId="46EBBEC9" w14:textId="77777777" w:rsidR="009C36E3" w:rsidRDefault="000E7207">
            <w:pPr>
              <w:pStyle w:val="TableParagraph"/>
              <w:spacing w:before="81"/>
              <w:ind w:left="108"/>
              <w:rPr>
                <w:sz w:val="20"/>
              </w:rPr>
            </w:pPr>
            <w:r>
              <w:rPr>
                <w:sz w:val="20"/>
              </w:rPr>
              <w:t>Pacco</w:t>
            </w:r>
            <w:r>
              <w:rPr>
                <w:spacing w:val="-7"/>
                <w:sz w:val="20"/>
              </w:rPr>
              <w:t xml:space="preserve"> </w:t>
            </w:r>
            <w:r>
              <w:rPr>
                <w:spacing w:val="-4"/>
                <w:sz w:val="20"/>
              </w:rPr>
              <w:t>Siri</w:t>
            </w:r>
          </w:p>
        </w:tc>
        <w:tc>
          <w:tcPr>
            <w:tcW w:w="4125" w:type="dxa"/>
            <w:tcBorders>
              <w:top w:val="single" w:sz="4" w:space="0" w:color="0064BB"/>
              <w:bottom w:val="single" w:sz="4" w:space="0" w:color="0064BB"/>
            </w:tcBorders>
          </w:tcPr>
          <w:p w14:paraId="5D030C92" w14:textId="77777777" w:rsidR="009C36E3" w:rsidRDefault="000E7207">
            <w:pPr>
              <w:pStyle w:val="TableParagraph"/>
              <w:spacing w:before="81"/>
              <w:ind w:left="418"/>
              <w:rPr>
                <w:sz w:val="20"/>
              </w:rPr>
            </w:pPr>
            <w:r>
              <w:rPr>
                <w:sz w:val="20"/>
              </w:rPr>
              <w:t>Acting</w:t>
            </w:r>
            <w:r>
              <w:rPr>
                <w:spacing w:val="-9"/>
                <w:sz w:val="20"/>
              </w:rPr>
              <w:t xml:space="preserve"> </w:t>
            </w:r>
            <w:r>
              <w:rPr>
                <w:sz w:val="20"/>
              </w:rPr>
              <w:t>Director</w:t>
            </w:r>
            <w:r>
              <w:rPr>
                <w:spacing w:val="-7"/>
                <w:sz w:val="20"/>
              </w:rPr>
              <w:t xml:space="preserve"> </w:t>
            </w:r>
            <w:r>
              <w:rPr>
                <w:spacing w:val="-2"/>
                <w:sz w:val="20"/>
              </w:rPr>
              <w:t>General</w:t>
            </w:r>
          </w:p>
        </w:tc>
        <w:tc>
          <w:tcPr>
            <w:tcW w:w="2846" w:type="dxa"/>
            <w:tcBorders>
              <w:top w:val="single" w:sz="4" w:space="0" w:color="0064BB"/>
              <w:bottom w:val="single" w:sz="4" w:space="0" w:color="0064BB"/>
            </w:tcBorders>
          </w:tcPr>
          <w:p w14:paraId="590617ED" w14:textId="77777777" w:rsidR="009C36E3" w:rsidRDefault="000E7207">
            <w:pPr>
              <w:pStyle w:val="TableParagraph"/>
              <w:spacing w:before="81"/>
              <w:ind w:left="119"/>
              <w:rPr>
                <w:sz w:val="20"/>
              </w:rPr>
            </w:pPr>
            <w:r>
              <w:rPr>
                <w:sz w:val="20"/>
              </w:rPr>
              <w:t>Ministry</w:t>
            </w:r>
            <w:r>
              <w:rPr>
                <w:spacing w:val="-14"/>
                <w:sz w:val="20"/>
              </w:rPr>
              <w:t xml:space="preserve"> </w:t>
            </w:r>
            <w:r>
              <w:rPr>
                <w:sz w:val="20"/>
              </w:rPr>
              <w:t>of</w:t>
            </w:r>
            <w:r>
              <w:rPr>
                <w:spacing w:val="-14"/>
                <w:sz w:val="20"/>
              </w:rPr>
              <w:t xml:space="preserve"> </w:t>
            </w:r>
            <w:r>
              <w:rPr>
                <w:sz w:val="20"/>
              </w:rPr>
              <w:t>Justice</w:t>
            </w:r>
            <w:r>
              <w:rPr>
                <w:spacing w:val="-13"/>
                <w:sz w:val="20"/>
              </w:rPr>
              <w:t xml:space="preserve"> </w:t>
            </w:r>
            <w:r>
              <w:rPr>
                <w:sz w:val="20"/>
              </w:rPr>
              <w:t>and Community Services</w:t>
            </w:r>
          </w:p>
        </w:tc>
      </w:tr>
      <w:tr w:rsidR="009C36E3" w14:paraId="3A0C7641" w14:textId="77777777">
        <w:trPr>
          <w:trHeight w:val="618"/>
        </w:trPr>
        <w:tc>
          <w:tcPr>
            <w:tcW w:w="708" w:type="dxa"/>
            <w:tcBorders>
              <w:top w:val="single" w:sz="4" w:space="0" w:color="0064BB"/>
              <w:bottom w:val="single" w:sz="4" w:space="0" w:color="0064BB"/>
            </w:tcBorders>
            <w:shd w:val="clear" w:color="auto" w:fill="F1F1F1"/>
          </w:tcPr>
          <w:p w14:paraId="39396B01" w14:textId="77777777" w:rsidR="009C36E3" w:rsidRDefault="000E7207">
            <w:pPr>
              <w:pStyle w:val="TableParagraph"/>
              <w:spacing w:before="80"/>
              <w:rPr>
                <w:b/>
                <w:sz w:val="18"/>
              </w:rPr>
            </w:pPr>
            <w:r>
              <w:rPr>
                <w:b/>
                <w:spacing w:val="-10"/>
                <w:sz w:val="18"/>
              </w:rPr>
              <w:t>5</w:t>
            </w:r>
          </w:p>
        </w:tc>
        <w:tc>
          <w:tcPr>
            <w:tcW w:w="2526" w:type="dxa"/>
            <w:tcBorders>
              <w:top w:val="single" w:sz="4" w:space="0" w:color="0064BB"/>
              <w:bottom w:val="single" w:sz="4" w:space="0" w:color="0064BB"/>
            </w:tcBorders>
          </w:tcPr>
          <w:p w14:paraId="6ACAD8D5" w14:textId="77777777" w:rsidR="009C36E3" w:rsidRDefault="000E7207">
            <w:pPr>
              <w:pStyle w:val="TableParagraph"/>
              <w:ind w:left="108"/>
              <w:rPr>
                <w:sz w:val="20"/>
              </w:rPr>
            </w:pPr>
            <w:r>
              <w:rPr>
                <w:sz w:val="20"/>
              </w:rPr>
              <w:t>Jocelyn</w:t>
            </w:r>
            <w:r>
              <w:rPr>
                <w:spacing w:val="-9"/>
                <w:sz w:val="20"/>
              </w:rPr>
              <w:t xml:space="preserve"> </w:t>
            </w:r>
            <w:r>
              <w:rPr>
                <w:spacing w:val="-2"/>
                <w:sz w:val="20"/>
              </w:rPr>
              <w:t>Loughman</w:t>
            </w:r>
          </w:p>
        </w:tc>
        <w:tc>
          <w:tcPr>
            <w:tcW w:w="4125" w:type="dxa"/>
            <w:tcBorders>
              <w:top w:val="single" w:sz="4" w:space="0" w:color="0064BB"/>
              <w:bottom w:val="single" w:sz="4" w:space="0" w:color="0064BB"/>
            </w:tcBorders>
          </w:tcPr>
          <w:p w14:paraId="02ED4A8F" w14:textId="77777777" w:rsidR="009C36E3" w:rsidRDefault="000E7207">
            <w:pPr>
              <w:pStyle w:val="TableParagraph"/>
              <w:ind w:left="418"/>
              <w:rPr>
                <w:sz w:val="20"/>
              </w:rPr>
            </w:pPr>
            <w:r>
              <w:rPr>
                <w:sz w:val="20"/>
              </w:rPr>
              <w:t>M&amp;E</w:t>
            </w:r>
            <w:r>
              <w:rPr>
                <w:spacing w:val="-11"/>
                <w:sz w:val="20"/>
              </w:rPr>
              <w:t xml:space="preserve"> </w:t>
            </w:r>
            <w:r>
              <w:rPr>
                <w:sz w:val="20"/>
              </w:rPr>
              <w:t>Officer</w:t>
            </w:r>
            <w:r>
              <w:rPr>
                <w:spacing w:val="-8"/>
                <w:sz w:val="20"/>
              </w:rPr>
              <w:t xml:space="preserve"> </w:t>
            </w:r>
            <w:r>
              <w:rPr>
                <w:sz w:val="20"/>
              </w:rPr>
              <w:t>&amp;</w:t>
            </w:r>
            <w:r>
              <w:rPr>
                <w:spacing w:val="-11"/>
                <w:sz w:val="20"/>
              </w:rPr>
              <w:t xml:space="preserve"> </w:t>
            </w:r>
            <w:r>
              <w:rPr>
                <w:sz w:val="20"/>
              </w:rPr>
              <w:t>Capacity</w:t>
            </w:r>
            <w:r>
              <w:rPr>
                <w:spacing w:val="-10"/>
                <w:sz w:val="20"/>
              </w:rPr>
              <w:t xml:space="preserve"> </w:t>
            </w:r>
            <w:r>
              <w:rPr>
                <w:sz w:val="20"/>
              </w:rPr>
              <w:t xml:space="preserve">Development </w:t>
            </w:r>
            <w:r>
              <w:rPr>
                <w:spacing w:val="-2"/>
                <w:sz w:val="20"/>
              </w:rPr>
              <w:t>Coordinator</w:t>
            </w:r>
          </w:p>
        </w:tc>
        <w:tc>
          <w:tcPr>
            <w:tcW w:w="2846" w:type="dxa"/>
            <w:tcBorders>
              <w:top w:val="single" w:sz="4" w:space="0" w:color="0064BB"/>
              <w:bottom w:val="single" w:sz="4" w:space="0" w:color="0064BB"/>
            </w:tcBorders>
          </w:tcPr>
          <w:p w14:paraId="64520812" w14:textId="77777777" w:rsidR="009C36E3" w:rsidRDefault="000E7207">
            <w:pPr>
              <w:pStyle w:val="TableParagraph"/>
              <w:ind w:left="119"/>
              <w:rPr>
                <w:sz w:val="20"/>
              </w:rPr>
            </w:pPr>
            <w:r>
              <w:rPr>
                <w:sz w:val="20"/>
              </w:rPr>
              <w:t>Ministry</w:t>
            </w:r>
            <w:r>
              <w:rPr>
                <w:spacing w:val="-14"/>
                <w:sz w:val="20"/>
              </w:rPr>
              <w:t xml:space="preserve"> </w:t>
            </w:r>
            <w:r>
              <w:rPr>
                <w:sz w:val="20"/>
              </w:rPr>
              <w:t>of</w:t>
            </w:r>
            <w:r>
              <w:rPr>
                <w:spacing w:val="-14"/>
                <w:sz w:val="20"/>
              </w:rPr>
              <w:t xml:space="preserve"> </w:t>
            </w:r>
            <w:r>
              <w:rPr>
                <w:sz w:val="20"/>
              </w:rPr>
              <w:t>Justice</w:t>
            </w:r>
            <w:r>
              <w:rPr>
                <w:spacing w:val="-13"/>
                <w:sz w:val="20"/>
              </w:rPr>
              <w:t xml:space="preserve"> </w:t>
            </w:r>
            <w:r>
              <w:rPr>
                <w:sz w:val="20"/>
              </w:rPr>
              <w:t>and Community Services</w:t>
            </w:r>
          </w:p>
        </w:tc>
      </w:tr>
      <w:tr w:rsidR="009C36E3" w14:paraId="0027BDC1" w14:textId="77777777">
        <w:trPr>
          <w:trHeight w:val="621"/>
        </w:trPr>
        <w:tc>
          <w:tcPr>
            <w:tcW w:w="708" w:type="dxa"/>
            <w:tcBorders>
              <w:top w:val="single" w:sz="4" w:space="0" w:color="0064BB"/>
              <w:bottom w:val="single" w:sz="4" w:space="0" w:color="0064BB"/>
            </w:tcBorders>
            <w:shd w:val="clear" w:color="auto" w:fill="F1F1F1"/>
          </w:tcPr>
          <w:p w14:paraId="0B2172AF" w14:textId="77777777" w:rsidR="009C36E3" w:rsidRDefault="000E7207">
            <w:pPr>
              <w:pStyle w:val="TableParagraph"/>
              <w:spacing w:before="80"/>
              <w:rPr>
                <w:b/>
                <w:sz w:val="18"/>
              </w:rPr>
            </w:pPr>
            <w:r>
              <w:rPr>
                <w:b/>
                <w:spacing w:val="-10"/>
                <w:sz w:val="18"/>
              </w:rPr>
              <w:t>6</w:t>
            </w:r>
          </w:p>
        </w:tc>
        <w:tc>
          <w:tcPr>
            <w:tcW w:w="2526" w:type="dxa"/>
            <w:tcBorders>
              <w:top w:val="single" w:sz="4" w:space="0" w:color="0064BB"/>
              <w:bottom w:val="single" w:sz="4" w:space="0" w:color="0064BB"/>
            </w:tcBorders>
          </w:tcPr>
          <w:p w14:paraId="1D39599A" w14:textId="77777777" w:rsidR="009C36E3" w:rsidRDefault="000E7207">
            <w:pPr>
              <w:pStyle w:val="TableParagraph"/>
              <w:ind w:left="108"/>
              <w:rPr>
                <w:sz w:val="20"/>
              </w:rPr>
            </w:pPr>
            <w:r>
              <w:rPr>
                <w:sz w:val="20"/>
              </w:rPr>
              <w:t>Melvin</w:t>
            </w:r>
            <w:r>
              <w:rPr>
                <w:spacing w:val="-7"/>
                <w:sz w:val="20"/>
              </w:rPr>
              <w:t xml:space="preserve"> </w:t>
            </w:r>
            <w:r>
              <w:rPr>
                <w:spacing w:val="-2"/>
                <w:sz w:val="20"/>
              </w:rPr>
              <w:t>Boesel</w:t>
            </w:r>
          </w:p>
        </w:tc>
        <w:tc>
          <w:tcPr>
            <w:tcW w:w="4125" w:type="dxa"/>
            <w:tcBorders>
              <w:top w:val="single" w:sz="4" w:space="0" w:color="0064BB"/>
              <w:bottom w:val="single" w:sz="4" w:space="0" w:color="0064BB"/>
            </w:tcBorders>
          </w:tcPr>
          <w:p w14:paraId="3C2F1AFF" w14:textId="77777777" w:rsidR="009C36E3" w:rsidRDefault="000E7207">
            <w:pPr>
              <w:pStyle w:val="TableParagraph"/>
              <w:ind w:left="418"/>
              <w:rPr>
                <w:sz w:val="20"/>
              </w:rPr>
            </w:pPr>
            <w:r>
              <w:rPr>
                <w:spacing w:val="-2"/>
                <w:sz w:val="20"/>
              </w:rPr>
              <w:t>Organisational</w:t>
            </w:r>
            <w:r>
              <w:rPr>
                <w:spacing w:val="12"/>
                <w:sz w:val="20"/>
              </w:rPr>
              <w:t xml:space="preserve"> </w:t>
            </w:r>
            <w:r>
              <w:rPr>
                <w:spacing w:val="-2"/>
                <w:sz w:val="20"/>
              </w:rPr>
              <w:t>Performance</w:t>
            </w:r>
            <w:r>
              <w:rPr>
                <w:spacing w:val="9"/>
                <w:sz w:val="20"/>
              </w:rPr>
              <w:t xml:space="preserve"> </w:t>
            </w:r>
            <w:r>
              <w:rPr>
                <w:spacing w:val="-2"/>
                <w:sz w:val="20"/>
              </w:rPr>
              <w:t>Coordinator</w:t>
            </w:r>
          </w:p>
        </w:tc>
        <w:tc>
          <w:tcPr>
            <w:tcW w:w="2846" w:type="dxa"/>
            <w:tcBorders>
              <w:top w:val="single" w:sz="4" w:space="0" w:color="0064BB"/>
              <w:bottom w:val="single" w:sz="4" w:space="0" w:color="0064BB"/>
            </w:tcBorders>
          </w:tcPr>
          <w:p w14:paraId="762B8F5C" w14:textId="77777777" w:rsidR="009C36E3" w:rsidRDefault="000E7207">
            <w:pPr>
              <w:pStyle w:val="TableParagraph"/>
              <w:spacing w:line="242" w:lineRule="auto"/>
              <w:ind w:left="119"/>
              <w:rPr>
                <w:sz w:val="20"/>
              </w:rPr>
            </w:pPr>
            <w:r>
              <w:rPr>
                <w:sz w:val="20"/>
              </w:rPr>
              <w:t>Ministry</w:t>
            </w:r>
            <w:r>
              <w:rPr>
                <w:spacing w:val="-14"/>
                <w:sz w:val="20"/>
              </w:rPr>
              <w:t xml:space="preserve"> </w:t>
            </w:r>
            <w:r>
              <w:rPr>
                <w:sz w:val="20"/>
              </w:rPr>
              <w:t>of</w:t>
            </w:r>
            <w:r>
              <w:rPr>
                <w:spacing w:val="-14"/>
                <w:sz w:val="20"/>
              </w:rPr>
              <w:t xml:space="preserve"> </w:t>
            </w:r>
            <w:r>
              <w:rPr>
                <w:sz w:val="20"/>
              </w:rPr>
              <w:t>Justice</w:t>
            </w:r>
            <w:r>
              <w:rPr>
                <w:spacing w:val="-13"/>
                <w:sz w:val="20"/>
              </w:rPr>
              <w:t xml:space="preserve"> </w:t>
            </w:r>
            <w:r>
              <w:rPr>
                <w:sz w:val="20"/>
              </w:rPr>
              <w:t>and Community Services</w:t>
            </w:r>
          </w:p>
        </w:tc>
      </w:tr>
      <w:tr w:rsidR="009C36E3" w14:paraId="69E937F7" w14:textId="77777777">
        <w:trPr>
          <w:trHeight w:val="618"/>
        </w:trPr>
        <w:tc>
          <w:tcPr>
            <w:tcW w:w="708" w:type="dxa"/>
            <w:tcBorders>
              <w:top w:val="single" w:sz="4" w:space="0" w:color="0064BB"/>
              <w:bottom w:val="single" w:sz="4" w:space="0" w:color="0064BB"/>
            </w:tcBorders>
            <w:shd w:val="clear" w:color="auto" w:fill="F1F1F1"/>
          </w:tcPr>
          <w:p w14:paraId="0FA73603" w14:textId="77777777" w:rsidR="009C36E3" w:rsidRDefault="000E7207">
            <w:pPr>
              <w:pStyle w:val="TableParagraph"/>
              <w:spacing w:before="80"/>
              <w:rPr>
                <w:b/>
                <w:sz w:val="18"/>
              </w:rPr>
            </w:pPr>
            <w:r>
              <w:rPr>
                <w:b/>
                <w:spacing w:val="-10"/>
                <w:sz w:val="18"/>
              </w:rPr>
              <w:t>7</w:t>
            </w:r>
          </w:p>
        </w:tc>
        <w:tc>
          <w:tcPr>
            <w:tcW w:w="2526" w:type="dxa"/>
            <w:tcBorders>
              <w:top w:val="single" w:sz="4" w:space="0" w:color="0064BB"/>
              <w:bottom w:val="single" w:sz="4" w:space="0" w:color="0064BB"/>
            </w:tcBorders>
          </w:tcPr>
          <w:p w14:paraId="1CCFBA9B" w14:textId="77777777" w:rsidR="009C36E3" w:rsidRDefault="000E7207">
            <w:pPr>
              <w:pStyle w:val="TableParagraph"/>
              <w:ind w:left="108"/>
              <w:rPr>
                <w:sz w:val="20"/>
              </w:rPr>
            </w:pPr>
            <w:r>
              <w:rPr>
                <w:sz w:val="20"/>
              </w:rPr>
              <w:t>Ginette</w:t>
            </w:r>
            <w:r>
              <w:rPr>
                <w:spacing w:val="-10"/>
                <w:sz w:val="20"/>
              </w:rPr>
              <w:t xml:space="preserve"> </w:t>
            </w:r>
            <w:r>
              <w:rPr>
                <w:spacing w:val="-2"/>
                <w:sz w:val="20"/>
              </w:rPr>
              <w:t>Morris</w:t>
            </w:r>
          </w:p>
        </w:tc>
        <w:tc>
          <w:tcPr>
            <w:tcW w:w="4125" w:type="dxa"/>
            <w:tcBorders>
              <w:top w:val="single" w:sz="4" w:space="0" w:color="0064BB"/>
              <w:bottom w:val="single" w:sz="4" w:space="0" w:color="0064BB"/>
            </w:tcBorders>
          </w:tcPr>
          <w:p w14:paraId="68367FEA" w14:textId="77777777" w:rsidR="009C36E3" w:rsidRDefault="000E7207">
            <w:pPr>
              <w:pStyle w:val="TableParagraph"/>
              <w:ind w:left="418"/>
              <w:rPr>
                <w:sz w:val="20"/>
              </w:rPr>
            </w:pPr>
            <w:r>
              <w:rPr>
                <w:sz w:val="20"/>
              </w:rPr>
              <w:t>Disability</w:t>
            </w:r>
            <w:r>
              <w:rPr>
                <w:spacing w:val="-9"/>
                <w:sz w:val="20"/>
              </w:rPr>
              <w:t xml:space="preserve"> </w:t>
            </w:r>
            <w:r>
              <w:rPr>
                <w:sz w:val="20"/>
              </w:rPr>
              <w:t>Desk</w:t>
            </w:r>
            <w:r>
              <w:rPr>
                <w:spacing w:val="-8"/>
                <w:sz w:val="20"/>
              </w:rPr>
              <w:t xml:space="preserve"> </w:t>
            </w:r>
            <w:r>
              <w:rPr>
                <w:spacing w:val="-2"/>
                <w:sz w:val="20"/>
              </w:rPr>
              <w:t>Officer</w:t>
            </w:r>
          </w:p>
        </w:tc>
        <w:tc>
          <w:tcPr>
            <w:tcW w:w="2846" w:type="dxa"/>
            <w:tcBorders>
              <w:top w:val="single" w:sz="4" w:space="0" w:color="0064BB"/>
              <w:bottom w:val="single" w:sz="4" w:space="0" w:color="0064BB"/>
            </w:tcBorders>
          </w:tcPr>
          <w:p w14:paraId="0DD61B7D" w14:textId="77777777" w:rsidR="009C36E3" w:rsidRDefault="000E7207">
            <w:pPr>
              <w:pStyle w:val="TableParagraph"/>
              <w:ind w:left="119"/>
              <w:rPr>
                <w:sz w:val="20"/>
              </w:rPr>
            </w:pPr>
            <w:r>
              <w:rPr>
                <w:sz w:val="20"/>
              </w:rPr>
              <w:t>Ministry</w:t>
            </w:r>
            <w:r>
              <w:rPr>
                <w:spacing w:val="-14"/>
                <w:sz w:val="20"/>
              </w:rPr>
              <w:t xml:space="preserve"> </w:t>
            </w:r>
            <w:r>
              <w:rPr>
                <w:sz w:val="20"/>
              </w:rPr>
              <w:t>of</w:t>
            </w:r>
            <w:r>
              <w:rPr>
                <w:spacing w:val="-14"/>
                <w:sz w:val="20"/>
              </w:rPr>
              <w:t xml:space="preserve"> </w:t>
            </w:r>
            <w:r>
              <w:rPr>
                <w:sz w:val="20"/>
              </w:rPr>
              <w:t>Justice</w:t>
            </w:r>
            <w:r>
              <w:rPr>
                <w:spacing w:val="-13"/>
                <w:sz w:val="20"/>
              </w:rPr>
              <w:t xml:space="preserve"> </w:t>
            </w:r>
            <w:r>
              <w:rPr>
                <w:sz w:val="20"/>
              </w:rPr>
              <w:t>and Community Services</w:t>
            </w:r>
          </w:p>
        </w:tc>
      </w:tr>
      <w:tr w:rsidR="009C36E3" w14:paraId="0F784E8D" w14:textId="77777777">
        <w:trPr>
          <w:trHeight w:val="621"/>
        </w:trPr>
        <w:tc>
          <w:tcPr>
            <w:tcW w:w="708" w:type="dxa"/>
            <w:tcBorders>
              <w:top w:val="single" w:sz="4" w:space="0" w:color="0064BB"/>
              <w:bottom w:val="single" w:sz="4" w:space="0" w:color="0064BB"/>
            </w:tcBorders>
            <w:shd w:val="clear" w:color="auto" w:fill="F1F1F1"/>
          </w:tcPr>
          <w:p w14:paraId="3314E95B" w14:textId="77777777" w:rsidR="009C36E3" w:rsidRDefault="000E7207">
            <w:pPr>
              <w:pStyle w:val="TableParagraph"/>
              <w:spacing w:before="80"/>
              <w:rPr>
                <w:b/>
                <w:sz w:val="18"/>
              </w:rPr>
            </w:pPr>
            <w:r>
              <w:rPr>
                <w:b/>
                <w:spacing w:val="-10"/>
                <w:sz w:val="18"/>
              </w:rPr>
              <w:t>8</w:t>
            </w:r>
          </w:p>
        </w:tc>
        <w:tc>
          <w:tcPr>
            <w:tcW w:w="2526" w:type="dxa"/>
            <w:tcBorders>
              <w:top w:val="single" w:sz="4" w:space="0" w:color="0064BB"/>
              <w:bottom w:val="single" w:sz="4" w:space="0" w:color="0064BB"/>
            </w:tcBorders>
          </w:tcPr>
          <w:p w14:paraId="44490DBE" w14:textId="77777777" w:rsidR="009C36E3" w:rsidRDefault="000E7207">
            <w:pPr>
              <w:pStyle w:val="TableParagraph"/>
              <w:ind w:left="108"/>
              <w:rPr>
                <w:sz w:val="20"/>
              </w:rPr>
            </w:pPr>
            <w:r>
              <w:rPr>
                <w:sz w:val="20"/>
              </w:rPr>
              <w:t>Tristelle</w:t>
            </w:r>
            <w:r>
              <w:rPr>
                <w:spacing w:val="-14"/>
                <w:sz w:val="20"/>
              </w:rPr>
              <w:t xml:space="preserve"> </w:t>
            </w:r>
            <w:r>
              <w:rPr>
                <w:spacing w:val="-2"/>
                <w:sz w:val="20"/>
              </w:rPr>
              <w:t>Karae</w:t>
            </w:r>
          </w:p>
        </w:tc>
        <w:tc>
          <w:tcPr>
            <w:tcW w:w="4125" w:type="dxa"/>
            <w:tcBorders>
              <w:top w:val="single" w:sz="4" w:space="0" w:color="0064BB"/>
              <w:bottom w:val="single" w:sz="4" w:space="0" w:color="0064BB"/>
            </w:tcBorders>
          </w:tcPr>
          <w:p w14:paraId="41A10904" w14:textId="77777777" w:rsidR="009C36E3" w:rsidRDefault="000E7207">
            <w:pPr>
              <w:pStyle w:val="TableParagraph"/>
              <w:ind w:left="418"/>
              <w:rPr>
                <w:sz w:val="20"/>
              </w:rPr>
            </w:pPr>
            <w:r>
              <w:rPr>
                <w:sz w:val="20"/>
              </w:rPr>
              <w:t>Child</w:t>
            </w:r>
            <w:r>
              <w:rPr>
                <w:spacing w:val="-6"/>
                <w:sz w:val="20"/>
              </w:rPr>
              <w:t xml:space="preserve"> </w:t>
            </w:r>
            <w:r>
              <w:rPr>
                <w:sz w:val="20"/>
              </w:rPr>
              <w:t>Desk</w:t>
            </w:r>
            <w:r>
              <w:rPr>
                <w:spacing w:val="-5"/>
                <w:sz w:val="20"/>
              </w:rPr>
              <w:t xml:space="preserve"> </w:t>
            </w:r>
            <w:r>
              <w:rPr>
                <w:spacing w:val="-2"/>
                <w:sz w:val="20"/>
              </w:rPr>
              <w:t>Officer</w:t>
            </w:r>
          </w:p>
        </w:tc>
        <w:tc>
          <w:tcPr>
            <w:tcW w:w="2846" w:type="dxa"/>
            <w:tcBorders>
              <w:top w:val="single" w:sz="4" w:space="0" w:color="0064BB"/>
              <w:bottom w:val="single" w:sz="4" w:space="0" w:color="0064BB"/>
            </w:tcBorders>
          </w:tcPr>
          <w:p w14:paraId="59E3B3DF" w14:textId="77777777" w:rsidR="009C36E3" w:rsidRDefault="000E7207">
            <w:pPr>
              <w:pStyle w:val="TableParagraph"/>
              <w:spacing w:line="242" w:lineRule="auto"/>
              <w:ind w:left="119"/>
              <w:rPr>
                <w:sz w:val="20"/>
              </w:rPr>
            </w:pPr>
            <w:r>
              <w:rPr>
                <w:sz w:val="20"/>
              </w:rPr>
              <w:t>Ministry</w:t>
            </w:r>
            <w:r>
              <w:rPr>
                <w:spacing w:val="-14"/>
                <w:sz w:val="20"/>
              </w:rPr>
              <w:t xml:space="preserve"> </w:t>
            </w:r>
            <w:r>
              <w:rPr>
                <w:sz w:val="20"/>
              </w:rPr>
              <w:t>of</w:t>
            </w:r>
            <w:r>
              <w:rPr>
                <w:spacing w:val="-14"/>
                <w:sz w:val="20"/>
              </w:rPr>
              <w:t xml:space="preserve"> </w:t>
            </w:r>
            <w:r>
              <w:rPr>
                <w:sz w:val="20"/>
              </w:rPr>
              <w:t>Justice</w:t>
            </w:r>
            <w:r>
              <w:rPr>
                <w:spacing w:val="-13"/>
                <w:sz w:val="20"/>
              </w:rPr>
              <w:t xml:space="preserve"> </w:t>
            </w:r>
            <w:r>
              <w:rPr>
                <w:sz w:val="20"/>
              </w:rPr>
              <w:t>and Community Services</w:t>
            </w:r>
          </w:p>
        </w:tc>
      </w:tr>
      <w:tr w:rsidR="009C36E3" w14:paraId="1DFBAE76" w14:textId="77777777">
        <w:trPr>
          <w:trHeight w:val="618"/>
        </w:trPr>
        <w:tc>
          <w:tcPr>
            <w:tcW w:w="708" w:type="dxa"/>
            <w:tcBorders>
              <w:top w:val="single" w:sz="4" w:space="0" w:color="0064BB"/>
              <w:bottom w:val="single" w:sz="4" w:space="0" w:color="0064BB"/>
            </w:tcBorders>
            <w:shd w:val="clear" w:color="auto" w:fill="F1F1F1"/>
          </w:tcPr>
          <w:p w14:paraId="156A3737" w14:textId="77777777" w:rsidR="009C36E3" w:rsidRDefault="000E7207">
            <w:pPr>
              <w:pStyle w:val="TableParagraph"/>
              <w:spacing w:before="80"/>
              <w:rPr>
                <w:b/>
                <w:sz w:val="18"/>
              </w:rPr>
            </w:pPr>
            <w:r>
              <w:rPr>
                <w:b/>
                <w:spacing w:val="-10"/>
                <w:sz w:val="18"/>
              </w:rPr>
              <w:t>9</w:t>
            </w:r>
          </w:p>
        </w:tc>
        <w:tc>
          <w:tcPr>
            <w:tcW w:w="2526" w:type="dxa"/>
            <w:tcBorders>
              <w:top w:val="single" w:sz="4" w:space="0" w:color="0064BB"/>
              <w:bottom w:val="single" w:sz="4" w:space="0" w:color="0064BB"/>
            </w:tcBorders>
          </w:tcPr>
          <w:p w14:paraId="26D4F11B" w14:textId="77777777" w:rsidR="009C36E3" w:rsidRDefault="000E7207">
            <w:pPr>
              <w:pStyle w:val="TableParagraph"/>
              <w:ind w:left="108"/>
              <w:rPr>
                <w:sz w:val="20"/>
              </w:rPr>
            </w:pPr>
            <w:r>
              <w:rPr>
                <w:sz w:val="20"/>
              </w:rPr>
              <w:t>Lawson</w:t>
            </w:r>
            <w:r>
              <w:rPr>
                <w:spacing w:val="-8"/>
                <w:sz w:val="20"/>
              </w:rPr>
              <w:t xml:space="preserve"> </w:t>
            </w:r>
            <w:r>
              <w:rPr>
                <w:spacing w:val="-2"/>
                <w:sz w:val="20"/>
              </w:rPr>
              <w:t>Samuel</w:t>
            </w:r>
          </w:p>
        </w:tc>
        <w:tc>
          <w:tcPr>
            <w:tcW w:w="4125" w:type="dxa"/>
            <w:tcBorders>
              <w:top w:val="single" w:sz="4" w:space="0" w:color="0064BB"/>
              <w:bottom w:val="single" w:sz="4" w:space="0" w:color="0064BB"/>
            </w:tcBorders>
          </w:tcPr>
          <w:p w14:paraId="52324E28" w14:textId="77777777" w:rsidR="009C36E3" w:rsidRDefault="000E7207">
            <w:pPr>
              <w:pStyle w:val="TableParagraph"/>
              <w:ind w:left="418"/>
              <w:rPr>
                <w:sz w:val="20"/>
              </w:rPr>
            </w:pPr>
            <w:r>
              <w:rPr>
                <w:spacing w:val="-2"/>
                <w:sz w:val="20"/>
              </w:rPr>
              <w:t>Secretary</w:t>
            </w:r>
          </w:p>
        </w:tc>
        <w:tc>
          <w:tcPr>
            <w:tcW w:w="2846" w:type="dxa"/>
            <w:tcBorders>
              <w:top w:val="single" w:sz="4" w:space="0" w:color="0064BB"/>
              <w:bottom w:val="single" w:sz="4" w:space="0" w:color="0064BB"/>
            </w:tcBorders>
          </w:tcPr>
          <w:p w14:paraId="6EED3AF5" w14:textId="77777777" w:rsidR="009C36E3" w:rsidRDefault="000E7207">
            <w:pPr>
              <w:pStyle w:val="TableParagraph"/>
              <w:ind w:left="119"/>
              <w:rPr>
                <w:sz w:val="20"/>
              </w:rPr>
            </w:pPr>
            <w:r>
              <w:rPr>
                <w:sz w:val="20"/>
              </w:rPr>
              <w:t>Vanuatu</w:t>
            </w:r>
            <w:r>
              <w:rPr>
                <w:spacing w:val="-14"/>
                <w:sz w:val="20"/>
              </w:rPr>
              <w:t xml:space="preserve"> </w:t>
            </w:r>
            <w:r>
              <w:rPr>
                <w:sz w:val="20"/>
              </w:rPr>
              <w:t>Law</w:t>
            </w:r>
            <w:r>
              <w:rPr>
                <w:spacing w:val="-14"/>
                <w:sz w:val="20"/>
              </w:rPr>
              <w:t xml:space="preserve"> </w:t>
            </w:r>
            <w:r>
              <w:rPr>
                <w:sz w:val="20"/>
              </w:rPr>
              <w:t xml:space="preserve">Reform </w:t>
            </w:r>
            <w:r>
              <w:rPr>
                <w:spacing w:val="-2"/>
                <w:sz w:val="20"/>
              </w:rPr>
              <w:t>Commission</w:t>
            </w:r>
          </w:p>
        </w:tc>
      </w:tr>
      <w:tr w:rsidR="009C36E3" w14:paraId="54E48835" w14:textId="77777777">
        <w:trPr>
          <w:trHeight w:val="621"/>
        </w:trPr>
        <w:tc>
          <w:tcPr>
            <w:tcW w:w="708" w:type="dxa"/>
            <w:tcBorders>
              <w:top w:val="single" w:sz="4" w:space="0" w:color="0064BB"/>
              <w:bottom w:val="single" w:sz="4" w:space="0" w:color="0064BB"/>
            </w:tcBorders>
            <w:shd w:val="clear" w:color="auto" w:fill="F1F1F1"/>
          </w:tcPr>
          <w:p w14:paraId="5B60963E" w14:textId="77777777" w:rsidR="009C36E3" w:rsidRDefault="000E7207">
            <w:pPr>
              <w:pStyle w:val="TableParagraph"/>
              <w:spacing w:before="80"/>
              <w:rPr>
                <w:b/>
                <w:sz w:val="18"/>
              </w:rPr>
            </w:pPr>
            <w:r>
              <w:rPr>
                <w:b/>
                <w:spacing w:val="-5"/>
                <w:sz w:val="18"/>
              </w:rPr>
              <w:t>10</w:t>
            </w:r>
          </w:p>
        </w:tc>
        <w:tc>
          <w:tcPr>
            <w:tcW w:w="2526" w:type="dxa"/>
            <w:tcBorders>
              <w:top w:val="single" w:sz="4" w:space="0" w:color="0064BB"/>
              <w:bottom w:val="single" w:sz="4" w:space="0" w:color="0064BB"/>
            </w:tcBorders>
          </w:tcPr>
          <w:p w14:paraId="2370BD44" w14:textId="77777777" w:rsidR="009C36E3" w:rsidRDefault="000E7207">
            <w:pPr>
              <w:pStyle w:val="TableParagraph"/>
              <w:ind w:left="108"/>
              <w:rPr>
                <w:sz w:val="20"/>
              </w:rPr>
            </w:pPr>
            <w:r>
              <w:rPr>
                <w:sz w:val="20"/>
              </w:rPr>
              <w:t>Rothina</w:t>
            </w:r>
            <w:r>
              <w:rPr>
                <w:spacing w:val="-9"/>
                <w:sz w:val="20"/>
              </w:rPr>
              <w:t xml:space="preserve"> </w:t>
            </w:r>
            <w:r>
              <w:rPr>
                <w:sz w:val="20"/>
              </w:rPr>
              <w:t>Ilo</w:t>
            </w:r>
            <w:r>
              <w:rPr>
                <w:spacing w:val="-6"/>
                <w:sz w:val="20"/>
              </w:rPr>
              <w:t xml:space="preserve"> </w:t>
            </w:r>
            <w:r>
              <w:rPr>
                <w:spacing w:val="-4"/>
                <w:sz w:val="20"/>
              </w:rPr>
              <w:t>Noka</w:t>
            </w:r>
          </w:p>
        </w:tc>
        <w:tc>
          <w:tcPr>
            <w:tcW w:w="4125" w:type="dxa"/>
            <w:tcBorders>
              <w:top w:val="single" w:sz="4" w:space="0" w:color="0064BB"/>
              <w:bottom w:val="single" w:sz="4" w:space="0" w:color="0064BB"/>
            </w:tcBorders>
          </w:tcPr>
          <w:p w14:paraId="37198D08" w14:textId="77777777" w:rsidR="009C36E3" w:rsidRDefault="000E7207">
            <w:pPr>
              <w:pStyle w:val="TableParagraph"/>
              <w:ind w:left="418"/>
              <w:rPr>
                <w:sz w:val="20"/>
              </w:rPr>
            </w:pPr>
            <w:r>
              <w:rPr>
                <w:spacing w:val="-2"/>
                <w:sz w:val="20"/>
              </w:rPr>
              <w:t>Director</w:t>
            </w:r>
          </w:p>
        </w:tc>
        <w:tc>
          <w:tcPr>
            <w:tcW w:w="2846" w:type="dxa"/>
            <w:tcBorders>
              <w:top w:val="single" w:sz="4" w:space="0" w:color="0064BB"/>
              <w:bottom w:val="single" w:sz="4" w:space="0" w:color="0064BB"/>
            </w:tcBorders>
          </w:tcPr>
          <w:p w14:paraId="6A442FA4" w14:textId="77777777" w:rsidR="009C36E3" w:rsidRDefault="000E7207">
            <w:pPr>
              <w:pStyle w:val="TableParagraph"/>
              <w:spacing w:line="242" w:lineRule="auto"/>
              <w:ind w:left="119" w:right="207"/>
              <w:rPr>
                <w:sz w:val="20"/>
              </w:rPr>
            </w:pPr>
            <w:r>
              <w:rPr>
                <w:sz w:val="20"/>
              </w:rPr>
              <w:t>Department</w:t>
            </w:r>
            <w:r>
              <w:rPr>
                <w:spacing w:val="-14"/>
                <w:sz w:val="20"/>
              </w:rPr>
              <w:t xml:space="preserve"> </w:t>
            </w:r>
            <w:r>
              <w:rPr>
                <w:sz w:val="20"/>
              </w:rPr>
              <w:t>of</w:t>
            </w:r>
            <w:r>
              <w:rPr>
                <w:spacing w:val="-14"/>
                <w:sz w:val="20"/>
              </w:rPr>
              <w:t xml:space="preserve"> </w:t>
            </w:r>
            <w:r>
              <w:rPr>
                <w:sz w:val="20"/>
              </w:rPr>
              <w:t xml:space="preserve">Women’s </w:t>
            </w:r>
            <w:r>
              <w:rPr>
                <w:spacing w:val="-2"/>
                <w:sz w:val="20"/>
              </w:rPr>
              <w:t>Affairs</w:t>
            </w:r>
          </w:p>
        </w:tc>
      </w:tr>
      <w:tr w:rsidR="009C36E3" w14:paraId="207A9A56" w14:textId="77777777">
        <w:trPr>
          <w:trHeight w:val="388"/>
        </w:trPr>
        <w:tc>
          <w:tcPr>
            <w:tcW w:w="708" w:type="dxa"/>
            <w:tcBorders>
              <w:top w:val="single" w:sz="4" w:space="0" w:color="0064BB"/>
              <w:bottom w:val="single" w:sz="4" w:space="0" w:color="0064BB"/>
            </w:tcBorders>
            <w:shd w:val="clear" w:color="auto" w:fill="F1F1F1"/>
          </w:tcPr>
          <w:p w14:paraId="5E4A4D17" w14:textId="77777777" w:rsidR="009C36E3" w:rsidRDefault="000E7207">
            <w:pPr>
              <w:pStyle w:val="TableParagraph"/>
              <w:spacing w:before="80"/>
              <w:rPr>
                <w:b/>
                <w:sz w:val="18"/>
              </w:rPr>
            </w:pPr>
            <w:r>
              <w:rPr>
                <w:b/>
                <w:spacing w:val="-5"/>
                <w:sz w:val="18"/>
              </w:rPr>
              <w:t>11</w:t>
            </w:r>
          </w:p>
        </w:tc>
        <w:tc>
          <w:tcPr>
            <w:tcW w:w="2526" w:type="dxa"/>
            <w:tcBorders>
              <w:top w:val="single" w:sz="4" w:space="0" w:color="0064BB"/>
              <w:bottom w:val="single" w:sz="4" w:space="0" w:color="0064BB"/>
            </w:tcBorders>
          </w:tcPr>
          <w:p w14:paraId="637C6483" w14:textId="77777777" w:rsidR="009C36E3" w:rsidRDefault="000E7207">
            <w:pPr>
              <w:pStyle w:val="TableParagraph"/>
              <w:ind w:left="108"/>
              <w:rPr>
                <w:sz w:val="20"/>
              </w:rPr>
            </w:pPr>
            <w:r>
              <w:rPr>
                <w:sz w:val="20"/>
              </w:rPr>
              <w:t>Josaia</w:t>
            </w:r>
            <w:r>
              <w:rPr>
                <w:spacing w:val="-9"/>
                <w:sz w:val="20"/>
              </w:rPr>
              <w:t xml:space="preserve"> </w:t>
            </w:r>
            <w:r>
              <w:rPr>
                <w:spacing w:val="-2"/>
                <w:sz w:val="20"/>
              </w:rPr>
              <w:t>Naigulevu</w:t>
            </w:r>
          </w:p>
        </w:tc>
        <w:tc>
          <w:tcPr>
            <w:tcW w:w="4125" w:type="dxa"/>
            <w:tcBorders>
              <w:top w:val="single" w:sz="4" w:space="0" w:color="0064BB"/>
              <w:bottom w:val="single" w:sz="4" w:space="0" w:color="0064BB"/>
            </w:tcBorders>
          </w:tcPr>
          <w:p w14:paraId="3628EAC7" w14:textId="77777777" w:rsidR="009C36E3" w:rsidRDefault="000E7207">
            <w:pPr>
              <w:pStyle w:val="TableParagraph"/>
              <w:ind w:left="418"/>
              <w:rPr>
                <w:sz w:val="20"/>
              </w:rPr>
            </w:pPr>
            <w:r>
              <w:rPr>
                <w:sz w:val="20"/>
              </w:rPr>
              <w:t>Public</w:t>
            </w:r>
            <w:r>
              <w:rPr>
                <w:spacing w:val="-7"/>
                <w:sz w:val="20"/>
              </w:rPr>
              <w:t xml:space="preserve"> </w:t>
            </w:r>
            <w:r>
              <w:rPr>
                <w:spacing w:val="-2"/>
                <w:sz w:val="20"/>
              </w:rPr>
              <w:t>Prosecutor</w:t>
            </w:r>
          </w:p>
        </w:tc>
        <w:tc>
          <w:tcPr>
            <w:tcW w:w="2846" w:type="dxa"/>
            <w:tcBorders>
              <w:top w:val="single" w:sz="4" w:space="0" w:color="0064BB"/>
              <w:bottom w:val="single" w:sz="4" w:space="0" w:color="0064BB"/>
            </w:tcBorders>
          </w:tcPr>
          <w:p w14:paraId="5AC3B16D" w14:textId="77777777" w:rsidR="009C36E3" w:rsidRDefault="000E7207">
            <w:pPr>
              <w:pStyle w:val="TableParagraph"/>
              <w:ind w:left="119"/>
              <w:rPr>
                <w:sz w:val="20"/>
              </w:rPr>
            </w:pPr>
            <w:r>
              <w:rPr>
                <w:sz w:val="20"/>
              </w:rPr>
              <w:t>Office</w:t>
            </w:r>
            <w:r>
              <w:rPr>
                <w:spacing w:val="-7"/>
                <w:sz w:val="20"/>
              </w:rPr>
              <w:t xml:space="preserve"> </w:t>
            </w:r>
            <w:r>
              <w:rPr>
                <w:sz w:val="20"/>
              </w:rPr>
              <w:t>of</w:t>
            </w:r>
            <w:r>
              <w:rPr>
                <w:spacing w:val="-4"/>
                <w:sz w:val="20"/>
              </w:rPr>
              <w:t xml:space="preserve"> </w:t>
            </w:r>
            <w:r>
              <w:rPr>
                <w:sz w:val="20"/>
              </w:rPr>
              <w:t>Public</w:t>
            </w:r>
            <w:r>
              <w:rPr>
                <w:spacing w:val="-6"/>
                <w:sz w:val="20"/>
              </w:rPr>
              <w:t xml:space="preserve"> </w:t>
            </w:r>
            <w:r>
              <w:rPr>
                <w:spacing w:val="-2"/>
                <w:sz w:val="20"/>
              </w:rPr>
              <w:t>Prosecutions</w:t>
            </w:r>
          </w:p>
        </w:tc>
      </w:tr>
      <w:tr w:rsidR="009C36E3" w14:paraId="3DA5B05D" w14:textId="77777777">
        <w:trPr>
          <w:trHeight w:val="390"/>
        </w:trPr>
        <w:tc>
          <w:tcPr>
            <w:tcW w:w="708" w:type="dxa"/>
            <w:tcBorders>
              <w:top w:val="single" w:sz="4" w:space="0" w:color="0064BB"/>
              <w:bottom w:val="single" w:sz="4" w:space="0" w:color="0064BB"/>
            </w:tcBorders>
            <w:shd w:val="clear" w:color="auto" w:fill="F1F1F1"/>
          </w:tcPr>
          <w:p w14:paraId="1A7F92C3" w14:textId="77777777" w:rsidR="009C36E3" w:rsidRDefault="000E7207">
            <w:pPr>
              <w:pStyle w:val="TableParagraph"/>
              <w:spacing w:before="83"/>
              <w:rPr>
                <w:b/>
                <w:sz w:val="18"/>
              </w:rPr>
            </w:pPr>
            <w:r>
              <w:rPr>
                <w:b/>
                <w:spacing w:val="-5"/>
                <w:sz w:val="18"/>
              </w:rPr>
              <w:t>12</w:t>
            </w:r>
          </w:p>
        </w:tc>
        <w:tc>
          <w:tcPr>
            <w:tcW w:w="2526" w:type="dxa"/>
            <w:tcBorders>
              <w:top w:val="single" w:sz="4" w:space="0" w:color="0064BB"/>
              <w:bottom w:val="single" w:sz="4" w:space="0" w:color="0064BB"/>
            </w:tcBorders>
          </w:tcPr>
          <w:p w14:paraId="2B2DFB30" w14:textId="77777777" w:rsidR="009C36E3" w:rsidRDefault="000E7207">
            <w:pPr>
              <w:pStyle w:val="TableParagraph"/>
              <w:spacing w:before="81"/>
              <w:ind w:left="108"/>
              <w:rPr>
                <w:sz w:val="20"/>
              </w:rPr>
            </w:pPr>
            <w:r>
              <w:rPr>
                <w:sz w:val="20"/>
              </w:rPr>
              <w:t>Joel</w:t>
            </w:r>
            <w:r>
              <w:rPr>
                <w:spacing w:val="-5"/>
                <w:sz w:val="20"/>
              </w:rPr>
              <w:t xml:space="preserve"> </w:t>
            </w:r>
            <w:r>
              <w:rPr>
                <w:spacing w:val="-2"/>
                <w:sz w:val="20"/>
              </w:rPr>
              <w:t>Shemi</w:t>
            </w:r>
          </w:p>
        </w:tc>
        <w:tc>
          <w:tcPr>
            <w:tcW w:w="4125" w:type="dxa"/>
            <w:tcBorders>
              <w:top w:val="single" w:sz="4" w:space="0" w:color="0064BB"/>
              <w:bottom w:val="single" w:sz="4" w:space="0" w:color="0064BB"/>
            </w:tcBorders>
          </w:tcPr>
          <w:p w14:paraId="1E0A2AB2" w14:textId="77777777" w:rsidR="009C36E3" w:rsidRDefault="000E7207">
            <w:pPr>
              <w:pStyle w:val="TableParagraph"/>
              <w:spacing w:before="81"/>
              <w:ind w:left="418"/>
              <w:rPr>
                <w:sz w:val="20"/>
              </w:rPr>
            </w:pPr>
            <w:r>
              <w:rPr>
                <w:sz w:val="20"/>
              </w:rPr>
              <w:t>Chief</w:t>
            </w:r>
            <w:r>
              <w:rPr>
                <w:spacing w:val="-7"/>
                <w:sz w:val="20"/>
              </w:rPr>
              <w:t xml:space="preserve"> </w:t>
            </w:r>
            <w:r>
              <w:rPr>
                <w:spacing w:val="-2"/>
                <w:sz w:val="20"/>
              </w:rPr>
              <w:t>Registrar</w:t>
            </w:r>
          </w:p>
        </w:tc>
        <w:tc>
          <w:tcPr>
            <w:tcW w:w="2846" w:type="dxa"/>
            <w:tcBorders>
              <w:top w:val="single" w:sz="4" w:space="0" w:color="0064BB"/>
              <w:bottom w:val="single" w:sz="4" w:space="0" w:color="0064BB"/>
            </w:tcBorders>
          </w:tcPr>
          <w:p w14:paraId="0714A25E" w14:textId="77777777" w:rsidR="009C36E3" w:rsidRDefault="000E7207">
            <w:pPr>
              <w:pStyle w:val="TableParagraph"/>
              <w:spacing w:before="81"/>
              <w:ind w:left="119"/>
              <w:rPr>
                <w:sz w:val="20"/>
              </w:rPr>
            </w:pPr>
            <w:r>
              <w:rPr>
                <w:sz w:val="20"/>
              </w:rPr>
              <w:t>Vanuatu</w:t>
            </w:r>
            <w:r>
              <w:rPr>
                <w:spacing w:val="-9"/>
                <w:sz w:val="20"/>
              </w:rPr>
              <w:t xml:space="preserve"> </w:t>
            </w:r>
            <w:r>
              <w:rPr>
                <w:sz w:val="20"/>
              </w:rPr>
              <w:t>Supreme</w:t>
            </w:r>
            <w:r>
              <w:rPr>
                <w:spacing w:val="-10"/>
                <w:sz w:val="20"/>
              </w:rPr>
              <w:t xml:space="preserve"> </w:t>
            </w:r>
            <w:r>
              <w:rPr>
                <w:spacing w:val="-4"/>
                <w:sz w:val="20"/>
              </w:rPr>
              <w:t>Court</w:t>
            </w:r>
          </w:p>
        </w:tc>
      </w:tr>
      <w:tr w:rsidR="009C36E3" w14:paraId="7E8C1E0A" w14:textId="77777777">
        <w:trPr>
          <w:trHeight w:val="390"/>
        </w:trPr>
        <w:tc>
          <w:tcPr>
            <w:tcW w:w="708" w:type="dxa"/>
            <w:tcBorders>
              <w:top w:val="single" w:sz="4" w:space="0" w:color="0064BB"/>
              <w:bottom w:val="single" w:sz="4" w:space="0" w:color="0064BB"/>
            </w:tcBorders>
            <w:shd w:val="clear" w:color="auto" w:fill="F1F1F1"/>
          </w:tcPr>
          <w:p w14:paraId="186BACD0" w14:textId="77777777" w:rsidR="009C36E3" w:rsidRDefault="000E7207">
            <w:pPr>
              <w:pStyle w:val="TableParagraph"/>
              <w:spacing w:before="80"/>
              <w:rPr>
                <w:b/>
                <w:sz w:val="18"/>
              </w:rPr>
            </w:pPr>
            <w:r>
              <w:rPr>
                <w:b/>
                <w:spacing w:val="-5"/>
                <w:sz w:val="18"/>
              </w:rPr>
              <w:t>13</w:t>
            </w:r>
          </w:p>
        </w:tc>
        <w:tc>
          <w:tcPr>
            <w:tcW w:w="2526" w:type="dxa"/>
            <w:tcBorders>
              <w:top w:val="single" w:sz="4" w:space="0" w:color="0064BB"/>
              <w:bottom w:val="single" w:sz="4" w:space="0" w:color="0064BB"/>
            </w:tcBorders>
          </w:tcPr>
          <w:p w14:paraId="75D176E9" w14:textId="77777777" w:rsidR="009C36E3" w:rsidRDefault="000E7207">
            <w:pPr>
              <w:pStyle w:val="TableParagraph"/>
              <w:ind w:left="108"/>
              <w:rPr>
                <w:sz w:val="20"/>
              </w:rPr>
            </w:pPr>
            <w:r>
              <w:rPr>
                <w:sz w:val="20"/>
              </w:rPr>
              <w:t>Robson</w:t>
            </w:r>
            <w:r>
              <w:rPr>
                <w:spacing w:val="-8"/>
                <w:sz w:val="20"/>
              </w:rPr>
              <w:t xml:space="preserve"> </w:t>
            </w:r>
            <w:r>
              <w:rPr>
                <w:spacing w:val="-2"/>
                <w:sz w:val="20"/>
              </w:rPr>
              <w:t>Lapsai</w:t>
            </w:r>
          </w:p>
        </w:tc>
        <w:tc>
          <w:tcPr>
            <w:tcW w:w="4125" w:type="dxa"/>
            <w:tcBorders>
              <w:top w:val="single" w:sz="4" w:space="0" w:color="0064BB"/>
              <w:bottom w:val="single" w:sz="4" w:space="0" w:color="0064BB"/>
            </w:tcBorders>
          </w:tcPr>
          <w:p w14:paraId="7FCBB031" w14:textId="77777777" w:rsidR="009C36E3" w:rsidRDefault="000E7207">
            <w:pPr>
              <w:pStyle w:val="TableParagraph"/>
              <w:ind w:left="418"/>
              <w:rPr>
                <w:sz w:val="20"/>
              </w:rPr>
            </w:pPr>
            <w:r>
              <w:rPr>
                <w:sz w:val="20"/>
              </w:rPr>
              <w:t>Senior</w:t>
            </w:r>
            <w:r>
              <w:rPr>
                <w:spacing w:val="-7"/>
                <w:sz w:val="20"/>
              </w:rPr>
              <w:t xml:space="preserve"> </w:t>
            </w:r>
            <w:r>
              <w:rPr>
                <w:spacing w:val="-2"/>
                <w:sz w:val="20"/>
              </w:rPr>
              <w:t>Administrator</w:t>
            </w:r>
          </w:p>
        </w:tc>
        <w:tc>
          <w:tcPr>
            <w:tcW w:w="2846" w:type="dxa"/>
            <w:tcBorders>
              <w:top w:val="single" w:sz="4" w:space="0" w:color="0064BB"/>
              <w:bottom w:val="single" w:sz="4" w:space="0" w:color="0064BB"/>
            </w:tcBorders>
          </w:tcPr>
          <w:p w14:paraId="44334934" w14:textId="77777777" w:rsidR="009C36E3" w:rsidRDefault="000E7207">
            <w:pPr>
              <w:pStyle w:val="TableParagraph"/>
              <w:ind w:left="119"/>
              <w:rPr>
                <w:sz w:val="20"/>
              </w:rPr>
            </w:pPr>
            <w:r>
              <w:rPr>
                <w:sz w:val="20"/>
              </w:rPr>
              <w:t>Island</w:t>
            </w:r>
            <w:r>
              <w:rPr>
                <w:spacing w:val="-9"/>
                <w:sz w:val="20"/>
              </w:rPr>
              <w:t xml:space="preserve"> </w:t>
            </w:r>
            <w:r>
              <w:rPr>
                <w:spacing w:val="-2"/>
                <w:sz w:val="20"/>
              </w:rPr>
              <w:t>Courts</w:t>
            </w:r>
          </w:p>
        </w:tc>
      </w:tr>
      <w:tr w:rsidR="009C36E3" w14:paraId="3425C634" w14:textId="77777777">
        <w:trPr>
          <w:trHeight w:val="388"/>
        </w:trPr>
        <w:tc>
          <w:tcPr>
            <w:tcW w:w="708" w:type="dxa"/>
            <w:tcBorders>
              <w:top w:val="single" w:sz="4" w:space="0" w:color="0064BB"/>
              <w:bottom w:val="single" w:sz="4" w:space="0" w:color="0064BB"/>
            </w:tcBorders>
            <w:shd w:val="clear" w:color="auto" w:fill="F1F1F1"/>
          </w:tcPr>
          <w:p w14:paraId="606950C7" w14:textId="77777777" w:rsidR="009C36E3" w:rsidRDefault="000E7207">
            <w:pPr>
              <w:pStyle w:val="TableParagraph"/>
              <w:spacing w:before="80"/>
              <w:rPr>
                <w:b/>
                <w:sz w:val="18"/>
              </w:rPr>
            </w:pPr>
            <w:r>
              <w:rPr>
                <w:b/>
                <w:spacing w:val="-5"/>
                <w:sz w:val="18"/>
              </w:rPr>
              <w:t>14</w:t>
            </w:r>
          </w:p>
        </w:tc>
        <w:tc>
          <w:tcPr>
            <w:tcW w:w="2526" w:type="dxa"/>
            <w:tcBorders>
              <w:top w:val="single" w:sz="4" w:space="0" w:color="0064BB"/>
              <w:bottom w:val="single" w:sz="4" w:space="0" w:color="0064BB"/>
            </w:tcBorders>
          </w:tcPr>
          <w:p w14:paraId="434CD8E8" w14:textId="77777777" w:rsidR="009C36E3" w:rsidRDefault="000E7207">
            <w:pPr>
              <w:pStyle w:val="TableParagraph"/>
              <w:ind w:left="108"/>
              <w:rPr>
                <w:sz w:val="20"/>
              </w:rPr>
            </w:pPr>
            <w:r>
              <w:rPr>
                <w:sz w:val="20"/>
              </w:rPr>
              <w:t>Jacob</w:t>
            </w:r>
            <w:r>
              <w:rPr>
                <w:spacing w:val="-7"/>
                <w:sz w:val="20"/>
              </w:rPr>
              <w:t xml:space="preserve"> </w:t>
            </w:r>
            <w:r>
              <w:rPr>
                <w:spacing w:val="-2"/>
                <w:sz w:val="20"/>
              </w:rPr>
              <w:t>Kausiama</w:t>
            </w:r>
          </w:p>
        </w:tc>
        <w:tc>
          <w:tcPr>
            <w:tcW w:w="4125" w:type="dxa"/>
            <w:tcBorders>
              <w:top w:val="single" w:sz="4" w:space="0" w:color="0064BB"/>
              <w:bottom w:val="single" w:sz="4" w:space="0" w:color="0064BB"/>
            </w:tcBorders>
          </w:tcPr>
          <w:p w14:paraId="762A045C" w14:textId="77777777" w:rsidR="009C36E3" w:rsidRDefault="000E7207">
            <w:pPr>
              <w:pStyle w:val="TableParagraph"/>
              <w:ind w:left="418"/>
              <w:rPr>
                <w:sz w:val="20"/>
              </w:rPr>
            </w:pPr>
            <w:r>
              <w:rPr>
                <w:sz w:val="20"/>
              </w:rPr>
              <w:t>Public</w:t>
            </w:r>
            <w:r>
              <w:rPr>
                <w:spacing w:val="-5"/>
                <w:sz w:val="20"/>
              </w:rPr>
              <w:t xml:space="preserve"> </w:t>
            </w:r>
            <w:r>
              <w:rPr>
                <w:spacing w:val="-2"/>
                <w:sz w:val="20"/>
              </w:rPr>
              <w:t>Solicitor</w:t>
            </w:r>
          </w:p>
        </w:tc>
        <w:tc>
          <w:tcPr>
            <w:tcW w:w="2846" w:type="dxa"/>
            <w:tcBorders>
              <w:top w:val="single" w:sz="4" w:space="0" w:color="0064BB"/>
              <w:bottom w:val="single" w:sz="4" w:space="0" w:color="0064BB"/>
            </w:tcBorders>
          </w:tcPr>
          <w:p w14:paraId="44F63395" w14:textId="77777777" w:rsidR="009C36E3" w:rsidRDefault="000E7207">
            <w:pPr>
              <w:pStyle w:val="TableParagraph"/>
              <w:ind w:left="119"/>
              <w:rPr>
                <w:sz w:val="20"/>
              </w:rPr>
            </w:pPr>
            <w:r>
              <w:rPr>
                <w:sz w:val="20"/>
              </w:rPr>
              <w:t>Public</w:t>
            </w:r>
            <w:r>
              <w:rPr>
                <w:spacing w:val="-8"/>
                <w:sz w:val="20"/>
              </w:rPr>
              <w:t xml:space="preserve"> </w:t>
            </w:r>
            <w:r>
              <w:rPr>
                <w:sz w:val="20"/>
              </w:rPr>
              <w:t>Solicitor’s</w:t>
            </w:r>
            <w:r>
              <w:rPr>
                <w:spacing w:val="-8"/>
                <w:sz w:val="20"/>
              </w:rPr>
              <w:t xml:space="preserve"> </w:t>
            </w:r>
            <w:r>
              <w:rPr>
                <w:spacing w:val="-2"/>
                <w:sz w:val="20"/>
              </w:rPr>
              <w:t>Office</w:t>
            </w:r>
          </w:p>
        </w:tc>
      </w:tr>
      <w:tr w:rsidR="009C36E3" w14:paraId="599ABB14" w14:textId="77777777">
        <w:trPr>
          <w:trHeight w:val="621"/>
        </w:trPr>
        <w:tc>
          <w:tcPr>
            <w:tcW w:w="708" w:type="dxa"/>
            <w:tcBorders>
              <w:top w:val="single" w:sz="4" w:space="0" w:color="0064BB"/>
              <w:bottom w:val="single" w:sz="4" w:space="0" w:color="0064BB"/>
            </w:tcBorders>
            <w:shd w:val="clear" w:color="auto" w:fill="F1F1F1"/>
          </w:tcPr>
          <w:p w14:paraId="28318206" w14:textId="77777777" w:rsidR="009C36E3" w:rsidRDefault="000E7207">
            <w:pPr>
              <w:pStyle w:val="TableParagraph"/>
              <w:spacing w:before="83"/>
              <w:rPr>
                <w:b/>
                <w:sz w:val="18"/>
              </w:rPr>
            </w:pPr>
            <w:r>
              <w:rPr>
                <w:b/>
                <w:spacing w:val="-5"/>
                <w:sz w:val="18"/>
              </w:rPr>
              <w:t>15</w:t>
            </w:r>
          </w:p>
        </w:tc>
        <w:tc>
          <w:tcPr>
            <w:tcW w:w="2526" w:type="dxa"/>
            <w:tcBorders>
              <w:top w:val="single" w:sz="4" w:space="0" w:color="0064BB"/>
              <w:bottom w:val="single" w:sz="4" w:space="0" w:color="0064BB"/>
            </w:tcBorders>
          </w:tcPr>
          <w:p w14:paraId="0E55DE73" w14:textId="77777777" w:rsidR="009C36E3" w:rsidRDefault="000E7207">
            <w:pPr>
              <w:pStyle w:val="TableParagraph"/>
              <w:spacing w:before="81"/>
              <w:ind w:left="108"/>
              <w:rPr>
                <w:sz w:val="20"/>
              </w:rPr>
            </w:pPr>
            <w:r>
              <w:rPr>
                <w:sz w:val="20"/>
              </w:rPr>
              <w:t>Chief</w:t>
            </w:r>
            <w:r>
              <w:rPr>
                <w:spacing w:val="-7"/>
                <w:sz w:val="20"/>
              </w:rPr>
              <w:t xml:space="preserve"> </w:t>
            </w:r>
            <w:r>
              <w:rPr>
                <w:sz w:val="20"/>
              </w:rPr>
              <w:t>Willie</w:t>
            </w:r>
            <w:r>
              <w:rPr>
                <w:spacing w:val="-5"/>
                <w:sz w:val="20"/>
              </w:rPr>
              <w:t xml:space="preserve"> </w:t>
            </w:r>
            <w:r>
              <w:rPr>
                <w:spacing w:val="-2"/>
                <w:sz w:val="20"/>
              </w:rPr>
              <w:t>Plasua</w:t>
            </w:r>
          </w:p>
        </w:tc>
        <w:tc>
          <w:tcPr>
            <w:tcW w:w="4125" w:type="dxa"/>
            <w:tcBorders>
              <w:top w:val="single" w:sz="4" w:space="0" w:color="0064BB"/>
              <w:bottom w:val="single" w:sz="4" w:space="0" w:color="0064BB"/>
            </w:tcBorders>
          </w:tcPr>
          <w:p w14:paraId="0F439315" w14:textId="77777777" w:rsidR="009C36E3" w:rsidRDefault="000E7207">
            <w:pPr>
              <w:pStyle w:val="TableParagraph"/>
              <w:spacing w:before="81"/>
              <w:ind w:left="418"/>
              <w:rPr>
                <w:sz w:val="20"/>
              </w:rPr>
            </w:pPr>
            <w:r>
              <w:rPr>
                <w:spacing w:val="-2"/>
                <w:sz w:val="20"/>
              </w:rPr>
              <w:t>President</w:t>
            </w:r>
          </w:p>
        </w:tc>
        <w:tc>
          <w:tcPr>
            <w:tcW w:w="2846" w:type="dxa"/>
            <w:tcBorders>
              <w:top w:val="single" w:sz="4" w:space="0" w:color="0064BB"/>
              <w:bottom w:val="single" w:sz="4" w:space="0" w:color="0064BB"/>
            </w:tcBorders>
          </w:tcPr>
          <w:p w14:paraId="2E6E5409" w14:textId="77777777" w:rsidR="009C36E3" w:rsidRDefault="000E7207">
            <w:pPr>
              <w:pStyle w:val="TableParagraph"/>
              <w:spacing w:before="81"/>
              <w:ind w:left="119" w:right="731"/>
              <w:rPr>
                <w:sz w:val="20"/>
              </w:rPr>
            </w:pPr>
            <w:r>
              <w:rPr>
                <w:sz w:val="20"/>
              </w:rPr>
              <w:t>Malvatumauri</w:t>
            </w:r>
            <w:r>
              <w:rPr>
                <w:spacing w:val="-14"/>
                <w:sz w:val="20"/>
              </w:rPr>
              <w:t xml:space="preserve"> </w:t>
            </w:r>
            <w:r>
              <w:rPr>
                <w:sz w:val="20"/>
              </w:rPr>
              <w:t>National Council of Chiefs</w:t>
            </w:r>
          </w:p>
        </w:tc>
      </w:tr>
      <w:tr w:rsidR="009C36E3" w14:paraId="7E43E3F7" w14:textId="77777777">
        <w:trPr>
          <w:trHeight w:val="618"/>
        </w:trPr>
        <w:tc>
          <w:tcPr>
            <w:tcW w:w="708" w:type="dxa"/>
            <w:tcBorders>
              <w:top w:val="single" w:sz="4" w:space="0" w:color="0064BB"/>
              <w:bottom w:val="single" w:sz="4" w:space="0" w:color="0064BB"/>
            </w:tcBorders>
            <w:shd w:val="clear" w:color="auto" w:fill="F1F1F1"/>
          </w:tcPr>
          <w:p w14:paraId="2007D7FE" w14:textId="77777777" w:rsidR="009C36E3" w:rsidRDefault="000E7207">
            <w:pPr>
              <w:pStyle w:val="TableParagraph"/>
              <w:spacing w:before="80"/>
              <w:rPr>
                <w:b/>
                <w:sz w:val="18"/>
              </w:rPr>
            </w:pPr>
            <w:r>
              <w:rPr>
                <w:b/>
                <w:spacing w:val="-5"/>
                <w:sz w:val="18"/>
              </w:rPr>
              <w:t>16</w:t>
            </w:r>
          </w:p>
        </w:tc>
        <w:tc>
          <w:tcPr>
            <w:tcW w:w="2526" w:type="dxa"/>
            <w:tcBorders>
              <w:top w:val="single" w:sz="4" w:space="0" w:color="0064BB"/>
              <w:bottom w:val="single" w:sz="4" w:space="0" w:color="0064BB"/>
            </w:tcBorders>
          </w:tcPr>
          <w:p w14:paraId="67F5EA10" w14:textId="77777777" w:rsidR="009C36E3" w:rsidRDefault="000E7207">
            <w:pPr>
              <w:pStyle w:val="TableParagraph"/>
              <w:ind w:left="108"/>
              <w:rPr>
                <w:sz w:val="20"/>
              </w:rPr>
            </w:pPr>
            <w:r>
              <w:rPr>
                <w:sz w:val="20"/>
              </w:rPr>
              <w:t>Chief</w:t>
            </w:r>
            <w:r>
              <w:rPr>
                <w:spacing w:val="-8"/>
                <w:sz w:val="20"/>
              </w:rPr>
              <w:t xml:space="preserve"> </w:t>
            </w:r>
            <w:r>
              <w:rPr>
                <w:sz w:val="20"/>
              </w:rPr>
              <w:t>Jean</w:t>
            </w:r>
            <w:r>
              <w:rPr>
                <w:spacing w:val="-5"/>
                <w:sz w:val="20"/>
              </w:rPr>
              <w:t xml:space="preserve"> </w:t>
            </w:r>
            <w:r>
              <w:rPr>
                <w:sz w:val="20"/>
              </w:rPr>
              <w:t>Pierre</w:t>
            </w:r>
            <w:r>
              <w:rPr>
                <w:spacing w:val="-7"/>
                <w:sz w:val="20"/>
              </w:rPr>
              <w:t xml:space="preserve"> </w:t>
            </w:r>
            <w:r>
              <w:rPr>
                <w:spacing w:val="-5"/>
                <w:sz w:val="20"/>
              </w:rPr>
              <w:t>Tom</w:t>
            </w:r>
          </w:p>
        </w:tc>
        <w:tc>
          <w:tcPr>
            <w:tcW w:w="4125" w:type="dxa"/>
            <w:tcBorders>
              <w:top w:val="single" w:sz="4" w:space="0" w:color="0064BB"/>
              <w:bottom w:val="single" w:sz="4" w:space="0" w:color="0064BB"/>
            </w:tcBorders>
          </w:tcPr>
          <w:p w14:paraId="602149E4" w14:textId="77777777" w:rsidR="009C36E3" w:rsidRDefault="000E7207">
            <w:pPr>
              <w:pStyle w:val="TableParagraph"/>
              <w:ind w:left="418"/>
              <w:rPr>
                <w:sz w:val="20"/>
              </w:rPr>
            </w:pPr>
            <w:r>
              <w:rPr>
                <w:spacing w:val="-5"/>
                <w:sz w:val="20"/>
              </w:rPr>
              <w:t>CEO</w:t>
            </w:r>
          </w:p>
        </w:tc>
        <w:tc>
          <w:tcPr>
            <w:tcW w:w="2846" w:type="dxa"/>
            <w:tcBorders>
              <w:top w:val="single" w:sz="4" w:space="0" w:color="0064BB"/>
              <w:bottom w:val="single" w:sz="4" w:space="0" w:color="0064BB"/>
            </w:tcBorders>
          </w:tcPr>
          <w:p w14:paraId="781CA71C" w14:textId="77777777" w:rsidR="009C36E3" w:rsidRDefault="000E7207">
            <w:pPr>
              <w:pStyle w:val="TableParagraph"/>
              <w:ind w:left="119" w:right="731"/>
              <w:rPr>
                <w:sz w:val="20"/>
              </w:rPr>
            </w:pPr>
            <w:r>
              <w:rPr>
                <w:sz w:val="20"/>
              </w:rPr>
              <w:t>Malvatumauri</w:t>
            </w:r>
            <w:r>
              <w:rPr>
                <w:spacing w:val="-14"/>
                <w:sz w:val="20"/>
              </w:rPr>
              <w:t xml:space="preserve"> </w:t>
            </w:r>
            <w:r>
              <w:rPr>
                <w:sz w:val="20"/>
              </w:rPr>
              <w:t>National Council of Chiefs</w:t>
            </w:r>
          </w:p>
        </w:tc>
      </w:tr>
      <w:tr w:rsidR="009C36E3" w14:paraId="5D168E37" w14:textId="77777777">
        <w:trPr>
          <w:trHeight w:val="390"/>
        </w:trPr>
        <w:tc>
          <w:tcPr>
            <w:tcW w:w="708" w:type="dxa"/>
            <w:tcBorders>
              <w:top w:val="single" w:sz="4" w:space="0" w:color="0064BB"/>
              <w:bottom w:val="single" w:sz="4" w:space="0" w:color="0064BB"/>
            </w:tcBorders>
            <w:shd w:val="clear" w:color="auto" w:fill="F1F1F1"/>
          </w:tcPr>
          <w:p w14:paraId="0D8D723F" w14:textId="77777777" w:rsidR="009C36E3" w:rsidRDefault="000E7207">
            <w:pPr>
              <w:pStyle w:val="TableParagraph"/>
              <w:spacing w:before="80"/>
              <w:rPr>
                <w:b/>
                <w:sz w:val="18"/>
              </w:rPr>
            </w:pPr>
            <w:r>
              <w:rPr>
                <w:b/>
                <w:spacing w:val="-5"/>
                <w:sz w:val="18"/>
              </w:rPr>
              <w:t>17</w:t>
            </w:r>
          </w:p>
        </w:tc>
        <w:tc>
          <w:tcPr>
            <w:tcW w:w="2526" w:type="dxa"/>
            <w:tcBorders>
              <w:top w:val="single" w:sz="4" w:space="0" w:color="0064BB"/>
              <w:bottom w:val="single" w:sz="4" w:space="0" w:color="0064BB"/>
            </w:tcBorders>
          </w:tcPr>
          <w:p w14:paraId="06648394" w14:textId="77777777" w:rsidR="009C36E3" w:rsidRDefault="000E7207">
            <w:pPr>
              <w:pStyle w:val="TableParagraph"/>
              <w:ind w:left="108"/>
              <w:rPr>
                <w:sz w:val="20"/>
              </w:rPr>
            </w:pPr>
            <w:r>
              <w:rPr>
                <w:sz w:val="20"/>
              </w:rPr>
              <w:t>Raffey</w:t>
            </w:r>
            <w:r>
              <w:rPr>
                <w:spacing w:val="-10"/>
                <w:sz w:val="20"/>
              </w:rPr>
              <w:t xml:space="preserve"> </w:t>
            </w:r>
            <w:r>
              <w:rPr>
                <w:spacing w:val="-2"/>
                <w:sz w:val="20"/>
              </w:rPr>
              <w:t>Taiwia</w:t>
            </w:r>
          </w:p>
        </w:tc>
        <w:tc>
          <w:tcPr>
            <w:tcW w:w="4125" w:type="dxa"/>
            <w:tcBorders>
              <w:top w:val="single" w:sz="4" w:space="0" w:color="0064BB"/>
              <w:bottom w:val="single" w:sz="4" w:space="0" w:color="0064BB"/>
            </w:tcBorders>
          </w:tcPr>
          <w:p w14:paraId="59186A14" w14:textId="77777777" w:rsidR="009C36E3" w:rsidRDefault="000E7207">
            <w:pPr>
              <w:pStyle w:val="TableParagraph"/>
              <w:ind w:left="418"/>
              <w:rPr>
                <w:sz w:val="20"/>
              </w:rPr>
            </w:pPr>
            <w:r>
              <w:rPr>
                <w:spacing w:val="-2"/>
                <w:sz w:val="20"/>
              </w:rPr>
              <w:t>Chairman</w:t>
            </w:r>
          </w:p>
        </w:tc>
        <w:tc>
          <w:tcPr>
            <w:tcW w:w="2846" w:type="dxa"/>
            <w:tcBorders>
              <w:top w:val="single" w:sz="4" w:space="0" w:color="0064BB"/>
              <w:bottom w:val="single" w:sz="4" w:space="0" w:color="0064BB"/>
            </w:tcBorders>
          </w:tcPr>
          <w:p w14:paraId="18AA6CA4" w14:textId="77777777" w:rsidR="009C36E3" w:rsidRDefault="000E7207">
            <w:pPr>
              <w:pStyle w:val="TableParagraph"/>
              <w:ind w:left="119"/>
              <w:rPr>
                <w:sz w:val="20"/>
              </w:rPr>
            </w:pPr>
            <w:r>
              <w:rPr>
                <w:sz w:val="20"/>
              </w:rPr>
              <w:t>Police</w:t>
            </w:r>
            <w:r>
              <w:rPr>
                <w:spacing w:val="-8"/>
                <w:sz w:val="20"/>
              </w:rPr>
              <w:t xml:space="preserve"> </w:t>
            </w:r>
            <w:r>
              <w:rPr>
                <w:sz w:val="20"/>
              </w:rPr>
              <w:t>Service</w:t>
            </w:r>
            <w:r>
              <w:rPr>
                <w:spacing w:val="-9"/>
                <w:sz w:val="20"/>
              </w:rPr>
              <w:t xml:space="preserve"> </w:t>
            </w:r>
            <w:r>
              <w:rPr>
                <w:spacing w:val="-2"/>
                <w:sz w:val="20"/>
              </w:rPr>
              <w:t>Commission</w:t>
            </w:r>
          </w:p>
        </w:tc>
      </w:tr>
      <w:tr w:rsidR="009C36E3" w14:paraId="587A8206" w14:textId="77777777">
        <w:trPr>
          <w:trHeight w:val="390"/>
        </w:trPr>
        <w:tc>
          <w:tcPr>
            <w:tcW w:w="708" w:type="dxa"/>
            <w:tcBorders>
              <w:top w:val="single" w:sz="4" w:space="0" w:color="0064BB"/>
              <w:bottom w:val="single" w:sz="4" w:space="0" w:color="0064BB"/>
            </w:tcBorders>
            <w:shd w:val="clear" w:color="auto" w:fill="F1F1F1"/>
          </w:tcPr>
          <w:p w14:paraId="455ACE7D" w14:textId="77777777" w:rsidR="009C36E3" w:rsidRDefault="000E7207">
            <w:pPr>
              <w:pStyle w:val="TableParagraph"/>
              <w:spacing w:before="80"/>
              <w:rPr>
                <w:b/>
                <w:sz w:val="18"/>
              </w:rPr>
            </w:pPr>
            <w:r>
              <w:rPr>
                <w:b/>
                <w:spacing w:val="-5"/>
                <w:sz w:val="18"/>
              </w:rPr>
              <w:t>18</w:t>
            </w:r>
          </w:p>
        </w:tc>
        <w:tc>
          <w:tcPr>
            <w:tcW w:w="2526" w:type="dxa"/>
            <w:tcBorders>
              <w:top w:val="single" w:sz="4" w:space="0" w:color="0064BB"/>
              <w:bottom w:val="single" w:sz="4" w:space="0" w:color="0064BB"/>
            </w:tcBorders>
          </w:tcPr>
          <w:p w14:paraId="47B06A93" w14:textId="77777777" w:rsidR="009C36E3" w:rsidRDefault="000E7207">
            <w:pPr>
              <w:pStyle w:val="TableParagraph"/>
              <w:ind w:left="108"/>
              <w:rPr>
                <w:sz w:val="20"/>
              </w:rPr>
            </w:pPr>
            <w:r>
              <w:rPr>
                <w:sz w:val="20"/>
              </w:rPr>
              <w:t>Sandy</w:t>
            </w:r>
            <w:r>
              <w:rPr>
                <w:spacing w:val="-9"/>
                <w:sz w:val="20"/>
              </w:rPr>
              <w:t xml:space="preserve"> </w:t>
            </w:r>
            <w:r>
              <w:rPr>
                <w:sz w:val="20"/>
              </w:rPr>
              <w:t>Ronald</w:t>
            </w:r>
            <w:r>
              <w:rPr>
                <w:spacing w:val="-6"/>
                <w:sz w:val="20"/>
              </w:rPr>
              <w:t xml:space="preserve"> </w:t>
            </w:r>
            <w:r>
              <w:rPr>
                <w:spacing w:val="-2"/>
                <w:sz w:val="20"/>
              </w:rPr>
              <w:t>Kalwas</w:t>
            </w:r>
          </w:p>
        </w:tc>
        <w:tc>
          <w:tcPr>
            <w:tcW w:w="4125" w:type="dxa"/>
            <w:tcBorders>
              <w:top w:val="single" w:sz="4" w:space="0" w:color="0064BB"/>
              <w:bottom w:val="single" w:sz="4" w:space="0" w:color="0064BB"/>
            </w:tcBorders>
          </w:tcPr>
          <w:p w14:paraId="55F56916" w14:textId="77777777" w:rsidR="009C36E3" w:rsidRDefault="000E7207">
            <w:pPr>
              <w:pStyle w:val="TableParagraph"/>
              <w:ind w:left="418"/>
              <w:rPr>
                <w:sz w:val="20"/>
              </w:rPr>
            </w:pPr>
            <w:r>
              <w:rPr>
                <w:spacing w:val="-2"/>
                <w:sz w:val="20"/>
              </w:rPr>
              <w:t>Secretary</w:t>
            </w:r>
          </w:p>
        </w:tc>
        <w:tc>
          <w:tcPr>
            <w:tcW w:w="2846" w:type="dxa"/>
            <w:tcBorders>
              <w:top w:val="single" w:sz="4" w:space="0" w:color="0064BB"/>
              <w:bottom w:val="single" w:sz="4" w:space="0" w:color="0064BB"/>
            </w:tcBorders>
          </w:tcPr>
          <w:p w14:paraId="42CD491C" w14:textId="77777777" w:rsidR="009C36E3" w:rsidRDefault="000E7207">
            <w:pPr>
              <w:pStyle w:val="TableParagraph"/>
              <w:ind w:left="119"/>
              <w:rPr>
                <w:sz w:val="20"/>
              </w:rPr>
            </w:pPr>
            <w:r>
              <w:rPr>
                <w:sz w:val="20"/>
              </w:rPr>
              <w:t>Police</w:t>
            </w:r>
            <w:r>
              <w:rPr>
                <w:spacing w:val="-8"/>
                <w:sz w:val="20"/>
              </w:rPr>
              <w:t xml:space="preserve"> </w:t>
            </w:r>
            <w:r>
              <w:rPr>
                <w:sz w:val="20"/>
              </w:rPr>
              <w:t>Service</w:t>
            </w:r>
            <w:r>
              <w:rPr>
                <w:spacing w:val="-9"/>
                <w:sz w:val="20"/>
              </w:rPr>
              <w:t xml:space="preserve"> </w:t>
            </w:r>
            <w:r>
              <w:rPr>
                <w:spacing w:val="-2"/>
                <w:sz w:val="20"/>
              </w:rPr>
              <w:t>Commission</w:t>
            </w:r>
          </w:p>
        </w:tc>
      </w:tr>
      <w:tr w:rsidR="009C36E3" w14:paraId="7ABE8D62" w14:textId="77777777">
        <w:trPr>
          <w:trHeight w:val="388"/>
        </w:trPr>
        <w:tc>
          <w:tcPr>
            <w:tcW w:w="708" w:type="dxa"/>
            <w:tcBorders>
              <w:top w:val="single" w:sz="4" w:space="0" w:color="0064BB"/>
              <w:bottom w:val="single" w:sz="4" w:space="0" w:color="0064BB"/>
            </w:tcBorders>
            <w:shd w:val="clear" w:color="auto" w:fill="F1F1F1"/>
          </w:tcPr>
          <w:p w14:paraId="6EDB0BA0" w14:textId="77777777" w:rsidR="009C36E3" w:rsidRDefault="000E7207">
            <w:pPr>
              <w:pStyle w:val="TableParagraph"/>
              <w:spacing w:before="80"/>
              <w:rPr>
                <w:b/>
                <w:sz w:val="18"/>
              </w:rPr>
            </w:pPr>
            <w:r>
              <w:rPr>
                <w:b/>
                <w:spacing w:val="-5"/>
                <w:sz w:val="18"/>
              </w:rPr>
              <w:t>19</w:t>
            </w:r>
          </w:p>
        </w:tc>
        <w:tc>
          <w:tcPr>
            <w:tcW w:w="2526" w:type="dxa"/>
            <w:tcBorders>
              <w:top w:val="single" w:sz="4" w:space="0" w:color="0064BB"/>
              <w:bottom w:val="single" w:sz="4" w:space="0" w:color="0064BB"/>
            </w:tcBorders>
          </w:tcPr>
          <w:p w14:paraId="6459E518" w14:textId="77777777" w:rsidR="009C36E3" w:rsidRDefault="000E7207">
            <w:pPr>
              <w:pStyle w:val="TableParagraph"/>
              <w:ind w:left="108"/>
              <w:rPr>
                <w:sz w:val="20"/>
              </w:rPr>
            </w:pPr>
            <w:r>
              <w:rPr>
                <w:sz w:val="20"/>
              </w:rPr>
              <w:t>Robson</w:t>
            </w:r>
            <w:r>
              <w:rPr>
                <w:spacing w:val="-8"/>
                <w:sz w:val="20"/>
              </w:rPr>
              <w:t xml:space="preserve"> </w:t>
            </w:r>
            <w:r>
              <w:rPr>
                <w:spacing w:val="-2"/>
                <w:sz w:val="20"/>
              </w:rPr>
              <w:t>Iavro</w:t>
            </w:r>
          </w:p>
        </w:tc>
        <w:tc>
          <w:tcPr>
            <w:tcW w:w="4125" w:type="dxa"/>
            <w:tcBorders>
              <w:top w:val="single" w:sz="4" w:space="0" w:color="0064BB"/>
              <w:bottom w:val="single" w:sz="4" w:space="0" w:color="0064BB"/>
            </w:tcBorders>
          </w:tcPr>
          <w:p w14:paraId="67B6C02E" w14:textId="77777777" w:rsidR="009C36E3" w:rsidRDefault="000E7207">
            <w:pPr>
              <w:pStyle w:val="TableParagraph"/>
              <w:ind w:left="418"/>
              <w:rPr>
                <w:sz w:val="20"/>
              </w:rPr>
            </w:pPr>
            <w:r>
              <w:rPr>
                <w:sz w:val="20"/>
              </w:rPr>
              <w:t>Commissioner</w:t>
            </w:r>
            <w:r>
              <w:rPr>
                <w:spacing w:val="-9"/>
                <w:sz w:val="20"/>
              </w:rPr>
              <w:t xml:space="preserve"> </w:t>
            </w:r>
            <w:r>
              <w:rPr>
                <w:sz w:val="20"/>
              </w:rPr>
              <w:t>of</w:t>
            </w:r>
            <w:r>
              <w:rPr>
                <w:spacing w:val="-8"/>
                <w:sz w:val="20"/>
              </w:rPr>
              <w:t xml:space="preserve"> </w:t>
            </w:r>
            <w:r>
              <w:rPr>
                <w:spacing w:val="-2"/>
                <w:sz w:val="20"/>
              </w:rPr>
              <w:t>Police</w:t>
            </w:r>
          </w:p>
        </w:tc>
        <w:tc>
          <w:tcPr>
            <w:tcW w:w="2846" w:type="dxa"/>
            <w:tcBorders>
              <w:top w:val="single" w:sz="4" w:space="0" w:color="0064BB"/>
              <w:bottom w:val="single" w:sz="4" w:space="0" w:color="0064BB"/>
            </w:tcBorders>
          </w:tcPr>
          <w:p w14:paraId="68F78537"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5D27CC0E" w14:textId="77777777">
        <w:trPr>
          <w:trHeight w:val="390"/>
        </w:trPr>
        <w:tc>
          <w:tcPr>
            <w:tcW w:w="708" w:type="dxa"/>
            <w:tcBorders>
              <w:top w:val="single" w:sz="4" w:space="0" w:color="0064BB"/>
              <w:bottom w:val="single" w:sz="4" w:space="0" w:color="0064BB"/>
            </w:tcBorders>
            <w:shd w:val="clear" w:color="auto" w:fill="F1F1F1"/>
          </w:tcPr>
          <w:p w14:paraId="7B42D2D9" w14:textId="77777777" w:rsidR="009C36E3" w:rsidRDefault="000E7207">
            <w:pPr>
              <w:pStyle w:val="TableParagraph"/>
              <w:spacing w:before="80"/>
              <w:rPr>
                <w:b/>
                <w:sz w:val="18"/>
              </w:rPr>
            </w:pPr>
            <w:r>
              <w:rPr>
                <w:b/>
                <w:spacing w:val="-5"/>
                <w:sz w:val="18"/>
              </w:rPr>
              <w:t>21</w:t>
            </w:r>
          </w:p>
        </w:tc>
        <w:tc>
          <w:tcPr>
            <w:tcW w:w="2526" w:type="dxa"/>
            <w:tcBorders>
              <w:top w:val="single" w:sz="4" w:space="0" w:color="0064BB"/>
              <w:bottom w:val="single" w:sz="4" w:space="0" w:color="0064BB"/>
            </w:tcBorders>
          </w:tcPr>
          <w:p w14:paraId="4D9FBE8D" w14:textId="77777777" w:rsidR="009C36E3" w:rsidRDefault="000E7207">
            <w:pPr>
              <w:pStyle w:val="TableParagraph"/>
              <w:ind w:left="108"/>
              <w:rPr>
                <w:sz w:val="20"/>
              </w:rPr>
            </w:pPr>
            <w:r>
              <w:rPr>
                <w:sz w:val="20"/>
              </w:rPr>
              <w:t>Kalo</w:t>
            </w:r>
            <w:r>
              <w:rPr>
                <w:spacing w:val="-6"/>
                <w:sz w:val="20"/>
              </w:rPr>
              <w:t xml:space="preserve"> </w:t>
            </w:r>
            <w:r>
              <w:rPr>
                <w:sz w:val="20"/>
              </w:rPr>
              <w:t>Willie</w:t>
            </w:r>
            <w:r>
              <w:rPr>
                <w:spacing w:val="-5"/>
                <w:sz w:val="20"/>
              </w:rPr>
              <w:t xml:space="preserve"> Ben</w:t>
            </w:r>
          </w:p>
        </w:tc>
        <w:tc>
          <w:tcPr>
            <w:tcW w:w="4125" w:type="dxa"/>
            <w:tcBorders>
              <w:top w:val="single" w:sz="4" w:space="0" w:color="0064BB"/>
              <w:bottom w:val="single" w:sz="4" w:space="0" w:color="0064BB"/>
            </w:tcBorders>
          </w:tcPr>
          <w:p w14:paraId="045DFA79" w14:textId="77777777" w:rsidR="009C36E3" w:rsidRDefault="000E7207">
            <w:pPr>
              <w:pStyle w:val="TableParagraph"/>
              <w:ind w:left="418"/>
              <w:rPr>
                <w:sz w:val="20"/>
              </w:rPr>
            </w:pPr>
            <w:r>
              <w:rPr>
                <w:sz w:val="20"/>
              </w:rPr>
              <w:t>Deputy</w:t>
            </w:r>
            <w:r>
              <w:rPr>
                <w:spacing w:val="-8"/>
                <w:sz w:val="20"/>
              </w:rPr>
              <w:t xml:space="preserve"> </w:t>
            </w:r>
            <w:r>
              <w:rPr>
                <w:sz w:val="20"/>
              </w:rPr>
              <w:t>Commissioner</w:t>
            </w:r>
            <w:r>
              <w:rPr>
                <w:spacing w:val="-8"/>
                <w:sz w:val="20"/>
              </w:rPr>
              <w:t xml:space="preserve"> </w:t>
            </w:r>
            <w:r>
              <w:rPr>
                <w:sz w:val="20"/>
              </w:rPr>
              <w:t>-</w:t>
            </w:r>
            <w:r>
              <w:rPr>
                <w:spacing w:val="-8"/>
                <w:sz w:val="20"/>
              </w:rPr>
              <w:t xml:space="preserve"> </w:t>
            </w:r>
            <w:r>
              <w:rPr>
                <w:spacing w:val="-2"/>
                <w:sz w:val="20"/>
              </w:rPr>
              <w:t>Operations</w:t>
            </w:r>
          </w:p>
        </w:tc>
        <w:tc>
          <w:tcPr>
            <w:tcW w:w="2846" w:type="dxa"/>
            <w:tcBorders>
              <w:top w:val="single" w:sz="4" w:space="0" w:color="0064BB"/>
              <w:bottom w:val="single" w:sz="4" w:space="0" w:color="0064BB"/>
            </w:tcBorders>
          </w:tcPr>
          <w:p w14:paraId="245E9FDE"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0296C27D" w14:textId="77777777">
        <w:trPr>
          <w:trHeight w:val="390"/>
        </w:trPr>
        <w:tc>
          <w:tcPr>
            <w:tcW w:w="708" w:type="dxa"/>
            <w:tcBorders>
              <w:top w:val="single" w:sz="4" w:space="0" w:color="0064BB"/>
              <w:bottom w:val="single" w:sz="4" w:space="0" w:color="0064BB"/>
            </w:tcBorders>
            <w:shd w:val="clear" w:color="auto" w:fill="F1F1F1"/>
          </w:tcPr>
          <w:p w14:paraId="5ACC2F11" w14:textId="77777777" w:rsidR="009C36E3" w:rsidRDefault="000E7207">
            <w:pPr>
              <w:pStyle w:val="TableParagraph"/>
              <w:spacing w:before="80"/>
              <w:rPr>
                <w:b/>
                <w:sz w:val="18"/>
              </w:rPr>
            </w:pPr>
            <w:r>
              <w:rPr>
                <w:b/>
                <w:spacing w:val="-5"/>
                <w:sz w:val="18"/>
              </w:rPr>
              <w:t>22</w:t>
            </w:r>
          </w:p>
        </w:tc>
        <w:tc>
          <w:tcPr>
            <w:tcW w:w="2526" w:type="dxa"/>
            <w:tcBorders>
              <w:top w:val="single" w:sz="4" w:space="0" w:color="0064BB"/>
              <w:bottom w:val="single" w:sz="4" w:space="0" w:color="0064BB"/>
            </w:tcBorders>
          </w:tcPr>
          <w:p w14:paraId="66369449" w14:textId="77777777" w:rsidR="009C36E3" w:rsidRDefault="000E7207">
            <w:pPr>
              <w:pStyle w:val="TableParagraph"/>
              <w:ind w:left="108"/>
              <w:rPr>
                <w:sz w:val="20"/>
              </w:rPr>
            </w:pPr>
            <w:r>
              <w:rPr>
                <w:sz w:val="20"/>
              </w:rPr>
              <w:t>Collin</w:t>
            </w:r>
            <w:r>
              <w:rPr>
                <w:spacing w:val="-10"/>
                <w:sz w:val="20"/>
              </w:rPr>
              <w:t xml:space="preserve"> </w:t>
            </w:r>
            <w:r>
              <w:rPr>
                <w:spacing w:val="-2"/>
                <w:sz w:val="20"/>
              </w:rPr>
              <w:t>William</w:t>
            </w:r>
          </w:p>
        </w:tc>
        <w:tc>
          <w:tcPr>
            <w:tcW w:w="4125" w:type="dxa"/>
            <w:tcBorders>
              <w:top w:val="single" w:sz="4" w:space="0" w:color="0064BB"/>
              <w:bottom w:val="single" w:sz="4" w:space="0" w:color="0064BB"/>
            </w:tcBorders>
          </w:tcPr>
          <w:p w14:paraId="56E3B10D" w14:textId="77777777" w:rsidR="009C36E3" w:rsidRDefault="000E7207">
            <w:pPr>
              <w:pStyle w:val="TableParagraph"/>
              <w:ind w:left="418"/>
              <w:rPr>
                <w:sz w:val="20"/>
              </w:rPr>
            </w:pPr>
            <w:r>
              <w:rPr>
                <w:sz w:val="20"/>
              </w:rPr>
              <w:t>Acting</w:t>
            </w:r>
            <w:r>
              <w:rPr>
                <w:spacing w:val="-9"/>
                <w:sz w:val="20"/>
              </w:rPr>
              <w:t xml:space="preserve"> </w:t>
            </w:r>
            <w:r>
              <w:rPr>
                <w:sz w:val="20"/>
              </w:rPr>
              <w:t>Commander</w:t>
            </w:r>
            <w:r>
              <w:rPr>
                <w:spacing w:val="-8"/>
                <w:sz w:val="20"/>
              </w:rPr>
              <w:t xml:space="preserve"> </w:t>
            </w:r>
            <w:r>
              <w:rPr>
                <w:spacing w:val="-4"/>
                <w:sz w:val="20"/>
              </w:rPr>
              <w:t>JPOC</w:t>
            </w:r>
          </w:p>
        </w:tc>
        <w:tc>
          <w:tcPr>
            <w:tcW w:w="2846" w:type="dxa"/>
            <w:tcBorders>
              <w:top w:val="single" w:sz="4" w:space="0" w:color="0064BB"/>
              <w:bottom w:val="single" w:sz="4" w:space="0" w:color="0064BB"/>
            </w:tcBorders>
          </w:tcPr>
          <w:p w14:paraId="780C1536"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0B9A64AD" w14:textId="77777777">
        <w:trPr>
          <w:trHeight w:val="388"/>
        </w:trPr>
        <w:tc>
          <w:tcPr>
            <w:tcW w:w="708" w:type="dxa"/>
            <w:tcBorders>
              <w:top w:val="single" w:sz="4" w:space="0" w:color="0064BB"/>
              <w:bottom w:val="single" w:sz="4" w:space="0" w:color="0064BB"/>
            </w:tcBorders>
            <w:shd w:val="clear" w:color="auto" w:fill="F1F1F1"/>
          </w:tcPr>
          <w:p w14:paraId="6CAFF147" w14:textId="77777777" w:rsidR="009C36E3" w:rsidRDefault="000E7207">
            <w:pPr>
              <w:pStyle w:val="TableParagraph"/>
              <w:spacing w:before="80"/>
              <w:rPr>
                <w:b/>
                <w:sz w:val="18"/>
              </w:rPr>
            </w:pPr>
            <w:r>
              <w:rPr>
                <w:b/>
                <w:spacing w:val="-5"/>
                <w:sz w:val="18"/>
              </w:rPr>
              <w:t>23</w:t>
            </w:r>
          </w:p>
        </w:tc>
        <w:tc>
          <w:tcPr>
            <w:tcW w:w="2526" w:type="dxa"/>
            <w:tcBorders>
              <w:top w:val="single" w:sz="4" w:space="0" w:color="0064BB"/>
              <w:bottom w:val="single" w:sz="4" w:space="0" w:color="0064BB"/>
            </w:tcBorders>
          </w:tcPr>
          <w:p w14:paraId="34C80FA8" w14:textId="77777777" w:rsidR="009C36E3" w:rsidRDefault="000E7207">
            <w:pPr>
              <w:pStyle w:val="TableParagraph"/>
              <w:ind w:left="108"/>
              <w:rPr>
                <w:sz w:val="20"/>
              </w:rPr>
            </w:pPr>
            <w:r>
              <w:rPr>
                <w:sz w:val="20"/>
              </w:rPr>
              <w:t>Ray</w:t>
            </w:r>
            <w:r>
              <w:rPr>
                <w:spacing w:val="-5"/>
                <w:sz w:val="20"/>
              </w:rPr>
              <w:t xml:space="preserve"> </w:t>
            </w:r>
            <w:r>
              <w:rPr>
                <w:spacing w:val="-4"/>
                <w:sz w:val="20"/>
              </w:rPr>
              <w:t>John</w:t>
            </w:r>
          </w:p>
        </w:tc>
        <w:tc>
          <w:tcPr>
            <w:tcW w:w="4125" w:type="dxa"/>
            <w:tcBorders>
              <w:top w:val="single" w:sz="4" w:space="0" w:color="0064BB"/>
              <w:bottom w:val="single" w:sz="4" w:space="0" w:color="0064BB"/>
            </w:tcBorders>
          </w:tcPr>
          <w:p w14:paraId="7A0D68EF" w14:textId="77777777" w:rsidR="009C36E3" w:rsidRDefault="000E7207">
            <w:pPr>
              <w:pStyle w:val="TableParagraph"/>
              <w:ind w:left="418"/>
              <w:rPr>
                <w:sz w:val="20"/>
              </w:rPr>
            </w:pPr>
            <w:r>
              <w:rPr>
                <w:sz w:val="20"/>
              </w:rPr>
              <w:t>Operations</w:t>
            </w:r>
            <w:r>
              <w:rPr>
                <w:spacing w:val="-11"/>
                <w:sz w:val="20"/>
              </w:rPr>
              <w:t xml:space="preserve"> </w:t>
            </w:r>
            <w:r>
              <w:rPr>
                <w:sz w:val="20"/>
              </w:rPr>
              <w:t>Manager</w:t>
            </w:r>
            <w:r>
              <w:rPr>
                <w:spacing w:val="-11"/>
                <w:sz w:val="20"/>
              </w:rPr>
              <w:t xml:space="preserve"> </w:t>
            </w:r>
            <w:r>
              <w:rPr>
                <w:spacing w:val="-4"/>
                <w:sz w:val="20"/>
              </w:rPr>
              <w:t>JPOC</w:t>
            </w:r>
          </w:p>
        </w:tc>
        <w:tc>
          <w:tcPr>
            <w:tcW w:w="2846" w:type="dxa"/>
            <w:tcBorders>
              <w:top w:val="single" w:sz="4" w:space="0" w:color="0064BB"/>
              <w:bottom w:val="single" w:sz="4" w:space="0" w:color="0064BB"/>
            </w:tcBorders>
          </w:tcPr>
          <w:p w14:paraId="6F7F8EE9"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6EF12C72" w14:textId="77777777">
        <w:trPr>
          <w:trHeight w:val="621"/>
        </w:trPr>
        <w:tc>
          <w:tcPr>
            <w:tcW w:w="708" w:type="dxa"/>
            <w:tcBorders>
              <w:top w:val="single" w:sz="4" w:space="0" w:color="0064BB"/>
              <w:bottom w:val="single" w:sz="4" w:space="0" w:color="0064BB"/>
            </w:tcBorders>
            <w:shd w:val="clear" w:color="auto" w:fill="F1F1F1"/>
          </w:tcPr>
          <w:p w14:paraId="3D150735" w14:textId="77777777" w:rsidR="009C36E3" w:rsidRDefault="000E7207">
            <w:pPr>
              <w:pStyle w:val="TableParagraph"/>
              <w:spacing w:before="80"/>
              <w:rPr>
                <w:b/>
                <w:sz w:val="18"/>
              </w:rPr>
            </w:pPr>
            <w:r>
              <w:rPr>
                <w:b/>
                <w:spacing w:val="-5"/>
                <w:sz w:val="18"/>
              </w:rPr>
              <w:t>24</w:t>
            </w:r>
          </w:p>
        </w:tc>
        <w:tc>
          <w:tcPr>
            <w:tcW w:w="2526" w:type="dxa"/>
            <w:tcBorders>
              <w:top w:val="single" w:sz="4" w:space="0" w:color="0064BB"/>
              <w:bottom w:val="single" w:sz="4" w:space="0" w:color="0064BB"/>
            </w:tcBorders>
          </w:tcPr>
          <w:p w14:paraId="6AC2453B" w14:textId="77777777" w:rsidR="009C36E3" w:rsidRDefault="000E7207">
            <w:pPr>
              <w:pStyle w:val="TableParagraph"/>
              <w:ind w:left="108"/>
              <w:rPr>
                <w:sz w:val="20"/>
              </w:rPr>
            </w:pPr>
            <w:r>
              <w:rPr>
                <w:sz w:val="20"/>
              </w:rPr>
              <w:t>Pako</w:t>
            </w:r>
            <w:r>
              <w:rPr>
                <w:spacing w:val="-7"/>
                <w:sz w:val="20"/>
              </w:rPr>
              <w:t xml:space="preserve"> </w:t>
            </w:r>
            <w:r>
              <w:rPr>
                <w:spacing w:val="-4"/>
                <w:sz w:val="20"/>
              </w:rPr>
              <w:t>Noah</w:t>
            </w:r>
          </w:p>
        </w:tc>
        <w:tc>
          <w:tcPr>
            <w:tcW w:w="4125" w:type="dxa"/>
            <w:tcBorders>
              <w:top w:val="single" w:sz="4" w:space="0" w:color="0064BB"/>
              <w:bottom w:val="single" w:sz="4" w:space="0" w:color="0064BB"/>
            </w:tcBorders>
          </w:tcPr>
          <w:p w14:paraId="39E6E57D" w14:textId="77777777" w:rsidR="009C36E3" w:rsidRDefault="000E7207">
            <w:pPr>
              <w:pStyle w:val="TableParagraph"/>
              <w:spacing w:line="242" w:lineRule="auto"/>
              <w:ind w:left="418"/>
              <w:rPr>
                <w:sz w:val="20"/>
              </w:rPr>
            </w:pPr>
            <w:r>
              <w:rPr>
                <w:sz w:val="20"/>
              </w:rPr>
              <w:t>OC</w:t>
            </w:r>
            <w:r>
              <w:rPr>
                <w:spacing w:val="-14"/>
                <w:sz w:val="20"/>
              </w:rPr>
              <w:t xml:space="preserve"> </w:t>
            </w:r>
            <w:r>
              <w:rPr>
                <w:sz w:val="20"/>
              </w:rPr>
              <w:t>Police</w:t>
            </w:r>
            <w:r>
              <w:rPr>
                <w:spacing w:val="-13"/>
                <w:sz w:val="20"/>
              </w:rPr>
              <w:t xml:space="preserve"> </w:t>
            </w:r>
            <w:r>
              <w:rPr>
                <w:sz w:val="20"/>
              </w:rPr>
              <w:t>information</w:t>
            </w:r>
            <w:r>
              <w:rPr>
                <w:spacing w:val="-14"/>
                <w:sz w:val="20"/>
              </w:rPr>
              <w:t xml:space="preserve"> </w:t>
            </w:r>
            <w:r>
              <w:rPr>
                <w:sz w:val="20"/>
              </w:rPr>
              <w:t xml:space="preserve">Management </w:t>
            </w:r>
            <w:r>
              <w:rPr>
                <w:spacing w:val="-2"/>
                <w:sz w:val="20"/>
              </w:rPr>
              <w:t>Systems</w:t>
            </w:r>
          </w:p>
        </w:tc>
        <w:tc>
          <w:tcPr>
            <w:tcW w:w="2846" w:type="dxa"/>
            <w:tcBorders>
              <w:top w:val="single" w:sz="4" w:space="0" w:color="0064BB"/>
              <w:bottom w:val="single" w:sz="4" w:space="0" w:color="0064BB"/>
            </w:tcBorders>
          </w:tcPr>
          <w:p w14:paraId="69FECC51"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7E31D169" w14:textId="77777777">
        <w:trPr>
          <w:trHeight w:val="388"/>
        </w:trPr>
        <w:tc>
          <w:tcPr>
            <w:tcW w:w="708" w:type="dxa"/>
            <w:tcBorders>
              <w:top w:val="single" w:sz="4" w:space="0" w:color="0064BB"/>
              <w:bottom w:val="single" w:sz="4" w:space="0" w:color="0064BB"/>
            </w:tcBorders>
            <w:shd w:val="clear" w:color="auto" w:fill="F1F1F1"/>
          </w:tcPr>
          <w:p w14:paraId="3542F645" w14:textId="77777777" w:rsidR="009C36E3" w:rsidRDefault="000E7207">
            <w:pPr>
              <w:pStyle w:val="TableParagraph"/>
              <w:spacing w:before="80"/>
              <w:rPr>
                <w:b/>
                <w:sz w:val="18"/>
              </w:rPr>
            </w:pPr>
            <w:r>
              <w:rPr>
                <w:b/>
                <w:spacing w:val="-5"/>
                <w:sz w:val="18"/>
              </w:rPr>
              <w:t>25</w:t>
            </w:r>
          </w:p>
        </w:tc>
        <w:tc>
          <w:tcPr>
            <w:tcW w:w="2526" w:type="dxa"/>
            <w:tcBorders>
              <w:top w:val="single" w:sz="4" w:space="0" w:color="0064BB"/>
              <w:bottom w:val="single" w:sz="4" w:space="0" w:color="0064BB"/>
            </w:tcBorders>
          </w:tcPr>
          <w:p w14:paraId="64EE7B6C" w14:textId="77777777" w:rsidR="009C36E3" w:rsidRDefault="000E7207">
            <w:pPr>
              <w:pStyle w:val="TableParagraph"/>
              <w:ind w:left="108"/>
              <w:rPr>
                <w:sz w:val="20"/>
              </w:rPr>
            </w:pPr>
            <w:r>
              <w:rPr>
                <w:sz w:val="20"/>
              </w:rPr>
              <w:t>Donald</w:t>
            </w:r>
            <w:r>
              <w:rPr>
                <w:spacing w:val="-10"/>
                <w:sz w:val="20"/>
              </w:rPr>
              <w:t xml:space="preserve"> </w:t>
            </w:r>
            <w:r>
              <w:rPr>
                <w:spacing w:val="-2"/>
                <w:sz w:val="20"/>
              </w:rPr>
              <w:t>James</w:t>
            </w:r>
          </w:p>
        </w:tc>
        <w:tc>
          <w:tcPr>
            <w:tcW w:w="4125" w:type="dxa"/>
            <w:tcBorders>
              <w:top w:val="single" w:sz="4" w:space="0" w:color="0064BB"/>
              <w:bottom w:val="single" w:sz="4" w:space="0" w:color="0064BB"/>
            </w:tcBorders>
          </w:tcPr>
          <w:p w14:paraId="2C01CD94" w14:textId="77777777" w:rsidR="009C36E3" w:rsidRDefault="000E7207">
            <w:pPr>
              <w:pStyle w:val="TableParagraph"/>
              <w:ind w:left="418"/>
              <w:rPr>
                <w:sz w:val="20"/>
              </w:rPr>
            </w:pPr>
            <w:r>
              <w:rPr>
                <w:sz w:val="20"/>
              </w:rPr>
              <w:t>Director</w:t>
            </w:r>
            <w:r>
              <w:rPr>
                <w:spacing w:val="-7"/>
                <w:sz w:val="20"/>
              </w:rPr>
              <w:t xml:space="preserve"> </w:t>
            </w:r>
            <w:r>
              <w:rPr>
                <w:sz w:val="20"/>
              </w:rPr>
              <w:t>CID</w:t>
            </w:r>
            <w:r>
              <w:rPr>
                <w:spacing w:val="-4"/>
                <w:sz w:val="20"/>
              </w:rPr>
              <w:t xml:space="preserve"> </w:t>
            </w:r>
            <w:r>
              <w:rPr>
                <w:sz w:val="20"/>
              </w:rPr>
              <w:t>-</w:t>
            </w:r>
            <w:r>
              <w:rPr>
                <w:spacing w:val="-6"/>
                <w:sz w:val="20"/>
              </w:rPr>
              <w:t xml:space="preserve"> </w:t>
            </w:r>
            <w:r>
              <w:rPr>
                <w:sz w:val="20"/>
              </w:rPr>
              <w:t>Criminal</w:t>
            </w:r>
            <w:r>
              <w:rPr>
                <w:spacing w:val="-8"/>
                <w:sz w:val="20"/>
              </w:rPr>
              <w:t xml:space="preserve"> </w:t>
            </w:r>
            <w:r>
              <w:rPr>
                <w:spacing w:val="-2"/>
                <w:sz w:val="20"/>
              </w:rPr>
              <w:t>Investigations</w:t>
            </w:r>
          </w:p>
        </w:tc>
        <w:tc>
          <w:tcPr>
            <w:tcW w:w="2846" w:type="dxa"/>
            <w:tcBorders>
              <w:top w:val="single" w:sz="4" w:space="0" w:color="0064BB"/>
              <w:bottom w:val="single" w:sz="4" w:space="0" w:color="0064BB"/>
            </w:tcBorders>
          </w:tcPr>
          <w:p w14:paraId="5C387D75"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3C415CB6" w14:textId="77777777">
        <w:trPr>
          <w:trHeight w:val="390"/>
        </w:trPr>
        <w:tc>
          <w:tcPr>
            <w:tcW w:w="708" w:type="dxa"/>
            <w:tcBorders>
              <w:top w:val="single" w:sz="4" w:space="0" w:color="0064BB"/>
              <w:bottom w:val="single" w:sz="4" w:space="0" w:color="0064BB"/>
            </w:tcBorders>
            <w:shd w:val="clear" w:color="auto" w:fill="F1F1F1"/>
          </w:tcPr>
          <w:p w14:paraId="583B962A" w14:textId="77777777" w:rsidR="009C36E3" w:rsidRDefault="000E7207">
            <w:pPr>
              <w:pStyle w:val="TableParagraph"/>
              <w:spacing w:before="83"/>
              <w:rPr>
                <w:b/>
                <w:sz w:val="18"/>
              </w:rPr>
            </w:pPr>
            <w:r>
              <w:rPr>
                <w:b/>
                <w:spacing w:val="-5"/>
                <w:sz w:val="18"/>
              </w:rPr>
              <w:t>26</w:t>
            </w:r>
          </w:p>
        </w:tc>
        <w:tc>
          <w:tcPr>
            <w:tcW w:w="2526" w:type="dxa"/>
            <w:tcBorders>
              <w:top w:val="single" w:sz="4" w:space="0" w:color="0064BB"/>
              <w:bottom w:val="single" w:sz="4" w:space="0" w:color="0064BB"/>
            </w:tcBorders>
          </w:tcPr>
          <w:p w14:paraId="00FCAE31" w14:textId="77777777" w:rsidR="009C36E3" w:rsidRDefault="000E7207">
            <w:pPr>
              <w:pStyle w:val="TableParagraph"/>
              <w:spacing w:before="81"/>
              <w:ind w:left="108"/>
              <w:rPr>
                <w:sz w:val="20"/>
              </w:rPr>
            </w:pPr>
            <w:r>
              <w:rPr>
                <w:sz w:val="20"/>
              </w:rPr>
              <w:t>Lilly</w:t>
            </w:r>
            <w:r>
              <w:rPr>
                <w:spacing w:val="-7"/>
                <w:sz w:val="20"/>
              </w:rPr>
              <w:t xml:space="preserve"> </w:t>
            </w:r>
            <w:r>
              <w:rPr>
                <w:spacing w:val="-4"/>
                <w:sz w:val="20"/>
              </w:rPr>
              <w:t>Joel</w:t>
            </w:r>
          </w:p>
        </w:tc>
        <w:tc>
          <w:tcPr>
            <w:tcW w:w="4125" w:type="dxa"/>
            <w:tcBorders>
              <w:top w:val="single" w:sz="4" w:space="0" w:color="0064BB"/>
              <w:bottom w:val="single" w:sz="4" w:space="0" w:color="0064BB"/>
            </w:tcBorders>
          </w:tcPr>
          <w:p w14:paraId="78B3349C" w14:textId="77777777" w:rsidR="009C36E3" w:rsidRDefault="000E7207">
            <w:pPr>
              <w:pStyle w:val="TableParagraph"/>
              <w:spacing w:before="81"/>
              <w:ind w:left="418"/>
              <w:rPr>
                <w:sz w:val="20"/>
              </w:rPr>
            </w:pPr>
            <w:r>
              <w:rPr>
                <w:sz w:val="20"/>
              </w:rPr>
              <w:t>Family</w:t>
            </w:r>
            <w:r>
              <w:rPr>
                <w:spacing w:val="-10"/>
                <w:sz w:val="20"/>
              </w:rPr>
              <w:t xml:space="preserve"> </w:t>
            </w:r>
            <w:r>
              <w:rPr>
                <w:sz w:val="20"/>
              </w:rPr>
              <w:t>Protection</w:t>
            </w:r>
            <w:r>
              <w:rPr>
                <w:spacing w:val="-10"/>
                <w:sz w:val="20"/>
              </w:rPr>
              <w:t xml:space="preserve"> </w:t>
            </w:r>
            <w:r>
              <w:rPr>
                <w:spacing w:val="-4"/>
                <w:sz w:val="20"/>
              </w:rPr>
              <w:t>Unit</w:t>
            </w:r>
          </w:p>
        </w:tc>
        <w:tc>
          <w:tcPr>
            <w:tcW w:w="2846" w:type="dxa"/>
            <w:tcBorders>
              <w:top w:val="single" w:sz="4" w:space="0" w:color="0064BB"/>
              <w:bottom w:val="single" w:sz="4" w:space="0" w:color="0064BB"/>
            </w:tcBorders>
          </w:tcPr>
          <w:p w14:paraId="0DF64853" w14:textId="77777777" w:rsidR="009C36E3" w:rsidRDefault="000E7207">
            <w:pPr>
              <w:pStyle w:val="TableParagraph"/>
              <w:spacing w:before="81"/>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5CDACBB9" w14:textId="77777777">
        <w:trPr>
          <w:trHeight w:val="390"/>
        </w:trPr>
        <w:tc>
          <w:tcPr>
            <w:tcW w:w="708" w:type="dxa"/>
            <w:tcBorders>
              <w:top w:val="single" w:sz="4" w:space="0" w:color="0064BB"/>
              <w:bottom w:val="single" w:sz="4" w:space="0" w:color="0064BB"/>
            </w:tcBorders>
            <w:shd w:val="clear" w:color="auto" w:fill="F1F1F1"/>
          </w:tcPr>
          <w:p w14:paraId="328E93AD" w14:textId="77777777" w:rsidR="009C36E3" w:rsidRDefault="000E7207">
            <w:pPr>
              <w:pStyle w:val="TableParagraph"/>
              <w:spacing w:before="80"/>
              <w:rPr>
                <w:b/>
                <w:sz w:val="18"/>
              </w:rPr>
            </w:pPr>
            <w:r>
              <w:rPr>
                <w:b/>
                <w:spacing w:val="-5"/>
                <w:sz w:val="18"/>
              </w:rPr>
              <w:t>27</w:t>
            </w:r>
          </w:p>
        </w:tc>
        <w:tc>
          <w:tcPr>
            <w:tcW w:w="2526" w:type="dxa"/>
            <w:tcBorders>
              <w:top w:val="single" w:sz="4" w:space="0" w:color="0064BB"/>
              <w:bottom w:val="single" w:sz="4" w:space="0" w:color="0064BB"/>
            </w:tcBorders>
          </w:tcPr>
          <w:p w14:paraId="22C41A5B" w14:textId="77777777" w:rsidR="009C36E3" w:rsidRDefault="000E7207">
            <w:pPr>
              <w:pStyle w:val="TableParagraph"/>
              <w:ind w:left="108"/>
              <w:rPr>
                <w:sz w:val="20"/>
              </w:rPr>
            </w:pPr>
            <w:r>
              <w:rPr>
                <w:sz w:val="20"/>
              </w:rPr>
              <w:t>Judy</w:t>
            </w:r>
            <w:r>
              <w:rPr>
                <w:spacing w:val="-6"/>
                <w:sz w:val="20"/>
              </w:rPr>
              <w:t xml:space="preserve"> </w:t>
            </w:r>
            <w:r>
              <w:rPr>
                <w:spacing w:val="-4"/>
                <w:sz w:val="20"/>
              </w:rPr>
              <w:t>Bule</w:t>
            </w:r>
          </w:p>
        </w:tc>
        <w:tc>
          <w:tcPr>
            <w:tcW w:w="4125" w:type="dxa"/>
            <w:tcBorders>
              <w:top w:val="single" w:sz="4" w:space="0" w:color="0064BB"/>
              <w:bottom w:val="single" w:sz="4" w:space="0" w:color="0064BB"/>
            </w:tcBorders>
          </w:tcPr>
          <w:p w14:paraId="5833EBF9" w14:textId="77777777" w:rsidR="009C36E3" w:rsidRDefault="000E7207">
            <w:pPr>
              <w:pStyle w:val="TableParagraph"/>
              <w:ind w:left="418"/>
              <w:rPr>
                <w:sz w:val="20"/>
              </w:rPr>
            </w:pPr>
            <w:r>
              <w:rPr>
                <w:sz w:val="20"/>
              </w:rPr>
              <w:t>WAN</w:t>
            </w:r>
            <w:r>
              <w:rPr>
                <w:spacing w:val="-5"/>
                <w:sz w:val="20"/>
              </w:rPr>
              <w:t xml:space="preserve"> </w:t>
            </w:r>
            <w:r>
              <w:rPr>
                <w:spacing w:val="-2"/>
                <w:sz w:val="20"/>
              </w:rPr>
              <w:t>President</w:t>
            </w:r>
          </w:p>
        </w:tc>
        <w:tc>
          <w:tcPr>
            <w:tcW w:w="2846" w:type="dxa"/>
            <w:tcBorders>
              <w:top w:val="single" w:sz="4" w:space="0" w:color="0064BB"/>
              <w:bottom w:val="single" w:sz="4" w:space="0" w:color="0064BB"/>
            </w:tcBorders>
          </w:tcPr>
          <w:p w14:paraId="5AF0A445"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bl>
    <w:p w14:paraId="50C65E2F" w14:textId="77777777" w:rsidR="009C36E3" w:rsidRDefault="009C36E3">
      <w:pPr>
        <w:rPr>
          <w:sz w:val="20"/>
        </w:rPr>
        <w:sectPr w:rsidR="009C36E3">
          <w:pgSz w:w="11910" w:h="16850"/>
          <w:pgMar w:top="1040" w:right="740" w:bottom="740" w:left="80" w:header="552" w:footer="559" w:gutter="0"/>
          <w:cols w:space="720"/>
        </w:sectPr>
      </w:pPr>
    </w:p>
    <w:tbl>
      <w:tblPr>
        <w:tblW w:w="0" w:type="auto"/>
        <w:tblInd w:w="779" w:type="dxa"/>
        <w:tblLayout w:type="fixed"/>
        <w:tblCellMar>
          <w:left w:w="0" w:type="dxa"/>
          <w:right w:w="0" w:type="dxa"/>
        </w:tblCellMar>
        <w:tblLook w:val="01E0" w:firstRow="1" w:lastRow="1" w:firstColumn="1" w:lastColumn="1" w:noHBand="0" w:noVBand="0"/>
      </w:tblPr>
      <w:tblGrid>
        <w:gridCol w:w="708"/>
        <w:gridCol w:w="2543"/>
        <w:gridCol w:w="4108"/>
        <w:gridCol w:w="2846"/>
      </w:tblGrid>
      <w:tr w:rsidR="00963BD9" w14:paraId="45386471" w14:textId="77777777" w:rsidTr="00E72545">
        <w:trPr>
          <w:trHeight w:val="405"/>
        </w:trPr>
        <w:tc>
          <w:tcPr>
            <w:tcW w:w="708" w:type="dxa"/>
            <w:shd w:val="clear" w:color="auto" w:fill="0064BB"/>
          </w:tcPr>
          <w:p w14:paraId="67A0D695" w14:textId="74625ECF" w:rsidR="00963BD9" w:rsidRDefault="00963BD9" w:rsidP="00963BD9">
            <w:pPr>
              <w:pStyle w:val="TableParagraph"/>
              <w:spacing w:before="91"/>
              <w:rPr>
                <w:b/>
                <w:sz w:val="20"/>
              </w:rPr>
            </w:pPr>
            <w:r w:rsidRPr="00963BD9">
              <w:rPr>
                <w:b/>
                <w:color w:val="FFFFFF" w:themeColor="background1"/>
                <w:sz w:val="20"/>
              </w:rPr>
              <w:t>No.</w:t>
            </w:r>
          </w:p>
        </w:tc>
        <w:tc>
          <w:tcPr>
            <w:tcW w:w="2543" w:type="dxa"/>
            <w:shd w:val="clear" w:color="auto" w:fill="0064BB"/>
            <w:vAlign w:val="center"/>
          </w:tcPr>
          <w:p w14:paraId="2054F6AF" w14:textId="7CDC331E" w:rsidR="00963BD9" w:rsidRDefault="00963BD9" w:rsidP="00963BD9">
            <w:pPr>
              <w:pStyle w:val="TableParagraph"/>
              <w:spacing w:before="0"/>
              <w:ind w:left="0"/>
              <w:rPr>
                <w:rFonts w:ascii="Times New Roman"/>
                <w:sz w:val="18"/>
              </w:rPr>
            </w:pPr>
            <w:r>
              <w:rPr>
                <w:b/>
                <w:color w:val="FFFFFF"/>
                <w:spacing w:val="-4"/>
                <w:sz w:val="20"/>
              </w:rPr>
              <w:t>Name</w:t>
            </w:r>
          </w:p>
        </w:tc>
        <w:tc>
          <w:tcPr>
            <w:tcW w:w="4108" w:type="dxa"/>
            <w:shd w:val="clear" w:color="auto" w:fill="0064BB"/>
          </w:tcPr>
          <w:p w14:paraId="76886845" w14:textId="77777777" w:rsidR="00963BD9" w:rsidRDefault="00963BD9" w:rsidP="00963BD9">
            <w:pPr>
              <w:pStyle w:val="TableParagraph"/>
              <w:spacing w:before="91"/>
              <w:ind w:left="401"/>
              <w:rPr>
                <w:b/>
                <w:sz w:val="20"/>
              </w:rPr>
            </w:pPr>
            <w:r>
              <w:rPr>
                <w:b/>
                <w:color w:val="FFFFFF"/>
                <w:spacing w:val="-2"/>
                <w:sz w:val="20"/>
              </w:rPr>
              <w:t>Position</w:t>
            </w:r>
          </w:p>
        </w:tc>
        <w:tc>
          <w:tcPr>
            <w:tcW w:w="2846" w:type="dxa"/>
            <w:shd w:val="clear" w:color="auto" w:fill="0064BB"/>
          </w:tcPr>
          <w:p w14:paraId="6A1510F5" w14:textId="77777777" w:rsidR="00963BD9" w:rsidRDefault="00963BD9" w:rsidP="00963BD9">
            <w:pPr>
              <w:pStyle w:val="TableParagraph"/>
              <w:spacing w:before="91"/>
              <w:ind w:left="119"/>
              <w:rPr>
                <w:b/>
                <w:sz w:val="20"/>
              </w:rPr>
            </w:pPr>
            <w:r>
              <w:rPr>
                <w:b/>
                <w:color w:val="FFFFFF"/>
                <w:spacing w:val="-2"/>
                <w:sz w:val="20"/>
              </w:rPr>
              <w:t>Organisation</w:t>
            </w:r>
          </w:p>
        </w:tc>
      </w:tr>
      <w:tr w:rsidR="009C36E3" w14:paraId="17A8C87C" w14:textId="77777777">
        <w:trPr>
          <w:trHeight w:val="385"/>
        </w:trPr>
        <w:tc>
          <w:tcPr>
            <w:tcW w:w="708" w:type="dxa"/>
            <w:tcBorders>
              <w:top w:val="single" w:sz="4" w:space="0" w:color="0064BB"/>
              <w:bottom w:val="single" w:sz="4" w:space="0" w:color="0064BB"/>
            </w:tcBorders>
            <w:shd w:val="clear" w:color="auto" w:fill="F1F1F1"/>
          </w:tcPr>
          <w:p w14:paraId="1F7209EF" w14:textId="77777777" w:rsidR="009C36E3" w:rsidRDefault="000E7207">
            <w:pPr>
              <w:pStyle w:val="TableParagraph"/>
              <w:spacing w:before="75"/>
              <w:rPr>
                <w:b/>
                <w:sz w:val="18"/>
              </w:rPr>
            </w:pPr>
            <w:r>
              <w:rPr>
                <w:b/>
                <w:spacing w:val="-5"/>
                <w:sz w:val="18"/>
              </w:rPr>
              <w:t>28</w:t>
            </w:r>
          </w:p>
        </w:tc>
        <w:tc>
          <w:tcPr>
            <w:tcW w:w="2543" w:type="dxa"/>
            <w:tcBorders>
              <w:top w:val="single" w:sz="4" w:space="0" w:color="0064BB"/>
              <w:bottom w:val="single" w:sz="4" w:space="0" w:color="0064BB"/>
            </w:tcBorders>
          </w:tcPr>
          <w:p w14:paraId="74F3E937" w14:textId="77777777" w:rsidR="009C36E3" w:rsidRDefault="000E7207">
            <w:pPr>
              <w:pStyle w:val="TableParagraph"/>
              <w:spacing w:before="74"/>
              <w:ind w:left="108"/>
              <w:rPr>
                <w:sz w:val="20"/>
              </w:rPr>
            </w:pPr>
            <w:r>
              <w:rPr>
                <w:sz w:val="20"/>
              </w:rPr>
              <w:t>Dora</w:t>
            </w:r>
            <w:r>
              <w:rPr>
                <w:spacing w:val="-7"/>
                <w:sz w:val="20"/>
              </w:rPr>
              <w:t xml:space="preserve"> </w:t>
            </w:r>
            <w:r>
              <w:rPr>
                <w:spacing w:val="-4"/>
                <w:sz w:val="20"/>
              </w:rPr>
              <w:t>Sahe</w:t>
            </w:r>
          </w:p>
        </w:tc>
        <w:tc>
          <w:tcPr>
            <w:tcW w:w="4108" w:type="dxa"/>
            <w:tcBorders>
              <w:top w:val="single" w:sz="4" w:space="0" w:color="0064BB"/>
              <w:bottom w:val="single" w:sz="4" w:space="0" w:color="0064BB"/>
            </w:tcBorders>
          </w:tcPr>
          <w:p w14:paraId="4C46E98D" w14:textId="77777777" w:rsidR="009C36E3" w:rsidRDefault="000E7207">
            <w:pPr>
              <w:pStyle w:val="TableParagraph"/>
              <w:spacing w:before="74"/>
              <w:ind w:left="401"/>
              <w:rPr>
                <w:sz w:val="20"/>
              </w:rPr>
            </w:pPr>
            <w:r>
              <w:rPr>
                <w:sz w:val="20"/>
              </w:rPr>
              <w:t>Former</w:t>
            </w:r>
            <w:r>
              <w:rPr>
                <w:spacing w:val="-9"/>
                <w:sz w:val="20"/>
              </w:rPr>
              <w:t xml:space="preserve"> </w:t>
            </w:r>
            <w:r>
              <w:rPr>
                <w:sz w:val="20"/>
              </w:rPr>
              <w:t>WAN</w:t>
            </w:r>
            <w:r>
              <w:rPr>
                <w:spacing w:val="-4"/>
                <w:sz w:val="20"/>
              </w:rPr>
              <w:t xml:space="preserve"> </w:t>
            </w:r>
            <w:r>
              <w:rPr>
                <w:sz w:val="20"/>
              </w:rPr>
              <w:t>President;</w:t>
            </w:r>
            <w:r>
              <w:rPr>
                <w:spacing w:val="-7"/>
                <w:sz w:val="20"/>
              </w:rPr>
              <w:t xml:space="preserve"> </w:t>
            </w:r>
            <w:r>
              <w:rPr>
                <w:sz w:val="20"/>
              </w:rPr>
              <w:t>HR</w:t>
            </w:r>
            <w:r>
              <w:rPr>
                <w:spacing w:val="-7"/>
                <w:sz w:val="20"/>
              </w:rPr>
              <w:t xml:space="preserve"> </w:t>
            </w:r>
            <w:r>
              <w:rPr>
                <w:spacing w:val="-2"/>
                <w:sz w:val="20"/>
              </w:rPr>
              <w:t>Officer</w:t>
            </w:r>
          </w:p>
        </w:tc>
        <w:tc>
          <w:tcPr>
            <w:tcW w:w="2846" w:type="dxa"/>
            <w:tcBorders>
              <w:top w:val="single" w:sz="4" w:space="0" w:color="0064BB"/>
              <w:bottom w:val="single" w:sz="4" w:space="0" w:color="0064BB"/>
            </w:tcBorders>
          </w:tcPr>
          <w:p w14:paraId="577AA8C1" w14:textId="77777777" w:rsidR="009C36E3" w:rsidRDefault="000E7207">
            <w:pPr>
              <w:pStyle w:val="TableParagraph"/>
              <w:spacing w:before="74"/>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0690BBE1" w14:textId="77777777">
        <w:trPr>
          <w:trHeight w:val="388"/>
        </w:trPr>
        <w:tc>
          <w:tcPr>
            <w:tcW w:w="708" w:type="dxa"/>
            <w:tcBorders>
              <w:top w:val="single" w:sz="4" w:space="0" w:color="0064BB"/>
              <w:bottom w:val="single" w:sz="4" w:space="0" w:color="0064BB"/>
            </w:tcBorders>
            <w:shd w:val="clear" w:color="auto" w:fill="F1F1F1"/>
          </w:tcPr>
          <w:p w14:paraId="412004C1" w14:textId="77777777" w:rsidR="009C36E3" w:rsidRDefault="000E7207">
            <w:pPr>
              <w:pStyle w:val="TableParagraph"/>
              <w:spacing w:before="80"/>
              <w:rPr>
                <w:b/>
                <w:sz w:val="18"/>
              </w:rPr>
            </w:pPr>
            <w:r>
              <w:rPr>
                <w:b/>
                <w:spacing w:val="-5"/>
                <w:sz w:val="18"/>
              </w:rPr>
              <w:t>29</w:t>
            </w:r>
          </w:p>
        </w:tc>
        <w:tc>
          <w:tcPr>
            <w:tcW w:w="2543" w:type="dxa"/>
            <w:tcBorders>
              <w:top w:val="single" w:sz="4" w:space="0" w:color="0064BB"/>
              <w:bottom w:val="single" w:sz="4" w:space="0" w:color="0064BB"/>
            </w:tcBorders>
          </w:tcPr>
          <w:p w14:paraId="04633370" w14:textId="77777777" w:rsidR="009C36E3" w:rsidRDefault="000E7207">
            <w:pPr>
              <w:pStyle w:val="TableParagraph"/>
              <w:ind w:left="108"/>
              <w:rPr>
                <w:sz w:val="20"/>
              </w:rPr>
            </w:pPr>
            <w:r>
              <w:rPr>
                <w:sz w:val="20"/>
              </w:rPr>
              <w:t>Leisavi</w:t>
            </w:r>
            <w:r>
              <w:rPr>
                <w:spacing w:val="-10"/>
                <w:sz w:val="20"/>
              </w:rPr>
              <w:t xml:space="preserve"> </w:t>
            </w:r>
            <w:r>
              <w:rPr>
                <w:spacing w:val="-4"/>
                <w:sz w:val="20"/>
              </w:rPr>
              <w:t>Vira</w:t>
            </w:r>
          </w:p>
        </w:tc>
        <w:tc>
          <w:tcPr>
            <w:tcW w:w="4108" w:type="dxa"/>
            <w:tcBorders>
              <w:top w:val="single" w:sz="4" w:space="0" w:color="0064BB"/>
              <w:bottom w:val="single" w:sz="4" w:space="0" w:color="0064BB"/>
            </w:tcBorders>
          </w:tcPr>
          <w:p w14:paraId="6CB90290" w14:textId="77777777" w:rsidR="009C36E3" w:rsidRDefault="000E7207">
            <w:pPr>
              <w:pStyle w:val="TableParagraph"/>
              <w:ind w:left="401"/>
              <w:rPr>
                <w:sz w:val="20"/>
              </w:rPr>
            </w:pPr>
            <w:r>
              <w:rPr>
                <w:sz w:val="20"/>
              </w:rPr>
              <w:t>WAN</w:t>
            </w:r>
            <w:r>
              <w:rPr>
                <w:spacing w:val="-5"/>
                <w:sz w:val="20"/>
              </w:rPr>
              <w:t xml:space="preserve"> </w:t>
            </w:r>
            <w:r>
              <w:rPr>
                <w:sz w:val="20"/>
              </w:rPr>
              <w:t>Member;</w:t>
            </w:r>
            <w:r>
              <w:rPr>
                <w:spacing w:val="-6"/>
                <w:sz w:val="20"/>
              </w:rPr>
              <w:t xml:space="preserve"> </w:t>
            </w:r>
            <w:r>
              <w:rPr>
                <w:sz w:val="20"/>
              </w:rPr>
              <w:t>Data</w:t>
            </w:r>
            <w:r>
              <w:rPr>
                <w:spacing w:val="-7"/>
                <w:sz w:val="20"/>
              </w:rPr>
              <w:t xml:space="preserve"> </w:t>
            </w:r>
            <w:r>
              <w:rPr>
                <w:spacing w:val="-2"/>
                <w:sz w:val="20"/>
              </w:rPr>
              <w:t>officer</w:t>
            </w:r>
          </w:p>
        </w:tc>
        <w:tc>
          <w:tcPr>
            <w:tcW w:w="2846" w:type="dxa"/>
            <w:tcBorders>
              <w:top w:val="single" w:sz="4" w:space="0" w:color="0064BB"/>
              <w:bottom w:val="single" w:sz="4" w:space="0" w:color="0064BB"/>
            </w:tcBorders>
          </w:tcPr>
          <w:p w14:paraId="10A434F8"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52ACEE2B" w14:textId="77777777">
        <w:trPr>
          <w:trHeight w:val="390"/>
        </w:trPr>
        <w:tc>
          <w:tcPr>
            <w:tcW w:w="708" w:type="dxa"/>
            <w:tcBorders>
              <w:top w:val="single" w:sz="4" w:space="0" w:color="0064BB"/>
              <w:bottom w:val="single" w:sz="4" w:space="0" w:color="0064BB"/>
            </w:tcBorders>
            <w:shd w:val="clear" w:color="auto" w:fill="F1F1F1"/>
          </w:tcPr>
          <w:p w14:paraId="79845989" w14:textId="77777777" w:rsidR="009C36E3" w:rsidRDefault="000E7207">
            <w:pPr>
              <w:pStyle w:val="TableParagraph"/>
              <w:spacing w:before="83"/>
              <w:rPr>
                <w:b/>
                <w:sz w:val="18"/>
              </w:rPr>
            </w:pPr>
            <w:r>
              <w:rPr>
                <w:b/>
                <w:spacing w:val="-5"/>
                <w:sz w:val="18"/>
              </w:rPr>
              <w:t>30</w:t>
            </w:r>
          </w:p>
        </w:tc>
        <w:tc>
          <w:tcPr>
            <w:tcW w:w="2543" w:type="dxa"/>
            <w:tcBorders>
              <w:top w:val="single" w:sz="4" w:space="0" w:color="0064BB"/>
              <w:bottom w:val="single" w:sz="4" w:space="0" w:color="0064BB"/>
            </w:tcBorders>
          </w:tcPr>
          <w:p w14:paraId="656BE2D0" w14:textId="77777777" w:rsidR="009C36E3" w:rsidRDefault="000E7207">
            <w:pPr>
              <w:pStyle w:val="TableParagraph"/>
              <w:spacing w:before="81"/>
              <w:ind w:left="108"/>
              <w:rPr>
                <w:sz w:val="20"/>
              </w:rPr>
            </w:pPr>
            <w:r>
              <w:rPr>
                <w:sz w:val="20"/>
              </w:rPr>
              <w:t>Jackson</w:t>
            </w:r>
            <w:r>
              <w:rPr>
                <w:spacing w:val="-7"/>
                <w:sz w:val="20"/>
              </w:rPr>
              <w:t xml:space="preserve"> </w:t>
            </w:r>
            <w:r>
              <w:rPr>
                <w:spacing w:val="-4"/>
                <w:sz w:val="20"/>
              </w:rPr>
              <w:t>Noel</w:t>
            </w:r>
          </w:p>
        </w:tc>
        <w:tc>
          <w:tcPr>
            <w:tcW w:w="4108" w:type="dxa"/>
            <w:tcBorders>
              <w:top w:val="single" w:sz="4" w:space="0" w:color="0064BB"/>
              <w:bottom w:val="single" w:sz="4" w:space="0" w:color="0064BB"/>
            </w:tcBorders>
          </w:tcPr>
          <w:p w14:paraId="76E9441D" w14:textId="77777777" w:rsidR="009C36E3" w:rsidRDefault="000E7207">
            <w:pPr>
              <w:pStyle w:val="TableParagraph"/>
              <w:spacing w:before="81"/>
              <w:ind w:left="401"/>
              <w:rPr>
                <w:sz w:val="20"/>
              </w:rPr>
            </w:pPr>
            <w:r>
              <w:rPr>
                <w:sz w:val="20"/>
              </w:rPr>
              <w:t>Commander</w:t>
            </w:r>
            <w:r>
              <w:rPr>
                <w:spacing w:val="-14"/>
                <w:sz w:val="20"/>
              </w:rPr>
              <w:t xml:space="preserve"> </w:t>
            </w:r>
            <w:r>
              <w:rPr>
                <w:spacing w:val="-2"/>
                <w:sz w:val="20"/>
              </w:rPr>
              <w:t>South</w:t>
            </w:r>
          </w:p>
        </w:tc>
        <w:tc>
          <w:tcPr>
            <w:tcW w:w="2846" w:type="dxa"/>
            <w:tcBorders>
              <w:top w:val="single" w:sz="4" w:space="0" w:color="0064BB"/>
              <w:bottom w:val="single" w:sz="4" w:space="0" w:color="0064BB"/>
            </w:tcBorders>
          </w:tcPr>
          <w:p w14:paraId="6DE704B8" w14:textId="77777777" w:rsidR="009C36E3" w:rsidRDefault="000E7207">
            <w:pPr>
              <w:pStyle w:val="TableParagraph"/>
              <w:spacing w:before="81"/>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70E53D6A" w14:textId="77777777">
        <w:trPr>
          <w:trHeight w:val="390"/>
        </w:trPr>
        <w:tc>
          <w:tcPr>
            <w:tcW w:w="708" w:type="dxa"/>
            <w:tcBorders>
              <w:top w:val="single" w:sz="4" w:space="0" w:color="0064BB"/>
              <w:bottom w:val="single" w:sz="4" w:space="0" w:color="0064BB"/>
            </w:tcBorders>
            <w:shd w:val="clear" w:color="auto" w:fill="F1F1F1"/>
          </w:tcPr>
          <w:p w14:paraId="4F39D40B" w14:textId="77777777" w:rsidR="009C36E3" w:rsidRDefault="000E7207">
            <w:pPr>
              <w:pStyle w:val="TableParagraph"/>
              <w:spacing w:before="80"/>
              <w:rPr>
                <w:b/>
                <w:sz w:val="18"/>
              </w:rPr>
            </w:pPr>
            <w:r>
              <w:rPr>
                <w:b/>
                <w:spacing w:val="-5"/>
                <w:sz w:val="18"/>
              </w:rPr>
              <w:t>31</w:t>
            </w:r>
          </w:p>
        </w:tc>
        <w:tc>
          <w:tcPr>
            <w:tcW w:w="2543" w:type="dxa"/>
            <w:tcBorders>
              <w:top w:val="single" w:sz="4" w:space="0" w:color="0064BB"/>
              <w:bottom w:val="single" w:sz="4" w:space="0" w:color="0064BB"/>
            </w:tcBorders>
          </w:tcPr>
          <w:p w14:paraId="78887D77" w14:textId="77777777" w:rsidR="009C36E3" w:rsidRDefault="000E7207">
            <w:pPr>
              <w:pStyle w:val="TableParagraph"/>
              <w:ind w:left="108"/>
              <w:rPr>
                <w:sz w:val="20"/>
              </w:rPr>
            </w:pPr>
            <w:r>
              <w:rPr>
                <w:sz w:val="20"/>
              </w:rPr>
              <w:t>Allanrow</w:t>
            </w:r>
            <w:r>
              <w:rPr>
                <w:spacing w:val="-11"/>
                <w:sz w:val="20"/>
              </w:rPr>
              <w:t xml:space="preserve"> </w:t>
            </w:r>
            <w:r>
              <w:rPr>
                <w:spacing w:val="-4"/>
                <w:sz w:val="20"/>
              </w:rPr>
              <w:t>Bani</w:t>
            </w:r>
          </w:p>
        </w:tc>
        <w:tc>
          <w:tcPr>
            <w:tcW w:w="4108" w:type="dxa"/>
            <w:tcBorders>
              <w:top w:val="single" w:sz="4" w:space="0" w:color="0064BB"/>
              <w:bottom w:val="single" w:sz="4" w:space="0" w:color="0064BB"/>
            </w:tcBorders>
          </w:tcPr>
          <w:p w14:paraId="27422569" w14:textId="77777777" w:rsidR="009C36E3" w:rsidRDefault="000E7207">
            <w:pPr>
              <w:pStyle w:val="TableParagraph"/>
              <w:ind w:left="401"/>
              <w:rPr>
                <w:sz w:val="20"/>
              </w:rPr>
            </w:pPr>
            <w:r>
              <w:rPr>
                <w:sz w:val="20"/>
              </w:rPr>
              <w:t>Deputy</w:t>
            </w:r>
            <w:r>
              <w:rPr>
                <w:spacing w:val="-10"/>
                <w:sz w:val="20"/>
              </w:rPr>
              <w:t xml:space="preserve"> </w:t>
            </w:r>
            <w:r>
              <w:rPr>
                <w:sz w:val="20"/>
              </w:rPr>
              <w:t>Commander</w:t>
            </w:r>
            <w:r>
              <w:rPr>
                <w:spacing w:val="-10"/>
                <w:sz w:val="20"/>
              </w:rPr>
              <w:t xml:space="preserve"> </w:t>
            </w:r>
            <w:r>
              <w:rPr>
                <w:spacing w:val="-4"/>
                <w:sz w:val="20"/>
              </w:rPr>
              <w:t>South</w:t>
            </w:r>
          </w:p>
        </w:tc>
        <w:tc>
          <w:tcPr>
            <w:tcW w:w="2846" w:type="dxa"/>
            <w:tcBorders>
              <w:top w:val="single" w:sz="4" w:space="0" w:color="0064BB"/>
              <w:bottom w:val="single" w:sz="4" w:space="0" w:color="0064BB"/>
            </w:tcBorders>
          </w:tcPr>
          <w:p w14:paraId="2FA1E544"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1211018E" w14:textId="77777777">
        <w:trPr>
          <w:trHeight w:val="388"/>
        </w:trPr>
        <w:tc>
          <w:tcPr>
            <w:tcW w:w="708" w:type="dxa"/>
            <w:tcBorders>
              <w:top w:val="single" w:sz="4" w:space="0" w:color="0064BB"/>
              <w:bottom w:val="single" w:sz="4" w:space="0" w:color="0064BB"/>
            </w:tcBorders>
            <w:shd w:val="clear" w:color="auto" w:fill="F1F1F1"/>
          </w:tcPr>
          <w:p w14:paraId="2571F1F0" w14:textId="77777777" w:rsidR="009C36E3" w:rsidRDefault="000E7207">
            <w:pPr>
              <w:pStyle w:val="TableParagraph"/>
              <w:spacing w:before="80"/>
              <w:rPr>
                <w:b/>
                <w:sz w:val="18"/>
              </w:rPr>
            </w:pPr>
            <w:r>
              <w:rPr>
                <w:b/>
                <w:spacing w:val="-5"/>
                <w:sz w:val="18"/>
              </w:rPr>
              <w:t>32</w:t>
            </w:r>
          </w:p>
        </w:tc>
        <w:tc>
          <w:tcPr>
            <w:tcW w:w="2543" w:type="dxa"/>
            <w:tcBorders>
              <w:top w:val="single" w:sz="4" w:space="0" w:color="0064BB"/>
              <w:bottom w:val="single" w:sz="4" w:space="0" w:color="0064BB"/>
            </w:tcBorders>
          </w:tcPr>
          <w:p w14:paraId="1F5B435B" w14:textId="77777777" w:rsidR="009C36E3" w:rsidRDefault="000E7207">
            <w:pPr>
              <w:pStyle w:val="TableParagraph"/>
              <w:ind w:left="108"/>
              <w:rPr>
                <w:sz w:val="20"/>
              </w:rPr>
            </w:pPr>
            <w:r>
              <w:rPr>
                <w:sz w:val="20"/>
              </w:rPr>
              <w:t>James</w:t>
            </w:r>
            <w:r>
              <w:rPr>
                <w:spacing w:val="-8"/>
                <w:sz w:val="20"/>
              </w:rPr>
              <w:t xml:space="preserve"> </w:t>
            </w:r>
            <w:r>
              <w:rPr>
                <w:spacing w:val="-5"/>
                <w:sz w:val="20"/>
              </w:rPr>
              <w:t>Aru</w:t>
            </w:r>
          </w:p>
        </w:tc>
        <w:tc>
          <w:tcPr>
            <w:tcW w:w="4108" w:type="dxa"/>
            <w:tcBorders>
              <w:top w:val="single" w:sz="4" w:space="0" w:color="0064BB"/>
              <w:bottom w:val="single" w:sz="4" w:space="0" w:color="0064BB"/>
            </w:tcBorders>
          </w:tcPr>
          <w:p w14:paraId="0B33B242" w14:textId="77777777" w:rsidR="009C36E3" w:rsidRDefault="000E7207">
            <w:pPr>
              <w:pStyle w:val="TableParagraph"/>
              <w:ind w:left="401"/>
              <w:rPr>
                <w:sz w:val="20"/>
              </w:rPr>
            </w:pPr>
            <w:r>
              <w:rPr>
                <w:sz w:val="20"/>
              </w:rPr>
              <w:t>OC</w:t>
            </w:r>
            <w:r>
              <w:rPr>
                <w:spacing w:val="-6"/>
                <w:sz w:val="20"/>
              </w:rPr>
              <w:t xml:space="preserve"> </w:t>
            </w:r>
            <w:r>
              <w:rPr>
                <w:sz w:val="20"/>
              </w:rPr>
              <w:t>Port</w:t>
            </w:r>
            <w:r>
              <w:rPr>
                <w:spacing w:val="-5"/>
                <w:sz w:val="20"/>
              </w:rPr>
              <w:t xml:space="preserve"> </w:t>
            </w:r>
            <w:r>
              <w:rPr>
                <w:sz w:val="20"/>
              </w:rPr>
              <w:t>Vila</w:t>
            </w:r>
            <w:r>
              <w:rPr>
                <w:spacing w:val="-4"/>
                <w:sz w:val="20"/>
              </w:rPr>
              <w:t xml:space="preserve"> </w:t>
            </w:r>
            <w:r>
              <w:rPr>
                <w:sz w:val="20"/>
              </w:rPr>
              <w:t>Police</w:t>
            </w:r>
            <w:r>
              <w:rPr>
                <w:spacing w:val="-4"/>
                <w:sz w:val="20"/>
              </w:rPr>
              <w:t xml:space="preserve"> </w:t>
            </w:r>
            <w:r>
              <w:rPr>
                <w:spacing w:val="-2"/>
                <w:sz w:val="20"/>
              </w:rPr>
              <w:t>Station</w:t>
            </w:r>
          </w:p>
        </w:tc>
        <w:tc>
          <w:tcPr>
            <w:tcW w:w="2846" w:type="dxa"/>
            <w:tcBorders>
              <w:top w:val="single" w:sz="4" w:space="0" w:color="0064BB"/>
              <w:bottom w:val="single" w:sz="4" w:space="0" w:color="0064BB"/>
            </w:tcBorders>
          </w:tcPr>
          <w:p w14:paraId="594A4A4B"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66191EAB" w14:textId="77777777">
        <w:trPr>
          <w:trHeight w:val="390"/>
        </w:trPr>
        <w:tc>
          <w:tcPr>
            <w:tcW w:w="708" w:type="dxa"/>
            <w:tcBorders>
              <w:top w:val="single" w:sz="4" w:space="0" w:color="0064BB"/>
              <w:bottom w:val="single" w:sz="4" w:space="0" w:color="0064BB"/>
            </w:tcBorders>
            <w:shd w:val="clear" w:color="auto" w:fill="F1F1F1"/>
          </w:tcPr>
          <w:p w14:paraId="3175640D" w14:textId="77777777" w:rsidR="009C36E3" w:rsidRDefault="000E7207">
            <w:pPr>
              <w:pStyle w:val="TableParagraph"/>
              <w:spacing w:before="83"/>
              <w:rPr>
                <w:b/>
                <w:sz w:val="18"/>
              </w:rPr>
            </w:pPr>
            <w:r>
              <w:rPr>
                <w:b/>
                <w:spacing w:val="-5"/>
                <w:sz w:val="18"/>
              </w:rPr>
              <w:t>34</w:t>
            </w:r>
          </w:p>
        </w:tc>
        <w:tc>
          <w:tcPr>
            <w:tcW w:w="2543" w:type="dxa"/>
            <w:tcBorders>
              <w:top w:val="single" w:sz="4" w:space="0" w:color="0064BB"/>
              <w:bottom w:val="single" w:sz="4" w:space="0" w:color="0064BB"/>
            </w:tcBorders>
          </w:tcPr>
          <w:p w14:paraId="7F8C1ACA" w14:textId="77777777" w:rsidR="009C36E3" w:rsidRDefault="000E7207">
            <w:pPr>
              <w:pStyle w:val="TableParagraph"/>
              <w:spacing w:before="81"/>
              <w:ind w:left="108"/>
              <w:rPr>
                <w:sz w:val="20"/>
              </w:rPr>
            </w:pPr>
            <w:r>
              <w:rPr>
                <w:sz w:val="20"/>
              </w:rPr>
              <w:t>Rexton</w:t>
            </w:r>
            <w:r>
              <w:rPr>
                <w:spacing w:val="-8"/>
                <w:sz w:val="20"/>
              </w:rPr>
              <w:t xml:space="preserve"> </w:t>
            </w:r>
            <w:r>
              <w:rPr>
                <w:spacing w:val="-2"/>
                <w:sz w:val="20"/>
              </w:rPr>
              <w:t>Langdon</w:t>
            </w:r>
          </w:p>
        </w:tc>
        <w:tc>
          <w:tcPr>
            <w:tcW w:w="4108" w:type="dxa"/>
            <w:tcBorders>
              <w:top w:val="single" w:sz="4" w:space="0" w:color="0064BB"/>
              <w:bottom w:val="single" w:sz="4" w:space="0" w:color="0064BB"/>
            </w:tcBorders>
          </w:tcPr>
          <w:p w14:paraId="3CECAFF1" w14:textId="77777777" w:rsidR="009C36E3" w:rsidRDefault="000E7207">
            <w:pPr>
              <w:pStyle w:val="TableParagraph"/>
              <w:spacing w:before="81"/>
              <w:ind w:left="401"/>
              <w:rPr>
                <w:sz w:val="20"/>
              </w:rPr>
            </w:pPr>
            <w:r>
              <w:rPr>
                <w:sz w:val="20"/>
              </w:rPr>
              <w:t>Deputy</w:t>
            </w:r>
            <w:r>
              <w:rPr>
                <w:spacing w:val="-8"/>
                <w:sz w:val="20"/>
              </w:rPr>
              <w:t xml:space="preserve"> </w:t>
            </w:r>
            <w:r>
              <w:rPr>
                <w:sz w:val="20"/>
              </w:rPr>
              <w:t>Director</w:t>
            </w:r>
            <w:r>
              <w:rPr>
                <w:spacing w:val="-7"/>
                <w:sz w:val="20"/>
              </w:rPr>
              <w:t xml:space="preserve"> </w:t>
            </w:r>
            <w:r>
              <w:rPr>
                <w:sz w:val="20"/>
              </w:rPr>
              <w:t>Police</w:t>
            </w:r>
            <w:r>
              <w:rPr>
                <w:spacing w:val="-9"/>
                <w:sz w:val="20"/>
              </w:rPr>
              <w:t xml:space="preserve"> </w:t>
            </w:r>
            <w:r>
              <w:rPr>
                <w:sz w:val="20"/>
              </w:rPr>
              <w:t>Training</w:t>
            </w:r>
            <w:r>
              <w:rPr>
                <w:spacing w:val="-9"/>
                <w:sz w:val="20"/>
              </w:rPr>
              <w:t xml:space="preserve"> </w:t>
            </w:r>
            <w:r>
              <w:rPr>
                <w:spacing w:val="-2"/>
                <w:sz w:val="20"/>
              </w:rPr>
              <w:t>College</w:t>
            </w:r>
          </w:p>
        </w:tc>
        <w:tc>
          <w:tcPr>
            <w:tcW w:w="2846" w:type="dxa"/>
            <w:tcBorders>
              <w:top w:val="single" w:sz="4" w:space="0" w:color="0064BB"/>
              <w:bottom w:val="single" w:sz="4" w:space="0" w:color="0064BB"/>
            </w:tcBorders>
          </w:tcPr>
          <w:p w14:paraId="5F26946E" w14:textId="77777777" w:rsidR="009C36E3" w:rsidRDefault="000E7207">
            <w:pPr>
              <w:pStyle w:val="TableParagraph"/>
              <w:spacing w:before="81"/>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2665347E" w14:textId="77777777">
        <w:trPr>
          <w:trHeight w:val="390"/>
        </w:trPr>
        <w:tc>
          <w:tcPr>
            <w:tcW w:w="708" w:type="dxa"/>
            <w:tcBorders>
              <w:top w:val="single" w:sz="4" w:space="0" w:color="0064BB"/>
              <w:bottom w:val="single" w:sz="4" w:space="0" w:color="0064BB"/>
            </w:tcBorders>
            <w:shd w:val="clear" w:color="auto" w:fill="F1F1F1"/>
          </w:tcPr>
          <w:p w14:paraId="6CBA76BC" w14:textId="77777777" w:rsidR="009C36E3" w:rsidRDefault="000E7207">
            <w:pPr>
              <w:pStyle w:val="TableParagraph"/>
              <w:spacing w:before="80"/>
              <w:rPr>
                <w:b/>
                <w:sz w:val="18"/>
              </w:rPr>
            </w:pPr>
            <w:r>
              <w:rPr>
                <w:b/>
                <w:spacing w:val="-5"/>
                <w:sz w:val="18"/>
              </w:rPr>
              <w:t>35</w:t>
            </w:r>
          </w:p>
        </w:tc>
        <w:tc>
          <w:tcPr>
            <w:tcW w:w="2543" w:type="dxa"/>
            <w:tcBorders>
              <w:top w:val="single" w:sz="4" w:space="0" w:color="0064BB"/>
              <w:bottom w:val="single" w:sz="4" w:space="0" w:color="0064BB"/>
            </w:tcBorders>
          </w:tcPr>
          <w:p w14:paraId="486A0AB9" w14:textId="77777777" w:rsidR="009C36E3" w:rsidRDefault="000E7207">
            <w:pPr>
              <w:pStyle w:val="TableParagraph"/>
              <w:ind w:left="108"/>
              <w:rPr>
                <w:sz w:val="20"/>
              </w:rPr>
            </w:pPr>
            <w:r>
              <w:rPr>
                <w:sz w:val="20"/>
              </w:rPr>
              <w:t>Jack</w:t>
            </w:r>
            <w:r>
              <w:rPr>
                <w:spacing w:val="-4"/>
                <w:sz w:val="20"/>
              </w:rPr>
              <w:t xml:space="preserve"> </w:t>
            </w:r>
            <w:r>
              <w:rPr>
                <w:spacing w:val="-2"/>
                <w:sz w:val="20"/>
              </w:rPr>
              <w:t>Tallis</w:t>
            </w:r>
          </w:p>
        </w:tc>
        <w:tc>
          <w:tcPr>
            <w:tcW w:w="4108" w:type="dxa"/>
            <w:tcBorders>
              <w:top w:val="single" w:sz="4" w:space="0" w:color="0064BB"/>
              <w:bottom w:val="single" w:sz="4" w:space="0" w:color="0064BB"/>
            </w:tcBorders>
          </w:tcPr>
          <w:p w14:paraId="272A41F0" w14:textId="77777777" w:rsidR="009C36E3" w:rsidRDefault="000E7207">
            <w:pPr>
              <w:pStyle w:val="TableParagraph"/>
              <w:ind w:left="401"/>
              <w:rPr>
                <w:sz w:val="20"/>
              </w:rPr>
            </w:pPr>
            <w:r>
              <w:rPr>
                <w:sz w:val="20"/>
              </w:rPr>
              <w:t>OC</w:t>
            </w:r>
            <w:r>
              <w:rPr>
                <w:spacing w:val="-10"/>
                <w:sz w:val="20"/>
              </w:rPr>
              <w:t xml:space="preserve"> </w:t>
            </w:r>
            <w:r>
              <w:rPr>
                <w:sz w:val="20"/>
              </w:rPr>
              <w:t>Professional</w:t>
            </w:r>
            <w:r>
              <w:rPr>
                <w:spacing w:val="-9"/>
                <w:sz w:val="20"/>
              </w:rPr>
              <w:t xml:space="preserve"> </w:t>
            </w:r>
            <w:r>
              <w:rPr>
                <w:sz w:val="20"/>
              </w:rPr>
              <w:t>Standards</w:t>
            </w:r>
            <w:r>
              <w:rPr>
                <w:spacing w:val="-7"/>
                <w:sz w:val="20"/>
              </w:rPr>
              <w:t xml:space="preserve"> </w:t>
            </w:r>
            <w:r>
              <w:rPr>
                <w:spacing w:val="-4"/>
                <w:sz w:val="20"/>
              </w:rPr>
              <w:t>Unit</w:t>
            </w:r>
          </w:p>
        </w:tc>
        <w:tc>
          <w:tcPr>
            <w:tcW w:w="2846" w:type="dxa"/>
            <w:tcBorders>
              <w:top w:val="single" w:sz="4" w:space="0" w:color="0064BB"/>
              <w:bottom w:val="single" w:sz="4" w:space="0" w:color="0064BB"/>
            </w:tcBorders>
          </w:tcPr>
          <w:p w14:paraId="1B3048CA"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774D6A29" w14:textId="77777777">
        <w:trPr>
          <w:trHeight w:val="388"/>
        </w:trPr>
        <w:tc>
          <w:tcPr>
            <w:tcW w:w="708" w:type="dxa"/>
            <w:tcBorders>
              <w:top w:val="single" w:sz="4" w:space="0" w:color="0064BB"/>
              <w:bottom w:val="single" w:sz="4" w:space="0" w:color="0064BB"/>
            </w:tcBorders>
            <w:shd w:val="clear" w:color="auto" w:fill="F1F1F1"/>
          </w:tcPr>
          <w:p w14:paraId="139B87B7" w14:textId="77777777" w:rsidR="009C36E3" w:rsidRDefault="000E7207">
            <w:pPr>
              <w:pStyle w:val="TableParagraph"/>
              <w:spacing w:before="80"/>
              <w:rPr>
                <w:b/>
                <w:sz w:val="18"/>
              </w:rPr>
            </w:pPr>
            <w:r>
              <w:rPr>
                <w:b/>
                <w:spacing w:val="-5"/>
                <w:sz w:val="18"/>
              </w:rPr>
              <w:t>36</w:t>
            </w:r>
          </w:p>
        </w:tc>
        <w:tc>
          <w:tcPr>
            <w:tcW w:w="2543" w:type="dxa"/>
            <w:tcBorders>
              <w:top w:val="single" w:sz="4" w:space="0" w:color="0064BB"/>
              <w:bottom w:val="single" w:sz="4" w:space="0" w:color="0064BB"/>
            </w:tcBorders>
          </w:tcPr>
          <w:p w14:paraId="50B224F6" w14:textId="77777777" w:rsidR="009C36E3" w:rsidRDefault="000E7207">
            <w:pPr>
              <w:pStyle w:val="TableParagraph"/>
              <w:ind w:left="108"/>
              <w:rPr>
                <w:sz w:val="20"/>
              </w:rPr>
            </w:pPr>
            <w:r>
              <w:rPr>
                <w:sz w:val="20"/>
              </w:rPr>
              <w:t>Namen</w:t>
            </w:r>
            <w:r>
              <w:rPr>
                <w:spacing w:val="-9"/>
                <w:sz w:val="20"/>
              </w:rPr>
              <w:t xml:space="preserve"> </w:t>
            </w:r>
            <w:r>
              <w:rPr>
                <w:sz w:val="20"/>
              </w:rPr>
              <w:t>Jean-Yves</w:t>
            </w:r>
            <w:r>
              <w:rPr>
                <w:spacing w:val="-7"/>
                <w:sz w:val="20"/>
              </w:rPr>
              <w:t xml:space="preserve"> </w:t>
            </w:r>
            <w:r>
              <w:rPr>
                <w:spacing w:val="-4"/>
                <w:sz w:val="20"/>
              </w:rPr>
              <w:t>Kali</w:t>
            </w:r>
          </w:p>
        </w:tc>
        <w:tc>
          <w:tcPr>
            <w:tcW w:w="4108" w:type="dxa"/>
            <w:tcBorders>
              <w:top w:val="single" w:sz="4" w:space="0" w:color="0064BB"/>
              <w:bottom w:val="single" w:sz="4" w:space="0" w:color="0064BB"/>
            </w:tcBorders>
          </w:tcPr>
          <w:p w14:paraId="5D40D505" w14:textId="77777777" w:rsidR="009C36E3" w:rsidRDefault="000E7207">
            <w:pPr>
              <w:pStyle w:val="TableParagraph"/>
              <w:ind w:left="401"/>
              <w:rPr>
                <w:sz w:val="20"/>
              </w:rPr>
            </w:pPr>
            <w:r>
              <w:rPr>
                <w:sz w:val="20"/>
              </w:rPr>
              <w:t>VPF</w:t>
            </w:r>
            <w:r>
              <w:rPr>
                <w:spacing w:val="-5"/>
                <w:sz w:val="20"/>
              </w:rPr>
              <w:t xml:space="preserve"> </w:t>
            </w:r>
            <w:r>
              <w:rPr>
                <w:sz w:val="20"/>
              </w:rPr>
              <w:t>Chief</w:t>
            </w:r>
            <w:r>
              <w:rPr>
                <w:spacing w:val="-5"/>
                <w:sz w:val="20"/>
              </w:rPr>
              <w:t xml:space="preserve"> </w:t>
            </w:r>
            <w:r>
              <w:rPr>
                <w:sz w:val="20"/>
              </w:rPr>
              <w:t>of</w:t>
            </w:r>
            <w:r>
              <w:rPr>
                <w:spacing w:val="-3"/>
                <w:sz w:val="20"/>
              </w:rPr>
              <w:t xml:space="preserve"> </w:t>
            </w:r>
            <w:r>
              <w:rPr>
                <w:spacing w:val="-2"/>
                <w:sz w:val="20"/>
              </w:rPr>
              <w:t>Staff</w:t>
            </w:r>
          </w:p>
        </w:tc>
        <w:tc>
          <w:tcPr>
            <w:tcW w:w="2846" w:type="dxa"/>
            <w:tcBorders>
              <w:top w:val="single" w:sz="4" w:space="0" w:color="0064BB"/>
              <w:bottom w:val="single" w:sz="4" w:space="0" w:color="0064BB"/>
            </w:tcBorders>
          </w:tcPr>
          <w:p w14:paraId="1B3910FD"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710E6AC5" w14:textId="77777777">
        <w:trPr>
          <w:trHeight w:val="621"/>
        </w:trPr>
        <w:tc>
          <w:tcPr>
            <w:tcW w:w="708" w:type="dxa"/>
            <w:tcBorders>
              <w:top w:val="single" w:sz="4" w:space="0" w:color="0064BB"/>
              <w:bottom w:val="single" w:sz="4" w:space="0" w:color="0064BB"/>
            </w:tcBorders>
            <w:shd w:val="clear" w:color="auto" w:fill="F1F1F1"/>
          </w:tcPr>
          <w:p w14:paraId="6FEEA632" w14:textId="77777777" w:rsidR="009C36E3" w:rsidRDefault="000E7207">
            <w:pPr>
              <w:pStyle w:val="TableParagraph"/>
              <w:spacing w:before="83"/>
              <w:rPr>
                <w:b/>
                <w:sz w:val="18"/>
              </w:rPr>
            </w:pPr>
            <w:r>
              <w:rPr>
                <w:b/>
                <w:spacing w:val="-5"/>
                <w:sz w:val="18"/>
              </w:rPr>
              <w:t>37</w:t>
            </w:r>
          </w:p>
        </w:tc>
        <w:tc>
          <w:tcPr>
            <w:tcW w:w="2543" w:type="dxa"/>
            <w:tcBorders>
              <w:top w:val="single" w:sz="4" w:space="0" w:color="0064BB"/>
              <w:bottom w:val="single" w:sz="4" w:space="0" w:color="0064BB"/>
            </w:tcBorders>
          </w:tcPr>
          <w:p w14:paraId="316ABD62" w14:textId="77777777" w:rsidR="009C36E3" w:rsidRDefault="000E7207">
            <w:pPr>
              <w:pStyle w:val="TableParagraph"/>
              <w:spacing w:before="81"/>
              <w:ind w:left="108"/>
              <w:rPr>
                <w:sz w:val="20"/>
              </w:rPr>
            </w:pPr>
            <w:r>
              <w:rPr>
                <w:sz w:val="20"/>
              </w:rPr>
              <w:t>Samson</w:t>
            </w:r>
            <w:r>
              <w:rPr>
                <w:spacing w:val="-9"/>
                <w:sz w:val="20"/>
              </w:rPr>
              <w:t xml:space="preserve"> </w:t>
            </w:r>
            <w:r>
              <w:rPr>
                <w:spacing w:val="-2"/>
                <w:sz w:val="20"/>
              </w:rPr>
              <w:t>Garae</w:t>
            </w:r>
          </w:p>
        </w:tc>
        <w:tc>
          <w:tcPr>
            <w:tcW w:w="4108" w:type="dxa"/>
            <w:tcBorders>
              <w:top w:val="single" w:sz="4" w:space="0" w:color="0064BB"/>
              <w:bottom w:val="single" w:sz="4" w:space="0" w:color="0064BB"/>
            </w:tcBorders>
          </w:tcPr>
          <w:p w14:paraId="66F01DC2" w14:textId="77777777" w:rsidR="009C36E3" w:rsidRDefault="000E7207">
            <w:pPr>
              <w:pStyle w:val="TableParagraph"/>
              <w:spacing w:before="81"/>
              <w:ind w:left="401"/>
              <w:rPr>
                <w:sz w:val="20"/>
              </w:rPr>
            </w:pPr>
            <w:r>
              <w:rPr>
                <w:sz w:val="20"/>
              </w:rPr>
              <w:t>National</w:t>
            </w:r>
            <w:r>
              <w:rPr>
                <w:spacing w:val="-12"/>
                <w:sz w:val="20"/>
              </w:rPr>
              <w:t xml:space="preserve"> </w:t>
            </w:r>
            <w:r>
              <w:rPr>
                <w:sz w:val="20"/>
              </w:rPr>
              <w:t>Coordinator</w:t>
            </w:r>
            <w:r>
              <w:rPr>
                <w:spacing w:val="-10"/>
                <w:sz w:val="20"/>
              </w:rPr>
              <w:t xml:space="preserve"> </w:t>
            </w:r>
            <w:r>
              <w:rPr>
                <w:sz w:val="20"/>
              </w:rPr>
              <w:t>for</w:t>
            </w:r>
            <w:r>
              <w:rPr>
                <w:spacing w:val="-10"/>
                <w:sz w:val="20"/>
              </w:rPr>
              <w:t xml:space="preserve"> </w:t>
            </w:r>
            <w:r>
              <w:rPr>
                <w:sz w:val="20"/>
              </w:rPr>
              <w:t>Crime</w:t>
            </w:r>
            <w:r>
              <w:rPr>
                <w:spacing w:val="-11"/>
                <w:sz w:val="20"/>
              </w:rPr>
              <w:t xml:space="preserve"> </w:t>
            </w:r>
            <w:r>
              <w:rPr>
                <w:sz w:val="20"/>
              </w:rPr>
              <w:t>and Community Policing</w:t>
            </w:r>
          </w:p>
        </w:tc>
        <w:tc>
          <w:tcPr>
            <w:tcW w:w="2846" w:type="dxa"/>
            <w:tcBorders>
              <w:top w:val="single" w:sz="4" w:space="0" w:color="0064BB"/>
              <w:bottom w:val="single" w:sz="4" w:space="0" w:color="0064BB"/>
            </w:tcBorders>
          </w:tcPr>
          <w:p w14:paraId="24B28E6B" w14:textId="77777777" w:rsidR="009C36E3" w:rsidRDefault="000E7207">
            <w:pPr>
              <w:pStyle w:val="TableParagraph"/>
              <w:spacing w:before="81"/>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4FCEC0F9" w14:textId="77777777">
        <w:trPr>
          <w:trHeight w:val="390"/>
        </w:trPr>
        <w:tc>
          <w:tcPr>
            <w:tcW w:w="708" w:type="dxa"/>
            <w:tcBorders>
              <w:top w:val="single" w:sz="4" w:space="0" w:color="0064BB"/>
              <w:bottom w:val="single" w:sz="4" w:space="0" w:color="0064BB"/>
            </w:tcBorders>
            <w:shd w:val="clear" w:color="auto" w:fill="F1F1F1"/>
          </w:tcPr>
          <w:p w14:paraId="512307D8" w14:textId="77777777" w:rsidR="009C36E3" w:rsidRDefault="000E7207">
            <w:pPr>
              <w:pStyle w:val="TableParagraph"/>
              <w:spacing w:before="80"/>
              <w:rPr>
                <w:b/>
                <w:sz w:val="18"/>
              </w:rPr>
            </w:pPr>
            <w:r>
              <w:rPr>
                <w:b/>
                <w:spacing w:val="-5"/>
                <w:sz w:val="18"/>
              </w:rPr>
              <w:t>38</w:t>
            </w:r>
          </w:p>
        </w:tc>
        <w:tc>
          <w:tcPr>
            <w:tcW w:w="2543" w:type="dxa"/>
            <w:tcBorders>
              <w:top w:val="single" w:sz="4" w:space="0" w:color="0064BB"/>
              <w:bottom w:val="single" w:sz="4" w:space="0" w:color="0064BB"/>
            </w:tcBorders>
          </w:tcPr>
          <w:p w14:paraId="47F0C21C" w14:textId="77777777" w:rsidR="009C36E3" w:rsidRDefault="000E7207">
            <w:pPr>
              <w:pStyle w:val="TableParagraph"/>
              <w:ind w:left="108"/>
              <w:rPr>
                <w:sz w:val="20"/>
              </w:rPr>
            </w:pPr>
            <w:r>
              <w:rPr>
                <w:sz w:val="20"/>
              </w:rPr>
              <w:t>Jane</w:t>
            </w:r>
            <w:r>
              <w:rPr>
                <w:spacing w:val="-7"/>
                <w:sz w:val="20"/>
              </w:rPr>
              <w:t xml:space="preserve"> </w:t>
            </w:r>
            <w:r>
              <w:rPr>
                <w:spacing w:val="-2"/>
                <w:sz w:val="20"/>
              </w:rPr>
              <w:t>Borenga</w:t>
            </w:r>
          </w:p>
        </w:tc>
        <w:tc>
          <w:tcPr>
            <w:tcW w:w="4108" w:type="dxa"/>
            <w:tcBorders>
              <w:top w:val="single" w:sz="4" w:space="0" w:color="0064BB"/>
              <w:bottom w:val="single" w:sz="4" w:space="0" w:color="0064BB"/>
            </w:tcBorders>
          </w:tcPr>
          <w:p w14:paraId="7A538170" w14:textId="77777777" w:rsidR="009C36E3" w:rsidRDefault="000E7207">
            <w:pPr>
              <w:pStyle w:val="TableParagraph"/>
              <w:ind w:left="401"/>
              <w:rPr>
                <w:sz w:val="20"/>
              </w:rPr>
            </w:pPr>
            <w:r>
              <w:rPr>
                <w:sz w:val="20"/>
              </w:rPr>
              <w:t>VPF</w:t>
            </w:r>
            <w:r>
              <w:rPr>
                <w:spacing w:val="-5"/>
                <w:sz w:val="20"/>
              </w:rPr>
              <w:t xml:space="preserve"> </w:t>
            </w:r>
            <w:r>
              <w:rPr>
                <w:sz w:val="20"/>
              </w:rPr>
              <w:t>Media</w:t>
            </w:r>
            <w:r>
              <w:rPr>
                <w:spacing w:val="-6"/>
                <w:sz w:val="20"/>
              </w:rPr>
              <w:t xml:space="preserve"> </w:t>
            </w:r>
            <w:r>
              <w:rPr>
                <w:spacing w:val="-2"/>
                <w:sz w:val="20"/>
              </w:rPr>
              <w:t>Coordinator</w:t>
            </w:r>
          </w:p>
        </w:tc>
        <w:tc>
          <w:tcPr>
            <w:tcW w:w="2846" w:type="dxa"/>
            <w:tcBorders>
              <w:top w:val="single" w:sz="4" w:space="0" w:color="0064BB"/>
              <w:bottom w:val="single" w:sz="4" w:space="0" w:color="0064BB"/>
            </w:tcBorders>
          </w:tcPr>
          <w:p w14:paraId="70999AA6"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11F2DE91" w14:textId="77777777">
        <w:trPr>
          <w:trHeight w:val="388"/>
        </w:trPr>
        <w:tc>
          <w:tcPr>
            <w:tcW w:w="708" w:type="dxa"/>
            <w:tcBorders>
              <w:top w:val="single" w:sz="4" w:space="0" w:color="0064BB"/>
              <w:bottom w:val="single" w:sz="4" w:space="0" w:color="0064BB"/>
            </w:tcBorders>
            <w:shd w:val="clear" w:color="auto" w:fill="F1F1F1"/>
          </w:tcPr>
          <w:p w14:paraId="49CDF53C" w14:textId="77777777" w:rsidR="009C36E3" w:rsidRDefault="000E7207">
            <w:pPr>
              <w:pStyle w:val="TableParagraph"/>
              <w:spacing w:before="80"/>
              <w:rPr>
                <w:b/>
                <w:sz w:val="18"/>
              </w:rPr>
            </w:pPr>
            <w:r>
              <w:rPr>
                <w:b/>
                <w:spacing w:val="-5"/>
                <w:sz w:val="18"/>
              </w:rPr>
              <w:t>39</w:t>
            </w:r>
          </w:p>
        </w:tc>
        <w:tc>
          <w:tcPr>
            <w:tcW w:w="2543" w:type="dxa"/>
            <w:tcBorders>
              <w:top w:val="single" w:sz="4" w:space="0" w:color="0064BB"/>
              <w:bottom w:val="single" w:sz="4" w:space="0" w:color="0064BB"/>
            </w:tcBorders>
          </w:tcPr>
          <w:p w14:paraId="7D45E465" w14:textId="77777777" w:rsidR="009C36E3" w:rsidRDefault="000E7207">
            <w:pPr>
              <w:pStyle w:val="TableParagraph"/>
              <w:ind w:left="108"/>
              <w:rPr>
                <w:sz w:val="20"/>
              </w:rPr>
            </w:pPr>
            <w:r>
              <w:rPr>
                <w:sz w:val="20"/>
              </w:rPr>
              <w:t>George</w:t>
            </w:r>
            <w:r>
              <w:rPr>
                <w:spacing w:val="-8"/>
                <w:sz w:val="20"/>
              </w:rPr>
              <w:t xml:space="preserve"> </w:t>
            </w:r>
            <w:r>
              <w:rPr>
                <w:spacing w:val="-4"/>
                <w:sz w:val="20"/>
              </w:rPr>
              <w:t>Songi</w:t>
            </w:r>
          </w:p>
        </w:tc>
        <w:tc>
          <w:tcPr>
            <w:tcW w:w="4108" w:type="dxa"/>
            <w:tcBorders>
              <w:top w:val="single" w:sz="4" w:space="0" w:color="0064BB"/>
              <w:bottom w:val="single" w:sz="4" w:space="0" w:color="0064BB"/>
            </w:tcBorders>
          </w:tcPr>
          <w:p w14:paraId="7D580294" w14:textId="77777777" w:rsidR="009C36E3" w:rsidRDefault="000E7207">
            <w:pPr>
              <w:pStyle w:val="TableParagraph"/>
              <w:ind w:left="401"/>
              <w:rPr>
                <w:sz w:val="20"/>
              </w:rPr>
            </w:pPr>
            <w:r>
              <w:rPr>
                <w:sz w:val="20"/>
              </w:rPr>
              <w:t>Commander</w:t>
            </w:r>
            <w:r>
              <w:rPr>
                <w:spacing w:val="-14"/>
                <w:sz w:val="20"/>
              </w:rPr>
              <w:t xml:space="preserve"> </w:t>
            </w:r>
            <w:r>
              <w:rPr>
                <w:spacing w:val="-4"/>
                <w:sz w:val="20"/>
              </w:rPr>
              <w:t>North</w:t>
            </w:r>
          </w:p>
        </w:tc>
        <w:tc>
          <w:tcPr>
            <w:tcW w:w="2846" w:type="dxa"/>
            <w:tcBorders>
              <w:top w:val="single" w:sz="4" w:space="0" w:color="0064BB"/>
              <w:bottom w:val="single" w:sz="4" w:space="0" w:color="0064BB"/>
            </w:tcBorders>
          </w:tcPr>
          <w:p w14:paraId="3467ECC4"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67E07C41" w14:textId="77777777">
        <w:trPr>
          <w:trHeight w:val="390"/>
        </w:trPr>
        <w:tc>
          <w:tcPr>
            <w:tcW w:w="708" w:type="dxa"/>
            <w:tcBorders>
              <w:top w:val="single" w:sz="4" w:space="0" w:color="0064BB"/>
              <w:bottom w:val="single" w:sz="4" w:space="0" w:color="0064BB"/>
            </w:tcBorders>
            <w:shd w:val="clear" w:color="auto" w:fill="F1F1F1"/>
          </w:tcPr>
          <w:p w14:paraId="2D511F78" w14:textId="77777777" w:rsidR="009C36E3" w:rsidRDefault="000E7207">
            <w:pPr>
              <w:pStyle w:val="TableParagraph"/>
              <w:spacing w:before="80"/>
              <w:rPr>
                <w:b/>
                <w:sz w:val="18"/>
              </w:rPr>
            </w:pPr>
            <w:r>
              <w:rPr>
                <w:b/>
                <w:spacing w:val="-5"/>
                <w:sz w:val="18"/>
              </w:rPr>
              <w:t>40</w:t>
            </w:r>
          </w:p>
        </w:tc>
        <w:tc>
          <w:tcPr>
            <w:tcW w:w="2543" w:type="dxa"/>
            <w:tcBorders>
              <w:top w:val="single" w:sz="4" w:space="0" w:color="0064BB"/>
              <w:bottom w:val="single" w:sz="4" w:space="0" w:color="0064BB"/>
            </w:tcBorders>
          </w:tcPr>
          <w:p w14:paraId="1C30FA50" w14:textId="77777777" w:rsidR="009C36E3" w:rsidRDefault="000E7207">
            <w:pPr>
              <w:pStyle w:val="TableParagraph"/>
              <w:ind w:left="108"/>
              <w:rPr>
                <w:sz w:val="20"/>
              </w:rPr>
            </w:pPr>
            <w:r>
              <w:rPr>
                <w:sz w:val="20"/>
              </w:rPr>
              <w:t>Afremen</w:t>
            </w:r>
            <w:r>
              <w:rPr>
                <w:spacing w:val="-9"/>
                <w:sz w:val="20"/>
              </w:rPr>
              <w:t xml:space="preserve"> </w:t>
            </w:r>
            <w:r>
              <w:rPr>
                <w:spacing w:val="-2"/>
                <w:sz w:val="20"/>
              </w:rPr>
              <w:t>Kender</w:t>
            </w:r>
          </w:p>
        </w:tc>
        <w:tc>
          <w:tcPr>
            <w:tcW w:w="4108" w:type="dxa"/>
            <w:tcBorders>
              <w:top w:val="single" w:sz="4" w:space="0" w:color="0064BB"/>
              <w:bottom w:val="single" w:sz="4" w:space="0" w:color="0064BB"/>
            </w:tcBorders>
          </w:tcPr>
          <w:p w14:paraId="1DFF9FFD" w14:textId="77777777" w:rsidR="009C36E3" w:rsidRDefault="000E7207">
            <w:pPr>
              <w:pStyle w:val="TableParagraph"/>
              <w:ind w:left="401"/>
              <w:rPr>
                <w:sz w:val="20"/>
              </w:rPr>
            </w:pPr>
            <w:r>
              <w:rPr>
                <w:sz w:val="20"/>
              </w:rPr>
              <w:t>Commander</w:t>
            </w:r>
            <w:r>
              <w:rPr>
                <w:spacing w:val="-14"/>
                <w:sz w:val="20"/>
              </w:rPr>
              <w:t xml:space="preserve"> </w:t>
            </w:r>
            <w:r>
              <w:rPr>
                <w:spacing w:val="-5"/>
                <w:sz w:val="20"/>
              </w:rPr>
              <w:t>CID</w:t>
            </w:r>
          </w:p>
        </w:tc>
        <w:tc>
          <w:tcPr>
            <w:tcW w:w="2846" w:type="dxa"/>
            <w:tcBorders>
              <w:top w:val="single" w:sz="4" w:space="0" w:color="0064BB"/>
              <w:bottom w:val="single" w:sz="4" w:space="0" w:color="0064BB"/>
            </w:tcBorders>
          </w:tcPr>
          <w:p w14:paraId="72A966FA"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50809E3E" w14:textId="77777777">
        <w:trPr>
          <w:trHeight w:val="618"/>
        </w:trPr>
        <w:tc>
          <w:tcPr>
            <w:tcW w:w="708" w:type="dxa"/>
            <w:tcBorders>
              <w:top w:val="single" w:sz="4" w:space="0" w:color="0064BB"/>
              <w:bottom w:val="single" w:sz="4" w:space="0" w:color="0064BB"/>
            </w:tcBorders>
            <w:shd w:val="clear" w:color="auto" w:fill="F1F1F1"/>
          </w:tcPr>
          <w:p w14:paraId="2A0BB822" w14:textId="77777777" w:rsidR="009C36E3" w:rsidRDefault="000E7207">
            <w:pPr>
              <w:pStyle w:val="TableParagraph"/>
              <w:spacing w:before="80"/>
              <w:rPr>
                <w:b/>
                <w:sz w:val="18"/>
              </w:rPr>
            </w:pPr>
            <w:r>
              <w:rPr>
                <w:b/>
                <w:spacing w:val="-5"/>
                <w:sz w:val="18"/>
              </w:rPr>
              <w:t>41</w:t>
            </w:r>
          </w:p>
        </w:tc>
        <w:tc>
          <w:tcPr>
            <w:tcW w:w="2543" w:type="dxa"/>
            <w:tcBorders>
              <w:top w:val="single" w:sz="4" w:space="0" w:color="0064BB"/>
              <w:bottom w:val="single" w:sz="4" w:space="0" w:color="0064BB"/>
            </w:tcBorders>
          </w:tcPr>
          <w:p w14:paraId="1EA3C71F" w14:textId="77777777" w:rsidR="009C36E3" w:rsidRDefault="000E7207">
            <w:pPr>
              <w:pStyle w:val="TableParagraph"/>
              <w:ind w:left="108"/>
              <w:rPr>
                <w:sz w:val="20"/>
              </w:rPr>
            </w:pPr>
            <w:r>
              <w:rPr>
                <w:sz w:val="20"/>
              </w:rPr>
              <w:t>Jennifer</w:t>
            </w:r>
            <w:r>
              <w:rPr>
                <w:spacing w:val="-11"/>
                <w:sz w:val="20"/>
              </w:rPr>
              <w:t xml:space="preserve"> </w:t>
            </w:r>
            <w:r>
              <w:rPr>
                <w:spacing w:val="-2"/>
                <w:sz w:val="20"/>
              </w:rPr>
              <w:t>Warsal</w:t>
            </w:r>
          </w:p>
        </w:tc>
        <w:tc>
          <w:tcPr>
            <w:tcW w:w="4108" w:type="dxa"/>
            <w:tcBorders>
              <w:top w:val="single" w:sz="4" w:space="0" w:color="0064BB"/>
              <w:bottom w:val="single" w:sz="4" w:space="0" w:color="0064BB"/>
            </w:tcBorders>
          </w:tcPr>
          <w:p w14:paraId="0C1AB0C7" w14:textId="77777777" w:rsidR="009C36E3" w:rsidRDefault="000E7207">
            <w:pPr>
              <w:pStyle w:val="TableParagraph"/>
              <w:ind w:left="401"/>
              <w:rPr>
                <w:sz w:val="20"/>
              </w:rPr>
            </w:pPr>
            <w:r>
              <w:rPr>
                <w:sz w:val="20"/>
              </w:rPr>
              <w:t>Professional</w:t>
            </w:r>
            <w:r>
              <w:rPr>
                <w:spacing w:val="-11"/>
                <w:sz w:val="20"/>
              </w:rPr>
              <w:t xml:space="preserve"> </w:t>
            </w:r>
            <w:r>
              <w:rPr>
                <w:sz w:val="20"/>
              </w:rPr>
              <w:t>Standards</w:t>
            </w:r>
            <w:r>
              <w:rPr>
                <w:spacing w:val="-10"/>
                <w:sz w:val="20"/>
              </w:rPr>
              <w:t xml:space="preserve"> </w:t>
            </w:r>
            <w:r>
              <w:rPr>
                <w:sz w:val="20"/>
              </w:rPr>
              <w:t>Unit</w:t>
            </w:r>
            <w:r>
              <w:rPr>
                <w:spacing w:val="-10"/>
                <w:sz w:val="20"/>
              </w:rPr>
              <w:t xml:space="preserve"> </w:t>
            </w:r>
            <w:r>
              <w:rPr>
                <w:sz w:val="20"/>
              </w:rPr>
              <w:t>(and</w:t>
            </w:r>
            <w:r>
              <w:rPr>
                <w:spacing w:val="-9"/>
                <w:sz w:val="20"/>
              </w:rPr>
              <w:t xml:space="preserve"> </w:t>
            </w:r>
            <w:r>
              <w:rPr>
                <w:sz w:val="20"/>
              </w:rPr>
              <w:t xml:space="preserve">WAN </w:t>
            </w:r>
            <w:r>
              <w:rPr>
                <w:spacing w:val="-2"/>
                <w:sz w:val="20"/>
              </w:rPr>
              <w:t>chair)</w:t>
            </w:r>
          </w:p>
        </w:tc>
        <w:tc>
          <w:tcPr>
            <w:tcW w:w="2846" w:type="dxa"/>
            <w:tcBorders>
              <w:top w:val="single" w:sz="4" w:space="0" w:color="0064BB"/>
              <w:bottom w:val="single" w:sz="4" w:space="0" w:color="0064BB"/>
            </w:tcBorders>
          </w:tcPr>
          <w:p w14:paraId="76FC84D4"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1BFC22AF" w14:textId="77777777">
        <w:trPr>
          <w:trHeight w:val="390"/>
        </w:trPr>
        <w:tc>
          <w:tcPr>
            <w:tcW w:w="708" w:type="dxa"/>
            <w:tcBorders>
              <w:top w:val="single" w:sz="4" w:space="0" w:color="0064BB"/>
              <w:bottom w:val="single" w:sz="4" w:space="0" w:color="0064BB"/>
            </w:tcBorders>
            <w:shd w:val="clear" w:color="auto" w:fill="F1F1F1"/>
          </w:tcPr>
          <w:p w14:paraId="714399A5" w14:textId="77777777" w:rsidR="009C36E3" w:rsidRDefault="000E7207">
            <w:pPr>
              <w:pStyle w:val="TableParagraph"/>
              <w:spacing w:before="83"/>
              <w:rPr>
                <w:b/>
                <w:sz w:val="18"/>
              </w:rPr>
            </w:pPr>
            <w:r>
              <w:rPr>
                <w:b/>
                <w:spacing w:val="-5"/>
                <w:sz w:val="18"/>
              </w:rPr>
              <w:t>42</w:t>
            </w:r>
          </w:p>
        </w:tc>
        <w:tc>
          <w:tcPr>
            <w:tcW w:w="2543" w:type="dxa"/>
            <w:tcBorders>
              <w:top w:val="single" w:sz="4" w:space="0" w:color="0064BB"/>
              <w:bottom w:val="single" w:sz="4" w:space="0" w:color="0064BB"/>
            </w:tcBorders>
          </w:tcPr>
          <w:p w14:paraId="496A4913" w14:textId="77777777" w:rsidR="009C36E3" w:rsidRDefault="000E7207">
            <w:pPr>
              <w:pStyle w:val="TableParagraph"/>
              <w:spacing w:before="81"/>
              <w:ind w:left="108"/>
              <w:rPr>
                <w:sz w:val="20"/>
              </w:rPr>
            </w:pPr>
            <w:r>
              <w:rPr>
                <w:sz w:val="20"/>
              </w:rPr>
              <w:t>Leirip</w:t>
            </w:r>
            <w:r>
              <w:rPr>
                <w:spacing w:val="-9"/>
                <w:sz w:val="20"/>
              </w:rPr>
              <w:t xml:space="preserve"> </w:t>
            </w:r>
            <w:r>
              <w:rPr>
                <w:spacing w:val="-2"/>
                <w:sz w:val="20"/>
              </w:rPr>
              <w:t>Mahit</w:t>
            </w:r>
          </w:p>
        </w:tc>
        <w:tc>
          <w:tcPr>
            <w:tcW w:w="4108" w:type="dxa"/>
            <w:tcBorders>
              <w:top w:val="single" w:sz="4" w:space="0" w:color="0064BB"/>
              <w:bottom w:val="single" w:sz="4" w:space="0" w:color="0064BB"/>
            </w:tcBorders>
          </w:tcPr>
          <w:p w14:paraId="0D823ABE" w14:textId="77777777" w:rsidR="009C36E3" w:rsidRDefault="000E7207">
            <w:pPr>
              <w:pStyle w:val="TableParagraph"/>
              <w:spacing w:before="81"/>
              <w:ind w:left="401"/>
              <w:rPr>
                <w:sz w:val="20"/>
              </w:rPr>
            </w:pPr>
            <w:r>
              <w:rPr>
                <w:sz w:val="20"/>
              </w:rPr>
              <w:t>Officer,</w:t>
            </w:r>
            <w:r>
              <w:rPr>
                <w:spacing w:val="-11"/>
                <w:sz w:val="20"/>
              </w:rPr>
              <w:t xml:space="preserve"> </w:t>
            </w:r>
            <w:r>
              <w:rPr>
                <w:sz w:val="20"/>
              </w:rPr>
              <w:t>Family</w:t>
            </w:r>
            <w:r>
              <w:rPr>
                <w:spacing w:val="-6"/>
                <w:sz w:val="20"/>
              </w:rPr>
              <w:t xml:space="preserve"> </w:t>
            </w:r>
            <w:r>
              <w:rPr>
                <w:sz w:val="20"/>
              </w:rPr>
              <w:t>Protection</w:t>
            </w:r>
            <w:r>
              <w:rPr>
                <w:spacing w:val="-9"/>
                <w:sz w:val="20"/>
              </w:rPr>
              <w:t xml:space="preserve"> </w:t>
            </w:r>
            <w:r>
              <w:rPr>
                <w:spacing w:val="-4"/>
                <w:sz w:val="20"/>
              </w:rPr>
              <w:t>Unit</w:t>
            </w:r>
          </w:p>
        </w:tc>
        <w:tc>
          <w:tcPr>
            <w:tcW w:w="2846" w:type="dxa"/>
            <w:tcBorders>
              <w:top w:val="single" w:sz="4" w:space="0" w:color="0064BB"/>
              <w:bottom w:val="single" w:sz="4" w:space="0" w:color="0064BB"/>
            </w:tcBorders>
          </w:tcPr>
          <w:p w14:paraId="58144085" w14:textId="77777777" w:rsidR="009C36E3" w:rsidRDefault="000E7207">
            <w:pPr>
              <w:pStyle w:val="TableParagraph"/>
              <w:spacing w:before="81"/>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2C4566FE" w14:textId="77777777">
        <w:trPr>
          <w:trHeight w:val="390"/>
        </w:trPr>
        <w:tc>
          <w:tcPr>
            <w:tcW w:w="708" w:type="dxa"/>
            <w:tcBorders>
              <w:top w:val="single" w:sz="4" w:space="0" w:color="0064BB"/>
              <w:bottom w:val="single" w:sz="4" w:space="0" w:color="0064BB"/>
            </w:tcBorders>
            <w:shd w:val="clear" w:color="auto" w:fill="F1F1F1"/>
          </w:tcPr>
          <w:p w14:paraId="32CB4A6C" w14:textId="77777777" w:rsidR="009C36E3" w:rsidRDefault="000E7207">
            <w:pPr>
              <w:pStyle w:val="TableParagraph"/>
              <w:spacing w:before="80"/>
              <w:rPr>
                <w:b/>
                <w:sz w:val="18"/>
              </w:rPr>
            </w:pPr>
            <w:r>
              <w:rPr>
                <w:b/>
                <w:spacing w:val="-5"/>
                <w:sz w:val="18"/>
              </w:rPr>
              <w:t>43</w:t>
            </w:r>
          </w:p>
        </w:tc>
        <w:tc>
          <w:tcPr>
            <w:tcW w:w="2543" w:type="dxa"/>
            <w:tcBorders>
              <w:top w:val="single" w:sz="4" w:space="0" w:color="0064BB"/>
              <w:bottom w:val="single" w:sz="4" w:space="0" w:color="0064BB"/>
            </w:tcBorders>
          </w:tcPr>
          <w:p w14:paraId="3BF2E993" w14:textId="77777777" w:rsidR="009C36E3" w:rsidRDefault="000E7207">
            <w:pPr>
              <w:pStyle w:val="TableParagraph"/>
              <w:ind w:left="108"/>
              <w:rPr>
                <w:sz w:val="20"/>
              </w:rPr>
            </w:pPr>
            <w:r>
              <w:rPr>
                <w:sz w:val="20"/>
              </w:rPr>
              <w:t>Kingsley</w:t>
            </w:r>
            <w:r>
              <w:rPr>
                <w:spacing w:val="-9"/>
                <w:sz w:val="20"/>
              </w:rPr>
              <w:t xml:space="preserve"> </w:t>
            </w:r>
            <w:r>
              <w:rPr>
                <w:spacing w:val="-2"/>
                <w:sz w:val="20"/>
              </w:rPr>
              <w:t>Worek</w:t>
            </w:r>
          </w:p>
        </w:tc>
        <w:tc>
          <w:tcPr>
            <w:tcW w:w="4108" w:type="dxa"/>
            <w:tcBorders>
              <w:top w:val="single" w:sz="4" w:space="0" w:color="0064BB"/>
              <w:bottom w:val="single" w:sz="4" w:space="0" w:color="0064BB"/>
            </w:tcBorders>
          </w:tcPr>
          <w:p w14:paraId="70F78C28" w14:textId="77777777" w:rsidR="009C36E3" w:rsidRDefault="000E7207">
            <w:pPr>
              <w:pStyle w:val="TableParagraph"/>
              <w:ind w:left="401"/>
              <w:rPr>
                <w:sz w:val="20"/>
              </w:rPr>
            </w:pPr>
            <w:r>
              <w:rPr>
                <w:sz w:val="20"/>
              </w:rPr>
              <w:t>OIC</w:t>
            </w:r>
            <w:r>
              <w:rPr>
                <w:spacing w:val="-9"/>
                <w:sz w:val="20"/>
              </w:rPr>
              <w:t xml:space="preserve"> </w:t>
            </w:r>
            <w:r>
              <w:rPr>
                <w:sz w:val="20"/>
              </w:rPr>
              <w:t>Crime</w:t>
            </w:r>
            <w:r>
              <w:rPr>
                <w:spacing w:val="-7"/>
                <w:sz w:val="20"/>
              </w:rPr>
              <w:t xml:space="preserve"> </w:t>
            </w:r>
            <w:r>
              <w:rPr>
                <w:sz w:val="20"/>
              </w:rPr>
              <w:t>Prevention</w:t>
            </w:r>
            <w:r>
              <w:rPr>
                <w:spacing w:val="-7"/>
                <w:sz w:val="20"/>
              </w:rPr>
              <w:t xml:space="preserve"> </w:t>
            </w:r>
            <w:r>
              <w:rPr>
                <w:sz w:val="20"/>
              </w:rPr>
              <w:t>Unit</w:t>
            </w:r>
            <w:r>
              <w:rPr>
                <w:spacing w:val="-2"/>
                <w:sz w:val="20"/>
              </w:rPr>
              <w:t xml:space="preserve"> (Santo)</w:t>
            </w:r>
          </w:p>
        </w:tc>
        <w:tc>
          <w:tcPr>
            <w:tcW w:w="2846" w:type="dxa"/>
            <w:tcBorders>
              <w:top w:val="single" w:sz="4" w:space="0" w:color="0064BB"/>
              <w:bottom w:val="single" w:sz="4" w:space="0" w:color="0064BB"/>
            </w:tcBorders>
          </w:tcPr>
          <w:p w14:paraId="63C8DFFA"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6E2E5C36" w14:textId="77777777">
        <w:trPr>
          <w:trHeight w:val="618"/>
        </w:trPr>
        <w:tc>
          <w:tcPr>
            <w:tcW w:w="708" w:type="dxa"/>
            <w:tcBorders>
              <w:top w:val="single" w:sz="4" w:space="0" w:color="0064BB"/>
              <w:bottom w:val="single" w:sz="4" w:space="0" w:color="0064BB"/>
            </w:tcBorders>
            <w:shd w:val="clear" w:color="auto" w:fill="F1F1F1"/>
          </w:tcPr>
          <w:p w14:paraId="7D8CEAB2" w14:textId="77777777" w:rsidR="009C36E3" w:rsidRDefault="000E7207">
            <w:pPr>
              <w:pStyle w:val="TableParagraph"/>
              <w:spacing w:before="80"/>
              <w:rPr>
                <w:b/>
                <w:sz w:val="18"/>
              </w:rPr>
            </w:pPr>
            <w:r>
              <w:rPr>
                <w:b/>
                <w:spacing w:val="-5"/>
                <w:sz w:val="18"/>
              </w:rPr>
              <w:t>44</w:t>
            </w:r>
          </w:p>
        </w:tc>
        <w:tc>
          <w:tcPr>
            <w:tcW w:w="2543" w:type="dxa"/>
            <w:tcBorders>
              <w:top w:val="single" w:sz="4" w:space="0" w:color="0064BB"/>
              <w:bottom w:val="single" w:sz="4" w:space="0" w:color="0064BB"/>
            </w:tcBorders>
          </w:tcPr>
          <w:p w14:paraId="2214B95C" w14:textId="77777777" w:rsidR="009C36E3" w:rsidRDefault="000E7207">
            <w:pPr>
              <w:pStyle w:val="TableParagraph"/>
              <w:ind w:left="108"/>
              <w:rPr>
                <w:sz w:val="20"/>
              </w:rPr>
            </w:pPr>
            <w:r>
              <w:rPr>
                <w:sz w:val="20"/>
              </w:rPr>
              <w:t>Samuel</w:t>
            </w:r>
            <w:r>
              <w:rPr>
                <w:spacing w:val="-8"/>
                <w:sz w:val="20"/>
              </w:rPr>
              <w:t xml:space="preserve"> </w:t>
            </w:r>
            <w:r>
              <w:rPr>
                <w:spacing w:val="-2"/>
                <w:sz w:val="20"/>
              </w:rPr>
              <w:t>Willie</w:t>
            </w:r>
          </w:p>
        </w:tc>
        <w:tc>
          <w:tcPr>
            <w:tcW w:w="4108" w:type="dxa"/>
            <w:tcBorders>
              <w:top w:val="single" w:sz="4" w:space="0" w:color="0064BB"/>
              <w:bottom w:val="single" w:sz="4" w:space="0" w:color="0064BB"/>
            </w:tcBorders>
          </w:tcPr>
          <w:p w14:paraId="1017BA4B" w14:textId="77777777" w:rsidR="009C36E3" w:rsidRDefault="000E7207">
            <w:pPr>
              <w:pStyle w:val="TableParagraph"/>
              <w:ind w:left="401"/>
              <w:rPr>
                <w:sz w:val="20"/>
              </w:rPr>
            </w:pPr>
            <w:r>
              <w:rPr>
                <w:sz w:val="20"/>
              </w:rPr>
              <w:t>Deputy</w:t>
            </w:r>
            <w:r>
              <w:rPr>
                <w:spacing w:val="-14"/>
                <w:sz w:val="20"/>
              </w:rPr>
              <w:t xml:space="preserve"> </w:t>
            </w:r>
            <w:r>
              <w:rPr>
                <w:sz w:val="20"/>
              </w:rPr>
              <w:t>Commissioner,</w:t>
            </w:r>
            <w:r>
              <w:rPr>
                <w:spacing w:val="-14"/>
                <w:sz w:val="20"/>
              </w:rPr>
              <w:t xml:space="preserve"> </w:t>
            </w:r>
            <w:r>
              <w:rPr>
                <w:sz w:val="20"/>
              </w:rPr>
              <w:t xml:space="preserve">Management </w:t>
            </w:r>
            <w:r>
              <w:rPr>
                <w:spacing w:val="-2"/>
                <w:sz w:val="20"/>
              </w:rPr>
              <w:t>Services</w:t>
            </w:r>
          </w:p>
        </w:tc>
        <w:tc>
          <w:tcPr>
            <w:tcW w:w="2846" w:type="dxa"/>
            <w:tcBorders>
              <w:top w:val="single" w:sz="4" w:space="0" w:color="0064BB"/>
              <w:bottom w:val="single" w:sz="4" w:space="0" w:color="0064BB"/>
            </w:tcBorders>
          </w:tcPr>
          <w:p w14:paraId="795287BD"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25908E3C" w14:textId="77777777">
        <w:trPr>
          <w:trHeight w:val="390"/>
        </w:trPr>
        <w:tc>
          <w:tcPr>
            <w:tcW w:w="708" w:type="dxa"/>
            <w:tcBorders>
              <w:top w:val="single" w:sz="4" w:space="0" w:color="0064BB"/>
              <w:bottom w:val="single" w:sz="4" w:space="0" w:color="0064BB"/>
            </w:tcBorders>
            <w:shd w:val="clear" w:color="auto" w:fill="F1F1F1"/>
          </w:tcPr>
          <w:p w14:paraId="03947BE2" w14:textId="77777777" w:rsidR="009C36E3" w:rsidRDefault="000E7207">
            <w:pPr>
              <w:pStyle w:val="TableParagraph"/>
              <w:spacing w:before="80"/>
              <w:rPr>
                <w:b/>
                <w:sz w:val="18"/>
              </w:rPr>
            </w:pPr>
            <w:r>
              <w:rPr>
                <w:b/>
                <w:spacing w:val="-5"/>
                <w:sz w:val="18"/>
              </w:rPr>
              <w:t>45</w:t>
            </w:r>
          </w:p>
        </w:tc>
        <w:tc>
          <w:tcPr>
            <w:tcW w:w="2543" w:type="dxa"/>
            <w:tcBorders>
              <w:top w:val="single" w:sz="4" w:space="0" w:color="0064BB"/>
              <w:bottom w:val="single" w:sz="4" w:space="0" w:color="0064BB"/>
            </w:tcBorders>
          </w:tcPr>
          <w:p w14:paraId="72612EBE" w14:textId="77777777" w:rsidR="009C36E3" w:rsidRDefault="000E7207">
            <w:pPr>
              <w:pStyle w:val="TableParagraph"/>
              <w:ind w:left="108"/>
              <w:rPr>
                <w:sz w:val="20"/>
              </w:rPr>
            </w:pPr>
            <w:r>
              <w:rPr>
                <w:sz w:val="20"/>
              </w:rPr>
              <w:t>Nettie</w:t>
            </w:r>
            <w:r>
              <w:rPr>
                <w:spacing w:val="-9"/>
                <w:sz w:val="20"/>
              </w:rPr>
              <w:t xml:space="preserve"> </w:t>
            </w:r>
            <w:r>
              <w:rPr>
                <w:spacing w:val="-4"/>
                <w:sz w:val="20"/>
              </w:rPr>
              <w:t>Vuti</w:t>
            </w:r>
          </w:p>
        </w:tc>
        <w:tc>
          <w:tcPr>
            <w:tcW w:w="4108" w:type="dxa"/>
            <w:tcBorders>
              <w:top w:val="single" w:sz="4" w:space="0" w:color="0064BB"/>
              <w:bottom w:val="single" w:sz="4" w:space="0" w:color="0064BB"/>
            </w:tcBorders>
          </w:tcPr>
          <w:p w14:paraId="154B1E38" w14:textId="77777777" w:rsidR="009C36E3" w:rsidRDefault="000E7207">
            <w:pPr>
              <w:pStyle w:val="TableParagraph"/>
              <w:ind w:left="401"/>
              <w:rPr>
                <w:sz w:val="20"/>
              </w:rPr>
            </w:pPr>
            <w:r>
              <w:rPr>
                <w:sz w:val="20"/>
              </w:rPr>
              <w:t>Director</w:t>
            </w:r>
            <w:r>
              <w:rPr>
                <w:spacing w:val="-10"/>
                <w:sz w:val="20"/>
              </w:rPr>
              <w:t xml:space="preserve"> </w:t>
            </w:r>
            <w:r>
              <w:rPr>
                <w:sz w:val="20"/>
              </w:rPr>
              <w:t>Corporate</w:t>
            </w:r>
            <w:r>
              <w:rPr>
                <w:spacing w:val="-8"/>
                <w:sz w:val="20"/>
              </w:rPr>
              <w:t xml:space="preserve"> </w:t>
            </w:r>
            <w:r>
              <w:rPr>
                <w:sz w:val="20"/>
              </w:rPr>
              <w:t>Services</w:t>
            </w:r>
            <w:r>
              <w:rPr>
                <w:spacing w:val="-9"/>
                <w:sz w:val="20"/>
              </w:rPr>
              <w:t xml:space="preserve"> </w:t>
            </w:r>
            <w:r>
              <w:rPr>
                <w:spacing w:val="-4"/>
                <w:sz w:val="20"/>
              </w:rPr>
              <w:t>Unit</w:t>
            </w:r>
          </w:p>
        </w:tc>
        <w:tc>
          <w:tcPr>
            <w:tcW w:w="2846" w:type="dxa"/>
            <w:tcBorders>
              <w:top w:val="single" w:sz="4" w:space="0" w:color="0064BB"/>
              <w:bottom w:val="single" w:sz="4" w:space="0" w:color="0064BB"/>
            </w:tcBorders>
          </w:tcPr>
          <w:p w14:paraId="7DD31318" w14:textId="77777777" w:rsidR="009C36E3" w:rsidRDefault="000E7207">
            <w:pPr>
              <w:pStyle w:val="TableParagraph"/>
              <w:ind w:left="119"/>
              <w:rPr>
                <w:sz w:val="20"/>
              </w:rPr>
            </w:pPr>
            <w:r>
              <w:rPr>
                <w:sz w:val="20"/>
              </w:rPr>
              <w:t>Vanuatu</w:t>
            </w:r>
            <w:r>
              <w:rPr>
                <w:spacing w:val="-8"/>
                <w:sz w:val="20"/>
              </w:rPr>
              <w:t xml:space="preserve"> </w:t>
            </w:r>
            <w:r>
              <w:rPr>
                <w:sz w:val="20"/>
              </w:rPr>
              <w:t>Police</w:t>
            </w:r>
            <w:r>
              <w:rPr>
                <w:spacing w:val="-8"/>
                <w:sz w:val="20"/>
              </w:rPr>
              <w:t xml:space="preserve"> </w:t>
            </w:r>
            <w:r>
              <w:rPr>
                <w:spacing w:val="-4"/>
                <w:sz w:val="20"/>
              </w:rPr>
              <w:t>Force</w:t>
            </w:r>
          </w:p>
        </w:tc>
      </w:tr>
      <w:tr w:rsidR="009C36E3" w14:paraId="3F22E442" w14:textId="77777777">
        <w:trPr>
          <w:trHeight w:val="621"/>
        </w:trPr>
        <w:tc>
          <w:tcPr>
            <w:tcW w:w="708" w:type="dxa"/>
            <w:tcBorders>
              <w:top w:val="single" w:sz="4" w:space="0" w:color="0064BB"/>
              <w:bottom w:val="single" w:sz="4" w:space="0" w:color="0064BB"/>
            </w:tcBorders>
            <w:shd w:val="clear" w:color="auto" w:fill="F1F1F1"/>
          </w:tcPr>
          <w:p w14:paraId="47F0C5B8" w14:textId="77777777" w:rsidR="009C36E3" w:rsidRDefault="000E7207">
            <w:pPr>
              <w:pStyle w:val="TableParagraph"/>
              <w:spacing w:before="83"/>
              <w:rPr>
                <w:b/>
                <w:sz w:val="18"/>
              </w:rPr>
            </w:pPr>
            <w:r>
              <w:rPr>
                <w:b/>
                <w:spacing w:val="-5"/>
                <w:sz w:val="18"/>
              </w:rPr>
              <w:t>46</w:t>
            </w:r>
          </w:p>
        </w:tc>
        <w:tc>
          <w:tcPr>
            <w:tcW w:w="2543" w:type="dxa"/>
            <w:tcBorders>
              <w:top w:val="single" w:sz="4" w:space="0" w:color="0064BB"/>
              <w:bottom w:val="single" w:sz="4" w:space="0" w:color="0064BB"/>
            </w:tcBorders>
          </w:tcPr>
          <w:p w14:paraId="7ADE0240" w14:textId="77777777" w:rsidR="009C36E3" w:rsidRDefault="000E7207">
            <w:pPr>
              <w:pStyle w:val="TableParagraph"/>
              <w:spacing w:before="81"/>
              <w:ind w:left="108"/>
              <w:rPr>
                <w:sz w:val="20"/>
              </w:rPr>
            </w:pPr>
            <w:r>
              <w:rPr>
                <w:sz w:val="20"/>
              </w:rPr>
              <w:t>Barry</w:t>
            </w:r>
            <w:r>
              <w:rPr>
                <w:spacing w:val="-7"/>
                <w:sz w:val="20"/>
              </w:rPr>
              <w:t xml:space="preserve"> </w:t>
            </w:r>
            <w:r>
              <w:rPr>
                <w:spacing w:val="-2"/>
                <w:sz w:val="20"/>
              </w:rPr>
              <w:t>Patterson</w:t>
            </w:r>
          </w:p>
        </w:tc>
        <w:tc>
          <w:tcPr>
            <w:tcW w:w="4108" w:type="dxa"/>
            <w:tcBorders>
              <w:top w:val="single" w:sz="4" w:space="0" w:color="0064BB"/>
              <w:bottom w:val="single" w:sz="4" w:space="0" w:color="0064BB"/>
            </w:tcBorders>
          </w:tcPr>
          <w:p w14:paraId="32094C5C" w14:textId="77777777" w:rsidR="009C36E3" w:rsidRDefault="000E7207">
            <w:pPr>
              <w:pStyle w:val="TableParagraph"/>
              <w:spacing w:before="81"/>
              <w:ind w:left="401"/>
              <w:rPr>
                <w:sz w:val="20"/>
              </w:rPr>
            </w:pPr>
            <w:r>
              <w:rPr>
                <w:sz w:val="20"/>
              </w:rPr>
              <w:t>Director,</w:t>
            </w:r>
            <w:r>
              <w:rPr>
                <w:spacing w:val="-11"/>
                <w:sz w:val="20"/>
              </w:rPr>
              <w:t xml:space="preserve"> </w:t>
            </w:r>
            <w:r>
              <w:rPr>
                <w:sz w:val="20"/>
              </w:rPr>
              <w:t>Vanuatu</w:t>
            </w:r>
            <w:r>
              <w:rPr>
                <w:spacing w:val="-10"/>
                <w:sz w:val="20"/>
              </w:rPr>
              <w:t xml:space="preserve"> </w:t>
            </w:r>
            <w:r>
              <w:rPr>
                <w:spacing w:val="-2"/>
                <w:sz w:val="20"/>
              </w:rPr>
              <w:t>Section</w:t>
            </w:r>
          </w:p>
        </w:tc>
        <w:tc>
          <w:tcPr>
            <w:tcW w:w="2846" w:type="dxa"/>
            <w:tcBorders>
              <w:top w:val="single" w:sz="4" w:space="0" w:color="0064BB"/>
              <w:bottom w:val="single" w:sz="4" w:space="0" w:color="0064BB"/>
            </w:tcBorders>
          </w:tcPr>
          <w:p w14:paraId="29C329AF" w14:textId="77777777" w:rsidR="009C36E3" w:rsidRDefault="000E7207">
            <w:pPr>
              <w:pStyle w:val="TableParagraph"/>
              <w:spacing w:before="81"/>
              <w:ind w:left="119" w:right="207"/>
              <w:rPr>
                <w:sz w:val="20"/>
              </w:rPr>
            </w:pPr>
            <w:r>
              <w:rPr>
                <w:sz w:val="20"/>
              </w:rPr>
              <w:t>Department</w:t>
            </w:r>
            <w:r>
              <w:rPr>
                <w:spacing w:val="-14"/>
                <w:sz w:val="20"/>
              </w:rPr>
              <w:t xml:space="preserve"> </w:t>
            </w:r>
            <w:r>
              <w:rPr>
                <w:sz w:val="20"/>
              </w:rPr>
              <w:t>of</w:t>
            </w:r>
            <w:r>
              <w:rPr>
                <w:spacing w:val="-14"/>
                <w:sz w:val="20"/>
              </w:rPr>
              <w:t xml:space="preserve"> </w:t>
            </w:r>
            <w:r>
              <w:rPr>
                <w:sz w:val="20"/>
              </w:rPr>
              <w:t>Foreign Affairs and Trade</w:t>
            </w:r>
          </w:p>
        </w:tc>
      </w:tr>
      <w:tr w:rsidR="009C36E3" w14:paraId="2DC1794E" w14:textId="77777777">
        <w:trPr>
          <w:trHeight w:val="618"/>
        </w:trPr>
        <w:tc>
          <w:tcPr>
            <w:tcW w:w="708" w:type="dxa"/>
            <w:tcBorders>
              <w:top w:val="single" w:sz="4" w:space="0" w:color="0064BB"/>
              <w:bottom w:val="single" w:sz="4" w:space="0" w:color="0064BB"/>
            </w:tcBorders>
            <w:shd w:val="clear" w:color="auto" w:fill="F1F1F1"/>
          </w:tcPr>
          <w:p w14:paraId="389B8EF8" w14:textId="77777777" w:rsidR="009C36E3" w:rsidRDefault="000E7207">
            <w:pPr>
              <w:pStyle w:val="TableParagraph"/>
              <w:spacing w:before="80"/>
              <w:rPr>
                <w:b/>
                <w:sz w:val="18"/>
              </w:rPr>
            </w:pPr>
            <w:r>
              <w:rPr>
                <w:b/>
                <w:spacing w:val="-5"/>
                <w:sz w:val="18"/>
              </w:rPr>
              <w:t>47</w:t>
            </w:r>
          </w:p>
        </w:tc>
        <w:tc>
          <w:tcPr>
            <w:tcW w:w="2543" w:type="dxa"/>
            <w:tcBorders>
              <w:top w:val="single" w:sz="4" w:space="0" w:color="0064BB"/>
              <w:bottom w:val="single" w:sz="4" w:space="0" w:color="0064BB"/>
            </w:tcBorders>
          </w:tcPr>
          <w:p w14:paraId="42C89583" w14:textId="77777777" w:rsidR="009C36E3" w:rsidRDefault="000E7207">
            <w:pPr>
              <w:pStyle w:val="TableParagraph"/>
              <w:ind w:left="108"/>
              <w:rPr>
                <w:sz w:val="20"/>
              </w:rPr>
            </w:pPr>
            <w:r>
              <w:rPr>
                <w:sz w:val="20"/>
              </w:rPr>
              <w:t>Louise</w:t>
            </w:r>
            <w:r>
              <w:rPr>
                <w:spacing w:val="-8"/>
                <w:sz w:val="20"/>
              </w:rPr>
              <w:t xml:space="preserve"> </w:t>
            </w:r>
            <w:r>
              <w:rPr>
                <w:spacing w:val="-2"/>
                <w:sz w:val="20"/>
              </w:rPr>
              <w:t>Foster</w:t>
            </w:r>
          </w:p>
        </w:tc>
        <w:tc>
          <w:tcPr>
            <w:tcW w:w="4108" w:type="dxa"/>
            <w:tcBorders>
              <w:top w:val="single" w:sz="4" w:space="0" w:color="0064BB"/>
              <w:bottom w:val="single" w:sz="4" w:space="0" w:color="0064BB"/>
            </w:tcBorders>
          </w:tcPr>
          <w:p w14:paraId="241C9F21" w14:textId="77777777" w:rsidR="009C36E3" w:rsidRDefault="000E7207">
            <w:pPr>
              <w:pStyle w:val="TableParagraph"/>
              <w:ind w:left="401"/>
              <w:rPr>
                <w:sz w:val="20"/>
              </w:rPr>
            </w:pPr>
            <w:r>
              <w:rPr>
                <w:sz w:val="20"/>
              </w:rPr>
              <w:t>A/g</w:t>
            </w:r>
            <w:r>
              <w:rPr>
                <w:spacing w:val="-8"/>
                <w:sz w:val="20"/>
              </w:rPr>
              <w:t xml:space="preserve"> </w:t>
            </w:r>
            <w:r>
              <w:rPr>
                <w:sz w:val="20"/>
              </w:rPr>
              <w:t>Assistant</w:t>
            </w:r>
            <w:r>
              <w:rPr>
                <w:spacing w:val="-8"/>
                <w:sz w:val="20"/>
              </w:rPr>
              <w:t xml:space="preserve"> </w:t>
            </w:r>
            <w:r>
              <w:rPr>
                <w:sz w:val="20"/>
              </w:rPr>
              <w:t>Director,</w:t>
            </w:r>
            <w:r>
              <w:rPr>
                <w:spacing w:val="-8"/>
                <w:sz w:val="20"/>
              </w:rPr>
              <w:t xml:space="preserve"> </w:t>
            </w:r>
            <w:r>
              <w:rPr>
                <w:sz w:val="20"/>
              </w:rPr>
              <w:t>Vanuatu</w:t>
            </w:r>
            <w:r>
              <w:rPr>
                <w:spacing w:val="-8"/>
                <w:sz w:val="20"/>
              </w:rPr>
              <w:t xml:space="preserve"> </w:t>
            </w:r>
            <w:r>
              <w:rPr>
                <w:spacing w:val="-2"/>
                <w:sz w:val="20"/>
              </w:rPr>
              <w:t>Section</w:t>
            </w:r>
          </w:p>
        </w:tc>
        <w:tc>
          <w:tcPr>
            <w:tcW w:w="2846" w:type="dxa"/>
            <w:tcBorders>
              <w:top w:val="single" w:sz="4" w:space="0" w:color="0064BB"/>
              <w:bottom w:val="single" w:sz="4" w:space="0" w:color="0064BB"/>
            </w:tcBorders>
          </w:tcPr>
          <w:p w14:paraId="791174F9" w14:textId="77777777" w:rsidR="009C36E3" w:rsidRDefault="000E7207">
            <w:pPr>
              <w:pStyle w:val="TableParagraph"/>
              <w:ind w:left="119" w:right="207"/>
              <w:rPr>
                <w:sz w:val="20"/>
              </w:rPr>
            </w:pPr>
            <w:r>
              <w:rPr>
                <w:sz w:val="20"/>
              </w:rPr>
              <w:t>Department</w:t>
            </w:r>
            <w:r>
              <w:rPr>
                <w:spacing w:val="-14"/>
                <w:sz w:val="20"/>
              </w:rPr>
              <w:t xml:space="preserve"> </w:t>
            </w:r>
            <w:r>
              <w:rPr>
                <w:sz w:val="20"/>
              </w:rPr>
              <w:t>of</w:t>
            </w:r>
            <w:r>
              <w:rPr>
                <w:spacing w:val="-14"/>
                <w:sz w:val="20"/>
              </w:rPr>
              <w:t xml:space="preserve"> </w:t>
            </w:r>
            <w:r>
              <w:rPr>
                <w:sz w:val="20"/>
              </w:rPr>
              <w:t>Foreign Affairs and Trade</w:t>
            </w:r>
          </w:p>
        </w:tc>
      </w:tr>
      <w:tr w:rsidR="009C36E3" w14:paraId="0E641D09" w14:textId="77777777">
        <w:trPr>
          <w:trHeight w:val="621"/>
        </w:trPr>
        <w:tc>
          <w:tcPr>
            <w:tcW w:w="708" w:type="dxa"/>
            <w:tcBorders>
              <w:top w:val="single" w:sz="4" w:space="0" w:color="0064BB"/>
              <w:bottom w:val="single" w:sz="4" w:space="0" w:color="0064BB"/>
            </w:tcBorders>
            <w:shd w:val="clear" w:color="auto" w:fill="F1F1F1"/>
          </w:tcPr>
          <w:p w14:paraId="7257811F" w14:textId="77777777" w:rsidR="009C36E3" w:rsidRDefault="000E7207">
            <w:pPr>
              <w:pStyle w:val="TableParagraph"/>
              <w:spacing w:before="83"/>
              <w:rPr>
                <w:b/>
                <w:sz w:val="18"/>
              </w:rPr>
            </w:pPr>
            <w:r>
              <w:rPr>
                <w:b/>
                <w:spacing w:val="-5"/>
                <w:sz w:val="18"/>
              </w:rPr>
              <w:t>48</w:t>
            </w:r>
          </w:p>
        </w:tc>
        <w:tc>
          <w:tcPr>
            <w:tcW w:w="2543" w:type="dxa"/>
            <w:tcBorders>
              <w:top w:val="single" w:sz="4" w:space="0" w:color="0064BB"/>
              <w:bottom w:val="single" w:sz="4" w:space="0" w:color="0064BB"/>
            </w:tcBorders>
          </w:tcPr>
          <w:p w14:paraId="22016FA9" w14:textId="77777777" w:rsidR="009C36E3" w:rsidRDefault="000E7207">
            <w:pPr>
              <w:pStyle w:val="TableParagraph"/>
              <w:spacing w:before="81"/>
              <w:ind w:left="108"/>
              <w:rPr>
                <w:sz w:val="20"/>
              </w:rPr>
            </w:pPr>
            <w:r>
              <w:rPr>
                <w:sz w:val="20"/>
              </w:rPr>
              <w:t>Patrick</w:t>
            </w:r>
            <w:r>
              <w:rPr>
                <w:spacing w:val="-11"/>
                <w:sz w:val="20"/>
              </w:rPr>
              <w:t xml:space="preserve"> </w:t>
            </w:r>
            <w:r>
              <w:rPr>
                <w:spacing w:val="-4"/>
                <w:sz w:val="20"/>
              </w:rPr>
              <w:t>Chan</w:t>
            </w:r>
          </w:p>
        </w:tc>
        <w:tc>
          <w:tcPr>
            <w:tcW w:w="4108" w:type="dxa"/>
            <w:tcBorders>
              <w:top w:val="single" w:sz="4" w:space="0" w:color="0064BB"/>
              <w:bottom w:val="single" w:sz="4" w:space="0" w:color="0064BB"/>
            </w:tcBorders>
          </w:tcPr>
          <w:p w14:paraId="2C25615D" w14:textId="77777777" w:rsidR="009C36E3" w:rsidRDefault="000E7207">
            <w:pPr>
              <w:pStyle w:val="TableParagraph"/>
              <w:spacing w:before="81"/>
              <w:ind w:left="401"/>
              <w:rPr>
                <w:sz w:val="20"/>
              </w:rPr>
            </w:pPr>
            <w:r>
              <w:rPr>
                <w:sz w:val="20"/>
              </w:rPr>
              <w:t>A/g</w:t>
            </w:r>
            <w:r>
              <w:rPr>
                <w:spacing w:val="-8"/>
                <w:sz w:val="20"/>
              </w:rPr>
              <w:t xml:space="preserve"> </w:t>
            </w:r>
            <w:r>
              <w:rPr>
                <w:sz w:val="20"/>
              </w:rPr>
              <w:t>Assistant</w:t>
            </w:r>
            <w:r>
              <w:rPr>
                <w:spacing w:val="-8"/>
                <w:sz w:val="20"/>
              </w:rPr>
              <w:t xml:space="preserve"> </w:t>
            </w:r>
            <w:r>
              <w:rPr>
                <w:sz w:val="20"/>
              </w:rPr>
              <w:t>Director,</w:t>
            </w:r>
            <w:r>
              <w:rPr>
                <w:spacing w:val="-8"/>
                <w:sz w:val="20"/>
              </w:rPr>
              <w:t xml:space="preserve"> </w:t>
            </w:r>
            <w:r>
              <w:rPr>
                <w:sz w:val="20"/>
              </w:rPr>
              <w:t>Vanuatu</w:t>
            </w:r>
            <w:r>
              <w:rPr>
                <w:spacing w:val="-8"/>
                <w:sz w:val="20"/>
              </w:rPr>
              <w:t xml:space="preserve"> </w:t>
            </w:r>
            <w:r>
              <w:rPr>
                <w:spacing w:val="-2"/>
                <w:sz w:val="20"/>
              </w:rPr>
              <w:t>Section</w:t>
            </w:r>
          </w:p>
        </w:tc>
        <w:tc>
          <w:tcPr>
            <w:tcW w:w="2846" w:type="dxa"/>
            <w:tcBorders>
              <w:top w:val="single" w:sz="4" w:space="0" w:color="0064BB"/>
              <w:bottom w:val="single" w:sz="4" w:space="0" w:color="0064BB"/>
            </w:tcBorders>
          </w:tcPr>
          <w:p w14:paraId="311504C1" w14:textId="77777777" w:rsidR="009C36E3" w:rsidRDefault="000E7207">
            <w:pPr>
              <w:pStyle w:val="TableParagraph"/>
              <w:spacing w:before="81"/>
              <w:ind w:left="119" w:right="207"/>
              <w:rPr>
                <w:sz w:val="20"/>
              </w:rPr>
            </w:pPr>
            <w:r>
              <w:rPr>
                <w:sz w:val="20"/>
              </w:rPr>
              <w:t>Department</w:t>
            </w:r>
            <w:r>
              <w:rPr>
                <w:spacing w:val="-14"/>
                <w:sz w:val="20"/>
              </w:rPr>
              <w:t xml:space="preserve"> </w:t>
            </w:r>
            <w:r>
              <w:rPr>
                <w:sz w:val="20"/>
              </w:rPr>
              <w:t>of</w:t>
            </w:r>
            <w:r>
              <w:rPr>
                <w:spacing w:val="-14"/>
                <w:sz w:val="20"/>
              </w:rPr>
              <w:t xml:space="preserve"> </w:t>
            </w:r>
            <w:r>
              <w:rPr>
                <w:sz w:val="20"/>
              </w:rPr>
              <w:t>Foreign Affairs and Trade</w:t>
            </w:r>
          </w:p>
        </w:tc>
      </w:tr>
      <w:tr w:rsidR="009C36E3" w14:paraId="785BEA02" w14:textId="77777777">
        <w:trPr>
          <w:trHeight w:val="618"/>
        </w:trPr>
        <w:tc>
          <w:tcPr>
            <w:tcW w:w="708" w:type="dxa"/>
            <w:tcBorders>
              <w:top w:val="single" w:sz="4" w:space="0" w:color="0064BB"/>
              <w:bottom w:val="single" w:sz="4" w:space="0" w:color="0064BB"/>
            </w:tcBorders>
            <w:shd w:val="clear" w:color="auto" w:fill="F1F1F1"/>
          </w:tcPr>
          <w:p w14:paraId="31BA893C" w14:textId="77777777" w:rsidR="009C36E3" w:rsidRDefault="000E7207">
            <w:pPr>
              <w:pStyle w:val="TableParagraph"/>
              <w:spacing w:before="80"/>
              <w:rPr>
                <w:b/>
                <w:sz w:val="18"/>
              </w:rPr>
            </w:pPr>
            <w:r>
              <w:rPr>
                <w:b/>
                <w:spacing w:val="-5"/>
                <w:sz w:val="18"/>
              </w:rPr>
              <w:t>49</w:t>
            </w:r>
          </w:p>
        </w:tc>
        <w:tc>
          <w:tcPr>
            <w:tcW w:w="2543" w:type="dxa"/>
            <w:tcBorders>
              <w:top w:val="single" w:sz="4" w:space="0" w:color="0064BB"/>
              <w:bottom w:val="single" w:sz="4" w:space="0" w:color="0064BB"/>
            </w:tcBorders>
          </w:tcPr>
          <w:p w14:paraId="5C2F87A8" w14:textId="77777777" w:rsidR="009C36E3" w:rsidRDefault="000E7207">
            <w:pPr>
              <w:pStyle w:val="TableParagraph"/>
              <w:ind w:left="108"/>
              <w:rPr>
                <w:sz w:val="20"/>
              </w:rPr>
            </w:pPr>
            <w:r>
              <w:rPr>
                <w:sz w:val="20"/>
              </w:rPr>
              <w:t>Heidi</w:t>
            </w:r>
            <w:r>
              <w:rPr>
                <w:spacing w:val="-6"/>
                <w:sz w:val="20"/>
              </w:rPr>
              <w:t xml:space="preserve"> </w:t>
            </w:r>
            <w:r>
              <w:rPr>
                <w:spacing w:val="-2"/>
                <w:sz w:val="20"/>
              </w:rPr>
              <w:t>Bootle</w:t>
            </w:r>
          </w:p>
        </w:tc>
        <w:tc>
          <w:tcPr>
            <w:tcW w:w="4108" w:type="dxa"/>
            <w:tcBorders>
              <w:top w:val="single" w:sz="4" w:space="0" w:color="0064BB"/>
              <w:bottom w:val="single" w:sz="4" w:space="0" w:color="0064BB"/>
            </w:tcBorders>
          </w:tcPr>
          <w:p w14:paraId="26740F1A" w14:textId="77777777" w:rsidR="009C36E3" w:rsidRDefault="000E7207">
            <w:pPr>
              <w:pStyle w:val="TableParagraph"/>
              <w:ind w:left="401"/>
              <w:rPr>
                <w:sz w:val="20"/>
              </w:rPr>
            </w:pPr>
            <w:r>
              <w:rPr>
                <w:sz w:val="20"/>
              </w:rPr>
              <w:t>Head</w:t>
            </w:r>
            <w:r>
              <w:rPr>
                <w:spacing w:val="-4"/>
                <w:sz w:val="20"/>
              </w:rPr>
              <w:t xml:space="preserve"> </w:t>
            </w:r>
            <w:r>
              <w:rPr>
                <w:sz w:val="20"/>
              </w:rPr>
              <w:t>of</w:t>
            </w:r>
            <w:r>
              <w:rPr>
                <w:spacing w:val="-6"/>
                <w:sz w:val="20"/>
              </w:rPr>
              <w:t xml:space="preserve"> </w:t>
            </w:r>
            <w:r>
              <w:rPr>
                <w:sz w:val="20"/>
              </w:rPr>
              <w:t>Mission,</w:t>
            </w:r>
            <w:r>
              <w:rPr>
                <w:spacing w:val="-6"/>
                <w:sz w:val="20"/>
              </w:rPr>
              <w:t xml:space="preserve"> </w:t>
            </w:r>
            <w:r>
              <w:rPr>
                <w:sz w:val="20"/>
              </w:rPr>
              <w:t>Port</w:t>
            </w:r>
            <w:r>
              <w:rPr>
                <w:spacing w:val="-6"/>
                <w:sz w:val="20"/>
              </w:rPr>
              <w:t xml:space="preserve"> </w:t>
            </w:r>
            <w:r>
              <w:rPr>
                <w:spacing w:val="-4"/>
                <w:sz w:val="20"/>
              </w:rPr>
              <w:t>Vila</w:t>
            </w:r>
          </w:p>
        </w:tc>
        <w:tc>
          <w:tcPr>
            <w:tcW w:w="2846" w:type="dxa"/>
            <w:tcBorders>
              <w:top w:val="single" w:sz="4" w:space="0" w:color="0064BB"/>
              <w:bottom w:val="single" w:sz="4" w:space="0" w:color="0064BB"/>
            </w:tcBorders>
          </w:tcPr>
          <w:p w14:paraId="4D740E78" w14:textId="77777777" w:rsidR="009C36E3" w:rsidRDefault="000E7207">
            <w:pPr>
              <w:pStyle w:val="TableParagraph"/>
              <w:ind w:left="119" w:right="207"/>
              <w:rPr>
                <w:sz w:val="20"/>
              </w:rPr>
            </w:pPr>
            <w:r>
              <w:rPr>
                <w:sz w:val="20"/>
              </w:rPr>
              <w:t>Department</w:t>
            </w:r>
            <w:r>
              <w:rPr>
                <w:spacing w:val="-14"/>
                <w:sz w:val="20"/>
              </w:rPr>
              <w:t xml:space="preserve"> </w:t>
            </w:r>
            <w:r>
              <w:rPr>
                <w:sz w:val="20"/>
              </w:rPr>
              <w:t>of</w:t>
            </w:r>
            <w:r>
              <w:rPr>
                <w:spacing w:val="-14"/>
                <w:sz w:val="20"/>
              </w:rPr>
              <w:t xml:space="preserve"> </w:t>
            </w:r>
            <w:r>
              <w:rPr>
                <w:sz w:val="20"/>
              </w:rPr>
              <w:t>Foreign Affairs and Trade</w:t>
            </w:r>
          </w:p>
        </w:tc>
      </w:tr>
      <w:tr w:rsidR="009C36E3" w14:paraId="11C831A5" w14:textId="77777777">
        <w:trPr>
          <w:trHeight w:val="621"/>
        </w:trPr>
        <w:tc>
          <w:tcPr>
            <w:tcW w:w="708" w:type="dxa"/>
            <w:tcBorders>
              <w:top w:val="single" w:sz="4" w:space="0" w:color="0064BB"/>
              <w:bottom w:val="single" w:sz="4" w:space="0" w:color="0064BB"/>
            </w:tcBorders>
            <w:shd w:val="clear" w:color="auto" w:fill="F1F1F1"/>
          </w:tcPr>
          <w:p w14:paraId="792D3573" w14:textId="77777777" w:rsidR="009C36E3" w:rsidRDefault="000E7207">
            <w:pPr>
              <w:pStyle w:val="TableParagraph"/>
              <w:spacing w:before="83"/>
              <w:rPr>
                <w:b/>
                <w:sz w:val="18"/>
              </w:rPr>
            </w:pPr>
            <w:r>
              <w:rPr>
                <w:b/>
                <w:spacing w:val="-5"/>
                <w:sz w:val="18"/>
              </w:rPr>
              <w:t>50</w:t>
            </w:r>
          </w:p>
        </w:tc>
        <w:tc>
          <w:tcPr>
            <w:tcW w:w="2543" w:type="dxa"/>
            <w:tcBorders>
              <w:top w:val="single" w:sz="4" w:space="0" w:color="0064BB"/>
              <w:bottom w:val="single" w:sz="4" w:space="0" w:color="0064BB"/>
            </w:tcBorders>
          </w:tcPr>
          <w:p w14:paraId="56687E2D" w14:textId="77777777" w:rsidR="009C36E3" w:rsidRDefault="000E7207">
            <w:pPr>
              <w:pStyle w:val="TableParagraph"/>
              <w:spacing w:before="81"/>
              <w:ind w:left="108"/>
              <w:rPr>
                <w:sz w:val="20"/>
              </w:rPr>
            </w:pPr>
            <w:r>
              <w:rPr>
                <w:sz w:val="20"/>
              </w:rPr>
              <w:t>Suzanne</w:t>
            </w:r>
            <w:r>
              <w:rPr>
                <w:spacing w:val="-8"/>
                <w:sz w:val="20"/>
              </w:rPr>
              <w:t xml:space="preserve"> </w:t>
            </w:r>
            <w:r>
              <w:rPr>
                <w:spacing w:val="-2"/>
                <w:sz w:val="20"/>
              </w:rPr>
              <w:t>Akila</w:t>
            </w:r>
          </w:p>
        </w:tc>
        <w:tc>
          <w:tcPr>
            <w:tcW w:w="4108" w:type="dxa"/>
            <w:tcBorders>
              <w:top w:val="single" w:sz="4" w:space="0" w:color="0064BB"/>
              <w:bottom w:val="single" w:sz="4" w:space="0" w:color="0064BB"/>
            </w:tcBorders>
          </w:tcPr>
          <w:p w14:paraId="01BD78DE" w14:textId="77777777" w:rsidR="009C36E3" w:rsidRDefault="000E7207">
            <w:pPr>
              <w:pStyle w:val="TableParagraph"/>
              <w:spacing w:before="81"/>
              <w:ind w:left="401"/>
              <w:rPr>
                <w:sz w:val="20"/>
              </w:rPr>
            </w:pPr>
            <w:r>
              <w:rPr>
                <w:sz w:val="20"/>
              </w:rPr>
              <w:t>Deputy</w:t>
            </w:r>
            <w:r>
              <w:rPr>
                <w:spacing w:val="-7"/>
                <w:sz w:val="20"/>
              </w:rPr>
              <w:t xml:space="preserve"> </w:t>
            </w:r>
            <w:r>
              <w:rPr>
                <w:sz w:val="20"/>
              </w:rPr>
              <w:t>Head</w:t>
            </w:r>
            <w:r>
              <w:rPr>
                <w:spacing w:val="-5"/>
                <w:sz w:val="20"/>
              </w:rPr>
              <w:t xml:space="preserve"> </w:t>
            </w:r>
            <w:r>
              <w:rPr>
                <w:sz w:val="20"/>
              </w:rPr>
              <w:t>of</w:t>
            </w:r>
            <w:r>
              <w:rPr>
                <w:spacing w:val="-5"/>
                <w:sz w:val="20"/>
              </w:rPr>
              <w:t xml:space="preserve"> </w:t>
            </w:r>
            <w:r>
              <w:rPr>
                <w:sz w:val="20"/>
              </w:rPr>
              <w:t>Mission,</w:t>
            </w:r>
            <w:r>
              <w:rPr>
                <w:spacing w:val="-5"/>
                <w:sz w:val="20"/>
              </w:rPr>
              <w:t xml:space="preserve"> </w:t>
            </w:r>
            <w:r>
              <w:rPr>
                <w:sz w:val="20"/>
              </w:rPr>
              <w:t>Port</w:t>
            </w:r>
            <w:r>
              <w:rPr>
                <w:spacing w:val="-7"/>
                <w:sz w:val="20"/>
              </w:rPr>
              <w:t xml:space="preserve"> </w:t>
            </w:r>
            <w:r>
              <w:rPr>
                <w:spacing w:val="-4"/>
                <w:sz w:val="20"/>
              </w:rPr>
              <w:t>Vila</w:t>
            </w:r>
          </w:p>
        </w:tc>
        <w:tc>
          <w:tcPr>
            <w:tcW w:w="2846" w:type="dxa"/>
            <w:tcBorders>
              <w:top w:val="single" w:sz="4" w:space="0" w:color="0064BB"/>
              <w:bottom w:val="single" w:sz="4" w:space="0" w:color="0064BB"/>
            </w:tcBorders>
          </w:tcPr>
          <w:p w14:paraId="5CD27B11" w14:textId="77777777" w:rsidR="009C36E3" w:rsidRDefault="000E7207">
            <w:pPr>
              <w:pStyle w:val="TableParagraph"/>
              <w:spacing w:before="81"/>
              <w:ind w:left="119" w:right="207"/>
              <w:rPr>
                <w:sz w:val="20"/>
              </w:rPr>
            </w:pPr>
            <w:r>
              <w:rPr>
                <w:sz w:val="20"/>
              </w:rPr>
              <w:t>Department</w:t>
            </w:r>
            <w:r>
              <w:rPr>
                <w:spacing w:val="-14"/>
                <w:sz w:val="20"/>
              </w:rPr>
              <w:t xml:space="preserve"> </w:t>
            </w:r>
            <w:r>
              <w:rPr>
                <w:sz w:val="20"/>
              </w:rPr>
              <w:t>of</w:t>
            </w:r>
            <w:r>
              <w:rPr>
                <w:spacing w:val="-14"/>
                <w:sz w:val="20"/>
              </w:rPr>
              <w:t xml:space="preserve"> </w:t>
            </w:r>
            <w:r>
              <w:rPr>
                <w:sz w:val="20"/>
              </w:rPr>
              <w:t>Foreign Affairs and Trade</w:t>
            </w:r>
          </w:p>
        </w:tc>
      </w:tr>
      <w:tr w:rsidR="009C36E3" w14:paraId="0B387641" w14:textId="77777777">
        <w:trPr>
          <w:trHeight w:val="618"/>
        </w:trPr>
        <w:tc>
          <w:tcPr>
            <w:tcW w:w="708" w:type="dxa"/>
            <w:tcBorders>
              <w:top w:val="single" w:sz="4" w:space="0" w:color="0064BB"/>
              <w:bottom w:val="single" w:sz="4" w:space="0" w:color="0064BB"/>
            </w:tcBorders>
            <w:shd w:val="clear" w:color="auto" w:fill="F1F1F1"/>
          </w:tcPr>
          <w:p w14:paraId="482531BA" w14:textId="77777777" w:rsidR="009C36E3" w:rsidRDefault="000E7207">
            <w:pPr>
              <w:pStyle w:val="TableParagraph"/>
              <w:spacing w:before="80"/>
              <w:rPr>
                <w:b/>
                <w:sz w:val="18"/>
              </w:rPr>
            </w:pPr>
            <w:r>
              <w:rPr>
                <w:b/>
                <w:spacing w:val="-5"/>
                <w:sz w:val="18"/>
              </w:rPr>
              <w:t>51</w:t>
            </w:r>
          </w:p>
        </w:tc>
        <w:tc>
          <w:tcPr>
            <w:tcW w:w="2543" w:type="dxa"/>
            <w:tcBorders>
              <w:top w:val="single" w:sz="4" w:space="0" w:color="0064BB"/>
              <w:bottom w:val="single" w:sz="4" w:space="0" w:color="0064BB"/>
            </w:tcBorders>
          </w:tcPr>
          <w:p w14:paraId="55F17B8B" w14:textId="77777777" w:rsidR="009C36E3" w:rsidRDefault="000E7207">
            <w:pPr>
              <w:pStyle w:val="TableParagraph"/>
              <w:ind w:left="108"/>
              <w:rPr>
                <w:sz w:val="20"/>
              </w:rPr>
            </w:pPr>
            <w:r>
              <w:rPr>
                <w:sz w:val="20"/>
              </w:rPr>
              <w:t>Stephanie</w:t>
            </w:r>
            <w:r>
              <w:rPr>
                <w:spacing w:val="-13"/>
                <w:sz w:val="20"/>
              </w:rPr>
              <w:t xml:space="preserve"> </w:t>
            </w:r>
            <w:r>
              <w:rPr>
                <w:spacing w:val="-2"/>
                <w:sz w:val="20"/>
              </w:rPr>
              <w:t>Kimber</w:t>
            </w:r>
          </w:p>
        </w:tc>
        <w:tc>
          <w:tcPr>
            <w:tcW w:w="4108" w:type="dxa"/>
            <w:tcBorders>
              <w:top w:val="single" w:sz="4" w:space="0" w:color="0064BB"/>
              <w:bottom w:val="single" w:sz="4" w:space="0" w:color="0064BB"/>
            </w:tcBorders>
          </w:tcPr>
          <w:p w14:paraId="2C1D6E92" w14:textId="77777777" w:rsidR="009C36E3" w:rsidRDefault="000E7207">
            <w:pPr>
              <w:pStyle w:val="TableParagraph"/>
              <w:ind w:left="401"/>
              <w:rPr>
                <w:sz w:val="20"/>
              </w:rPr>
            </w:pPr>
            <w:r>
              <w:rPr>
                <w:sz w:val="20"/>
              </w:rPr>
              <w:t>First</w:t>
            </w:r>
            <w:r>
              <w:rPr>
                <w:spacing w:val="-9"/>
                <w:sz w:val="20"/>
              </w:rPr>
              <w:t xml:space="preserve"> </w:t>
            </w:r>
            <w:r>
              <w:rPr>
                <w:sz w:val="20"/>
              </w:rPr>
              <w:t>Secretary</w:t>
            </w:r>
            <w:r>
              <w:rPr>
                <w:spacing w:val="-7"/>
                <w:sz w:val="20"/>
              </w:rPr>
              <w:t xml:space="preserve"> </w:t>
            </w:r>
            <w:r>
              <w:rPr>
                <w:sz w:val="20"/>
              </w:rPr>
              <w:t>–</w:t>
            </w:r>
            <w:r>
              <w:rPr>
                <w:spacing w:val="-6"/>
                <w:sz w:val="20"/>
              </w:rPr>
              <w:t xml:space="preserve"> </w:t>
            </w:r>
            <w:r>
              <w:rPr>
                <w:sz w:val="20"/>
              </w:rPr>
              <w:t>Development,</w:t>
            </w:r>
            <w:r>
              <w:rPr>
                <w:spacing w:val="-7"/>
                <w:sz w:val="20"/>
              </w:rPr>
              <w:t xml:space="preserve"> </w:t>
            </w:r>
            <w:r>
              <w:rPr>
                <w:sz w:val="20"/>
              </w:rPr>
              <w:t>Port</w:t>
            </w:r>
            <w:r>
              <w:rPr>
                <w:spacing w:val="-6"/>
                <w:sz w:val="20"/>
              </w:rPr>
              <w:t xml:space="preserve"> </w:t>
            </w:r>
            <w:r>
              <w:rPr>
                <w:spacing w:val="-4"/>
                <w:sz w:val="20"/>
              </w:rPr>
              <w:t>Vila</w:t>
            </w:r>
          </w:p>
        </w:tc>
        <w:tc>
          <w:tcPr>
            <w:tcW w:w="2846" w:type="dxa"/>
            <w:tcBorders>
              <w:top w:val="single" w:sz="4" w:space="0" w:color="0064BB"/>
              <w:bottom w:val="single" w:sz="4" w:space="0" w:color="0064BB"/>
            </w:tcBorders>
          </w:tcPr>
          <w:p w14:paraId="0027A02C" w14:textId="77777777" w:rsidR="009C36E3" w:rsidRDefault="000E7207">
            <w:pPr>
              <w:pStyle w:val="TableParagraph"/>
              <w:ind w:left="119" w:right="207"/>
              <w:rPr>
                <w:sz w:val="20"/>
              </w:rPr>
            </w:pPr>
            <w:r>
              <w:rPr>
                <w:sz w:val="20"/>
              </w:rPr>
              <w:t>Department</w:t>
            </w:r>
            <w:r>
              <w:rPr>
                <w:spacing w:val="-14"/>
                <w:sz w:val="20"/>
              </w:rPr>
              <w:t xml:space="preserve"> </w:t>
            </w:r>
            <w:r>
              <w:rPr>
                <w:sz w:val="20"/>
              </w:rPr>
              <w:t>of</w:t>
            </w:r>
            <w:r>
              <w:rPr>
                <w:spacing w:val="-14"/>
                <w:sz w:val="20"/>
              </w:rPr>
              <w:t xml:space="preserve"> </w:t>
            </w:r>
            <w:r>
              <w:rPr>
                <w:sz w:val="20"/>
              </w:rPr>
              <w:t>Foreign Affairs and Trade-</w:t>
            </w:r>
          </w:p>
        </w:tc>
      </w:tr>
      <w:tr w:rsidR="009C36E3" w14:paraId="1FD895DB" w14:textId="77777777">
        <w:trPr>
          <w:trHeight w:val="621"/>
        </w:trPr>
        <w:tc>
          <w:tcPr>
            <w:tcW w:w="708" w:type="dxa"/>
            <w:tcBorders>
              <w:top w:val="single" w:sz="4" w:space="0" w:color="0064BB"/>
              <w:bottom w:val="single" w:sz="4" w:space="0" w:color="0064BB"/>
            </w:tcBorders>
            <w:shd w:val="clear" w:color="auto" w:fill="F1F1F1"/>
          </w:tcPr>
          <w:p w14:paraId="101D4CEC" w14:textId="77777777" w:rsidR="009C36E3" w:rsidRDefault="000E7207">
            <w:pPr>
              <w:pStyle w:val="TableParagraph"/>
              <w:spacing w:before="83"/>
              <w:rPr>
                <w:b/>
                <w:sz w:val="18"/>
              </w:rPr>
            </w:pPr>
            <w:r>
              <w:rPr>
                <w:b/>
                <w:spacing w:val="-5"/>
                <w:sz w:val="18"/>
              </w:rPr>
              <w:t>52</w:t>
            </w:r>
          </w:p>
        </w:tc>
        <w:tc>
          <w:tcPr>
            <w:tcW w:w="2543" w:type="dxa"/>
            <w:tcBorders>
              <w:top w:val="single" w:sz="4" w:space="0" w:color="0064BB"/>
              <w:bottom w:val="single" w:sz="4" w:space="0" w:color="0064BB"/>
            </w:tcBorders>
          </w:tcPr>
          <w:p w14:paraId="4F1CA927" w14:textId="77777777" w:rsidR="009C36E3" w:rsidRDefault="000E7207">
            <w:pPr>
              <w:pStyle w:val="TableParagraph"/>
              <w:spacing w:before="81"/>
              <w:ind w:left="108"/>
              <w:rPr>
                <w:sz w:val="20"/>
              </w:rPr>
            </w:pPr>
            <w:r>
              <w:rPr>
                <w:sz w:val="20"/>
              </w:rPr>
              <w:t>Cathy</w:t>
            </w:r>
            <w:r>
              <w:rPr>
                <w:spacing w:val="-9"/>
                <w:sz w:val="20"/>
              </w:rPr>
              <w:t xml:space="preserve"> </w:t>
            </w:r>
            <w:r>
              <w:rPr>
                <w:spacing w:val="-2"/>
                <w:sz w:val="20"/>
              </w:rPr>
              <w:t>McWilliam</w:t>
            </w:r>
          </w:p>
        </w:tc>
        <w:tc>
          <w:tcPr>
            <w:tcW w:w="4108" w:type="dxa"/>
            <w:tcBorders>
              <w:top w:val="single" w:sz="4" w:space="0" w:color="0064BB"/>
              <w:bottom w:val="single" w:sz="4" w:space="0" w:color="0064BB"/>
            </w:tcBorders>
          </w:tcPr>
          <w:p w14:paraId="19922D4D" w14:textId="77777777" w:rsidR="009C36E3" w:rsidRDefault="000E7207">
            <w:pPr>
              <w:pStyle w:val="TableParagraph"/>
              <w:spacing w:before="81"/>
              <w:ind w:left="401"/>
              <w:rPr>
                <w:sz w:val="20"/>
              </w:rPr>
            </w:pPr>
            <w:r>
              <w:rPr>
                <w:sz w:val="20"/>
              </w:rPr>
              <w:t>First</w:t>
            </w:r>
            <w:r>
              <w:rPr>
                <w:spacing w:val="-9"/>
                <w:sz w:val="20"/>
              </w:rPr>
              <w:t xml:space="preserve"> </w:t>
            </w:r>
            <w:r>
              <w:rPr>
                <w:sz w:val="20"/>
              </w:rPr>
              <w:t>Secretary,</w:t>
            </w:r>
            <w:r>
              <w:rPr>
                <w:spacing w:val="-7"/>
                <w:sz w:val="20"/>
              </w:rPr>
              <w:t xml:space="preserve"> </w:t>
            </w:r>
            <w:r>
              <w:rPr>
                <w:sz w:val="20"/>
              </w:rPr>
              <w:t>Port</w:t>
            </w:r>
            <w:r>
              <w:rPr>
                <w:spacing w:val="-6"/>
                <w:sz w:val="20"/>
              </w:rPr>
              <w:t xml:space="preserve"> </w:t>
            </w:r>
            <w:r>
              <w:rPr>
                <w:spacing w:val="-4"/>
                <w:sz w:val="20"/>
              </w:rPr>
              <w:t>Vila</w:t>
            </w:r>
          </w:p>
        </w:tc>
        <w:tc>
          <w:tcPr>
            <w:tcW w:w="2846" w:type="dxa"/>
            <w:tcBorders>
              <w:top w:val="single" w:sz="4" w:space="0" w:color="0064BB"/>
              <w:bottom w:val="single" w:sz="4" w:space="0" w:color="0064BB"/>
            </w:tcBorders>
          </w:tcPr>
          <w:p w14:paraId="17E0A2F7" w14:textId="77777777" w:rsidR="009C36E3" w:rsidRDefault="000E7207">
            <w:pPr>
              <w:pStyle w:val="TableParagraph"/>
              <w:spacing w:before="81"/>
              <w:ind w:left="119" w:right="207"/>
              <w:rPr>
                <w:sz w:val="20"/>
              </w:rPr>
            </w:pPr>
            <w:r>
              <w:rPr>
                <w:sz w:val="20"/>
              </w:rPr>
              <w:t>Department</w:t>
            </w:r>
            <w:r>
              <w:rPr>
                <w:spacing w:val="-14"/>
                <w:sz w:val="20"/>
              </w:rPr>
              <w:t xml:space="preserve"> </w:t>
            </w:r>
            <w:r>
              <w:rPr>
                <w:sz w:val="20"/>
              </w:rPr>
              <w:t>of</w:t>
            </w:r>
            <w:r>
              <w:rPr>
                <w:spacing w:val="-14"/>
                <w:sz w:val="20"/>
              </w:rPr>
              <w:t xml:space="preserve"> </w:t>
            </w:r>
            <w:r>
              <w:rPr>
                <w:sz w:val="20"/>
              </w:rPr>
              <w:t>Foreign Affairs and Trade-</w:t>
            </w:r>
          </w:p>
        </w:tc>
      </w:tr>
      <w:tr w:rsidR="009C36E3" w14:paraId="13478346" w14:textId="77777777">
        <w:trPr>
          <w:trHeight w:val="618"/>
        </w:trPr>
        <w:tc>
          <w:tcPr>
            <w:tcW w:w="708" w:type="dxa"/>
            <w:tcBorders>
              <w:top w:val="single" w:sz="4" w:space="0" w:color="0064BB"/>
              <w:bottom w:val="single" w:sz="4" w:space="0" w:color="0064BB"/>
            </w:tcBorders>
            <w:shd w:val="clear" w:color="auto" w:fill="F1F1F1"/>
          </w:tcPr>
          <w:p w14:paraId="52F9A7E8" w14:textId="77777777" w:rsidR="009C36E3" w:rsidRDefault="000E7207">
            <w:pPr>
              <w:pStyle w:val="TableParagraph"/>
              <w:spacing w:before="80"/>
              <w:rPr>
                <w:b/>
                <w:sz w:val="18"/>
              </w:rPr>
            </w:pPr>
            <w:r>
              <w:rPr>
                <w:b/>
                <w:spacing w:val="-5"/>
                <w:sz w:val="18"/>
              </w:rPr>
              <w:t>53</w:t>
            </w:r>
          </w:p>
        </w:tc>
        <w:tc>
          <w:tcPr>
            <w:tcW w:w="2543" w:type="dxa"/>
            <w:tcBorders>
              <w:top w:val="single" w:sz="4" w:space="0" w:color="0064BB"/>
              <w:bottom w:val="single" w:sz="4" w:space="0" w:color="0064BB"/>
            </w:tcBorders>
          </w:tcPr>
          <w:p w14:paraId="4EAB55B5" w14:textId="77777777" w:rsidR="009C36E3" w:rsidRDefault="000E7207">
            <w:pPr>
              <w:pStyle w:val="TableParagraph"/>
              <w:ind w:left="108"/>
              <w:rPr>
                <w:sz w:val="20"/>
              </w:rPr>
            </w:pPr>
            <w:r>
              <w:rPr>
                <w:sz w:val="20"/>
              </w:rPr>
              <w:t>Paul</w:t>
            </w:r>
            <w:r>
              <w:rPr>
                <w:spacing w:val="-8"/>
                <w:sz w:val="20"/>
              </w:rPr>
              <w:t xml:space="preserve"> </w:t>
            </w:r>
            <w:r>
              <w:rPr>
                <w:spacing w:val="-2"/>
                <w:sz w:val="20"/>
              </w:rPr>
              <w:t>Regault</w:t>
            </w:r>
          </w:p>
        </w:tc>
        <w:tc>
          <w:tcPr>
            <w:tcW w:w="4108" w:type="dxa"/>
            <w:tcBorders>
              <w:top w:val="single" w:sz="4" w:space="0" w:color="0064BB"/>
              <w:bottom w:val="single" w:sz="4" w:space="0" w:color="0064BB"/>
            </w:tcBorders>
          </w:tcPr>
          <w:p w14:paraId="1E03E636" w14:textId="77777777" w:rsidR="009C36E3" w:rsidRDefault="000E7207">
            <w:pPr>
              <w:pStyle w:val="TableParagraph"/>
              <w:ind w:left="401" w:right="224"/>
              <w:rPr>
                <w:sz w:val="20"/>
              </w:rPr>
            </w:pPr>
            <w:r>
              <w:rPr>
                <w:sz w:val="20"/>
              </w:rPr>
              <w:t>First</w:t>
            </w:r>
            <w:r>
              <w:rPr>
                <w:spacing w:val="-14"/>
                <w:sz w:val="20"/>
              </w:rPr>
              <w:t xml:space="preserve"> </w:t>
            </w:r>
            <w:r>
              <w:rPr>
                <w:sz w:val="20"/>
              </w:rPr>
              <w:t>Secretary,</w:t>
            </w:r>
            <w:r>
              <w:rPr>
                <w:spacing w:val="-14"/>
                <w:sz w:val="20"/>
              </w:rPr>
              <w:t xml:space="preserve"> </w:t>
            </w:r>
            <w:r>
              <w:rPr>
                <w:sz w:val="20"/>
              </w:rPr>
              <w:t>Infrastructure</w:t>
            </w:r>
            <w:r>
              <w:rPr>
                <w:spacing w:val="-14"/>
                <w:sz w:val="20"/>
              </w:rPr>
              <w:t xml:space="preserve"> </w:t>
            </w:r>
            <w:r>
              <w:rPr>
                <w:sz w:val="20"/>
              </w:rPr>
              <w:t xml:space="preserve">and </w:t>
            </w:r>
            <w:r>
              <w:rPr>
                <w:spacing w:val="-2"/>
                <w:sz w:val="20"/>
              </w:rPr>
              <w:t>Health</w:t>
            </w:r>
          </w:p>
        </w:tc>
        <w:tc>
          <w:tcPr>
            <w:tcW w:w="2846" w:type="dxa"/>
            <w:tcBorders>
              <w:top w:val="single" w:sz="4" w:space="0" w:color="0064BB"/>
              <w:bottom w:val="single" w:sz="4" w:space="0" w:color="0064BB"/>
            </w:tcBorders>
          </w:tcPr>
          <w:p w14:paraId="16A356D9" w14:textId="77777777" w:rsidR="009C36E3" w:rsidRDefault="000E7207">
            <w:pPr>
              <w:pStyle w:val="TableParagraph"/>
              <w:ind w:left="119" w:right="207"/>
              <w:rPr>
                <w:sz w:val="20"/>
              </w:rPr>
            </w:pPr>
            <w:r>
              <w:rPr>
                <w:sz w:val="20"/>
              </w:rPr>
              <w:t>Department</w:t>
            </w:r>
            <w:r>
              <w:rPr>
                <w:spacing w:val="-14"/>
                <w:sz w:val="20"/>
              </w:rPr>
              <w:t xml:space="preserve"> </w:t>
            </w:r>
            <w:r>
              <w:rPr>
                <w:sz w:val="20"/>
              </w:rPr>
              <w:t>of</w:t>
            </w:r>
            <w:r>
              <w:rPr>
                <w:spacing w:val="-14"/>
                <w:sz w:val="20"/>
              </w:rPr>
              <w:t xml:space="preserve"> </w:t>
            </w:r>
            <w:r>
              <w:rPr>
                <w:sz w:val="20"/>
              </w:rPr>
              <w:t>Foreign Affairs and Trade-</w:t>
            </w:r>
          </w:p>
        </w:tc>
      </w:tr>
      <w:tr w:rsidR="009C36E3" w14:paraId="1733B6F5" w14:textId="77777777">
        <w:trPr>
          <w:trHeight w:val="621"/>
        </w:trPr>
        <w:tc>
          <w:tcPr>
            <w:tcW w:w="708" w:type="dxa"/>
            <w:tcBorders>
              <w:top w:val="single" w:sz="4" w:space="0" w:color="0064BB"/>
              <w:bottom w:val="single" w:sz="4" w:space="0" w:color="0064BB"/>
            </w:tcBorders>
            <w:shd w:val="clear" w:color="auto" w:fill="F1F1F1"/>
          </w:tcPr>
          <w:p w14:paraId="3983D000" w14:textId="77777777" w:rsidR="009C36E3" w:rsidRDefault="000E7207">
            <w:pPr>
              <w:pStyle w:val="TableParagraph"/>
              <w:spacing w:before="83"/>
              <w:rPr>
                <w:b/>
                <w:sz w:val="18"/>
              </w:rPr>
            </w:pPr>
            <w:r>
              <w:rPr>
                <w:b/>
                <w:spacing w:val="-5"/>
                <w:sz w:val="18"/>
              </w:rPr>
              <w:t>54</w:t>
            </w:r>
          </w:p>
        </w:tc>
        <w:tc>
          <w:tcPr>
            <w:tcW w:w="2543" w:type="dxa"/>
            <w:tcBorders>
              <w:top w:val="single" w:sz="4" w:space="0" w:color="0064BB"/>
              <w:bottom w:val="single" w:sz="4" w:space="0" w:color="0064BB"/>
            </w:tcBorders>
          </w:tcPr>
          <w:p w14:paraId="10CF52FD" w14:textId="77777777" w:rsidR="009C36E3" w:rsidRDefault="000E7207">
            <w:pPr>
              <w:pStyle w:val="TableParagraph"/>
              <w:spacing w:before="81"/>
              <w:ind w:left="108"/>
              <w:rPr>
                <w:sz w:val="20"/>
              </w:rPr>
            </w:pPr>
            <w:r>
              <w:rPr>
                <w:sz w:val="20"/>
              </w:rPr>
              <w:t>Renie</w:t>
            </w:r>
            <w:r>
              <w:rPr>
                <w:spacing w:val="-8"/>
                <w:sz w:val="20"/>
              </w:rPr>
              <w:t xml:space="preserve"> </w:t>
            </w:r>
            <w:r>
              <w:rPr>
                <w:spacing w:val="-2"/>
                <w:sz w:val="20"/>
              </w:rPr>
              <w:t>Anderson</w:t>
            </w:r>
          </w:p>
        </w:tc>
        <w:tc>
          <w:tcPr>
            <w:tcW w:w="4108" w:type="dxa"/>
            <w:tcBorders>
              <w:top w:val="single" w:sz="4" w:space="0" w:color="0064BB"/>
              <w:bottom w:val="single" w:sz="4" w:space="0" w:color="0064BB"/>
            </w:tcBorders>
          </w:tcPr>
          <w:p w14:paraId="7CAF7638" w14:textId="77777777" w:rsidR="009C36E3" w:rsidRDefault="000E7207">
            <w:pPr>
              <w:pStyle w:val="TableParagraph"/>
              <w:spacing w:before="81"/>
              <w:ind w:left="401"/>
              <w:rPr>
                <w:sz w:val="20"/>
              </w:rPr>
            </w:pPr>
            <w:r>
              <w:rPr>
                <w:sz w:val="20"/>
              </w:rPr>
              <w:t>Senior</w:t>
            </w:r>
            <w:r>
              <w:rPr>
                <w:spacing w:val="-9"/>
                <w:sz w:val="20"/>
              </w:rPr>
              <w:t xml:space="preserve"> </w:t>
            </w:r>
            <w:r>
              <w:rPr>
                <w:sz w:val="20"/>
              </w:rPr>
              <w:t>Program</w:t>
            </w:r>
            <w:r>
              <w:rPr>
                <w:spacing w:val="-11"/>
                <w:sz w:val="20"/>
              </w:rPr>
              <w:t xml:space="preserve"> </w:t>
            </w:r>
            <w:r>
              <w:rPr>
                <w:sz w:val="20"/>
              </w:rPr>
              <w:t>Manager,</w:t>
            </w:r>
            <w:r>
              <w:rPr>
                <w:spacing w:val="-10"/>
                <w:sz w:val="20"/>
              </w:rPr>
              <w:t xml:space="preserve"> </w:t>
            </w:r>
            <w:r>
              <w:rPr>
                <w:sz w:val="20"/>
              </w:rPr>
              <w:t>Policing</w:t>
            </w:r>
            <w:r>
              <w:rPr>
                <w:spacing w:val="-11"/>
                <w:sz w:val="20"/>
              </w:rPr>
              <w:t xml:space="preserve"> </w:t>
            </w:r>
            <w:r>
              <w:rPr>
                <w:sz w:val="20"/>
              </w:rPr>
              <w:t xml:space="preserve">and </w:t>
            </w:r>
            <w:r>
              <w:rPr>
                <w:spacing w:val="-2"/>
                <w:sz w:val="20"/>
              </w:rPr>
              <w:t>Justice</w:t>
            </w:r>
          </w:p>
        </w:tc>
        <w:tc>
          <w:tcPr>
            <w:tcW w:w="2846" w:type="dxa"/>
            <w:tcBorders>
              <w:top w:val="single" w:sz="4" w:space="0" w:color="0064BB"/>
              <w:bottom w:val="single" w:sz="4" w:space="0" w:color="0064BB"/>
            </w:tcBorders>
          </w:tcPr>
          <w:p w14:paraId="72573907" w14:textId="77777777" w:rsidR="009C36E3" w:rsidRDefault="000E7207">
            <w:pPr>
              <w:pStyle w:val="TableParagraph"/>
              <w:spacing w:before="81"/>
              <w:ind w:left="119" w:right="207"/>
              <w:rPr>
                <w:sz w:val="20"/>
              </w:rPr>
            </w:pPr>
            <w:r>
              <w:rPr>
                <w:sz w:val="20"/>
              </w:rPr>
              <w:t>Department</w:t>
            </w:r>
            <w:r>
              <w:rPr>
                <w:spacing w:val="-14"/>
                <w:sz w:val="20"/>
              </w:rPr>
              <w:t xml:space="preserve"> </w:t>
            </w:r>
            <w:r>
              <w:rPr>
                <w:sz w:val="20"/>
              </w:rPr>
              <w:t>of</w:t>
            </w:r>
            <w:r>
              <w:rPr>
                <w:spacing w:val="-14"/>
                <w:sz w:val="20"/>
              </w:rPr>
              <w:t xml:space="preserve"> </w:t>
            </w:r>
            <w:r>
              <w:rPr>
                <w:sz w:val="20"/>
              </w:rPr>
              <w:t>Foreign Affairs and Trade-</w:t>
            </w:r>
          </w:p>
        </w:tc>
      </w:tr>
      <w:tr w:rsidR="009C36E3" w14:paraId="567BCBAB" w14:textId="77777777">
        <w:trPr>
          <w:trHeight w:val="618"/>
        </w:trPr>
        <w:tc>
          <w:tcPr>
            <w:tcW w:w="708" w:type="dxa"/>
            <w:tcBorders>
              <w:top w:val="single" w:sz="4" w:space="0" w:color="0064BB"/>
              <w:bottom w:val="single" w:sz="4" w:space="0" w:color="0064BB"/>
            </w:tcBorders>
            <w:shd w:val="clear" w:color="auto" w:fill="F1F1F1"/>
          </w:tcPr>
          <w:p w14:paraId="35FEA0C2" w14:textId="77777777" w:rsidR="009C36E3" w:rsidRDefault="000E7207">
            <w:pPr>
              <w:pStyle w:val="TableParagraph"/>
              <w:spacing w:before="80"/>
              <w:rPr>
                <w:b/>
                <w:sz w:val="18"/>
              </w:rPr>
            </w:pPr>
            <w:r>
              <w:rPr>
                <w:b/>
                <w:spacing w:val="-5"/>
                <w:sz w:val="18"/>
              </w:rPr>
              <w:t>55</w:t>
            </w:r>
          </w:p>
        </w:tc>
        <w:tc>
          <w:tcPr>
            <w:tcW w:w="2543" w:type="dxa"/>
            <w:tcBorders>
              <w:top w:val="single" w:sz="4" w:space="0" w:color="0064BB"/>
              <w:bottom w:val="single" w:sz="4" w:space="0" w:color="0064BB"/>
            </w:tcBorders>
          </w:tcPr>
          <w:p w14:paraId="0469FE75" w14:textId="77777777" w:rsidR="009C36E3" w:rsidRDefault="000E7207">
            <w:pPr>
              <w:pStyle w:val="TableParagraph"/>
              <w:ind w:left="108"/>
              <w:rPr>
                <w:sz w:val="20"/>
              </w:rPr>
            </w:pPr>
            <w:r>
              <w:rPr>
                <w:sz w:val="20"/>
              </w:rPr>
              <w:t>Josiana</w:t>
            </w:r>
            <w:r>
              <w:rPr>
                <w:spacing w:val="-11"/>
                <w:sz w:val="20"/>
              </w:rPr>
              <w:t xml:space="preserve"> </w:t>
            </w:r>
            <w:r>
              <w:rPr>
                <w:spacing w:val="-2"/>
                <w:sz w:val="20"/>
              </w:rPr>
              <w:t>Jackson</w:t>
            </w:r>
          </w:p>
        </w:tc>
        <w:tc>
          <w:tcPr>
            <w:tcW w:w="4108" w:type="dxa"/>
            <w:tcBorders>
              <w:top w:val="single" w:sz="4" w:space="0" w:color="0064BB"/>
              <w:bottom w:val="single" w:sz="4" w:space="0" w:color="0064BB"/>
            </w:tcBorders>
          </w:tcPr>
          <w:p w14:paraId="71538905" w14:textId="77777777" w:rsidR="009C36E3" w:rsidRDefault="000E7207">
            <w:pPr>
              <w:pStyle w:val="TableParagraph"/>
              <w:ind w:left="401"/>
              <w:rPr>
                <w:sz w:val="20"/>
              </w:rPr>
            </w:pPr>
            <w:r>
              <w:rPr>
                <w:sz w:val="20"/>
              </w:rPr>
              <w:t>Senior</w:t>
            </w:r>
            <w:r>
              <w:rPr>
                <w:spacing w:val="-12"/>
                <w:sz w:val="20"/>
              </w:rPr>
              <w:t xml:space="preserve"> </w:t>
            </w:r>
            <w:r>
              <w:rPr>
                <w:sz w:val="20"/>
              </w:rPr>
              <w:t>Program</w:t>
            </w:r>
            <w:r>
              <w:rPr>
                <w:spacing w:val="-14"/>
                <w:sz w:val="20"/>
              </w:rPr>
              <w:t xml:space="preserve"> </w:t>
            </w:r>
            <w:r>
              <w:rPr>
                <w:sz w:val="20"/>
              </w:rPr>
              <w:t>Manager,</w:t>
            </w:r>
            <w:r>
              <w:rPr>
                <w:spacing w:val="-14"/>
                <w:sz w:val="20"/>
              </w:rPr>
              <w:t xml:space="preserve"> </w:t>
            </w:r>
            <w:r>
              <w:rPr>
                <w:sz w:val="20"/>
              </w:rPr>
              <w:t>Infrastructure, Port Vila</w:t>
            </w:r>
          </w:p>
        </w:tc>
        <w:tc>
          <w:tcPr>
            <w:tcW w:w="2846" w:type="dxa"/>
            <w:tcBorders>
              <w:top w:val="single" w:sz="4" w:space="0" w:color="0064BB"/>
              <w:bottom w:val="single" w:sz="4" w:space="0" w:color="0064BB"/>
            </w:tcBorders>
          </w:tcPr>
          <w:p w14:paraId="2CBC7FB3" w14:textId="77777777" w:rsidR="009C36E3" w:rsidRDefault="000E7207">
            <w:pPr>
              <w:pStyle w:val="TableParagraph"/>
              <w:ind w:left="119" w:right="207"/>
              <w:rPr>
                <w:sz w:val="20"/>
              </w:rPr>
            </w:pPr>
            <w:r>
              <w:rPr>
                <w:sz w:val="20"/>
              </w:rPr>
              <w:t>Department</w:t>
            </w:r>
            <w:r>
              <w:rPr>
                <w:spacing w:val="-14"/>
                <w:sz w:val="20"/>
              </w:rPr>
              <w:t xml:space="preserve"> </w:t>
            </w:r>
            <w:r>
              <w:rPr>
                <w:sz w:val="20"/>
              </w:rPr>
              <w:t>of</w:t>
            </w:r>
            <w:r>
              <w:rPr>
                <w:spacing w:val="-14"/>
                <w:sz w:val="20"/>
              </w:rPr>
              <w:t xml:space="preserve"> </w:t>
            </w:r>
            <w:r>
              <w:rPr>
                <w:sz w:val="20"/>
              </w:rPr>
              <w:t>Foreign Affairs and Trade</w:t>
            </w:r>
          </w:p>
        </w:tc>
      </w:tr>
    </w:tbl>
    <w:p w14:paraId="6641508F" w14:textId="77777777" w:rsidR="009C36E3" w:rsidRDefault="009C36E3">
      <w:pPr>
        <w:rPr>
          <w:sz w:val="20"/>
        </w:rPr>
        <w:sectPr w:rsidR="009C36E3">
          <w:pgSz w:w="11910" w:h="16850"/>
          <w:pgMar w:top="1040" w:right="740" w:bottom="740" w:left="80" w:header="552" w:footer="559" w:gutter="0"/>
          <w:cols w:space="720"/>
        </w:sectPr>
      </w:pPr>
    </w:p>
    <w:tbl>
      <w:tblPr>
        <w:tblW w:w="0" w:type="auto"/>
        <w:tblInd w:w="779" w:type="dxa"/>
        <w:tblLayout w:type="fixed"/>
        <w:tblCellMar>
          <w:left w:w="0" w:type="dxa"/>
          <w:right w:w="0" w:type="dxa"/>
        </w:tblCellMar>
        <w:tblLook w:val="01E0" w:firstRow="1" w:lastRow="1" w:firstColumn="1" w:lastColumn="1" w:noHBand="0" w:noVBand="0"/>
      </w:tblPr>
      <w:tblGrid>
        <w:gridCol w:w="708"/>
        <w:gridCol w:w="2413"/>
        <w:gridCol w:w="4232"/>
        <w:gridCol w:w="2850"/>
      </w:tblGrid>
      <w:tr w:rsidR="00963BD9" w14:paraId="38CFE8EC" w14:textId="77777777" w:rsidTr="005F0ADB">
        <w:trPr>
          <w:trHeight w:val="405"/>
        </w:trPr>
        <w:tc>
          <w:tcPr>
            <w:tcW w:w="708" w:type="dxa"/>
            <w:shd w:val="clear" w:color="auto" w:fill="0064BB"/>
          </w:tcPr>
          <w:p w14:paraId="44462F95" w14:textId="59176F03" w:rsidR="00963BD9" w:rsidRDefault="00963BD9" w:rsidP="00963BD9">
            <w:pPr>
              <w:pStyle w:val="TableParagraph"/>
              <w:spacing w:before="91"/>
              <w:rPr>
                <w:b/>
                <w:sz w:val="20"/>
              </w:rPr>
            </w:pPr>
            <w:r w:rsidRPr="00963BD9">
              <w:rPr>
                <w:b/>
                <w:color w:val="FFFFFF" w:themeColor="background1"/>
                <w:sz w:val="20"/>
              </w:rPr>
              <w:t>No.</w:t>
            </w:r>
          </w:p>
        </w:tc>
        <w:tc>
          <w:tcPr>
            <w:tcW w:w="2413" w:type="dxa"/>
            <w:shd w:val="clear" w:color="auto" w:fill="0064BB"/>
            <w:vAlign w:val="center"/>
          </w:tcPr>
          <w:p w14:paraId="539C3846" w14:textId="730A998F" w:rsidR="00963BD9" w:rsidRDefault="00963BD9" w:rsidP="00963BD9">
            <w:pPr>
              <w:pStyle w:val="TableParagraph"/>
              <w:spacing w:before="0"/>
              <w:ind w:left="0"/>
              <w:rPr>
                <w:rFonts w:ascii="Times New Roman"/>
                <w:sz w:val="18"/>
              </w:rPr>
            </w:pPr>
            <w:r>
              <w:rPr>
                <w:b/>
                <w:color w:val="FFFFFF"/>
                <w:spacing w:val="-4"/>
                <w:sz w:val="20"/>
              </w:rPr>
              <w:t>Name</w:t>
            </w:r>
          </w:p>
        </w:tc>
        <w:tc>
          <w:tcPr>
            <w:tcW w:w="4232" w:type="dxa"/>
            <w:shd w:val="clear" w:color="auto" w:fill="0064BB"/>
          </w:tcPr>
          <w:p w14:paraId="2B27CAC5" w14:textId="77777777" w:rsidR="00963BD9" w:rsidRDefault="00963BD9" w:rsidP="00963BD9">
            <w:pPr>
              <w:pStyle w:val="TableParagraph"/>
              <w:spacing w:before="91"/>
              <w:ind w:left="531"/>
              <w:rPr>
                <w:b/>
                <w:sz w:val="20"/>
              </w:rPr>
            </w:pPr>
            <w:r>
              <w:rPr>
                <w:b/>
                <w:color w:val="FFFFFF"/>
                <w:spacing w:val="-2"/>
                <w:sz w:val="20"/>
              </w:rPr>
              <w:t>Position</w:t>
            </w:r>
          </w:p>
        </w:tc>
        <w:tc>
          <w:tcPr>
            <w:tcW w:w="2850" w:type="dxa"/>
            <w:shd w:val="clear" w:color="auto" w:fill="0064BB"/>
          </w:tcPr>
          <w:p w14:paraId="309AAC47" w14:textId="77777777" w:rsidR="00963BD9" w:rsidRDefault="00963BD9" w:rsidP="00963BD9">
            <w:pPr>
              <w:pStyle w:val="TableParagraph"/>
              <w:spacing w:before="91"/>
              <w:ind w:left="125"/>
              <w:rPr>
                <w:b/>
                <w:sz w:val="20"/>
              </w:rPr>
            </w:pPr>
            <w:r>
              <w:rPr>
                <w:b/>
                <w:color w:val="FFFFFF"/>
                <w:spacing w:val="-2"/>
                <w:sz w:val="20"/>
              </w:rPr>
              <w:t>Organisation</w:t>
            </w:r>
          </w:p>
        </w:tc>
      </w:tr>
      <w:tr w:rsidR="009C36E3" w14:paraId="6E40BFD8" w14:textId="77777777">
        <w:trPr>
          <w:trHeight w:val="616"/>
        </w:trPr>
        <w:tc>
          <w:tcPr>
            <w:tcW w:w="708" w:type="dxa"/>
            <w:tcBorders>
              <w:top w:val="single" w:sz="4" w:space="0" w:color="0064BB"/>
              <w:bottom w:val="single" w:sz="4" w:space="0" w:color="0064BB"/>
            </w:tcBorders>
            <w:shd w:val="clear" w:color="auto" w:fill="F1F1F1"/>
          </w:tcPr>
          <w:p w14:paraId="1B278A5E" w14:textId="77777777" w:rsidR="009C36E3" w:rsidRDefault="000E7207">
            <w:pPr>
              <w:pStyle w:val="TableParagraph"/>
              <w:spacing w:before="75"/>
              <w:rPr>
                <w:b/>
                <w:sz w:val="18"/>
              </w:rPr>
            </w:pPr>
            <w:r>
              <w:rPr>
                <w:b/>
                <w:spacing w:val="-5"/>
                <w:sz w:val="18"/>
              </w:rPr>
              <w:t>56</w:t>
            </w:r>
          </w:p>
        </w:tc>
        <w:tc>
          <w:tcPr>
            <w:tcW w:w="2413" w:type="dxa"/>
            <w:tcBorders>
              <w:top w:val="single" w:sz="4" w:space="0" w:color="0064BB"/>
              <w:bottom w:val="single" w:sz="4" w:space="0" w:color="0064BB"/>
            </w:tcBorders>
          </w:tcPr>
          <w:p w14:paraId="56F3E973" w14:textId="77777777" w:rsidR="009C36E3" w:rsidRDefault="000E7207">
            <w:pPr>
              <w:pStyle w:val="TableParagraph"/>
              <w:spacing w:before="74"/>
              <w:ind w:left="108"/>
              <w:rPr>
                <w:sz w:val="20"/>
              </w:rPr>
            </w:pPr>
            <w:r>
              <w:rPr>
                <w:sz w:val="20"/>
              </w:rPr>
              <w:t>Lavinia</w:t>
            </w:r>
            <w:r>
              <w:rPr>
                <w:spacing w:val="-9"/>
                <w:sz w:val="20"/>
              </w:rPr>
              <w:t xml:space="preserve"> </w:t>
            </w:r>
            <w:r>
              <w:rPr>
                <w:spacing w:val="-2"/>
                <w:sz w:val="20"/>
              </w:rPr>
              <w:t>Mahit</w:t>
            </w:r>
          </w:p>
        </w:tc>
        <w:tc>
          <w:tcPr>
            <w:tcW w:w="4232" w:type="dxa"/>
            <w:tcBorders>
              <w:top w:val="single" w:sz="4" w:space="0" w:color="0064BB"/>
              <w:bottom w:val="single" w:sz="4" w:space="0" w:color="0064BB"/>
            </w:tcBorders>
          </w:tcPr>
          <w:p w14:paraId="664FCE8C" w14:textId="77777777" w:rsidR="009C36E3" w:rsidRDefault="000E7207">
            <w:pPr>
              <w:pStyle w:val="TableParagraph"/>
              <w:spacing w:before="74"/>
              <w:ind w:left="531" w:right="137"/>
              <w:rPr>
                <w:sz w:val="20"/>
              </w:rPr>
            </w:pPr>
            <w:r>
              <w:rPr>
                <w:sz w:val="20"/>
              </w:rPr>
              <w:t>Assistant</w:t>
            </w:r>
            <w:r>
              <w:rPr>
                <w:spacing w:val="-13"/>
                <w:sz w:val="20"/>
              </w:rPr>
              <w:t xml:space="preserve"> </w:t>
            </w:r>
            <w:r>
              <w:rPr>
                <w:sz w:val="20"/>
              </w:rPr>
              <w:t>Program</w:t>
            </w:r>
            <w:r>
              <w:rPr>
                <w:spacing w:val="-14"/>
                <w:sz w:val="20"/>
              </w:rPr>
              <w:t xml:space="preserve"> </w:t>
            </w:r>
            <w:r>
              <w:rPr>
                <w:sz w:val="20"/>
              </w:rPr>
              <w:t>Manager,</w:t>
            </w:r>
            <w:r>
              <w:rPr>
                <w:spacing w:val="-14"/>
                <w:sz w:val="20"/>
              </w:rPr>
              <w:t xml:space="preserve"> </w:t>
            </w:r>
            <w:r>
              <w:rPr>
                <w:sz w:val="20"/>
              </w:rPr>
              <w:t>Policing and Justice</w:t>
            </w:r>
          </w:p>
        </w:tc>
        <w:tc>
          <w:tcPr>
            <w:tcW w:w="2850" w:type="dxa"/>
            <w:tcBorders>
              <w:top w:val="single" w:sz="4" w:space="0" w:color="0064BB"/>
              <w:bottom w:val="single" w:sz="4" w:space="0" w:color="0064BB"/>
            </w:tcBorders>
          </w:tcPr>
          <w:p w14:paraId="1EB3AEAC" w14:textId="77777777" w:rsidR="009C36E3" w:rsidRDefault="000E7207">
            <w:pPr>
              <w:pStyle w:val="TableParagraph"/>
              <w:spacing w:before="74"/>
              <w:ind w:left="125" w:right="205"/>
              <w:rPr>
                <w:sz w:val="20"/>
              </w:rPr>
            </w:pPr>
            <w:r>
              <w:rPr>
                <w:sz w:val="20"/>
              </w:rPr>
              <w:t>Department</w:t>
            </w:r>
            <w:r>
              <w:rPr>
                <w:spacing w:val="-14"/>
                <w:sz w:val="20"/>
              </w:rPr>
              <w:t xml:space="preserve"> </w:t>
            </w:r>
            <w:r>
              <w:rPr>
                <w:sz w:val="20"/>
              </w:rPr>
              <w:t>of</w:t>
            </w:r>
            <w:r>
              <w:rPr>
                <w:spacing w:val="-14"/>
                <w:sz w:val="20"/>
              </w:rPr>
              <w:t xml:space="preserve"> </w:t>
            </w:r>
            <w:r>
              <w:rPr>
                <w:sz w:val="20"/>
              </w:rPr>
              <w:t>Foreign Affairs and Trade</w:t>
            </w:r>
          </w:p>
        </w:tc>
      </w:tr>
      <w:tr w:rsidR="009C36E3" w14:paraId="7AF38C51" w14:textId="77777777">
        <w:trPr>
          <w:trHeight w:val="388"/>
        </w:trPr>
        <w:tc>
          <w:tcPr>
            <w:tcW w:w="708" w:type="dxa"/>
            <w:tcBorders>
              <w:top w:val="single" w:sz="4" w:space="0" w:color="0064BB"/>
              <w:bottom w:val="single" w:sz="4" w:space="0" w:color="0064BB"/>
            </w:tcBorders>
            <w:shd w:val="clear" w:color="auto" w:fill="F1F1F1"/>
          </w:tcPr>
          <w:p w14:paraId="450CA69F" w14:textId="77777777" w:rsidR="009C36E3" w:rsidRDefault="000E7207">
            <w:pPr>
              <w:pStyle w:val="TableParagraph"/>
              <w:spacing w:before="80"/>
              <w:rPr>
                <w:b/>
                <w:sz w:val="18"/>
              </w:rPr>
            </w:pPr>
            <w:r>
              <w:rPr>
                <w:b/>
                <w:spacing w:val="-5"/>
                <w:sz w:val="18"/>
              </w:rPr>
              <w:t>57</w:t>
            </w:r>
          </w:p>
        </w:tc>
        <w:tc>
          <w:tcPr>
            <w:tcW w:w="2413" w:type="dxa"/>
            <w:tcBorders>
              <w:top w:val="single" w:sz="4" w:space="0" w:color="0064BB"/>
              <w:bottom w:val="single" w:sz="4" w:space="0" w:color="0064BB"/>
            </w:tcBorders>
          </w:tcPr>
          <w:p w14:paraId="116103FF" w14:textId="77777777" w:rsidR="009C36E3" w:rsidRDefault="000E7207">
            <w:pPr>
              <w:pStyle w:val="TableParagraph"/>
              <w:ind w:left="108"/>
              <w:rPr>
                <w:sz w:val="20"/>
              </w:rPr>
            </w:pPr>
            <w:r>
              <w:rPr>
                <w:sz w:val="20"/>
              </w:rPr>
              <w:t>Melinda</w:t>
            </w:r>
            <w:r>
              <w:rPr>
                <w:spacing w:val="-10"/>
                <w:sz w:val="20"/>
              </w:rPr>
              <w:t xml:space="preserve"> </w:t>
            </w:r>
            <w:r>
              <w:rPr>
                <w:spacing w:val="-2"/>
                <w:sz w:val="20"/>
              </w:rPr>
              <w:t>Phelan</w:t>
            </w:r>
          </w:p>
        </w:tc>
        <w:tc>
          <w:tcPr>
            <w:tcW w:w="4232" w:type="dxa"/>
            <w:tcBorders>
              <w:top w:val="single" w:sz="4" w:space="0" w:color="0064BB"/>
              <w:bottom w:val="single" w:sz="4" w:space="0" w:color="0064BB"/>
            </w:tcBorders>
          </w:tcPr>
          <w:p w14:paraId="51E30622" w14:textId="77777777" w:rsidR="009C36E3" w:rsidRDefault="000E7207">
            <w:pPr>
              <w:pStyle w:val="TableParagraph"/>
              <w:ind w:left="531"/>
              <w:rPr>
                <w:sz w:val="20"/>
              </w:rPr>
            </w:pPr>
            <w:r>
              <w:rPr>
                <w:sz w:val="20"/>
              </w:rPr>
              <w:t>Commander,</w:t>
            </w:r>
            <w:r>
              <w:rPr>
                <w:spacing w:val="-11"/>
                <w:sz w:val="20"/>
              </w:rPr>
              <w:t xml:space="preserve"> </w:t>
            </w:r>
            <w:r>
              <w:rPr>
                <w:sz w:val="20"/>
              </w:rPr>
              <w:t>Pacific</w:t>
            </w:r>
            <w:r>
              <w:rPr>
                <w:spacing w:val="-10"/>
                <w:sz w:val="20"/>
              </w:rPr>
              <w:t xml:space="preserve"> </w:t>
            </w:r>
            <w:r>
              <w:rPr>
                <w:spacing w:val="-2"/>
                <w:sz w:val="20"/>
              </w:rPr>
              <w:t>Delivery</w:t>
            </w:r>
          </w:p>
        </w:tc>
        <w:tc>
          <w:tcPr>
            <w:tcW w:w="2850" w:type="dxa"/>
            <w:tcBorders>
              <w:top w:val="single" w:sz="4" w:space="0" w:color="0064BB"/>
              <w:bottom w:val="single" w:sz="4" w:space="0" w:color="0064BB"/>
            </w:tcBorders>
          </w:tcPr>
          <w:p w14:paraId="0D6F1E8C" w14:textId="77777777" w:rsidR="009C36E3" w:rsidRDefault="000E7207">
            <w:pPr>
              <w:pStyle w:val="TableParagraph"/>
              <w:ind w:left="125"/>
              <w:rPr>
                <w:sz w:val="20"/>
              </w:rPr>
            </w:pPr>
            <w:r>
              <w:rPr>
                <w:sz w:val="20"/>
              </w:rPr>
              <w:t>Australian</w:t>
            </w:r>
            <w:r>
              <w:rPr>
                <w:spacing w:val="-11"/>
                <w:sz w:val="20"/>
              </w:rPr>
              <w:t xml:space="preserve"> </w:t>
            </w:r>
            <w:r>
              <w:rPr>
                <w:sz w:val="20"/>
              </w:rPr>
              <w:t>Federal</w:t>
            </w:r>
            <w:r>
              <w:rPr>
                <w:spacing w:val="-8"/>
                <w:sz w:val="20"/>
              </w:rPr>
              <w:t xml:space="preserve"> </w:t>
            </w:r>
            <w:r>
              <w:rPr>
                <w:spacing w:val="-2"/>
                <w:sz w:val="20"/>
              </w:rPr>
              <w:t>Police</w:t>
            </w:r>
          </w:p>
        </w:tc>
      </w:tr>
      <w:tr w:rsidR="009C36E3" w14:paraId="691713AB" w14:textId="77777777">
        <w:trPr>
          <w:trHeight w:val="390"/>
        </w:trPr>
        <w:tc>
          <w:tcPr>
            <w:tcW w:w="708" w:type="dxa"/>
            <w:tcBorders>
              <w:top w:val="single" w:sz="4" w:space="0" w:color="0064BB"/>
              <w:bottom w:val="single" w:sz="4" w:space="0" w:color="0064BB"/>
            </w:tcBorders>
            <w:shd w:val="clear" w:color="auto" w:fill="F1F1F1"/>
          </w:tcPr>
          <w:p w14:paraId="6C5AE6C0" w14:textId="77777777" w:rsidR="009C36E3" w:rsidRDefault="000E7207">
            <w:pPr>
              <w:pStyle w:val="TableParagraph"/>
              <w:spacing w:before="80"/>
              <w:rPr>
                <w:b/>
                <w:sz w:val="18"/>
              </w:rPr>
            </w:pPr>
            <w:r>
              <w:rPr>
                <w:b/>
                <w:spacing w:val="-5"/>
                <w:sz w:val="18"/>
              </w:rPr>
              <w:t>58</w:t>
            </w:r>
          </w:p>
        </w:tc>
        <w:tc>
          <w:tcPr>
            <w:tcW w:w="2413" w:type="dxa"/>
            <w:tcBorders>
              <w:top w:val="single" w:sz="4" w:space="0" w:color="0064BB"/>
              <w:bottom w:val="single" w:sz="4" w:space="0" w:color="0064BB"/>
            </w:tcBorders>
          </w:tcPr>
          <w:p w14:paraId="7653402B" w14:textId="77777777" w:rsidR="009C36E3" w:rsidRDefault="000E7207">
            <w:pPr>
              <w:pStyle w:val="TableParagraph"/>
              <w:ind w:left="108"/>
              <w:rPr>
                <w:sz w:val="20"/>
              </w:rPr>
            </w:pPr>
            <w:r>
              <w:rPr>
                <w:sz w:val="20"/>
              </w:rPr>
              <w:t>Andrea</w:t>
            </w:r>
            <w:r>
              <w:rPr>
                <w:spacing w:val="-9"/>
                <w:sz w:val="20"/>
              </w:rPr>
              <w:t xml:space="preserve"> </w:t>
            </w:r>
            <w:r>
              <w:rPr>
                <w:spacing w:val="-2"/>
                <w:sz w:val="20"/>
              </w:rPr>
              <w:t>Quinn</w:t>
            </w:r>
          </w:p>
        </w:tc>
        <w:tc>
          <w:tcPr>
            <w:tcW w:w="4232" w:type="dxa"/>
            <w:tcBorders>
              <w:top w:val="single" w:sz="4" w:space="0" w:color="0064BB"/>
              <w:bottom w:val="single" w:sz="4" w:space="0" w:color="0064BB"/>
            </w:tcBorders>
          </w:tcPr>
          <w:p w14:paraId="72D1AB87" w14:textId="77777777" w:rsidR="009C36E3" w:rsidRDefault="000E7207">
            <w:pPr>
              <w:pStyle w:val="TableParagraph"/>
              <w:ind w:left="531"/>
              <w:rPr>
                <w:sz w:val="20"/>
              </w:rPr>
            </w:pPr>
            <w:r>
              <w:rPr>
                <w:sz w:val="20"/>
              </w:rPr>
              <w:t>Commander,</w:t>
            </w:r>
            <w:r>
              <w:rPr>
                <w:spacing w:val="-13"/>
                <w:sz w:val="20"/>
              </w:rPr>
              <w:t xml:space="preserve"> </w:t>
            </w:r>
            <w:r>
              <w:rPr>
                <w:sz w:val="20"/>
              </w:rPr>
              <w:t>International</w:t>
            </w:r>
            <w:r>
              <w:rPr>
                <w:spacing w:val="-12"/>
                <w:sz w:val="20"/>
              </w:rPr>
              <w:t xml:space="preserve"> </w:t>
            </w:r>
            <w:r>
              <w:rPr>
                <w:spacing w:val="-2"/>
                <w:sz w:val="20"/>
              </w:rPr>
              <w:t>Strategy</w:t>
            </w:r>
          </w:p>
        </w:tc>
        <w:tc>
          <w:tcPr>
            <w:tcW w:w="2850" w:type="dxa"/>
            <w:tcBorders>
              <w:top w:val="single" w:sz="4" w:space="0" w:color="0064BB"/>
              <w:bottom w:val="single" w:sz="4" w:space="0" w:color="0064BB"/>
            </w:tcBorders>
          </w:tcPr>
          <w:p w14:paraId="70AE4843" w14:textId="77777777" w:rsidR="009C36E3" w:rsidRDefault="000E7207">
            <w:pPr>
              <w:pStyle w:val="TableParagraph"/>
              <w:ind w:left="125"/>
              <w:rPr>
                <w:sz w:val="20"/>
              </w:rPr>
            </w:pPr>
            <w:r>
              <w:rPr>
                <w:sz w:val="20"/>
              </w:rPr>
              <w:t>Australian</w:t>
            </w:r>
            <w:r>
              <w:rPr>
                <w:spacing w:val="-11"/>
                <w:sz w:val="20"/>
              </w:rPr>
              <w:t xml:space="preserve"> </w:t>
            </w:r>
            <w:r>
              <w:rPr>
                <w:sz w:val="20"/>
              </w:rPr>
              <w:t>Federal</w:t>
            </w:r>
            <w:r>
              <w:rPr>
                <w:spacing w:val="-8"/>
                <w:sz w:val="20"/>
              </w:rPr>
              <w:t xml:space="preserve"> </w:t>
            </w:r>
            <w:r>
              <w:rPr>
                <w:spacing w:val="-2"/>
                <w:sz w:val="20"/>
              </w:rPr>
              <w:t>Police</w:t>
            </w:r>
          </w:p>
        </w:tc>
      </w:tr>
      <w:tr w:rsidR="009C36E3" w14:paraId="587DDD79" w14:textId="77777777">
        <w:trPr>
          <w:trHeight w:val="849"/>
        </w:trPr>
        <w:tc>
          <w:tcPr>
            <w:tcW w:w="708" w:type="dxa"/>
            <w:tcBorders>
              <w:top w:val="single" w:sz="4" w:space="0" w:color="0064BB"/>
              <w:bottom w:val="single" w:sz="4" w:space="0" w:color="0064BB"/>
            </w:tcBorders>
            <w:shd w:val="clear" w:color="auto" w:fill="F1F1F1"/>
          </w:tcPr>
          <w:p w14:paraId="355A8587" w14:textId="77777777" w:rsidR="009C36E3" w:rsidRDefault="000E7207">
            <w:pPr>
              <w:pStyle w:val="TableParagraph"/>
              <w:spacing w:before="80"/>
              <w:rPr>
                <w:b/>
                <w:sz w:val="18"/>
              </w:rPr>
            </w:pPr>
            <w:r>
              <w:rPr>
                <w:b/>
                <w:spacing w:val="-5"/>
                <w:sz w:val="18"/>
              </w:rPr>
              <w:t>59</w:t>
            </w:r>
          </w:p>
        </w:tc>
        <w:tc>
          <w:tcPr>
            <w:tcW w:w="2413" w:type="dxa"/>
            <w:tcBorders>
              <w:top w:val="single" w:sz="4" w:space="0" w:color="0064BB"/>
              <w:bottom w:val="single" w:sz="4" w:space="0" w:color="0064BB"/>
            </w:tcBorders>
          </w:tcPr>
          <w:p w14:paraId="6CC14FED" w14:textId="77777777" w:rsidR="009C36E3" w:rsidRDefault="000E7207">
            <w:pPr>
              <w:pStyle w:val="TableParagraph"/>
              <w:ind w:left="108"/>
              <w:rPr>
                <w:sz w:val="20"/>
              </w:rPr>
            </w:pPr>
            <w:r>
              <w:rPr>
                <w:sz w:val="20"/>
              </w:rPr>
              <w:t>Pam</w:t>
            </w:r>
            <w:r>
              <w:rPr>
                <w:spacing w:val="-6"/>
                <w:sz w:val="20"/>
              </w:rPr>
              <w:t xml:space="preserve"> </w:t>
            </w:r>
            <w:r>
              <w:rPr>
                <w:spacing w:val="-2"/>
                <w:sz w:val="20"/>
              </w:rPr>
              <w:t>McGrath</w:t>
            </w:r>
          </w:p>
        </w:tc>
        <w:tc>
          <w:tcPr>
            <w:tcW w:w="4232" w:type="dxa"/>
            <w:tcBorders>
              <w:top w:val="single" w:sz="4" w:space="0" w:color="0064BB"/>
              <w:bottom w:val="single" w:sz="4" w:space="0" w:color="0064BB"/>
            </w:tcBorders>
          </w:tcPr>
          <w:p w14:paraId="4F2426AA" w14:textId="77777777" w:rsidR="009C36E3" w:rsidRDefault="000E7207">
            <w:pPr>
              <w:pStyle w:val="TableParagraph"/>
              <w:ind w:left="531" w:right="137"/>
              <w:rPr>
                <w:sz w:val="20"/>
              </w:rPr>
            </w:pPr>
            <w:r>
              <w:rPr>
                <w:sz w:val="20"/>
              </w:rPr>
              <w:t>A/g Team Leader, Evaluation &amp; Learning, Strategy Design and Evaluation,</w:t>
            </w:r>
            <w:r>
              <w:rPr>
                <w:spacing w:val="-14"/>
                <w:sz w:val="20"/>
              </w:rPr>
              <w:t xml:space="preserve"> </w:t>
            </w:r>
            <w:r>
              <w:rPr>
                <w:sz w:val="20"/>
              </w:rPr>
              <w:t>International</w:t>
            </w:r>
            <w:r>
              <w:rPr>
                <w:spacing w:val="-14"/>
                <w:sz w:val="20"/>
              </w:rPr>
              <w:t xml:space="preserve"> </w:t>
            </w:r>
            <w:r>
              <w:rPr>
                <w:sz w:val="20"/>
              </w:rPr>
              <w:t>Command</w:t>
            </w:r>
          </w:p>
        </w:tc>
        <w:tc>
          <w:tcPr>
            <w:tcW w:w="2850" w:type="dxa"/>
            <w:tcBorders>
              <w:top w:val="single" w:sz="4" w:space="0" w:color="0064BB"/>
              <w:bottom w:val="single" w:sz="4" w:space="0" w:color="0064BB"/>
            </w:tcBorders>
          </w:tcPr>
          <w:p w14:paraId="38EC336E" w14:textId="77777777" w:rsidR="009C36E3" w:rsidRDefault="000E7207">
            <w:pPr>
              <w:pStyle w:val="TableParagraph"/>
              <w:spacing w:before="79"/>
              <w:ind w:left="125"/>
              <w:rPr>
                <w:sz w:val="20"/>
              </w:rPr>
            </w:pPr>
            <w:r>
              <w:rPr>
                <w:sz w:val="20"/>
              </w:rPr>
              <w:t>Australian</w:t>
            </w:r>
            <w:r>
              <w:rPr>
                <w:spacing w:val="-11"/>
                <w:sz w:val="20"/>
              </w:rPr>
              <w:t xml:space="preserve"> </w:t>
            </w:r>
            <w:r>
              <w:rPr>
                <w:sz w:val="20"/>
              </w:rPr>
              <w:t>Federal</w:t>
            </w:r>
            <w:r>
              <w:rPr>
                <w:spacing w:val="-8"/>
                <w:sz w:val="20"/>
              </w:rPr>
              <w:t xml:space="preserve"> </w:t>
            </w:r>
            <w:r>
              <w:rPr>
                <w:spacing w:val="-2"/>
                <w:sz w:val="20"/>
              </w:rPr>
              <w:t>Police</w:t>
            </w:r>
          </w:p>
        </w:tc>
      </w:tr>
      <w:tr w:rsidR="009C36E3" w14:paraId="408318BB" w14:textId="77777777">
        <w:trPr>
          <w:trHeight w:val="621"/>
        </w:trPr>
        <w:tc>
          <w:tcPr>
            <w:tcW w:w="708" w:type="dxa"/>
            <w:tcBorders>
              <w:top w:val="single" w:sz="4" w:space="0" w:color="0064BB"/>
              <w:bottom w:val="single" w:sz="4" w:space="0" w:color="0064BB"/>
            </w:tcBorders>
            <w:shd w:val="clear" w:color="auto" w:fill="F1F1F1"/>
          </w:tcPr>
          <w:p w14:paraId="6FA654FA" w14:textId="77777777" w:rsidR="009C36E3" w:rsidRDefault="000E7207">
            <w:pPr>
              <w:pStyle w:val="TableParagraph"/>
              <w:spacing w:before="80"/>
              <w:rPr>
                <w:b/>
                <w:sz w:val="18"/>
              </w:rPr>
            </w:pPr>
            <w:r>
              <w:rPr>
                <w:b/>
                <w:spacing w:val="-5"/>
                <w:sz w:val="18"/>
              </w:rPr>
              <w:t>60</w:t>
            </w:r>
          </w:p>
        </w:tc>
        <w:tc>
          <w:tcPr>
            <w:tcW w:w="2413" w:type="dxa"/>
            <w:tcBorders>
              <w:top w:val="single" w:sz="4" w:space="0" w:color="0064BB"/>
              <w:bottom w:val="single" w:sz="4" w:space="0" w:color="0064BB"/>
            </w:tcBorders>
          </w:tcPr>
          <w:p w14:paraId="5B16FBD8" w14:textId="77777777" w:rsidR="009C36E3" w:rsidRDefault="000E7207">
            <w:pPr>
              <w:pStyle w:val="TableParagraph"/>
              <w:ind w:left="108"/>
              <w:rPr>
                <w:sz w:val="20"/>
              </w:rPr>
            </w:pPr>
            <w:r>
              <w:rPr>
                <w:sz w:val="20"/>
              </w:rPr>
              <w:t>Louisa</w:t>
            </w:r>
            <w:r>
              <w:rPr>
                <w:spacing w:val="-8"/>
                <w:sz w:val="20"/>
              </w:rPr>
              <w:t xml:space="preserve"> </w:t>
            </w:r>
            <w:r>
              <w:rPr>
                <w:spacing w:val="-2"/>
                <w:sz w:val="20"/>
              </w:rPr>
              <w:t>Osbourne</w:t>
            </w:r>
          </w:p>
        </w:tc>
        <w:tc>
          <w:tcPr>
            <w:tcW w:w="4232" w:type="dxa"/>
            <w:tcBorders>
              <w:top w:val="single" w:sz="4" w:space="0" w:color="0064BB"/>
              <w:bottom w:val="single" w:sz="4" w:space="0" w:color="0064BB"/>
            </w:tcBorders>
          </w:tcPr>
          <w:p w14:paraId="1BC88595" w14:textId="77777777" w:rsidR="009C36E3" w:rsidRDefault="000E7207">
            <w:pPr>
              <w:pStyle w:val="TableParagraph"/>
              <w:spacing w:line="242" w:lineRule="auto"/>
              <w:ind w:left="531"/>
              <w:rPr>
                <w:sz w:val="20"/>
              </w:rPr>
            </w:pPr>
            <w:r>
              <w:rPr>
                <w:sz w:val="20"/>
              </w:rPr>
              <w:t>A/g</w:t>
            </w:r>
            <w:r>
              <w:rPr>
                <w:spacing w:val="-11"/>
                <w:sz w:val="20"/>
              </w:rPr>
              <w:t xml:space="preserve"> </w:t>
            </w:r>
            <w:r>
              <w:rPr>
                <w:sz w:val="20"/>
              </w:rPr>
              <w:t>Coordinator,</w:t>
            </w:r>
            <w:r>
              <w:rPr>
                <w:spacing w:val="-10"/>
                <w:sz w:val="20"/>
              </w:rPr>
              <w:t xml:space="preserve"> </w:t>
            </w:r>
            <w:r>
              <w:rPr>
                <w:sz w:val="20"/>
              </w:rPr>
              <w:t>Strategy</w:t>
            </w:r>
            <w:r>
              <w:rPr>
                <w:spacing w:val="-8"/>
                <w:sz w:val="20"/>
              </w:rPr>
              <w:t xml:space="preserve"> </w:t>
            </w:r>
            <w:r>
              <w:rPr>
                <w:sz w:val="20"/>
              </w:rPr>
              <w:t>Design</w:t>
            </w:r>
            <w:r>
              <w:rPr>
                <w:spacing w:val="-10"/>
                <w:sz w:val="20"/>
              </w:rPr>
              <w:t xml:space="preserve"> </w:t>
            </w:r>
            <w:r>
              <w:rPr>
                <w:sz w:val="20"/>
              </w:rPr>
              <w:t>and Evaluation, International Command</w:t>
            </w:r>
          </w:p>
        </w:tc>
        <w:tc>
          <w:tcPr>
            <w:tcW w:w="2850" w:type="dxa"/>
            <w:tcBorders>
              <w:top w:val="single" w:sz="4" w:space="0" w:color="0064BB"/>
              <w:bottom w:val="single" w:sz="4" w:space="0" w:color="0064BB"/>
            </w:tcBorders>
          </w:tcPr>
          <w:p w14:paraId="76B95F1F" w14:textId="77777777" w:rsidR="009C36E3" w:rsidRDefault="000E7207">
            <w:pPr>
              <w:pStyle w:val="TableParagraph"/>
              <w:ind w:left="125"/>
              <w:rPr>
                <w:sz w:val="20"/>
              </w:rPr>
            </w:pPr>
            <w:r>
              <w:rPr>
                <w:sz w:val="20"/>
              </w:rPr>
              <w:t>Australian</w:t>
            </w:r>
            <w:r>
              <w:rPr>
                <w:spacing w:val="-11"/>
                <w:sz w:val="20"/>
              </w:rPr>
              <w:t xml:space="preserve"> </w:t>
            </w:r>
            <w:r>
              <w:rPr>
                <w:sz w:val="20"/>
              </w:rPr>
              <w:t>Federal</w:t>
            </w:r>
            <w:r>
              <w:rPr>
                <w:spacing w:val="-8"/>
                <w:sz w:val="20"/>
              </w:rPr>
              <w:t xml:space="preserve"> </w:t>
            </w:r>
            <w:r>
              <w:rPr>
                <w:spacing w:val="-2"/>
                <w:sz w:val="20"/>
              </w:rPr>
              <w:t>Police</w:t>
            </w:r>
          </w:p>
        </w:tc>
      </w:tr>
      <w:tr w:rsidR="009C36E3" w14:paraId="4A244567" w14:textId="77777777">
        <w:trPr>
          <w:trHeight w:val="621"/>
        </w:trPr>
        <w:tc>
          <w:tcPr>
            <w:tcW w:w="708" w:type="dxa"/>
            <w:tcBorders>
              <w:top w:val="single" w:sz="4" w:space="0" w:color="0064BB"/>
              <w:bottom w:val="single" w:sz="4" w:space="0" w:color="0064BB"/>
            </w:tcBorders>
            <w:shd w:val="clear" w:color="auto" w:fill="F1F1F1"/>
          </w:tcPr>
          <w:p w14:paraId="381B9D3D" w14:textId="77777777" w:rsidR="009C36E3" w:rsidRDefault="000E7207">
            <w:pPr>
              <w:pStyle w:val="TableParagraph"/>
              <w:spacing w:before="83"/>
              <w:rPr>
                <w:b/>
                <w:sz w:val="18"/>
              </w:rPr>
            </w:pPr>
            <w:r>
              <w:rPr>
                <w:b/>
                <w:spacing w:val="-5"/>
                <w:sz w:val="18"/>
              </w:rPr>
              <w:t>61</w:t>
            </w:r>
          </w:p>
        </w:tc>
        <w:tc>
          <w:tcPr>
            <w:tcW w:w="2413" w:type="dxa"/>
            <w:tcBorders>
              <w:top w:val="single" w:sz="4" w:space="0" w:color="0064BB"/>
              <w:bottom w:val="single" w:sz="4" w:space="0" w:color="0064BB"/>
            </w:tcBorders>
          </w:tcPr>
          <w:p w14:paraId="166BEBF4" w14:textId="77777777" w:rsidR="009C36E3" w:rsidRDefault="000E7207">
            <w:pPr>
              <w:pStyle w:val="TableParagraph"/>
              <w:spacing w:before="81"/>
              <w:ind w:left="108"/>
              <w:rPr>
                <w:sz w:val="20"/>
              </w:rPr>
            </w:pPr>
            <w:r>
              <w:rPr>
                <w:sz w:val="20"/>
              </w:rPr>
              <w:t>Melissa</w:t>
            </w:r>
            <w:r>
              <w:rPr>
                <w:spacing w:val="-9"/>
                <w:sz w:val="20"/>
              </w:rPr>
              <w:t xml:space="preserve"> </w:t>
            </w:r>
            <w:r>
              <w:rPr>
                <w:spacing w:val="-2"/>
                <w:sz w:val="20"/>
              </w:rPr>
              <w:t>Northam</w:t>
            </w:r>
          </w:p>
        </w:tc>
        <w:tc>
          <w:tcPr>
            <w:tcW w:w="4232" w:type="dxa"/>
            <w:tcBorders>
              <w:top w:val="single" w:sz="4" w:space="0" w:color="0064BB"/>
              <w:bottom w:val="single" w:sz="4" w:space="0" w:color="0064BB"/>
            </w:tcBorders>
          </w:tcPr>
          <w:p w14:paraId="4547AB5C" w14:textId="77777777" w:rsidR="009C36E3" w:rsidRDefault="000E7207">
            <w:pPr>
              <w:pStyle w:val="TableParagraph"/>
              <w:spacing w:before="81"/>
              <w:ind w:left="531"/>
              <w:rPr>
                <w:sz w:val="20"/>
              </w:rPr>
            </w:pPr>
            <w:r>
              <w:rPr>
                <w:sz w:val="20"/>
              </w:rPr>
              <w:t>Program</w:t>
            </w:r>
            <w:r>
              <w:rPr>
                <w:spacing w:val="-12"/>
                <w:sz w:val="20"/>
              </w:rPr>
              <w:t xml:space="preserve"> </w:t>
            </w:r>
            <w:r>
              <w:rPr>
                <w:sz w:val="20"/>
              </w:rPr>
              <w:t>Coordinator</w:t>
            </w:r>
            <w:r>
              <w:rPr>
                <w:spacing w:val="-12"/>
                <w:sz w:val="20"/>
              </w:rPr>
              <w:t xml:space="preserve"> </w:t>
            </w:r>
            <w:r>
              <w:rPr>
                <w:spacing w:val="-2"/>
                <w:sz w:val="20"/>
              </w:rPr>
              <w:t>(Policing)</w:t>
            </w:r>
          </w:p>
        </w:tc>
        <w:tc>
          <w:tcPr>
            <w:tcW w:w="2850" w:type="dxa"/>
            <w:tcBorders>
              <w:top w:val="single" w:sz="4" w:space="0" w:color="0064BB"/>
              <w:bottom w:val="single" w:sz="4" w:space="0" w:color="0064BB"/>
            </w:tcBorders>
          </w:tcPr>
          <w:p w14:paraId="6985B958" w14:textId="77777777" w:rsidR="009C36E3" w:rsidRDefault="000E7207">
            <w:pPr>
              <w:pStyle w:val="TableParagraph"/>
              <w:spacing w:before="81"/>
              <w:ind w:left="125" w:right="1095"/>
              <w:rPr>
                <w:sz w:val="20"/>
              </w:rPr>
            </w:pPr>
            <w:r>
              <w:rPr>
                <w:sz w:val="20"/>
              </w:rPr>
              <w:t>Australian</w:t>
            </w:r>
            <w:r>
              <w:rPr>
                <w:spacing w:val="-14"/>
                <w:sz w:val="20"/>
              </w:rPr>
              <w:t xml:space="preserve"> </w:t>
            </w:r>
            <w:r>
              <w:rPr>
                <w:sz w:val="20"/>
              </w:rPr>
              <w:t xml:space="preserve">Federal </w:t>
            </w:r>
            <w:r>
              <w:rPr>
                <w:spacing w:val="-2"/>
                <w:sz w:val="20"/>
              </w:rPr>
              <w:t>Police/VAPJP</w:t>
            </w:r>
          </w:p>
        </w:tc>
      </w:tr>
      <w:tr w:rsidR="009C36E3" w14:paraId="3029884D" w14:textId="77777777">
        <w:trPr>
          <w:trHeight w:val="618"/>
        </w:trPr>
        <w:tc>
          <w:tcPr>
            <w:tcW w:w="708" w:type="dxa"/>
            <w:tcBorders>
              <w:top w:val="single" w:sz="4" w:space="0" w:color="0064BB"/>
              <w:bottom w:val="single" w:sz="4" w:space="0" w:color="0064BB"/>
            </w:tcBorders>
            <w:shd w:val="clear" w:color="auto" w:fill="F1F1F1"/>
          </w:tcPr>
          <w:p w14:paraId="6C87517D" w14:textId="77777777" w:rsidR="009C36E3" w:rsidRDefault="000E7207">
            <w:pPr>
              <w:pStyle w:val="TableParagraph"/>
              <w:spacing w:before="80"/>
              <w:rPr>
                <w:b/>
                <w:sz w:val="18"/>
              </w:rPr>
            </w:pPr>
            <w:r>
              <w:rPr>
                <w:b/>
                <w:spacing w:val="-5"/>
                <w:sz w:val="18"/>
              </w:rPr>
              <w:t>62</w:t>
            </w:r>
          </w:p>
        </w:tc>
        <w:tc>
          <w:tcPr>
            <w:tcW w:w="2413" w:type="dxa"/>
            <w:tcBorders>
              <w:top w:val="single" w:sz="4" w:space="0" w:color="0064BB"/>
              <w:bottom w:val="single" w:sz="4" w:space="0" w:color="0064BB"/>
            </w:tcBorders>
          </w:tcPr>
          <w:p w14:paraId="1E4E16C8" w14:textId="77777777" w:rsidR="009C36E3" w:rsidRDefault="000E7207">
            <w:pPr>
              <w:pStyle w:val="TableParagraph"/>
              <w:ind w:left="108"/>
              <w:rPr>
                <w:sz w:val="20"/>
              </w:rPr>
            </w:pPr>
            <w:r>
              <w:rPr>
                <w:sz w:val="20"/>
              </w:rPr>
              <w:t>Scott</w:t>
            </w:r>
            <w:r>
              <w:rPr>
                <w:spacing w:val="-8"/>
                <w:sz w:val="20"/>
              </w:rPr>
              <w:t xml:space="preserve"> </w:t>
            </w:r>
            <w:r>
              <w:rPr>
                <w:spacing w:val="-2"/>
                <w:sz w:val="20"/>
              </w:rPr>
              <w:t>Caulfield</w:t>
            </w:r>
          </w:p>
        </w:tc>
        <w:tc>
          <w:tcPr>
            <w:tcW w:w="4232" w:type="dxa"/>
            <w:tcBorders>
              <w:top w:val="single" w:sz="4" w:space="0" w:color="0064BB"/>
              <w:bottom w:val="single" w:sz="4" w:space="0" w:color="0064BB"/>
            </w:tcBorders>
          </w:tcPr>
          <w:p w14:paraId="34CCBF90" w14:textId="77777777" w:rsidR="009C36E3" w:rsidRDefault="000E7207">
            <w:pPr>
              <w:pStyle w:val="TableParagraph"/>
              <w:ind w:left="531"/>
              <w:rPr>
                <w:sz w:val="20"/>
              </w:rPr>
            </w:pPr>
            <w:r>
              <w:rPr>
                <w:sz w:val="20"/>
              </w:rPr>
              <w:t>General</w:t>
            </w:r>
            <w:r>
              <w:rPr>
                <w:spacing w:val="-9"/>
                <w:sz w:val="20"/>
              </w:rPr>
              <w:t xml:space="preserve"> </w:t>
            </w:r>
            <w:r>
              <w:rPr>
                <w:sz w:val="20"/>
              </w:rPr>
              <w:t>Duties</w:t>
            </w:r>
            <w:r>
              <w:rPr>
                <w:spacing w:val="-6"/>
                <w:sz w:val="20"/>
              </w:rPr>
              <w:t xml:space="preserve"> </w:t>
            </w:r>
            <w:r>
              <w:rPr>
                <w:spacing w:val="-2"/>
                <w:sz w:val="20"/>
              </w:rPr>
              <w:t>Adviser</w:t>
            </w:r>
          </w:p>
        </w:tc>
        <w:tc>
          <w:tcPr>
            <w:tcW w:w="2850" w:type="dxa"/>
            <w:tcBorders>
              <w:top w:val="single" w:sz="4" w:space="0" w:color="0064BB"/>
              <w:bottom w:val="single" w:sz="4" w:space="0" w:color="0064BB"/>
            </w:tcBorders>
          </w:tcPr>
          <w:p w14:paraId="2DDDC70A" w14:textId="77777777" w:rsidR="009C36E3" w:rsidRDefault="000E7207">
            <w:pPr>
              <w:pStyle w:val="TableParagraph"/>
              <w:ind w:left="125" w:right="1095"/>
              <w:rPr>
                <w:sz w:val="20"/>
              </w:rPr>
            </w:pPr>
            <w:r>
              <w:rPr>
                <w:sz w:val="20"/>
              </w:rPr>
              <w:t>Australian</w:t>
            </w:r>
            <w:r>
              <w:rPr>
                <w:spacing w:val="-14"/>
                <w:sz w:val="20"/>
              </w:rPr>
              <w:t xml:space="preserve"> </w:t>
            </w:r>
            <w:r>
              <w:rPr>
                <w:sz w:val="20"/>
              </w:rPr>
              <w:t xml:space="preserve">Federal </w:t>
            </w:r>
            <w:r>
              <w:rPr>
                <w:spacing w:val="-2"/>
                <w:sz w:val="20"/>
              </w:rPr>
              <w:t>Police/VAPJP</w:t>
            </w:r>
          </w:p>
        </w:tc>
      </w:tr>
      <w:tr w:rsidR="009C36E3" w14:paraId="35BDDBB4" w14:textId="77777777">
        <w:trPr>
          <w:trHeight w:val="621"/>
        </w:trPr>
        <w:tc>
          <w:tcPr>
            <w:tcW w:w="708" w:type="dxa"/>
            <w:tcBorders>
              <w:top w:val="single" w:sz="4" w:space="0" w:color="0064BB"/>
              <w:bottom w:val="single" w:sz="4" w:space="0" w:color="0064BB"/>
            </w:tcBorders>
            <w:shd w:val="clear" w:color="auto" w:fill="F1F1F1"/>
          </w:tcPr>
          <w:p w14:paraId="445EB841" w14:textId="77777777" w:rsidR="009C36E3" w:rsidRDefault="000E7207">
            <w:pPr>
              <w:pStyle w:val="TableParagraph"/>
              <w:spacing w:before="83"/>
              <w:rPr>
                <w:b/>
                <w:sz w:val="18"/>
              </w:rPr>
            </w:pPr>
            <w:r>
              <w:rPr>
                <w:b/>
                <w:spacing w:val="-5"/>
                <w:sz w:val="18"/>
              </w:rPr>
              <w:t>63</w:t>
            </w:r>
          </w:p>
        </w:tc>
        <w:tc>
          <w:tcPr>
            <w:tcW w:w="2413" w:type="dxa"/>
            <w:tcBorders>
              <w:top w:val="single" w:sz="4" w:space="0" w:color="0064BB"/>
              <w:bottom w:val="single" w:sz="4" w:space="0" w:color="0064BB"/>
            </w:tcBorders>
          </w:tcPr>
          <w:p w14:paraId="00CF7DFE" w14:textId="77777777" w:rsidR="009C36E3" w:rsidRDefault="000E7207">
            <w:pPr>
              <w:pStyle w:val="TableParagraph"/>
              <w:spacing w:before="81"/>
              <w:ind w:left="108"/>
              <w:rPr>
                <w:sz w:val="20"/>
              </w:rPr>
            </w:pPr>
            <w:r>
              <w:rPr>
                <w:sz w:val="20"/>
              </w:rPr>
              <w:t>Andre</w:t>
            </w:r>
            <w:r>
              <w:rPr>
                <w:spacing w:val="-8"/>
                <w:sz w:val="20"/>
              </w:rPr>
              <w:t xml:space="preserve"> </w:t>
            </w:r>
            <w:r>
              <w:rPr>
                <w:spacing w:val="-4"/>
                <w:sz w:val="20"/>
              </w:rPr>
              <w:t>Nant</w:t>
            </w:r>
          </w:p>
        </w:tc>
        <w:tc>
          <w:tcPr>
            <w:tcW w:w="4232" w:type="dxa"/>
            <w:tcBorders>
              <w:top w:val="single" w:sz="4" w:space="0" w:color="0064BB"/>
              <w:bottom w:val="single" w:sz="4" w:space="0" w:color="0064BB"/>
            </w:tcBorders>
          </w:tcPr>
          <w:p w14:paraId="33212DB9" w14:textId="77777777" w:rsidR="009C36E3" w:rsidRDefault="000E7207">
            <w:pPr>
              <w:pStyle w:val="TableParagraph"/>
              <w:spacing w:before="81"/>
              <w:ind w:left="531" w:right="689"/>
              <w:rPr>
                <w:sz w:val="20"/>
              </w:rPr>
            </w:pPr>
            <w:r>
              <w:rPr>
                <w:sz w:val="20"/>
              </w:rPr>
              <w:t>Criminal</w:t>
            </w:r>
            <w:r>
              <w:rPr>
                <w:spacing w:val="-14"/>
                <w:sz w:val="20"/>
              </w:rPr>
              <w:t xml:space="preserve"> </w:t>
            </w:r>
            <w:r>
              <w:rPr>
                <w:sz w:val="20"/>
              </w:rPr>
              <w:t>Investigation</w:t>
            </w:r>
            <w:r>
              <w:rPr>
                <w:spacing w:val="-14"/>
                <w:sz w:val="20"/>
              </w:rPr>
              <w:t xml:space="preserve"> </w:t>
            </w:r>
            <w:r>
              <w:rPr>
                <w:sz w:val="20"/>
              </w:rPr>
              <w:t xml:space="preserve">Department </w:t>
            </w:r>
            <w:r>
              <w:rPr>
                <w:spacing w:val="-2"/>
                <w:sz w:val="20"/>
              </w:rPr>
              <w:t>Adviser</w:t>
            </w:r>
          </w:p>
        </w:tc>
        <w:tc>
          <w:tcPr>
            <w:tcW w:w="2850" w:type="dxa"/>
            <w:tcBorders>
              <w:top w:val="single" w:sz="4" w:space="0" w:color="0064BB"/>
              <w:bottom w:val="single" w:sz="4" w:space="0" w:color="0064BB"/>
            </w:tcBorders>
          </w:tcPr>
          <w:p w14:paraId="1AE3F1BF" w14:textId="77777777" w:rsidR="009C36E3" w:rsidRDefault="000E7207">
            <w:pPr>
              <w:pStyle w:val="TableParagraph"/>
              <w:spacing w:before="81"/>
              <w:ind w:left="125" w:right="1095"/>
              <w:rPr>
                <w:sz w:val="20"/>
              </w:rPr>
            </w:pPr>
            <w:r>
              <w:rPr>
                <w:sz w:val="20"/>
              </w:rPr>
              <w:t>Australian</w:t>
            </w:r>
            <w:r>
              <w:rPr>
                <w:spacing w:val="-14"/>
                <w:sz w:val="20"/>
              </w:rPr>
              <w:t xml:space="preserve"> </w:t>
            </w:r>
            <w:r>
              <w:rPr>
                <w:sz w:val="20"/>
              </w:rPr>
              <w:t xml:space="preserve">Federal </w:t>
            </w:r>
            <w:r>
              <w:rPr>
                <w:spacing w:val="-2"/>
                <w:sz w:val="20"/>
              </w:rPr>
              <w:t>Police/VAPJP</w:t>
            </w:r>
          </w:p>
        </w:tc>
      </w:tr>
      <w:tr w:rsidR="009C36E3" w14:paraId="633B2765" w14:textId="77777777">
        <w:trPr>
          <w:trHeight w:val="618"/>
        </w:trPr>
        <w:tc>
          <w:tcPr>
            <w:tcW w:w="708" w:type="dxa"/>
            <w:tcBorders>
              <w:top w:val="single" w:sz="4" w:space="0" w:color="0064BB"/>
              <w:bottom w:val="single" w:sz="4" w:space="0" w:color="0064BB"/>
            </w:tcBorders>
            <w:shd w:val="clear" w:color="auto" w:fill="F1F1F1"/>
          </w:tcPr>
          <w:p w14:paraId="4FA26A22" w14:textId="77777777" w:rsidR="009C36E3" w:rsidRDefault="000E7207">
            <w:pPr>
              <w:pStyle w:val="TableParagraph"/>
              <w:spacing w:before="80"/>
              <w:rPr>
                <w:b/>
                <w:sz w:val="18"/>
              </w:rPr>
            </w:pPr>
            <w:r>
              <w:rPr>
                <w:b/>
                <w:spacing w:val="-5"/>
                <w:sz w:val="18"/>
              </w:rPr>
              <w:t>64</w:t>
            </w:r>
          </w:p>
        </w:tc>
        <w:tc>
          <w:tcPr>
            <w:tcW w:w="2413" w:type="dxa"/>
            <w:tcBorders>
              <w:top w:val="single" w:sz="4" w:space="0" w:color="0064BB"/>
              <w:bottom w:val="single" w:sz="4" w:space="0" w:color="0064BB"/>
            </w:tcBorders>
          </w:tcPr>
          <w:p w14:paraId="24CE8580" w14:textId="77777777" w:rsidR="009C36E3" w:rsidRDefault="000E7207">
            <w:pPr>
              <w:pStyle w:val="TableParagraph"/>
              <w:ind w:left="108"/>
              <w:rPr>
                <w:sz w:val="20"/>
              </w:rPr>
            </w:pPr>
            <w:r>
              <w:rPr>
                <w:sz w:val="20"/>
              </w:rPr>
              <w:t>John</w:t>
            </w:r>
            <w:r>
              <w:rPr>
                <w:spacing w:val="-7"/>
                <w:sz w:val="20"/>
              </w:rPr>
              <w:t xml:space="preserve"> </w:t>
            </w:r>
            <w:r>
              <w:rPr>
                <w:spacing w:val="-2"/>
                <w:sz w:val="20"/>
              </w:rPr>
              <w:t>Connoley</w:t>
            </w:r>
          </w:p>
        </w:tc>
        <w:tc>
          <w:tcPr>
            <w:tcW w:w="4232" w:type="dxa"/>
            <w:tcBorders>
              <w:top w:val="single" w:sz="4" w:space="0" w:color="0064BB"/>
              <w:bottom w:val="single" w:sz="4" w:space="0" w:color="0064BB"/>
            </w:tcBorders>
          </w:tcPr>
          <w:p w14:paraId="21E44F9A" w14:textId="77777777" w:rsidR="009C36E3" w:rsidRDefault="000E7207">
            <w:pPr>
              <w:pStyle w:val="TableParagraph"/>
              <w:ind w:left="531" w:right="137"/>
              <w:rPr>
                <w:sz w:val="20"/>
              </w:rPr>
            </w:pPr>
            <w:r>
              <w:rPr>
                <w:sz w:val="20"/>
              </w:rPr>
              <w:t>Professional</w:t>
            </w:r>
            <w:r>
              <w:rPr>
                <w:spacing w:val="-14"/>
                <w:sz w:val="20"/>
              </w:rPr>
              <w:t xml:space="preserve"> </w:t>
            </w:r>
            <w:r>
              <w:rPr>
                <w:sz w:val="20"/>
              </w:rPr>
              <w:t>Standards</w:t>
            </w:r>
            <w:r>
              <w:rPr>
                <w:spacing w:val="-14"/>
                <w:sz w:val="20"/>
              </w:rPr>
              <w:t xml:space="preserve"> </w:t>
            </w:r>
            <w:r>
              <w:rPr>
                <w:sz w:val="20"/>
              </w:rPr>
              <w:t>and Development Adviser</w:t>
            </w:r>
          </w:p>
        </w:tc>
        <w:tc>
          <w:tcPr>
            <w:tcW w:w="2850" w:type="dxa"/>
            <w:tcBorders>
              <w:top w:val="single" w:sz="4" w:space="0" w:color="0064BB"/>
              <w:bottom w:val="single" w:sz="4" w:space="0" w:color="0064BB"/>
            </w:tcBorders>
          </w:tcPr>
          <w:p w14:paraId="4ECE8117" w14:textId="77777777" w:rsidR="009C36E3" w:rsidRDefault="000E7207">
            <w:pPr>
              <w:pStyle w:val="TableParagraph"/>
              <w:ind w:left="125" w:right="1095"/>
              <w:rPr>
                <w:sz w:val="20"/>
              </w:rPr>
            </w:pPr>
            <w:r>
              <w:rPr>
                <w:sz w:val="20"/>
              </w:rPr>
              <w:t>Australian</w:t>
            </w:r>
            <w:r>
              <w:rPr>
                <w:spacing w:val="-14"/>
                <w:sz w:val="20"/>
              </w:rPr>
              <w:t xml:space="preserve"> </w:t>
            </w:r>
            <w:r>
              <w:rPr>
                <w:sz w:val="20"/>
              </w:rPr>
              <w:t xml:space="preserve">Federal </w:t>
            </w:r>
            <w:r>
              <w:rPr>
                <w:spacing w:val="-2"/>
                <w:sz w:val="20"/>
              </w:rPr>
              <w:t>Police/VAPJP</w:t>
            </w:r>
          </w:p>
        </w:tc>
      </w:tr>
      <w:tr w:rsidR="009C36E3" w14:paraId="040DF46F" w14:textId="77777777">
        <w:trPr>
          <w:trHeight w:val="621"/>
        </w:trPr>
        <w:tc>
          <w:tcPr>
            <w:tcW w:w="708" w:type="dxa"/>
            <w:tcBorders>
              <w:top w:val="single" w:sz="4" w:space="0" w:color="0064BB"/>
              <w:bottom w:val="single" w:sz="4" w:space="0" w:color="0064BB"/>
            </w:tcBorders>
            <w:shd w:val="clear" w:color="auto" w:fill="F1F1F1"/>
          </w:tcPr>
          <w:p w14:paraId="6F6337F0" w14:textId="77777777" w:rsidR="009C36E3" w:rsidRDefault="000E7207">
            <w:pPr>
              <w:pStyle w:val="TableParagraph"/>
              <w:spacing w:before="83"/>
              <w:rPr>
                <w:b/>
                <w:sz w:val="18"/>
              </w:rPr>
            </w:pPr>
            <w:r>
              <w:rPr>
                <w:b/>
                <w:spacing w:val="-5"/>
                <w:sz w:val="18"/>
              </w:rPr>
              <w:t>65</w:t>
            </w:r>
          </w:p>
        </w:tc>
        <w:tc>
          <w:tcPr>
            <w:tcW w:w="2413" w:type="dxa"/>
            <w:tcBorders>
              <w:top w:val="single" w:sz="4" w:space="0" w:color="0064BB"/>
              <w:bottom w:val="single" w:sz="4" w:space="0" w:color="0064BB"/>
            </w:tcBorders>
          </w:tcPr>
          <w:p w14:paraId="4C65E1C1" w14:textId="77777777" w:rsidR="009C36E3" w:rsidRDefault="000E7207">
            <w:pPr>
              <w:pStyle w:val="TableParagraph"/>
              <w:spacing w:before="81"/>
              <w:ind w:left="108"/>
              <w:rPr>
                <w:sz w:val="20"/>
              </w:rPr>
            </w:pPr>
            <w:r>
              <w:rPr>
                <w:sz w:val="20"/>
              </w:rPr>
              <w:t>Simon</w:t>
            </w:r>
            <w:r>
              <w:rPr>
                <w:spacing w:val="-9"/>
                <w:sz w:val="20"/>
              </w:rPr>
              <w:t xml:space="preserve"> </w:t>
            </w:r>
            <w:r>
              <w:rPr>
                <w:spacing w:val="-2"/>
                <w:sz w:val="20"/>
              </w:rPr>
              <w:t>Teece</w:t>
            </w:r>
          </w:p>
        </w:tc>
        <w:tc>
          <w:tcPr>
            <w:tcW w:w="4232" w:type="dxa"/>
            <w:tcBorders>
              <w:top w:val="single" w:sz="4" w:space="0" w:color="0064BB"/>
              <w:bottom w:val="single" w:sz="4" w:space="0" w:color="0064BB"/>
            </w:tcBorders>
          </w:tcPr>
          <w:p w14:paraId="7B9294C8" w14:textId="77777777" w:rsidR="009C36E3" w:rsidRDefault="000E7207">
            <w:pPr>
              <w:pStyle w:val="TableParagraph"/>
              <w:spacing w:before="81"/>
              <w:ind w:left="531"/>
              <w:rPr>
                <w:sz w:val="20"/>
              </w:rPr>
            </w:pPr>
            <w:r>
              <w:rPr>
                <w:sz w:val="20"/>
              </w:rPr>
              <w:t>AFP</w:t>
            </w:r>
            <w:r>
              <w:rPr>
                <w:spacing w:val="-4"/>
                <w:sz w:val="20"/>
              </w:rPr>
              <w:t xml:space="preserve"> </w:t>
            </w:r>
            <w:r>
              <w:rPr>
                <w:spacing w:val="-2"/>
                <w:sz w:val="20"/>
              </w:rPr>
              <w:t>Liaison</w:t>
            </w:r>
          </w:p>
        </w:tc>
        <w:tc>
          <w:tcPr>
            <w:tcW w:w="2850" w:type="dxa"/>
            <w:tcBorders>
              <w:top w:val="single" w:sz="4" w:space="0" w:color="0064BB"/>
              <w:bottom w:val="single" w:sz="4" w:space="0" w:color="0064BB"/>
            </w:tcBorders>
          </w:tcPr>
          <w:p w14:paraId="4162BD88" w14:textId="77777777" w:rsidR="009C36E3" w:rsidRDefault="000E7207">
            <w:pPr>
              <w:pStyle w:val="TableParagraph"/>
              <w:spacing w:before="81"/>
              <w:ind w:left="125" w:right="1095"/>
              <w:rPr>
                <w:sz w:val="20"/>
              </w:rPr>
            </w:pPr>
            <w:r>
              <w:rPr>
                <w:sz w:val="20"/>
              </w:rPr>
              <w:t>Australian</w:t>
            </w:r>
            <w:r>
              <w:rPr>
                <w:spacing w:val="-14"/>
                <w:sz w:val="20"/>
              </w:rPr>
              <w:t xml:space="preserve"> </w:t>
            </w:r>
            <w:r>
              <w:rPr>
                <w:sz w:val="20"/>
              </w:rPr>
              <w:t xml:space="preserve">Federal </w:t>
            </w:r>
            <w:r>
              <w:rPr>
                <w:spacing w:val="-2"/>
                <w:sz w:val="20"/>
              </w:rPr>
              <w:t>Police/VAPJP</w:t>
            </w:r>
          </w:p>
        </w:tc>
      </w:tr>
      <w:tr w:rsidR="009C36E3" w14:paraId="09F0FB20" w14:textId="77777777">
        <w:trPr>
          <w:trHeight w:val="618"/>
        </w:trPr>
        <w:tc>
          <w:tcPr>
            <w:tcW w:w="708" w:type="dxa"/>
            <w:tcBorders>
              <w:top w:val="single" w:sz="4" w:space="0" w:color="0064BB"/>
              <w:bottom w:val="single" w:sz="4" w:space="0" w:color="0064BB"/>
            </w:tcBorders>
            <w:shd w:val="clear" w:color="auto" w:fill="F1F1F1"/>
          </w:tcPr>
          <w:p w14:paraId="2666FAA0" w14:textId="77777777" w:rsidR="009C36E3" w:rsidRDefault="000E7207">
            <w:pPr>
              <w:pStyle w:val="TableParagraph"/>
              <w:spacing w:before="80"/>
              <w:rPr>
                <w:b/>
                <w:sz w:val="18"/>
              </w:rPr>
            </w:pPr>
            <w:r>
              <w:rPr>
                <w:b/>
                <w:spacing w:val="-5"/>
                <w:sz w:val="18"/>
              </w:rPr>
              <w:t>66</w:t>
            </w:r>
          </w:p>
        </w:tc>
        <w:tc>
          <w:tcPr>
            <w:tcW w:w="2413" w:type="dxa"/>
            <w:tcBorders>
              <w:top w:val="single" w:sz="4" w:space="0" w:color="0064BB"/>
              <w:bottom w:val="single" w:sz="4" w:space="0" w:color="0064BB"/>
            </w:tcBorders>
          </w:tcPr>
          <w:p w14:paraId="57A99DB9" w14:textId="77777777" w:rsidR="009C36E3" w:rsidRDefault="000E7207">
            <w:pPr>
              <w:pStyle w:val="TableParagraph"/>
              <w:ind w:left="108"/>
              <w:rPr>
                <w:sz w:val="20"/>
              </w:rPr>
            </w:pPr>
            <w:r>
              <w:rPr>
                <w:sz w:val="20"/>
              </w:rPr>
              <w:t>David</w:t>
            </w:r>
            <w:r>
              <w:rPr>
                <w:spacing w:val="-9"/>
                <w:sz w:val="20"/>
              </w:rPr>
              <w:t xml:space="preserve"> </w:t>
            </w:r>
            <w:r>
              <w:rPr>
                <w:spacing w:val="-2"/>
                <w:sz w:val="20"/>
              </w:rPr>
              <w:t>Crowe</w:t>
            </w:r>
          </w:p>
        </w:tc>
        <w:tc>
          <w:tcPr>
            <w:tcW w:w="4232" w:type="dxa"/>
            <w:tcBorders>
              <w:top w:val="single" w:sz="4" w:space="0" w:color="0064BB"/>
              <w:bottom w:val="single" w:sz="4" w:space="0" w:color="0064BB"/>
            </w:tcBorders>
          </w:tcPr>
          <w:p w14:paraId="211494A1" w14:textId="77777777" w:rsidR="009C36E3" w:rsidRDefault="000E7207">
            <w:pPr>
              <w:pStyle w:val="TableParagraph"/>
              <w:ind w:left="531"/>
              <w:rPr>
                <w:sz w:val="20"/>
              </w:rPr>
            </w:pPr>
            <w:r>
              <w:rPr>
                <w:sz w:val="20"/>
              </w:rPr>
              <w:t>Northern</w:t>
            </w:r>
            <w:r>
              <w:rPr>
                <w:spacing w:val="-11"/>
                <w:sz w:val="20"/>
              </w:rPr>
              <w:t xml:space="preserve"> </w:t>
            </w:r>
            <w:r>
              <w:rPr>
                <w:sz w:val="20"/>
              </w:rPr>
              <w:t>Command</w:t>
            </w:r>
            <w:r>
              <w:rPr>
                <w:spacing w:val="-9"/>
                <w:sz w:val="20"/>
              </w:rPr>
              <w:t xml:space="preserve"> </w:t>
            </w:r>
            <w:r>
              <w:rPr>
                <w:spacing w:val="-2"/>
                <w:sz w:val="20"/>
              </w:rPr>
              <w:t>Adviser</w:t>
            </w:r>
          </w:p>
        </w:tc>
        <w:tc>
          <w:tcPr>
            <w:tcW w:w="2850" w:type="dxa"/>
            <w:tcBorders>
              <w:top w:val="single" w:sz="4" w:space="0" w:color="0064BB"/>
              <w:bottom w:val="single" w:sz="4" w:space="0" w:color="0064BB"/>
            </w:tcBorders>
          </w:tcPr>
          <w:p w14:paraId="2D96B6D6" w14:textId="77777777" w:rsidR="009C36E3" w:rsidRDefault="000E7207">
            <w:pPr>
              <w:pStyle w:val="TableParagraph"/>
              <w:ind w:left="125" w:right="1095"/>
              <w:rPr>
                <w:sz w:val="20"/>
              </w:rPr>
            </w:pPr>
            <w:r>
              <w:rPr>
                <w:sz w:val="20"/>
              </w:rPr>
              <w:t>Australian</w:t>
            </w:r>
            <w:r>
              <w:rPr>
                <w:spacing w:val="-14"/>
                <w:sz w:val="20"/>
              </w:rPr>
              <w:t xml:space="preserve"> </w:t>
            </w:r>
            <w:r>
              <w:rPr>
                <w:sz w:val="20"/>
              </w:rPr>
              <w:t xml:space="preserve">Federal </w:t>
            </w:r>
            <w:r>
              <w:rPr>
                <w:spacing w:val="-2"/>
                <w:sz w:val="20"/>
              </w:rPr>
              <w:t>Police/VAPJP</w:t>
            </w:r>
          </w:p>
        </w:tc>
      </w:tr>
      <w:tr w:rsidR="009C36E3" w14:paraId="57B8CF00" w14:textId="77777777">
        <w:trPr>
          <w:trHeight w:val="621"/>
        </w:trPr>
        <w:tc>
          <w:tcPr>
            <w:tcW w:w="708" w:type="dxa"/>
            <w:tcBorders>
              <w:top w:val="single" w:sz="4" w:space="0" w:color="0064BB"/>
              <w:bottom w:val="single" w:sz="4" w:space="0" w:color="0064BB"/>
            </w:tcBorders>
            <w:shd w:val="clear" w:color="auto" w:fill="F1F1F1"/>
          </w:tcPr>
          <w:p w14:paraId="7CDEA3C2" w14:textId="77777777" w:rsidR="009C36E3" w:rsidRDefault="000E7207">
            <w:pPr>
              <w:pStyle w:val="TableParagraph"/>
              <w:spacing w:before="80"/>
              <w:rPr>
                <w:b/>
                <w:sz w:val="18"/>
              </w:rPr>
            </w:pPr>
            <w:r>
              <w:rPr>
                <w:b/>
                <w:spacing w:val="-5"/>
                <w:sz w:val="18"/>
              </w:rPr>
              <w:t>67</w:t>
            </w:r>
          </w:p>
        </w:tc>
        <w:tc>
          <w:tcPr>
            <w:tcW w:w="2413" w:type="dxa"/>
            <w:tcBorders>
              <w:top w:val="single" w:sz="4" w:space="0" w:color="0064BB"/>
              <w:bottom w:val="single" w:sz="4" w:space="0" w:color="0064BB"/>
            </w:tcBorders>
          </w:tcPr>
          <w:p w14:paraId="043D3EF8" w14:textId="77777777" w:rsidR="009C36E3" w:rsidRDefault="000E7207">
            <w:pPr>
              <w:pStyle w:val="TableParagraph"/>
              <w:ind w:left="108"/>
              <w:rPr>
                <w:sz w:val="20"/>
              </w:rPr>
            </w:pPr>
            <w:r>
              <w:rPr>
                <w:sz w:val="20"/>
              </w:rPr>
              <w:t>Alice</w:t>
            </w:r>
            <w:r>
              <w:rPr>
                <w:spacing w:val="-7"/>
                <w:sz w:val="20"/>
              </w:rPr>
              <w:t xml:space="preserve"> </w:t>
            </w:r>
            <w:r>
              <w:rPr>
                <w:spacing w:val="-2"/>
                <w:sz w:val="20"/>
              </w:rPr>
              <w:t>McGrath</w:t>
            </w:r>
          </w:p>
        </w:tc>
        <w:tc>
          <w:tcPr>
            <w:tcW w:w="4232" w:type="dxa"/>
            <w:tcBorders>
              <w:top w:val="single" w:sz="4" w:space="0" w:color="0064BB"/>
              <w:bottom w:val="single" w:sz="4" w:space="0" w:color="0064BB"/>
            </w:tcBorders>
          </w:tcPr>
          <w:p w14:paraId="3CA55C60" w14:textId="77777777" w:rsidR="009C36E3" w:rsidRDefault="000E7207">
            <w:pPr>
              <w:pStyle w:val="TableParagraph"/>
              <w:ind w:left="531"/>
              <w:rPr>
                <w:sz w:val="20"/>
              </w:rPr>
            </w:pPr>
            <w:r>
              <w:rPr>
                <w:sz w:val="20"/>
              </w:rPr>
              <w:t>Program</w:t>
            </w:r>
            <w:r>
              <w:rPr>
                <w:spacing w:val="-9"/>
                <w:sz w:val="20"/>
              </w:rPr>
              <w:t xml:space="preserve"> </w:t>
            </w:r>
            <w:r>
              <w:rPr>
                <w:sz w:val="20"/>
              </w:rPr>
              <w:t>Coordinator</w:t>
            </w:r>
            <w:r>
              <w:rPr>
                <w:spacing w:val="-8"/>
                <w:sz w:val="20"/>
              </w:rPr>
              <w:t xml:space="preserve"> </w:t>
            </w:r>
            <w:r>
              <w:rPr>
                <w:sz w:val="20"/>
              </w:rPr>
              <w:t>-</w:t>
            </w:r>
            <w:r>
              <w:rPr>
                <w:spacing w:val="-7"/>
                <w:sz w:val="20"/>
              </w:rPr>
              <w:t xml:space="preserve"> </w:t>
            </w:r>
            <w:r>
              <w:rPr>
                <w:spacing w:val="-2"/>
                <w:sz w:val="20"/>
              </w:rPr>
              <w:t>Justice</w:t>
            </w:r>
          </w:p>
        </w:tc>
        <w:tc>
          <w:tcPr>
            <w:tcW w:w="2850" w:type="dxa"/>
            <w:tcBorders>
              <w:top w:val="single" w:sz="4" w:space="0" w:color="0064BB"/>
              <w:bottom w:val="single" w:sz="4" w:space="0" w:color="0064BB"/>
            </w:tcBorders>
          </w:tcPr>
          <w:p w14:paraId="2ED5B621" w14:textId="77777777" w:rsidR="009C36E3" w:rsidRDefault="000E7207">
            <w:pPr>
              <w:pStyle w:val="TableParagraph"/>
              <w:spacing w:line="242" w:lineRule="auto"/>
              <w:ind w:left="125"/>
              <w:rPr>
                <w:sz w:val="20"/>
              </w:rPr>
            </w:pPr>
            <w:r>
              <w:rPr>
                <w:sz w:val="20"/>
              </w:rPr>
              <w:t>Vanuatu</w:t>
            </w:r>
            <w:r>
              <w:rPr>
                <w:spacing w:val="-13"/>
                <w:sz w:val="20"/>
              </w:rPr>
              <w:t xml:space="preserve"> </w:t>
            </w:r>
            <w:r>
              <w:rPr>
                <w:sz w:val="20"/>
              </w:rPr>
              <w:t>Australia</w:t>
            </w:r>
            <w:r>
              <w:rPr>
                <w:spacing w:val="-13"/>
                <w:sz w:val="20"/>
              </w:rPr>
              <w:t xml:space="preserve"> </w:t>
            </w:r>
            <w:r>
              <w:rPr>
                <w:sz w:val="20"/>
              </w:rPr>
              <w:t>Policing</w:t>
            </w:r>
            <w:r>
              <w:rPr>
                <w:spacing w:val="-13"/>
                <w:sz w:val="20"/>
              </w:rPr>
              <w:t xml:space="preserve"> </w:t>
            </w:r>
            <w:r>
              <w:rPr>
                <w:sz w:val="20"/>
              </w:rPr>
              <w:t>&amp; Justice Program</w:t>
            </w:r>
          </w:p>
        </w:tc>
      </w:tr>
      <w:tr w:rsidR="009C36E3" w14:paraId="625A8DC3" w14:textId="77777777">
        <w:trPr>
          <w:trHeight w:val="618"/>
        </w:trPr>
        <w:tc>
          <w:tcPr>
            <w:tcW w:w="708" w:type="dxa"/>
            <w:tcBorders>
              <w:top w:val="single" w:sz="4" w:space="0" w:color="0064BB"/>
              <w:bottom w:val="single" w:sz="4" w:space="0" w:color="0064BB"/>
            </w:tcBorders>
            <w:shd w:val="clear" w:color="auto" w:fill="F1F1F1"/>
          </w:tcPr>
          <w:p w14:paraId="67EA29FC" w14:textId="77777777" w:rsidR="009C36E3" w:rsidRDefault="000E7207">
            <w:pPr>
              <w:pStyle w:val="TableParagraph"/>
              <w:spacing w:before="80"/>
              <w:rPr>
                <w:b/>
                <w:sz w:val="18"/>
              </w:rPr>
            </w:pPr>
            <w:r>
              <w:rPr>
                <w:b/>
                <w:spacing w:val="-5"/>
                <w:sz w:val="18"/>
              </w:rPr>
              <w:t>68</w:t>
            </w:r>
          </w:p>
        </w:tc>
        <w:tc>
          <w:tcPr>
            <w:tcW w:w="2413" w:type="dxa"/>
            <w:tcBorders>
              <w:top w:val="single" w:sz="4" w:space="0" w:color="0064BB"/>
              <w:bottom w:val="single" w:sz="4" w:space="0" w:color="0064BB"/>
            </w:tcBorders>
          </w:tcPr>
          <w:p w14:paraId="1D599379" w14:textId="77777777" w:rsidR="009C36E3" w:rsidRDefault="000E7207">
            <w:pPr>
              <w:pStyle w:val="TableParagraph"/>
              <w:ind w:left="108"/>
              <w:rPr>
                <w:sz w:val="20"/>
              </w:rPr>
            </w:pPr>
            <w:r>
              <w:rPr>
                <w:sz w:val="20"/>
              </w:rPr>
              <w:t>Scott</w:t>
            </w:r>
            <w:r>
              <w:rPr>
                <w:spacing w:val="-8"/>
                <w:sz w:val="20"/>
              </w:rPr>
              <w:t xml:space="preserve"> </w:t>
            </w:r>
            <w:r>
              <w:rPr>
                <w:spacing w:val="-2"/>
                <w:sz w:val="20"/>
              </w:rPr>
              <w:t>Monteiro</w:t>
            </w:r>
          </w:p>
        </w:tc>
        <w:tc>
          <w:tcPr>
            <w:tcW w:w="4232" w:type="dxa"/>
            <w:tcBorders>
              <w:top w:val="single" w:sz="4" w:space="0" w:color="0064BB"/>
              <w:bottom w:val="single" w:sz="4" w:space="0" w:color="0064BB"/>
            </w:tcBorders>
          </w:tcPr>
          <w:p w14:paraId="107B4427" w14:textId="77777777" w:rsidR="009C36E3" w:rsidRDefault="000E7207">
            <w:pPr>
              <w:pStyle w:val="TableParagraph"/>
              <w:ind w:left="531"/>
              <w:rPr>
                <w:sz w:val="20"/>
              </w:rPr>
            </w:pPr>
            <w:r>
              <w:rPr>
                <w:sz w:val="20"/>
              </w:rPr>
              <w:t>Senior</w:t>
            </w:r>
            <w:r>
              <w:rPr>
                <w:spacing w:val="-9"/>
                <w:sz w:val="20"/>
              </w:rPr>
              <w:t xml:space="preserve"> </w:t>
            </w:r>
            <w:r>
              <w:rPr>
                <w:spacing w:val="-2"/>
                <w:sz w:val="20"/>
              </w:rPr>
              <w:t>Manager</w:t>
            </w:r>
          </w:p>
        </w:tc>
        <w:tc>
          <w:tcPr>
            <w:tcW w:w="2850" w:type="dxa"/>
            <w:tcBorders>
              <w:top w:val="single" w:sz="4" w:space="0" w:color="0064BB"/>
              <w:bottom w:val="single" w:sz="4" w:space="0" w:color="0064BB"/>
            </w:tcBorders>
          </w:tcPr>
          <w:p w14:paraId="63F252AC" w14:textId="77777777" w:rsidR="009C36E3" w:rsidRDefault="000E7207">
            <w:pPr>
              <w:pStyle w:val="TableParagraph"/>
              <w:ind w:left="125"/>
              <w:rPr>
                <w:sz w:val="20"/>
              </w:rPr>
            </w:pPr>
            <w:r>
              <w:rPr>
                <w:sz w:val="20"/>
              </w:rPr>
              <w:t>Vanuatu</w:t>
            </w:r>
            <w:r>
              <w:rPr>
                <w:spacing w:val="-13"/>
                <w:sz w:val="20"/>
              </w:rPr>
              <w:t xml:space="preserve"> </w:t>
            </w:r>
            <w:r>
              <w:rPr>
                <w:sz w:val="20"/>
              </w:rPr>
              <w:t>Australia</w:t>
            </w:r>
            <w:r>
              <w:rPr>
                <w:spacing w:val="-13"/>
                <w:sz w:val="20"/>
              </w:rPr>
              <w:t xml:space="preserve"> </w:t>
            </w:r>
            <w:r>
              <w:rPr>
                <w:sz w:val="20"/>
              </w:rPr>
              <w:t>Policing</w:t>
            </w:r>
            <w:r>
              <w:rPr>
                <w:spacing w:val="-13"/>
                <w:sz w:val="20"/>
              </w:rPr>
              <w:t xml:space="preserve"> </w:t>
            </w:r>
            <w:r>
              <w:rPr>
                <w:sz w:val="20"/>
              </w:rPr>
              <w:t>&amp; Justice Program</w:t>
            </w:r>
          </w:p>
        </w:tc>
      </w:tr>
      <w:tr w:rsidR="009C36E3" w14:paraId="6D810D95" w14:textId="77777777">
        <w:trPr>
          <w:trHeight w:val="621"/>
        </w:trPr>
        <w:tc>
          <w:tcPr>
            <w:tcW w:w="708" w:type="dxa"/>
            <w:tcBorders>
              <w:top w:val="single" w:sz="4" w:space="0" w:color="0064BB"/>
              <w:bottom w:val="single" w:sz="4" w:space="0" w:color="0064BB"/>
            </w:tcBorders>
            <w:shd w:val="clear" w:color="auto" w:fill="F1F1F1"/>
          </w:tcPr>
          <w:p w14:paraId="46FD66A7" w14:textId="77777777" w:rsidR="009C36E3" w:rsidRDefault="000E7207">
            <w:pPr>
              <w:pStyle w:val="TableParagraph"/>
              <w:spacing w:before="80"/>
              <w:rPr>
                <w:b/>
                <w:sz w:val="18"/>
              </w:rPr>
            </w:pPr>
            <w:r>
              <w:rPr>
                <w:b/>
                <w:spacing w:val="-5"/>
                <w:sz w:val="18"/>
              </w:rPr>
              <w:t>69</w:t>
            </w:r>
          </w:p>
        </w:tc>
        <w:tc>
          <w:tcPr>
            <w:tcW w:w="2413" w:type="dxa"/>
            <w:tcBorders>
              <w:top w:val="single" w:sz="4" w:space="0" w:color="0064BB"/>
              <w:bottom w:val="single" w:sz="4" w:space="0" w:color="0064BB"/>
            </w:tcBorders>
          </w:tcPr>
          <w:p w14:paraId="0257F554" w14:textId="77777777" w:rsidR="009C36E3" w:rsidRDefault="000E7207">
            <w:pPr>
              <w:pStyle w:val="TableParagraph"/>
              <w:ind w:left="108"/>
              <w:rPr>
                <w:sz w:val="20"/>
              </w:rPr>
            </w:pPr>
            <w:r>
              <w:rPr>
                <w:spacing w:val="-2"/>
                <w:sz w:val="20"/>
              </w:rPr>
              <w:t>Polly</w:t>
            </w:r>
            <w:r>
              <w:rPr>
                <w:spacing w:val="7"/>
                <w:sz w:val="20"/>
              </w:rPr>
              <w:t xml:space="preserve"> </w:t>
            </w:r>
            <w:r>
              <w:rPr>
                <w:spacing w:val="-2"/>
                <w:sz w:val="20"/>
              </w:rPr>
              <w:t>Walker-Dorras</w:t>
            </w:r>
          </w:p>
        </w:tc>
        <w:tc>
          <w:tcPr>
            <w:tcW w:w="4232" w:type="dxa"/>
            <w:tcBorders>
              <w:top w:val="single" w:sz="4" w:space="0" w:color="0064BB"/>
              <w:bottom w:val="single" w:sz="4" w:space="0" w:color="0064BB"/>
            </w:tcBorders>
          </w:tcPr>
          <w:p w14:paraId="036B5722" w14:textId="77777777" w:rsidR="009C36E3" w:rsidRDefault="000E7207">
            <w:pPr>
              <w:pStyle w:val="TableParagraph"/>
              <w:ind w:left="531"/>
              <w:rPr>
                <w:sz w:val="20"/>
              </w:rPr>
            </w:pPr>
            <w:r>
              <w:rPr>
                <w:sz w:val="20"/>
              </w:rPr>
              <w:t>Community</w:t>
            </w:r>
            <w:r>
              <w:rPr>
                <w:spacing w:val="-13"/>
                <w:sz w:val="20"/>
              </w:rPr>
              <w:t xml:space="preserve"> </w:t>
            </w:r>
            <w:r>
              <w:rPr>
                <w:spacing w:val="-4"/>
                <w:sz w:val="20"/>
              </w:rPr>
              <w:t>Lead</w:t>
            </w:r>
          </w:p>
        </w:tc>
        <w:tc>
          <w:tcPr>
            <w:tcW w:w="2850" w:type="dxa"/>
            <w:tcBorders>
              <w:top w:val="single" w:sz="4" w:space="0" w:color="0064BB"/>
              <w:bottom w:val="single" w:sz="4" w:space="0" w:color="0064BB"/>
            </w:tcBorders>
          </w:tcPr>
          <w:p w14:paraId="47FA6EFF" w14:textId="77777777" w:rsidR="009C36E3" w:rsidRDefault="000E7207">
            <w:pPr>
              <w:pStyle w:val="TableParagraph"/>
              <w:spacing w:line="242" w:lineRule="auto"/>
              <w:ind w:left="125"/>
              <w:rPr>
                <w:sz w:val="20"/>
              </w:rPr>
            </w:pPr>
            <w:r>
              <w:rPr>
                <w:sz w:val="20"/>
              </w:rPr>
              <w:t>Vanuatu</w:t>
            </w:r>
            <w:r>
              <w:rPr>
                <w:spacing w:val="-13"/>
                <w:sz w:val="20"/>
              </w:rPr>
              <w:t xml:space="preserve"> </w:t>
            </w:r>
            <w:r>
              <w:rPr>
                <w:sz w:val="20"/>
              </w:rPr>
              <w:t>Australia</w:t>
            </w:r>
            <w:r>
              <w:rPr>
                <w:spacing w:val="-13"/>
                <w:sz w:val="20"/>
              </w:rPr>
              <w:t xml:space="preserve"> </w:t>
            </w:r>
            <w:r>
              <w:rPr>
                <w:sz w:val="20"/>
              </w:rPr>
              <w:t>Policing</w:t>
            </w:r>
            <w:r>
              <w:rPr>
                <w:spacing w:val="-13"/>
                <w:sz w:val="20"/>
              </w:rPr>
              <w:t xml:space="preserve"> </w:t>
            </w:r>
            <w:r>
              <w:rPr>
                <w:sz w:val="20"/>
              </w:rPr>
              <w:t>&amp; Justice Program</w:t>
            </w:r>
          </w:p>
        </w:tc>
      </w:tr>
      <w:tr w:rsidR="009C36E3" w14:paraId="75329723" w14:textId="77777777">
        <w:trPr>
          <w:trHeight w:val="618"/>
        </w:trPr>
        <w:tc>
          <w:tcPr>
            <w:tcW w:w="708" w:type="dxa"/>
            <w:tcBorders>
              <w:top w:val="single" w:sz="4" w:space="0" w:color="0064BB"/>
              <w:bottom w:val="single" w:sz="4" w:space="0" w:color="0064BB"/>
            </w:tcBorders>
            <w:shd w:val="clear" w:color="auto" w:fill="F1F1F1"/>
          </w:tcPr>
          <w:p w14:paraId="0AF2FFB3" w14:textId="77777777" w:rsidR="009C36E3" w:rsidRDefault="000E7207">
            <w:pPr>
              <w:pStyle w:val="TableParagraph"/>
              <w:spacing w:before="80"/>
              <w:rPr>
                <w:b/>
                <w:sz w:val="18"/>
              </w:rPr>
            </w:pPr>
            <w:r>
              <w:rPr>
                <w:b/>
                <w:spacing w:val="-5"/>
                <w:sz w:val="18"/>
              </w:rPr>
              <w:t>70</w:t>
            </w:r>
          </w:p>
        </w:tc>
        <w:tc>
          <w:tcPr>
            <w:tcW w:w="2413" w:type="dxa"/>
            <w:tcBorders>
              <w:top w:val="single" w:sz="4" w:space="0" w:color="0064BB"/>
              <w:bottom w:val="single" w:sz="4" w:space="0" w:color="0064BB"/>
            </w:tcBorders>
          </w:tcPr>
          <w:p w14:paraId="27481F2A" w14:textId="77777777" w:rsidR="009C36E3" w:rsidRDefault="000E7207">
            <w:pPr>
              <w:pStyle w:val="TableParagraph"/>
              <w:ind w:left="108"/>
              <w:rPr>
                <w:sz w:val="20"/>
              </w:rPr>
            </w:pPr>
            <w:r>
              <w:rPr>
                <w:sz w:val="20"/>
              </w:rPr>
              <w:t>Catriona</w:t>
            </w:r>
            <w:r>
              <w:rPr>
                <w:spacing w:val="-10"/>
                <w:sz w:val="20"/>
              </w:rPr>
              <w:t xml:space="preserve"> </w:t>
            </w:r>
            <w:r>
              <w:rPr>
                <w:spacing w:val="-2"/>
                <w:sz w:val="20"/>
              </w:rPr>
              <w:t>McLeod</w:t>
            </w:r>
          </w:p>
        </w:tc>
        <w:tc>
          <w:tcPr>
            <w:tcW w:w="4232" w:type="dxa"/>
            <w:tcBorders>
              <w:top w:val="single" w:sz="4" w:space="0" w:color="0064BB"/>
              <w:bottom w:val="single" w:sz="4" w:space="0" w:color="0064BB"/>
            </w:tcBorders>
          </w:tcPr>
          <w:p w14:paraId="14E05D63" w14:textId="77777777" w:rsidR="009C36E3" w:rsidRDefault="000E7207">
            <w:pPr>
              <w:pStyle w:val="TableParagraph"/>
              <w:ind w:left="531"/>
              <w:rPr>
                <w:sz w:val="20"/>
              </w:rPr>
            </w:pPr>
            <w:r>
              <w:rPr>
                <w:sz w:val="20"/>
              </w:rPr>
              <w:t>Family</w:t>
            </w:r>
            <w:r>
              <w:rPr>
                <w:spacing w:val="-6"/>
                <w:sz w:val="20"/>
              </w:rPr>
              <w:t xml:space="preserve"> </w:t>
            </w:r>
            <w:r>
              <w:rPr>
                <w:sz w:val="20"/>
              </w:rPr>
              <w:t>Protection</w:t>
            </w:r>
            <w:r>
              <w:rPr>
                <w:spacing w:val="-6"/>
                <w:sz w:val="20"/>
              </w:rPr>
              <w:t xml:space="preserve"> </w:t>
            </w:r>
            <w:r>
              <w:rPr>
                <w:sz w:val="20"/>
              </w:rPr>
              <w:t>-</w:t>
            </w:r>
            <w:r>
              <w:rPr>
                <w:spacing w:val="-6"/>
                <w:sz w:val="20"/>
              </w:rPr>
              <w:t xml:space="preserve"> </w:t>
            </w:r>
            <w:r>
              <w:rPr>
                <w:sz w:val="20"/>
              </w:rPr>
              <w:t>FPU</w:t>
            </w:r>
            <w:r>
              <w:rPr>
                <w:spacing w:val="-6"/>
                <w:sz w:val="20"/>
              </w:rPr>
              <w:t xml:space="preserve"> </w:t>
            </w:r>
            <w:r>
              <w:rPr>
                <w:sz w:val="20"/>
              </w:rPr>
              <w:t>Adviser</w:t>
            </w:r>
            <w:r>
              <w:rPr>
                <w:spacing w:val="-6"/>
                <w:sz w:val="20"/>
              </w:rPr>
              <w:t xml:space="preserve"> </w:t>
            </w:r>
            <w:r>
              <w:rPr>
                <w:spacing w:val="-2"/>
                <w:sz w:val="20"/>
              </w:rPr>
              <w:t>(Police)</w:t>
            </w:r>
          </w:p>
        </w:tc>
        <w:tc>
          <w:tcPr>
            <w:tcW w:w="2850" w:type="dxa"/>
            <w:tcBorders>
              <w:top w:val="single" w:sz="4" w:space="0" w:color="0064BB"/>
              <w:bottom w:val="single" w:sz="4" w:space="0" w:color="0064BB"/>
            </w:tcBorders>
          </w:tcPr>
          <w:p w14:paraId="7E6B4B3E" w14:textId="77777777" w:rsidR="009C36E3" w:rsidRDefault="000E7207">
            <w:pPr>
              <w:pStyle w:val="TableParagraph"/>
              <w:ind w:left="125"/>
              <w:rPr>
                <w:sz w:val="20"/>
              </w:rPr>
            </w:pPr>
            <w:r>
              <w:rPr>
                <w:sz w:val="20"/>
              </w:rPr>
              <w:t>Vanuatu</w:t>
            </w:r>
            <w:r>
              <w:rPr>
                <w:spacing w:val="-13"/>
                <w:sz w:val="20"/>
              </w:rPr>
              <w:t xml:space="preserve"> </w:t>
            </w:r>
            <w:r>
              <w:rPr>
                <w:sz w:val="20"/>
              </w:rPr>
              <w:t>Australia</w:t>
            </w:r>
            <w:r>
              <w:rPr>
                <w:spacing w:val="-13"/>
                <w:sz w:val="20"/>
              </w:rPr>
              <w:t xml:space="preserve"> </w:t>
            </w:r>
            <w:r>
              <w:rPr>
                <w:sz w:val="20"/>
              </w:rPr>
              <w:t>Policing</w:t>
            </w:r>
            <w:r>
              <w:rPr>
                <w:spacing w:val="-13"/>
                <w:sz w:val="20"/>
              </w:rPr>
              <w:t xml:space="preserve"> </w:t>
            </w:r>
            <w:r>
              <w:rPr>
                <w:sz w:val="20"/>
              </w:rPr>
              <w:t>&amp; Justice Program</w:t>
            </w:r>
          </w:p>
        </w:tc>
      </w:tr>
      <w:tr w:rsidR="009C36E3" w14:paraId="00C4D566" w14:textId="77777777">
        <w:trPr>
          <w:trHeight w:val="621"/>
        </w:trPr>
        <w:tc>
          <w:tcPr>
            <w:tcW w:w="708" w:type="dxa"/>
            <w:tcBorders>
              <w:top w:val="single" w:sz="4" w:space="0" w:color="0064BB"/>
              <w:bottom w:val="single" w:sz="4" w:space="0" w:color="0064BB"/>
            </w:tcBorders>
            <w:shd w:val="clear" w:color="auto" w:fill="F1F1F1"/>
          </w:tcPr>
          <w:p w14:paraId="30DCFF3E" w14:textId="77777777" w:rsidR="009C36E3" w:rsidRDefault="000E7207">
            <w:pPr>
              <w:pStyle w:val="TableParagraph"/>
              <w:spacing w:before="80"/>
              <w:rPr>
                <w:b/>
                <w:sz w:val="18"/>
              </w:rPr>
            </w:pPr>
            <w:r>
              <w:rPr>
                <w:b/>
                <w:spacing w:val="-5"/>
                <w:sz w:val="18"/>
              </w:rPr>
              <w:t>71</w:t>
            </w:r>
          </w:p>
        </w:tc>
        <w:tc>
          <w:tcPr>
            <w:tcW w:w="2413" w:type="dxa"/>
            <w:tcBorders>
              <w:top w:val="single" w:sz="4" w:space="0" w:color="0064BB"/>
              <w:bottom w:val="single" w:sz="4" w:space="0" w:color="0064BB"/>
            </w:tcBorders>
          </w:tcPr>
          <w:p w14:paraId="2938CC29" w14:textId="77777777" w:rsidR="009C36E3" w:rsidRDefault="000E7207">
            <w:pPr>
              <w:pStyle w:val="TableParagraph"/>
              <w:ind w:left="108"/>
              <w:rPr>
                <w:sz w:val="20"/>
              </w:rPr>
            </w:pPr>
            <w:r>
              <w:rPr>
                <w:sz w:val="20"/>
              </w:rPr>
              <w:t>Carlos</w:t>
            </w:r>
            <w:r>
              <w:rPr>
                <w:spacing w:val="-10"/>
                <w:sz w:val="20"/>
              </w:rPr>
              <w:t xml:space="preserve"> </w:t>
            </w:r>
            <w:r>
              <w:rPr>
                <w:spacing w:val="-2"/>
                <w:sz w:val="20"/>
              </w:rPr>
              <w:t>Noronha</w:t>
            </w:r>
          </w:p>
        </w:tc>
        <w:tc>
          <w:tcPr>
            <w:tcW w:w="4232" w:type="dxa"/>
            <w:tcBorders>
              <w:top w:val="single" w:sz="4" w:space="0" w:color="0064BB"/>
              <w:bottom w:val="single" w:sz="4" w:space="0" w:color="0064BB"/>
            </w:tcBorders>
          </w:tcPr>
          <w:p w14:paraId="02FD042F" w14:textId="77777777" w:rsidR="009C36E3" w:rsidRDefault="000E7207">
            <w:pPr>
              <w:pStyle w:val="TableParagraph"/>
              <w:ind w:left="531"/>
              <w:rPr>
                <w:sz w:val="20"/>
              </w:rPr>
            </w:pPr>
            <w:r>
              <w:rPr>
                <w:sz w:val="20"/>
              </w:rPr>
              <w:t>PFM</w:t>
            </w:r>
            <w:r>
              <w:rPr>
                <w:spacing w:val="-7"/>
                <w:sz w:val="20"/>
              </w:rPr>
              <w:t xml:space="preserve"> </w:t>
            </w:r>
            <w:r>
              <w:rPr>
                <w:sz w:val="20"/>
              </w:rPr>
              <w:t>&amp;</w:t>
            </w:r>
            <w:r>
              <w:rPr>
                <w:spacing w:val="-9"/>
                <w:sz w:val="20"/>
              </w:rPr>
              <w:t xml:space="preserve"> </w:t>
            </w:r>
            <w:r>
              <w:rPr>
                <w:sz w:val="20"/>
              </w:rPr>
              <w:t>Corporate</w:t>
            </w:r>
            <w:r>
              <w:rPr>
                <w:spacing w:val="-7"/>
                <w:sz w:val="20"/>
              </w:rPr>
              <w:t xml:space="preserve"> </w:t>
            </w:r>
            <w:r>
              <w:rPr>
                <w:sz w:val="20"/>
              </w:rPr>
              <w:t>Strengthening</w:t>
            </w:r>
            <w:r>
              <w:rPr>
                <w:spacing w:val="-6"/>
                <w:sz w:val="20"/>
              </w:rPr>
              <w:t xml:space="preserve"> </w:t>
            </w:r>
            <w:r>
              <w:rPr>
                <w:spacing w:val="-2"/>
                <w:sz w:val="20"/>
              </w:rPr>
              <w:t>Adviser</w:t>
            </w:r>
          </w:p>
        </w:tc>
        <w:tc>
          <w:tcPr>
            <w:tcW w:w="2850" w:type="dxa"/>
            <w:tcBorders>
              <w:top w:val="single" w:sz="4" w:space="0" w:color="0064BB"/>
              <w:bottom w:val="single" w:sz="4" w:space="0" w:color="0064BB"/>
            </w:tcBorders>
          </w:tcPr>
          <w:p w14:paraId="3F9636E5" w14:textId="77777777" w:rsidR="009C36E3" w:rsidRDefault="000E7207">
            <w:pPr>
              <w:pStyle w:val="TableParagraph"/>
              <w:spacing w:line="242" w:lineRule="auto"/>
              <w:ind w:left="125"/>
              <w:rPr>
                <w:sz w:val="20"/>
              </w:rPr>
            </w:pPr>
            <w:r>
              <w:rPr>
                <w:sz w:val="20"/>
              </w:rPr>
              <w:t>Vanuatu</w:t>
            </w:r>
            <w:r>
              <w:rPr>
                <w:spacing w:val="-13"/>
                <w:sz w:val="20"/>
              </w:rPr>
              <w:t xml:space="preserve"> </w:t>
            </w:r>
            <w:r>
              <w:rPr>
                <w:sz w:val="20"/>
              </w:rPr>
              <w:t>Australia</w:t>
            </w:r>
            <w:r>
              <w:rPr>
                <w:spacing w:val="-13"/>
                <w:sz w:val="20"/>
              </w:rPr>
              <w:t xml:space="preserve"> </w:t>
            </w:r>
            <w:r>
              <w:rPr>
                <w:sz w:val="20"/>
              </w:rPr>
              <w:t>Policing</w:t>
            </w:r>
            <w:r>
              <w:rPr>
                <w:spacing w:val="-13"/>
                <w:sz w:val="20"/>
              </w:rPr>
              <w:t xml:space="preserve"> </w:t>
            </w:r>
            <w:r>
              <w:rPr>
                <w:sz w:val="20"/>
              </w:rPr>
              <w:t>&amp; Justice Program</w:t>
            </w:r>
          </w:p>
        </w:tc>
      </w:tr>
      <w:tr w:rsidR="009C36E3" w14:paraId="7EA14567" w14:textId="77777777">
        <w:trPr>
          <w:trHeight w:val="618"/>
        </w:trPr>
        <w:tc>
          <w:tcPr>
            <w:tcW w:w="708" w:type="dxa"/>
            <w:tcBorders>
              <w:top w:val="single" w:sz="4" w:space="0" w:color="0064BB"/>
              <w:bottom w:val="single" w:sz="4" w:space="0" w:color="0064BB"/>
            </w:tcBorders>
            <w:shd w:val="clear" w:color="auto" w:fill="F1F1F1"/>
          </w:tcPr>
          <w:p w14:paraId="1A3B6B3F" w14:textId="77777777" w:rsidR="009C36E3" w:rsidRDefault="000E7207">
            <w:pPr>
              <w:pStyle w:val="TableParagraph"/>
              <w:spacing w:before="80"/>
              <w:rPr>
                <w:b/>
                <w:sz w:val="18"/>
              </w:rPr>
            </w:pPr>
            <w:r>
              <w:rPr>
                <w:b/>
                <w:spacing w:val="-5"/>
                <w:sz w:val="18"/>
              </w:rPr>
              <w:t>72</w:t>
            </w:r>
          </w:p>
        </w:tc>
        <w:tc>
          <w:tcPr>
            <w:tcW w:w="2413" w:type="dxa"/>
            <w:tcBorders>
              <w:top w:val="single" w:sz="4" w:space="0" w:color="0064BB"/>
              <w:bottom w:val="single" w:sz="4" w:space="0" w:color="0064BB"/>
            </w:tcBorders>
          </w:tcPr>
          <w:p w14:paraId="748E0469" w14:textId="77777777" w:rsidR="009C36E3" w:rsidRDefault="000E7207">
            <w:pPr>
              <w:pStyle w:val="TableParagraph"/>
              <w:ind w:left="108"/>
              <w:rPr>
                <w:sz w:val="20"/>
              </w:rPr>
            </w:pPr>
            <w:r>
              <w:rPr>
                <w:sz w:val="20"/>
              </w:rPr>
              <w:t>Mereana</w:t>
            </w:r>
            <w:r>
              <w:rPr>
                <w:spacing w:val="-9"/>
                <w:sz w:val="20"/>
              </w:rPr>
              <w:t xml:space="preserve"> </w:t>
            </w:r>
            <w:r>
              <w:rPr>
                <w:spacing w:val="-2"/>
                <w:sz w:val="20"/>
              </w:rPr>
              <w:t>Mills</w:t>
            </w:r>
          </w:p>
        </w:tc>
        <w:tc>
          <w:tcPr>
            <w:tcW w:w="4232" w:type="dxa"/>
            <w:tcBorders>
              <w:top w:val="single" w:sz="4" w:space="0" w:color="0064BB"/>
              <w:bottom w:val="single" w:sz="4" w:space="0" w:color="0064BB"/>
            </w:tcBorders>
          </w:tcPr>
          <w:p w14:paraId="074C2227" w14:textId="77777777" w:rsidR="009C36E3" w:rsidRDefault="000E7207">
            <w:pPr>
              <w:pStyle w:val="TableParagraph"/>
              <w:ind w:left="531"/>
              <w:rPr>
                <w:sz w:val="20"/>
              </w:rPr>
            </w:pPr>
            <w:r>
              <w:rPr>
                <w:sz w:val="20"/>
              </w:rPr>
              <w:t>MEL</w:t>
            </w:r>
            <w:r>
              <w:rPr>
                <w:spacing w:val="-6"/>
                <w:sz w:val="20"/>
              </w:rPr>
              <w:t xml:space="preserve"> </w:t>
            </w:r>
            <w:r>
              <w:rPr>
                <w:spacing w:val="-2"/>
                <w:sz w:val="20"/>
              </w:rPr>
              <w:t>Adviser</w:t>
            </w:r>
          </w:p>
        </w:tc>
        <w:tc>
          <w:tcPr>
            <w:tcW w:w="2850" w:type="dxa"/>
            <w:tcBorders>
              <w:top w:val="single" w:sz="4" w:space="0" w:color="0064BB"/>
              <w:bottom w:val="single" w:sz="4" w:space="0" w:color="0064BB"/>
            </w:tcBorders>
          </w:tcPr>
          <w:p w14:paraId="0EC6E08D" w14:textId="77777777" w:rsidR="009C36E3" w:rsidRDefault="000E7207">
            <w:pPr>
              <w:pStyle w:val="TableParagraph"/>
              <w:ind w:left="125"/>
              <w:rPr>
                <w:sz w:val="20"/>
              </w:rPr>
            </w:pPr>
            <w:r>
              <w:rPr>
                <w:sz w:val="20"/>
              </w:rPr>
              <w:t>Vanuatu</w:t>
            </w:r>
            <w:r>
              <w:rPr>
                <w:spacing w:val="-13"/>
                <w:sz w:val="20"/>
              </w:rPr>
              <w:t xml:space="preserve"> </w:t>
            </w:r>
            <w:r>
              <w:rPr>
                <w:sz w:val="20"/>
              </w:rPr>
              <w:t>Australia</w:t>
            </w:r>
            <w:r>
              <w:rPr>
                <w:spacing w:val="-13"/>
                <w:sz w:val="20"/>
              </w:rPr>
              <w:t xml:space="preserve"> </w:t>
            </w:r>
            <w:r>
              <w:rPr>
                <w:sz w:val="20"/>
              </w:rPr>
              <w:t>Policing</w:t>
            </w:r>
            <w:r>
              <w:rPr>
                <w:spacing w:val="-13"/>
                <w:sz w:val="20"/>
              </w:rPr>
              <w:t xml:space="preserve"> </w:t>
            </w:r>
            <w:r>
              <w:rPr>
                <w:sz w:val="20"/>
              </w:rPr>
              <w:t>&amp; Justice Program</w:t>
            </w:r>
          </w:p>
        </w:tc>
      </w:tr>
      <w:tr w:rsidR="009C36E3" w14:paraId="5457CB22" w14:textId="77777777">
        <w:trPr>
          <w:trHeight w:val="621"/>
        </w:trPr>
        <w:tc>
          <w:tcPr>
            <w:tcW w:w="708" w:type="dxa"/>
            <w:tcBorders>
              <w:top w:val="single" w:sz="4" w:space="0" w:color="0064BB"/>
              <w:bottom w:val="single" w:sz="4" w:space="0" w:color="0064BB"/>
            </w:tcBorders>
            <w:shd w:val="clear" w:color="auto" w:fill="F1F1F1"/>
          </w:tcPr>
          <w:p w14:paraId="0BF08BDD" w14:textId="77777777" w:rsidR="009C36E3" w:rsidRDefault="000E7207">
            <w:pPr>
              <w:pStyle w:val="TableParagraph"/>
              <w:spacing w:before="80"/>
              <w:rPr>
                <w:b/>
                <w:sz w:val="18"/>
              </w:rPr>
            </w:pPr>
            <w:r>
              <w:rPr>
                <w:b/>
                <w:spacing w:val="-5"/>
                <w:sz w:val="18"/>
              </w:rPr>
              <w:t>73</w:t>
            </w:r>
          </w:p>
        </w:tc>
        <w:tc>
          <w:tcPr>
            <w:tcW w:w="2413" w:type="dxa"/>
            <w:tcBorders>
              <w:top w:val="single" w:sz="4" w:space="0" w:color="0064BB"/>
              <w:bottom w:val="single" w:sz="4" w:space="0" w:color="0064BB"/>
            </w:tcBorders>
          </w:tcPr>
          <w:p w14:paraId="2632521D" w14:textId="77777777" w:rsidR="009C36E3" w:rsidRDefault="000E7207">
            <w:pPr>
              <w:pStyle w:val="TableParagraph"/>
              <w:ind w:left="108"/>
              <w:rPr>
                <w:sz w:val="20"/>
              </w:rPr>
            </w:pPr>
            <w:r>
              <w:rPr>
                <w:sz w:val="20"/>
              </w:rPr>
              <w:t>Vivian</w:t>
            </w:r>
            <w:r>
              <w:rPr>
                <w:spacing w:val="-9"/>
                <w:sz w:val="20"/>
              </w:rPr>
              <w:t xml:space="preserve"> </w:t>
            </w:r>
            <w:r>
              <w:rPr>
                <w:spacing w:val="-2"/>
                <w:sz w:val="20"/>
              </w:rPr>
              <w:t>Fischer</w:t>
            </w:r>
          </w:p>
        </w:tc>
        <w:tc>
          <w:tcPr>
            <w:tcW w:w="4232" w:type="dxa"/>
            <w:tcBorders>
              <w:top w:val="single" w:sz="4" w:space="0" w:color="0064BB"/>
              <w:bottom w:val="single" w:sz="4" w:space="0" w:color="0064BB"/>
            </w:tcBorders>
          </w:tcPr>
          <w:p w14:paraId="7384D82E" w14:textId="77777777" w:rsidR="009C36E3" w:rsidRDefault="000E7207">
            <w:pPr>
              <w:pStyle w:val="TableParagraph"/>
              <w:ind w:left="531"/>
              <w:rPr>
                <w:sz w:val="20"/>
              </w:rPr>
            </w:pPr>
            <w:r>
              <w:rPr>
                <w:sz w:val="20"/>
              </w:rPr>
              <w:t>MEL</w:t>
            </w:r>
            <w:r>
              <w:rPr>
                <w:spacing w:val="-9"/>
                <w:sz w:val="20"/>
              </w:rPr>
              <w:t xml:space="preserve"> </w:t>
            </w:r>
            <w:r>
              <w:rPr>
                <w:sz w:val="20"/>
              </w:rPr>
              <w:t>Coordinator</w:t>
            </w:r>
            <w:r>
              <w:rPr>
                <w:spacing w:val="-10"/>
                <w:sz w:val="20"/>
              </w:rPr>
              <w:t xml:space="preserve"> </w:t>
            </w:r>
            <w:r>
              <w:rPr>
                <w:spacing w:val="-2"/>
                <w:sz w:val="20"/>
              </w:rPr>
              <w:t>(outgoing)</w:t>
            </w:r>
          </w:p>
        </w:tc>
        <w:tc>
          <w:tcPr>
            <w:tcW w:w="2850" w:type="dxa"/>
            <w:tcBorders>
              <w:top w:val="single" w:sz="4" w:space="0" w:color="0064BB"/>
              <w:bottom w:val="single" w:sz="4" w:space="0" w:color="0064BB"/>
            </w:tcBorders>
          </w:tcPr>
          <w:p w14:paraId="4A665F03" w14:textId="77777777" w:rsidR="009C36E3" w:rsidRDefault="000E7207">
            <w:pPr>
              <w:pStyle w:val="TableParagraph"/>
              <w:spacing w:line="242" w:lineRule="auto"/>
              <w:ind w:left="125"/>
              <w:rPr>
                <w:sz w:val="20"/>
              </w:rPr>
            </w:pPr>
            <w:r>
              <w:rPr>
                <w:sz w:val="20"/>
              </w:rPr>
              <w:t>Vanuatu</w:t>
            </w:r>
            <w:r>
              <w:rPr>
                <w:spacing w:val="-13"/>
                <w:sz w:val="20"/>
              </w:rPr>
              <w:t xml:space="preserve"> </w:t>
            </w:r>
            <w:r>
              <w:rPr>
                <w:sz w:val="20"/>
              </w:rPr>
              <w:t>Australia</w:t>
            </w:r>
            <w:r>
              <w:rPr>
                <w:spacing w:val="-13"/>
                <w:sz w:val="20"/>
              </w:rPr>
              <w:t xml:space="preserve"> </w:t>
            </w:r>
            <w:r>
              <w:rPr>
                <w:sz w:val="20"/>
              </w:rPr>
              <w:t>Policing</w:t>
            </w:r>
            <w:r>
              <w:rPr>
                <w:spacing w:val="-13"/>
                <w:sz w:val="20"/>
              </w:rPr>
              <w:t xml:space="preserve"> </w:t>
            </w:r>
            <w:r>
              <w:rPr>
                <w:sz w:val="20"/>
              </w:rPr>
              <w:t>&amp; Justice Program</w:t>
            </w:r>
          </w:p>
        </w:tc>
      </w:tr>
      <w:tr w:rsidR="009C36E3" w14:paraId="178D8255" w14:textId="77777777">
        <w:trPr>
          <w:trHeight w:val="618"/>
        </w:trPr>
        <w:tc>
          <w:tcPr>
            <w:tcW w:w="708" w:type="dxa"/>
            <w:tcBorders>
              <w:top w:val="single" w:sz="4" w:space="0" w:color="0064BB"/>
              <w:bottom w:val="single" w:sz="4" w:space="0" w:color="0064BB"/>
            </w:tcBorders>
            <w:shd w:val="clear" w:color="auto" w:fill="F1F1F1"/>
          </w:tcPr>
          <w:p w14:paraId="4718B769" w14:textId="77777777" w:rsidR="009C36E3" w:rsidRDefault="000E7207">
            <w:pPr>
              <w:pStyle w:val="TableParagraph"/>
              <w:spacing w:before="80"/>
              <w:rPr>
                <w:b/>
                <w:sz w:val="18"/>
              </w:rPr>
            </w:pPr>
            <w:r>
              <w:rPr>
                <w:b/>
                <w:spacing w:val="-5"/>
                <w:sz w:val="18"/>
              </w:rPr>
              <w:t>74</w:t>
            </w:r>
          </w:p>
        </w:tc>
        <w:tc>
          <w:tcPr>
            <w:tcW w:w="2413" w:type="dxa"/>
            <w:tcBorders>
              <w:top w:val="single" w:sz="4" w:space="0" w:color="0064BB"/>
              <w:bottom w:val="single" w:sz="4" w:space="0" w:color="0064BB"/>
            </w:tcBorders>
          </w:tcPr>
          <w:p w14:paraId="1A410BBE" w14:textId="77777777" w:rsidR="009C36E3" w:rsidRDefault="000E7207">
            <w:pPr>
              <w:pStyle w:val="TableParagraph"/>
              <w:ind w:left="108"/>
              <w:rPr>
                <w:sz w:val="20"/>
              </w:rPr>
            </w:pPr>
            <w:r>
              <w:rPr>
                <w:sz w:val="20"/>
              </w:rPr>
              <w:t>Joanna</w:t>
            </w:r>
            <w:r>
              <w:rPr>
                <w:spacing w:val="-9"/>
                <w:sz w:val="20"/>
              </w:rPr>
              <w:t xml:space="preserve"> </w:t>
            </w:r>
            <w:r>
              <w:rPr>
                <w:spacing w:val="-4"/>
                <w:sz w:val="20"/>
              </w:rPr>
              <w:t>Garae</w:t>
            </w:r>
          </w:p>
        </w:tc>
        <w:tc>
          <w:tcPr>
            <w:tcW w:w="4232" w:type="dxa"/>
            <w:tcBorders>
              <w:top w:val="single" w:sz="4" w:space="0" w:color="0064BB"/>
              <w:bottom w:val="single" w:sz="4" w:space="0" w:color="0064BB"/>
            </w:tcBorders>
          </w:tcPr>
          <w:p w14:paraId="4C6C2E45" w14:textId="77777777" w:rsidR="009C36E3" w:rsidRDefault="000E7207">
            <w:pPr>
              <w:pStyle w:val="TableParagraph"/>
              <w:ind w:left="531"/>
              <w:rPr>
                <w:sz w:val="20"/>
              </w:rPr>
            </w:pPr>
            <w:r>
              <w:rPr>
                <w:sz w:val="20"/>
              </w:rPr>
              <w:t>Finance</w:t>
            </w:r>
            <w:r>
              <w:rPr>
                <w:spacing w:val="-9"/>
                <w:sz w:val="20"/>
              </w:rPr>
              <w:t xml:space="preserve"> </w:t>
            </w:r>
            <w:r>
              <w:rPr>
                <w:sz w:val="20"/>
              </w:rPr>
              <w:t>and</w:t>
            </w:r>
            <w:r>
              <w:rPr>
                <w:spacing w:val="-10"/>
                <w:sz w:val="20"/>
              </w:rPr>
              <w:t xml:space="preserve"> </w:t>
            </w:r>
            <w:r>
              <w:rPr>
                <w:sz w:val="20"/>
              </w:rPr>
              <w:t>Administration</w:t>
            </w:r>
            <w:r>
              <w:rPr>
                <w:spacing w:val="-9"/>
                <w:sz w:val="20"/>
              </w:rPr>
              <w:t xml:space="preserve"> </w:t>
            </w:r>
            <w:r>
              <w:rPr>
                <w:spacing w:val="-2"/>
                <w:sz w:val="20"/>
              </w:rPr>
              <w:t>Officer</w:t>
            </w:r>
          </w:p>
        </w:tc>
        <w:tc>
          <w:tcPr>
            <w:tcW w:w="2850" w:type="dxa"/>
            <w:tcBorders>
              <w:top w:val="single" w:sz="4" w:space="0" w:color="0064BB"/>
              <w:bottom w:val="single" w:sz="4" w:space="0" w:color="0064BB"/>
            </w:tcBorders>
          </w:tcPr>
          <w:p w14:paraId="6D37FA62" w14:textId="77777777" w:rsidR="009C36E3" w:rsidRDefault="000E7207">
            <w:pPr>
              <w:pStyle w:val="TableParagraph"/>
              <w:ind w:left="125"/>
              <w:rPr>
                <w:sz w:val="20"/>
              </w:rPr>
            </w:pPr>
            <w:r>
              <w:rPr>
                <w:sz w:val="20"/>
              </w:rPr>
              <w:t>Vanuatu</w:t>
            </w:r>
            <w:r>
              <w:rPr>
                <w:spacing w:val="-13"/>
                <w:sz w:val="20"/>
              </w:rPr>
              <w:t xml:space="preserve"> </w:t>
            </w:r>
            <w:r>
              <w:rPr>
                <w:sz w:val="20"/>
              </w:rPr>
              <w:t>Australia</w:t>
            </w:r>
            <w:r>
              <w:rPr>
                <w:spacing w:val="-13"/>
                <w:sz w:val="20"/>
              </w:rPr>
              <w:t xml:space="preserve"> </w:t>
            </w:r>
            <w:r>
              <w:rPr>
                <w:sz w:val="20"/>
              </w:rPr>
              <w:t>Policing</w:t>
            </w:r>
            <w:r>
              <w:rPr>
                <w:spacing w:val="-13"/>
                <w:sz w:val="20"/>
              </w:rPr>
              <w:t xml:space="preserve"> </w:t>
            </w:r>
            <w:r>
              <w:rPr>
                <w:sz w:val="20"/>
              </w:rPr>
              <w:t>&amp; Justice Program</w:t>
            </w:r>
          </w:p>
        </w:tc>
      </w:tr>
      <w:tr w:rsidR="009C36E3" w14:paraId="26C1EBCD" w14:textId="77777777">
        <w:trPr>
          <w:trHeight w:val="621"/>
        </w:trPr>
        <w:tc>
          <w:tcPr>
            <w:tcW w:w="708" w:type="dxa"/>
            <w:tcBorders>
              <w:top w:val="single" w:sz="4" w:space="0" w:color="0064BB"/>
              <w:bottom w:val="single" w:sz="4" w:space="0" w:color="0064BB"/>
            </w:tcBorders>
            <w:shd w:val="clear" w:color="auto" w:fill="F1F1F1"/>
          </w:tcPr>
          <w:p w14:paraId="2ACDACC1" w14:textId="77777777" w:rsidR="009C36E3" w:rsidRDefault="000E7207">
            <w:pPr>
              <w:pStyle w:val="TableParagraph"/>
              <w:spacing w:before="80"/>
              <w:rPr>
                <w:b/>
                <w:sz w:val="18"/>
              </w:rPr>
            </w:pPr>
            <w:r>
              <w:rPr>
                <w:b/>
                <w:spacing w:val="-5"/>
                <w:sz w:val="18"/>
              </w:rPr>
              <w:t>75</w:t>
            </w:r>
          </w:p>
        </w:tc>
        <w:tc>
          <w:tcPr>
            <w:tcW w:w="2413" w:type="dxa"/>
            <w:tcBorders>
              <w:top w:val="single" w:sz="4" w:space="0" w:color="0064BB"/>
              <w:bottom w:val="single" w:sz="4" w:space="0" w:color="0064BB"/>
            </w:tcBorders>
          </w:tcPr>
          <w:p w14:paraId="2F693298" w14:textId="77777777" w:rsidR="009C36E3" w:rsidRDefault="000E7207">
            <w:pPr>
              <w:pStyle w:val="TableParagraph"/>
              <w:ind w:left="108"/>
              <w:rPr>
                <w:sz w:val="20"/>
              </w:rPr>
            </w:pPr>
            <w:r>
              <w:rPr>
                <w:sz w:val="20"/>
              </w:rPr>
              <w:t>Sarafina</w:t>
            </w:r>
            <w:r>
              <w:rPr>
                <w:spacing w:val="-11"/>
                <w:sz w:val="20"/>
              </w:rPr>
              <w:t xml:space="preserve"> </w:t>
            </w:r>
            <w:r>
              <w:rPr>
                <w:spacing w:val="-2"/>
                <w:sz w:val="20"/>
              </w:rPr>
              <w:t>Kaloran</w:t>
            </w:r>
          </w:p>
        </w:tc>
        <w:tc>
          <w:tcPr>
            <w:tcW w:w="4232" w:type="dxa"/>
            <w:tcBorders>
              <w:top w:val="single" w:sz="4" w:space="0" w:color="0064BB"/>
              <w:bottom w:val="single" w:sz="4" w:space="0" w:color="0064BB"/>
            </w:tcBorders>
          </w:tcPr>
          <w:p w14:paraId="71C6B9D2" w14:textId="77777777" w:rsidR="009C36E3" w:rsidRDefault="000E7207">
            <w:pPr>
              <w:pStyle w:val="TableParagraph"/>
              <w:spacing w:line="242" w:lineRule="auto"/>
              <w:ind w:left="531"/>
              <w:rPr>
                <w:sz w:val="20"/>
              </w:rPr>
            </w:pPr>
            <w:r>
              <w:rPr>
                <w:sz w:val="20"/>
              </w:rPr>
              <w:t>Finance</w:t>
            </w:r>
            <w:r>
              <w:rPr>
                <w:spacing w:val="-14"/>
                <w:sz w:val="20"/>
              </w:rPr>
              <w:t xml:space="preserve"> </w:t>
            </w:r>
            <w:r>
              <w:rPr>
                <w:sz w:val="20"/>
              </w:rPr>
              <w:t>Assistance</w:t>
            </w:r>
            <w:r>
              <w:rPr>
                <w:spacing w:val="-14"/>
                <w:sz w:val="20"/>
              </w:rPr>
              <w:t xml:space="preserve"> </w:t>
            </w:r>
            <w:r>
              <w:rPr>
                <w:sz w:val="20"/>
              </w:rPr>
              <w:t>and</w:t>
            </w:r>
            <w:r>
              <w:rPr>
                <w:spacing w:val="-13"/>
                <w:sz w:val="20"/>
              </w:rPr>
              <w:t xml:space="preserve"> </w:t>
            </w:r>
            <w:r>
              <w:rPr>
                <w:sz w:val="20"/>
              </w:rPr>
              <w:t xml:space="preserve">Procurement </w:t>
            </w:r>
            <w:r>
              <w:rPr>
                <w:spacing w:val="-2"/>
                <w:sz w:val="20"/>
              </w:rPr>
              <w:t>Officer</w:t>
            </w:r>
          </w:p>
        </w:tc>
        <w:tc>
          <w:tcPr>
            <w:tcW w:w="2850" w:type="dxa"/>
            <w:tcBorders>
              <w:top w:val="single" w:sz="4" w:space="0" w:color="0064BB"/>
              <w:bottom w:val="single" w:sz="4" w:space="0" w:color="0064BB"/>
            </w:tcBorders>
          </w:tcPr>
          <w:p w14:paraId="6FD3ADDD" w14:textId="77777777" w:rsidR="009C36E3" w:rsidRDefault="000E7207">
            <w:pPr>
              <w:pStyle w:val="TableParagraph"/>
              <w:spacing w:line="242" w:lineRule="auto"/>
              <w:ind w:left="125"/>
              <w:rPr>
                <w:sz w:val="20"/>
              </w:rPr>
            </w:pPr>
            <w:r>
              <w:rPr>
                <w:sz w:val="20"/>
              </w:rPr>
              <w:t>Vanuatu</w:t>
            </w:r>
            <w:r>
              <w:rPr>
                <w:spacing w:val="-14"/>
                <w:sz w:val="20"/>
              </w:rPr>
              <w:t xml:space="preserve"> </w:t>
            </w:r>
            <w:r>
              <w:rPr>
                <w:sz w:val="20"/>
              </w:rPr>
              <w:t>Australia</w:t>
            </w:r>
            <w:r>
              <w:rPr>
                <w:spacing w:val="-14"/>
                <w:sz w:val="20"/>
              </w:rPr>
              <w:t xml:space="preserve"> </w:t>
            </w:r>
            <w:r>
              <w:rPr>
                <w:sz w:val="20"/>
              </w:rPr>
              <w:t>Police Justice Program</w:t>
            </w:r>
          </w:p>
        </w:tc>
      </w:tr>
      <w:tr w:rsidR="009C36E3" w14:paraId="6980C578" w14:textId="77777777">
        <w:trPr>
          <w:trHeight w:val="618"/>
        </w:trPr>
        <w:tc>
          <w:tcPr>
            <w:tcW w:w="708" w:type="dxa"/>
            <w:tcBorders>
              <w:top w:val="single" w:sz="4" w:space="0" w:color="0064BB"/>
              <w:bottom w:val="single" w:sz="4" w:space="0" w:color="0064BB"/>
            </w:tcBorders>
            <w:shd w:val="clear" w:color="auto" w:fill="F1F1F1"/>
          </w:tcPr>
          <w:p w14:paraId="787FDC54" w14:textId="77777777" w:rsidR="009C36E3" w:rsidRDefault="000E7207">
            <w:pPr>
              <w:pStyle w:val="TableParagraph"/>
              <w:spacing w:before="80"/>
              <w:rPr>
                <w:b/>
                <w:sz w:val="18"/>
              </w:rPr>
            </w:pPr>
            <w:r>
              <w:rPr>
                <w:b/>
                <w:spacing w:val="-5"/>
                <w:sz w:val="18"/>
              </w:rPr>
              <w:t>76</w:t>
            </w:r>
          </w:p>
        </w:tc>
        <w:tc>
          <w:tcPr>
            <w:tcW w:w="2413" w:type="dxa"/>
            <w:tcBorders>
              <w:top w:val="single" w:sz="4" w:space="0" w:color="0064BB"/>
              <w:bottom w:val="single" w:sz="4" w:space="0" w:color="0064BB"/>
            </w:tcBorders>
          </w:tcPr>
          <w:p w14:paraId="5C347FF2" w14:textId="77777777" w:rsidR="009C36E3" w:rsidRDefault="000E7207">
            <w:pPr>
              <w:pStyle w:val="TableParagraph"/>
              <w:ind w:left="108"/>
              <w:rPr>
                <w:sz w:val="20"/>
              </w:rPr>
            </w:pPr>
            <w:r>
              <w:rPr>
                <w:sz w:val="20"/>
              </w:rPr>
              <w:t>Sally</w:t>
            </w:r>
            <w:r>
              <w:rPr>
                <w:spacing w:val="-8"/>
                <w:sz w:val="20"/>
              </w:rPr>
              <w:t xml:space="preserve"> </w:t>
            </w:r>
            <w:r>
              <w:rPr>
                <w:spacing w:val="-4"/>
                <w:sz w:val="20"/>
              </w:rPr>
              <w:t>Cobb</w:t>
            </w:r>
          </w:p>
        </w:tc>
        <w:tc>
          <w:tcPr>
            <w:tcW w:w="4232" w:type="dxa"/>
            <w:tcBorders>
              <w:top w:val="single" w:sz="4" w:space="0" w:color="0064BB"/>
              <w:bottom w:val="single" w:sz="4" w:space="0" w:color="0064BB"/>
            </w:tcBorders>
          </w:tcPr>
          <w:p w14:paraId="651D4373" w14:textId="77777777" w:rsidR="009C36E3" w:rsidRDefault="000E7207">
            <w:pPr>
              <w:pStyle w:val="TableParagraph"/>
              <w:ind w:left="531"/>
              <w:rPr>
                <w:sz w:val="20"/>
              </w:rPr>
            </w:pPr>
            <w:r>
              <w:rPr>
                <w:sz w:val="20"/>
              </w:rPr>
              <w:t>Gender</w:t>
            </w:r>
            <w:r>
              <w:rPr>
                <w:spacing w:val="-10"/>
                <w:sz w:val="20"/>
              </w:rPr>
              <w:t xml:space="preserve"> </w:t>
            </w:r>
            <w:r>
              <w:rPr>
                <w:spacing w:val="-2"/>
                <w:sz w:val="20"/>
              </w:rPr>
              <w:t>Coordinator</w:t>
            </w:r>
          </w:p>
        </w:tc>
        <w:tc>
          <w:tcPr>
            <w:tcW w:w="2850" w:type="dxa"/>
            <w:tcBorders>
              <w:top w:val="single" w:sz="4" w:space="0" w:color="0064BB"/>
              <w:bottom w:val="single" w:sz="4" w:space="0" w:color="0064BB"/>
            </w:tcBorders>
          </w:tcPr>
          <w:p w14:paraId="2EB17921" w14:textId="77777777" w:rsidR="009C36E3" w:rsidRDefault="000E7207">
            <w:pPr>
              <w:pStyle w:val="TableParagraph"/>
              <w:ind w:left="125"/>
              <w:rPr>
                <w:sz w:val="20"/>
              </w:rPr>
            </w:pPr>
            <w:r>
              <w:rPr>
                <w:sz w:val="20"/>
              </w:rPr>
              <w:t>Vanuatu</w:t>
            </w:r>
            <w:r>
              <w:rPr>
                <w:spacing w:val="-14"/>
                <w:sz w:val="20"/>
              </w:rPr>
              <w:t xml:space="preserve"> </w:t>
            </w:r>
            <w:r>
              <w:rPr>
                <w:sz w:val="20"/>
              </w:rPr>
              <w:t>Australia</w:t>
            </w:r>
            <w:r>
              <w:rPr>
                <w:spacing w:val="-14"/>
                <w:sz w:val="20"/>
              </w:rPr>
              <w:t xml:space="preserve"> </w:t>
            </w:r>
            <w:r>
              <w:rPr>
                <w:sz w:val="20"/>
              </w:rPr>
              <w:t>Police Justice Program</w:t>
            </w:r>
          </w:p>
        </w:tc>
      </w:tr>
      <w:tr w:rsidR="009C36E3" w14:paraId="040C1D37" w14:textId="77777777">
        <w:trPr>
          <w:trHeight w:val="621"/>
        </w:trPr>
        <w:tc>
          <w:tcPr>
            <w:tcW w:w="708" w:type="dxa"/>
            <w:tcBorders>
              <w:top w:val="single" w:sz="4" w:space="0" w:color="0064BB"/>
              <w:bottom w:val="single" w:sz="4" w:space="0" w:color="0064BB"/>
            </w:tcBorders>
            <w:shd w:val="clear" w:color="auto" w:fill="F1F1F1"/>
          </w:tcPr>
          <w:p w14:paraId="0C248EAC" w14:textId="77777777" w:rsidR="009C36E3" w:rsidRDefault="000E7207">
            <w:pPr>
              <w:pStyle w:val="TableParagraph"/>
              <w:spacing w:before="80"/>
              <w:rPr>
                <w:b/>
                <w:sz w:val="18"/>
              </w:rPr>
            </w:pPr>
            <w:r>
              <w:rPr>
                <w:b/>
                <w:spacing w:val="-5"/>
                <w:sz w:val="18"/>
              </w:rPr>
              <w:t>77</w:t>
            </w:r>
          </w:p>
        </w:tc>
        <w:tc>
          <w:tcPr>
            <w:tcW w:w="2413" w:type="dxa"/>
            <w:tcBorders>
              <w:top w:val="single" w:sz="4" w:space="0" w:color="0064BB"/>
              <w:bottom w:val="single" w:sz="4" w:space="0" w:color="0064BB"/>
            </w:tcBorders>
          </w:tcPr>
          <w:p w14:paraId="71821C8C" w14:textId="77777777" w:rsidR="009C36E3" w:rsidRDefault="000E7207">
            <w:pPr>
              <w:pStyle w:val="TableParagraph"/>
              <w:ind w:left="108"/>
              <w:rPr>
                <w:sz w:val="20"/>
              </w:rPr>
            </w:pPr>
            <w:r>
              <w:rPr>
                <w:sz w:val="20"/>
              </w:rPr>
              <w:t>Krista</w:t>
            </w:r>
            <w:r>
              <w:rPr>
                <w:spacing w:val="-14"/>
                <w:sz w:val="20"/>
              </w:rPr>
              <w:t xml:space="preserve"> </w:t>
            </w:r>
            <w:r>
              <w:rPr>
                <w:sz w:val="20"/>
              </w:rPr>
              <w:t>Lee-</w:t>
            </w:r>
            <w:r>
              <w:rPr>
                <w:spacing w:val="-2"/>
                <w:sz w:val="20"/>
              </w:rPr>
              <w:t>Jones</w:t>
            </w:r>
          </w:p>
        </w:tc>
        <w:tc>
          <w:tcPr>
            <w:tcW w:w="4232" w:type="dxa"/>
            <w:tcBorders>
              <w:top w:val="single" w:sz="4" w:space="0" w:color="0064BB"/>
              <w:bottom w:val="single" w:sz="4" w:space="0" w:color="0064BB"/>
            </w:tcBorders>
          </w:tcPr>
          <w:p w14:paraId="278E0C50" w14:textId="77777777" w:rsidR="009C36E3" w:rsidRDefault="000E7207">
            <w:pPr>
              <w:pStyle w:val="TableParagraph"/>
              <w:ind w:left="531"/>
              <w:rPr>
                <w:sz w:val="20"/>
              </w:rPr>
            </w:pPr>
            <w:r>
              <w:rPr>
                <w:sz w:val="20"/>
              </w:rPr>
              <w:t>Legal</w:t>
            </w:r>
            <w:r>
              <w:rPr>
                <w:spacing w:val="-7"/>
                <w:sz w:val="20"/>
              </w:rPr>
              <w:t xml:space="preserve"> </w:t>
            </w:r>
            <w:r>
              <w:rPr>
                <w:sz w:val="20"/>
              </w:rPr>
              <w:t>Policy</w:t>
            </w:r>
            <w:r>
              <w:rPr>
                <w:spacing w:val="-6"/>
                <w:sz w:val="20"/>
              </w:rPr>
              <w:t xml:space="preserve"> </w:t>
            </w:r>
            <w:r>
              <w:rPr>
                <w:sz w:val="20"/>
              </w:rPr>
              <w:t>&amp;</w:t>
            </w:r>
            <w:r>
              <w:rPr>
                <w:spacing w:val="-6"/>
                <w:sz w:val="20"/>
              </w:rPr>
              <w:t xml:space="preserve"> </w:t>
            </w:r>
            <w:r>
              <w:rPr>
                <w:sz w:val="20"/>
              </w:rPr>
              <w:t>Legislation</w:t>
            </w:r>
            <w:r>
              <w:rPr>
                <w:spacing w:val="-6"/>
                <w:sz w:val="20"/>
              </w:rPr>
              <w:t xml:space="preserve"> </w:t>
            </w:r>
            <w:r>
              <w:rPr>
                <w:spacing w:val="-2"/>
                <w:sz w:val="20"/>
              </w:rPr>
              <w:t>Adviser</w:t>
            </w:r>
          </w:p>
        </w:tc>
        <w:tc>
          <w:tcPr>
            <w:tcW w:w="2850" w:type="dxa"/>
            <w:tcBorders>
              <w:top w:val="single" w:sz="4" w:space="0" w:color="0064BB"/>
              <w:bottom w:val="single" w:sz="4" w:space="0" w:color="0064BB"/>
            </w:tcBorders>
          </w:tcPr>
          <w:p w14:paraId="0F7B30CF" w14:textId="77777777" w:rsidR="009C36E3" w:rsidRDefault="000E7207">
            <w:pPr>
              <w:pStyle w:val="TableParagraph"/>
              <w:ind w:left="125"/>
              <w:rPr>
                <w:sz w:val="20"/>
              </w:rPr>
            </w:pPr>
            <w:r>
              <w:rPr>
                <w:sz w:val="20"/>
              </w:rPr>
              <w:t>Vanuatu</w:t>
            </w:r>
            <w:r>
              <w:rPr>
                <w:spacing w:val="-14"/>
                <w:sz w:val="20"/>
              </w:rPr>
              <w:t xml:space="preserve"> </w:t>
            </w:r>
            <w:r>
              <w:rPr>
                <w:sz w:val="20"/>
              </w:rPr>
              <w:t>Australia</w:t>
            </w:r>
            <w:r>
              <w:rPr>
                <w:spacing w:val="-14"/>
                <w:sz w:val="20"/>
              </w:rPr>
              <w:t xml:space="preserve"> </w:t>
            </w:r>
            <w:r>
              <w:rPr>
                <w:sz w:val="20"/>
              </w:rPr>
              <w:t>Police Justice Program</w:t>
            </w:r>
          </w:p>
        </w:tc>
      </w:tr>
    </w:tbl>
    <w:p w14:paraId="5FC97A4E" w14:textId="77777777" w:rsidR="009C36E3" w:rsidRDefault="009C36E3">
      <w:pPr>
        <w:rPr>
          <w:sz w:val="20"/>
        </w:rPr>
        <w:sectPr w:rsidR="009C36E3">
          <w:pgSz w:w="11910" w:h="16850"/>
          <w:pgMar w:top="1040" w:right="740" w:bottom="740" w:left="80" w:header="552" w:footer="559" w:gutter="0"/>
          <w:cols w:space="720"/>
        </w:sectPr>
      </w:pPr>
    </w:p>
    <w:tbl>
      <w:tblPr>
        <w:tblW w:w="0" w:type="auto"/>
        <w:tblInd w:w="779" w:type="dxa"/>
        <w:tblLayout w:type="fixed"/>
        <w:tblCellMar>
          <w:left w:w="0" w:type="dxa"/>
          <w:right w:w="0" w:type="dxa"/>
        </w:tblCellMar>
        <w:tblLook w:val="01E0" w:firstRow="1" w:lastRow="1" w:firstColumn="1" w:lastColumn="1" w:noHBand="0" w:noVBand="0"/>
      </w:tblPr>
      <w:tblGrid>
        <w:gridCol w:w="708"/>
        <w:gridCol w:w="2393"/>
        <w:gridCol w:w="4119"/>
        <w:gridCol w:w="2984"/>
      </w:tblGrid>
      <w:tr w:rsidR="00963BD9" w14:paraId="1E9E98D4" w14:textId="77777777" w:rsidTr="00F65F96">
        <w:trPr>
          <w:trHeight w:val="405"/>
        </w:trPr>
        <w:tc>
          <w:tcPr>
            <w:tcW w:w="708" w:type="dxa"/>
            <w:shd w:val="clear" w:color="auto" w:fill="0064BB"/>
          </w:tcPr>
          <w:p w14:paraId="142C3FF5" w14:textId="3B1D3AA8" w:rsidR="00963BD9" w:rsidRDefault="00963BD9" w:rsidP="00963BD9">
            <w:pPr>
              <w:pStyle w:val="TableParagraph"/>
              <w:spacing w:before="91"/>
              <w:rPr>
                <w:b/>
                <w:sz w:val="20"/>
              </w:rPr>
            </w:pPr>
            <w:r w:rsidRPr="00963BD9">
              <w:rPr>
                <w:b/>
                <w:color w:val="FFFFFF" w:themeColor="background1"/>
                <w:sz w:val="20"/>
              </w:rPr>
              <w:t>No.</w:t>
            </w:r>
          </w:p>
        </w:tc>
        <w:tc>
          <w:tcPr>
            <w:tcW w:w="2393" w:type="dxa"/>
            <w:shd w:val="clear" w:color="auto" w:fill="0064BB"/>
            <w:vAlign w:val="center"/>
          </w:tcPr>
          <w:p w14:paraId="009E677C" w14:textId="6B600F21" w:rsidR="00963BD9" w:rsidRDefault="00963BD9" w:rsidP="00963BD9">
            <w:pPr>
              <w:pStyle w:val="TableParagraph"/>
              <w:spacing w:before="0"/>
              <w:ind w:left="0"/>
              <w:rPr>
                <w:rFonts w:ascii="Times New Roman"/>
                <w:sz w:val="18"/>
              </w:rPr>
            </w:pPr>
            <w:r>
              <w:rPr>
                <w:b/>
                <w:color w:val="FFFFFF"/>
                <w:spacing w:val="-4"/>
                <w:sz w:val="20"/>
              </w:rPr>
              <w:t>Name</w:t>
            </w:r>
          </w:p>
        </w:tc>
        <w:tc>
          <w:tcPr>
            <w:tcW w:w="4119" w:type="dxa"/>
            <w:shd w:val="clear" w:color="auto" w:fill="0064BB"/>
          </w:tcPr>
          <w:p w14:paraId="57F4AC7A" w14:textId="77777777" w:rsidR="00963BD9" w:rsidRDefault="00963BD9" w:rsidP="00963BD9">
            <w:pPr>
              <w:pStyle w:val="TableParagraph"/>
              <w:spacing w:before="91"/>
              <w:ind w:left="551"/>
              <w:rPr>
                <w:b/>
                <w:sz w:val="20"/>
              </w:rPr>
            </w:pPr>
            <w:r>
              <w:rPr>
                <w:b/>
                <w:color w:val="FFFFFF"/>
                <w:spacing w:val="-2"/>
                <w:sz w:val="20"/>
              </w:rPr>
              <w:t>Position</w:t>
            </w:r>
          </w:p>
        </w:tc>
        <w:tc>
          <w:tcPr>
            <w:tcW w:w="2984" w:type="dxa"/>
            <w:shd w:val="clear" w:color="auto" w:fill="0064BB"/>
          </w:tcPr>
          <w:p w14:paraId="6089B982" w14:textId="77777777" w:rsidR="00963BD9" w:rsidRDefault="00963BD9" w:rsidP="00963BD9">
            <w:pPr>
              <w:pStyle w:val="TableParagraph"/>
              <w:spacing w:before="91"/>
              <w:ind w:left="258"/>
              <w:rPr>
                <w:b/>
                <w:sz w:val="20"/>
              </w:rPr>
            </w:pPr>
            <w:r>
              <w:rPr>
                <w:b/>
                <w:color w:val="FFFFFF"/>
                <w:spacing w:val="-2"/>
                <w:sz w:val="20"/>
              </w:rPr>
              <w:t>Organisation</w:t>
            </w:r>
          </w:p>
        </w:tc>
      </w:tr>
      <w:tr w:rsidR="00963BD9" w14:paraId="02C5BF51" w14:textId="77777777">
        <w:trPr>
          <w:trHeight w:val="616"/>
        </w:trPr>
        <w:tc>
          <w:tcPr>
            <w:tcW w:w="708" w:type="dxa"/>
            <w:tcBorders>
              <w:top w:val="single" w:sz="4" w:space="0" w:color="0064BB"/>
              <w:bottom w:val="single" w:sz="4" w:space="0" w:color="0064BB"/>
            </w:tcBorders>
            <w:shd w:val="clear" w:color="auto" w:fill="F1F1F1"/>
          </w:tcPr>
          <w:p w14:paraId="4559C65F" w14:textId="77777777" w:rsidR="00963BD9" w:rsidRDefault="00963BD9" w:rsidP="00963BD9">
            <w:pPr>
              <w:pStyle w:val="TableParagraph"/>
              <w:spacing w:before="75"/>
              <w:rPr>
                <w:b/>
                <w:sz w:val="18"/>
              </w:rPr>
            </w:pPr>
            <w:r>
              <w:rPr>
                <w:b/>
                <w:spacing w:val="-5"/>
                <w:sz w:val="18"/>
              </w:rPr>
              <w:t>78</w:t>
            </w:r>
          </w:p>
        </w:tc>
        <w:tc>
          <w:tcPr>
            <w:tcW w:w="2393" w:type="dxa"/>
            <w:tcBorders>
              <w:top w:val="single" w:sz="4" w:space="0" w:color="0064BB"/>
              <w:bottom w:val="single" w:sz="4" w:space="0" w:color="0064BB"/>
            </w:tcBorders>
          </w:tcPr>
          <w:p w14:paraId="201BFDAF" w14:textId="77777777" w:rsidR="00963BD9" w:rsidRDefault="00963BD9" w:rsidP="00963BD9">
            <w:pPr>
              <w:pStyle w:val="TableParagraph"/>
              <w:spacing w:before="74"/>
              <w:ind w:left="108"/>
              <w:rPr>
                <w:sz w:val="20"/>
              </w:rPr>
            </w:pPr>
            <w:r>
              <w:rPr>
                <w:sz w:val="20"/>
              </w:rPr>
              <w:t>Suzanne</w:t>
            </w:r>
            <w:r>
              <w:rPr>
                <w:spacing w:val="-8"/>
                <w:sz w:val="20"/>
              </w:rPr>
              <w:t xml:space="preserve"> </w:t>
            </w:r>
            <w:r>
              <w:rPr>
                <w:spacing w:val="-2"/>
                <w:sz w:val="20"/>
              </w:rPr>
              <w:t>Mayhew</w:t>
            </w:r>
          </w:p>
        </w:tc>
        <w:tc>
          <w:tcPr>
            <w:tcW w:w="4119" w:type="dxa"/>
            <w:tcBorders>
              <w:top w:val="single" w:sz="4" w:space="0" w:color="0064BB"/>
              <w:bottom w:val="single" w:sz="4" w:space="0" w:color="0064BB"/>
            </w:tcBorders>
          </w:tcPr>
          <w:p w14:paraId="6CDFEDE0" w14:textId="77777777" w:rsidR="00963BD9" w:rsidRDefault="00963BD9" w:rsidP="00963BD9">
            <w:pPr>
              <w:pStyle w:val="TableParagraph"/>
              <w:spacing w:before="74"/>
              <w:ind w:left="551"/>
              <w:rPr>
                <w:sz w:val="20"/>
              </w:rPr>
            </w:pPr>
            <w:r>
              <w:rPr>
                <w:sz w:val="20"/>
              </w:rPr>
              <w:t>Adviser</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Office</w:t>
            </w:r>
            <w:r>
              <w:rPr>
                <w:spacing w:val="-8"/>
                <w:sz w:val="20"/>
              </w:rPr>
              <w:t xml:space="preserve"> </w:t>
            </w:r>
            <w:r>
              <w:rPr>
                <w:sz w:val="20"/>
              </w:rPr>
              <w:t>of</w:t>
            </w:r>
            <w:r>
              <w:rPr>
                <w:spacing w:val="-8"/>
                <w:sz w:val="20"/>
              </w:rPr>
              <w:t xml:space="preserve"> </w:t>
            </w:r>
            <w:r>
              <w:rPr>
                <w:sz w:val="20"/>
              </w:rPr>
              <w:t>Public Prosecutions (OPP)</w:t>
            </w:r>
          </w:p>
        </w:tc>
        <w:tc>
          <w:tcPr>
            <w:tcW w:w="2984" w:type="dxa"/>
            <w:tcBorders>
              <w:top w:val="single" w:sz="4" w:space="0" w:color="0064BB"/>
              <w:bottom w:val="single" w:sz="4" w:space="0" w:color="0064BB"/>
            </w:tcBorders>
          </w:tcPr>
          <w:p w14:paraId="65B59944" w14:textId="77777777" w:rsidR="00963BD9" w:rsidRDefault="00963BD9" w:rsidP="00963BD9">
            <w:pPr>
              <w:pStyle w:val="TableParagraph"/>
              <w:spacing w:before="74"/>
              <w:ind w:left="258"/>
              <w:rPr>
                <w:sz w:val="20"/>
              </w:rPr>
            </w:pPr>
            <w:r>
              <w:rPr>
                <w:sz w:val="20"/>
              </w:rPr>
              <w:t>Vanuatu</w:t>
            </w:r>
            <w:r>
              <w:rPr>
                <w:spacing w:val="-14"/>
                <w:sz w:val="20"/>
              </w:rPr>
              <w:t xml:space="preserve"> </w:t>
            </w:r>
            <w:r>
              <w:rPr>
                <w:sz w:val="20"/>
              </w:rPr>
              <w:t>Australia</w:t>
            </w:r>
            <w:r>
              <w:rPr>
                <w:spacing w:val="-14"/>
                <w:sz w:val="20"/>
              </w:rPr>
              <w:t xml:space="preserve"> </w:t>
            </w:r>
            <w:r>
              <w:rPr>
                <w:sz w:val="20"/>
              </w:rPr>
              <w:t>Police Justice Program</w:t>
            </w:r>
          </w:p>
        </w:tc>
      </w:tr>
      <w:tr w:rsidR="00963BD9" w14:paraId="72C48973" w14:textId="77777777">
        <w:trPr>
          <w:trHeight w:val="618"/>
        </w:trPr>
        <w:tc>
          <w:tcPr>
            <w:tcW w:w="708" w:type="dxa"/>
            <w:tcBorders>
              <w:top w:val="single" w:sz="4" w:space="0" w:color="0064BB"/>
              <w:bottom w:val="single" w:sz="4" w:space="0" w:color="0064BB"/>
            </w:tcBorders>
            <w:shd w:val="clear" w:color="auto" w:fill="F1F1F1"/>
          </w:tcPr>
          <w:p w14:paraId="77493255" w14:textId="77777777" w:rsidR="00963BD9" w:rsidRDefault="00963BD9" w:rsidP="00963BD9">
            <w:pPr>
              <w:pStyle w:val="TableParagraph"/>
              <w:spacing w:before="80"/>
              <w:rPr>
                <w:b/>
                <w:sz w:val="18"/>
              </w:rPr>
            </w:pPr>
            <w:r>
              <w:rPr>
                <w:b/>
                <w:spacing w:val="-5"/>
                <w:sz w:val="18"/>
              </w:rPr>
              <w:t>79</w:t>
            </w:r>
          </w:p>
        </w:tc>
        <w:tc>
          <w:tcPr>
            <w:tcW w:w="2393" w:type="dxa"/>
            <w:tcBorders>
              <w:top w:val="single" w:sz="4" w:space="0" w:color="0064BB"/>
              <w:bottom w:val="single" w:sz="4" w:space="0" w:color="0064BB"/>
            </w:tcBorders>
          </w:tcPr>
          <w:p w14:paraId="4E1CD1A7" w14:textId="77777777" w:rsidR="00963BD9" w:rsidRDefault="00963BD9" w:rsidP="00963BD9">
            <w:pPr>
              <w:pStyle w:val="TableParagraph"/>
              <w:ind w:left="108"/>
              <w:rPr>
                <w:sz w:val="20"/>
              </w:rPr>
            </w:pPr>
            <w:r>
              <w:rPr>
                <w:sz w:val="20"/>
              </w:rPr>
              <w:t>Natalie</w:t>
            </w:r>
            <w:r>
              <w:rPr>
                <w:spacing w:val="-10"/>
                <w:sz w:val="20"/>
              </w:rPr>
              <w:t xml:space="preserve"> </w:t>
            </w:r>
            <w:r>
              <w:rPr>
                <w:spacing w:val="-2"/>
                <w:sz w:val="20"/>
              </w:rPr>
              <w:t>Elliott</w:t>
            </w:r>
          </w:p>
        </w:tc>
        <w:tc>
          <w:tcPr>
            <w:tcW w:w="4119" w:type="dxa"/>
            <w:tcBorders>
              <w:top w:val="single" w:sz="4" w:space="0" w:color="0064BB"/>
              <w:bottom w:val="single" w:sz="4" w:space="0" w:color="0064BB"/>
            </w:tcBorders>
          </w:tcPr>
          <w:p w14:paraId="42A3DE4B" w14:textId="77777777" w:rsidR="00963BD9" w:rsidRDefault="00963BD9" w:rsidP="00963BD9">
            <w:pPr>
              <w:pStyle w:val="TableParagraph"/>
              <w:ind w:left="551"/>
              <w:rPr>
                <w:sz w:val="20"/>
              </w:rPr>
            </w:pPr>
            <w:r>
              <w:rPr>
                <w:sz w:val="20"/>
              </w:rPr>
              <w:t>Adviser</w:t>
            </w:r>
            <w:r>
              <w:rPr>
                <w:spacing w:val="-8"/>
                <w:sz w:val="20"/>
              </w:rPr>
              <w:t xml:space="preserve"> </w:t>
            </w:r>
            <w:r>
              <w:rPr>
                <w:sz w:val="20"/>
              </w:rPr>
              <w:t>to</w:t>
            </w:r>
            <w:r>
              <w:rPr>
                <w:spacing w:val="-9"/>
                <w:sz w:val="20"/>
              </w:rPr>
              <w:t xml:space="preserve"> </w:t>
            </w:r>
            <w:r>
              <w:rPr>
                <w:sz w:val="20"/>
              </w:rPr>
              <w:t>the</w:t>
            </w:r>
            <w:r>
              <w:rPr>
                <w:spacing w:val="-9"/>
                <w:sz w:val="20"/>
              </w:rPr>
              <w:t xml:space="preserve"> </w:t>
            </w:r>
            <w:r>
              <w:rPr>
                <w:sz w:val="20"/>
              </w:rPr>
              <w:t>Public</w:t>
            </w:r>
            <w:r>
              <w:rPr>
                <w:spacing w:val="-8"/>
                <w:sz w:val="20"/>
              </w:rPr>
              <w:t xml:space="preserve"> </w:t>
            </w:r>
            <w:r>
              <w:rPr>
                <w:sz w:val="20"/>
              </w:rPr>
              <w:t>Solicitor’s</w:t>
            </w:r>
            <w:r>
              <w:rPr>
                <w:spacing w:val="-8"/>
                <w:sz w:val="20"/>
              </w:rPr>
              <w:t xml:space="preserve"> </w:t>
            </w:r>
            <w:r>
              <w:rPr>
                <w:sz w:val="20"/>
              </w:rPr>
              <w:t xml:space="preserve">Office </w:t>
            </w:r>
            <w:r>
              <w:rPr>
                <w:spacing w:val="-2"/>
                <w:sz w:val="20"/>
              </w:rPr>
              <w:t>(PSO)</w:t>
            </w:r>
          </w:p>
        </w:tc>
        <w:tc>
          <w:tcPr>
            <w:tcW w:w="2984" w:type="dxa"/>
            <w:tcBorders>
              <w:top w:val="single" w:sz="4" w:space="0" w:color="0064BB"/>
              <w:bottom w:val="single" w:sz="4" w:space="0" w:color="0064BB"/>
            </w:tcBorders>
          </w:tcPr>
          <w:p w14:paraId="2393A8EE" w14:textId="77777777" w:rsidR="00963BD9" w:rsidRDefault="00963BD9" w:rsidP="00963BD9">
            <w:pPr>
              <w:pStyle w:val="TableParagraph"/>
              <w:ind w:left="258"/>
              <w:rPr>
                <w:sz w:val="20"/>
              </w:rPr>
            </w:pPr>
            <w:r>
              <w:rPr>
                <w:sz w:val="20"/>
              </w:rPr>
              <w:t>Vanuatu</w:t>
            </w:r>
            <w:r>
              <w:rPr>
                <w:spacing w:val="-14"/>
                <w:sz w:val="20"/>
              </w:rPr>
              <w:t xml:space="preserve"> </w:t>
            </w:r>
            <w:r>
              <w:rPr>
                <w:sz w:val="20"/>
              </w:rPr>
              <w:t>Australia</w:t>
            </w:r>
            <w:r>
              <w:rPr>
                <w:spacing w:val="-14"/>
                <w:sz w:val="20"/>
              </w:rPr>
              <w:t xml:space="preserve"> </w:t>
            </w:r>
            <w:r>
              <w:rPr>
                <w:sz w:val="20"/>
              </w:rPr>
              <w:t>Police Justice Program</w:t>
            </w:r>
          </w:p>
        </w:tc>
      </w:tr>
      <w:tr w:rsidR="00963BD9" w14:paraId="0CC8DFBD" w14:textId="77777777">
        <w:trPr>
          <w:trHeight w:val="621"/>
        </w:trPr>
        <w:tc>
          <w:tcPr>
            <w:tcW w:w="708" w:type="dxa"/>
            <w:tcBorders>
              <w:top w:val="single" w:sz="4" w:space="0" w:color="0064BB"/>
              <w:bottom w:val="single" w:sz="4" w:space="0" w:color="0064BB"/>
            </w:tcBorders>
            <w:shd w:val="clear" w:color="auto" w:fill="F1F1F1"/>
          </w:tcPr>
          <w:p w14:paraId="78D9FC8E" w14:textId="77777777" w:rsidR="00963BD9" w:rsidRDefault="00963BD9" w:rsidP="00963BD9">
            <w:pPr>
              <w:pStyle w:val="TableParagraph"/>
              <w:spacing w:before="80"/>
              <w:rPr>
                <w:b/>
                <w:sz w:val="18"/>
              </w:rPr>
            </w:pPr>
            <w:r>
              <w:rPr>
                <w:b/>
                <w:spacing w:val="-5"/>
                <w:sz w:val="18"/>
              </w:rPr>
              <w:t>80</w:t>
            </w:r>
          </w:p>
        </w:tc>
        <w:tc>
          <w:tcPr>
            <w:tcW w:w="2393" w:type="dxa"/>
            <w:tcBorders>
              <w:top w:val="single" w:sz="4" w:space="0" w:color="0064BB"/>
              <w:bottom w:val="single" w:sz="4" w:space="0" w:color="0064BB"/>
            </w:tcBorders>
          </w:tcPr>
          <w:p w14:paraId="5DBAD67C" w14:textId="77777777" w:rsidR="00963BD9" w:rsidRDefault="00963BD9" w:rsidP="00963BD9">
            <w:pPr>
              <w:pStyle w:val="TableParagraph"/>
              <w:ind w:left="108"/>
              <w:rPr>
                <w:sz w:val="20"/>
              </w:rPr>
            </w:pPr>
            <w:r>
              <w:rPr>
                <w:sz w:val="20"/>
              </w:rPr>
              <w:t>Danny</w:t>
            </w:r>
            <w:r>
              <w:rPr>
                <w:spacing w:val="-6"/>
                <w:sz w:val="20"/>
              </w:rPr>
              <w:t xml:space="preserve"> </w:t>
            </w:r>
            <w:r>
              <w:rPr>
                <w:spacing w:val="-2"/>
                <w:sz w:val="20"/>
              </w:rPr>
              <w:t>Smits</w:t>
            </w:r>
          </w:p>
        </w:tc>
        <w:tc>
          <w:tcPr>
            <w:tcW w:w="4119" w:type="dxa"/>
            <w:tcBorders>
              <w:top w:val="single" w:sz="4" w:space="0" w:color="0064BB"/>
              <w:bottom w:val="single" w:sz="4" w:space="0" w:color="0064BB"/>
            </w:tcBorders>
          </w:tcPr>
          <w:p w14:paraId="63C33979" w14:textId="77777777" w:rsidR="00963BD9" w:rsidRDefault="00963BD9" w:rsidP="00963BD9">
            <w:pPr>
              <w:pStyle w:val="TableParagraph"/>
              <w:ind w:left="551"/>
              <w:rPr>
                <w:sz w:val="20"/>
              </w:rPr>
            </w:pPr>
            <w:r>
              <w:rPr>
                <w:spacing w:val="-2"/>
                <w:sz w:val="20"/>
              </w:rPr>
              <w:t>Communications</w:t>
            </w:r>
            <w:r>
              <w:rPr>
                <w:spacing w:val="10"/>
                <w:sz w:val="20"/>
              </w:rPr>
              <w:t xml:space="preserve"> </w:t>
            </w:r>
            <w:r>
              <w:rPr>
                <w:spacing w:val="-2"/>
                <w:sz w:val="20"/>
              </w:rPr>
              <w:t>Adviser</w:t>
            </w:r>
          </w:p>
        </w:tc>
        <w:tc>
          <w:tcPr>
            <w:tcW w:w="2984" w:type="dxa"/>
            <w:tcBorders>
              <w:top w:val="single" w:sz="4" w:space="0" w:color="0064BB"/>
              <w:bottom w:val="single" w:sz="4" w:space="0" w:color="0064BB"/>
            </w:tcBorders>
          </w:tcPr>
          <w:p w14:paraId="5380BC69" w14:textId="77777777" w:rsidR="00963BD9" w:rsidRDefault="00963BD9" w:rsidP="00963BD9">
            <w:pPr>
              <w:pStyle w:val="TableParagraph"/>
              <w:ind w:left="258"/>
              <w:rPr>
                <w:sz w:val="20"/>
              </w:rPr>
            </w:pPr>
            <w:r>
              <w:rPr>
                <w:sz w:val="20"/>
              </w:rPr>
              <w:t>Vanuatu</w:t>
            </w:r>
            <w:r>
              <w:rPr>
                <w:spacing w:val="-14"/>
                <w:sz w:val="20"/>
              </w:rPr>
              <w:t xml:space="preserve"> </w:t>
            </w:r>
            <w:r>
              <w:rPr>
                <w:sz w:val="20"/>
              </w:rPr>
              <w:t>Australia</w:t>
            </w:r>
            <w:r>
              <w:rPr>
                <w:spacing w:val="-14"/>
                <w:sz w:val="20"/>
              </w:rPr>
              <w:t xml:space="preserve"> </w:t>
            </w:r>
            <w:r>
              <w:rPr>
                <w:sz w:val="20"/>
              </w:rPr>
              <w:t>Police Justice Program</w:t>
            </w:r>
          </w:p>
        </w:tc>
      </w:tr>
      <w:tr w:rsidR="00963BD9" w14:paraId="5296641C" w14:textId="77777777">
        <w:trPr>
          <w:trHeight w:val="618"/>
        </w:trPr>
        <w:tc>
          <w:tcPr>
            <w:tcW w:w="708" w:type="dxa"/>
            <w:tcBorders>
              <w:top w:val="single" w:sz="4" w:space="0" w:color="0064BB"/>
              <w:bottom w:val="single" w:sz="4" w:space="0" w:color="0064BB"/>
            </w:tcBorders>
            <w:shd w:val="clear" w:color="auto" w:fill="F1F1F1"/>
          </w:tcPr>
          <w:p w14:paraId="113C161A" w14:textId="77777777" w:rsidR="00963BD9" w:rsidRDefault="00963BD9" w:rsidP="00963BD9">
            <w:pPr>
              <w:pStyle w:val="TableParagraph"/>
              <w:spacing w:before="80"/>
              <w:rPr>
                <w:b/>
                <w:sz w:val="18"/>
              </w:rPr>
            </w:pPr>
            <w:r>
              <w:rPr>
                <w:b/>
                <w:spacing w:val="-5"/>
                <w:sz w:val="18"/>
              </w:rPr>
              <w:t>81</w:t>
            </w:r>
          </w:p>
        </w:tc>
        <w:tc>
          <w:tcPr>
            <w:tcW w:w="2393" w:type="dxa"/>
            <w:tcBorders>
              <w:top w:val="single" w:sz="4" w:space="0" w:color="0064BB"/>
              <w:bottom w:val="single" w:sz="4" w:space="0" w:color="0064BB"/>
            </w:tcBorders>
          </w:tcPr>
          <w:p w14:paraId="49289F03" w14:textId="77777777" w:rsidR="00963BD9" w:rsidRDefault="00963BD9" w:rsidP="00963BD9">
            <w:pPr>
              <w:pStyle w:val="TableParagraph"/>
              <w:ind w:left="108"/>
              <w:rPr>
                <w:sz w:val="20"/>
              </w:rPr>
            </w:pPr>
            <w:r>
              <w:rPr>
                <w:sz w:val="20"/>
              </w:rPr>
              <w:t>Morris</w:t>
            </w:r>
            <w:r>
              <w:rPr>
                <w:spacing w:val="-10"/>
                <w:sz w:val="20"/>
              </w:rPr>
              <w:t xml:space="preserve"> </w:t>
            </w:r>
            <w:r>
              <w:rPr>
                <w:spacing w:val="-2"/>
                <w:sz w:val="20"/>
              </w:rPr>
              <w:t>Kerry</w:t>
            </w:r>
          </w:p>
        </w:tc>
        <w:tc>
          <w:tcPr>
            <w:tcW w:w="4119" w:type="dxa"/>
            <w:tcBorders>
              <w:top w:val="single" w:sz="4" w:space="0" w:color="0064BB"/>
              <w:bottom w:val="single" w:sz="4" w:space="0" w:color="0064BB"/>
            </w:tcBorders>
          </w:tcPr>
          <w:p w14:paraId="36691F71" w14:textId="77777777" w:rsidR="00963BD9" w:rsidRDefault="00963BD9" w:rsidP="00963BD9">
            <w:pPr>
              <w:pStyle w:val="TableParagraph"/>
              <w:ind w:left="551"/>
              <w:rPr>
                <w:sz w:val="20"/>
              </w:rPr>
            </w:pPr>
            <w:r>
              <w:rPr>
                <w:sz w:val="20"/>
              </w:rPr>
              <w:t>Disability</w:t>
            </w:r>
            <w:r>
              <w:rPr>
                <w:spacing w:val="-7"/>
                <w:sz w:val="20"/>
              </w:rPr>
              <w:t xml:space="preserve"> </w:t>
            </w:r>
            <w:r>
              <w:rPr>
                <w:sz w:val="20"/>
              </w:rPr>
              <w:t>&amp;</w:t>
            </w:r>
            <w:r>
              <w:rPr>
                <w:spacing w:val="-9"/>
                <w:sz w:val="20"/>
              </w:rPr>
              <w:t xml:space="preserve"> </w:t>
            </w:r>
            <w:r>
              <w:rPr>
                <w:sz w:val="20"/>
              </w:rPr>
              <w:t>Inclusion</w:t>
            </w:r>
            <w:r>
              <w:rPr>
                <w:spacing w:val="-8"/>
                <w:sz w:val="20"/>
              </w:rPr>
              <w:t xml:space="preserve"> </w:t>
            </w:r>
            <w:r>
              <w:rPr>
                <w:spacing w:val="-2"/>
                <w:sz w:val="20"/>
              </w:rPr>
              <w:t>Officer</w:t>
            </w:r>
          </w:p>
        </w:tc>
        <w:tc>
          <w:tcPr>
            <w:tcW w:w="2984" w:type="dxa"/>
            <w:tcBorders>
              <w:top w:val="single" w:sz="4" w:space="0" w:color="0064BB"/>
              <w:bottom w:val="single" w:sz="4" w:space="0" w:color="0064BB"/>
            </w:tcBorders>
          </w:tcPr>
          <w:p w14:paraId="79E7F45C" w14:textId="77777777" w:rsidR="00963BD9" w:rsidRDefault="00963BD9" w:rsidP="00963BD9">
            <w:pPr>
              <w:pStyle w:val="TableParagraph"/>
              <w:ind w:left="258"/>
              <w:rPr>
                <w:sz w:val="20"/>
              </w:rPr>
            </w:pPr>
            <w:r>
              <w:rPr>
                <w:sz w:val="20"/>
              </w:rPr>
              <w:t>Vanuatu</w:t>
            </w:r>
            <w:r>
              <w:rPr>
                <w:spacing w:val="-14"/>
                <w:sz w:val="20"/>
              </w:rPr>
              <w:t xml:space="preserve"> </w:t>
            </w:r>
            <w:r>
              <w:rPr>
                <w:sz w:val="20"/>
              </w:rPr>
              <w:t>Australia</w:t>
            </w:r>
            <w:r>
              <w:rPr>
                <w:spacing w:val="-14"/>
                <w:sz w:val="20"/>
              </w:rPr>
              <w:t xml:space="preserve"> </w:t>
            </w:r>
            <w:r>
              <w:rPr>
                <w:sz w:val="20"/>
              </w:rPr>
              <w:t>Police Justice Program</w:t>
            </w:r>
          </w:p>
        </w:tc>
      </w:tr>
      <w:tr w:rsidR="00963BD9" w14:paraId="5FB574A9" w14:textId="77777777">
        <w:trPr>
          <w:trHeight w:val="621"/>
        </w:trPr>
        <w:tc>
          <w:tcPr>
            <w:tcW w:w="708" w:type="dxa"/>
            <w:tcBorders>
              <w:top w:val="single" w:sz="4" w:space="0" w:color="0064BB"/>
              <w:bottom w:val="single" w:sz="4" w:space="0" w:color="0064BB"/>
            </w:tcBorders>
            <w:shd w:val="clear" w:color="auto" w:fill="F1F1F1"/>
          </w:tcPr>
          <w:p w14:paraId="6E8B5538" w14:textId="77777777" w:rsidR="00963BD9" w:rsidRDefault="00963BD9" w:rsidP="00963BD9">
            <w:pPr>
              <w:pStyle w:val="TableParagraph"/>
              <w:spacing w:before="80"/>
              <w:rPr>
                <w:b/>
                <w:sz w:val="18"/>
              </w:rPr>
            </w:pPr>
            <w:r>
              <w:rPr>
                <w:b/>
                <w:spacing w:val="-5"/>
                <w:sz w:val="18"/>
              </w:rPr>
              <w:t>82</w:t>
            </w:r>
          </w:p>
        </w:tc>
        <w:tc>
          <w:tcPr>
            <w:tcW w:w="2393" w:type="dxa"/>
            <w:tcBorders>
              <w:top w:val="single" w:sz="4" w:space="0" w:color="0064BB"/>
              <w:bottom w:val="single" w:sz="4" w:space="0" w:color="0064BB"/>
            </w:tcBorders>
          </w:tcPr>
          <w:p w14:paraId="72513762" w14:textId="77777777" w:rsidR="00963BD9" w:rsidRDefault="00963BD9" w:rsidP="00963BD9">
            <w:pPr>
              <w:pStyle w:val="TableParagraph"/>
              <w:ind w:left="108"/>
              <w:rPr>
                <w:sz w:val="20"/>
              </w:rPr>
            </w:pPr>
            <w:r>
              <w:rPr>
                <w:sz w:val="20"/>
              </w:rPr>
              <w:t>Wayne</w:t>
            </w:r>
            <w:r>
              <w:rPr>
                <w:spacing w:val="-8"/>
                <w:sz w:val="20"/>
              </w:rPr>
              <w:t xml:space="preserve"> </w:t>
            </w:r>
            <w:r>
              <w:rPr>
                <w:spacing w:val="-2"/>
                <w:sz w:val="20"/>
              </w:rPr>
              <w:t>Mills</w:t>
            </w:r>
          </w:p>
        </w:tc>
        <w:tc>
          <w:tcPr>
            <w:tcW w:w="4119" w:type="dxa"/>
            <w:tcBorders>
              <w:top w:val="single" w:sz="4" w:space="0" w:color="0064BB"/>
              <w:bottom w:val="single" w:sz="4" w:space="0" w:color="0064BB"/>
            </w:tcBorders>
          </w:tcPr>
          <w:p w14:paraId="30C69620" w14:textId="77777777" w:rsidR="00963BD9" w:rsidRDefault="00963BD9" w:rsidP="00963BD9">
            <w:pPr>
              <w:pStyle w:val="TableParagraph"/>
              <w:ind w:left="551"/>
              <w:rPr>
                <w:sz w:val="20"/>
              </w:rPr>
            </w:pPr>
            <w:r>
              <w:rPr>
                <w:sz w:val="20"/>
              </w:rPr>
              <w:t>Police</w:t>
            </w:r>
            <w:r>
              <w:rPr>
                <w:spacing w:val="-12"/>
                <w:sz w:val="20"/>
              </w:rPr>
              <w:t xml:space="preserve"> </w:t>
            </w:r>
            <w:r>
              <w:rPr>
                <w:sz w:val="20"/>
              </w:rPr>
              <w:t>&amp;</w:t>
            </w:r>
            <w:r>
              <w:rPr>
                <w:spacing w:val="-14"/>
                <w:sz w:val="20"/>
              </w:rPr>
              <w:t xml:space="preserve"> </w:t>
            </w:r>
            <w:r>
              <w:rPr>
                <w:sz w:val="20"/>
              </w:rPr>
              <w:t>Prosecutions</w:t>
            </w:r>
            <w:r>
              <w:rPr>
                <w:spacing w:val="-12"/>
                <w:sz w:val="20"/>
              </w:rPr>
              <w:t xml:space="preserve"> </w:t>
            </w:r>
            <w:r>
              <w:rPr>
                <w:sz w:val="20"/>
              </w:rPr>
              <w:t>Case Management Adviser</w:t>
            </w:r>
          </w:p>
        </w:tc>
        <w:tc>
          <w:tcPr>
            <w:tcW w:w="2984" w:type="dxa"/>
            <w:tcBorders>
              <w:top w:val="single" w:sz="4" w:space="0" w:color="0064BB"/>
              <w:bottom w:val="single" w:sz="4" w:space="0" w:color="0064BB"/>
            </w:tcBorders>
          </w:tcPr>
          <w:p w14:paraId="4D7A1647" w14:textId="77777777" w:rsidR="00963BD9" w:rsidRDefault="00963BD9" w:rsidP="00963BD9">
            <w:pPr>
              <w:pStyle w:val="TableParagraph"/>
              <w:ind w:left="258"/>
              <w:rPr>
                <w:sz w:val="20"/>
              </w:rPr>
            </w:pPr>
            <w:r>
              <w:rPr>
                <w:sz w:val="20"/>
              </w:rPr>
              <w:t>Vanuatu</w:t>
            </w:r>
            <w:r>
              <w:rPr>
                <w:spacing w:val="-14"/>
                <w:sz w:val="20"/>
              </w:rPr>
              <w:t xml:space="preserve"> </w:t>
            </w:r>
            <w:r>
              <w:rPr>
                <w:sz w:val="20"/>
              </w:rPr>
              <w:t>Australia</w:t>
            </w:r>
            <w:r>
              <w:rPr>
                <w:spacing w:val="-14"/>
                <w:sz w:val="20"/>
              </w:rPr>
              <w:t xml:space="preserve"> </w:t>
            </w:r>
            <w:r>
              <w:rPr>
                <w:sz w:val="20"/>
              </w:rPr>
              <w:t>Police Justice Program</w:t>
            </w:r>
          </w:p>
        </w:tc>
      </w:tr>
      <w:tr w:rsidR="00963BD9" w14:paraId="1C2013AF" w14:textId="77777777">
        <w:trPr>
          <w:trHeight w:val="618"/>
        </w:trPr>
        <w:tc>
          <w:tcPr>
            <w:tcW w:w="708" w:type="dxa"/>
            <w:tcBorders>
              <w:top w:val="single" w:sz="4" w:space="0" w:color="0064BB"/>
              <w:bottom w:val="single" w:sz="4" w:space="0" w:color="0064BB"/>
            </w:tcBorders>
            <w:shd w:val="clear" w:color="auto" w:fill="F1F1F1"/>
          </w:tcPr>
          <w:p w14:paraId="4F49738D" w14:textId="77777777" w:rsidR="00963BD9" w:rsidRDefault="00963BD9" w:rsidP="00963BD9">
            <w:pPr>
              <w:pStyle w:val="TableParagraph"/>
              <w:spacing w:before="80"/>
              <w:rPr>
                <w:b/>
                <w:sz w:val="18"/>
              </w:rPr>
            </w:pPr>
            <w:r>
              <w:rPr>
                <w:b/>
                <w:spacing w:val="-5"/>
                <w:sz w:val="18"/>
              </w:rPr>
              <w:t>83</w:t>
            </w:r>
          </w:p>
        </w:tc>
        <w:tc>
          <w:tcPr>
            <w:tcW w:w="2393" w:type="dxa"/>
            <w:tcBorders>
              <w:top w:val="single" w:sz="4" w:space="0" w:color="0064BB"/>
              <w:bottom w:val="single" w:sz="4" w:space="0" w:color="0064BB"/>
            </w:tcBorders>
          </w:tcPr>
          <w:p w14:paraId="4FE2C13D" w14:textId="77777777" w:rsidR="00963BD9" w:rsidRDefault="00963BD9" w:rsidP="00963BD9">
            <w:pPr>
              <w:pStyle w:val="TableParagraph"/>
              <w:ind w:left="108"/>
              <w:rPr>
                <w:sz w:val="20"/>
              </w:rPr>
            </w:pPr>
            <w:r>
              <w:rPr>
                <w:sz w:val="20"/>
              </w:rPr>
              <w:t>Augustin</w:t>
            </w:r>
            <w:r>
              <w:rPr>
                <w:spacing w:val="-10"/>
                <w:sz w:val="20"/>
              </w:rPr>
              <w:t xml:space="preserve"> </w:t>
            </w:r>
            <w:r>
              <w:rPr>
                <w:spacing w:val="-4"/>
                <w:sz w:val="20"/>
              </w:rPr>
              <w:t>Narun</w:t>
            </w:r>
          </w:p>
        </w:tc>
        <w:tc>
          <w:tcPr>
            <w:tcW w:w="4119" w:type="dxa"/>
            <w:tcBorders>
              <w:top w:val="single" w:sz="4" w:space="0" w:color="0064BB"/>
              <w:bottom w:val="single" w:sz="4" w:space="0" w:color="0064BB"/>
            </w:tcBorders>
          </w:tcPr>
          <w:p w14:paraId="491C12E8" w14:textId="77777777" w:rsidR="00963BD9" w:rsidRDefault="00963BD9" w:rsidP="00963BD9">
            <w:pPr>
              <w:pStyle w:val="TableParagraph"/>
              <w:ind w:left="551"/>
              <w:rPr>
                <w:sz w:val="20"/>
              </w:rPr>
            </w:pPr>
            <w:r>
              <w:rPr>
                <w:sz w:val="20"/>
              </w:rPr>
              <w:t>ICT</w:t>
            </w:r>
            <w:r>
              <w:rPr>
                <w:spacing w:val="-7"/>
                <w:sz w:val="20"/>
              </w:rPr>
              <w:t xml:space="preserve"> </w:t>
            </w:r>
            <w:r>
              <w:rPr>
                <w:sz w:val="20"/>
              </w:rPr>
              <w:t>and</w:t>
            </w:r>
            <w:r>
              <w:rPr>
                <w:spacing w:val="-5"/>
                <w:sz w:val="20"/>
              </w:rPr>
              <w:t xml:space="preserve"> </w:t>
            </w:r>
            <w:r>
              <w:rPr>
                <w:sz w:val="20"/>
              </w:rPr>
              <w:t>Systems</w:t>
            </w:r>
            <w:r>
              <w:rPr>
                <w:spacing w:val="-7"/>
                <w:sz w:val="20"/>
              </w:rPr>
              <w:t xml:space="preserve"> </w:t>
            </w:r>
            <w:r>
              <w:rPr>
                <w:spacing w:val="-2"/>
                <w:sz w:val="20"/>
              </w:rPr>
              <w:t>Officer</w:t>
            </w:r>
          </w:p>
        </w:tc>
        <w:tc>
          <w:tcPr>
            <w:tcW w:w="2984" w:type="dxa"/>
            <w:tcBorders>
              <w:top w:val="single" w:sz="4" w:space="0" w:color="0064BB"/>
              <w:bottom w:val="single" w:sz="4" w:space="0" w:color="0064BB"/>
            </w:tcBorders>
          </w:tcPr>
          <w:p w14:paraId="550E2EA3" w14:textId="77777777" w:rsidR="00963BD9" w:rsidRDefault="00963BD9" w:rsidP="00963BD9">
            <w:pPr>
              <w:pStyle w:val="TableParagraph"/>
              <w:ind w:left="258"/>
              <w:rPr>
                <w:sz w:val="20"/>
              </w:rPr>
            </w:pPr>
            <w:r>
              <w:rPr>
                <w:sz w:val="20"/>
              </w:rPr>
              <w:t>Vanuatu</w:t>
            </w:r>
            <w:r>
              <w:rPr>
                <w:spacing w:val="-14"/>
                <w:sz w:val="20"/>
              </w:rPr>
              <w:t xml:space="preserve"> </w:t>
            </w:r>
            <w:r>
              <w:rPr>
                <w:sz w:val="20"/>
              </w:rPr>
              <w:t>Australia</w:t>
            </w:r>
            <w:r>
              <w:rPr>
                <w:spacing w:val="-14"/>
                <w:sz w:val="20"/>
              </w:rPr>
              <w:t xml:space="preserve"> </w:t>
            </w:r>
            <w:r>
              <w:rPr>
                <w:sz w:val="20"/>
              </w:rPr>
              <w:t>Police Justice Program</w:t>
            </w:r>
          </w:p>
        </w:tc>
      </w:tr>
      <w:tr w:rsidR="00963BD9" w14:paraId="5AF670C9" w14:textId="77777777">
        <w:trPr>
          <w:trHeight w:val="390"/>
        </w:trPr>
        <w:tc>
          <w:tcPr>
            <w:tcW w:w="708" w:type="dxa"/>
            <w:tcBorders>
              <w:top w:val="single" w:sz="4" w:space="0" w:color="0064BB"/>
              <w:bottom w:val="single" w:sz="4" w:space="0" w:color="0064BB"/>
            </w:tcBorders>
            <w:shd w:val="clear" w:color="auto" w:fill="F1F1F1"/>
          </w:tcPr>
          <w:p w14:paraId="159FECB4" w14:textId="77777777" w:rsidR="00963BD9" w:rsidRDefault="00963BD9" w:rsidP="00963BD9">
            <w:pPr>
              <w:pStyle w:val="TableParagraph"/>
              <w:spacing w:before="80"/>
              <w:rPr>
                <w:b/>
                <w:sz w:val="18"/>
              </w:rPr>
            </w:pPr>
            <w:r>
              <w:rPr>
                <w:b/>
                <w:spacing w:val="-5"/>
                <w:sz w:val="18"/>
              </w:rPr>
              <w:t>84</w:t>
            </w:r>
          </w:p>
        </w:tc>
        <w:tc>
          <w:tcPr>
            <w:tcW w:w="2393" w:type="dxa"/>
            <w:tcBorders>
              <w:top w:val="single" w:sz="4" w:space="0" w:color="0064BB"/>
              <w:bottom w:val="single" w:sz="4" w:space="0" w:color="0064BB"/>
            </w:tcBorders>
          </w:tcPr>
          <w:p w14:paraId="33487DD9" w14:textId="77777777" w:rsidR="00963BD9" w:rsidRDefault="00963BD9" w:rsidP="00963BD9">
            <w:pPr>
              <w:pStyle w:val="TableParagraph"/>
              <w:ind w:left="108"/>
              <w:rPr>
                <w:sz w:val="20"/>
              </w:rPr>
            </w:pPr>
            <w:r>
              <w:rPr>
                <w:sz w:val="20"/>
              </w:rPr>
              <w:t>Sarah</w:t>
            </w:r>
            <w:r>
              <w:rPr>
                <w:spacing w:val="-8"/>
                <w:sz w:val="20"/>
              </w:rPr>
              <w:t xml:space="preserve"> </w:t>
            </w:r>
            <w:r>
              <w:rPr>
                <w:spacing w:val="-2"/>
                <w:sz w:val="20"/>
              </w:rPr>
              <w:t>Wilson</w:t>
            </w:r>
          </w:p>
        </w:tc>
        <w:tc>
          <w:tcPr>
            <w:tcW w:w="4119" w:type="dxa"/>
            <w:tcBorders>
              <w:top w:val="single" w:sz="4" w:space="0" w:color="0064BB"/>
              <w:bottom w:val="single" w:sz="4" w:space="0" w:color="0064BB"/>
            </w:tcBorders>
          </w:tcPr>
          <w:p w14:paraId="7F10BA1B" w14:textId="77777777" w:rsidR="00963BD9" w:rsidRDefault="00963BD9" w:rsidP="00963BD9">
            <w:pPr>
              <w:pStyle w:val="TableParagraph"/>
              <w:ind w:left="551"/>
              <w:rPr>
                <w:sz w:val="20"/>
              </w:rPr>
            </w:pPr>
            <w:r>
              <w:rPr>
                <w:sz w:val="20"/>
              </w:rPr>
              <w:t>Program</w:t>
            </w:r>
            <w:r>
              <w:rPr>
                <w:spacing w:val="-10"/>
                <w:sz w:val="20"/>
              </w:rPr>
              <w:t xml:space="preserve"> </w:t>
            </w:r>
            <w:r>
              <w:rPr>
                <w:spacing w:val="-2"/>
                <w:sz w:val="20"/>
              </w:rPr>
              <w:t>Manager</w:t>
            </w:r>
          </w:p>
        </w:tc>
        <w:tc>
          <w:tcPr>
            <w:tcW w:w="2984" w:type="dxa"/>
            <w:tcBorders>
              <w:top w:val="single" w:sz="4" w:space="0" w:color="0064BB"/>
              <w:bottom w:val="single" w:sz="4" w:space="0" w:color="0064BB"/>
            </w:tcBorders>
          </w:tcPr>
          <w:p w14:paraId="3FC09A91" w14:textId="77777777" w:rsidR="00963BD9" w:rsidRDefault="00963BD9" w:rsidP="00963BD9">
            <w:pPr>
              <w:pStyle w:val="TableParagraph"/>
              <w:ind w:left="258"/>
              <w:rPr>
                <w:sz w:val="20"/>
              </w:rPr>
            </w:pPr>
            <w:r>
              <w:rPr>
                <w:spacing w:val="-2"/>
                <w:sz w:val="20"/>
              </w:rPr>
              <w:t>Palladium</w:t>
            </w:r>
          </w:p>
        </w:tc>
      </w:tr>
      <w:tr w:rsidR="00963BD9" w14:paraId="0C3FA258" w14:textId="77777777">
        <w:trPr>
          <w:trHeight w:val="388"/>
        </w:trPr>
        <w:tc>
          <w:tcPr>
            <w:tcW w:w="708" w:type="dxa"/>
            <w:tcBorders>
              <w:top w:val="single" w:sz="4" w:space="0" w:color="0064BB"/>
              <w:bottom w:val="single" w:sz="4" w:space="0" w:color="0064BB"/>
            </w:tcBorders>
            <w:shd w:val="clear" w:color="auto" w:fill="F1F1F1"/>
          </w:tcPr>
          <w:p w14:paraId="3B51AD21" w14:textId="77777777" w:rsidR="00963BD9" w:rsidRDefault="00963BD9" w:rsidP="00963BD9">
            <w:pPr>
              <w:pStyle w:val="TableParagraph"/>
              <w:spacing w:before="80"/>
              <w:rPr>
                <w:b/>
                <w:sz w:val="18"/>
              </w:rPr>
            </w:pPr>
            <w:r>
              <w:rPr>
                <w:b/>
                <w:spacing w:val="-5"/>
                <w:sz w:val="18"/>
              </w:rPr>
              <w:t>85</w:t>
            </w:r>
          </w:p>
        </w:tc>
        <w:tc>
          <w:tcPr>
            <w:tcW w:w="2393" w:type="dxa"/>
            <w:tcBorders>
              <w:top w:val="single" w:sz="4" w:space="0" w:color="0064BB"/>
              <w:bottom w:val="single" w:sz="4" w:space="0" w:color="0064BB"/>
            </w:tcBorders>
          </w:tcPr>
          <w:p w14:paraId="476BAA39" w14:textId="77777777" w:rsidR="00963BD9" w:rsidRDefault="00963BD9" w:rsidP="00963BD9">
            <w:pPr>
              <w:pStyle w:val="TableParagraph"/>
              <w:ind w:left="108"/>
              <w:rPr>
                <w:sz w:val="20"/>
              </w:rPr>
            </w:pPr>
            <w:r>
              <w:rPr>
                <w:sz w:val="20"/>
              </w:rPr>
              <w:t>Elin</w:t>
            </w:r>
            <w:r>
              <w:rPr>
                <w:spacing w:val="-5"/>
                <w:sz w:val="20"/>
              </w:rPr>
              <w:t xml:space="preserve"> </w:t>
            </w:r>
            <w:r>
              <w:rPr>
                <w:spacing w:val="-2"/>
                <w:sz w:val="20"/>
              </w:rPr>
              <w:t>Buchanan</w:t>
            </w:r>
          </w:p>
        </w:tc>
        <w:tc>
          <w:tcPr>
            <w:tcW w:w="4119" w:type="dxa"/>
            <w:tcBorders>
              <w:top w:val="single" w:sz="4" w:space="0" w:color="0064BB"/>
              <w:bottom w:val="single" w:sz="4" w:space="0" w:color="0064BB"/>
            </w:tcBorders>
          </w:tcPr>
          <w:p w14:paraId="086E2161" w14:textId="77777777" w:rsidR="00963BD9" w:rsidRDefault="00963BD9" w:rsidP="00963BD9">
            <w:pPr>
              <w:pStyle w:val="TableParagraph"/>
              <w:ind w:left="551"/>
              <w:rPr>
                <w:sz w:val="20"/>
              </w:rPr>
            </w:pPr>
            <w:r>
              <w:rPr>
                <w:sz w:val="20"/>
              </w:rPr>
              <w:t>Senior</w:t>
            </w:r>
            <w:r>
              <w:rPr>
                <w:spacing w:val="-7"/>
                <w:sz w:val="20"/>
              </w:rPr>
              <w:t xml:space="preserve"> </w:t>
            </w:r>
            <w:r>
              <w:rPr>
                <w:spacing w:val="-2"/>
                <w:sz w:val="20"/>
              </w:rPr>
              <w:t>Associate</w:t>
            </w:r>
          </w:p>
        </w:tc>
        <w:tc>
          <w:tcPr>
            <w:tcW w:w="2984" w:type="dxa"/>
            <w:tcBorders>
              <w:top w:val="single" w:sz="4" w:space="0" w:color="0064BB"/>
              <w:bottom w:val="single" w:sz="4" w:space="0" w:color="0064BB"/>
            </w:tcBorders>
          </w:tcPr>
          <w:p w14:paraId="04034375" w14:textId="77777777" w:rsidR="00963BD9" w:rsidRDefault="00963BD9" w:rsidP="00963BD9">
            <w:pPr>
              <w:pStyle w:val="TableParagraph"/>
              <w:ind w:left="258"/>
              <w:rPr>
                <w:sz w:val="20"/>
              </w:rPr>
            </w:pPr>
            <w:r>
              <w:rPr>
                <w:spacing w:val="-2"/>
                <w:sz w:val="20"/>
              </w:rPr>
              <w:t>Palladium</w:t>
            </w:r>
          </w:p>
        </w:tc>
      </w:tr>
      <w:tr w:rsidR="00963BD9" w14:paraId="3ECC512A" w14:textId="77777777">
        <w:trPr>
          <w:trHeight w:val="621"/>
        </w:trPr>
        <w:tc>
          <w:tcPr>
            <w:tcW w:w="708" w:type="dxa"/>
            <w:tcBorders>
              <w:top w:val="single" w:sz="4" w:space="0" w:color="0064BB"/>
              <w:bottom w:val="single" w:sz="4" w:space="0" w:color="0064BB"/>
            </w:tcBorders>
            <w:shd w:val="clear" w:color="auto" w:fill="F1F1F1"/>
          </w:tcPr>
          <w:p w14:paraId="4B3C6C12" w14:textId="77777777" w:rsidR="00963BD9" w:rsidRDefault="00963BD9" w:rsidP="00963BD9">
            <w:pPr>
              <w:pStyle w:val="TableParagraph"/>
              <w:spacing w:before="80"/>
              <w:rPr>
                <w:b/>
                <w:sz w:val="18"/>
              </w:rPr>
            </w:pPr>
            <w:r>
              <w:rPr>
                <w:b/>
                <w:spacing w:val="-5"/>
                <w:sz w:val="18"/>
              </w:rPr>
              <w:t>86</w:t>
            </w:r>
          </w:p>
        </w:tc>
        <w:tc>
          <w:tcPr>
            <w:tcW w:w="2393" w:type="dxa"/>
            <w:tcBorders>
              <w:top w:val="single" w:sz="4" w:space="0" w:color="0064BB"/>
              <w:bottom w:val="single" w:sz="4" w:space="0" w:color="0064BB"/>
            </w:tcBorders>
          </w:tcPr>
          <w:p w14:paraId="680ACFA5" w14:textId="77777777" w:rsidR="00963BD9" w:rsidRDefault="00963BD9" w:rsidP="00963BD9">
            <w:pPr>
              <w:pStyle w:val="TableParagraph"/>
              <w:ind w:left="108"/>
              <w:rPr>
                <w:sz w:val="20"/>
              </w:rPr>
            </w:pPr>
            <w:r>
              <w:rPr>
                <w:sz w:val="20"/>
              </w:rPr>
              <w:t>Judith</w:t>
            </w:r>
            <w:r>
              <w:rPr>
                <w:spacing w:val="-9"/>
                <w:sz w:val="20"/>
              </w:rPr>
              <w:t xml:space="preserve"> </w:t>
            </w:r>
            <w:r>
              <w:rPr>
                <w:spacing w:val="-2"/>
                <w:sz w:val="20"/>
              </w:rPr>
              <w:t>Iakavai</w:t>
            </w:r>
          </w:p>
        </w:tc>
        <w:tc>
          <w:tcPr>
            <w:tcW w:w="4119" w:type="dxa"/>
            <w:tcBorders>
              <w:top w:val="single" w:sz="4" w:space="0" w:color="0064BB"/>
              <w:bottom w:val="single" w:sz="4" w:space="0" w:color="0064BB"/>
            </w:tcBorders>
          </w:tcPr>
          <w:p w14:paraId="01CCD65F" w14:textId="77777777" w:rsidR="00963BD9" w:rsidRDefault="00963BD9" w:rsidP="00963BD9">
            <w:pPr>
              <w:pStyle w:val="TableParagraph"/>
              <w:ind w:left="551"/>
              <w:rPr>
                <w:sz w:val="20"/>
              </w:rPr>
            </w:pPr>
            <w:r>
              <w:rPr>
                <w:sz w:val="20"/>
              </w:rPr>
              <w:t>Program</w:t>
            </w:r>
            <w:r>
              <w:rPr>
                <w:spacing w:val="-10"/>
                <w:sz w:val="20"/>
              </w:rPr>
              <w:t xml:space="preserve"> </w:t>
            </w:r>
            <w:r>
              <w:rPr>
                <w:spacing w:val="-2"/>
                <w:sz w:val="20"/>
              </w:rPr>
              <w:t>Manager</w:t>
            </w:r>
          </w:p>
        </w:tc>
        <w:tc>
          <w:tcPr>
            <w:tcW w:w="2984" w:type="dxa"/>
            <w:tcBorders>
              <w:top w:val="single" w:sz="4" w:space="0" w:color="0064BB"/>
              <w:bottom w:val="single" w:sz="4" w:space="0" w:color="0064BB"/>
            </w:tcBorders>
          </w:tcPr>
          <w:p w14:paraId="2A489D6E" w14:textId="77777777" w:rsidR="00963BD9" w:rsidRDefault="00963BD9" w:rsidP="00963BD9">
            <w:pPr>
              <w:pStyle w:val="TableParagraph"/>
              <w:ind w:left="258" w:right="7"/>
              <w:rPr>
                <w:sz w:val="20"/>
              </w:rPr>
            </w:pPr>
            <w:r>
              <w:rPr>
                <w:sz w:val="20"/>
              </w:rPr>
              <w:t>Vanuatu</w:t>
            </w:r>
            <w:r>
              <w:rPr>
                <w:spacing w:val="-13"/>
                <w:sz w:val="20"/>
              </w:rPr>
              <w:t xml:space="preserve"> </w:t>
            </w:r>
            <w:r>
              <w:rPr>
                <w:sz w:val="20"/>
              </w:rPr>
              <w:t>Society</w:t>
            </w:r>
            <w:r>
              <w:rPr>
                <w:spacing w:val="-14"/>
                <w:sz w:val="20"/>
              </w:rPr>
              <w:t xml:space="preserve"> </w:t>
            </w:r>
            <w:r>
              <w:rPr>
                <w:sz w:val="20"/>
              </w:rPr>
              <w:t>for</w:t>
            </w:r>
            <w:r>
              <w:rPr>
                <w:spacing w:val="-14"/>
                <w:sz w:val="20"/>
              </w:rPr>
              <w:t xml:space="preserve"> </w:t>
            </w:r>
            <w:r>
              <w:rPr>
                <w:sz w:val="20"/>
              </w:rPr>
              <w:t>People with Disability</w:t>
            </w:r>
          </w:p>
        </w:tc>
      </w:tr>
      <w:tr w:rsidR="00963BD9" w14:paraId="0CB2FA1A" w14:textId="77777777">
        <w:trPr>
          <w:trHeight w:val="618"/>
        </w:trPr>
        <w:tc>
          <w:tcPr>
            <w:tcW w:w="708" w:type="dxa"/>
            <w:tcBorders>
              <w:top w:val="single" w:sz="4" w:space="0" w:color="0064BB"/>
              <w:bottom w:val="single" w:sz="4" w:space="0" w:color="0064BB"/>
            </w:tcBorders>
            <w:shd w:val="clear" w:color="auto" w:fill="F1F1F1"/>
          </w:tcPr>
          <w:p w14:paraId="3F529EAF" w14:textId="77777777" w:rsidR="00963BD9" w:rsidRDefault="00963BD9" w:rsidP="00963BD9">
            <w:pPr>
              <w:pStyle w:val="TableParagraph"/>
              <w:spacing w:before="80"/>
              <w:rPr>
                <w:b/>
                <w:sz w:val="18"/>
              </w:rPr>
            </w:pPr>
            <w:r>
              <w:rPr>
                <w:b/>
                <w:spacing w:val="-5"/>
                <w:sz w:val="18"/>
              </w:rPr>
              <w:t>87</w:t>
            </w:r>
          </w:p>
        </w:tc>
        <w:tc>
          <w:tcPr>
            <w:tcW w:w="2393" w:type="dxa"/>
            <w:tcBorders>
              <w:top w:val="single" w:sz="4" w:space="0" w:color="0064BB"/>
              <w:bottom w:val="single" w:sz="4" w:space="0" w:color="0064BB"/>
            </w:tcBorders>
          </w:tcPr>
          <w:p w14:paraId="5F9E8507" w14:textId="77777777" w:rsidR="00963BD9" w:rsidRDefault="00963BD9" w:rsidP="00963BD9">
            <w:pPr>
              <w:pStyle w:val="TableParagraph"/>
              <w:ind w:left="108"/>
              <w:rPr>
                <w:sz w:val="20"/>
              </w:rPr>
            </w:pPr>
            <w:r>
              <w:rPr>
                <w:sz w:val="20"/>
              </w:rPr>
              <w:t>Shana</w:t>
            </w:r>
            <w:r>
              <w:rPr>
                <w:spacing w:val="-8"/>
                <w:sz w:val="20"/>
              </w:rPr>
              <w:t xml:space="preserve"> </w:t>
            </w:r>
            <w:r>
              <w:rPr>
                <w:spacing w:val="-4"/>
                <w:sz w:val="20"/>
              </w:rPr>
              <w:t>Ligo</w:t>
            </w:r>
          </w:p>
        </w:tc>
        <w:tc>
          <w:tcPr>
            <w:tcW w:w="4119" w:type="dxa"/>
            <w:tcBorders>
              <w:top w:val="single" w:sz="4" w:space="0" w:color="0064BB"/>
              <w:bottom w:val="single" w:sz="4" w:space="0" w:color="0064BB"/>
            </w:tcBorders>
          </w:tcPr>
          <w:p w14:paraId="5F623522" w14:textId="77777777" w:rsidR="00963BD9" w:rsidRDefault="00963BD9" w:rsidP="00963BD9">
            <w:pPr>
              <w:pStyle w:val="TableParagraph"/>
              <w:ind w:left="551"/>
              <w:rPr>
                <w:sz w:val="20"/>
              </w:rPr>
            </w:pPr>
            <w:r>
              <w:rPr>
                <w:sz w:val="20"/>
              </w:rPr>
              <w:t>Program</w:t>
            </w:r>
            <w:r>
              <w:rPr>
                <w:spacing w:val="-10"/>
                <w:sz w:val="20"/>
              </w:rPr>
              <w:t xml:space="preserve"> </w:t>
            </w:r>
            <w:r>
              <w:rPr>
                <w:spacing w:val="-2"/>
                <w:sz w:val="20"/>
              </w:rPr>
              <w:t>Director</w:t>
            </w:r>
          </w:p>
        </w:tc>
        <w:tc>
          <w:tcPr>
            <w:tcW w:w="2984" w:type="dxa"/>
            <w:tcBorders>
              <w:top w:val="single" w:sz="4" w:space="0" w:color="0064BB"/>
              <w:bottom w:val="single" w:sz="4" w:space="0" w:color="0064BB"/>
            </w:tcBorders>
          </w:tcPr>
          <w:p w14:paraId="559D4027" w14:textId="77777777" w:rsidR="00963BD9" w:rsidRDefault="00963BD9" w:rsidP="00963BD9">
            <w:pPr>
              <w:pStyle w:val="TableParagraph"/>
              <w:ind w:left="258"/>
              <w:rPr>
                <w:sz w:val="20"/>
              </w:rPr>
            </w:pPr>
            <w:r>
              <w:rPr>
                <w:sz w:val="20"/>
              </w:rPr>
              <w:t>The</w:t>
            </w:r>
            <w:r>
              <w:rPr>
                <w:spacing w:val="-14"/>
                <w:sz w:val="20"/>
              </w:rPr>
              <w:t xml:space="preserve"> </w:t>
            </w:r>
            <w:r>
              <w:rPr>
                <w:sz w:val="20"/>
              </w:rPr>
              <w:t>Reach</w:t>
            </w:r>
            <w:r>
              <w:rPr>
                <w:spacing w:val="-13"/>
                <w:sz w:val="20"/>
              </w:rPr>
              <w:t xml:space="preserve"> </w:t>
            </w:r>
            <w:r>
              <w:rPr>
                <w:sz w:val="20"/>
              </w:rPr>
              <w:t>Family</w:t>
            </w:r>
            <w:r>
              <w:rPr>
                <w:spacing w:val="-13"/>
                <w:sz w:val="20"/>
              </w:rPr>
              <w:t xml:space="preserve"> </w:t>
            </w:r>
            <w:r>
              <w:rPr>
                <w:sz w:val="20"/>
              </w:rPr>
              <w:t>Centre, World Vision</w:t>
            </w:r>
          </w:p>
        </w:tc>
      </w:tr>
      <w:tr w:rsidR="00963BD9" w14:paraId="133FB2C1" w14:textId="77777777">
        <w:trPr>
          <w:trHeight w:val="618"/>
        </w:trPr>
        <w:tc>
          <w:tcPr>
            <w:tcW w:w="708" w:type="dxa"/>
            <w:tcBorders>
              <w:top w:val="single" w:sz="4" w:space="0" w:color="0064BB"/>
              <w:bottom w:val="single" w:sz="4" w:space="0" w:color="0064BB"/>
            </w:tcBorders>
            <w:shd w:val="clear" w:color="auto" w:fill="F1F1F1"/>
          </w:tcPr>
          <w:p w14:paraId="49317A6E" w14:textId="77777777" w:rsidR="00963BD9" w:rsidRDefault="00963BD9" w:rsidP="00963BD9">
            <w:pPr>
              <w:pStyle w:val="TableParagraph"/>
              <w:spacing w:before="80"/>
              <w:rPr>
                <w:b/>
                <w:sz w:val="18"/>
              </w:rPr>
            </w:pPr>
            <w:r>
              <w:rPr>
                <w:b/>
                <w:spacing w:val="-5"/>
                <w:sz w:val="18"/>
              </w:rPr>
              <w:t>88</w:t>
            </w:r>
          </w:p>
        </w:tc>
        <w:tc>
          <w:tcPr>
            <w:tcW w:w="2393" w:type="dxa"/>
            <w:tcBorders>
              <w:top w:val="single" w:sz="4" w:space="0" w:color="0064BB"/>
              <w:bottom w:val="single" w:sz="4" w:space="0" w:color="0064BB"/>
            </w:tcBorders>
          </w:tcPr>
          <w:p w14:paraId="0A32B6A4" w14:textId="77777777" w:rsidR="00963BD9" w:rsidRDefault="00963BD9" w:rsidP="00963BD9">
            <w:pPr>
              <w:pStyle w:val="TableParagraph"/>
              <w:ind w:left="108"/>
              <w:rPr>
                <w:sz w:val="20"/>
              </w:rPr>
            </w:pPr>
            <w:r>
              <w:rPr>
                <w:sz w:val="20"/>
              </w:rPr>
              <w:t>Amy</w:t>
            </w:r>
            <w:r>
              <w:rPr>
                <w:spacing w:val="-8"/>
                <w:sz w:val="20"/>
              </w:rPr>
              <w:t xml:space="preserve"> </w:t>
            </w:r>
            <w:r>
              <w:rPr>
                <w:spacing w:val="-2"/>
                <w:sz w:val="20"/>
              </w:rPr>
              <w:t>Gardiner</w:t>
            </w:r>
          </w:p>
        </w:tc>
        <w:tc>
          <w:tcPr>
            <w:tcW w:w="4119" w:type="dxa"/>
            <w:tcBorders>
              <w:top w:val="single" w:sz="4" w:space="0" w:color="0064BB"/>
              <w:bottom w:val="single" w:sz="4" w:space="0" w:color="0064BB"/>
            </w:tcBorders>
          </w:tcPr>
          <w:p w14:paraId="56955B89" w14:textId="77777777" w:rsidR="00963BD9" w:rsidRDefault="00963BD9" w:rsidP="00963BD9">
            <w:pPr>
              <w:pStyle w:val="TableParagraph"/>
              <w:ind w:left="551"/>
              <w:rPr>
                <w:sz w:val="20"/>
              </w:rPr>
            </w:pPr>
            <w:r>
              <w:rPr>
                <w:sz w:val="20"/>
              </w:rPr>
              <w:t>Managing</w:t>
            </w:r>
            <w:r>
              <w:rPr>
                <w:spacing w:val="-12"/>
                <w:sz w:val="20"/>
              </w:rPr>
              <w:t xml:space="preserve"> </w:t>
            </w:r>
            <w:r>
              <w:rPr>
                <w:spacing w:val="-2"/>
                <w:sz w:val="20"/>
              </w:rPr>
              <w:t>Director</w:t>
            </w:r>
          </w:p>
        </w:tc>
        <w:tc>
          <w:tcPr>
            <w:tcW w:w="2984" w:type="dxa"/>
            <w:tcBorders>
              <w:top w:val="single" w:sz="4" w:space="0" w:color="0064BB"/>
              <w:bottom w:val="single" w:sz="4" w:space="0" w:color="0064BB"/>
            </w:tcBorders>
          </w:tcPr>
          <w:p w14:paraId="3AE58C2F" w14:textId="77777777" w:rsidR="00963BD9" w:rsidRDefault="00963BD9" w:rsidP="00963BD9">
            <w:pPr>
              <w:pStyle w:val="TableParagraph"/>
              <w:ind w:left="258"/>
              <w:rPr>
                <w:sz w:val="20"/>
              </w:rPr>
            </w:pPr>
            <w:r>
              <w:rPr>
                <w:sz w:val="20"/>
              </w:rPr>
              <w:t>The</w:t>
            </w:r>
            <w:r>
              <w:rPr>
                <w:spacing w:val="-14"/>
                <w:sz w:val="20"/>
              </w:rPr>
              <w:t xml:space="preserve"> </w:t>
            </w:r>
            <w:r>
              <w:rPr>
                <w:sz w:val="20"/>
              </w:rPr>
              <w:t>Reach</w:t>
            </w:r>
            <w:r>
              <w:rPr>
                <w:spacing w:val="-13"/>
                <w:sz w:val="20"/>
              </w:rPr>
              <w:t xml:space="preserve"> </w:t>
            </w:r>
            <w:r>
              <w:rPr>
                <w:sz w:val="20"/>
              </w:rPr>
              <w:t>Family</w:t>
            </w:r>
            <w:r>
              <w:rPr>
                <w:spacing w:val="-13"/>
                <w:sz w:val="20"/>
              </w:rPr>
              <w:t xml:space="preserve"> </w:t>
            </w:r>
            <w:r>
              <w:rPr>
                <w:sz w:val="20"/>
              </w:rPr>
              <w:t>Centre, World Vision</w:t>
            </w:r>
          </w:p>
        </w:tc>
      </w:tr>
      <w:tr w:rsidR="00963BD9" w14:paraId="169A0053" w14:textId="77777777">
        <w:trPr>
          <w:trHeight w:val="390"/>
        </w:trPr>
        <w:tc>
          <w:tcPr>
            <w:tcW w:w="708" w:type="dxa"/>
            <w:tcBorders>
              <w:top w:val="single" w:sz="4" w:space="0" w:color="0064BB"/>
              <w:bottom w:val="single" w:sz="4" w:space="0" w:color="0064BB"/>
            </w:tcBorders>
            <w:shd w:val="clear" w:color="auto" w:fill="F1F1F1"/>
          </w:tcPr>
          <w:p w14:paraId="0DB95B20" w14:textId="77777777" w:rsidR="00963BD9" w:rsidRDefault="00963BD9" w:rsidP="00963BD9">
            <w:pPr>
              <w:pStyle w:val="TableParagraph"/>
              <w:spacing w:before="83"/>
              <w:rPr>
                <w:b/>
                <w:sz w:val="18"/>
              </w:rPr>
            </w:pPr>
            <w:r>
              <w:rPr>
                <w:b/>
                <w:spacing w:val="-5"/>
                <w:sz w:val="18"/>
              </w:rPr>
              <w:t>89</w:t>
            </w:r>
          </w:p>
        </w:tc>
        <w:tc>
          <w:tcPr>
            <w:tcW w:w="2393" w:type="dxa"/>
            <w:tcBorders>
              <w:top w:val="single" w:sz="4" w:space="0" w:color="0064BB"/>
              <w:bottom w:val="single" w:sz="4" w:space="0" w:color="0064BB"/>
            </w:tcBorders>
          </w:tcPr>
          <w:p w14:paraId="1AE99945" w14:textId="77777777" w:rsidR="00963BD9" w:rsidRDefault="00963BD9" w:rsidP="00963BD9">
            <w:pPr>
              <w:pStyle w:val="TableParagraph"/>
              <w:spacing w:before="81"/>
              <w:ind w:left="108"/>
              <w:rPr>
                <w:sz w:val="20"/>
              </w:rPr>
            </w:pPr>
            <w:r>
              <w:rPr>
                <w:sz w:val="20"/>
              </w:rPr>
              <w:t>Vola</w:t>
            </w:r>
            <w:r>
              <w:rPr>
                <w:spacing w:val="-8"/>
                <w:sz w:val="20"/>
              </w:rPr>
              <w:t xml:space="preserve"> </w:t>
            </w:r>
            <w:r>
              <w:rPr>
                <w:spacing w:val="-2"/>
                <w:sz w:val="20"/>
              </w:rPr>
              <w:t>Mataskelekele</w:t>
            </w:r>
          </w:p>
        </w:tc>
        <w:tc>
          <w:tcPr>
            <w:tcW w:w="4119" w:type="dxa"/>
            <w:tcBorders>
              <w:top w:val="single" w:sz="4" w:space="0" w:color="0064BB"/>
              <w:bottom w:val="single" w:sz="4" w:space="0" w:color="0064BB"/>
            </w:tcBorders>
          </w:tcPr>
          <w:p w14:paraId="0EA999DA" w14:textId="77777777" w:rsidR="00963BD9" w:rsidRDefault="00963BD9" w:rsidP="00963BD9">
            <w:pPr>
              <w:pStyle w:val="TableParagraph"/>
              <w:spacing w:before="81"/>
              <w:ind w:left="551"/>
              <w:rPr>
                <w:sz w:val="20"/>
              </w:rPr>
            </w:pPr>
            <w:r>
              <w:rPr>
                <w:spacing w:val="-2"/>
                <w:sz w:val="20"/>
              </w:rPr>
              <w:t>Coordinator</w:t>
            </w:r>
          </w:p>
        </w:tc>
        <w:tc>
          <w:tcPr>
            <w:tcW w:w="2984" w:type="dxa"/>
            <w:tcBorders>
              <w:top w:val="single" w:sz="4" w:space="0" w:color="0064BB"/>
              <w:bottom w:val="single" w:sz="4" w:space="0" w:color="0064BB"/>
            </w:tcBorders>
          </w:tcPr>
          <w:p w14:paraId="1B7FF300" w14:textId="77777777" w:rsidR="00963BD9" w:rsidRDefault="00963BD9" w:rsidP="00963BD9">
            <w:pPr>
              <w:pStyle w:val="TableParagraph"/>
              <w:spacing w:before="81"/>
              <w:ind w:left="258"/>
              <w:rPr>
                <w:sz w:val="20"/>
              </w:rPr>
            </w:pPr>
            <w:r>
              <w:rPr>
                <w:sz w:val="20"/>
              </w:rPr>
              <w:t>Vanuatu</w:t>
            </w:r>
            <w:r>
              <w:rPr>
                <w:spacing w:val="-9"/>
                <w:sz w:val="20"/>
              </w:rPr>
              <w:t xml:space="preserve"> </w:t>
            </w:r>
            <w:r>
              <w:rPr>
                <w:sz w:val="20"/>
              </w:rPr>
              <w:t>Women's</w:t>
            </w:r>
            <w:r>
              <w:rPr>
                <w:spacing w:val="-9"/>
                <w:sz w:val="20"/>
              </w:rPr>
              <w:t xml:space="preserve"> </w:t>
            </w:r>
            <w:r>
              <w:rPr>
                <w:spacing w:val="-2"/>
                <w:sz w:val="20"/>
              </w:rPr>
              <w:t>Centre</w:t>
            </w:r>
          </w:p>
        </w:tc>
      </w:tr>
      <w:tr w:rsidR="00963BD9" w14:paraId="25EED2A7" w14:textId="77777777">
        <w:trPr>
          <w:trHeight w:val="621"/>
        </w:trPr>
        <w:tc>
          <w:tcPr>
            <w:tcW w:w="708" w:type="dxa"/>
            <w:tcBorders>
              <w:top w:val="single" w:sz="4" w:space="0" w:color="0064BB"/>
              <w:bottom w:val="single" w:sz="4" w:space="0" w:color="0064BB"/>
            </w:tcBorders>
            <w:shd w:val="clear" w:color="auto" w:fill="F1F1F1"/>
          </w:tcPr>
          <w:p w14:paraId="2D0B21E8" w14:textId="77777777" w:rsidR="00963BD9" w:rsidRDefault="00963BD9" w:rsidP="00963BD9">
            <w:pPr>
              <w:pStyle w:val="TableParagraph"/>
              <w:spacing w:before="80"/>
              <w:rPr>
                <w:b/>
                <w:sz w:val="18"/>
              </w:rPr>
            </w:pPr>
            <w:r>
              <w:rPr>
                <w:b/>
                <w:spacing w:val="-5"/>
                <w:sz w:val="18"/>
              </w:rPr>
              <w:t>90</w:t>
            </w:r>
          </w:p>
        </w:tc>
        <w:tc>
          <w:tcPr>
            <w:tcW w:w="2393" w:type="dxa"/>
            <w:tcBorders>
              <w:top w:val="single" w:sz="4" w:space="0" w:color="0064BB"/>
              <w:bottom w:val="single" w:sz="4" w:space="0" w:color="0064BB"/>
            </w:tcBorders>
          </w:tcPr>
          <w:p w14:paraId="1F208C23" w14:textId="77777777" w:rsidR="00963BD9" w:rsidRDefault="00963BD9" w:rsidP="00963BD9">
            <w:pPr>
              <w:pStyle w:val="TableParagraph"/>
              <w:ind w:left="108"/>
              <w:rPr>
                <w:sz w:val="20"/>
              </w:rPr>
            </w:pPr>
            <w:r>
              <w:rPr>
                <w:sz w:val="20"/>
              </w:rPr>
              <w:t>Kathy</w:t>
            </w:r>
            <w:r>
              <w:rPr>
                <w:spacing w:val="-7"/>
                <w:sz w:val="20"/>
              </w:rPr>
              <w:t xml:space="preserve"> </w:t>
            </w:r>
            <w:r>
              <w:rPr>
                <w:spacing w:val="-4"/>
                <w:sz w:val="20"/>
              </w:rPr>
              <w:t>Bani</w:t>
            </w:r>
          </w:p>
        </w:tc>
        <w:tc>
          <w:tcPr>
            <w:tcW w:w="4119" w:type="dxa"/>
            <w:tcBorders>
              <w:top w:val="single" w:sz="4" w:space="0" w:color="0064BB"/>
              <w:bottom w:val="single" w:sz="4" w:space="0" w:color="0064BB"/>
            </w:tcBorders>
          </w:tcPr>
          <w:p w14:paraId="3EACDFCD" w14:textId="77777777" w:rsidR="00963BD9" w:rsidRDefault="00963BD9" w:rsidP="00963BD9">
            <w:pPr>
              <w:pStyle w:val="TableParagraph"/>
              <w:ind w:left="551"/>
              <w:rPr>
                <w:sz w:val="20"/>
              </w:rPr>
            </w:pPr>
            <w:r>
              <w:rPr>
                <w:sz w:val="20"/>
              </w:rPr>
              <w:t>Project</w:t>
            </w:r>
            <w:r>
              <w:rPr>
                <w:spacing w:val="-11"/>
                <w:sz w:val="20"/>
              </w:rPr>
              <w:t xml:space="preserve"> </w:t>
            </w:r>
            <w:r>
              <w:rPr>
                <w:sz w:val="20"/>
              </w:rPr>
              <w:t>Officer</w:t>
            </w:r>
            <w:r>
              <w:rPr>
                <w:spacing w:val="-10"/>
                <w:sz w:val="20"/>
              </w:rPr>
              <w:t xml:space="preserve"> </w:t>
            </w:r>
            <w:r>
              <w:rPr>
                <w:sz w:val="20"/>
              </w:rPr>
              <w:t>-</w:t>
            </w:r>
            <w:r>
              <w:rPr>
                <w:spacing w:val="-8"/>
                <w:sz w:val="20"/>
              </w:rPr>
              <w:t xml:space="preserve"> </w:t>
            </w:r>
            <w:r>
              <w:rPr>
                <w:sz w:val="20"/>
              </w:rPr>
              <w:t>Sanma</w:t>
            </w:r>
            <w:r>
              <w:rPr>
                <w:spacing w:val="-11"/>
                <w:sz w:val="20"/>
              </w:rPr>
              <w:t xml:space="preserve"> </w:t>
            </w:r>
            <w:r>
              <w:rPr>
                <w:sz w:val="20"/>
              </w:rPr>
              <w:t xml:space="preserve">Counselling </w:t>
            </w:r>
            <w:r>
              <w:rPr>
                <w:spacing w:val="-2"/>
                <w:sz w:val="20"/>
              </w:rPr>
              <w:t>Centre</w:t>
            </w:r>
          </w:p>
        </w:tc>
        <w:tc>
          <w:tcPr>
            <w:tcW w:w="2984" w:type="dxa"/>
            <w:tcBorders>
              <w:top w:val="single" w:sz="4" w:space="0" w:color="0064BB"/>
              <w:bottom w:val="single" w:sz="4" w:space="0" w:color="0064BB"/>
            </w:tcBorders>
          </w:tcPr>
          <w:p w14:paraId="09128116" w14:textId="77777777" w:rsidR="00963BD9" w:rsidRDefault="00963BD9" w:rsidP="00963BD9">
            <w:pPr>
              <w:pStyle w:val="TableParagraph"/>
              <w:ind w:left="258"/>
              <w:rPr>
                <w:sz w:val="20"/>
              </w:rPr>
            </w:pPr>
            <w:r>
              <w:rPr>
                <w:sz w:val="20"/>
              </w:rPr>
              <w:t>Vanuatu</w:t>
            </w:r>
            <w:r>
              <w:rPr>
                <w:spacing w:val="-9"/>
                <w:sz w:val="20"/>
              </w:rPr>
              <w:t xml:space="preserve"> </w:t>
            </w:r>
            <w:r>
              <w:rPr>
                <w:sz w:val="20"/>
              </w:rPr>
              <w:t>Women's</w:t>
            </w:r>
            <w:r>
              <w:rPr>
                <w:spacing w:val="-9"/>
                <w:sz w:val="20"/>
              </w:rPr>
              <w:t xml:space="preserve"> </w:t>
            </w:r>
            <w:r>
              <w:rPr>
                <w:spacing w:val="-2"/>
                <w:sz w:val="20"/>
              </w:rPr>
              <w:t>Centre</w:t>
            </w:r>
          </w:p>
        </w:tc>
      </w:tr>
      <w:tr w:rsidR="00963BD9" w14:paraId="2AA1F35B" w14:textId="77777777">
        <w:trPr>
          <w:trHeight w:val="618"/>
        </w:trPr>
        <w:tc>
          <w:tcPr>
            <w:tcW w:w="708" w:type="dxa"/>
            <w:tcBorders>
              <w:top w:val="single" w:sz="4" w:space="0" w:color="0064BB"/>
              <w:bottom w:val="single" w:sz="4" w:space="0" w:color="0064BB"/>
            </w:tcBorders>
            <w:shd w:val="clear" w:color="auto" w:fill="F1F1F1"/>
          </w:tcPr>
          <w:p w14:paraId="56142A35" w14:textId="77777777" w:rsidR="00963BD9" w:rsidRDefault="00963BD9" w:rsidP="00963BD9">
            <w:pPr>
              <w:pStyle w:val="TableParagraph"/>
              <w:spacing w:before="80"/>
              <w:rPr>
                <w:b/>
                <w:sz w:val="18"/>
              </w:rPr>
            </w:pPr>
            <w:r>
              <w:rPr>
                <w:b/>
                <w:spacing w:val="-5"/>
                <w:sz w:val="18"/>
              </w:rPr>
              <w:t>91</w:t>
            </w:r>
          </w:p>
        </w:tc>
        <w:tc>
          <w:tcPr>
            <w:tcW w:w="2393" w:type="dxa"/>
            <w:tcBorders>
              <w:top w:val="single" w:sz="4" w:space="0" w:color="0064BB"/>
              <w:bottom w:val="single" w:sz="4" w:space="0" w:color="0064BB"/>
            </w:tcBorders>
          </w:tcPr>
          <w:p w14:paraId="5EA40F6A" w14:textId="77777777" w:rsidR="00963BD9" w:rsidRDefault="00963BD9" w:rsidP="00963BD9">
            <w:pPr>
              <w:pStyle w:val="TableParagraph"/>
              <w:ind w:left="108"/>
              <w:rPr>
                <w:sz w:val="20"/>
              </w:rPr>
            </w:pPr>
            <w:r>
              <w:rPr>
                <w:sz w:val="20"/>
              </w:rPr>
              <w:t>Nelly</w:t>
            </w:r>
            <w:r>
              <w:rPr>
                <w:spacing w:val="-7"/>
                <w:sz w:val="20"/>
              </w:rPr>
              <w:t xml:space="preserve"> </w:t>
            </w:r>
            <w:r>
              <w:rPr>
                <w:spacing w:val="-2"/>
                <w:sz w:val="20"/>
              </w:rPr>
              <w:t>Caleb</w:t>
            </w:r>
          </w:p>
        </w:tc>
        <w:tc>
          <w:tcPr>
            <w:tcW w:w="4119" w:type="dxa"/>
            <w:tcBorders>
              <w:top w:val="single" w:sz="4" w:space="0" w:color="0064BB"/>
              <w:bottom w:val="single" w:sz="4" w:space="0" w:color="0064BB"/>
            </w:tcBorders>
          </w:tcPr>
          <w:p w14:paraId="56F03F61" w14:textId="77777777" w:rsidR="00963BD9" w:rsidRDefault="00963BD9" w:rsidP="00963BD9">
            <w:pPr>
              <w:pStyle w:val="TableParagraph"/>
              <w:ind w:left="551"/>
              <w:rPr>
                <w:sz w:val="20"/>
              </w:rPr>
            </w:pPr>
            <w:r>
              <w:rPr>
                <w:sz w:val="20"/>
              </w:rPr>
              <w:t>National</w:t>
            </w:r>
            <w:r>
              <w:rPr>
                <w:spacing w:val="-11"/>
                <w:sz w:val="20"/>
              </w:rPr>
              <w:t xml:space="preserve"> </w:t>
            </w:r>
            <w:r>
              <w:rPr>
                <w:spacing w:val="-2"/>
                <w:sz w:val="20"/>
              </w:rPr>
              <w:t>Coordinator</w:t>
            </w:r>
          </w:p>
        </w:tc>
        <w:tc>
          <w:tcPr>
            <w:tcW w:w="2984" w:type="dxa"/>
            <w:tcBorders>
              <w:top w:val="single" w:sz="4" w:space="0" w:color="0064BB"/>
              <w:bottom w:val="single" w:sz="4" w:space="0" w:color="0064BB"/>
            </w:tcBorders>
          </w:tcPr>
          <w:p w14:paraId="59BC5F54" w14:textId="77777777" w:rsidR="00963BD9" w:rsidRDefault="00963BD9" w:rsidP="00963BD9">
            <w:pPr>
              <w:pStyle w:val="TableParagraph"/>
              <w:ind w:left="258"/>
              <w:rPr>
                <w:sz w:val="20"/>
              </w:rPr>
            </w:pPr>
            <w:r>
              <w:rPr>
                <w:sz w:val="20"/>
              </w:rPr>
              <w:t>Vanuatu</w:t>
            </w:r>
            <w:r>
              <w:rPr>
                <w:spacing w:val="-14"/>
                <w:sz w:val="20"/>
              </w:rPr>
              <w:t xml:space="preserve"> </w:t>
            </w:r>
            <w:r>
              <w:rPr>
                <w:sz w:val="20"/>
              </w:rPr>
              <w:t>Disability</w:t>
            </w:r>
            <w:r>
              <w:rPr>
                <w:spacing w:val="-14"/>
                <w:sz w:val="20"/>
              </w:rPr>
              <w:t xml:space="preserve"> </w:t>
            </w:r>
            <w:r>
              <w:rPr>
                <w:sz w:val="20"/>
              </w:rPr>
              <w:t>Promotion and Advocacy Association</w:t>
            </w:r>
          </w:p>
        </w:tc>
      </w:tr>
      <w:tr w:rsidR="00963BD9" w14:paraId="13D238E0" w14:textId="77777777">
        <w:trPr>
          <w:trHeight w:val="388"/>
        </w:trPr>
        <w:tc>
          <w:tcPr>
            <w:tcW w:w="708" w:type="dxa"/>
            <w:tcBorders>
              <w:top w:val="single" w:sz="4" w:space="0" w:color="0064BB"/>
              <w:bottom w:val="single" w:sz="4" w:space="0" w:color="0064BB"/>
            </w:tcBorders>
            <w:shd w:val="clear" w:color="auto" w:fill="F1F1F1"/>
          </w:tcPr>
          <w:p w14:paraId="09771462" w14:textId="77777777" w:rsidR="00963BD9" w:rsidRDefault="00963BD9" w:rsidP="00963BD9">
            <w:pPr>
              <w:pStyle w:val="TableParagraph"/>
              <w:spacing w:before="80"/>
              <w:rPr>
                <w:b/>
                <w:sz w:val="18"/>
              </w:rPr>
            </w:pPr>
            <w:r>
              <w:rPr>
                <w:b/>
                <w:spacing w:val="-5"/>
                <w:sz w:val="18"/>
              </w:rPr>
              <w:t>92</w:t>
            </w:r>
          </w:p>
        </w:tc>
        <w:tc>
          <w:tcPr>
            <w:tcW w:w="2393" w:type="dxa"/>
            <w:tcBorders>
              <w:top w:val="single" w:sz="4" w:space="0" w:color="0064BB"/>
              <w:bottom w:val="single" w:sz="4" w:space="0" w:color="0064BB"/>
            </w:tcBorders>
          </w:tcPr>
          <w:p w14:paraId="385598FE" w14:textId="77777777" w:rsidR="00963BD9" w:rsidRDefault="00963BD9" w:rsidP="00963BD9">
            <w:pPr>
              <w:pStyle w:val="TableParagraph"/>
              <w:ind w:left="108"/>
              <w:rPr>
                <w:sz w:val="20"/>
              </w:rPr>
            </w:pPr>
            <w:r>
              <w:rPr>
                <w:sz w:val="20"/>
              </w:rPr>
              <w:t>Abby</w:t>
            </w:r>
            <w:r>
              <w:rPr>
                <w:spacing w:val="-5"/>
                <w:sz w:val="20"/>
              </w:rPr>
              <w:t xml:space="preserve"> </w:t>
            </w:r>
            <w:r>
              <w:rPr>
                <w:spacing w:val="-2"/>
                <w:sz w:val="20"/>
              </w:rPr>
              <w:t>McLeod</w:t>
            </w:r>
          </w:p>
        </w:tc>
        <w:tc>
          <w:tcPr>
            <w:tcW w:w="4119" w:type="dxa"/>
            <w:tcBorders>
              <w:top w:val="single" w:sz="4" w:space="0" w:color="0064BB"/>
              <w:bottom w:val="single" w:sz="4" w:space="0" w:color="0064BB"/>
            </w:tcBorders>
          </w:tcPr>
          <w:p w14:paraId="46DB1440" w14:textId="77777777" w:rsidR="00963BD9" w:rsidRDefault="00963BD9" w:rsidP="00963BD9">
            <w:pPr>
              <w:pStyle w:val="TableParagraph"/>
              <w:ind w:left="551"/>
              <w:rPr>
                <w:sz w:val="20"/>
              </w:rPr>
            </w:pPr>
            <w:r>
              <w:rPr>
                <w:spacing w:val="-2"/>
                <w:sz w:val="20"/>
              </w:rPr>
              <w:t>Director</w:t>
            </w:r>
          </w:p>
        </w:tc>
        <w:tc>
          <w:tcPr>
            <w:tcW w:w="2984" w:type="dxa"/>
            <w:tcBorders>
              <w:top w:val="single" w:sz="4" w:space="0" w:color="0064BB"/>
              <w:bottom w:val="single" w:sz="4" w:space="0" w:color="0064BB"/>
            </w:tcBorders>
          </w:tcPr>
          <w:p w14:paraId="5DA4BC21" w14:textId="77777777" w:rsidR="00963BD9" w:rsidRDefault="00963BD9" w:rsidP="00963BD9">
            <w:pPr>
              <w:pStyle w:val="TableParagraph"/>
              <w:ind w:left="258"/>
              <w:rPr>
                <w:sz w:val="20"/>
              </w:rPr>
            </w:pPr>
            <w:r>
              <w:rPr>
                <w:sz w:val="20"/>
              </w:rPr>
              <w:t>Ideate</w:t>
            </w:r>
            <w:r>
              <w:rPr>
                <w:spacing w:val="-7"/>
                <w:sz w:val="20"/>
              </w:rPr>
              <w:t xml:space="preserve"> </w:t>
            </w:r>
            <w:r>
              <w:rPr>
                <w:sz w:val="20"/>
              </w:rPr>
              <w:t>Pty</w:t>
            </w:r>
            <w:r>
              <w:rPr>
                <w:spacing w:val="-5"/>
                <w:sz w:val="20"/>
              </w:rPr>
              <w:t xml:space="preserve"> Ltd</w:t>
            </w:r>
          </w:p>
        </w:tc>
      </w:tr>
      <w:tr w:rsidR="009351A9" w14:paraId="72C98BD5" w14:textId="77777777">
        <w:trPr>
          <w:trHeight w:val="388"/>
        </w:trPr>
        <w:tc>
          <w:tcPr>
            <w:tcW w:w="708" w:type="dxa"/>
            <w:tcBorders>
              <w:top w:val="single" w:sz="4" w:space="0" w:color="0064BB"/>
              <w:bottom w:val="single" w:sz="4" w:space="0" w:color="0064BB"/>
            </w:tcBorders>
            <w:shd w:val="clear" w:color="auto" w:fill="F1F1F1"/>
          </w:tcPr>
          <w:p w14:paraId="3632AEF9" w14:textId="45C38CD8" w:rsidR="009351A9" w:rsidRDefault="009351A9" w:rsidP="00963BD9">
            <w:pPr>
              <w:pStyle w:val="TableParagraph"/>
              <w:spacing w:before="80"/>
              <w:rPr>
                <w:b/>
                <w:spacing w:val="-5"/>
                <w:sz w:val="18"/>
              </w:rPr>
            </w:pPr>
            <w:r>
              <w:rPr>
                <w:b/>
                <w:spacing w:val="-5"/>
                <w:sz w:val="18"/>
              </w:rPr>
              <w:t>93</w:t>
            </w:r>
          </w:p>
        </w:tc>
        <w:tc>
          <w:tcPr>
            <w:tcW w:w="2393" w:type="dxa"/>
            <w:tcBorders>
              <w:top w:val="single" w:sz="4" w:space="0" w:color="0064BB"/>
              <w:bottom w:val="single" w:sz="4" w:space="0" w:color="0064BB"/>
            </w:tcBorders>
          </w:tcPr>
          <w:p w14:paraId="516F53D1" w14:textId="56127607" w:rsidR="009351A9" w:rsidRDefault="009351A9" w:rsidP="00963BD9">
            <w:pPr>
              <w:pStyle w:val="TableParagraph"/>
              <w:ind w:left="108"/>
              <w:rPr>
                <w:sz w:val="20"/>
              </w:rPr>
            </w:pPr>
            <w:r>
              <w:rPr>
                <w:sz w:val="20"/>
              </w:rPr>
              <w:t>Parolees</w:t>
            </w:r>
          </w:p>
        </w:tc>
        <w:tc>
          <w:tcPr>
            <w:tcW w:w="4119" w:type="dxa"/>
            <w:tcBorders>
              <w:top w:val="single" w:sz="4" w:space="0" w:color="0064BB"/>
              <w:bottom w:val="single" w:sz="4" w:space="0" w:color="0064BB"/>
            </w:tcBorders>
          </w:tcPr>
          <w:p w14:paraId="36EF63D9" w14:textId="7AAAA8B2" w:rsidR="009351A9" w:rsidRDefault="001B6591" w:rsidP="00963BD9">
            <w:pPr>
              <w:pStyle w:val="TableParagraph"/>
              <w:ind w:left="551"/>
              <w:rPr>
                <w:spacing w:val="-2"/>
                <w:sz w:val="20"/>
              </w:rPr>
            </w:pPr>
            <w:r>
              <w:rPr>
                <w:sz w:val="20"/>
              </w:rPr>
              <w:t>Port Vila</w:t>
            </w:r>
          </w:p>
        </w:tc>
        <w:tc>
          <w:tcPr>
            <w:tcW w:w="2984" w:type="dxa"/>
            <w:tcBorders>
              <w:top w:val="single" w:sz="4" w:space="0" w:color="0064BB"/>
              <w:bottom w:val="single" w:sz="4" w:space="0" w:color="0064BB"/>
            </w:tcBorders>
          </w:tcPr>
          <w:p w14:paraId="18D65D64" w14:textId="0196568F" w:rsidR="009351A9" w:rsidRDefault="001B6591" w:rsidP="00963BD9">
            <w:pPr>
              <w:pStyle w:val="TableParagraph"/>
              <w:ind w:left="258"/>
              <w:rPr>
                <w:sz w:val="20"/>
              </w:rPr>
            </w:pPr>
            <w:r>
              <w:rPr>
                <w:sz w:val="20"/>
              </w:rPr>
              <w:t>Efate</w:t>
            </w:r>
          </w:p>
        </w:tc>
      </w:tr>
      <w:tr w:rsidR="001B6591" w14:paraId="777ED800" w14:textId="77777777">
        <w:trPr>
          <w:trHeight w:val="388"/>
        </w:trPr>
        <w:tc>
          <w:tcPr>
            <w:tcW w:w="708" w:type="dxa"/>
            <w:tcBorders>
              <w:top w:val="single" w:sz="4" w:space="0" w:color="0064BB"/>
              <w:bottom w:val="single" w:sz="4" w:space="0" w:color="0064BB"/>
            </w:tcBorders>
            <w:shd w:val="clear" w:color="auto" w:fill="F1F1F1"/>
          </w:tcPr>
          <w:p w14:paraId="2B8DB85F" w14:textId="6B859028" w:rsidR="001B6591" w:rsidRDefault="00B23F54" w:rsidP="00963BD9">
            <w:pPr>
              <w:pStyle w:val="TableParagraph"/>
              <w:spacing w:before="80"/>
              <w:rPr>
                <w:b/>
                <w:spacing w:val="-5"/>
                <w:sz w:val="18"/>
              </w:rPr>
            </w:pPr>
            <w:r>
              <w:rPr>
                <w:b/>
                <w:spacing w:val="-5"/>
                <w:sz w:val="18"/>
              </w:rPr>
              <w:t>94</w:t>
            </w:r>
          </w:p>
        </w:tc>
        <w:tc>
          <w:tcPr>
            <w:tcW w:w="2393" w:type="dxa"/>
            <w:tcBorders>
              <w:top w:val="single" w:sz="4" w:space="0" w:color="0064BB"/>
              <w:bottom w:val="single" w:sz="4" w:space="0" w:color="0064BB"/>
            </w:tcBorders>
          </w:tcPr>
          <w:p w14:paraId="76E6D28D" w14:textId="0CDC7D4C" w:rsidR="001B6591" w:rsidRDefault="00B23F54" w:rsidP="00963BD9">
            <w:pPr>
              <w:pStyle w:val="TableParagraph"/>
              <w:ind w:left="108"/>
              <w:rPr>
                <w:sz w:val="20"/>
              </w:rPr>
            </w:pPr>
            <w:r>
              <w:rPr>
                <w:sz w:val="20"/>
              </w:rPr>
              <w:t>Authorised</w:t>
            </w:r>
            <w:r>
              <w:rPr>
                <w:spacing w:val="-10"/>
                <w:sz w:val="20"/>
              </w:rPr>
              <w:t xml:space="preserve"> </w:t>
            </w:r>
            <w:r>
              <w:rPr>
                <w:sz w:val="20"/>
              </w:rPr>
              <w:t>Persons</w:t>
            </w:r>
          </w:p>
        </w:tc>
        <w:tc>
          <w:tcPr>
            <w:tcW w:w="4119" w:type="dxa"/>
            <w:tcBorders>
              <w:top w:val="single" w:sz="4" w:space="0" w:color="0064BB"/>
              <w:bottom w:val="single" w:sz="4" w:space="0" w:color="0064BB"/>
            </w:tcBorders>
          </w:tcPr>
          <w:p w14:paraId="1028545A" w14:textId="27EA60C7" w:rsidR="001B6591" w:rsidRDefault="00B23F54" w:rsidP="00963BD9">
            <w:pPr>
              <w:pStyle w:val="TableParagraph"/>
              <w:ind w:left="551"/>
              <w:rPr>
                <w:sz w:val="20"/>
              </w:rPr>
            </w:pPr>
            <w:r>
              <w:rPr>
                <w:sz w:val="20"/>
              </w:rPr>
              <w:t>Santo</w:t>
            </w:r>
          </w:p>
        </w:tc>
        <w:tc>
          <w:tcPr>
            <w:tcW w:w="2984" w:type="dxa"/>
            <w:tcBorders>
              <w:top w:val="single" w:sz="4" w:space="0" w:color="0064BB"/>
              <w:bottom w:val="single" w:sz="4" w:space="0" w:color="0064BB"/>
            </w:tcBorders>
          </w:tcPr>
          <w:p w14:paraId="7638AE2C" w14:textId="6D6BE364" w:rsidR="001B6591" w:rsidRDefault="00B23F54" w:rsidP="00963BD9">
            <w:pPr>
              <w:pStyle w:val="TableParagraph"/>
              <w:ind w:left="258"/>
              <w:rPr>
                <w:sz w:val="20"/>
              </w:rPr>
            </w:pPr>
            <w:r>
              <w:rPr>
                <w:sz w:val="20"/>
              </w:rPr>
              <w:t>Sanma Province</w:t>
            </w:r>
          </w:p>
        </w:tc>
      </w:tr>
      <w:tr w:rsidR="00B23F54" w14:paraId="7C929E66" w14:textId="77777777">
        <w:trPr>
          <w:trHeight w:val="388"/>
        </w:trPr>
        <w:tc>
          <w:tcPr>
            <w:tcW w:w="708" w:type="dxa"/>
            <w:tcBorders>
              <w:top w:val="single" w:sz="4" w:space="0" w:color="0064BB"/>
              <w:bottom w:val="single" w:sz="4" w:space="0" w:color="0064BB"/>
            </w:tcBorders>
            <w:shd w:val="clear" w:color="auto" w:fill="F1F1F1"/>
          </w:tcPr>
          <w:p w14:paraId="00661510" w14:textId="17701115" w:rsidR="00B23F54" w:rsidRDefault="00B23F54" w:rsidP="00963BD9">
            <w:pPr>
              <w:pStyle w:val="TableParagraph"/>
              <w:spacing w:before="80"/>
              <w:rPr>
                <w:b/>
                <w:spacing w:val="-5"/>
                <w:sz w:val="18"/>
              </w:rPr>
            </w:pPr>
            <w:r>
              <w:rPr>
                <w:b/>
                <w:spacing w:val="-5"/>
                <w:sz w:val="18"/>
              </w:rPr>
              <w:t>95</w:t>
            </w:r>
          </w:p>
        </w:tc>
        <w:tc>
          <w:tcPr>
            <w:tcW w:w="2393" w:type="dxa"/>
            <w:tcBorders>
              <w:top w:val="single" w:sz="4" w:space="0" w:color="0064BB"/>
              <w:bottom w:val="single" w:sz="4" w:space="0" w:color="0064BB"/>
            </w:tcBorders>
          </w:tcPr>
          <w:p w14:paraId="6742B618" w14:textId="072DED1A" w:rsidR="00B23F54" w:rsidRDefault="002D10C8" w:rsidP="00963BD9">
            <w:pPr>
              <w:pStyle w:val="TableParagraph"/>
              <w:ind w:left="108"/>
              <w:rPr>
                <w:sz w:val="20"/>
              </w:rPr>
            </w:pPr>
            <w:r>
              <w:rPr>
                <w:sz w:val="20"/>
              </w:rPr>
              <w:t xml:space="preserve">Community </w:t>
            </w:r>
          </w:p>
        </w:tc>
        <w:tc>
          <w:tcPr>
            <w:tcW w:w="4119" w:type="dxa"/>
            <w:tcBorders>
              <w:top w:val="single" w:sz="4" w:space="0" w:color="0064BB"/>
              <w:bottom w:val="single" w:sz="4" w:space="0" w:color="0064BB"/>
            </w:tcBorders>
          </w:tcPr>
          <w:p w14:paraId="055098CC" w14:textId="55E0F609" w:rsidR="00B23F54" w:rsidRDefault="002D10C8" w:rsidP="00963BD9">
            <w:pPr>
              <w:pStyle w:val="TableParagraph"/>
              <w:ind w:left="551"/>
              <w:rPr>
                <w:sz w:val="20"/>
              </w:rPr>
            </w:pPr>
            <w:r>
              <w:rPr>
                <w:sz w:val="20"/>
              </w:rPr>
              <w:t>Santo</w:t>
            </w:r>
          </w:p>
        </w:tc>
        <w:tc>
          <w:tcPr>
            <w:tcW w:w="2984" w:type="dxa"/>
            <w:tcBorders>
              <w:top w:val="single" w:sz="4" w:space="0" w:color="0064BB"/>
              <w:bottom w:val="single" w:sz="4" w:space="0" w:color="0064BB"/>
            </w:tcBorders>
          </w:tcPr>
          <w:p w14:paraId="00028AC7" w14:textId="1B4C4F95" w:rsidR="00B23F54" w:rsidRDefault="002D10C8" w:rsidP="00963BD9">
            <w:pPr>
              <w:pStyle w:val="TableParagraph"/>
              <w:ind w:left="258"/>
              <w:rPr>
                <w:sz w:val="20"/>
              </w:rPr>
            </w:pPr>
            <w:r>
              <w:rPr>
                <w:sz w:val="20"/>
              </w:rPr>
              <w:t>Sanma Province</w:t>
            </w:r>
          </w:p>
        </w:tc>
      </w:tr>
    </w:tbl>
    <w:p w14:paraId="5504273A" w14:textId="77777777" w:rsidR="009C36E3" w:rsidRDefault="009C36E3">
      <w:pPr>
        <w:rPr>
          <w:sz w:val="20"/>
        </w:rPr>
        <w:sectPr w:rsidR="009C36E3">
          <w:pgSz w:w="11910" w:h="16850"/>
          <w:pgMar w:top="1040" w:right="740" w:bottom="740" w:left="80" w:header="552" w:footer="559" w:gutter="0"/>
          <w:cols w:space="720"/>
        </w:sectPr>
      </w:pPr>
    </w:p>
    <w:p w14:paraId="1B61C067" w14:textId="77777777" w:rsidR="009C36E3" w:rsidRDefault="000E7207" w:rsidP="00C7127F">
      <w:pPr>
        <w:pStyle w:val="Heading1"/>
      </w:pPr>
      <w:r>
        <w:t>Annex 2: Bibliography</w:t>
      </w:r>
    </w:p>
    <w:p w14:paraId="101EEB37" w14:textId="77777777" w:rsidR="009C36E3" w:rsidRDefault="000E7207">
      <w:pPr>
        <w:pStyle w:val="BodyText"/>
        <w:spacing w:before="240" w:line="364" w:lineRule="auto"/>
        <w:ind w:right="1630"/>
      </w:pPr>
      <w:r>
        <w:t>ADB,</w:t>
      </w:r>
      <w:r>
        <w:rPr>
          <w:spacing w:val="-4"/>
        </w:rPr>
        <w:t xml:space="preserve"> </w:t>
      </w:r>
      <w:r>
        <w:t>2023.</w:t>
      </w:r>
      <w:r>
        <w:rPr>
          <w:spacing w:val="-2"/>
        </w:rPr>
        <w:t xml:space="preserve"> </w:t>
      </w:r>
      <w:r>
        <w:t>Pacific</w:t>
      </w:r>
      <w:r>
        <w:rPr>
          <w:spacing w:val="-1"/>
        </w:rPr>
        <w:t xml:space="preserve"> </w:t>
      </w:r>
      <w:r>
        <w:t>Economic</w:t>
      </w:r>
      <w:r>
        <w:rPr>
          <w:spacing w:val="-3"/>
        </w:rPr>
        <w:t xml:space="preserve"> </w:t>
      </w:r>
      <w:r>
        <w:t>Monitor</w:t>
      </w:r>
      <w:r>
        <w:rPr>
          <w:spacing w:val="-3"/>
        </w:rPr>
        <w:t xml:space="preserve"> </w:t>
      </w:r>
      <w:r>
        <w:t>–</w:t>
      </w:r>
      <w:r>
        <w:rPr>
          <w:spacing w:val="-1"/>
        </w:rPr>
        <w:t xml:space="preserve"> </w:t>
      </w:r>
      <w:r>
        <w:t>August</w:t>
      </w:r>
      <w:r>
        <w:rPr>
          <w:spacing w:val="-4"/>
        </w:rPr>
        <w:t xml:space="preserve"> </w:t>
      </w:r>
      <w:r>
        <w:t>2023:</w:t>
      </w:r>
      <w:r>
        <w:rPr>
          <w:spacing w:val="-2"/>
        </w:rPr>
        <w:t xml:space="preserve"> </w:t>
      </w:r>
      <w:r>
        <w:t>COVID-19</w:t>
      </w:r>
      <w:r>
        <w:rPr>
          <w:spacing w:val="-4"/>
        </w:rPr>
        <w:t xml:space="preserve"> </w:t>
      </w:r>
      <w:r>
        <w:t>and</w:t>
      </w:r>
      <w:r>
        <w:rPr>
          <w:spacing w:val="-4"/>
        </w:rPr>
        <w:t xml:space="preserve"> </w:t>
      </w:r>
      <w:r>
        <w:t>the</w:t>
      </w:r>
      <w:r>
        <w:rPr>
          <w:spacing w:val="-4"/>
        </w:rPr>
        <w:t xml:space="preserve"> </w:t>
      </w:r>
      <w:r>
        <w:t>Pacific</w:t>
      </w:r>
      <w:r>
        <w:rPr>
          <w:spacing w:val="-1"/>
        </w:rPr>
        <w:t xml:space="preserve"> </w:t>
      </w:r>
      <w:r>
        <w:t>Three</w:t>
      </w:r>
      <w:r>
        <w:rPr>
          <w:spacing w:val="-4"/>
        </w:rPr>
        <w:t xml:space="preserve"> </w:t>
      </w:r>
      <w:r>
        <w:t>Years</w:t>
      </w:r>
      <w:r>
        <w:rPr>
          <w:spacing w:val="-3"/>
        </w:rPr>
        <w:t xml:space="preserve"> </w:t>
      </w:r>
      <w:r>
        <w:t>On. AFP, 2018. International Command Gender Strategy</w:t>
      </w:r>
    </w:p>
    <w:p w14:paraId="0D324E83" w14:textId="77777777" w:rsidR="009C36E3" w:rsidRDefault="000E7207">
      <w:pPr>
        <w:pStyle w:val="BodyText"/>
        <w:spacing w:before="1"/>
      </w:pPr>
      <w:r>
        <w:t>AFP,</w:t>
      </w:r>
      <w:r>
        <w:rPr>
          <w:spacing w:val="-7"/>
        </w:rPr>
        <w:t xml:space="preserve"> </w:t>
      </w:r>
      <w:r>
        <w:t>2017.</w:t>
      </w:r>
      <w:r>
        <w:rPr>
          <w:spacing w:val="-8"/>
        </w:rPr>
        <w:t xml:space="preserve"> </w:t>
      </w:r>
      <w:r>
        <w:t>International</w:t>
      </w:r>
      <w:r>
        <w:rPr>
          <w:spacing w:val="-7"/>
        </w:rPr>
        <w:t xml:space="preserve"> </w:t>
      </w:r>
      <w:r>
        <w:t>Engagement:</w:t>
      </w:r>
      <w:r>
        <w:rPr>
          <w:spacing w:val="-7"/>
        </w:rPr>
        <w:t xml:space="preserve"> </w:t>
      </w:r>
      <w:r>
        <w:t>2020</w:t>
      </w:r>
      <w:r>
        <w:rPr>
          <w:spacing w:val="-8"/>
        </w:rPr>
        <w:t xml:space="preserve"> </w:t>
      </w:r>
      <w:r>
        <w:t>and</w:t>
      </w:r>
      <w:r>
        <w:rPr>
          <w:spacing w:val="-7"/>
        </w:rPr>
        <w:t xml:space="preserve"> </w:t>
      </w:r>
      <w:r>
        <w:rPr>
          <w:spacing w:val="-2"/>
        </w:rPr>
        <w:t>Beyond</w:t>
      </w:r>
    </w:p>
    <w:p w14:paraId="5DFAAD89" w14:textId="77777777" w:rsidR="009C36E3" w:rsidRDefault="000E7207">
      <w:pPr>
        <w:pStyle w:val="BodyText"/>
        <w:spacing w:before="118"/>
      </w:pPr>
      <w:r>
        <w:t>Anon,</w:t>
      </w:r>
      <w:r>
        <w:rPr>
          <w:spacing w:val="-4"/>
        </w:rPr>
        <w:t xml:space="preserve"> </w:t>
      </w:r>
      <w:r>
        <w:t>2020,</w:t>
      </w:r>
      <w:r>
        <w:rPr>
          <w:spacing w:val="-3"/>
        </w:rPr>
        <w:t xml:space="preserve"> </w:t>
      </w:r>
      <w:r>
        <w:t>Vanuatu-Australia</w:t>
      </w:r>
      <w:r>
        <w:rPr>
          <w:spacing w:val="-4"/>
        </w:rPr>
        <w:t xml:space="preserve"> </w:t>
      </w:r>
      <w:r>
        <w:t>Policing</w:t>
      </w:r>
      <w:r>
        <w:rPr>
          <w:spacing w:val="-4"/>
        </w:rPr>
        <w:t xml:space="preserve"> </w:t>
      </w:r>
      <w:r>
        <w:t>and</w:t>
      </w:r>
      <w:r>
        <w:rPr>
          <w:spacing w:val="-4"/>
        </w:rPr>
        <w:t xml:space="preserve"> </w:t>
      </w:r>
      <w:r>
        <w:t>Justice</w:t>
      </w:r>
      <w:r>
        <w:rPr>
          <w:spacing w:val="-3"/>
        </w:rPr>
        <w:t xml:space="preserve"> </w:t>
      </w:r>
      <w:r>
        <w:t>Program</w:t>
      </w:r>
      <w:r>
        <w:rPr>
          <w:spacing w:val="-4"/>
        </w:rPr>
        <w:t xml:space="preserve"> </w:t>
      </w:r>
      <w:r>
        <w:t>(VAPJP)</w:t>
      </w:r>
      <w:r>
        <w:rPr>
          <w:spacing w:val="-3"/>
        </w:rPr>
        <w:t xml:space="preserve"> </w:t>
      </w:r>
      <w:r>
        <w:t>Design</w:t>
      </w:r>
      <w:r>
        <w:rPr>
          <w:spacing w:val="-3"/>
        </w:rPr>
        <w:t xml:space="preserve"> </w:t>
      </w:r>
      <w:r>
        <w:t>Update</w:t>
      </w:r>
      <w:r>
        <w:rPr>
          <w:spacing w:val="-3"/>
        </w:rPr>
        <w:t xml:space="preserve"> </w:t>
      </w:r>
      <w:r>
        <w:t>2021-2024,</w:t>
      </w:r>
      <w:r>
        <w:rPr>
          <w:spacing w:val="-3"/>
        </w:rPr>
        <w:t xml:space="preserve"> </w:t>
      </w:r>
      <w:r>
        <w:t>13</w:t>
      </w:r>
      <w:r>
        <w:rPr>
          <w:spacing w:val="-4"/>
        </w:rPr>
        <w:t xml:space="preserve"> </w:t>
      </w:r>
      <w:r>
        <w:t xml:space="preserve">December </w:t>
      </w:r>
      <w:r>
        <w:rPr>
          <w:spacing w:val="-2"/>
        </w:rPr>
        <w:t>2020.</w:t>
      </w:r>
    </w:p>
    <w:p w14:paraId="74E05894" w14:textId="77777777" w:rsidR="009C36E3" w:rsidRDefault="000E7207">
      <w:pPr>
        <w:pStyle w:val="BodyText"/>
        <w:spacing w:before="121"/>
      </w:pPr>
      <w:r>
        <w:t>Denney,</w:t>
      </w:r>
      <w:r>
        <w:rPr>
          <w:spacing w:val="-4"/>
        </w:rPr>
        <w:t xml:space="preserve"> </w:t>
      </w:r>
      <w:r>
        <w:t>L.</w:t>
      </w:r>
      <w:r>
        <w:rPr>
          <w:spacing w:val="-2"/>
        </w:rPr>
        <w:t xml:space="preserve"> </w:t>
      </w:r>
      <w:r>
        <w:t>2019.</w:t>
      </w:r>
      <w:r>
        <w:rPr>
          <w:spacing w:val="-2"/>
        </w:rPr>
        <w:t xml:space="preserve"> </w:t>
      </w:r>
      <w:r>
        <w:t>Policing</w:t>
      </w:r>
      <w:r>
        <w:rPr>
          <w:spacing w:val="-4"/>
        </w:rPr>
        <w:t xml:space="preserve"> </w:t>
      </w:r>
      <w:r>
        <w:t>and</w:t>
      </w:r>
      <w:r>
        <w:rPr>
          <w:spacing w:val="-4"/>
        </w:rPr>
        <w:t xml:space="preserve"> </w:t>
      </w:r>
      <w:r>
        <w:t>Gender,</w:t>
      </w:r>
      <w:r>
        <w:rPr>
          <w:spacing w:val="-4"/>
        </w:rPr>
        <w:t xml:space="preserve"> </w:t>
      </w:r>
      <w:r>
        <w:t>Gender</w:t>
      </w:r>
      <w:r>
        <w:rPr>
          <w:spacing w:val="-1"/>
        </w:rPr>
        <w:t xml:space="preserve"> </w:t>
      </w:r>
      <w:r>
        <w:t>and</w:t>
      </w:r>
      <w:r>
        <w:rPr>
          <w:spacing w:val="-2"/>
        </w:rPr>
        <w:t xml:space="preserve"> </w:t>
      </w:r>
      <w:r>
        <w:t>Security</w:t>
      </w:r>
      <w:r>
        <w:rPr>
          <w:spacing w:val="-3"/>
        </w:rPr>
        <w:t xml:space="preserve"> </w:t>
      </w:r>
      <w:r>
        <w:t>Toolkit</w:t>
      </w:r>
      <w:r>
        <w:rPr>
          <w:spacing w:val="-4"/>
        </w:rPr>
        <w:t xml:space="preserve"> </w:t>
      </w:r>
      <w:r>
        <w:t>Tool</w:t>
      </w:r>
      <w:r>
        <w:rPr>
          <w:spacing w:val="-3"/>
        </w:rPr>
        <w:t xml:space="preserve"> </w:t>
      </w:r>
      <w:r>
        <w:t>2.</w:t>
      </w:r>
      <w:r>
        <w:rPr>
          <w:spacing w:val="-4"/>
        </w:rPr>
        <w:t xml:space="preserve"> </w:t>
      </w:r>
      <w:r>
        <w:t>Geneva</w:t>
      </w:r>
      <w:r>
        <w:rPr>
          <w:spacing w:val="-4"/>
        </w:rPr>
        <w:t xml:space="preserve"> </w:t>
      </w:r>
      <w:r>
        <w:t>Center</w:t>
      </w:r>
      <w:r>
        <w:rPr>
          <w:spacing w:val="-3"/>
        </w:rPr>
        <w:t xml:space="preserve"> </w:t>
      </w:r>
      <w:r>
        <w:t>for</w:t>
      </w:r>
      <w:r>
        <w:rPr>
          <w:spacing w:val="-1"/>
        </w:rPr>
        <w:t xml:space="preserve"> </w:t>
      </w:r>
      <w:r>
        <w:t>Security</w:t>
      </w:r>
      <w:r>
        <w:rPr>
          <w:spacing w:val="-3"/>
        </w:rPr>
        <w:t xml:space="preserve"> </w:t>
      </w:r>
      <w:r>
        <w:t>Sector Governance (DCAF)</w:t>
      </w:r>
    </w:p>
    <w:p w14:paraId="5DB3109D" w14:textId="77777777" w:rsidR="009C36E3" w:rsidRDefault="000E7207">
      <w:pPr>
        <w:pStyle w:val="BodyText"/>
        <w:spacing w:before="121"/>
      </w:pPr>
      <w:r>
        <w:t>DFAT</w:t>
      </w:r>
      <w:r>
        <w:rPr>
          <w:spacing w:val="-8"/>
        </w:rPr>
        <w:t xml:space="preserve"> </w:t>
      </w:r>
      <w:r>
        <w:t>and</w:t>
      </w:r>
      <w:r>
        <w:rPr>
          <w:spacing w:val="-6"/>
        </w:rPr>
        <w:t xml:space="preserve"> </w:t>
      </w:r>
      <w:r>
        <w:t>AFP,</w:t>
      </w:r>
      <w:r>
        <w:rPr>
          <w:spacing w:val="-7"/>
        </w:rPr>
        <w:t xml:space="preserve"> </w:t>
      </w:r>
      <w:r>
        <w:t>2019.</w:t>
      </w:r>
      <w:r>
        <w:rPr>
          <w:spacing w:val="-8"/>
        </w:rPr>
        <w:t xml:space="preserve"> </w:t>
      </w:r>
      <w:r>
        <w:t>Management</w:t>
      </w:r>
      <w:r>
        <w:rPr>
          <w:spacing w:val="-6"/>
        </w:rPr>
        <w:t xml:space="preserve"> </w:t>
      </w:r>
      <w:r>
        <w:t>Response:</w:t>
      </w:r>
      <w:r>
        <w:rPr>
          <w:spacing w:val="-7"/>
        </w:rPr>
        <w:t xml:space="preserve"> </w:t>
      </w:r>
      <w:r>
        <w:t>Evaluation</w:t>
      </w:r>
      <w:r>
        <w:rPr>
          <w:spacing w:val="-8"/>
        </w:rPr>
        <w:t xml:space="preserve"> </w:t>
      </w:r>
      <w:r>
        <w:t>of</w:t>
      </w:r>
      <w:r>
        <w:rPr>
          <w:spacing w:val="-6"/>
        </w:rPr>
        <w:t xml:space="preserve"> </w:t>
      </w:r>
      <w:r>
        <w:t>the</w:t>
      </w:r>
      <w:r>
        <w:rPr>
          <w:spacing w:val="-7"/>
        </w:rPr>
        <w:t xml:space="preserve"> </w:t>
      </w:r>
      <w:r>
        <w:t>Vanuatu-Australia</w:t>
      </w:r>
      <w:r>
        <w:rPr>
          <w:spacing w:val="-6"/>
        </w:rPr>
        <w:t xml:space="preserve"> </w:t>
      </w:r>
      <w:r>
        <w:t>Policing</w:t>
      </w:r>
      <w:r>
        <w:rPr>
          <w:spacing w:val="-6"/>
        </w:rPr>
        <w:t xml:space="preserve"> </w:t>
      </w:r>
      <w:r>
        <w:t>and</w:t>
      </w:r>
      <w:r>
        <w:rPr>
          <w:spacing w:val="-9"/>
        </w:rPr>
        <w:t xml:space="preserve"> </w:t>
      </w:r>
      <w:r>
        <w:t>Justice</w:t>
      </w:r>
      <w:r>
        <w:rPr>
          <w:spacing w:val="-6"/>
        </w:rPr>
        <w:t xml:space="preserve"> </w:t>
      </w:r>
      <w:r>
        <w:rPr>
          <w:spacing w:val="-2"/>
        </w:rPr>
        <w:t>Program</w:t>
      </w:r>
    </w:p>
    <w:p w14:paraId="399131C6" w14:textId="77777777" w:rsidR="009C36E3" w:rsidRDefault="000E7207">
      <w:pPr>
        <w:pStyle w:val="BodyText"/>
        <w:spacing w:before="118"/>
        <w:ind w:right="477"/>
      </w:pPr>
      <w:r>
        <w:t>DFAT,</w:t>
      </w:r>
      <w:r>
        <w:rPr>
          <w:spacing w:val="-4"/>
        </w:rPr>
        <w:t xml:space="preserve"> </w:t>
      </w:r>
      <w:r>
        <w:t>2023a.</w:t>
      </w:r>
      <w:r>
        <w:rPr>
          <w:spacing w:val="-2"/>
        </w:rPr>
        <w:t xml:space="preserve"> </w:t>
      </w:r>
      <w:r>
        <w:t>Australia’s</w:t>
      </w:r>
      <w:r>
        <w:rPr>
          <w:spacing w:val="-3"/>
        </w:rPr>
        <w:t xml:space="preserve"> </w:t>
      </w:r>
      <w:r>
        <w:t>International</w:t>
      </w:r>
      <w:r>
        <w:rPr>
          <w:spacing w:val="-3"/>
        </w:rPr>
        <w:t xml:space="preserve"> </w:t>
      </w:r>
      <w:r>
        <w:t>Development</w:t>
      </w:r>
      <w:r>
        <w:rPr>
          <w:spacing w:val="-2"/>
        </w:rPr>
        <w:t xml:space="preserve"> </w:t>
      </w:r>
      <w:r>
        <w:t>Policy</w:t>
      </w:r>
      <w:r>
        <w:rPr>
          <w:spacing w:val="-3"/>
        </w:rPr>
        <w:t xml:space="preserve"> </w:t>
      </w:r>
      <w:r>
        <w:t>–</w:t>
      </w:r>
      <w:r>
        <w:rPr>
          <w:spacing w:val="-2"/>
        </w:rPr>
        <w:t xml:space="preserve"> </w:t>
      </w:r>
      <w:r>
        <w:t>Summary:</w:t>
      </w:r>
      <w:r>
        <w:rPr>
          <w:spacing w:val="-4"/>
        </w:rPr>
        <w:t xml:space="preserve"> </w:t>
      </w:r>
      <w:r>
        <w:t>For</w:t>
      </w:r>
      <w:r>
        <w:rPr>
          <w:spacing w:val="-3"/>
        </w:rPr>
        <w:t xml:space="preserve"> </w:t>
      </w:r>
      <w:r>
        <w:t>a</w:t>
      </w:r>
      <w:r>
        <w:rPr>
          <w:spacing w:val="-4"/>
        </w:rPr>
        <w:t xml:space="preserve"> </w:t>
      </w:r>
      <w:r>
        <w:t>Peaceful,</w:t>
      </w:r>
      <w:r>
        <w:rPr>
          <w:spacing w:val="-4"/>
        </w:rPr>
        <w:t xml:space="preserve"> </w:t>
      </w:r>
      <w:r>
        <w:t>Stable</w:t>
      </w:r>
      <w:r>
        <w:rPr>
          <w:spacing w:val="-2"/>
        </w:rPr>
        <w:t xml:space="preserve"> </w:t>
      </w:r>
      <w:r>
        <w:t>and</w:t>
      </w:r>
      <w:r>
        <w:rPr>
          <w:spacing w:val="-2"/>
        </w:rPr>
        <w:t xml:space="preserve"> </w:t>
      </w:r>
      <w:r>
        <w:t xml:space="preserve">Prosperous </w:t>
      </w:r>
      <w:r>
        <w:rPr>
          <w:spacing w:val="-2"/>
        </w:rPr>
        <w:t>Indo-Pacific</w:t>
      </w:r>
    </w:p>
    <w:p w14:paraId="122F5180" w14:textId="77777777" w:rsidR="009C36E3" w:rsidRDefault="000E7207">
      <w:pPr>
        <w:pStyle w:val="BodyText"/>
        <w:spacing w:before="121"/>
      </w:pPr>
      <w:r>
        <w:t>DFAT,</w:t>
      </w:r>
      <w:r>
        <w:rPr>
          <w:spacing w:val="-10"/>
        </w:rPr>
        <w:t xml:space="preserve"> </w:t>
      </w:r>
      <w:r>
        <w:t>2023b.</w:t>
      </w:r>
      <w:r>
        <w:rPr>
          <w:spacing w:val="-8"/>
        </w:rPr>
        <w:t xml:space="preserve"> </w:t>
      </w:r>
      <w:r>
        <w:t>Annual</w:t>
      </w:r>
      <w:r>
        <w:rPr>
          <w:spacing w:val="-8"/>
        </w:rPr>
        <w:t xml:space="preserve"> </w:t>
      </w:r>
      <w:r>
        <w:t>Investment</w:t>
      </w:r>
      <w:r>
        <w:rPr>
          <w:spacing w:val="-8"/>
        </w:rPr>
        <w:t xml:space="preserve"> </w:t>
      </w:r>
      <w:r>
        <w:t>Monitoring</w:t>
      </w:r>
      <w:r>
        <w:rPr>
          <w:spacing w:val="-7"/>
        </w:rPr>
        <w:t xml:space="preserve"> </w:t>
      </w:r>
      <w:r>
        <w:t>Report</w:t>
      </w:r>
      <w:r>
        <w:rPr>
          <w:spacing w:val="-10"/>
        </w:rPr>
        <w:t xml:space="preserve"> </w:t>
      </w:r>
      <w:r>
        <w:rPr>
          <w:spacing w:val="-4"/>
        </w:rPr>
        <w:t>2022</w:t>
      </w:r>
    </w:p>
    <w:p w14:paraId="3C564370" w14:textId="77777777" w:rsidR="009C36E3" w:rsidRDefault="000E7207">
      <w:pPr>
        <w:pStyle w:val="BodyText"/>
        <w:spacing w:before="120" w:line="364" w:lineRule="auto"/>
        <w:ind w:right="1630"/>
      </w:pPr>
      <w:r>
        <w:t>DFAT,</w:t>
      </w:r>
      <w:r>
        <w:rPr>
          <w:spacing w:val="-5"/>
        </w:rPr>
        <w:t xml:space="preserve"> </w:t>
      </w:r>
      <w:r>
        <w:t>2023c.</w:t>
      </w:r>
      <w:r>
        <w:rPr>
          <w:spacing w:val="-5"/>
        </w:rPr>
        <w:t xml:space="preserve"> </w:t>
      </w:r>
      <w:r>
        <w:t>Design</w:t>
      </w:r>
      <w:r>
        <w:rPr>
          <w:spacing w:val="-5"/>
        </w:rPr>
        <w:t xml:space="preserve"> </w:t>
      </w:r>
      <w:r>
        <w:t>and</w:t>
      </w:r>
      <w:r>
        <w:rPr>
          <w:spacing w:val="-3"/>
        </w:rPr>
        <w:t xml:space="preserve"> </w:t>
      </w:r>
      <w:r>
        <w:t>Monitoring,</w:t>
      </w:r>
      <w:r>
        <w:rPr>
          <w:spacing w:val="-3"/>
        </w:rPr>
        <w:t xml:space="preserve"> </w:t>
      </w:r>
      <w:r>
        <w:t>Evaluation</w:t>
      </w:r>
      <w:r>
        <w:rPr>
          <w:spacing w:val="-5"/>
        </w:rPr>
        <w:t xml:space="preserve"> </w:t>
      </w:r>
      <w:r>
        <w:t>and</w:t>
      </w:r>
      <w:r>
        <w:rPr>
          <w:spacing w:val="-3"/>
        </w:rPr>
        <w:t xml:space="preserve"> </w:t>
      </w:r>
      <w:r>
        <w:t>Learning</w:t>
      </w:r>
      <w:r>
        <w:rPr>
          <w:spacing w:val="-3"/>
        </w:rPr>
        <w:t xml:space="preserve"> </w:t>
      </w:r>
      <w:r>
        <w:t>Standards,</w:t>
      </w:r>
      <w:r>
        <w:rPr>
          <w:spacing w:val="-5"/>
        </w:rPr>
        <w:t xml:space="preserve"> </w:t>
      </w:r>
      <w:r>
        <w:t>September</w:t>
      </w:r>
      <w:r>
        <w:rPr>
          <w:spacing w:val="-4"/>
        </w:rPr>
        <w:t xml:space="preserve"> </w:t>
      </w:r>
      <w:r>
        <w:t>2023. DFAT, 2022. Annual Investment Monitoring Report 2021</w:t>
      </w:r>
    </w:p>
    <w:p w14:paraId="5465F268" w14:textId="77777777" w:rsidR="009C36E3" w:rsidRDefault="000E7207">
      <w:pPr>
        <w:pStyle w:val="BodyText"/>
        <w:spacing w:before="2" w:line="364" w:lineRule="auto"/>
        <w:ind w:right="4180"/>
      </w:pPr>
      <w:r>
        <w:t>DFAT, 2021a. Ethical Research and Evaluation Guidance Note DFAT,</w:t>
      </w:r>
      <w:r>
        <w:rPr>
          <w:spacing w:val="-7"/>
        </w:rPr>
        <w:t xml:space="preserve"> </w:t>
      </w:r>
      <w:r>
        <w:t>2021b.</w:t>
      </w:r>
      <w:r>
        <w:rPr>
          <w:spacing w:val="-5"/>
        </w:rPr>
        <w:t xml:space="preserve"> </w:t>
      </w:r>
      <w:r>
        <w:t>Pacific</w:t>
      </w:r>
      <w:r>
        <w:rPr>
          <w:spacing w:val="-6"/>
        </w:rPr>
        <w:t xml:space="preserve"> </w:t>
      </w:r>
      <w:r>
        <w:t>COVID-19</w:t>
      </w:r>
      <w:r>
        <w:rPr>
          <w:spacing w:val="-7"/>
        </w:rPr>
        <w:t xml:space="preserve"> </w:t>
      </w:r>
      <w:r>
        <w:t>Response</w:t>
      </w:r>
      <w:r>
        <w:rPr>
          <w:spacing w:val="-5"/>
        </w:rPr>
        <w:t xml:space="preserve"> </w:t>
      </w:r>
      <w:r>
        <w:t>Package:</w:t>
      </w:r>
      <w:r>
        <w:rPr>
          <w:spacing w:val="-5"/>
        </w:rPr>
        <w:t xml:space="preserve"> </w:t>
      </w:r>
      <w:r>
        <w:t>Vanuatu</w:t>
      </w:r>
      <w:r>
        <w:rPr>
          <w:spacing w:val="-5"/>
        </w:rPr>
        <w:t xml:space="preserve"> </w:t>
      </w:r>
      <w:r>
        <w:t>Annex DFAT, 2021c. Pacific Risk Profile: Vanuatu.</w:t>
      </w:r>
    </w:p>
    <w:p w14:paraId="66116E00" w14:textId="77777777" w:rsidR="009C36E3" w:rsidRDefault="000E7207">
      <w:pPr>
        <w:pStyle w:val="BodyText"/>
        <w:spacing w:line="364" w:lineRule="auto"/>
        <w:ind w:right="2159"/>
      </w:pPr>
      <w:r>
        <w:t>DFAT,</w:t>
      </w:r>
      <w:r>
        <w:rPr>
          <w:spacing w:val="-6"/>
        </w:rPr>
        <w:t xml:space="preserve"> </w:t>
      </w:r>
      <w:r>
        <w:t>2020.</w:t>
      </w:r>
      <w:r>
        <w:rPr>
          <w:spacing w:val="-4"/>
        </w:rPr>
        <w:t xml:space="preserve"> </w:t>
      </w:r>
      <w:r>
        <w:t>Partnerships</w:t>
      </w:r>
      <w:r>
        <w:rPr>
          <w:spacing w:val="-5"/>
        </w:rPr>
        <w:t xml:space="preserve"> </w:t>
      </w:r>
      <w:r>
        <w:t>for</w:t>
      </w:r>
      <w:r>
        <w:rPr>
          <w:spacing w:val="-5"/>
        </w:rPr>
        <w:t xml:space="preserve"> </w:t>
      </w:r>
      <w:r>
        <w:t>Recovery:</w:t>
      </w:r>
      <w:r>
        <w:rPr>
          <w:spacing w:val="-6"/>
        </w:rPr>
        <w:t xml:space="preserve"> </w:t>
      </w:r>
      <w:r>
        <w:t>Australia’s</w:t>
      </w:r>
      <w:r>
        <w:rPr>
          <w:spacing w:val="-5"/>
        </w:rPr>
        <w:t xml:space="preserve"> </w:t>
      </w:r>
      <w:r>
        <w:t>COVID-19</w:t>
      </w:r>
      <w:r>
        <w:rPr>
          <w:spacing w:val="-4"/>
        </w:rPr>
        <w:t xml:space="preserve"> </w:t>
      </w:r>
      <w:r>
        <w:t>Development</w:t>
      </w:r>
      <w:r>
        <w:rPr>
          <w:spacing w:val="-4"/>
        </w:rPr>
        <w:t xml:space="preserve"> </w:t>
      </w:r>
      <w:r>
        <w:t>Response DFAT, 2019. Stepping Up Australia’s Engagement with our Pacific Family</w:t>
      </w:r>
    </w:p>
    <w:p w14:paraId="45B5D742" w14:textId="77777777" w:rsidR="009C36E3" w:rsidRDefault="000E7207">
      <w:pPr>
        <w:pStyle w:val="BodyText"/>
        <w:spacing w:before="2"/>
      </w:pPr>
      <w:r>
        <w:t>DFAT,</w:t>
      </w:r>
      <w:r>
        <w:rPr>
          <w:spacing w:val="-9"/>
        </w:rPr>
        <w:t xml:space="preserve"> </w:t>
      </w:r>
      <w:r>
        <w:t>2017.</w:t>
      </w:r>
      <w:r>
        <w:rPr>
          <w:spacing w:val="-7"/>
        </w:rPr>
        <w:t xml:space="preserve"> </w:t>
      </w:r>
      <w:r>
        <w:t>DFAT</w:t>
      </w:r>
      <w:r>
        <w:rPr>
          <w:spacing w:val="-5"/>
        </w:rPr>
        <w:t xml:space="preserve"> </w:t>
      </w:r>
      <w:r>
        <w:t>Monitoring</w:t>
      </w:r>
      <w:r>
        <w:rPr>
          <w:spacing w:val="-7"/>
        </w:rPr>
        <w:t xml:space="preserve"> </w:t>
      </w:r>
      <w:r>
        <w:t>&amp;</w:t>
      </w:r>
      <w:r>
        <w:rPr>
          <w:spacing w:val="-7"/>
        </w:rPr>
        <w:t xml:space="preserve"> </w:t>
      </w:r>
      <w:r>
        <w:t>Evaluation</w:t>
      </w:r>
      <w:r>
        <w:rPr>
          <w:spacing w:val="-6"/>
        </w:rPr>
        <w:t xml:space="preserve"> </w:t>
      </w:r>
      <w:r>
        <w:t>Standards,</w:t>
      </w:r>
      <w:r>
        <w:rPr>
          <w:spacing w:val="-9"/>
        </w:rPr>
        <w:t xml:space="preserve"> </w:t>
      </w:r>
      <w:r>
        <w:t>April</w:t>
      </w:r>
      <w:r>
        <w:rPr>
          <w:spacing w:val="-7"/>
        </w:rPr>
        <w:t xml:space="preserve"> </w:t>
      </w:r>
      <w:r>
        <w:rPr>
          <w:spacing w:val="-2"/>
        </w:rPr>
        <w:t>2017.</w:t>
      </w:r>
    </w:p>
    <w:p w14:paraId="6C0FCFF9" w14:textId="77777777" w:rsidR="009C36E3" w:rsidRDefault="000E7207">
      <w:pPr>
        <w:pStyle w:val="BodyText"/>
        <w:spacing w:before="120"/>
        <w:ind w:right="120"/>
      </w:pPr>
      <w:r>
        <w:t>Fulu,</w:t>
      </w:r>
      <w:r>
        <w:rPr>
          <w:spacing w:val="-2"/>
        </w:rPr>
        <w:t xml:space="preserve"> </w:t>
      </w:r>
      <w:r>
        <w:t>E.,</w:t>
      </w:r>
      <w:r>
        <w:rPr>
          <w:spacing w:val="-2"/>
        </w:rPr>
        <w:t xml:space="preserve"> </w:t>
      </w:r>
      <w:r>
        <w:t>McCook,</w:t>
      </w:r>
      <w:r>
        <w:rPr>
          <w:spacing w:val="-2"/>
        </w:rPr>
        <w:t xml:space="preserve"> </w:t>
      </w:r>
      <w:r>
        <w:t>S.,</w:t>
      </w:r>
      <w:r>
        <w:rPr>
          <w:spacing w:val="-2"/>
        </w:rPr>
        <w:t xml:space="preserve"> </w:t>
      </w:r>
      <w:r>
        <w:t>and</w:t>
      </w:r>
      <w:r>
        <w:rPr>
          <w:spacing w:val="-2"/>
        </w:rPr>
        <w:t xml:space="preserve"> </w:t>
      </w:r>
      <w:r>
        <w:t>Falb,</w:t>
      </w:r>
      <w:r>
        <w:rPr>
          <w:spacing w:val="-2"/>
        </w:rPr>
        <w:t xml:space="preserve"> </w:t>
      </w:r>
      <w:r>
        <w:t>K.,</w:t>
      </w:r>
      <w:r>
        <w:rPr>
          <w:spacing w:val="-2"/>
        </w:rPr>
        <w:t xml:space="preserve"> </w:t>
      </w:r>
      <w:r>
        <w:t>2017.</w:t>
      </w:r>
      <w:r>
        <w:rPr>
          <w:spacing w:val="-1"/>
        </w:rPr>
        <w:t xml:space="preserve"> </w:t>
      </w:r>
      <w:r>
        <w:t>What</w:t>
      </w:r>
      <w:r>
        <w:rPr>
          <w:spacing w:val="-2"/>
        </w:rPr>
        <w:t xml:space="preserve"> </w:t>
      </w:r>
      <w:r>
        <w:t>Works</w:t>
      </w:r>
      <w:r>
        <w:rPr>
          <w:spacing w:val="-3"/>
        </w:rPr>
        <w:t xml:space="preserve"> </w:t>
      </w:r>
      <w:r>
        <w:t>Evidence</w:t>
      </w:r>
      <w:r>
        <w:rPr>
          <w:spacing w:val="-4"/>
        </w:rPr>
        <w:t xml:space="preserve"> </w:t>
      </w:r>
      <w:r>
        <w:t>Review:</w:t>
      </w:r>
      <w:r>
        <w:rPr>
          <w:spacing w:val="-4"/>
        </w:rPr>
        <w:t xml:space="preserve"> </w:t>
      </w:r>
      <w:r>
        <w:t>Intersections of</w:t>
      </w:r>
      <w:r>
        <w:rPr>
          <w:spacing w:val="-4"/>
        </w:rPr>
        <w:t xml:space="preserve"> </w:t>
      </w:r>
      <w:r>
        <w:t>violence</w:t>
      </w:r>
      <w:r>
        <w:rPr>
          <w:spacing w:val="-4"/>
        </w:rPr>
        <w:t xml:space="preserve"> </w:t>
      </w:r>
      <w:r>
        <w:t>against</w:t>
      </w:r>
      <w:r>
        <w:rPr>
          <w:spacing w:val="-4"/>
        </w:rPr>
        <w:t xml:space="preserve"> </w:t>
      </w:r>
      <w:r>
        <w:t>women and violence against children, September 2017, UKAid</w:t>
      </w:r>
    </w:p>
    <w:p w14:paraId="35AA6ADC" w14:textId="77777777" w:rsidR="009C36E3" w:rsidRDefault="000E7207">
      <w:pPr>
        <w:pStyle w:val="BodyText"/>
        <w:spacing w:before="119"/>
      </w:pPr>
      <w:r>
        <w:t>MJCS,2018.</w:t>
      </w:r>
      <w:r>
        <w:rPr>
          <w:spacing w:val="-9"/>
        </w:rPr>
        <w:t xml:space="preserve"> </w:t>
      </w:r>
      <w:r>
        <w:t>Strategy</w:t>
      </w:r>
      <w:r>
        <w:rPr>
          <w:spacing w:val="-7"/>
        </w:rPr>
        <w:t xml:space="preserve"> </w:t>
      </w:r>
      <w:r>
        <w:t>for</w:t>
      </w:r>
      <w:r>
        <w:rPr>
          <w:spacing w:val="-8"/>
        </w:rPr>
        <w:t xml:space="preserve"> </w:t>
      </w:r>
      <w:r>
        <w:t>the</w:t>
      </w:r>
      <w:r>
        <w:rPr>
          <w:spacing w:val="-8"/>
        </w:rPr>
        <w:t xml:space="preserve"> </w:t>
      </w:r>
      <w:r>
        <w:t>Justice</w:t>
      </w:r>
      <w:r>
        <w:rPr>
          <w:spacing w:val="-9"/>
        </w:rPr>
        <w:t xml:space="preserve"> </w:t>
      </w:r>
      <w:r>
        <w:t>and</w:t>
      </w:r>
      <w:r>
        <w:rPr>
          <w:spacing w:val="-8"/>
        </w:rPr>
        <w:t xml:space="preserve"> </w:t>
      </w:r>
      <w:r>
        <w:t>Community</w:t>
      </w:r>
      <w:r>
        <w:rPr>
          <w:spacing w:val="-8"/>
        </w:rPr>
        <w:t xml:space="preserve"> </w:t>
      </w:r>
      <w:r>
        <w:t>Services</w:t>
      </w:r>
      <w:r>
        <w:rPr>
          <w:spacing w:val="-7"/>
        </w:rPr>
        <w:t xml:space="preserve"> </w:t>
      </w:r>
      <w:r>
        <w:t>Sector,</w:t>
      </w:r>
      <w:r>
        <w:rPr>
          <w:spacing w:val="-7"/>
        </w:rPr>
        <w:t xml:space="preserve"> </w:t>
      </w:r>
      <w:r>
        <w:t>2018-</w:t>
      </w:r>
      <w:r>
        <w:rPr>
          <w:spacing w:val="-4"/>
        </w:rPr>
        <w:t>2021</w:t>
      </w:r>
    </w:p>
    <w:p w14:paraId="65D246DF" w14:textId="77777777" w:rsidR="009C36E3" w:rsidRDefault="000E7207">
      <w:pPr>
        <w:pStyle w:val="BodyText"/>
        <w:spacing w:before="120"/>
      </w:pPr>
      <w:r>
        <w:t>Edmanley,</w:t>
      </w:r>
      <w:r>
        <w:rPr>
          <w:spacing w:val="-4"/>
        </w:rPr>
        <w:t xml:space="preserve"> </w:t>
      </w:r>
      <w:r>
        <w:t>A.,</w:t>
      </w:r>
      <w:r>
        <w:rPr>
          <w:spacing w:val="-2"/>
        </w:rPr>
        <w:t xml:space="preserve"> </w:t>
      </w:r>
      <w:r>
        <w:t>Ephraim,</w:t>
      </w:r>
      <w:r>
        <w:rPr>
          <w:spacing w:val="-2"/>
        </w:rPr>
        <w:t xml:space="preserve"> </w:t>
      </w:r>
      <w:r>
        <w:t>J.,</w:t>
      </w:r>
      <w:r>
        <w:rPr>
          <w:spacing w:val="-2"/>
        </w:rPr>
        <w:t xml:space="preserve"> </w:t>
      </w:r>
      <w:r>
        <w:t>Hagan,</w:t>
      </w:r>
      <w:r>
        <w:rPr>
          <w:spacing w:val="-4"/>
        </w:rPr>
        <w:t xml:space="preserve"> </w:t>
      </w:r>
      <w:r>
        <w:t>P.,</w:t>
      </w:r>
      <w:r>
        <w:rPr>
          <w:spacing w:val="-2"/>
        </w:rPr>
        <w:t xml:space="preserve"> </w:t>
      </w:r>
      <w:r>
        <w:t>Peake,</w:t>
      </w:r>
      <w:r>
        <w:rPr>
          <w:spacing w:val="-2"/>
        </w:rPr>
        <w:t xml:space="preserve"> </w:t>
      </w:r>
      <w:r>
        <w:t>G.,</w:t>
      </w:r>
      <w:r>
        <w:rPr>
          <w:spacing w:val="-4"/>
        </w:rPr>
        <w:t xml:space="preserve"> </w:t>
      </w:r>
      <w:r>
        <w:t>and</w:t>
      </w:r>
      <w:r>
        <w:rPr>
          <w:spacing w:val="-2"/>
        </w:rPr>
        <w:t xml:space="preserve"> </w:t>
      </w:r>
      <w:r>
        <w:t>Scheye,</w:t>
      </w:r>
      <w:r>
        <w:rPr>
          <w:spacing w:val="-2"/>
        </w:rPr>
        <w:t xml:space="preserve"> </w:t>
      </w:r>
      <w:r>
        <w:t>E.,</w:t>
      </w:r>
      <w:r>
        <w:rPr>
          <w:spacing w:val="-2"/>
        </w:rPr>
        <w:t xml:space="preserve"> </w:t>
      </w:r>
      <w:r>
        <w:t>2012.</w:t>
      </w:r>
      <w:r>
        <w:rPr>
          <w:spacing w:val="-2"/>
        </w:rPr>
        <w:t xml:space="preserve"> </w:t>
      </w:r>
      <w:r>
        <w:t>Vanuatu</w:t>
      </w:r>
      <w:r>
        <w:rPr>
          <w:spacing w:val="-2"/>
        </w:rPr>
        <w:t xml:space="preserve"> </w:t>
      </w:r>
      <w:r>
        <w:t>Australia</w:t>
      </w:r>
      <w:r>
        <w:rPr>
          <w:spacing w:val="-2"/>
        </w:rPr>
        <w:t xml:space="preserve"> </w:t>
      </w:r>
      <w:r>
        <w:t>Police</w:t>
      </w:r>
      <w:r>
        <w:rPr>
          <w:spacing w:val="-2"/>
        </w:rPr>
        <w:t xml:space="preserve"> </w:t>
      </w:r>
      <w:r>
        <w:t>Project Independent Progress Report, August 2012</w:t>
      </w:r>
    </w:p>
    <w:p w14:paraId="4EF5C7C1" w14:textId="77777777" w:rsidR="009C36E3" w:rsidRDefault="000E7207">
      <w:pPr>
        <w:pStyle w:val="BodyText"/>
        <w:spacing w:before="121"/>
      </w:pPr>
      <w:r>
        <w:t>Government</w:t>
      </w:r>
      <w:r>
        <w:rPr>
          <w:spacing w:val="-4"/>
        </w:rPr>
        <w:t xml:space="preserve"> </w:t>
      </w:r>
      <w:r>
        <w:t>of</w:t>
      </w:r>
      <w:r>
        <w:rPr>
          <w:spacing w:val="-2"/>
        </w:rPr>
        <w:t xml:space="preserve"> </w:t>
      </w:r>
      <w:r>
        <w:t>Australia</w:t>
      </w:r>
      <w:r>
        <w:rPr>
          <w:spacing w:val="-4"/>
        </w:rPr>
        <w:t xml:space="preserve"> </w:t>
      </w:r>
      <w:r>
        <w:t>and</w:t>
      </w:r>
      <w:r>
        <w:rPr>
          <w:spacing w:val="-4"/>
        </w:rPr>
        <w:t xml:space="preserve"> </w:t>
      </w:r>
      <w:r>
        <w:t>Government</w:t>
      </w:r>
      <w:r>
        <w:rPr>
          <w:spacing w:val="-2"/>
        </w:rPr>
        <w:t xml:space="preserve"> </w:t>
      </w:r>
      <w:r>
        <w:t>of</w:t>
      </w:r>
      <w:r>
        <w:rPr>
          <w:spacing w:val="-4"/>
        </w:rPr>
        <w:t xml:space="preserve"> </w:t>
      </w:r>
      <w:r>
        <w:t>Vanuatu,</w:t>
      </w:r>
      <w:r>
        <w:rPr>
          <w:spacing w:val="-2"/>
        </w:rPr>
        <w:t xml:space="preserve"> </w:t>
      </w:r>
      <w:r>
        <w:t>2022.</w:t>
      </w:r>
      <w:r>
        <w:rPr>
          <w:spacing w:val="-4"/>
        </w:rPr>
        <w:t xml:space="preserve"> </w:t>
      </w:r>
      <w:r>
        <w:t>Agreement</w:t>
      </w:r>
      <w:r>
        <w:rPr>
          <w:spacing w:val="-2"/>
        </w:rPr>
        <w:t xml:space="preserve"> </w:t>
      </w:r>
      <w:r>
        <w:t>between</w:t>
      </w:r>
      <w:r>
        <w:rPr>
          <w:spacing w:val="-2"/>
        </w:rPr>
        <w:t xml:space="preserve"> </w:t>
      </w:r>
      <w:r>
        <w:t>the</w:t>
      </w:r>
      <w:r>
        <w:rPr>
          <w:spacing w:val="-4"/>
        </w:rPr>
        <w:t xml:space="preserve"> </w:t>
      </w:r>
      <w:r>
        <w:t>Government</w:t>
      </w:r>
      <w:r>
        <w:rPr>
          <w:spacing w:val="-4"/>
        </w:rPr>
        <w:t xml:space="preserve"> </w:t>
      </w:r>
      <w:r>
        <w:t>of</w:t>
      </w:r>
      <w:r>
        <w:rPr>
          <w:spacing w:val="-2"/>
        </w:rPr>
        <w:t xml:space="preserve"> </w:t>
      </w:r>
      <w:r>
        <w:t>Australia</w:t>
      </w:r>
      <w:r>
        <w:rPr>
          <w:spacing w:val="-4"/>
        </w:rPr>
        <w:t xml:space="preserve"> </w:t>
      </w:r>
      <w:r>
        <w:t>and the Government of the Republic of Vanuatu Concerning Closer Security Relations</w:t>
      </w:r>
    </w:p>
    <w:p w14:paraId="45FD22C9" w14:textId="77777777" w:rsidR="009C36E3" w:rsidRDefault="000E7207">
      <w:pPr>
        <w:pStyle w:val="BodyText"/>
        <w:spacing w:before="121" w:line="362" w:lineRule="auto"/>
        <w:ind w:right="477"/>
      </w:pPr>
      <w:r>
        <w:t>Government</w:t>
      </w:r>
      <w:r>
        <w:rPr>
          <w:spacing w:val="-4"/>
        </w:rPr>
        <w:t xml:space="preserve"> </w:t>
      </w:r>
      <w:r>
        <w:t>of</w:t>
      </w:r>
      <w:r>
        <w:rPr>
          <w:spacing w:val="-2"/>
        </w:rPr>
        <w:t xml:space="preserve"> </w:t>
      </w:r>
      <w:r>
        <w:t>Vanuatu,</w:t>
      </w:r>
      <w:r>
        <w:rPr>
          <w:spacing w:val="-2"/>
        </w:rPr>
        <w:t xml:space="preserve"> </w:t>
      </w:r>
      <w:r>
        <w:t>2022.</w:t>
      </w:r>
      <w:r>
        <w:rPr>
          <w:spacing w:val="-2"/>
        </w:rPr>
        <w:t xml:space="preserve"> </w:t>
      </w:r>
      <w:r>
        <w:t>Vanuatu</w:t>
      </w:r>
      <w:r>
        <w:rPr>
          <w:spacing w:val="-4"/>
        </w:rPr>
        <w:t xml:space="preserve"> </w:t>
      </w:r>
      <w:r>
        <w:t>National</w:t>
      </w:r>
      <w:r>
        <w:rPr>
          <w:spacing w:val="-3"/>
        </w:rPr>
        <w:t xml:space="preserve"> </w:t>
      </w:r>
      <w:r>
        <w:t>Security</w:t>
      </w:r>
      <w:r>
        <w:rPr>
          <w:spacing w:val="-3"/>
        </w:rPr>
        <w:t xml:space="preserve"> </w:t>
      </w:r>
      <w:r>
        <w:t>Strategy</w:t>
      </w:r>
      <w:r>
        <w:rPr>
          <w:spacing w:val="-3"/>
        </w:rPr>
        <w:t xml:space="preserve"> </w:t>
      </w:r>
      <w:r>
        <w:t>2022</w:t>
      </w:r>
      <w:r>
        <w:rPr>
          <w:spacing w:val="-4"/>
        </w:rPr>
        <w:t xml:space="preserve"> </w:t>
      </w:r>
      <w:r>
        <w:t>Review:</w:t>
      </w:r>
      <w:r>
        <w:rPr>
          <w:spacing w:val="-2"/>
        </w:rPr>
        <w:t xml:space="preserve"> </w:t>
      </w:r>
      <w:r>
        <w:t>Secure</w:t>
      </w:r>
      <w:r>
        <w:rPr>
          <w:spacing w:val="-2"/>
        </w:rPr>
        <w:t xml:space="preserve"> </w:t>
      </w:r>
      <w:r>
        <w:t>&amp;</w:t>
      </w:r>
      <w:r>
        <w:rPr>
          <w:spacing w:val="-5"/>
        </w:rPr>
        <w:t xml:space="preserve"> </w:t>
      </w:r>
      <w:r>
        <w:t>Resilient Government of Vanuatu, 2018. National Planning Framework</w:t>
      </w:r>
    </w:p>
    <w:p w14:paraId="1B2C5389" w14:textId="77777777" w:rsidR="009C36E3" w:rsidRDefault="000E7207">
      <w:pPr>
        <w:pStyle w:val="BodyText"/>
        <w:spacing w:before="4"/>
      </w:pPr>
      <w:r>
        <w:t>Government</w:t>
      </w:r>
      <w:r>
        <w:rPr>
          <w:spacing w:val="-10"/>
        </w:rPr>
        <w:t xml:space="preserve"> </w:t>
      </w:r>
      <w:r>
        <w:t>of</w:t>
      </w:r>
      <w:r>
        <w:rPr>
          <w:spacing w:val="-7"/>
        </w:rPr>
        <w:t xml:space="preserve"> </w:t>
      </w:r>
      <w:r>
        <w:t>Vanuatu,</w:t>
      </w:r>
      <w:r>
        <w:rPr>
          <w:spacing w:val="-7"/>
        </w:rPr>
        <w:t xml:space="preserve"> </w:t>
      </w:r>
      <w:r>
        <w:t>2018.</w:t>
      </w:r>
      <w:r>
        <w:rPr>
          <w:spacing w:val="-7"/>
        </w:rPr>
        <w:t xml:space="preserve"> </w:t>
      </w:r>
      <w:r>
        <w:t>National</w:t>
      </w:r>
      <w:r>
        <w:rPr>
          <w:spacing w:val="-9"/>
        </w:rPr>
        <w:t xml:space="preserve"> </w:t>
      </w:r>
      <w:r>
        <w:t>Aid</w:t>
      </w:r>
      <w:r>
        <w:rPr>
          <w:spacing w:val="-9"/>
        </w:rPr>
        <w:t xml:space="preserve"> </w:t>
      </w:r>
      <w:r>
        <w:t>Management</w:t>
      </w:r>
      <w:r>
        <w:rPr>
          <w:spacing w:val="-7"/>
        </w:rPr>
        <w:t xml:space="preserve"> </w:t>
      </w:r>
      <w:r>
        <w:t>Policy</w:t>
      </w:r>
      <w:r>
        <w:rPr>
          <w:spacing w:val="-8"/>
        </w:rPr>
        <w:t xml:space="preserve"> </w:t>
      </w:r>
      <w:r>
        <w:t>Implementation</w:t>
      </w:r>
      <w:r>
        <w:rPr>
          <w:spacing w:val="-9"/>
        </w:rPr>
        <w:t xml:space="preserve"> </w:t>
      </w:r>
      <w:r>
        <w:t>Strategy</w:t>
      </w:r>
      <w:r>
        <w:rPr>
          <w:spacing w:val="-8"/>
        </w:rPr>
        <w:t xml:space="preserve"> </w:t>
      </w:r>
      <w:r>
        <w:t>(Final</w:t>
      </w:r>
      <w:r>
        <w:rPr>
          <w:spacing w:val="-9"/>
        </w:rPr>
        <w:t xml:space="preserve"> </w:t>
      </w:r>
      <w:r>
        <w:rPr>
          <w:spacing w:val="-2"/>
        </w:rPr>
        <w:t>Draft)</w:t>
      </w:r>
    </w:p>
    <w:p w14:paraId="0E8D726F" w14:textId="77777777" w:rsidR="009C36E3" w:rsidRDefault="000E7207">
      <w:pPr>
        <w:pStyle w:val="BodyText"/>
        <w:spacing w:before="120"/>
        <w:ind w:right="288"/>
      </w:pPr>
      <w:r>
        <w:t>Government</w:t>
      </w:r>
      <w:r>
        <w:rPr>
          <w:spacing w:val="-4"/>
        </w:rPr>
        <w:t xml:space="preserve"> </w:t>
      </w:r>
      <w:r>
        <w:t>of</w:t>
      </w:r>
      <w:r>
        <w:rPr>
          <w:spacing w:val="-2"/>
        </w:rPr>
        <w:t xml:space="preserve"> </w:t>
      </w:r>
      <w:r>
        <w:t>Vanuatu,</w:t>
      </w:r>
      <w:r>
        <w:rPr>
          <w:spacing w:val="-2"/>
        </w:rPr>
        <w:t xml:space="preserve"> </w:t>
      </w:r>
      <w:r>
        <w:t>2016.</w:t>
      </w:r>
      <w:r>
        <w:rPr>
          <w:spacing w:val="-2"/>
        </w:rPr>
        <w:t xml:space="preserve"> </w:t>
      </w:r>
      <w:r>
        <w:t>Vanuatu</w:t>
      </w:r>
      <w:r>
        <w:rPr>
          <w:spacing w:val="-4"/>
        </w:rPr>
        <w:t xml:space="preserve"> </w:t>
      </w:r>
      <w:r>
        <w:t>2030:</w:t>
      </w:r>
      <w:r>
        <w:rPr>
          <w:spacing w:val="-4"/>
        </w:rPr>
        <w:t xml:space="preserve"> </w:t>
      </w:r>
      <w:r>
        <w:t>The</w:t>
      </w:r>
      <w:r>
        <w:rPr>
          <w:spacing w:val="-2"/>
        </w:rPr>
        <w:t xml:space="preserve"> </w:t>
      </w:r>
      <w:r>
        <w:t>People’s</w:t>
      </w:r>
      <w:r>
        <w:rPr>
          <w:spacing w:val="-3"/>
        </w:rPr>
        <w:t xml:space="preserve"> </w:t>
      </w:r>
      <w:r>
        <w:t>Plan</w:t>
      </w:r>
      <w:r>
        <w:rPr>
          <w:spacing w:val="-4"/>
        </w:rPr>
        <w:t xml:space="preserve"> </w:t>
      </w:r>
      <w:r>
        <w:t>–</w:t>
      </w:r>
      <w:r>
        <w:rPr>
          <w:spacing w:val="-2"/>
        </w:rPr>
        <w:t xml:space="preserve"> </w:t>
      </w:r>
      <w:r>
        <w:t>National</w:t>
      </w:r>
      <w:r>
        <w:rPr>
          <w:spacing w:val="-3"/>
        </w:rPr>
        <w:t xml:space="preserve"> </w:t>
      </w:r>
      <w:r>
        <w:t>Sustainable</w:t>
      </w:r>
      <w:r>
        <w:rPr>
          <w:spacing w:val="-4"/>
        </w:rPr>
        <w:t xml:space="preserve"> </w:t>
      </w:r>
      <w:r>
        <w:t>Development</w:t>
      </w:r>
      <w:r>
        <w:rPr>
          <w:spacing w:val="-2"/>
        </w:rPr>
        <w:t xml:space="preserve"> </w:t>
      </w:r>
      <w:r>
        <w:t>Plan</w:t>
      </w:r>
      <w:r>
        <w:rPr>
          <w:spacing w:val="-2"/>
        </w:rPr>
        <w:t xml:space="preserve"> </w:t>
      </w:r>
      <w:r>
        <w:t>2016 to 2030: Monitoring and Evaluation Framework</w:t>
      </w:r>
    </w:p>
    <w:p w14:paraId="636BC09F" w14:textId="77777777" w:rsidR="009C36E3" w:rsidRDefault="000E7207">
      <w:pPr>
        <w:pStyle w:val="BodyText"/>
        <w:spacing w:before="121" w:line="362" w:lineRule="auto"/>
        <w:ind w:right="1630"/>
      </w:pPr>
      <w:r>
        <w:t>McGovern,</w:t>
      </w:r>
      <w:r>
        <w:rPr>
          <w:spacing w:val="-4"/>
        </w:rPr>
        <w:t xml:space="preserve"> </w:t>
      </w:r>
      <w:r>
        <w:t>J.</w:t>
      </w:r>
      <w:r>
        <w:rPr>
          <w:spacing w:val="-4"/>
        </w:rPr>
        <w:t xml:space="preserve"> </w:t>
      </w:r>
      <w:r>
        <w:t>2016.</w:t>
      </w:r>
      <w:r>
        <w:rPr>
          <w:spacing w:val="-2"/>
        </w:rPr>
        <w:t xml:space="preserve"> </w:t>
      </w:r>
      <w:r>
        <w:t>Review</w:t>
      </w:r>
      <w:r>
        <w:rPr>
          <w:spacing w:val="-4"/>
        </w:rPr>
        <w:t xml:space="preserve"> </w:t>
      </w:r>
      <w:r>
        <w:t>of</w:t>
      </w:r>
      <w:r>
        <w:rPr>
          <w:spacing w:val="-2"/>
        </w:rPr>
        <w:t xml:space="preserve"> </w:t>
      </w:r>
      <w:r>
        <w:t>Vanuatu</w:t>
      </w:r>
      <w:r>
        <w:rPr>
          <w:spacing w:val="-2"/>
        </w:rPr>
        <w:t xml:space="preserve"> </w:t>
      </w:r>
      <w:r>
        <w:t>Policing</w:t>
      </w:r>
      <w:r>
        <w:rPr>
          <w:spacing w:val="-2"/>
        </w:rPr>
        <w:t xml:space="preserve"> </w:t>
      </w:r>
      <w:r>
        <w:t>and</w:t>
      </w:r>
      <w:r>
        <w:rPr>
          <w:spacing w:val="-2"/>
        </w:rPr>
        <w:t xml:space="preserve"> </w:t>
      </w:r>
      <w:r>
        <w:t>Justice</w:t>
      </w:r>
      <w:r>
        <w:rPr>
          <w:spacing w:val="-4"/>
        </w:rPr>
        <w:t xml:space="preserve"> </w:t>
      </w:r>
      <w:r>
        <w:t>Support</w:t>
      </w:r>
      <w:r>
        <w:rPr>
          <w:spacing w:val="-4"/>
        </w:rPr>
        <w:t xml:space="preserve"> </w:t>
      </w:r>
      <w:r>
        <w:t>Program</w:t>
      </w:r>
      <w:r>
        <w:rPr>
          <w:spacing w:val="-4"/>
        </w:rPr>
        <w:t xml:space="preserve"> </w:t>
      </w:r>
      <w:r>
        <w:t>Report</w:t>
      </w:r>
      <w:r>
        <w:rPr>
          <w:spacing w:val="-1"/>
        </w:rPr>
        <w:t xml:space="preserve"> </w:t>
      </w:r>
      <w:r>
        <w:t>April</w:t>
      </w:r>
      <w:r>
        <w:rPr>
          <w:spacing w:val="-5"/>
        </w:rPr>
        <w:t xml:space="preserve"> </w:t>
      </w:r>
      <w:r>
        <w:t>2016 McLeod, A. 2022. Vanuatu Police Force: Organisational Performance Study</w:t>
      </w:r>
    </w:p>
    <w:p w14:paraId="37C98BB9" w14:textId="77777777" w:rsidR="009C36E3" w:rsidRDefault="000E7207">
      <w:pPr>
        <w:pStyle w:val="BodyText"/>
        <w:spacing w:before="4"/>
      </w:pPr>
      <w:r>
        <w:t>Nichols.</w:t>
      </w:r>
      <w:r>
        <w:rPr>
          <w:spacing w:val="-4"/>
        </w:rPr>
        <w:t xml:space="preserve"> </w:t>
      </w:r>
      <w:r>
        <w:t>P.,</w:t>
      </w:r>
      <w:r>
        <w:rPr>
          <w:spacing w:val="-2"/>
        </w:rPr>
        <w:t xml:space="preserve"> </w:t>
      </w:r>
      <w:r>
        <w:t>Toomey,</w:t>
      </w:r>
      <w:r>
        <w:rPr>
          <w:spacing w:val="-4"/>
        </w:rPr>
        <w:t xml:space="preserve"> </w:t>
      </w:r>
      <w:r>
        <w:t>L.</w:t>
      </w:r>
      <w:r>
        <w:rPr>
          <w:spacing w:val="-2"/>
        </w:rPr>
        <w:t xml:space="preserve"> </w:t>
      </w:r>
      <w:r>
        <w:t>and</w:t>
      </w:r>
      <w:r>
        <w:rPr>
          <w:spacing w:val="-4"/>
        </w:rPr>
        <w:t xml:space="preserve"> </w:t>
      </w:r>
      <w:r>
        <w:t>Besley,</w:t>
      </w:r>
      <w:r>
        <w:rPr>
          <w:spacing w:val="-4"/>
        </w:rPr>
        <w:t xml:space="preserve"> </w:t>
      </w:r>
      <w:r>
        <w:t>M.,</w:t>
      </w:r>
      <w:r>
        <w:rPr>
          <w:spacing w:val="-4"/>
        </w:rPr>
        <w:t xml:space="preserve"> </w:t>
      </w:r>
      <w:r>
        <w:t>2019.</w:t>
      </w:r>
      <w:r>
        <w:rPr>
          <w:spacing w:val="-2"/>
        </w:rPr>
        <w:t xml:space="preserve"> </w:t>
      </w:r>
      <w:r>
        <w:t>Stretem</w:t>
      </w:r>
      <w:r>
        <w:rPr>
          <w:spacing w:val="-4"/>
        </w:rPr>
        <w:t xml:space="preserve"> </w:t>
      </w:r>
      <w:r>
        <w:t>Rod</w:t>
      </w:r>
      <w:r>
        <w:rPr>
          <w:spacing w:val="-2"/>
        </w:rPr>
        <w:t xml:space="preserve"> </w:t>
      </w:r>
      <w:r>
        <w:t>blong</w:t>
      </w:r>
      <w:r>
        <w:rPr>
          <w:spacing w:val="-4"/>
        </w:rPr>
        <w:t xml:space="preserve"> </w:t>
      </w:r>
      <w:r>
        <w:t>Jastis</w:t>
      </w:r>
      <w:r>
        <w:rPr>
          <w:spacing w:val="-3"/>
        </w:rPr>
        <w:t xml:space="preserve"> </w:t>
      </w:r>
      <w:r>
        <w:t>mo</w:t>
      </w:r>
      <w:r>
        <w:rPr>
          <w:spacing w:val="-4"/>
        </w:rPr>
        <w:t xml:space="preserve"> </w:t>
      </w:r>
      <w:r>
        <w:t>Sefti</w:t>
      </w:r>
      <w:r>
        <w:rPr>
          <w:spacing w:val="-4"/>
        </w:rPr>
        <w:t xml:space="preserve"> </w:t>
      </w:r>
      <w:r>
        <w:t>2017-2020,</w:t>
      </w:r>
      <w:r>
        <w:rPr>
          <w:spacing w:val="-2"/>
        </w:rPr>
        <w:t xml:space="preserve"> </w:t>
      </w:r>
      <w:r>
        <w:t>Vanuatu-Australia Policing and Justice Program Evaluation Report, Final 19 December 2019</w:t>
      </w:r>
    </w:p>
    <w:p w14:paraId="4A020AA1" w14:textId="77777777" w:rsidR="009C36E3" w:rsidRDefault="000E7207">
      <w:pPr>
        <w:pStyle w:val="BodyText"/>
        <w:spacing w:before="121"/>
      </w:pPr>
      <w:r>
        <w:t>Office</w:t>
      </w:r>
      <w:r>
        <w:rPr>
          <w:spacing w:val="-9"/>
        </w:rPr>
        <w:t xml:space="preserve"> </w:t>
      </w:r>
      <w:r>
        <w:t>of</w:t>
      </w:r>
      <w:r>
        <w:rPr>
          <w:spacing w:val="-8"/>
        </w:rPr>
        <w:t xml:space="preserve"> </w:t>
      </w:r>
      <w:r>
        <w:t>the</w:t>
      </w:r>
      <w:r>
        <w:rPr>
          <w:spacing w:val="-7"/>
        </w:rPr>
        <w:t xml:space="preserve"> </w:t>
      </w:r>
      <w:r>
        <w:t>Public</w:t>
      </w:r>
      <w:r>
        <w:rPr>
          <w:spacing w:val="-8"/>
        </w:rPr>
        <w:t xml:space="preserve"> </w:t>
      </w:r>
      <w:r>
        <w:t>Prosecutor,</w:t>
      </w:r>
      <w:r>
        <w:rPr>
          <w:spacing w:val="-7"/>
        </w:rPr>
        <w:t xml:space="preserve"> </w:t>
      </w:r>
      <w:r>
        <w:t>Spotlight</w:t>
      </w:r>
      <w:r>
        <w:rPr>
          <w:spacing w:val="-7"/>
        </w:rPr>
        <w:t xml:space="preserve"> </w:t>
      </w:r>
      <w:r>
        <w:t>Initiative,</w:t>
      </w:r>
      <w:r>
        <w:rPr>
          <w:spacing w:val="-8"/>
        </w:rPr>
        <w:t xml:space="preserve"> </w:t>
      </w:r>
      <w:r>
        <w:t>EU,</w:t>
      </w:r>
      <w:r>
        <w:rPr>
          <w:spacing w:val="-9"/>
        </w:rPr>
        <w:t xml:space="preserve"> </w:t>
      </w:r>
      <w:r>
        <w:t>UNDP,</w:t>
      </w:r>
      <w:r>
        <w:rPr>
          <w:spacing w:val="-9"/>
        </w:rPr>
        <w:t xml:space="preserve"> </w:t>
      </w:r>
      <w:r>
        <w:t>2023.</w:t>
      </w:r>
      <w:r>
        <w:rPr>
          <w:spacing w:val="-7"/>
        </w:rPr>
        <w:t xml:space="preserve"> </w:t>
      </w:r>
      <w:r>
        <w:t>Vanuatu</w:t>
      </w:r>
      <w:r>
        <w:rPr>
          <w:spacing w:val="-7"/>
        </w:rPr>
        <w:t xml:space="preserve"> </w:t>
      </w:r>
      <w:r>
        <w:t>Survivors-Victim</w:t>
      </w:r>
      <w:r>
        <w:rPr>
          <w:spacing w:val="-9"/>
        </w:rPr>
        <w:t xml:space="preserve"> </w:t>
      </w:r>
      <w:r>
        <w:rPr>
          <w:spacing w:val="-2"/>
        </w:rPr>
        <w:t>Charter</w:t>
      </w:r>
    </w:p>
    <w:p w14:paraId="4B5E94D6" w14:textId="77777777" w:rsidR="009C36E3" w:rsidRDefault="000E7207">
      <w:pPr>
        <w:pStyle w:val="BodyText"/>
        <w:spacing w:before="120"/>
      </w:pPr>
      <w:r>
        <w:t>Pacific</w:t>
      </w:r>
      <w:r>
        <w:rPr>
          <w:spacing w:val="-3"/>
        </w:rPr>
        <w:t xml:space="preserve"> </w:t>
      </w:r>
      <w:r>
        <w:t>Islands</w:t>
      </w:r>
      <w:r>
        <w:rPr>
          <w:spacing w:val="-3"/>
        </w:rPr>
        <w:t xml:space="preserve"> </w:t>
      </w:r>
      <w:r>
        <w:t>Leaders</w:t>
      </w:r>
      <w:r>
        <w:rPr>
          <w:spacing w:val="-3"/>
        </w:rPr>
        <w:t xml:space="preserve"> </w:t>
      </w:r>
      <w:r>
        <w:t>Forum</w:t>
      </w:r>
      <w:r>
        <w:rPr>
          <w:spacing w:val="-4"/>
        </w:rPr>
        <w:t xml:space="preserve"> </w:t>
      </w:r>
      <w:r>
        <w:t>Meeting,</w:t>
      </w:r>
      <w:r>
        <w:rPr>
          <w:spacing w:val="-4"/>
        </w:rPr>
        <w:t xml:space="preserve"> </w:t>
      </w:r>
      <w:r>
        <w:t>2023.</w:t>
      </w:r>
      <w:r>
        <w:rPr>
          <w:spacing w:val="-2"/>
        </w:rPr>
        <w:t xml:space="preserve"> </w:t>
      </w:r>
      <w:r>
        <w:t>PIFLM52-</w:t>
      </w:r>
      <w:r>
        <w:rPr>
          <w:spacing w:val="-3"/>
        </w:rPr>
        <w:t xml:space="preserve"> </w:t>
      </w:r>
      <w:r>
        <w:t>Communique</w:t>
      </w:r>
      <w:r>
        <w:rPr>
          <w:spacing w:val="-4"/>
        </w:rPr>
        <w:t xml:space="preserve"> </w:t>
      </w:r>
      <w:r>
        <w:t>of</w:t>
      </w:r>
      <w:r>
        <w:rPr>
          <w:spacing w:val="-4"/>
        </w:rPr>
        <w:t xml:space="preserve"> </w:t>
      </w:r>
      <w:r>
        <w:t>the</w:t>
      </w:r>
      <w:r>
        <w:rPr>
          <w:spacing w:val="-4"/>
        </w:rPr>
        <w:t xml:space="preserve"> </w:t>
      </w:r>
      <w:r>
        <w:t>52nd</w:t>
      </w:r>
      <w:r>
        <w:rPr>
          <w:spacing w:val="-4"/>
        </w:rPr>
        <w:t xml:space="preserve"> </w:t>
      </w:r>
      <w:r>
        <w:t>Pacific</w:t>
      </w:r>
      <w:r>
        <w:rPr>
          <w:spacing w:val="-3"/>
        </w:rPr>
        <w:t xml:space="preserve"> </w:t>
      </w:r>
      <w:r>
        <w:t>Islands</w:t>
      </w:r>
      <w:r>
        <w:rPr>
          <w:spacing w:val="-3"/>
        </w:rPr>
        <w:t xml:space="preserve"> </w:t>
      </w:r>
      <w:r>
        <w:t>Leaders</w:t>
      </w:r>
      <w:r>
        <w:rPr>
          <w:spacing w:val="-3"/>
        </w:rPr>
        <w:t xml:space="preserve"> </w:t>
      </w:r>
      <w:r>
        <w:t>Forum, 2023, 6-10 November 2023.</w:t>
      </w:r>
    </w:p>
    <w:p w14:paraId="0680A120" w14:textId="77777777" w:rsidR="009C36E3" w:rsidRDefault="000E7207">
      <w:pPr>
        <w:pStyle w:val="BodyText"/>
        <w:spacing w:before="119"/>
        <w:ind w:right="353"/>
      </w:pPr>
      <w:r>
        <w:t>Pacific</w:t>
      </w:r>
      <w:r>
        <w:rPr>
          <w:spacing w:val="-3"/>
        </w:rPr>
        <w:t xml:space="preserve"> </w:t>
      </w:r>
      <w:r>
        <w:t>Justice</w:t>
      </w:r>
      <w:r>
        <w:rPr>
          <w:spacing w:val="-2"/>
        </w:rPr>
        <w:t xml:space="preserve"> </w:t>
      </w:r>
      <w:r>
        <w:t>Sector</w:t>
      </w:r>
      <w:r>
        <w:rPr>
          <w:spacing w:val="-1"/>
        </w:rPr>
        <w:t xml:space="preserve"> </w:t>
      </w:r>
      <w:r>
        <w:t>Programme,</w:t>
      </w:r>
      <w:r>
        <w:rPr>
          <w:spacing w:val="-4"/>
        </w:rPr>
        <w:t xml:space="preserve"> </w:t>
      </w:r>
      <w:r>
        <w:t>2023.</w:t>
      </w:r>
      <w:r>
        <w:rPr>
          <w:spacing w:val="-2"/>
        </w:rPr>
        <w:t xml:space="preserve"> </w:t>
      </w:r>
      <w:r>
        <w:t>Pacific</w:t>
      </w:r>
      <w:r>
        <w:rPr>
          <w:spacing w:val="-3"/>
        </w:rPr>
        <w:t xml:space="preserve"> </w:t>
      </w:r>
      <w:r>
        <w:t>Justice</w:t>
      </w:r>
      <w:r>
        <w:rPr>
          <w:spacing w:val="-4"/>
        </w:rPr>
        <w:t xml:space="preserve"> </w:t>
      </w:r>
      <w:r>
        <w:t>Sector</w:t>
      </w:r>
      <w:r>
        <w:rPr>
          <w:spacing w:val="-3"/>
        </w:rPr>
        <w:t xml:space="preserve"> </w:t>
      </w:r>
      <w:r>
        <w:t>Programme</w:t>
      </w:r>
      <w:r>
        <w:rPr>
          <w:spacing w:val="-1"/>
        </w:rPr>
        <w:t xml:space="preserve"> </w:t>
      </w:r>
      <w:r>
        <w:t>Progress</w:t>
      </w:r>
      <w:r>
        <w:rPr>
          <w:spacing w:val="-3"/>
        </w:rPr>
        <w:t xml:space="preserve"> </w:t>
      </w:r>
      <w:r>
        <w:t>Report</w:t>
      </w:r>
      <w:r>
        <w:rPr>
          <w:spacing w:val="-4"/>
        </w:rPr>
        <w:t xml:space="preserve"> </w:t>
      </w:r>
      <w:r>
        <w:t>July</w:t>
      </w:r>
      <w:r>
        <w:rPr>
          <w:spacing w:val="-3"/>
        </w:rPr>
        <w:t xml:space="preserve"> </w:t>
      </w:r>
      <w:r>
        <w:t>2022</w:t>
      </w:r>
      <w:r>
        <w:rPr>
          <w:spacing w:val="-4"/>
        </w:rPr>
        <w:t xml:space="preserve"> </w:t>
      </w:r>
      <w:r>
        <w:t>–</w:t>
      </w:r>
      <w:r>
        <w:rPr>
          <w:spacing w:val="-2"/>
        </w:rPr>
        <w:t xml:space="preserve"> </w:t>
      </w:r>
      <w:r>
        <w:t xml:space="preserve">June </w:t>
      </w:r>
      <w:r>
        <w:rPr>
          <w:spacing w:val="-4"/>
        </w:rPr>
        <w:t>2023</w:t>
      </w:r>
    </w:p>
    <w:p w14:paraId="0FB1F1C4" w14:textId="77777777" w:rsidR="009C36E3" w:rsidRDefault="000E7207">
      <w:pPr>
        <w:pStyle w:val="BodyText"/>
        <w:spacing w:before="121"/>
      </w:pPr>
      <w:r>
        <w:t>Pacific</w:t>
      </w:r>
      <w:r>
        <w:rPr>
          <w:spacing w:val="-8"/>
        </w:rPr>
        <w:t xml:space="preserve"> </w:t>
      </w:r>
      <w:r>
        <w:t>Justice</w:t>
      </w:r>
      <w:r>
        <w:rPr>
          <w:spacing w:val="-6"/>
        </w:rPr>
        <w:t xml:space="preserve"> </w:t>
      </w:r>
      <w:r>
        <w:t>Sector</w:t>
      </w:r>
      <w:r>
        <w:rPr>
          <w:spacing w:val="-6"/>
        </w:rPr>
        <w:t xml:space="preserve"> </w:t>
      </w:r>
      <w:r>
        <w:t>Programme,</w:t>
      </w:r>
      <w:r>
        <w:rPr>
          <w:spacing w:val="-8"/>
        </w:rPr>
        <w:t xml:space="preserve"> </w:t>
      </w:r>
      <w:r>
        <w:t>2022.</w:t>
      </w:r>
      <w:r>
        <w:rPr>
          <w:spacing w:val="-7"/>
        </w:rPr>
        <w:t xml:space="preserve"> </w:t>
      </w:r>
      <w:r>
        <w:t>Pacific</w:t>
      </w:r>
      <w:r>
        <w:rPr>
          <w:spacing w:val="-7"/>
        </w:rPr>
        <w:t xml:space="preserve"> </w:t>
      </w:r>
      <w:r>
        <w:t>Justice</w:t>
      </w:r>
      <w:r>
        <w:rPr>
          <w:spacing w:val="-8"/>
        </w:rPr>
        <w:t xml:space="preserve"> </w:t>
      </w:r>
      <w:r>
        <w:t>Sector</w:t>
      </w:r>
      <w:r>
        <w:rPr>
          <w:spacing w:val="-8"/>
        </w:rPr>
        <w:t xml:space="preserve"> </w:t>
      </w:r>
      <w:r>
        <w:t>Programme</w:t>
      </w:r>
      <w:r>
        <w:rPr>
          <w:spacing w:val="-6"/>
        </w:rPr>
        <w:t xml:space="preserve"> </w:t>
      </w:r>
      <w:r>
        <w:t>Access</w:t>
      </w:r>
      <w:r>
        <w:rPr>
          <w:spacing w:val="-7"/>
        </w:rPr>
        <w:t xml:space="preserve"> </w:t>
      </w:r>
      <w:r>
        <w:t>to</w:t>
      </w:r>
      <w:r>
        <w:rPr>
          <w:spacing w:val="-9"/>
        </w:rPr>
        <w:t xml:space="preserve"> </w:t>
      </w:r>
      <w:r>
        <w:t>Justice</w:t>
      </w:r>
      <w:r>
        <w:rPr>
          <w:spacing w:val="-6"/>
        </w:rPr>
        <w:t xml:space="preserve"> </w:t>
      </w:r>
      <w:r>
        <w:rPr>
          <w:spacing w:val="-2"/>
        </w:rPr>
        <w:t>Strategy</w:t>
      </w:r>
    </w:p>
    <w:p w14:paraId="389494F7" w14:textId="77777777" w:rsidR="009C36E3" w:rsidRDefault="000E7207">
      <w:pPr>
        <w:pStyle w:val="BodyText"/>
        <w:spacing w:before="120"/>
        <w:ind w:right="120"/>
      </w:pPr>
      <w:r>
        <w:t>Putt,</w:t>
      </w:r>
      <w:r>
        <w:rPr>
          <w:spacing w:val="-2"/>
        </w:rPr>
        <w:t xml:space="preserve"> </w:t>
      </w:r>
      <w:r>
        <w:t>J.</w:t>
      </w:r>
      <w:r>
        <w:rPr>
          <w:spacing w:val="-4"/>
        </w:rPr>
        <w:t xml:space="preserve"> </w:t>
      </w:r>
      <w:r>
        <w:t>and</w:t>
      </w:r>
      <w:r>
        <w:rPr>
          <w:spacing w:val="-4"/>
        </w:rPr>
        <w:t xml:space="preserve"> </w:t>
      </w:r>
      <w:r>
        <w:t>Dinnen,</w:t>
      </w:r>
      <w:r>
        <w:rPr>
          <w:spacing w:val="-2"/>
        </w:rPr>
        <w:t xml:space="preserve"> </w:t>
      </w:r>
      <w:r>
        <w:t>S.,</w:t>
      </w:r>
      <w:r>
        <w:rPr>
          <w:spacing w:val="-2"/>
        </w:rPr>
        <w:t xml:space="preserve"> </w:t>
      </w:r>
      <w:r>
        <w:t>2023.</w:t>
      </w:r>
      <w:r>
        <w:rPr>
          <w:spacing w:val="-4"/>
        </w:rPr>
        <w:t xml:space="preserve"> </w:t>
      </w:r>
      <w:r>
        <w:t>The</w:t>
      </w:r>
      <w:r>
        <w:rPr>
          <w:spacing w:val="-2"/>
        </w:rPr>
        <w:t xml:space="preserve"> </w:t>
      </w:r>
      <w:r>
        <w:t>Vanuatu-Australia</w:t>
      </w:r>
      <w:r>
        <w:rPr>
          <w:spacing w:val="-2"/>
        </w:rPr>
        <w:t xml:space="preserve"> </w:t>
      </w:r>
      <w:r>
        <w:t>Policing</w:t>
      </w:r>
      <w:r>
        <w:rPr>
          <w:spacing w:val="-2"/>
        </w:rPr>
        <w:t xml:space="preserve"> </w:t>
      </w:r>
      <w:r>
        <w:t>and</w:t>
      </w:r>
      <w:r>
        <w:rPr>
          <w:spacing w:val="-2"/>
        </w:rPr>
        <w:t xml:space="preserve"> </w:t>
      </w:r>
      <w:r>
        <w:t>Justice</w:t>
      </w:r>
      <w:r>
        <w:rPr>
          <w:spacing w:val="-2"/>
        </w:rPr>
        <w:t xml:space="preserve"> </w:t>
      </w:r>
      <w:r>
        <w:t>Services</w:t>
      </w:r>
      <w:r>
        <w:rPr>
          <w:spacing w:val="-3"/>
        </w:rPr>
        <w:t xml:space="preserve"> </w:t>
      </w:r>
      <w:r>
        <w:t>Study,</w:t>
      </w:r>
      <w:r>
        <w:rPr>
          <w:spacing w:val="-2"/>
        </w:rPr>
        <w:t xml:space="preserve"> </w:t>
      </w:r>
      <w:r>
        <w:t>ANU</w:t>
      </w:r>
      <w:r>
        <w:rPr>
          <w:spacing w:val="-2"/>
        </w:rPr>
        <w:t xml:space="preserve"> </w:t>
      </w:r>
      <w:r>
        <w:t>Department</w:t>
      </w:r>
      <w:r>
        <w:rPr>
          <w:spacing w:val="-2"/>
        </w:rPr>
        <w:t xml:space="preserve"> </w:t>
      </w:r>
      <w:r>
        <w:t>of Pacific Affairs</w:t>
      </w:r>
    </w:p>
    <w:p w14:paraId="37239A61" w14:textId="77777777" w:rsidR="009C36E3" w:rsidRDefault="009C36E3">
      <w:pPr>
        <w:sectPr w:rsidR="009C36E3">
          <w:pgSz w:w="11910" w:h="16850"/>
          <w:pgMar w:top="1040" w:right="740" w:bottom="740" w:left="80" w:header="552" w:footer="559" w:gutter="0"/>
          <w:cols w:space="720"/>
        </w:sectPr>
      </w:pPr>
    </w:p>
    <w:p w14:paraId="6BE63C20" w14:textId="77777777" w:rsidR="009C36E3" w:rsidRDefault="000E7207">
      <w:pPr>
        <w:pStyle w:val="BodyText"/>
        <w:spacing w:before="91"/>
        <w:ind w:left="772"/>
      </w:pPr>
      <w:r>
        <w:t>The</w:t>
      </w:r>
      <w:r>
        <w:rPr>
          <w:spacing w:val="-4"/>
        </w:rPr>
        <w:t xml:space="preserve"> </w:t>
      </w:r>
      <w:r>
        <w:t>Regional</w:t>
      </w:r>
      <w:r>
        <w:rPr>
          <w:spacing w:val="-5"/>
        </w:rPr>
        <w:t xml:space="preserve"> </w:t>
      </w:r>
      <w:r>
        <w:t>Pacific</w:t>
      </w:r>
      <w:r>
        <w:rPr>
          <w:spacing w:val="-3"/>
        </w:rPr>
        <w:t xml:space="preserve"> </w:t>
      </w:r>
      <w:r>
        <w:t>Women’s</w:t>
      </w:r>
      <w:r>
        <w:rPr>
          <w:spacing w:val="-3"/>
        </w:rPr>
        <w:t xml:space="preserve"> </w:t>
      </w:r>
      <w:r>
        <w:t>Network</w:t>
      </w:r>
      <w:r>
        <w:rPr>
          <w:spacing w:val="-3"/>
        </w:rPr>
        <w:t xml:space="preserve"> </w:t>
      </w:r>
      <w:r>
        <w:t>Against</w:t>
      </w:r>
      <w:r>
        <w:rPr>
          <w:spacing w:val="-2"/>
        </w:rPr>
        <w:t xml:space="preserve"> </w:t>
      </w:r>
      <w:r>
        <w:t>Violence</w:t>
      </w:r>
      <w:r>
        <w:rPr>
          <w:spacing w:val="-4"/>
        </w:rPr>
        <w:t xml:space="preserve"> </w:t>
      </w:r>
      <w:r>
        <w:t>Against</w:t>
      </w:r>
      <w:r>
        <w:rPr>
          <w:spacing w:val="-4"/>
        </w:rPr>
        <w:t xml:space="preserve"> </w:t>
      </w:r>
      <w:r>
        <w:t>Women</w:t>
      </w:r>
      <w:r>
        <w:rPr>
          <w:spacing w:val="-4"/>
        </w:rPr>
        <w:t xml:space="preserve"> </w:t>
      </w:r>
      <w:r>
        <w:t>and</w:t>
      </w:r>
      <w:r>
        <w:rPr>
          <w:spacing w:val="-4"/>
        </w:rPr>
        <w:t xml:space="preserve"> </w:t>
      </w:r>
      <w:r>
        <w:t>UN</w:t>
      </w:r>
      <w:r>
        <w:rPr>
          <w:spacing w:val="-4"/>
        </w:rPr>
        <w:t xml:space="preserve"> </w:t>
      </w:r>
      <w:r>
        <w:t>Women,</w:t>
      </w:r>
      <w:r>
        <w:rPr>
          <w:spacing w:val="-4"/>
        </w:rPr>
        <w:t xml:space="preserve"> </w:t>
      </w:r>
      <w:r>
        <w:t>2020.</w:t>
      </w:r>
      <w:r>
        <w:rPr>
          <w:spacing w:val="-4"/>
        </w:rPr>
        <w:t xml:space="preserve"> </w:t>
      </w:r>
      <w:r>
        <w:t>The</w:t>
      </w:r>
      <w:r>
        <w:rPr>
          <w:spacing w:val="-2"/>
        </w:rPr>
        <w:t xml:space="preserve"> </w:t>
      </w:r>
      <w:r>
        <w:t>Warwick Principles: Best Practices for Engaging Men and Boys in Preventing Violence Against Women and Girls in the Pacific, Navigating the Pacific Region towards Respectful and Equal Societies</w:t>
      </w:r>
    </w:p>
    <w:p w14:paraId="7A9D7D00" w14:textId="77777777" w:rsidR="009C36E3" w:rsidRDefault="000E7207">
      <w:pPr>
        <w:pStyle w:val="BodyText"/>
        <w:spacing w:before="121"/>
        <w:ind w:left="772"/>
      </w:pPr>
      <w:r>
        <w:t>UNWOMEN,</w:t>
      </w:r>
      <w:r>
        <w:rPr>
          <w:spacing w:val="-5"/>
        </w:rPr>
        <w:t xml:space="preserve"> </w:t>
      </w:r>
      <w:r>
        <w:t>2016.</w:t>
      </w:r>
      <w:r>
        <w:rPr>
          <w:spacing w:val="-5"/>
        </w:rPr>
        <w:t xml:space="preserve"> </w:t>
      </w:r>
      <w:r>
        <w:t>Women</w:t>
      </w:r>
      <w:r>
        <w:rPr>
          <w:spacing w:val="-5"/>
        </w:rPr>
        <w:t xml:space="preserve"> </w:t>
      </w:r>
      <w:r>
        <w:t>and</w:t>
      </w:r>
      <w:r>
        <w:rPr>
          <w:spacing w:val="-5"/>
        </w:rPr>
        <w:t xml:space="preserve"> </w:t>
      </w:r>
      <w:r>
        <w:t>Children’s</w:t>
      </w:r>
      <w:r>
        <w:rPr>
          <w:spacing w:val="-3"/>
        </w:rPr>
        <w:t xml:space="preserve"> </w:t>
      </w:r>
      <w:r>
        <w:t>Access</w:t>
      </w:r>
      <w:r>
        <w:rPr>
          <w:spacing w:val="-6"/>
        </w:rPr>
        <w:t xml:space="preserve"> </w:t>
      </w:r>
      <w:r>
        <w:t>to</w:t>
      </w:r>
      <w:r>
        <w:rPr>
          <w:spacing w:val="-7"/>
        </w:rPr>
        <w:t xml:space="preserve"> </w:t>
      </w:r>
      <w:r>
        <w:t>the</w:t>
      </w:r>
      <w:r>
        <w:rPr>
          <w:spacing w:val="-7"/>
        </w:rPr>
        <w:t xml:space="preserve"> </w:t>
      </w:r>
      <w:r>
        <w:t>Formal</w:t>
      </w:r>
      <w:r>
        <w:rPr>
          <w:spacing w:val="-7"/>
        </w:rPr>
        <w:t xml:space="preserve"> </w:t>
      </w:r>
      <w:r>
        <w:t>Justice</w:t>
      </w:r>
      <w:r>
        <w:rPr>
          <w:spacing w:val="-7"/>
        </w:rPr>
        <w:t xml:space="preserve"> </w:t>
      </w:r>
      <w:r>
        <w:t>System</w:t>
      </w:r>
      <w:r>
        <w:rPr>
          <w:spacing w:val="-7"/>
        </w:rPr>
        <w:t xml:space="preserve"> </w:t>
      </w:r>
      <w:r>
        <w:t>In</w:t>
      </w:r>
      <w:r>
        <w:rPr>
          <w:spacing w:val="-7"/>
        </w:rPr>
        <w:t xml:space="preserve"> </w:t>
      </w:r>
      <w:r>
        <w:t>Vanuatu,</w:t>
      </w:r>
      <w:r>
        <w:rPr>
          <w:spacing w:val="-5"/>
        </w:rPr>
        <w:t xml:space="preserve"> </w:t>
      </w:r>
      <w:r>
        <w:t>May</w:t>
      </w:r>
      <w:r>
        <w:rPr>
          <w:spacing w:val="-5"/>
        </w:rPr>
        <w:t xml:space="preserve"> </w:t>
      </w:r>
      <w:r>
        <w:rPr>
          <w:spacing w:val="-4"/>
        </w:rPr>
        <w:t>2016</w:t>
      </w:r>
    </w:p>
    <w:p w14:paraId="06D16011" w14:textId="77777777" w:rsidR="009C36E3" w:rsidRDefault="000E7207">
      <w:pPr>
        <w:pStyle w:val="BodyText"/>
        <w:spacing w:before="120"/>
        <w:ind w:left="772" w:right="167"/>
      </w:pPr>
      <w:r>
        <w:t>Vaartjes,</w:t>
      </w:r>
      <w:r>
        <w:rPr>
          <w:spacing w:val="-3"/>
        </w:rPr>
        <w:t xml:space="preserve"> </w:t>
      </w:r>
      <w:r>
        <w:t>V.</w:t>
      </w:r>
      <w:r>
        <w:rPr>
          <w:spacing w:val="-5"/>
        </w:rPr>
        <w:t xml:space="preserve"> </w:t>
      </w:r>
      <w:r>
        <w:t>2017.</w:t>
      </w:r>
      <w:r>
        <w:rPr>
          <w:spacing w:val="-3"/>
        </w:rPr>
        <w:t xml:space="preserve"> </w:t>
      </w:r>
      <w:r>
        <w:t>Justice</w:t>
      </w:r>
      <w:r>
        <w:rPr>
          <w:spacing w:val="-3"/>
        </w:rPr>
        <w:t xml:space="preserve"> </w:t>
      </w:r>
      <w:r>
        <w:t>&amp;</w:t>
      </w:r>
      <w:r>
        <w:rPr>
          <w:spacing w:val="-5"/>
        </w:rPr>
        <w:t xml:space="preserve"> </w:t>
      </w:r>
      <w:r>
        <w:t>Community</w:t>
      </w:r>
      <w:r>
        <w:rPr>
          <w:spacing w:val="-1"/>
        </w:rPr>
        <w:t xml:space="preserve"> </w:t>
      </w:r>
      <w:r>
        <w:t>Services</w:t>
      </w:r>
      <w:r>
        <w:rPr>
          <w:spacing w:val="-1"/>
        </w:rPr>
        <w:t xml:space="preserve"> </w:t>
      </w:r>
      <w:r>
        <w:t>Sector</w:t>
      </w:r>
      <w:r>
        <w:rPr>
          <w:spacing w:val="-4"/>
        </w:rPr>
        <w:t xml:space="preserve"> </w:t>
      </w:r>
      <w:r>
        <w:t>Capacity</w:t>
      </w:r>
      <w:r>
        <w:rPr>
          <w:spacing w:val="-4"/>
        </w:rPr>
        <w:t xml:space="preserve"> </w:t>
      </w:r>
      <w:r>
        <w:t>Development</w:t>
      </w:r>
      <w:r>
        <w:rPr>
          <w:spacing w:val="-3"/>
        </w:rPr>
        <w:t xml:space="preserve"> </w:t>
      </w:r>
      <w:r>
        <w:t>Strategy</w:t>
      </w:r>
      <w:r>
        <w:rPr>
          <w:spacing w:val="-4"/>
        </w:rPr>
        <w:t xml:space="preserve"> </w:t>
      </w:r>
      <w:r>
        <w:t>2017</w:t>
      </w:r>
      <w:r>
        <w:rPr>
          <w:spacing w:val="-5"/>
        </w:rPr>
        <w:t xml:space="preserve"> </w:t>
      </w:r>
      <w:r>
        <w:t>–</w:t>
      </w:r>
      <w:r>
        <w:rPr>
          <w:spacing w:val="-2"/>
        </w:rPr>
        <w:t xml:space="preserve"> </w:t>
      </w:r>
      <w:r>
        <w:t>2020</w:t>
      </w:r>
      <w:r>
        <w:rPr>
          <w:spacing w:val="-5"/>
        </w:rPr>
        <w:t xml:space="preserve"> </w:t>
      </w:r>
      <w:r>
        <w:t xml:space="preserve">[and </w:t>
      </w:r>
      <w:r>
        <w:rPr>
          <w:spacing w:val="-2"/>
        </w:rPr>
        <w:t>annexes]</w:t>
      </w:r>
    </w:p>
    <w:p w14:paraId="295F116B" w14:textId="77777777" w:rsidR="009C36E3" w:rsidRDefault="000E7207">
      <w:pPr>
        <w:pStyle w:val="BodyText"/>
        <w:spacing w:before="119"/>
        <w:ind w:left="772" w:right="167"/>
      </w:pPr>
      <w:r>
        <w:t>Vaartjes,</w:t>
      </w:r>
      <w:r>
        <w:rPr>
          <w:spacing w:val="-3"/>
        </w:rPr>
        <w:t xml:space="preserve"> </w:t>
      </w:r>
      <w:r>
        <w:t>V.</w:t>
      </w:r>
      <w:r>
        <w:rPr>
          <w:spacing w:val="-5"/>
        </w:rPr>
        <w:t xml:space="preserve"> </w:t>
      </w:r>
      <w:r>
        <w:t>2016.</w:t>
      </w:r>
      <w:r>
        <w:rPr>
          <w:spacing w:val="-3"/>
        </w:rPr>
        <w:t xml:space="preserve"> </w:t>
      </w:r>
      <w:r>
        <w:t>Evaluation</w:t>
      </w:r>
      <w:r>
        <w:rPr>
          <w:spacing w:val="-5"/>
        </w:rPr>
        <w:t xml:space="preserve"> </w:t>
      </w:r>
      <w:r>
        <w:t>Report:</w:t>
      </w:r>
      <w:r>
        <w:rPr>
          <w:spacing w:val="-3"/>
        </w:rPr>
        <w:t xml:space="preserve"> </w:t>
      </w:r>
      <w:r>
        <w:t>Legal</w:t>
      </w:r>
      <w:r>
        <w:rPr>
          <w:spacing w:val="-4"/>
        </w:rPr>
        <w:t xml:space="preserve"> </w:t>
      </w:r>
      <w:r>
        <w:t>Advocacy</w:t>
      </w:r>
      <w:r>
        <w:rPr>
          <w:spacing w:val="-1"/>
        </w:rPr>
        <w:t xml:space="preserve"> </w:t>
      </w:r>
      <w:r>
        <w:t>Skills</w:t>
      </w:r>
      <w:r>
        <w:rPr>
          <w:spacing w:val="-4"/>
        </w:rPr>
        <w:t xml:space="preserve"> </w:t>
      </w:r>
      <w:r>
        <w:t>development</w:t>
      </w:r>
      <w:r>
        <w:rPr>
          <w:spacing w:val="-3"/>
        </w:rPr>
        <w:t xml:space="preserve"> </w:t>
      </w:r>
      <w:r>
        <w:t>in</w:t>
      </w:r>
      <w:r>
        <w:rPr>
          <w:spacing w:val="-5"/>
        </w:rPr>
        <w:t xml:space="preserve"> </w:t>
      </w:r>
      <w:r>
        <w:t>the</w:t>
      </w:r>
      <w:r>
        <w:rPr>
          <w:spacing w:val="-3"/>
        </w:rPr>
        <w:t xml:space="preserve"> </w:t>
      </w:r>
      <w:r>
        <w:t>Public</w:t>
      </w:r>
      <w:r>
        <w:rPr>
          <w:spacing w:val="-1"/>
        </w:rPr>
        <w:t xml:space="preserve"> </w:t>
      </w:r>
      <w:r>
        <w:t>Sector,</w:t>
      </w:r>
      <w:r>
        <w:rPr>
          <w:spacing w:val="-3"/>
        </w:rPr>
        <w:t xml:space="preserve"> </w:t>
      </w:r>
      <w:r>
        <w:t>Vanuatu.</w:t>
      </w:r>
      <w:r>
        <w:rPr>
          <w:spacing w:val="-3"/>
        </w:rPr>
        <w:t xml:space="preserve"> </w:t>
      </w:r>
      <w:r>
        <w:t>Policing and Justice Support Program Vanuatu.</w:t>
      </w:r>
    </w:p>
    <w:p w14:paraId="3F2BF3E9" w14:textId="77777777" w:rsidR="009C36E3" w:rsidRDefault="000E7207">
      <w:pPr>
        <w:pStyle w:val="BodyText"/>
        <w:spacing w:before="121"/>
        <w:ind w:left="772"/>
      </w:pPr>
      <w:r>
        <w:t>Vaartjes,</w:t>
      </w:r>
      <w:r>
        <w:rPr>
          <w:spacing w:val="-2"/>
        </w:rPr>
        <w:t xml:space="preserve"> </w:t>
      </w:r>
      <w:r>
        <w:t>V.</w:t>
      </w:r>
      <w:r>
        <w:rPr>
          <w:spacing w:val="-4"/>
        </w:rPr>
        <w:t xml:space="preserve"> </w:t>
      </w:r>
      <w:r>
        <w:t>(nd)</w:t>
      </w:r>
      <w:r>
        <w:rPr>
          <w:spacing w:val="-1"/>
        </w:rPr>
        <w:t xml:space="preserve"> </w:t>
      </w:r>
      <w:r>
        <w:t>Stretem</w:t>
      </w:r>
      <w:r>
        <w:rPr>
          <w:spacing w:val="-4"/>
        </w:rPr>
        <w:t xml:space="preserve"> </w:t>
      </w:r>
      <w:r>
        <w:t>rod</w:t>
      </w:r>
      <w:r>
        <w:rPr>
          <w:spacing w:val="-4"/>
        </w:rPr>
        <w:t xml:space="preserve"> </w:t>
      </w:r>
      <w:r>
        <w:t>blong</w:t>
      </w:r>
      <w:r>
        <w:rPr>
          <w:spacing w:val="-2"/>
        </w:rPr>
        <w:t xml:space="preserve"> </w:t>
      </w:r>
      <w:r>
        <w:t>jastis:</w:t>
      </w:r>
      <w:r>
        <w:rPr>
          <w:spacing w:val="-4"/>
        </w:rPr>
        <w:t xml:space="preserve"> </w:t>
      </w:r>
      <w:r>
        <w:t>Vanuatu</w:t>
      </w:r>
      <w:r>
        <w:rPr>
          <w:spacing w:val="-2"/>
        </w:rPr>
        <w:t xml:space="preserve"> </w:t>
      </w:r>
      <w:r>
        <w:t>Law</w:t>
      </w:r>
      <w:r>
        <w:rPr>
          <w:spacing w:val="-1"/>
        </w:rPr>
        <w:t xml:space="preserve"> </w:t>
      </w:r>
      <w:r>
        <w:t>and</w:t>
      </w:r>
      <w:r>
        <w:rPr>
          <w:spacing w:val="-4"/>
        </w:rPr>
        <w:t xml:space="preserve"> </w:t>
      </w:r>
      <w:r>
        <w:t>Justice</w:t>
      </w:r>
      <w:r>
        <w:rPr>
          <w:spacing w:val="-4"/>
        </w:rPr>
        <w:t xml:space="preserve"> </w:t>
      </w:r>
      <w:r>
        <w:t>Partnership</w:t>
      </w:r>
      <w:r>
        <w:rPr>
          <w:spacing w:val="-4"/>
        </w:rPr>
        <w:t xml:space="preserve"> </w:t>
      </w:r>
      <w:r>
        <w:t>Institutional</w:t>
      </w:r>
      <w:r>
        <w:rPr>
          <w:spacing w:val="-5"/>
        </w:rPr>
        <w:t xml:space="preserve"> </w:t>
      </w:r>
      <w:r>
        <w:t>Capacity</w:t>
      </w:r>
      <w:r>
        <w:rPr>
          <w:spacing w:val="-3"/>
        </w:rPr>
        <w:t xml:space="preserve"> </w:t>
      </w:r>
      <w:r>
        <w:t xml:space="preserve">Assessment </w:t>
      </w:r>
      <w:r>
        <w:rPr>
          <w:spacing w:val="-2"/>
        </w:rPr>
        <w:t>Grid.</w:t>
      </w:r>
    </w:p>
    <w:p w14:paraId="14391AC6" w14:textId="77777777" w:rsidR="009C36E3" w:rsidRDefault="000E7207">
      <w:pPr>
        <w:pStyle w:val="BodyText"/>
        <w:spacing w:before="121"/>
        <w:ind w:left="772"/>
      </w:pPr>
      <w:r>
        <w:t>Vanuatu</w:t>
      </w:r>
      <w:r>
        <w:rPr>
          <w:spacing w:val="-2"/>
        </w:rPr>
        <w:t xml:space="preserve"> </w:t>
      </w:r>
      <w:r>
        <w:t>Bureau</w:t>
      </w:r>
      <w:r>
        <w:rPr>
          <w:spacing w:val="-2"/>
        </w:rPr>
        <w:t xml:space="preserve"> </w:t>
      </w:r>
      <w:r>
        <w:t>of</w:t>
      </w:r>
      <w:r>
        <w:rPr>
          <w:spacing w:val="-2"/>
        </w:rPr>
        <w:t xml:space="preserve"> </w:t>
      </w:r>
      <w:r>
        <w:t>Statistics</w:t>
      </w:r>
      <w:r>
        <w:rPr>
          <w:spacing w:val="-3"/>
        </w:rPr>
        <w:t xml:space="preserve"> </w:t>
      </w:r>
      <w:r>
        <w:t>and</w:t>
      </w:r>
      <w:r>
        <w:rPr>
          <w:spacing w:val="-4"/>
        </w:rPr>
        <w:t xml:space="preserve"> </w:t>
      </w:r>
      <w:r>
        <w:t>the</w:t>
      </w:r>
      <w:r>
        <w:rPr>
          <w:spacing w:val="-2"/>
        </w:rPr>
        <w:t xml:space="preserve"> </w:t>
      </w:r>
      <w:r>
        <w:t>Pacific</w:t>
      </w:r>
      <w:r>
        <w:rPr>
          <w:spacing w:val="-3"/>
        </w:rPr>
        <w:t xml:space="preserve"> </w:t>
      </w:r>
      <w:r>
        <w:t>Community,</w:t>
      </w:r>
      <w:r>
        <w:rPr>
          <w:spacing w:val="-4"/>
        </w:rPr>
        <w:t xml:space="preserve"> </w:t>
      </w:r>
      <w:r>
        <w:t>2020.</w:t>
      </w:r>
      <w:r>
        <w:rPr>
          <w:spacing w:val="-4"/>
        </w:rPr>
        <w:t xml:space="preserve"> </w:t>
      </w:r>
      <w:r>
        <w:t>Vanuatu</w:t>
      </w:r>
      <w:r>
        <w:rPr>
          <w:spacing w:val="-2"/>
        </w:rPr>
        <w:t xml:space="preserve"> </w:t>
      </w:r>
      <w:r>
        <w:t>2020</w:t>
      </w:r>
      <w:r>
        <w:rPr>
          <w:spacing w:val="-4"/>
        </w:rPr>
        <w:t xml:space="preserve"> </w:t>
      </w:r>
      <w:r>
        <w:t>National</w:t>
      </w:r>
      <w:r>
        <w:rPr>
          <w:spacing w:val="-5"/>
        </w:rPr>
        <w:t xml:space="preserve"> </w:t>
      </w:r>
      <w:r>
        <w:t>Population</w:t>
      </w:r>
      <w:r>
        <w:rPr>
          <w:spacing w:val="-4"/>
        </w:rPr>
        <w:t xml:space="preserve"> </w:t>
      </w:r>
      <w:r>
        <w:t>and</w:t>
      </w:r>
      <w:r>
        <w:rPr>
          <w:spacing w:val="-4"/>
        </w:rPr>
        <w:t xml:space="preserve"> </w:t>
      </w:r>
      <w:r>
        <w:t>Housing Census Analytical Report Volume 2</w:t>
      </w:r>
    </w:p>
    <w:p w14:paraId="6DC4CB55" w14:textId="77777777" w:rsidR="009C36E3" w:rsidRDefault="000E7207">
      <w:pPr>
        <w:pStyle w:val="BodyText"/>
        <w:spacing w:before="118"/>
        <w:ind w:left="772"/>
      </w:pPr>
      <w:r>
        <w:t>VAPJP,</w:t>
      </w:r>
      <w:r>
        <w:rPr>
          <w:spacing w:val="-6"/>
        </w:rPr>
        <w:t xml:space="preserve"> </w:t>
      </w:r>
      <w:r>
        <w:t>2023a.</w:t>
      </w:r>
      <w:r>
        <w:rPr>
          <w:spacing w:val="-6"/>
        </w:rPr>
        <w:t xml:space="preserve"> </w:t>
      </w:r>
      <w:r>
        <w:t>VAPJP</w:t>
      </w:r>
      <w:r>
        <w:rPr>
          <w:spacing w:val="-6"/>
        </w:rPr>
        <w:t xml:space="preserve"> </w:t>
      </w:r>
      <w:r>
        <w:t>Annual</w:t>
      </w:r>
      <w:r>
        <w:rPr>
          <w:spacing w:val="-8"/>
        </w:rPr>
        <w:t xml:space="preserve"> </w:t>
      </w:r>
      <w:r>
        <w:t>Report</w:t>
      </w:r>
      <w:r>
        <w:rPr>
          <w:spacing w:val="-8"/>
        </w:rPr>
        <w:t xml:space="preserve"> </w:t>
      </w:r>
      <w:r>
        <w:rPr>
          <w:spacing w:val="-4"/>
        </w:rPr>
        <w:t>2022</w:t>
      </w:r>
    </w:p>
    <w:p w14:paraId="31B97EEE" w14:textId="77777777" w:rsidR="009C36E3" w:rsidRDefault="000E7207">
      <w:pPr>
        <w:pStyle w:val="BodyText"/>
        <w:spacing w:before="121" w:line="364" w:lineRule="auto"/>
        <w:ind w:left="772" w:right="2159"/>
      </w:pPr>
      <w:r>
        <w:t>VAPJP,</w:t>
      </w:r>
      <w:r>
        <w:rPr>
          <w:spacing w:val="-3"/>
        </w:rPr>
        <w:t xml:space="preserve"> </w:t>
      </w:r>
      <w:r>
        <w:t>2023b.</w:t>
      </w:r>
      <w:r>
        <w:rPr>
          <w:spacing w:val="-3"/>
        </w:rPr>
        <w:t xml:space="preserve"> </w:t>
      </w:r>
      <w:r>
        <w:t>VAPJP</w:t>
      </w:r>
      <w:r>
        <w:rPr>
          <w:spacing w:val="-3"/>
        </w:rPr>
        <w:t xml:space="preserve"> </w:t>
      </w:r>
      <w:r>
        <w:t>Monitoring,</w:t>
      </w:r>
      <w:r>
        <w:rPr>
          <w:spacing w:val="-3"/>
        </w:rPr>
        <w:t xml:space="preserve"> </w:t>
      </w:r>
      <w:r>
        <w:t>Evaluation</w:t>
      </w:r>
      <w:r>
        <w:rPr>
          <w:spacing w:val="-5"/>
        </w:rPr>
        <w:t xml:space="preserve"> </w:t>
      </w:r>
      <w:r>
        <w:t>and</w:t>
      </w:r>
      <w:r>
        <w:rPr>
          <w:spacing w:val="-3"/>
        </w:rPr>
        <w:t xml:space="preserve"> </w:t>
      </w:r>
      <w:r>
        <w:t>Learning</w:t>
      </w:r>
      <w:r>
        <w:rPr>
          <w:spacing w:val="-5"/>
        </w:rPr>
        <w:t xml:space="preserve"> </w:t>
      </w:r>
      <w:r>
        <w:t>Plan</w:t>
      </w:r>
      <w:r>
        <w:rPr>
          <w:spacing w:val="-5"/>
        </w:rPr>
        <w:t xml:space="preserve"> </w:t>
      </w:r>
      <w:r>
        <w:t>Update</w:t>
      </w:r>
      <w:r>
        <w:rPr>
          <w:spacing w:val="-5"/>
        </w:rPr>
        <w:t xml:space="preserve"> </w:t>
      </w:r>
      <w:r>
        <w:t>2023-</w:t>
      </w:r>
      <w:r>
        <w:rPr>
          <w:spacing w:val="-3"/>
        </w:rPr>
        <w:t xml:space="preserve"> </w:t>
      </w:r>
      <w:r>
        <w:t>2024 VAPJP, 2023c. VAPJP Six Monthly Progress Report January – June 2023</w:t>
      </w:r>
    </w:p>
    <w:p w14:paraId="34473E76" w14:textId="77777777" w:rsidR="009C36E3" w:rsidRDefault="000E7207">
      <w:pPr>
        <w:pStyle w:val="BodyText"/>
        <w:spacing w:before="1"/>
        <w:ind w:left="772"/>
      </w:pPr>
      <w:r>
        <w:t>VAPJP,</w:t>
      </w:r>
      <w:r>
        <w:rPr>
          <w:spacing w:val="-6"/>
        </w:rPr>
        <w:t xml:space="preserve"> </w:t>
      </w:r>
      <w:r>
        <w:t>2022a</w:t>
      </w:r>
      <w:r>
        <w:rPr>
          <w:spacing w:val="-5"/>
        </w:rPr>
        <w:t xml:space="preserve"> </w:t>
      </w:r>
      <w:r>
        <w:t>VAPJP</w:t>
      </w:r>
      <w:r>
        <w:rPr>
          <w:spacing w:val="-6"/>
        </w:rPr>
        <w:t xml:space="preserve"> </w:t>
      </w:r>
      <w:r>
        <w:t>Annual</w:t>
      </w:r>
      <w:r>
        <w:rPr>
          <w:spacing w:val="-6"/>
        </w:rPr>
        <w:t xml:space="preserve"> </w:t>
      </w:r>
      <w:r>
        <w:t>Report</w:t>
      </w:r>
      <w:r>
        <w:rPr>
          <w:spacing w:val="-8"/>
        </w:rPr>
        <w:t xml:space="preserve"> </w:t>
      </w:r>
      <w:r>
        <w:rPr>
          <w:spacing w:val="-4"/>
        </w:rPr>
        <w:t>2021</w:t>
      </w:r>
    </w:p>
    <w:p w14:paraId="2C341214" w14:textId="77777777" w:rsidR="009C36E3" w:rsidRDefault="000E7207">
      <w:pPr>
        <w:pStyle w:val="BodyText"/>
        <w:spacing w:before="121" w:line="364" w:lineRule="auto"/>
        <w:ind w:left="772" w:right="3118"/>
      </w:pPr>
      <w:r>
        <w:t>VAPJP,</w:t>
      </w:r>
      <w:r>
        <w:rPr>
          <w:spacing w:val="-4"/>
        </w:rPr>
        <w:t xml:space="preserve"> </w:t>
      </w:r>
      <w:r>
        <w:t>2022b.</w:t>
      </w:r>
      <w:r>
        <w:rPr>
          <w:spacing w:val="-4"/>
        </w:rPr>
        <w:t xml:space="preserve"> </w:t>
      </w:r>
      <w:r>
        <w:t>VAPJP</w:t>
      </w:r>
      <w:r>
        <w:rPr>
          <w:spacing w:val="-4"/>
        </w:rPr>
        <w:t xml:space="preserve"> </w:t>
      </w:r>
      <w:r>
        <w:t>Six</w:t>
      </w:r>
      <w:r>
        <w:rPr>
          <w:spacing w:val="-4"/>
        </w:rPr>
        <w:t xml:space="preserve"> </w:t>
      </w:r>
      <w:r>
        <w:t>Monthly</w:t>
      </w:r>
      <w:r>
        <w:rPr>
          <w:spacing w:val="-2"/>
        </w:rPr>
        <w:t xml:space="preserve"> </w:t>
      </w:r>
      <w:r>
        <w:t>Progress</w:t>
      </w:r>
      <w:r>
        <w:rPr>
          <w:spacing w:val="-4"/>
        </w:rPr>
        <w:t xml:space="preserve"> </w:t>
      </w:r>
      <w:r>
        <w:t>Report</w:t>
      </w:r>
      <w:r>
        <w:rPr>
          <w:spacing w:val="-5"/>
        </w:rPr>
        <w:t xml:space="preserve"> </w:t>
      </w:r>
      <w:r>
        <w:t>January</w:t>
      </w:r>
      <w:r>
        <w:rPr>
          <w:spacing w:val="-4"/>
        </w:rPr>
        <w:t xml:space="preserve"> </w:t>
      </w:r>
      <w:r>
        <w:t>–</w:t>
      </w:r>
      <w:r>
        <w:rPr>
          <w:spacing w:val="-5"/>
        </w:rPr>
        <w:t xml:space="preserve"> </w:t>
      </w:r>
      <w:r>
        <w:t>June</w:t>
      </w:r>
      <w:r>
        <w:rPr>
          <w:spacing w:val="-4"/>
        </w:rPr>
        <w:t xml:space="preserve"> </w:t>
      </w:r>
      <w:r>
        <w:t>2022 VAPJP, 2022c. GEDSI Action Plan</w:t>
      </w:r>
    </w:p>
    <w:p w14:paraId="64A6619B" w14:textId="77777777" w:rsidR="009C36E3" w:rsidRDefault="000E7207">
      <w:pPr>
        <w:pStyle w:val="BodyText"/>
        <w:spacing w:line="364" w:lineRule="auto"/>
        <w:ind w:right="4061"/>
      </w:pPr>
      <w:r>
        <w:t>VAPJP,</w:t>
      </w:r>
      <w:r>
        <w:rPr>
          <w:spacing w:val="-4"/>
        </w:rPr>
        <w:t xml:space="preserve"> </w:t>
      </w:r>
      <w:r>
        <w:t>2021.</w:t>
      </w:r>
      <w:r>
        <w:rPr>
          <w:spacing w:val="-4"/>
        </w:rPr>
        <w:t xml:space="preserve"> </w:t>
      </w:r>
      <w:r>
        <w:t>VAPJP</w:t>
      </w:r>
      <w:r>
        <w:rPr>
          <w:spacing w:val="-4"/>
        </w:rPr>
        <w:t xml:space="preserve"> </w:t>
      </w:r>
      <w:r>
        <w:t>Monthly</w:t>
      </w:r>
      <w:r>
        <w:rPr>
          <w:spacing w:val="-5"/>
        </w:rPr>
        <w:t xml:space="preserve"> </w:t>
      </w:r>
      <w:r>
        <w:t>Progress</w:t>
      </w:r>
      <w:r>
        <w:rPr>
          <w:spacing w:val="-5"/>
        </w:rPr>
        <w:t xml:space="preserve"> </w:t>
      </w:r>
      <w:r>
        <w:t>Report</w:t>
      </w:r>
      <w:r>
        <w:rPr>
          <w:spacing w:val="-6"/>
        </w:rPr>
        <w:t xml:space="preserve"> </w:t>
      </w:r>
      <w:r>
        <w:t>January</w:t>
      </w:r>
      <w:r>
        <w:rPr>
          <w:spacing w:val="-5"/>
        </w:rPr>
        <w:t xml:space="preserve"> </w:t>
      </w:r>
      <w:r>
        <w:t>–</w:t>
      </w:r>
      <w:r>
        <w:rPr>
          <w:spacing w:val="-6"/>
        </w:rPr>
        <w:t xml:space="preserve"> </w:t>
      </w:r>
      <w:r>
        <w:t>June</w:t>
      </w:r>
      <w:r>
        <w:rPr>
          <w:spacing w:val="-4"/>
        </w:rPr>
        <w:t xml:space="preserve"> </w:t>
      </w:r>
      <w:r>
        <w:t>2021 VAPJP, 2020.</w:t>
      </w:r>
      <w:r>
        <w:rPr>
          <w:spacing w:val="40"/>
        </w:rPr>
        <w:t xml:space="preserve"> </w:t>
      </w:r>
      <w:r>
        <w:t>Design Update 2021-2024, 13 December 2020</w:t>
      </w:r>
    </w:p>
    <w:p w14:paraId="5DFB5711" w14:textId="77777777" w:rsidR="009C36E3" w:rsidRDefault="000E7207">
      <w:pPr>
        <w:pStyle w:val="BodyText"/>
        <w:spacing w:before="1"/>
      </w:pPr>
      <w:r>
        <w:t>VPF,</w:t>
      </w:r>
      <w:r>
        <w:rPr>
          <w:spacing w:val="-6"/>
        </w:rPr>
        <w:t xml:space="preserve"> </w:t>
      </w:r>
      <w:r>
        <w:t>2022.</w:t>
      </w:r>
      <w:r>
        <w:rPr>
          <w:spacing w:val="-5"/>
        </w:rPr>
        <w:t xml:space="preserve"> </w:t>
      </w:r>
      <w:r>
        <w:t>Vanuatu</w:t>
      </w:r>
      <w:r>
        <w:rPr>
          <w:spacing w:val="-6"/>
        </w:rPr>
        <w:t xml:space="preserve"> </w:t>
      </w:r>
      <w:r>
        <w:t>Police</w:t>
      </w:r>
      <w:r>
        <w:rPr>
          <w:spacing w:val="-5"/>
        </w:rPr>
        <w:t xml:space="preserve"> </w:t>
      </w:r>
      <w:r>
        <w:t>Force:</w:t>
      </w:r>
      <w:r>
        <w:rPr>
          <w:spacing w:val="-7"/>
        </w:rPr>
        <w:t xml:space="preserve"> </w:t>
      </w:r>
      <w:r>
        <w:t>Strategic</w:t>
      </w:r>
      <w:r>
        <w:rPr>
          <w:spacing w:val="-6"/>
        </w:rPr>
        <w:t xml:space="preserve"> </w:t>
      </w:r>
      <w:r>
        <w:t>Plan</w:t>
      </w:r>
      <w:r>
        <w:rPr>
          <w:spacing w:val="-5"/>
        </w:rPr>
        <w:t xml:space="preserve"> </w:t>
      </w:r>
      <w:r>
        <w:t>2022</w:t>
      </w:r>
      <w:r>
        <w:rPr>
          <w:spacing w:val="-5"/>
        </w:rPr>
        <w:t xml:space="preserve"> </w:t>
      </w:r>
      <w:r>
        <w:t>–</w:t>
      </w:r>
      <w:r>
        <w:rPr>
          <w:spacing w:val="-7"/>
        </w:rPr>
        <w:t xml:space="preserve"> </w:t>
      </w:r>
      <w:r>
        <w:rPr>
          <w:spacing w:val="-4"/>
        </w:rPr>
        <w:t>2027</w:t>
      </w:r>
    </w:p>
    <w:p w14:paraId="0E480643" w14:textId="77777777" w:rsidR="009C36E3" w:rsidRDefault="000E7207">
      <w:pPr>
        <w:pStyle w:val="BodyText"/>
        <w:spacing w:before="120"/>
        <w:ind w:right="120"/>
      </w:pPr>
      <w:r>
        <w:t>Working</w:t>
      </w:r>
      <w:r>
        <w:rPr>
          <w:spacing w:val="-3"/>
        </w:rPr>
        <w:t xml:space="preserve"> </w:t>
      </w:r>
      <w:r>
        <w:t>Group</w:t>
      </w:r>
      <w:r>
        <w:rPr>
          <w:spacing w:val="-1"/>
        </w:rPr>
        <w:t xml:space="preserve"> </w:t>
      </w:r>
      <w:r>
        <w:t>on</w:t>
      </w:r>
      <w:r>
        <w:rPr>
          <w:spacing w:val="-1"/>
        </w:rPr>
        <w:t xml:space="preserve"> </w:t>
      </w:r>
      <w:r>
        <w:t>Customary</w:t>
      </w:r>
      <w:r>
        <w:rPr>
          <w:spacing w:val="-2"/>
        </w:rPr>
        <w:t xml:space="preserve"> </w:t>
      </w:r>
      <w:r>
        <w:t>and</w:t>
      </w:r>
      <w:r>
        <w:rPr>
          <w:spacing w:val="-3"/>
        </w:rPr>
        <w:t xml:space="preserve"> </w:t>
      </w:r>
      <w:r>
        <w:t>Informal</w:t>
      </w:r>
      <w:r>
        <w:rPr>
          <w:spacing w:val="-4"/>
        </w:rPr>
        <w:t xml:space="preserve"> </w:t>
      </w:r>
      <w:r>
        <w:t>Justice</w:t>
      </w:r>
      <w:r>
        <w:rPr>
          <w:spacing w:val="-3"/>
        </w:rPr>
        <w:t xml:space="preserve"> </w:t>
      </w:r>
      <w:r>
        <w:t>and</w:t>
      </w:r>
      <w:r>
        <w:rPr>
          <w:spacing w:val="-3"/>
        </w:rPr>
        <w:t xml:space="preserve"> </w:t>
      </w:r>
      <w:r>
        <w:t>SDG16+,</w:t>
      </w:r>
      <w:r>
        <w:rPr>
          <w:spacing w:val="-3"/>
        </w:rPr>
        <w:t xml:space="preserve"> </w:t>
      </w:r>
      <w:r>
        <w:t>(2023).</w:t>
      </w:r>
      <w:r>
        <w:rPr>
          <w:spacing w:val="-3"/>
        </w:rPr>
        <w:t xml:space="preserve"> </w:t>
      </w:r>
      <w:r>
        <w:t>Diverse</w:t>
      </w:r>
      <w:r>
        <w:rPr>
          <w:spacing w:val="-3"/>
        </w:rPr>
        <w:t xml:space="preserve"> </w:t>
      </w:r>
      <w:r>
        <w:t>pathways</w:t>
      </w:r>
      <w:r>
        <w:rPr>
          <w:spacing w:val="-2"/>
        </w:rPr>
        <w:t xml:space="preserve"> </w:t>
      </w:r>
      <w:r>
        <w:t>to</w:t>
      </w:r>
      <w:r>
        <w:rPr>
          <w:spacing w:val="-3"/>
        </w:rPr>
        <w:t xml:space="preserve"> </w:t>
      </w:r>
      <w:r>
        <w:t>people-centred justice: Report of the Working Group on Customary and Informal Justice and SDG16.3, Rome: IDLO.</w:t>
      </w:r>
    </w:p>
    <w:p w14:paraId="7C24FF12" w14:textId="77777777" w:rsidR="009C36E3" w:rsidRDefault="009C36E3">
      <w:pPr>
        <w:sectPr w:rsidR="009C36E3">
          <w:pgSz w:w="11910" w:h="16850"/>
          <w:pgMar w:top="1040" w:right="740" w:bottom="740" w:left="80" w:header="552" w:footer="559" w:gutter="0"/>
          <w:cols w:space="720"/>
        </w:sectPr>
      </w:pPr>
    </w:p>
    <w:p w14:paraId="325A415D" w14:textId="77777777" w:rsidR="009C36E3" w:rsidRDefault="000E7207" w:rsidP="0026008D">
      <w:pPr>
        <w:pStyle w:val="Heading1"/>
        <w:spacing w:before="120" w:after="240"/>
        <w:ind w:left="113"/>
      </w:pPr>
      <w:r>
        <w:t>Annex</w:t>
      </w:r>
      <w:r>
        <w:rPr>
          <w:spacing w:val="-5"/>
        </w:rPr>
        <w:t xml:space="preserve"> </w:t>
      </w:r>
      <w:r>
        <w:t>3:</w:t>
      </w:r>
      <w:r>
        <w:rPr>
          <w:spacing w:val="-3"/>
        </w:rPr>
        <w:t xml:space="preserve"> </w:t>
      </w:r>
      <w:r>
        <w:t>Evidence</w:t>
      </w:r>
      <w:r>
        <w:rPr>
          <w:spacing w:val="-3"/>
        </w:rPr>
        <w:t xml:space="preserve"> </w:t>
      </w:r>
      <w:r>
        <w:t>matrix</w:t>
      </w:r>
      <w:r>
        <w:rPr>
          <w:spacing w:val="-5"/>
        </w:rPr>
        <w:t xml:space="preserve"> </w:t>
      </w:r>
      <w:r>
        <w:t>against</w:t>
      </w:r>
      <w:r>
        <w:rPr>
          <w:spacing w:val="-5"/>
        </w:rPr>
        <w:t xml:space="preserve"> </w:t>
      </w:r>
      <w:r>
        <w:t>Key</w:t>
      </w:r>
      <w:r>
        <w:rPr>
          <w:spacing w:val="-4"/>
        </w:rPr>
        <w:t xml:space="preserve"> </w:t>
      </w:r>
      <w:r>
        <w:t>Review Questions</w:t>
      </w:r>
    </w:p>
    <w:p w14:paraId="0A9C8BB4" w14:textId="29D7E0EC" w:rsidR="00752BAC" w:rsidRDefault="00752BAC" w:rsidP="00372A57">
      <w:pPr>
        <w:pStyle w:val="Heading5"/>
        <w:spacing w:after="240"/>
        <w:ind w:left="142"/>
      </w:pPr>
      <w:r>
        <w:t>Effectiveness</w:t>
      </w:r>
      <w:r>
        <w:rPr>
          <w:spacing w:val="-6"/>
        </w:rPr>
        <w:t xml:space="preserve"> </w:t>
      </w:r>
      <w:r>
        <w:t>-</w:t>
      </w:r>
      <w:r>
        <w:rPr>
          <w:spacing w:val="-6"/>
        </w:rPr>
        <w:t xml:space="preserve"> </w:t>
      </w:r>
      <w:r>
        <w:t>Key</w:t>
      </w:r>
      <w:r>
        <w:rPr>
          <w:spacing w:val="-7"/>
        </w:rPr>
        <w:t xml:space="preserve"> </w:t>
      </w:r>
      <w:r>
        <w:t>Question</w:t>
      </w:r>
      <w:r>
        <w:rPr>
          <w:spacing w:val="-6"/>
        </w:rPr>
        <w:t xml:space="preserve"> </w:t>
      </w:r>
      <w:r>
        <w:t>1:</w:t>
      </w:r>
      <w:r>
        <w:rPr>
          <w:spacing w:val="-6"/>
        </w:rPr>
        <w:t xml:space="preserve"> </w:t>
      </w:r>
      <w:r>
        <w:t>Is</w:t>
      </w:r>
      <w:r>
        <w:rPr>
          <w:spacing w:val="-7"/>
        </w:rPr>
        <w:t xml:space="preserve"> </w:t>
      </w:r>
      <w:r>
        <w:t>VAPJP</w:t>
      </w:r>
      <w:r>
        <w:rPr>
          <w:spacing w:val="-8"/>
        </w:rPr>
        <w:t xml:space="preserve"> </w:t>
      </w:r>
      <w:r>
        <w:t>on</w:t>
      </w:r>
      <w:r>
        <w:rPr>
          <w:spacing w:val="-6"/>
        </w:rPr>
        <w:t xml:space="preserve"> </w:t>
      </w:r>
      <w:r>
        <w:t>track</w:t>
      </w:r>
      <w:r>
        <w:rPr>
          <w:spacing w:val="-3"/>
        </w:rPr>
        <w:t xml:space="preserve"> </w:t>
      </w:r>
      <w:r>
        <w:t>to</w:t>
      </w:r>
      <w:r>
        <w:rPr>
          <w:spacing w:val="-6"/>
        </w:rPr>
        <w:t xml:space="preserve"> </w:t>
      </w:r>
      <w:r>
        <w:t>achieve</w:t>
      </w:r>
      <w:r>
        <w:rPr>
          <w:spacing w:val="-7"/>
        </w:rPr>
        <w:t xml:space="preserve"> </w:t>
      </w:r>
      <w:r>
        <w:t>its</w:t>
      </w:r>
      <w:r>
        <w:rPr>
          <w:spacing w:val="-5"/>
        </w:rPr>
        <w:t xml:space="preserve"> </w:t>
      </w:r>
      <w:r>
        <w:t>end-of-program</w:t>
      </w:r>
      <w:r>
        <w:rPr>
          <w:spacing w:val="-6"/>
        </w:rPr>
        <w:t xml:space="preserve"> </w:t>
      </w:r>
      <w:r>
        <w:rPr>
          <w:spacing w:val="-2"/>
        </w:rPr>
        <w:t>outcomes?</w:t>
      </w:r>
    </w:p>
    <w:tbl>
      <w:tblPr>
        <w:tblW w:w="5000" w:type="pct"/>
        <w:tblCellMar>
          <w:left w:w="0" w:type="dxa"/>
          <w:right w:w="0" w:type="dxa"/>
        </w:tblCellMar>
        <w:tblLook w:val="01E0" w:firstRow="1" w:lastRow="1" w:firstColumn="1" w:lastColumn="1" w:noHBand="0" w:noVBand="0"/>
      </w:tblPr>
      <w:tblGrid>
        <w:gridCol w:w="3220"/>
        <w:gridCol w:w="5134"/>
        <w:gridCol w:w="3624"/>
        <w:gridCol w:w="2373"/>
        <w:gridCol w:w="1010"/>
        <w:gridCol w:w="1180"/>
        <w:gridCol w:w="1005"/>
        <w:gridCol w:w="1564"/>
        <w:gridCol w:w="1559"/>
        <w:gridCol w:w="1671"/>
      </w:tblGrid>
      <w:tr w:rsidR="009C36E3" w14:paraId="633EBD02" w14:textId="77777777" w:rsidTr="008439AE">
        <w:trPr>
          <w:trHeight w:val="604"/>
        </w:trPr>
        <w:tc>
          <w:tcPr>
            <w:tcW w:w="721" w:type="pct"/>
            <w:tcBorders>
              <w:top w:val="single" w:sz="4" w:space="0" w:color="0064BB"/>
            </w:tcBorders>
            <w:shd w:val="clear" w:color="auto" w:fill="0064BB"/>
          </w:tcPr>
          <w:p w14:paraId="140382AB" w14:textId="77777777" w:rsidR="009C36E3" w:rsidRDefault="000E7207">
            <w:pPr>
              <w:pStyle w:val="TableParagraph"/>
              <w:ind w:right="138"/>
              <w:rPr>
                <w:b/>
                <w:sz w:val="20"/>
              </w:rPr>
            </w:pPr>
            <w:r>
              <w:rPr>
                <w:b/>
                <w:color w:val="FFFFFF"/>
                <w:sz w:val="20"/>
              </w:rPr>
              <w:t>Review</w:t>
            </w:r>
            <w:r>
              <w:rPr>
                <w:b/>
                <w:color w:val="FFFFFF"/>
                <w:spacing w:val="-13"/>
                <w:sz w:val="20"/>
              </w:rPr>
              <w:t xml:space="preserve"> </w:t>
            </w:r>
            <w:r>
              <w:rPr>
                <w:b/>
                <w:color w:val="FFFFFF"/>
                <w:sz w:val="20"/>
              </w:rPr>
              <w:t>Questions</w:t>
            </w:r>
            <w:r>
              <w:rPr>
                <w:b/>
                <w:color w:val="FFFFFF"/>
                <w:spacing w:val="-14"/>
                <w:sz w:val="20"/>
              </w:rPr>
              <w:t xml:space="preserve"> </w:t>
            </w:r>
            <w:r>
              <w:rPr>
                <w:b/>
                <w:color w:val="FFFFFF"/>
                <w:sz w:val="20"/>
              </w:rPr>
              <w:t>and</w:t>
            </w:r>
            <w:r>
              <w:rPr>
                <w:b/>
                <w:color w:val="FFFFFF"/>
                <w:spacing w:val="-11"/>
                <w:sz w:val="20"/>
              </w:rPr>
              <w:t xml:space="preserve"> </w:t>
            </w:r>
            <w:r>
              <w:rPr>
                <w:b/>
                <w:color w:val="FFFFFF"/>
                <w:sz w:val="20"/>
              </w:rPr>
              <w:t xml:space="preserve">Sub- </w:t>
            </w:r>
            <w:r>
              <w:rPr>
                <w:b/>
                <w:color w:val="FFFFFF"/>
                <w:spacing w:val="-2"/>
                <w:sz w:val="20"/>
              </w:rPr>
              <w:t>Questions</w:t>
            </w:r>
          </w:p>
        </w:tc>
        <w:tc>
          <w:tcPr>
            <w:tcW w:w="1149" w:type="pct"/>
            <w:tcBorders>
              <w:top w:val="single" w:sz="4" w:space="0" w:color="0064BB"/>
            </w:tcBorders>
            <w:shd w:val="clear" w:color="auto" w:fill="0064BB"/>
          </w:tcPr>
          <w:p w14:paraId="65B88B0C" w14:textId="77777777" w:rsidR="009C36E3" w:rsidRDefault="000E7207">
            <w:pPr>
              <w:pStyle w:val="TableParagraph"/>
              <w:ind w:left="108"/>
              <w:rPr>
                <w:b/>
                <w:sz w:val="20"/>
              </w:rPr>
            </w:pPr>
            <w:r>
              <w:rPr>
                <w:b/>
                <w:color w:val="FFFFFF"/>
                <w:sz w:val="20"/>
              </w:rPr>
              <w:t>Review</w:t>
            </w:r>
            <w:r>
              <w:rPr>
                <w:b/>
                <w:color w:val="FFFFFF"/>
                <w:spacing w:val="-8"/>
                <w:sz w:val="20"/>
              </w:rPr>
              <w:t xml:space="preserve"> </w:t>
            </w:r>
            <w:r>
              <w:rPr>
                <w:b/>
                <w:color w:val="FFFFFF"/>
                <w:sz w:val="20"/>
              </w:rPr>
              <w:t>Focus</w:t>
            </w:r>
            <w:r>
              <w:rPr>
                <w:b/>
                <w:color w:val="FFFFFF"/>
                <w:spacing w:val="-8"/>
                <w:sz w:val="20"/>
              </w:rPr>
              <w:t xml:space="preserve"> </w:t>
            </w:r>
            <w:r>
              <w:rPr>
                <w:b/>
                <w:color w:val="FFFFFF"/>
                <w:spacing w:val="-4"/>
                <w:sz w:val="20"/>
              </w:rPr>
              <w:t>areas</w:t>
            </w:r>
          </w:p>
        </w:tc>
        <w:tc>
          <w:tcPr>
            <w:tcW w:w="811" w:type="pct"/>
            <w:tcBorders>
              <w:top w:val="single" w:sz="4" w:space="0" w:color="0064BB"/>
            </w:tcBorders>
            <w:shd w:val="clear" w:color="auto" w:fill="0064BB"/>
          </w:tcPr>
          <w:p w14:paraId="73BB3CA6" w14:textId="77777777" w:rsidR="009C36E3" w:rsidRDefault="000E7207">
            <w:pPr>
              <w:pStyle w:val="TableParagraph"/>
              <w:ind w:left="112" w:right="472"/>
              <w:rPr>
                <w:b/>
                <w:sz w:val="20"/>
              </w:rPr>
            </w:pPr>
            <w:r>
              <w:rPr>
                <w:b/>
                <w:color w:val="FFFFFF"/>
                <w:sz w:val="20"/>
              </w:rPr>
              <w:t>Assessment</w:t>
            </w:r>
            <w:r>
              <w:rPr>
                <w:b/>
                <w:color w:val="FFFFFF"/>
                <w:spacing w:val="-11"/>
                <w:sz w:val="20"/>
              </w:rPr>
              <w:t xml:space="preserve"> </w:t>
            </w:r>
            <w:r>
              <w:rPr>
                <w:b/>
                <w:color w:val="FFFFFF"/>
                <w:sz w:val="20"/>
              </w:rPr>
              <w:t>criteria/</w:t>
            </w:r>
            <w:r>
              <w:rPr>
                <w:b/>
                <w:color w:val="FFFFFF"/>
                <w:spacing w:val="-14"/>
                <w:sz w:val="20"/>
              </w:rPr>
              <w:t xml:space="preserve"> </w:t>
            </w:r>
            <w:r>
              <w:rPr>
                <w:b/>
                <w:color w:val="FFFFFF"/>
                <w:sz w:val="20"/>
              </w:rPr>
              <w:t>factors</w:t>
            </w:r>
            <w:r>
              <w:rPr>
                <w:b/>
                <w:color w:val="FFFFFF"/>
                <w:spacing w:val="-14"/>
                <w:sz w:val="20"/>
              </w:rPr>
              <w:t xml:space="preserve"> </w:t>
            </w:r>
            <w:r>
              <w:rPr>
                <w:b/>
                <w:color w:val="FFFFFF"/>
                <w:sz w:val="20"/>
              </w:rPr>
              <w:t xml:space="preserve">for </w:t>
            </w:r>
            <w:r>
              <w:rPr>
                <w:b/>
                <w:color w:val="FFFFFF"/>
                <w:spacing w:val="-2"/>
                <w:sz w:val="20"/>
              </w:rPr>
              <w:t>consideration</w:t>
            </w:r>
          </w:p>
        </w:tc>
        <w:tc>
          <w:tcPr>
            <w:tcW w:w="531" w:type="pct"/>
            <w:tcBorders>
              <w:top w:val="single" w:sz="4" w:space="0" w:color="0064BB"/>
            </w:tcBorders>
            <w:shd w:val="clear" w:color="auto" w:fill="0064BB"/>
          </w:tcPr>
          <w:p w14:paraId="71129EB8" w14:textId="77777777" w:rsidR="009C36E3" w:rsidRDefault="000E7207">
            <w:pPr>
              <w:pStyle w:val="TableParagraph"/>
              <w:ind w:left="129"/>
              <w:rPr>
                <w:b/>
                <w:sz w:val="20"/>
              </w:rPr>
            </w:pPr>
            <w:r>
              <w:rPr>
                <w:b/>
                <w:color w:val="FFFFFF"/>
                <w:sz w:val="20"/>
              </w:rPr>
              <w:t>Desktop</w:t>
            </w:r>
            <w:r>
              <w:rPr>
                <w:b/>
                <w:color w:val="FFFFFF"/>
                <w:spacing w:val="-11"/>
                <w:sz w:val="20"/>
              </w:rPr>
              <w:t xml:space="preserve"> </w:t>
            </w:r>
            <w:r>
              <w:rPr>
                <w:b/>
                <w:color w:val="FFFFFF"/>
                <w:spacing w:val="-2"/>
                <w:sz w:val="20"/>
              </w:rPr>
              <w:t>review</w:t>
            </w:r>
          </w:p>
        </w:tc>
        <w:tc>
          <w:tcPr>
            <w:tcW w:w="1788" w:type="pct"/>
            <w:gridSpan w:val="6"/>
            <w:tcBorders>
              <w:top w:val="single" w:sz="4" w:space="0" w:color="0064BB"/>
            </w:tcBorders>
            <w:shd w:val="clear" w:color="auto" w:fill="0064BB"/>
          </w:tcPr>
          <w:p w14:paraId="67BF2A2D" w14:textId="77777777" w:rsidR="009C36E3" w:rsidRDefault="000E7207">
            <w:pPr>
              <w:pStyle w:val="TableParagraph"/>
              <w:ind w:left="0" w:right="7"/>
              <w:jc w:val="center"/>
              <w:rPr>
                <w:b/>
                <w:color w:val="FFFFFF"/>
                <w:spacing w:val="-2"/>
                <w:sz w:val="20"/>
              </w:rPr>
            </w:pPr>
            <w:r>
              <w:rPr>
                <w:b/>
                <w:color w:val="FFFFFF"/>
                <w:sz w:val="20"/>
              </w:rPr>
              <w:t>Primary</w:t>
            </w:r>
            <w:r>
              <w:rPr>
                <w:b/>
                <w:color w:val="FFFFFF"/>
                <w:spacing w:val="-7"/>
                <w:sz w:val="20"/>
              </w:rPr>
              <w:t xml:space="preserve"> </w:t>
            </w:r>
            <w:r>
              <w:rPr>
                <w:b/>
                <w:color w:val="FFFFFF"/>
                <w:sz w:val="20"/>
              </w:rPr>
              <w:t>data</w:t>
            </w:r>
            <w:r>
              <w:rPr>
                <w:b/>
                <w:color w:val="FFFFFF"/>
                <w:spacing w:val="-9"/>
                <w:sz w:val="20"/>
              </w:rPr>
              <w:t xml:space="preserve"> </w:t>
            </w:r>
            <w:r>
              <w:rPr>
                <w:b/>
                <w:color w:val="FFFFFF"/>
                <w:spacing w:val="-2"/>
                <w:sz w:val="20"/>
              </w:rPr>
              <w:t>collection</w:t>
            </w:r>
          </w:p>
          <w:p w14:paraId="4A518D47" w14:textId="77777777" w:rsidR="00372A57" w:rsidRDefault="00372A57">
            <w:pPr>
              <w:pStyle w:val="TableParagraph"/>
              <w:ind w:left="0" w:right="7"/>
              <w:jc w:val="center"/>
              <w:rPr>
                <w:b/>
                <w:color w:val="FFFFFF"/>
                <w:spacing w:val="-2"/>
                <w:sz w:val="20"/>
              </w:rPr>
            </w:pPr>
          </w:p>
          <w:p w14:paraId="5EC230FC" w14:textId="6304D4AD" w:rsidR="00FD2274" w:rsidRPr="007F6299" w:rsidRDefault="00372A57" w:rsidP="00572F52">
            <w:pPr>
              <w:pStyle w:val="TableParagraph"/>
              <w:spacing w:before="0" w:line="225" w:lineRule="exact"/>
              <w:rPr>
                <w:color w:val="FFFFFF" w:themeColor="background1"/>
                <w:sz w:val="20"/>
              </w:rPr>
            </w:pPr>
            <w:r w:rsidRPr="007F6299">
              <w:rPr>
                <w:color w:val="FFFFFF" w:themeColor="background1"/>
                <w:spacing w:val="-4"/>
                <w:sz w:val="20"/>
              </w:rPr>
              <w:t xml:space="preserve">DFAT/         </w:t>
            </w:r>
            <w:r w:rsidR="008B064F" w:rsidRPr="007F6299">
              <w:rPr>
                <w:color w:val="FFFFFF" w:themeColor="background1"/>
                <w:spacing w:val="-4"/>
                <w:sz w:val="20"/>
              </w:rPr>
              <w:t xml:space="preserve"> </w:t>
            </w:r>
            <w:r w:rsidR="00F25572" w:rsidRPr="007F6299">
              <w:rPr>
                <w:color w:val="FFFFFF" w:themeColor="background1"/>
                <w:spacing w:val="-4"/>
                <w:sz w:val="20"/>
              </w:rPr>
              <w:t xml:space="preserve">  </w:t>
            </w:r>
            <w:r w:rsidR="008B064F" w:rsidRPr="007F6299">
              <w:rPr>
                <w:color w:val="FFFFFF" w:themeColor="background1"/>
                <w:spacing w:val="-4"/>
                <w:sz w:val="20"/>
              </w:rPr>
              <w:t xml:space="preserve">MJCS              </w:t>
            </w:r>
            <w:r w:rsidR="008B064F" w:rsidRPr="007F6299">
              <w:rPr>
                <w:color w:val="FFFFFF" w:themeColor="background1"/>
                <w:spacing w:val="-5"/>
                <w:sz w:val="20"/>
              </w:rPr>
              <w:t>VPF</w:t>
            </w:r>
            <w:r w:rsidR="008B064F" w:rsidRPr="007F6299">
              <w:rPr>
                <w:color w:val="FFFFFF" w:themeColor="background1"/>
                <w:spacing w:val="-4"/>
                <w:sz w:val="20"/>
              </w:rPr>
              <w:t xml:space="preserve"> </w:t>
            </w:r>
            <w:r w:rsidR="00F25572" w:rsidRPr="007F6299">
              <w:rPr>
                <w:color w:val="FFFFFF" w:themeColor="background1"/>
                <w:spacing w:val="-4"/>
                <w:sz w:val="20"/>
              </w:rPr>
              <w:t xml:space="preserve">            </w:t>
            </w:r>
            <w:r w:rsidR="00F25572" w:rsidRPr="007F6299">
              <w:rPr>
                <w:color w:val="FFFFFF" w:themeColor="background1"/>
                <w:sz w:val="20"/>
              </w:rPr>
              <w:t>CSO –</w:t>
            </w:r>
            <w:r w:rsidR="00FD2274" w:rsidRPr="007F6299">
              <w:rPr>
                <w:color w:val="FFFFFF" w:themeColor="background1"/>
                <w:sz w:val="20"/>
              </w:rPr>
              <w:t xml:space="preserve">            </w:t>
            </w:r>
            <w:r w:rsidR="00FD2274" w:rsidRPr="007F6299">
              <w:rPr>
                <w:color w:val="FFFFFF" w:themeColor="background1"/>
                <w:spacing w:val="-2"/>
                <w:sz w:val="20"/>
              </w:rPr>
              <w:t>Community              VAPJP</w:t>
            </w:r>
          </w:p>
          <w:p w14:paraId="5A405E18" w14:textId="4B5FED14" w:rsidR="00372A57" w:rsidRPr="007F6299" w:rsidRDefault="00572F52" w:rsidP="00372A57">
            <w:pPr>
              <w:pStyle w:val="TableParagraph"/>
              <w:ind w:left="0" w:right="7"/>
              <w:rPr>
                <w:color w:val="FFFFFF" w:themeColor="background1"/>
                <w:spacing w:val="-4"/>
                <w:sz w:val="20"/>
              </w:rPr>
            </w:pPr>
            <w:r w:rsidRPr="007F6299">
              <w:rPr>
                <w:color w:val="FFFFFF" w:themeColor="background1"/>
                <w:spacing w:val="-4"/>
                <w:sz w:val="20"/>
              </w:rPr>
              <w:t xml:space="preserve">  A</w:t>
            </w:r>
            <w:r w:rsidR="00372A57" w:rsidRPr="007F6299">
              <w:rPr>
                <w:color w:val="FFFFFF" w:themeColor="background1"/>
                <w:spacing w:val="-4"/>
                <w:sz w:val="20"/>
              </w:rPr>
              <w:t>FP</w:t>
            </w:r>
            <w:r w:rsidR="00F25572" w:rsidRPr="007F6299">
              <w:rPr>
                <w:color w:val="FFFFFF" w:themeColor="background1"/>
                <w:spacing w:val="-4"/>
                <w:sz w:val="20"/>
              </w:rPr>
              <w:t xml:space="preserve">                                                            </w:t>
            </w:r>
            <w:r w:rsidR="00FD2274" w:rsidRPr="007F6299">
              <w:rPr>
                <w:color w:val="FFFFFF" w:themeColor="background1"/>
                <w:spacing w:val="-4"/>
                <w:sz w:val="20"/>
              </w:rPr>
              <w:t>VWC,</w:t>
            </w:r>
            <w:r w:rsidRPr="007F6299">
              <w:rPr>
                <w:color w:val="FFFFFF" w:themeColor="background1"/>
                <w:spacing w:val="-4"/>
                <w:sz w:val="20"/>
              </w:rPr>
              <w:t xml:space="preserve">                                                 Team</w:t>
            </w:r>
          </w:p>
          <w:p w14:paraId="20C37754" w14:textId="3A16F840" w:rsidR="0081152C" w:rsidRPr="007F6299" w:rsidRDefault="006E1191" w:rsidP="00372A57">
            <w:pPr>
              <w:pStyle w:val="TableParagraph"/>
              <w:ind w:left="0" w:right="7"/>
              <w:rPr>
                <w:color w:val="FFFFFF" w:themeColor="background1"/>
                <w:spacing w:val="-14"/>
                <w:sz w:val="20"/>
              </w:rPr>
            </w:pPr>
            <w:r w:rsidRPr="007F6299">
              <w:rPr>
                <w:color w:val="FFFFFF" w:themeColor="background1"/>
                <w:spacing w:val="-4"/>
                <w:sz w:val="20"/>
              </w:rPr>
              <w:t xml:space="preserve">                                                                     </w:t>
            </w:r>
            <w:r w:rsidRPr="007F6299">
              <w:rPr>
                <w:color w:val="FFFFFF" w:themeColor="background1"/>
                <w:sz w:val="20"/>
              </w:rPr>
              <w:t>VSPD,</w:t>
            </w:r>
            <w:r w:rsidRPr="007F6299">
              <w:rPr>
                <w:color w:val="FFFFFF" w:themeColor="background1"/>
                <w:spacing w:val="-14"/>
                <w:sz w:val="20"/>
              </w:rPr>
              <w:t xml:space="preserve"> </w:t>
            </w:r>
          </w:p>
          <w:p w14:paraId="725FE0C4" w14:textId="1E3E7CE1" w:rsidR="006E1191" w:rsidRPr="006E1191" w:rsidRDefault="0081152C" w:rsidP="00372A57">
            <w:pPr>
              <w:pStyle w:val="TableParagraph"/>
              <w:ind w:left="0" w:right="7"/>
              <w:rPr>
                <w:spacing w:val="-4"/>
                <w:sz w:val="20"/>
              </w:rPr>
            </w:pPr>
            <w:r w:rsidRPr="007F6299">
              <w:rPr>
                <w:color w:val="FFFFFF" w:themeColor="background1"/>
                <w:spacing w:val="-14"/>
                <w:sz w:val="20"/>
              </w:rPr>
              <w:t xml:space="preserve">                                                                                      </w:t>
            </w:r>
            <w:r w:rsidR="006E1191" w:rsidRPr="007F6299">
              <w:rPr>
                <w:color w:val="FFFFFF" w:themeColor="background1"/>
                <w:sz w:val="20"/>
              </w:rPr>
              <w:t>WVC</w:t>
            </w:r>
          </w:p>
        </w:tc>
      </w:tr>
      <w:tr w:rsidR="009C36E3" w14:paraId="7F83ECDB" w14:textId="77777777" w:rsidTr="008439AE">
        <w:trPr>
          <w:trHeight w:val="3671"/>
        </w:trPr>
        <w:tc>
          <w:tcPr>
            <w:tcW w:w="721" w:type="pct"/>
            <w:tcBorders>
              <w:top w:val="single" w:sz="4" w:space="0" w:color="0064BB"/>
              <w:bottom w:val="single" w:sz="4" w:space="0" w:color="0064BB"/>
            </w:tcBorders>
            <w:shd w:val="clear" w:color="auto" w:fill="F1F1F1"/>
          </w:tcPr>
          <w:p w14:paraId="51A862D3" w14:textId="77777777" w:rsidR="009C36E3" w:rsidRPr="0042722D" w:rsidRDefault="000E7207">
            <w:pPr>
              <w:pStyle w:val="TableParagraph"/>
              <w:ind w:left="468" w:right="351" w:hanging="360"/>
              <w:jc w:val="both"/>
              <w:rPr>
                <w:b/>
                <w:sz w:val="20"/>
                <w:szCs w:val="20"/>
              </w:rPr>
            </w:pPr>
            <w:r w:rsidRPr="0042722D">
              <w:rPr>
                <w:b/>
                <w:sz w:val="20"/>
                <w:szCs w:val="20"/>
              </w:rPr>
              <w:t>1.1</w:t>
            </w:r>
            <w:r w:rsidRPr="0042722D">
              <w:rPr>
                <w:b/>
                <w:spacing w:val="24"/>
                <w:sz w:val="20"/>
                <w:szCs w:val="20"/>
              </w:rPr>
              <w:t xml:space="preserve"> </w:t>
            </w:r>
            <w:r w:rsidRPr="0042722D">
              <w:rPr>
                <w:b/>
                <w:sz w:val="20"/>
                <w:szCs w:val="20"/>
              </w:rPr>
              <w:t>To</w:t>
            </w:r>
            <w:r w:rsidRPr="0042722D">
              <w:rPr>
                <w:b/>
                <w:spacing w:val="-2"/>
                <w:sz w:val="20"/>
                <w:szCs w:val="20"/>
              </w:rPr>
              <w:t xml:space="preserve"> </w:t>
            </w:r>
            <w:r w:rsidRPr="0042722D">
              <w:rPr>
                <w:b/>
                <w:sz w:val="20"/>
                <w:szCs w:val="20"/>
              </w:rPr>
              <w:t>what</w:t>
            </w:r>
            <w:r w:rsidRPr="0042722D">
              <w:rPr>
                <w:b/>
                <w:spacing w:val="-2"/>
                <w:sz w:val="20"/>
                <w:szCs w:val="20"/>
              </w:rPr>
              <w:t xml:space="preserve"> </w:t>
            </w:r>
            <w:r w:rsidRPr="0042722D">
              <w:rPr>
                <w:b/>
                <w:sz w:val="20"/>
                <w:szCs w:val="20"/>
              </w:rPr>
              <w:t>extent</w:t>
            </w:r>
            <w:r w:rsidRPr="0042722D">
              <w:rPr>
                <w:b/>
                <w:spacing w:val="-2"/>
                <w:sz w:val="20"/>
                <w:szCs w:val="20"/>
              </w:rPr>
              <w:t xml:space="preserve"> </w:t>
            </w:r>
            <w:r w:rsidRPr="0042722D">
              <w:rPr>
                <w:b/>
                <w:sz w:val="20"/>
                <w:szCs w:val="20"/>
              </w:rPr>
              <w:t>is</w:t>
            </w:r>
            <w:r w:rsidRPr="0042722D">
              <w:rPr>
                <w:b/>
                <w:spacing w:val="-1"/>
                <w:sz w:val="20"/>
                <w:szCs w:val="20"/>
              </w:rPr>
              <w:t xml:space="preserve"> </w:t>
            </w:r>
            <w:r w:rsidRPr="0042722D">
              <w:rPr>
                <w:b/>
                <w:sz w:val="20"/>
                <w:szCs w:val="20"/>
              </w:rPr>
              <w:t>VAPJP achieving</w:t>
            </w:r>
            <w:r w:rsidRPr="0042722D">
              <w:rPr>
                <w:b/>
                <w:spacing w:val="-14"/>
                <w:sz w:val="20"/>
                <w:szCs w:val="20"/>
              </w:rPr>
              <w:t xml:space="preserve"> </w:t>
            </w:r>
            <w:r w:rsidRPr="0042722D">
              <w:rPr>
                <w:b/>
                <w:sz w:val="20"/>
                <w:szCs w:val="20"/>
              </w:rPr>
              <w:t>its</w:t>
            </w:r>
            <w:r w:rsidRPr="0042722D">
              <w:rPr>
                <w:b/>
                <w:spacing w:val="-13"/>
                <w:sz w:val="20"/>
                <w:szCs w:val="20"/>
              </w:rPr>
              <w:t xml:space="preserve"> </w:t>
            </w:r>
            <w:r w:rsidRPr="0042722D">
              <w:rPr>
                <w:b/>
                <w:sz w:val="20"/>
                <w:szCs w:val="20"/>
              </w:rPr>
              <w:t>EOPOs</w:t>
            </w:r>
            <w:r w:rsidRPr="0042722D">
              <w:rPr>
                <w:b/>
                <w:spacing w:val="-13"/>
                <w:sz w:val="20"/>
                <w:szCs w:val="20"/>
              </w:rPr>
              <w:t xml:space="preserve"> </w:t>
            </w:r>
            <w:r w:rsidRPr="0042722D">
              <w:rPr>
                <w:b/>
                <w:sz w:val="20"/>
                <w:szCs w:val="20"/>
              </w:rPr>
              <w:t xml:space="preserve">and </w:t>
            </w:r>
            <w:r w:rsidRPr="0042722D">
              <w:rPr>
                <w:b/>
                <w:spacing w:val="-4"/>
                <w:sz w:val="20"/>
                <w:szCs w:val="20"/>
              </w:rPr>
              <w:t>IOs?</w:t>
            </w:r>
          </w:p>
        </w:tc>
        <w:tc>
          <w:tcPr>
            <w:tcW w:w="1149" w:type="pct"/>
            <w:tcBorders>
              <w:top w:val="single" w:sz="4" w:space="0" w:color="0064BB"/>
              <w:bottom w:val="single" w:sz="4" w:space="0" w:color="0064BB"/>
            </w:tcBorders>
          </w:tcPr>
          <w:p w14:paraId="43E42CCB" w14:textId="77777777" w:rsidR="009C36E3" w:rsidRPr="0042722D" w:rsidRDefault="000E7207">
            <w:pPr>
              <w:pStyle w:val="TableParagraph"/>
              <w:numPr>
                <w:ilvl w:val="0"/>
                <w:numId w:val="24"/>
              </w:numPr>
              <w:tabs>
                <w:tab w:val="left" w:pos="468"/>
              </w:tabs>
              <w:spacing w:before="64" w:line="235" w:lineRule="auto"/>
              <w:ind w:right="506"/>
              <w:rPr>
                <w:sz w:val="20"/>
                <w:szCs w:val="20"/>
              </w:rPr>
            </w:pPr>
            <w:r w:rsidRPr="0042722D">
              <w:rPr>
                <w:sz w:val="20"/>
                <w:szCs w:val="20"/>
              </w:rPr>
              <w:t>To</w:t>
            </w:r>
            <w:r w:rsidRPr="0042722D">
              <w:rPr>
                <w:spacing w:val="-2"/>
                <w:sz w:val="20"/>
                <w:szCs w:val="20"/>
              </w:rPr>
              <w:t xml:space="preserve"> </w:t>
            </w:r>
            <w:r w:rsidRPr="0042722D">
              <w:rPr>
                <w:sz w:val="20"/>
                <w:szCs w:val="20"/>
              </w:rPr>
              <w:t>what</w:t>
            </w:r>
            <w:r w:rsidRPr="0042722D">
              <w:rPr>
                <w:spacing w:val="-5"/>
                <w:sz w:val="20"/>
                <w:szCs w:val="20"/>
              </w:rPr>
              <w:t xml:space="preserve"> </w:t>
            </w:r>
            <w:r w:rsidRPr="0042722D">
              <w:rPr>
                <w:sz w:val="20"/>
                <w:szCs w:val="20"/>
              </w:rPr>
              <w:t>extent</w:t>
            </w:r>
            <w:r w:rsidRPr="0042722D">
              <w:rPr>
                <w:spacing w:val="-3"/>
                <w:sz w:val="20"/>
                <w:szCs w:val="20"/>
              </w:rPr>
              <w:t xml:space="preserve"> </w:t>
            </w:r>
            <w:r w:rsidRPr="0042722D">
              <w:rPr>
                <w:sz w:val="20"/>
                <w:szCs w:val="20"/>
              </w:rPr>
              <w:t>has</w:t>
            </w:r>
            <w:r w:rsidRPr="0042722D">
              <w:rPr>
                <w:spacing w:val="-4"/>
                <w:sz w:val="20"/>
                <w:szCs w:val="20"/>
              </w:rPr>
              <w:t xml:space="preserve"> </w:t>
            </w:r>
            <w:r w:rsidRPr="0042722D">
              <w:rPr>
                <w:sz w:val="20"/>
                <w:szCs w:val="20"/>
              </w:rPr>
              <w:t>the</w:t>
            </w:r>
            <w:r w:rsidRPr="0042722D">
              <w:rPr>
                <w:spacing w:val="-5"/>
                <w:sz w:val="20"/>
                <w:szCs w:val="20"/>
              </w:rPr>
              <w:t xml:space="preserve"> </w:t>
            </w:r>
            <w:r w:rsidRPr="0042722D">
              <w:rPr>
                <w:sz w:val="20"/>
                <w:szCs w:val="20"/>
              </w:rPr>
              <w:t>justice</w:t>
            </w:r>
            <w:r w:rsidRPr="0042722D">
              <w:rPr>
                <w:spacing w:val="-5"/>
                <w:sz w:val="20"/>
                <w:szCs w:val="20"/>
              </w:rPr>
              <w:t xml:space="preserve"> </w:t>
            </w:r>
            <w:r w:rsidRPr="0042722D">
              <w:rPr>
                <w:sz w:val="20"/>
                <w:szCs w:val="20"/>
              </w:rPr>
              <w:t>stream</w:t>
            </w:r>
            <w:r w:rsidRPr="0042722D">
              <w:rPr>
                <w:spacing w:val="-2"/>
                <w:sz w:val="20"/>
                <w:szCs w:val="20"/>
              </w:rPr>
              <w:t xml:space="preserve"> </w:t>
            </w:r>
            <w:r w:rsidRPr="0042722D">
              <w:rPr>
                <w:sz w:val="20"/>
                <w:szCs w:val="20"/>
              </w:rPr>
              <w:t>of</w:t>
            </w:r>
            <w:r w:rsidRPr="0042722D">
              <w:rPr>
                <w:spacing w:val="-5"/>
                <w:sz w:val="20"/>
                <w:szCs w:val="20"/>
              </w:rPr>
              <w:t xml:space="preserve"> </w:t>
            </w:r>
            <w:r w:rsidRPr="0042722D">
              <w:rPr>
                <w:sz w:val="20"/>
                <w:szCs w:val="20"/>
              </w:rPr>
              <w:t>work</w:t>
            </w:r>
            <w:r w:rsidRPr="0042722D">
              <w:rPr>
                <w:spacing w:val="-4"/>
                <w:sz w:val="20"/>
                <w:szCs w:val="20"/>
              </w:rPr>
              <w:t xml:space="preserve"> </w:t>
            </w:r>
            <w:r w:rsidRPr="0042722D">
              <w:rPr>
                <w:sz w:val="20"/>
                <w:szCs w:val="20"/>
              </w:rPr>
              <w:t>led</w:t>
            </w:r>
            <w:r w:rsidRPr="0042722D">
              <w:rPr>
                <w:spacing w:val="-5"/>
                <w:sz w:val="20"/>
                <w:szCs w:val="20"/>
              </w:rPr>
              <w:t xml:space="preserve"> </w:t>
            </w:r>
            <w:r w:rsidRPr="0042722D">
              <w:rPr>
                <w:sz w:val="20"/>
                <w:szCs w:val="20"/>
              </w:rPr>
              <w:t>to individual or institutional behaviour change and contributed to the end-of-program outcomes?</w:t>
            </w:r>
          </w:p>
          <w:p w14:paraId="2397300E" w14:textId="77777777" w:rsidR="009C36E3" w:rsidRPr="0042722D" w:rsidRDefault="000E7207">
            <w:pPr>
              <w:pStyle w:val="TableParagraph"/>
              <w:numPr>
                <w:ilvl w:val="0"/>
                <w:numId w:val="24"/>
              </w:numPr>
              <w:tabs>
                <w:tab w:val="left" w:pos="468"/>
              </w:tabs>
              <w:spacing w:before="67" w:line="235" w:lineRule="auto"/>
              <w:ind w:right="406" w:hanging="361"/>
              <w:rPr>
                <w:sz w:val="20"/>
                <w:szCs w:val="20"/>
              </w:rPr>
            </w:pPr>
            <w:r w:rsidRPr="0042722D">
              <w:rPr>
                <w:sz w:val="20"/>
                <w:szCs w:val="20"/>
              </w:rPr>
              <w:t>To</w:t>
            </w:r>
            <w:r w:rsidRPr="0042722D">
              <w:rPr>
                <w:spacing w:val="-3"/>
                <w:sz w:val="20"/>
                <w:szCs w:val="20"/>
              </w:rPr>
              <w:t xml:space="preserve"> </w:t>
            </w:r>
            <w:r w:rsidRPr="0042722D">
              <w:rPr>
                <w:sz w:val="20"/>
                <w:szCs w:val="20"/>
              </w:rPr>
              <w:t>what</w:t>
            </w:r>
            <w:r w:rsidRPr="0042722D">
              <w:rPr>
                <w:spacing w:val="-6"/>
                <w:sz w:val="20"/>
                <w:szCs w:val="20"/>
              </w:rPr>
              <w:t xml:space="preserve"> </w:t>
            </w:r>
            <w:r w:rsidRPr="0042722D">
              <w:rPr>
                <w:sz w:val="20"/>
                <w:szCs w:val="20"/>
              </w:rPr>
              <w:t>extent</w:t>
            </w:r>
            <w:r w:rsidRPr="0042722D">
              <w:rPr>
                <w:spacing w:val="-4"/>
                <w:sz w:val="20"/>
                <w:szCs w:val="20"/>
              </w:rPr>
              <w:t xml:space="preserve"> </w:t>
            </w:r>
            <w:r w:rsidRPr="0042722D">
              <w:rPr>
                <w:sz w:val="20"/>
                <w:szCs w:val="20"/>
              </w:rPr>
              <w:t>has</w:t>
            </w:r>
            <w:r w:rsidRPr="0042722D">
              <w:rPr>
                <w:spacing w:val="-5"/>
                <w:sz w:val="20"/>
                <w:szCs w:val="20"/>
              </w:rPr>
              <w:t xml:space="preserve"> </w:t>
            </w:r>
            <w:r w:rsidRPr="0042722D">
              <w:rPr>
                <w:sz w:val="20"/>
                <w:szCs w:val="20"/>
              </w:rPr>
              <w:t>the</w:t>
            </w:r>
            <w:r w:rsidRPr="0042722D">
              <w:rPr>
                <w:spacing w:val="-6"/>
                <w:sz w:val="20"/>
                <w:szCs w:val="20"/>
              </w:rPr>
              <w:t xml:space="preserve"> </w:t>
            </w:r>
            <w:r w:rsidRPr="0042722D">
              <w:rPr>
                <w:sz w:val="20"/>
                <w:szCs w:val="20"/>
              </w:rPr>
              <w:t>policing</w:t>
            </w:r>
            <w:r w:rsidRPr="0042722D">
              <w:rPr>
                <w:spacing w:val="-3"/>
                <w:sz w:val="20"/>
                <w:szCs w:val="20"/>
              </w:rPr>
              <w:t xml:space="preserve"> </w:t>
            </w:r>
            <w:r w:rsidRPr="0042722D">
              <w:rPr>
                <w:sz w:val="20"/>
                <w:szCs w:val="20"/>
              </w:rPr>
              <w:t>stream</w:t>
            </w:r>
            <w:r w:rsidRPr="0042722D">
              <w:rPr>
                <w:spacing w:val="-5"/>
                <w:sz w:val="20"/>
                <w:szCs w:val="20"/>
              </w:rPr>
              <w:t xml:space="preserve"> </w:t>
            </w:r>
            <w:r w:rsidRPr="0042722D">
              <w:rPr>
                <w:sz w:val="20"/>
                <w:szCs w:val="20"/>
              </w:rPr>
              <w:t>of</w:t>
            </w:r>
            <w:r w:rsidRPr="0042722D">
              <w:rPr>
                <w:spacing w:val="-4"/>
                <w:sz w:val="20"/>
                <w:szCs w:val="20"/>
              </w:rPr>
              <w:t xml:space="preserve"> </w:t>
            </w:r>
            <w:r w:rsidRPr="0042722D">
              <w:rPr>
                <w:sz w:val="20"/>
                <w:szCs w:val="20"/>
              </w:rPr>
              <w:t>work</w:t>
            </w:r>
            <w:r w:rsidRPr="0042722D">
              <w:rPr>
                <w:spacing w:val="-3"/>
                <w:sz w:val="20"/>
                <w:szCs w:val="20"/>
              </w:rPr>
              <w:t xml:space="preserve"> </w:t>
            </w:r>
            <w:r w:rsidRPr="0042722D">
              <w:rPr>
                <w:sz w:val="20"/>
                <w:szCs w:val="20"/>
              </w:rPr>
              <w:t>led</w:t>
            </w:r>
            <w:r w:rsidRPr="0042722D">
              <w:rPr>
                <w:spacing w:val="-3"/>
                <w:sz w:val="20"/>
                <w:szCs w:val="20"/>
              </w:rPr>
              <w:t xml:space="preserve"> </w:t>
            </w:r>
            <w:r w:rsidRPr="0042722D">
              <w:rPr>
                <w:sz w:val="20"/>
                <w:szCs w:val="20"/>
              </w:rPr>
              <w:t>to individual or institutional behaviour change and contributed to the end-of-program outcomes?</w:t>
            </w:r>
          </w:p>
          <w:p w14:paraId="7A1B476C" w14:textId="77777777" w:rsidR="009C36E3" w:rsidRPr="0042722D" w:rsidRDefault="000E7207">
            <w:pPr>
              <w:pStyle w:val="TableParagraph"/>
              <w:numPr>
                <w:ilvl w:val="0"/>
                <w:numId w:val="24"/>
              </w:numPr>
              <w:tabs>
                <w:tab w:val="left" w:pos="467"/>
              </w:tabs>
              <w:spacing w:before="65" w:line="237" w:lineRule="auto"/>
              <w:ind w:left="467" w:right="109"/>
              <w:rPr>
                <w:sz w:val="20"/>
                <w:szCs w:val="20"/>
              </w:rPr>
            </w:pPr>
            <w:r w:rsidRPr="0042722D">
              <w:rPr>
                <w:sz w:val="20"/>
                <w:szCs w:val="20"/>
              </w:rPr>
              <w:t>To what extent have the justice and policing streams contributed</w:t>
            </w:r>
            <w:r w:rsidRPr="0042722D">
              <w:rPr>
                <w:spacing w:val="-5"/>
                <w:sz w:val="20"/>
                <w:szCs w:val="20"/>
              </w:rPr>
              <w:t xml:space="preserve"> </w:t>
            </w:r>
            <w:r w:rsidRPr="0042722D">
              <w:rPr>
                <w:sz w:val="20"/>
                <w:szCs w:val="20"/>
              </w:rPr>
              <w:t>to</w:t>
            </w:r>
            <w:r w:rsidRPr="0042722D">
              <w:rPr>
                <w:spacing w:val="-8"/>
                <w:sz w:val="20"/>
                <w:szCs w:val="20"/>
              </w:rPr>
              <w:t xml:space="preserve"> </w:t>
            </w:r>
            <w:r w:rsidRPr="0042722D">
              <w:rPr>
                <w:sz w:val="20"/>
                <w:szCs w:val="20"/>
              </w:rPr>
              <w:t>combined</w:t>
            </w:r>
            <w:r w:rsidRPr="0042722D">
              <w:rPr>
                <w:spacing w:val="-8"/>
                <w:sz w:val="20"/>
                <w:szCs w:val="20"/>
              </w:rPr>
              <w:t xml:space="preserve"> </w:t>
            </w:r>
            <w:r w:rsidRPr="0042722D">
              <w:rPr>
                <w:sz w:val="20"/>
                <w:szCs w:val="20"/>
              </w:rPr>
              <w:t>outcomes</w:t>
            </w:r>
            <w:r w:rsidRPr="0042722D">
              <w:rPr>
                <w:spacing w:val="-7"/>
                <w:sz w:val="20"/>
                <w:szCs w:val="20"/>
              </w:rPr>
              <w:t xml:space="preserve"> </w:t>
            </w:r>
            <w:r w:rsidRPr="0042722D">
              <w:rPr>
                <w:sz w:val="20"/>
                <w:szCs w:val="20"/>
              </w:rPr>
              <w:t>across</w:t>
            </w:r>
            <w:r w:rsidRPr="0042722D">
              <w:rPr>
                <w:spacing w:val="-5"/>
                <w:sz w:val="20"/>
                <w:szCs w:val="20"/>
              </w:rPr>
              <w:t xml:space="preserve"> </w:t>
            </w:r>
            <w:r w:rsidRPr="0042722D">
              <w:rPr>
                <w:sz w:val="20"/>
                <w:szCs w:val="20"/>
              </w:rPr>
              <w:t>the</w:t>
            </w:r>
            <w:r w:rsidRPr="0042722D">
              <w:rPr>
                <w:spacing w:val="-8"/>
                <w:sz w:val="20"/>
                <w:szCs w:val="20"/>
              </w:rPr>
              <w:t xml:space="preserve"> </w:t>
            </w:r>
            <w:r w:rsidRPr="0042722D">
              <w:rPr>
                <w:sz w:val="20"/>
                <w:szCs w:val="20"/>
              </w:rPr>
              <w:t xml:space="preserve">‘chain-of- </w:t>
            </w:r>
            <w:r w:rsidRPr="0042722D">
              <w:rPr>
                <w:spacing w:val="-2"/>
                <w:sz w:val="20"/>
                <w:szCs w:val="20"/>
              </w:rPr>
              <w:t>justice’?</w:t>
            </w:r>
          </w:p>
          <w:p w14:paraId="038FFF3C" w14:textId="77777777" w:rsidR="009C36E3" w:rsidRPr="0042722D" w:rsidRDefault="000E7207">
            <w:pPr>
              <w:pStyle w:val="TableParagraph"/>
              <w:numPr>
                <w:ilvl w:val="0"/>
                <w:numId w:val="24"/>
              </w:numPr>
              <w:tabs>
                <w:tab w:val="left" w:pos="468"/>
              </w:tabs>
              <w:spacing w:before="65" w:line="232" w:lineRule="auto"/>
              <w:ind w:right="415" w:hanging="361"/>
              <w:rPr>
                <w:sz w:val="20"/>
                <w:szCs w:val="20"/>
              </w:rPr>
            </w:pPr>
            <w:r w:rsidRPr="0042722D">
              <w:rPr>
                <w:sz w:val="20"/>
                <w:szCs w:val="20"/>
              </w:rPr>
              <w:t>To</w:t>
            </w:r>
            <w:r w:rsidRPr="0042722D">
              <w:rPr>
                <w:spacing w:val="-4"/>
                <w:sz w:val="20"/>
                <w:szCs w:val="20"/>
              </w:rPr>
              <w:t xml:space="preserve"> </w:t>
            </w:r>
            <w:r w:rsidRPr="0042722D">
              <w:rPr>
                <w:sz w:val="20"/>
                <w:szCs w:val="20"/>
              </w:rPr>
              <w:t>what</w:t>
            </w:r>
            <w:r w:rsidRPr="0042722D">
              <w:rPr>
                <w:spacing w:val="-7"/>
                <w:sz w:val="20"/>
                <w:szCs w:val="20"/>
              </w:rPr>
              <w:t xml:space="preserve"> </w:t>
            </w:r>
            <w:r w:rsidRPr="0042722D">
              <w:rPr>
                <w:sz w:val="20"/>
                <w:szCs w:val="20"/>
              </w:rPr>
              <w:t>extent</w:t>
            </w:r>
            <w:r w:rsidRPr="0042722D">
              <w:rPr>
                <w:spacing w:val="-5"/>
                <w:sz w:val="20"/>
                <w:szCs w:val="20"/>
              </w:rPr>
              <w:t xml:space="preserve"> </w:t>
            </w:r>
            <w:r w:rsidRPr="0042722D">
              <w:rPr>
                <w:sz w:val="20"/>
                <w:szCs w:val="20"/>
              </w:rPr>
              <w:t>has</w:t>
            </w:r>
            <w:r w:rsidRPr="0042722D">
              <w:rPr>
                <w:spacing w:val="-4"/>
                <w:sz w:val="20"/>
                <w:szCs w:val="20"/>
              </w:rPr>
              <w:t xml:space="preserve"> </w:t>
            </w:r>
            <w:r w:rsidRPr="0042722D">
              <w:rPr>
                <w:sz w:val="20"/>
                <w:szCs w:val="20"/>
              </w:rPr>
              <w:t>VPF,</w:t>
            </w:r>
            <w:r w:rsidRPr="0042722D">
              <w:rPr>
                <w:spacing w:val="-5"/>
                <w:sz w:val="20"/>
                <w:szCs w:val="20"/>
              </w:rPr>
              <w:t xml:space="preserve"> </w:t>
            </w:r>
            <w:r w:rsidRPr="0042722D">
              <w:rPr>
                <w:sz w:val="20"/>
                <w:szCs w:val="20"/>
              </w:rPr>
              <w:t>MJCS</w:t>
            </w:r>
            <w:r w:rsidRPr="0042722D">
              <w:rPr>
                <w:spacing w:val="-5"/>
                <w:sz w:val="20"/>
                <w:szCs w:val="20"/>
              </w:rPr>
              <w:t xml:space="preserve"> </w:t>
            </w:r>
            <w:r w:rsidRPr="0042722D">
              <w:rPr>
                <w:sz w:val="20"/>
                <w:szCs w:val="20"/>
              </w:rPr>
              <w:t>and</w:t>
            </w:r>
            <w:r w:rsidRPr="0042722D">
              <w:rPr>
                <w:spacing w:val="-4"/>
                <w:sz w:val="20"/>
                <w:szCs w:val="20"/>
              </w:rPr>
              <w:t xml:space="preserve"> </w:t>
            </w:r>
            <w:r w:rsidRPr="0042722D">
              <w:rPr>
                <w:sz w:val="20"/>
                <w:szCs w:val="20"/>
              </w:rPr>
              <w:t>justice</w:t>
            </w:r>
            <w:r w:rsidRPr="0042722D">
              <w:rPr>
                <w:spacing w:val="-4"/>
                <w:sz w:val="20"/>
                <w:szCs w:val="20"/>
              </w:rPr>
              <w:t xml:space="preserve"> </w:t>
            </w:r>
            <w:r w:rsidRPr="0042722D">
              <w:rPr>
                <w:sz w:val="20"/>
                <w:szCs w:val="20"/>
              </w:rPr>
              <w:t>agencies institutional capacity been strengthened?</w:t>
            </w:r>
          </w:p>
          <w:p w14:paraId="463F6428" w14:textId="77777777" w:rsidR="009C36E3" w:rsidRPr="0042722D" w:rsidRDefault="000E7207">
            <w:pPr>
              <w:pStyle w:val="TableParagraph"/>
              <w:numPr>
                <w:ilvl w:val="0"/>
                <w:numId w:val="24"/>
              </w:numPr>
              <w:tabs>
                <w:tab w:val="left" w:pos="468"/>
              </w:tabs>
              <w:spacing w:before="63" w:line="237" w:lineRule="auto"/>
              <w:ind w:right="134" w:hanging="361"/>
              <w:rPr>
                <w:sz w:val="20"/>
                <w:szCs w:val="20"/>
              </w:rPr>
            </w:pPr>
            <w:r w:rsidRPr="0042722D">
              <w:rPr>
                <w:sz w:val="20"/>
                <w:szCs w:val="20"/>
              </w:rPr>
              <w:t>What</w:t>
            </w:r>
            <w:r w:rsidRPr="0042722D">
              <w:rPr>
                <w:spacing w:val="-2"/>
                <w:sz w:val="20"/>
                <w:szCs w:val="20"/>
              </w:rPr>
              <w:t xml:space="preserve"> </w:t>
            </w:r>
            <w:r w:rsidRPr="0042722D">
              <w:rPr>
                <w:sz w:val="20"/>
                <w:szCs w:val="20"/>
              </w:rPr>
              <w:t>sort</w:t>
            </w:r>
            <w:r w:rsidRPr="0042722D">
              <w:rPr>
                <w:spacing w:val="-2"/>
                <w:sz w:val="20"/>
                <w:szCs w:val="20"/>
              </w:rPr>
              <w:t xml:space="preserve"> </w:t>
            </w:r>
            <w:r w:rsidRPr="0042722D">
              <w:rPr>
                <w:sz w:val="20"/>
                <w:szCs w:val="20"/>
              </w:rPr>
              <w:t>of change resulting</w:t>
            </w:r>
            <w:r w:rsidRPr="0042722D">
              <w:rPr>
                <w:spacing w:val="-2"/>
                <w:sz w:val="20"/>
                <w:szCs w:val="20"/>
              </w:rPr>
              <w:t xml:space="preserve"> </w:t>
            </w:r>
            <w:r w:rsidRPr="0042722D">
              <w:rPr>
                <w:sz w:val="20"/>
                <w:szCs w:val="20"/>
              </w:rPr>
              <w:t>from VAPJP</w:t>
            </w:r>
            <w:r w:rsidRPr="0042722D">
              <w:rPr>
                <w:spacing w:val="-3"/>
                <w:sz w:val="20"/>
                <w:szCs w:val="20"/>
              </w:rPr>
              <w:t xml:space="preserve"> </w:t>
            </w:r>
            <w:r w:rsidRPr="0042722D">
              <w:rPr>
                <w:sz w:val="20"/>
                <w:szCs w:val="20"/>
              </w:rPr>
              <w:t>interventions has been experienced by targeted EOPO end users/ beneficiaries</w:t>
            </w:r>
            <w:r w:rsidRPr="0042722D">
              <w:rPr>
                <w:spacing w:val="-4"/>
                <w:sz w:val="20"/>
                <w:szCs w:val="20"/>
              </w:rPr>
              <w:t xml:space="preserve"> </w:t>
            </w:r>
            <w:r w:rsidRPr="0042722D">
              <w:rPr>
                <w:sz w:val="20"/>
                <w:szCs w:val="20"/>
              </w:rPr>
              <w:t>–</w:t>
            </w:r>
            <w:r w:rsidRPr="0042722D">
              <w:rPr>
                <w:spacing w:val="-6"/>
                <w:sz w:val="20"/>
                <w:szCs w:val="20"/>
              </w:rPr>
              <w:t xml:space="preserve"> </w:t>
            </w:r>
            <w:r w:rsidRPr="0042722D">
              <w:rPr>
                <w:sz w:val="20"/>
                <w:szCs w:val="20"/>
              </w:rPr>
              <w:t>particularly</w:t>
            </w:r>
            <w:r w:rsidRPr="0042722D">
              <w:rPr>
                <w:spacing w:val="-4"/>
                <w:sz w:val="20"/>
                <w:szCs w:val="20"/>
              </w:rPr>
              <w:t xml:space="preserve"> </w:t>
            </w:r>
            <w:r w:rsidRPr="0042722D">
              <w:rPr>
                <w:sz w:val="20"/>
                <w:szCs w:val="20"/>
              </w:rPr>
              <w:t>women,</w:t>
            </w:r>
            <w:r w:rsidRPr="0042722D">
              <w:rPr>
                <w:spacing w:val="-6"/>
                <w:sz w:val="20"/>
                <w:szCs w:val="20"/>
              </w:rPr>
              <w:t xml:space="preserve"> </w:t>
            </w:r>
            <w:r w:rsidRPr="0042722D">
              <w:rPr>
                <w:sz w:val="20"/>
                <w:szCs w:val="20"/>
              </w:rPr>
              <w:t>but</w:t>
            </w:r>
            <w:r w:rsidRPr="0042722D">
              <w:rPr>
                <w:spacing w:val="-6"/>
                <w:sz w:val="20"/>
                <w:szCs w:val="20"/>
              </w:rPr>
              <w:t xml:space="preserve"> </w:t>
            </w:r>
            <w:r w:rsidRPr="0042722D">
              <w:rPr>
                <w:sz w:val="20"/>
                <w:szCs w:val="20"/>
              </w:rPr>
              <w:t>also</w:t>
            </w:r>
            <w:r w:rsidRPr="0042722D">
              <w:rPr>
                <w:spacing w:val="-4"/>
                <w:sz w:val="20"/>
                <w:szCs w:val="20"/>
              </w:rPr>
              <w:t xml:space="preserve"> </w:t>
            </w:r>
            <w:r w:rsidRPr="0042722D">
              <w:rPr>
                <w:sz w:val="20"/>
                <w:szCs w:val="20"/>
              </w:rPr>
              <w:t>children</w:t>
            </w:r>
            <w:r w:rsidRPr="0042722D">
              <w:rPr>
                <w:spacing w:val="-6"/>
                <w:sz w:val="20"/>
                <w:szCs w:val="20"/>
              </w:rPr>
              <w:t xml:space="preserve"> </w:t>
            </w:r>
            <w:r w:rsidRPr="0042722D">
              <w:rPr>
                <w:sz w:val="20"/>
                <w:szCs w:val="20"/>
              </w:rPr>
              <w:t xml:space="preserve">and </w:t>
            </w:r>
            <w:r w:rsidRPr="0042722D">
              <w:rPr>
                <w:spacing w:val="-2"/>
                <w:sz w:val="20"/>
                <w:szCs w:val="20"/>
              </w:rPr>
              <w:t>youth?</w:t>
            </w:r>
          </w:p>
        </w:tc>
        <w:tc>
          <w:tcPr>
            <w:tcW w:w="811" w:type="pct"/>
            <w:tcBorders>
              <w:top w:val="single" w:sz="4" w:space="0" w:color="0064BB"/>
              <w:bottom w:val="single" w:sz="4" w:space="0" w:color="0064BB"/>
            </w:tcBorders>
          </w:tcPr>
          <w:p w14:paraId="08F237B0" w14:textId="77777777" w:rsidR="009C36E3" w:rsidRPr="0042722D" w:rsidRDefault="000E7207">
            <w:pPr>
              <w:pStyle w:val="TableParagraph"/>
              <w:numPr>
                <w:ilvl w:val="0"/>
                <w:numId w:val="23"/>
              </w:numPr>
              <w:tabs>
                <w:tab w:val="left" w:pos="472"/>
              </w:tabs>
              <w:spacing w:before="59"/>
              <w:rPr>
                <w:sz w:val="20"/>
                <w:szCs w:val="20"/>
              </w:rPr>
            </w:pPr>
            <w:r w:rsidRPr="0042722D">
              <w:rPr>
                <w:spacing w:val="-2"/>
                <w:sz w:val="20"/>
                <w:szCs w:val="20"/>
              </w:rPr>
              <w:t>Baseline</w:t>
            </w:r>
          </w:p>
          <w:p w14:paraId="4F4F16A8" w14:textId="77777777" w:rsidR="009C36E3" w:rsidRPr="0042722D" w:rsidRDefault="000E7207">
            <w:pPr>
              <w:pStyle w:val="TableParagraph"/>
              <w:numPr>
                <w:ilvl w:val="0"/>
                <w:numId w:val="23"/>
              </w:numPr>
              <w:tabs>
                <w:tab w:val="left" w:pos="472"/>
              </w:tabs>
              <w:spacing w:before="57"/>
              <w:ind w:right="730"/>
              <w:rPr>
                <w:sz w:val="20"/>
                <w:szCs w:val="20"/>
              </w:rPr>
            </w:pPr>
            <w:r w:rsidRPr="0042722D">
              <w:rPr>
                <w:sz w:val="20"/>
                <w:szCs w:val="20"/>
              </w:rPr>
              <w:t>Extent</w:t>
            </w:r>
            <w:r w:rsidRPr="0042722D">
              <w:rPr>
                <w:spacing w:val="-8"/>
                <w:sz w:val="20"/>
                <w:szCs w:val="20"/>
              </w:rPr>
              <w:t xml:space="preserve"> </w:t>
            </w:r>
            <w:r w:rsidRPr="0042722D">
              <w:rPr>
                <w:sz w:val="20"/>
                <w:szCs w:val="20"/>
              </w:rPr>
              <w:t>of</w:t>
            </w:r>
            <w:r w:rsidRPr="0042722D">
              <w:rPr>
                <w:spacing w:val="-6"/>
                <w:sz w:val="20"/>
                <w:szCs w:val="20"/>
              </w:rPr>
              <w:t xml:space="preserve"> </w:t>
            </w:r>
            <w:r w:rsidRPr="0042722D">
              <w:rPr>
                <w:sz w:val="20"/>
                <w:szCs w:val="20"/>
              </w:rPr>
              <w:t>evidence</w:t>
            </w:r>
            <w:r w:rsidRPr="0042722D">
              <w:rPr>
                <w:spacing w:val="-5"/>
                <w:sz w:val="20"/>
                <w:szCs w:val="20"/>
              </w:rPr>
              <w:t xml:space="preserve"> </w:t>
            </w:r>
            <w:r w:rsidRPr="0042722D">
              <w:rPr>
                <w:sz w:val="20"/>
                <w:szCs w:val="20"/>
              </w:rPr>
              <w:t>of</w:t>
            </w:r>
            <w:r w:rsidRPr="0042722D">
              <w:rPr>
                <w:spacing w:val="-8"/>
                <w:sz w:val="20"/>
                <w:szCs w:val="20"/>
              </w:rPr>
              <w:t xml:space="preserve"> </w:t>
            </w:r>
            <w:r w:rsidRPr="0042722D">
              <w:rPr>
                <w:sz w:val="20"/>
                <w:szCs w:val="20"/>
              </w:rPr>
              <w:t>3</w:t>
            </w:r>
            <w:r w:rsidRPr="0042722D">
              <w:rPr>
                <w:spacing w:val="-5"/>
                <w:sz w:val="20"/>
                <w:szCs w:val="20"/>
              </w:rPr>
              <w:t xml:space="preserve"> </w:t>
            </w:r>
            <w:r w:rsidRPr="0042722D">
              <w:rPr>
                <w:sz w:val="20"/>
                <w:szCs w:val="20"/>
              </w:rPr>
              <w:t>end</w:t>
            </w:r>
            <w:r w:rsidRPr="0042722D">
              <w:rPr>
                <w:spacing w:val="-5"/>
                <w:sz w:val="20"/>
                <w:szCs w:val="20"/>
              </w:rPr>
              <w:t xml:space="preserve"> </w:t>
            </w:r>
            <w:r w:rsidRPr="0042722D">
              <w:rPr>
                <w:sz w:val="20"/>
                <w:szCs w:val="20"/>
              </w:rPr>
              <w:t>of program outcomes and 4 IOs</w:t>
            </w:r>
          </w:p>
          <w:p w14:paraId="2824FBF5" w14:textId="77777777" w:rsidR="009C36E3" w:rsidRPr="0042722D" w:rsidRDefault="000E7207">
            <w:pPr>
              <w:pStyle w:val="TableParagraph"/>
              <w:numPr>
                <w:ilvl w:val="0"/>
                <w:numId w:val="23"/>
              </w:numPr>
              <w:tabs>
                <w:tab w:val="left" w:pos="472"/>
              </w:tabs>
              <w:spacing w:before="60"/>
              <w:ind w:right="136"/>
              <w:rPr>
                <w:sz w:val="20"/>
                <w:szCs w:val="20"/>
              </w:rPr>
            </w:pPr>
            <w:r w:rsidRPr="0042722D">
              <w:rPr>
                <w:sz w:val="20"/>
                <w:szCs w:val="20"/>
              </w:rPr>
              <w:t>Perspectives on changes at a governance</w:t>
            </w:r>
            <w:r w:rsidRPr="0042722D">
              <w:rPr>
                <w:spacing w:val="-15"/>
                <w:sz w:val="20"/>
                <w:szCs w:val="20"/>
              </w:rPr>
              <w:t xml:space="preserve"> </w:t>
            </w:r>
            <w:r w:rsidRPr="0042722D">
              <w:rPr>
                <w:sz w:val="20"/>
                <w:szCs w:val="20"/>
              </w:rPr>
              <w:t>level,</w:t>
            </w:r>
            <w:r w:rsidRPr="0042722D">
              <w:rPr>
                <w:spacing w:val="-12"/>
                <w:sz w:val="20"/>
                <w:szCs w:val="20"/>
              </w:rPr>
              <w:t xml:space="preserve"> </w:t>
            </w:r>
            <w:r w:rsidRPr="0042722D">
              <w:rPr>
                <w:sz w:val="20"/>
                <w:szCs w:val="20"/>
              </w:rPr>
              <w:t>capability/capacity, community level</w:t>
            </w:r>
          </w:p>
          <w:p w14:paraId="2DE2A013" w14:textId="77777777" w:rsidR="009C36E3" w:rsidRPr="0042722D" w:rsidRDefault="000E7207">
            <w:pPr>
              <w:pStyle w:val="TableParagraph"/>
              <w:numPr>
                <w:ilvl w:val="0"/>
                <w:numId w:val="23"/>
              </w:numPr>
              <w:tabs>
                <w:tab w:val="left" w:pos="472"/>
              </w:tabs>
              <w:spacing w:before="59"/>
              <w:ind w:right="500"/>
              <w:rPr>
                <w:sz w:val="20"/>
                <w:szCs w:val="20"/>
              </w:rPr>
            </w:pPr>
            <w:r w:rsidRPr="0042722D">
              <w:rPr>
                <w:sz w:val="20"/>
                <w:szCs w:val="20"/>
              </w:rPr>
              <w:t>Strength</w:t>
            </w:r>
            <w:r w:rsidRPr="0042722D">
              <w:rPr>
                <w:spacing w:val="-10"/>
                <w:sz w:val="20"/>
                <w:szCs w:val="20"/>
              </w:rPr>
              <w:t xml:space="preserve"> </w:t>
            </w:r>
            <w:r w:rsidRPr="0042722D">
              <w:rPr>
                <w:sz w:val="20"/>
                <w:szCs w:val="20"/>
              </w:rPr>
              <w:t>of</w:t>
            </w:r>
            <w:r w:rsidRPr="0042722D">
              <w:rPr>
                <w:spacing w:val="-10"/>
                <w:sz w:val="20"/>
                <w:szCs w:val="20"/>
              </w:rPr>
              <w:t xml:space="preserve"> </w:t>
            </w:r>
            <w:r w:rsidRPr="0042722D">
              <w:rPr>
                <w:sz w:val="20"/>
                <w:szCs w:val="20"/>
              </w:rPr>
              <w:t>evidence</w:t>
            </w:r>
            <w:r w:rsidRPr="0042722D">
              <w:rPr>
                <w:spacing w:val="-8"/>
                <w:sz w:val="20"/>
                <w:szCs w:val="20"/>
              </w:rPr>
              <w:t xml:space="preserve"> </w:t>
            </w:r>
            <w:r w:rsidRPr="0042722D">
              <w:rPr>
                <w:sz w:val="20"/>
                <w:szCs w:val="20"/>
              </w:rPr>
              <w:t>available</w:t>
            </w:r>
            <w:r w:rsidRPr="0042722D">
              <w:rPr>
                <w:spacing w:val="-10"/>
                <w:sz w:val="20"/>
                <w:szCs w:val="20"/>
              </w:rPr>
              <w:t xml:space="preserve"> </w:t>
            </w:r>
            <w:r w:rsidRPr="0042722D">
              <w:rPr>
                <w:sz w:val="20"/>
                <w:szCs w:val="20"/>
              </w:rPr>
              <w:t>to support outcomes assessment</w:t>
            </w:r>
          </w:p>
          <w:p w14:paraId="6A23C9F9" w14:textId="77777777" w:rsidR="009C36E3" w:rsidRPr="0042722D" w:rsidRDefault="000E7207">
            <w:pPr>
              <w:pStyle w:val="TableParagraph"/>
              <w:numPr>
                <w:ilvl w:val="0"/>
                <w:numId w:val="23"/>
              </w:numPr>
              <w:tabs>
                <w:tab w:val="left" w:pos="472"/>
              </w:tabs>
              <w:spacing w:before="58"/>
              <w:ind w:right="218"/>
              <w:rPr>
                <w:sz w:val="20"/>
                <w:szCs w:val="20"/>
              </w:rPr>
            </w:pPr>
            <w:r w:rsidRPr="0042722D">
              <w:rPr>
                <w:sz w:val="20"/>
                <w:szCs w:val="20"/>
              </w:rPr>
              <w:t>Data</w:t>
            </w:r>
            <w:r w:rsidRPr="0042722D">
              <w:rPr>
                <w:spacing w:val="-7"/>
                <w:sz w:val="20"/>
                <w:szCs w:val="20"/>
              </w:rPr>
              <w:t xml:space="preserve"> </w:t>
            </w:r>
            <w:r w:rsidRPr="0042722D">
              <w:rPr>
                <w:sz w:val="20"/>
                <w:szCs w:val="20"/>
              </w:rPr>
              <w:t>related</w:t>
            </w:r>
            <w:r w:rsidRPr="0042722D">
              <w:rPr>
                <w:spacing w:val="-9"/>
                <w:sz w:val="20"/>
                <w:szCs w:val="20"/>
              </w:rPr>
              <w:t xml:space="preserve"> </w:t>
            </w:r>
            <w:r w:rsidRPr="0042722D">
              <w:rPr>
                <w:sz w:val="20"/>
                <w:szCs w:val="20"/>
              </w:rPr>
              <w:t>to</w:t>
            </w:r>
            <w:r w:rsidRPr="0042722D">
              <w:rPr>
                <w:spacing w:val="-7"/>
                <w:sz w:val="20"/>
                <w:szCs w:val="20"/>
              </w:rPr>
              <w:t xml:space="preserve"> </w:t>
            </w:r>
            <w:r w:rsidRPr="0042722D">
              <w:rPr>
                <w:sz w:val="20"/>
                <w:szCs w:val="20"/>
              </w:rPr>
              <w:t>women,</w:t>
            </w:r>
            <w:r w:rsidRPr="0042722D">
              <w:rPr>
                <w:spacing w:val="-7"/>
                <w:sz w:val="20"/>
                <w:szCs w:val="20"/>
              </w:rPr>
              <w:t xml:space="preserve"> </w:t>
            </w:r>
            <w:r w:rsidRPr="0042722D">
              <w:rPr>
                <w:sz w:val="20"/>
                <w:szCs w:val="20"/>
              </w:rPr>
              <w:t>children</w:t>
            </w:r>
            <w:r w:rsidRPr="0042722D">
              <w:rPr>
                <w:spacing w:val="-7"/>
                <w:sz w:val="20"/>
                <w:szCs w:val="20"/>
              </w:rPr>
              <w:t xml:space="preserve"> </w:t>
            </w:r>
            <w:r w:rsidRPr="0042722D">
              <w:rPr>
                <w:sz w:val="20"/>
                <w:szCs w:val="20"/>
              </w:rPr>
              <w:t xml:space="preserve">and </w:t>
            </w:r>
            <w:r w:rsidRPr="0042722D">
              <w:rPr>
                <w:spacing w:val="-2"/>
                <w:sz w:val="20"/>
                <w:szCs w:val="20"/>
              </w:rPr>
              <w:t>youth</w:t>
            </w:r>
          </w:p>
        </w:tc>
        <w:tc>
          <w:tcPr>
            <w:tcW w:w="531" w:type="pct"/>
            <w:tcBorders>
              <w:top w:val="single" w:sz="4" w:space="0" w:color="0064BB"/>
              <w:bottom w:val="single" w:sz="4" w:space="0" w:color="0064BB"/>
            </w:tcBorders>
          </w:tcPr>
          <w:p w14:paraId="7A0843D3" w14:textId="77777777" w:rsidR="009C36E3" w:rsidRPr="0042722D" w:rsidRDefault="000E7207">
            <w:pPr>
              <w:pStyle w:val="TableParagraph"/>
              <w:ind w:left="129" w:right="755"/>
              <w:rPr>
                <w:sz w:val="20"/>
                <w:szCs w:val="20"/>
              </w:rPr>
            </w:pPr>
            <w:r w:rsidRPr="0042722D">
              <w:rPr>
                <w:sz w:val="20"/>
                <w:szCs w:val="20"/>
              </w:rPr>
              <w:t>VAPJP</w:t>
            </w:r>
            <w:r w:rsidRPr="0042722D">
              <w:rPr>
                <w:spacing w:val="-14"/>
                <w:sz w:val="20"/>
                <w:szCs w:val="20"/>
              </w:rPr>
              <w:t xml:space="preserve"> </w:t>
            </w:r>
            <w:r w:rsidRPr="0042722D">
              <w:rPr>
                <w:sz w:val="20"/>
                <w:szCs w:val="20"/>
              </w:rPr>
              <w:t xml:space="preserve">Program </w:t>
            </w:r>
            <w:r w:rsidRPr="0042722D">
              <w:rPr>
                <w:spacing w:val="-2"/>
                <w:sz w:val="20"/>
                <w:szCs w:val="20"/>
              </w:rPr>
              <w:t>Reports</w:t>
            </w:r>
          </w:p>
          <w:p w14:paraId="2A1EE4D9" w14:textId="77777777" w:rsidR="009C36E3" w:rsidRPr="0042722D" w:rsidRDefault="000E7207">
            <w:pPr>
              <w:pStyle w:val="TableParagraph"/>
              <w:spacing w:before="80"/>
              <w:ind w:left="129"/>
              <w:rPr>
                <w:sz w:val="20"/>
                <w:szCs w:val="20"/>
              </w:rPr>
            </w:pPr>
            <w:r w:rsidRPr="0042722D">
              <w:rPr>
                <w:sz w:val="20"/>
                <w:szCs w:val="20"/>
              </w:rPr>
              <w:t>MJCS</w:t>
            </w:r>
            <w:r w:rsidRPr="0042722D">
              <w:rPr>
                <w:spacing w:val="-8"/>
                <w:sz w:val="20"/>
                <w:szCs w:val="20"/>
              </w:rPr>
              <w:t xml:space="preserve"> </w:t>
            </w:r>
            <w:r w:rsidRPr="0042722D">
              <w:rPr>
                <w:spacing w:val="-2"/>
                <w:sz w:val="20"/>
                <w:szCs w:val="20"/>
              </w:rPr>
              <w:t>reporting</w:t>
            </w:r>
          </w:p>
          <w:p w14:paraId="7E3E2195" w14:textId="77777777" w:rsidR="009C36E3" w:rsidRPr="0042722D" w:rsidRDefault="000E7207">
            <w:pPr>
              <w:pStyle w:val="TableParagraph"/>
              <w:spacing w:before="80"/>
              <w:ind w:left="129" w:right="221"/>
              <w:rPr>
                <w:sz w:val="20"/>
                <w:szCs w:val="20"/>
              </w:rPr>
            </w:pPr>
            <w:r w:rsidRPr="0042722D">
              <w:rPr>
                <w:sz w:val="20"/>
                <w:szCs w:val="20"/>
              </w:rPr>
              <w:t>The</w:t>
            </w:r>
            <w:r w:rsidRPr="0042722D">
              <w:rPr>
                <w:spacing w:val="-14"/>
                <w:sz w:val="20"/>
                <w:szCs w:val="20"/>
              </w:rPr>
              <w:t xml:space="preserve"> </w:t>
            </w:r>
            <w:r w:rsidRPr="0042722D">
              <w:rPr>
                <w:sz w:val="20"/>
                <w:szCs w:val="20"/>
              </w:rPr>
              <w:t>Vanuatu-Australia Policing and Justice Services Study (Putt and Dinnen)</w:t>
            </w:r>
          </w:p>
        </w:tc>
        <w:tc>
          <w:tcPr>
            <w:tcW w:w="226" w:type="pct"/>
            <w:tcBorders>
              <w:top w:val="single" w:sz="4" w:space="0" w:color="0064BB"/>
              <w:bottom w:val="single" w:sz="4" w:space="0" w:color="0064BB"/>
            </w:tcBorders>
          </w:tcPr>
          <w:p w14:paraId="309B5FA5" w14:textId="16220480" w:rsidR="009C36E3" w:rsidRPr="0042722D" w:rsidRDefault="00EB07D1" w:rsidP="00EB07D1">
            <w:pPr>
              <w:pStyle w:val="TableParagraph"/>
              <w:spacing w:before="81"/>
              <w:ind w:left="321"/>
              <w:rPr>
                <w:sz w:val="20"/>
                <w:szCs w:val="20"/>
              </w:rPr>
            </w:pPr>
            <w:r w:rsidRPr="0042722D">
              <w:rPr>
                <w:sz w:val="20"/>
                <w:szCs w:val="20"/>
              </w:rPr>
              <w:t>X</w:t>
            </w:r>
          </w:p>
        </w:tc>
        <w:tc>
          <w:tcPr>
            <w:tcW w:w="264" w:type="pct"/>
            <w:tcBorders>
              <w:top w:val="single" w:sz="4" w:space="0" w:color="0064BB"/>
              <w:bottom w:val="single" w:sz="4" w:space="0" w:color="0064BB"/>
            </w:tcBorders>
          </w:tcPr>
          <w:p w14:paraId="53B10300" w14:textId="77777777" w:rsidR="009C36E3" w:rsidRPr="0042722D" w:rsidRDefault="000E7207">
            <w:pPr>
              <w:pStyle w:val="TableParagraph"/>
              <w:spacing w:before="81"/>
              <w:ind w:left="321"/>
              <w:rPr>
                <w:sz w:val="20"/>
                <w:szCs w:val="20"/>
              </w:rPr>
            </w:pPr>
            <w:r w:rsidRPr="0042722D">
              <w:rPr>
                <w:rFonts w:ascii="Segoe UI Symbol" w:hAnsi="Segoe UI Symbol" w:cs="Segoe UI Symbol"/>
                <w:spacing w:val="-10"/>
                <w:sz w:val="20"/>
                <w:szCs w:val="20"/>
              </w:rPr>
              <w:t>✔</w:t>
            </w:r>
          </w:p>
        </w:tc>
        <w:tc>
          <w:tcPr>
            <w:tcW w:w="225" w:type="pct"/>
            <w:tcBorders>
              <w:top w:val="single" w:sz="4" w:space="0" w:color="0064BB"/>
              <w:bottom w:val="single" w:sz="4" w:space="0" w:color="0064BB"/>
            </w:tcBorders>
          </w:tcPr>
          <w:p w14:paraId="48CCEA78" w14:textId="77777777" w:rsidR="009C36E3" w:rsidRPr="0042722D" w:rsidRDefault="000E7207">
            <w:pPr>
              <w:pStyle w:val="TableParagraph"/>
              <w:spacing w:before="81"/>
              <w:ind w:left="303"/>
              <w:rPr>
                <w:sz w:val="20"/>
                <w:szCs w:val="20"/>
              </w:rPr>
            </w:pPr>
            <w:r w:rsidRPr="0042722D">
              <w:rPr>
                <w:rFonts w:ascii="Segoe UI Symbol" w:hAnsi="Segoe UI Symbol" w:cs="Segoe UI Symbol"/>
                <w:spacing w:val="-10"/>
                <w:sz w:val="20"/>
                <w:szCs w:val="20"/>
              </w:rPr>
              <w:t>✔</w:t>
            </w:r>
          </w:p>
        </w:tc>
        <w:tc>
          <w:tcPr>
            <w:tcW w:w="350" w:type="pct"/>
            <w:tcBorders>
              <w:top w:val="single" w:sz="4" w:space="0" w:color="0064BB"/>
              <w:bottom w:val="single" w:sz="4" w:space="0" w:color="0064BB"/>
            </w:tcBorders>
          </w:tcPr>
          <w:p w14:paraId="784BE4C4" w14:textId="77777777" w:rsidR="009C36E3" w:rsidRPr="0042722D" w:rsidRDefault="000E7207">
            <w:pPr>
              <w:pStyle w:val="TableParagraph"/>
              <w:spacing w:before="81"/>
              <w:ind w:left="308"/>
              <w:rPr>
                <w:sz w:val="20"/>
                <w:szCs w:val="20"/>
              </w:rPr>
            </w:pPr>
            <w:r w:rsidRPr="0042722D">
              <w:rPr>
                <w:rFonts w:ascii="Segoe UI Symbol" w:hAnsi="Segoe UI Symbol" w:cs="Segoe UI Symbol"/>
                <w:spacing w:val="-10"/>
                <w:sz w:val="20"/>
                <w:szCs w:val="20"/>
              </w:rPr>
              <w:t>✔</w:t>
            </w:r>
          </w:p>
        </w:tc>
        <w:tc>
          <w:tcPr>
            <w:tcW w:w="349" w:type="pct"/>
            <w:tcBorders>
              <w:top w:val="single" w:sz="4" w:space="0" w:color="0064BB"/>
              <w:bottom w:val="single" w:sz="4" w:space="0" w:color="0064BB"/>
            </w:tcBorders>
          </w:tcPr>
          <w:p w14:paraId="129437FB" w14:textId="77777777" w:rsidR="009C36E3" w:rsidRPr="0042722D" w:rsidRDefault="000E7207">
            <w:pPr>
              <w:pStyle w:val="TableParagraph"/>
              <w:spacing w:before="81"/>
              <w:ind w:left="118"/>
              <w:rPr>
                <w:sz w:val="20"/>
                <w:szCs w:val="20"/>
              </w:rPr>
            </w:pPr>
            <w:r w:rsidRPr="0042722D">
              <w:rPr>
                <w:rFonts w:ascii="Segoe UI Symbol" w:hAnsi="Segoe UI Symbol" w:cs="Segoe UI Symbol"/>
                <w:spacing w:val="-10"/>
                <w:sz w:val="20"/>
                <w:szCs w:val="20"/>
              </w:rPr>
              <w:t>✔</w:t>
            </w:r>
          </w:p>
        </w:tc>
        <w:tc>
          <w:tcPr>
            <w:tcW w:w="374" w:type="pct"/>
            <w:tcBorders>
              <w:top w:val="single" w:sz="4" w:space="0" w:color="0064BB"/>
              <w:bottom w:val="single" w:sz="4" w:space="0" w:color="0064BB"/>
            </w:tcBorders>
          </w:tcPr>
          <w:p w14:paraId="5B344690" w14:textId="77777777" w:rsidR="009C36E3" w:rsidRPr="0042722D" w:rsidRDefault="000E7207">
            <w:pPr>
              <w:pStyle w:val="TableParagraph"/>
              <w:spacing w:before="81"/>
              <w:ind w:left="417"/>
              <w:rPr>
                <w:sz w:val="20"/>
                <w:szCs w:val="20"/>
              </w:rPr>
            </w:pPr>
            <w:r w:rsidRPr="0042722D">
              <w:rPr>
                <w:rFonts w:ascii="Segoe UI Symbol" w:hAnsi="Segoe UI Symbol" w:cs="Segoe UI Symbol"/>
                <w:spacing w:val="-10"/>
                <w:sz w:val="20"/>
                <w:szCs w:val="20"/>
              </w:rPr>
              <w:t>✔</w:t>
            </w:r>
          </w:p>
        </w:tc>
      </w:tr>
      <w:tr w:rsidR="004C027C" w14:paraId="580DD4FB" w14:textId="77777777" w:rsidTr="008439AE">
        <w:trPr>
          <w:trHeight w:val="2956"/>
        </w:trPr>
        <w:tc>
          <w:tcPr>
            <w:tcW w:w="721" w:type="pct"/>
            <w:tcBorders>
              <w:top w:val="single" w:sz="4" w:space="0" w:color="0064BB"/>
              <w:bottom w:val="single" w:sz="4" w:space="0" w:color="0064BB"/>
            </w:tcBorders>
            <w:shd w:val="clear" w:color="auto" w:fill="F1F1F1"/>
          </w:tcPr>
          <w:p w14:paraId="03229901" w14:textId="77777777" w:rsidR="004C027C" w:rsidRPr="00F5448A" w:rsidRDefault="004C027C" w:rsidP="00BA7E58">
            <w:pPr>
              <w:pStyle w:val="TableParagraph"/>
              <w:ind w:left="468" w:right="351" w:hanging="360"/>
              <w:rPr>
                <w:b/>
                <w:sz w:val="20"/>
                <w:szCs w:val="20"/>
              </w:rPr>
            </w:pPr>
            <w:r w:rsidRPr="00F5448A">
              <w:rPr>
                <w:b/>
                <w:sz w:val="20"/>
                <w:szCs w:val="20"/>
              </w:rPr>
              <w:t>1.2 To what extent is VAPJP achieving results in gender equality,</w:t>
            </w:r>
            <w:r w:rsidRPr="009403C3">
              <w:rPr>
                <w:b/>
                <w:sz w:val="20"/>
                <w:szCs w:val="20"/>
              </w:rPr>
              <w:t xml:space="preserve"> </w:t>
            </w:r>
            <w:r w:rsidRPr="00F5448A">
              <w:rPr>
                <w:b/>
                <w:sz w:val="20"/>
                <w:szCs w:val="20"/>
              </w:rPr>
              <w:t>disability</w:t>
            </w:r>
            <w:r w:rsidRPr="009403C3">
              <w:rPr>
                <w:b/>
                <w:sz w:val="20"/>
                <w:szCs w:val="20"/>
              </w:rPr>
              <w:t xml:space="preserve"> </w:t>
            </w:r>
            <w:r w:rsidRPr="00F5448A">
              <w:rPr>
                <w:b/>
                <w:sz w:val="20"/>
                <w:szCs w:val="20"/>
              </w:rPr>
              <w:t>and</w:t>
            </w:r>
            <w:r w:rsidRPr="009403C3">
              <w:rPr>
                <w:b/>
                <w:sz w:val="20"/>
                <w:szCs w:val="20"/>
              </w:rPr>
              <w:t xml:space="preserve"> </w:t>
            </w:r>
            <w:r w:rsidRPr="00F5448A">
              <w:rPr>
                <w:b/>
                <w:sz w:val="20"/>
                <w:szCs w:val="20"/>
              </w:rPr>
              <w:t xml:space="preserve">social </w:t>
            </w:r>
            <w:r w:rsidRPr="009403C3">
              <w:rPr>
                <w:b/>
                <w:sz w:val="20"/>
                <w:szCs w:val="20"/>
              </w:rPr>
              <w:t>inclusion?</w:t>
            </w:r>
          </w:p>
        </w:tc>
        <w:tc>
          <w:tcPr>
            <w:tcW w:w="1149" w:type="pct"/>
            <w:tcBorders>
              <w:top w:val="single" w:sz="4" w:space="0" w:color="0064BB"/>
              <w:bottom w:val="single" w:sz="4" w:space="0" w:color="0064BB"/>
            </w:tcBorders>
          </w:tcPr>
          <w:p w14:paraId="61547030" w14:textId="77777777" w:rsidR="004C027C" w:rsidRPr="00F5448A" w:rsidRDefault="004C027C" w:rsidP="004C027C">
            <w:pPr>
              <w:pStyle w:val="TableParagraph"/>
              <w:numPr>
                <w:ilvl w:val="0"/>
                <w:numId w:val="22"/>
              </w:numPr>
              <w:tabs>
                <w:tab w:val="left" w:pos="468"/>
              </w:tabs>
              <w:spacing w:before="66" w:line="232" w:lineRule="auto"/>
              <w:ind w:right="375"/>
              <w:rPr>
                <w:sz w:val="20"/>
                <w:szCs w:val="20"/>
              </w:rPr>
            </w:pPr>
            <w:r w:rsidRPr="00F5448A">
              <w:rPr>
                <w:sz w:val="20"/>
                <w:szCs w:val="20"/>
              </w:rPr>
              <w:t>Is</w:t>
            </w:r>
            <w:r w:rsidRPr="008A7763">
              <w:rPr>
                <w:sz w:val="20"/>
                <w:szCs w:val="20"/>
              </w:rPr>
              <w:t xml:space="preserve"> </w:t>
            </w:r>
            <w:r w:rsidRPr="00F5448A">
              <w:rPr>
                <w:sz w:val="20"/>
                <w:szCs w:val="20"/>
              </w:rPr>
              <w:t>the</w:t>
            </w:r>
            <w:r w:rsidRPr="008A7763">
              <w:rPr>
                <w:sz w:val="20"/>
                <w:szCs w:val="20"/>
              </w:rPr>
              <w:t xml:space="preserve"> </w:t>
            </w:r>
            <w:r w:rsidRPr="00F5448A">
              <w:rPr>
                <w:sz w:val="20"/>
                <w:szCs w:val="20"/>
              </w:rPr>
              <w:t>program</w:t>
            </w:r>
            <w:r w:rsidRPr="008A7763">
              <w:rPr>
                <w:sz w:val="20"/>
                <w:szCs w:val="20"/>
              </w:rPr>
              <w:t xml:space="preserve"> </w:t>
            </w:r>
            <w:r w:rsidRPr="00F5448A">
              <w:rPr>
                <w:sz w:val="20"/>
                <w:szCs w:val="20"/>
              </w:rPr>
              <w:t>on</w:t>
            </w:r>
            <w:r w:rsidRPr="008A7763">
              <w:rPr>
                <w:sz w:val="20"/>
                <w:szCs w:val="20"/>
              </w:rPr>
              <w:t xml:space="preserve"> </w:t>
            </w:r>
            <w:r w:rsidRPr="00F5448A">
              <w:rPr>
                <w:sz w:val="20"/>
                <w:szCs w:val="20"/>
              </w:rPr>
              <w:t>track</w:t>
            </w:r>
            <w:r w:rsidRPr="008A7763">
              <w:rPr>
                <w:sz w:val="20"/>
                <w:szCs w:val="20"/>
              </w:rPr>
              <w:t xml:space="preserve"> </w:t>
            </w:r>
            <w:r w:rsidRPr="00F5448A">
              <w:rPr>
                <w:sz w:val="20"/>
                <w:szCs w:val="20"/>
              </w:rPr>
              <w:t>to</w:t>
            </w:r>
            <w:r w:rsidRPr="008A7763">
              <w:rPr>
                <w:sz w:val="20"/>
                <w:szCs w:val="20"/>
              </w:rPr>
              <w:t xml:space="preserve"> </w:t>
            </w:r>
            <w:r w:rsidRPr="00F5448A">
              <w:rPr>
                <w:sz w:val="20"/>
                <w:szCs w:val="20"/>
              </w:rPr>
              <w:t>achieve</w:t>
            </w:r>
            <w:r w:rsidRPr="008A7763">
              <w:rPr>
                <w:sz w:val="20"/>
                <w:szCs w:val="20"/>
              </w:rPr>
              <w:t xml:space="preserve"> </w:t>
            </w:r>
            <w:r w:rsidRPr="00F5448A">
              <w:rPr>
                <w:sz w:val="20"/>
                <w:szCs w:val="20"/>
              </w:rPr>
              <w:t>its</w:t>
            </w:r>
            <w:r w:rsidRPr="008A7763">
              <w:rPr>
                <w:sz w:val="20"/>
                <w:szCs w:val="20"/>
              </w:rPr>
              <w:t xml:space="preserve"> </w:t>
            </w:r>
            <w:r w:rsidRPr="00F5448A">
              <w:rPr>
                <w:sz w:val="20"/>
                <w:szCs w:val="20"/>
              </w:rPr>
              <w:t>gender</w:t>
            </w:r>
            <w:r w:rsidRPr="008A7763">
              <w:rPr>
                <w:sz w:val="20"/>
                <w:szCs w:val="20"/>
              </w:rPr>
              <w:t xml:space="preserve"> </w:t>
            </w:r>
            <w:r w:rsidRPr="00F5448A">
              <w:rPr>
                <w:sz w:val="20"/>
                <w:szCs w:val="20"/>
              </w:rPr>
              <w:t xml:space="preserve">equality </w:t>
            </w:r>
            <w:r w:rsidRPr="008A7763">
              <w:rPr>
                <w:sz w:val="20"/>
                <w:szCs w:val="20"/>
              </w:rPr>
              <w:t>objectives?</w:t>
            </w:r>
          </w:p>
        </w:tc>
        <w:tc>
          <w:tcPr>
            <w:tcW w:w="811" w:type="pct"/>
            <w:tcBorders>
              <w:top w:val="single" w:sz="4" w:space="0" w:color="0064BB"/>
              <w:bottom w:val="single" w:sz="4" w:space="0" w:color="0064BB"/>
            </w:tcBorders>
          </w:tcPr>
          <w:p w14:paraId="7F60BD73" w14:textId="77777777" w:rsidR="004C027C" w:rsidRPr="00F5448A" w:rsidRDefault="004C027C" w:rsidP="004C027C">
            <w:pPr>
              <w:pStyle w:val="TableParagraph"/>
              <w:numPr>
                <w:ilvl w:val="0"/>
                <w:numId w:val="21"/>
              </w:numPr>
              <w:tabs>
                <w:tab w:val="left" w:pos="472"/>
              </w:tabs>
              <w:spacing w:before="60"/>
              <w:rPr>
                <w:sz w:val="20"/>
                <w:szCs w:val="20"/>
              </w:rPr>
            </w:pPr>
            <w:r w:rsidRPr="00F5448A">
              <w:rPr>
                <w:spacing w:val="-2"/>
                <w:sz w:val="20"/>
                <w:szCs w:val="20"/>
              </w:rPr>
              <w:t>Baseline</w:t>
            </w:r>
          </w:p>
          <w:p w14:paraId="3D50D7B8" w14:textId="77777777" w:rsidR="004C027C" w:rsidRPr="00F5448A" w:rsidRDefault="004C027C" w:rsidP="004C027C">
            <w:pPr>
              <w:pStyle w:val="TableParagraph"/>
              <w:numPr>
                <w:ilvl w:val="0"/>
                <w:numId w:val="21"/>
              </w:numPr>
              <w:tabs>
                <w:tab w:val="left" w:pos="472"/>
              </w:tabs>
              <w:spacing w:before="62" w:line="237" w:lineRule="auto"/>
              <w:ind w:right="448"/>
              <w:rPr>
                <w:sz w:val="20"/>
                <w:szCs w:val="20"/>
              </w:rPr>
            </w:pPr>
            <w:r w:rsidRPr="00F5448A">
              <w:rPr>
                <w:sz w:val="20"/>
                <w:szCs w:val="20"/>
              </w:rPr>
              <w:t>Extent</w:t>
            </w:r>
            <w:r w:rsidRPr="00F5448A">
              <w:rPr>
                <w:spacing w:val="-8"/>
                <w:sz w:val="20"/>
                <w:szCs w:val="20"/>
              </w:rPr>
              <w:t xml:space="preserve"> </w:t>
            </w:r>
            <w:r w:rsidRPr="00F5448A">
              <w:rPr>
                <w:sz w:val="20"/>
                <w:szCs w:val="20"/>
              </w:rPr>
              <w:t>of</w:t>
            </w:r>
            <w:r w:rsidRPr="00F5448A">
              <w:rPr>
                <w:spacing w:val="-10"/>
                <w:sz w:val="20"/>
                <w:szCs w:val="20"/>
              </w:rPr>
              <w:t xml:space="preserve"> </w:t>
            </w:r>
            <w:r w:rsidRPr="00F5448A">
              <w:rPr>
                <w:sz w:val="20"/>
                <w:szCs w:val="20"/>
              </w:rPr>
              <w:t>evidence</w:t>
            </w:r>
            <w:r w:rsidRPr="00F5448A">
              <w:rPr>
                <w:spacing w:val="-10"/>
                <w:sz w:val="20"/>
                <w:szCs w:val="20"/>
              </w:rPr>
              <w:t xml:space="preserve"> </w:t>
            </w:r>
            <w:r w:rsidRPr="00F5448A">
              <w:rPr>
                <w:sz w:val="20"/>
                <w:szCs w:val="20"/>
              </w:rPr>
              <w:t>of</w:t>
            </w:r>
            <w:r w:rsidRPr="00F5448A">
              <w:rPr>
                <w:spacing w:val="-8"/>
                <w:sz w:val="20"/>
                <w:szCs w:val="20"/>
              </w:rPr>
              <w:t xml:space="preserve"> </w:t>
            </w:r>
            <w:r w:rsidRPr="00F5448A">
              <w:rPr>
                <w:sz w:val="20"/>
                <w:szCs w:val="20"/>
              </w:rPr>
              <w:t>3</w:t>
            </w:r>
            <w:r w:rsidRPr="00F5448A">
              <w:rPr>
                <w:spacing w:val="-8"/>
                <w:sz w:val="20"/>
                <w:szCs w:val="20"/>
              </w:rPr>
              <w:t xml:space="preserve"> </w:t>
            </w:r>
            <w:r w:rsidRPr="00F5448A">
              <w:rPr>
                <w:sz w:val="20"/>
                <w:szCs w:val="20"/>
              </w:rPr>
              <w:t>EOPO and 4 IOs</w:t>
            </w:r>
          </w:p>
          <w:p w14:paraId="617079E5" w14:textId="77777777" w:rsidR="004C027C" w:rsidRPr="00F5448A" w:rsidRDefault="004C027C" w:rsidP="004C027C">
            <w:pPr>
              <w:pStyle w:val="TableParagraph"/>
              <w:numPr>
                <w:ilvl w:val="0"/>
                <w:numId w:val="21"/>
              </w:numPr>
              <w:tabs>
                <w:tab w:val="left" w:pos="472"/>
              </w:tabs>
              <w:spacing w:before="60"/>
              <w:ind w:right="414"/>
              <w:rPr>
                <w:sz w:val="20"/>
                <w:szCs w:val="20"/>
              </w:rPr>
            </w:pPr>
            <w:r w:rsidRPr="00F5448A">
              <w:rPr>
                <w:sz w:val="20"/>
                <w:szCs w:val="20"/>
              </w:rPr>
              <w:t>Perspectives on changes at a governance level, capability/capacity,</w:t>
            </w:r>
            <w:r w:rsidRPr="00F5448A">
              <w:rPr>
                <w:spacing w:val="-14"/>
                <w:sz w:val="20"/>
                <w:szCs w:val="20"/>
              </w:rPr>
              <w:t xml:space="preserve"> </w:t>
            </w:r>
            <w:r w:rsidRPr="00F5448A">
              <w:rPr>
                <w:sz w:val="20"/>
                <w:szCs w:val="20"/>
              </w:rPr>
              <w:t xml:space="preserve">community </w:t>
            </w:r>
            <w:r w:rsidRPr="00F5448A">
              <w:rPr>
                <w:spacing w:val="-2"/>
                <w:sz w:val="20"/>
                <w:szCs w:val="20"/>
              </w:rPr>
              <w:t>level</w:t>
            </w:r>
          </w:p>
          <w:p w14:paraId="33012E0B" w14:textId="77777777" w:rsidR="004C027C" w:rsidRPr="00F5448A" w:rsidRDefault="004C027C" w:rsidP="004C027C">
            <w:pPr>
              <w:pStyle w:val="TableParagraph"/>
              <w:numPr>
                <w:ilvl w:val="0"/>
                <w:numId w:val="21"/>
              </w:numPr>
              <w:tabs>
                <w:tab w:val="left" w:pos="472"/>
              </w:tabs>
              <w:spacing w:before="61" w:line="237" w:lineRule="auto"/>
              <w:ind w:right="214"/>
              <w:rPr>
                <w:sz w:val="20"/>
                <w:szCs w:val="20"/>
              </w:rPr>
            </w:pPr>
            <w:r w:rsidRPr="00F5448A">
              <w:rPr>
                <w:sz w:val="20"/>
                <w:szCs w:val="20"/>
              </w:rPr>
              <w:t>Strength</w:t>
            </w:r>
            <w:r w:rsidRPr="00F5448A">
              <w:rPr>
                <w:spacing w:val="-10"/>
                <w:sz w:val="20"/>
                <w:szCs w:val="20"/>
              </w:rPr>
              <w:t xml:space="preserve"> </w:t>
            </w:r>
            <w:r w:rsidRPr="00F5448A">
              <w:rPr>
                <w:sz w:val="20"/>
                <w:szCs w:val="20"/>
              </w:rPr>
              <w:t>of</w:t>
            </w:r>
            <w:r w:rsidRPr="00F5448A">
              <w:rPr>
                <w:spacing w:val="-12"/>
                <w:sz w:val="20"/>
                <w:szCs w:val="20"/>
              </w:rPr>
              <w:t xml:space="preserve"> </w:t>
            </w:r>
            <w:r w:rsidRPr="00F5448A">
              <w:rPr>
                <w:sz w:val="20"/>
                <w:szCs w:val="20"/>
              </w:rPr>
              <w:t>evidence</w:t>
            </w:r>
            <w:r w:rsidRPr="00F5448A">
              <w:rPr>
                <w:spacing w:val="-10"/>
                <w:sz w:val="20"/>
                <w:szCs w:val="20"/>
              </w:rPr>
              <w:t xml:space="preserve"> </w:t>
            </w:r>
            <w:r w:rsidRPr="00F5448A">
              <w:rPr>
                <w:sz w:val="20"/>
                <w:szCs w:val="20"/>
              </w:rPr>
              <w:t>available</w:t>
            </w:r>
            <w:r w:rsidRPr="00F5448A">
              <w:rPr>
                <w:spacing w:val="-10"/>
                <w:sz w:val="20"/>
                <w:szCs w:val="20"/>
              </w:rPr>
              <w:t xml:space="preserve"> </w:t>
            </w:r>
            <w:r w:rsidRPr="00F5448A">
              <w:rPr>
                <w:sz w:val="20"/>
                <w:szCs w:val="20"/>
              </w:rPr>
              <w:t>to support outcomes assessment</w:t>
            </w:r>
          </w:p>
          <w:p w14:paraId="4F502C65" w14:textId="77777777" w:rsidR="004C027C" w:rsidRPr="00F5448A" w:rsidRDefault="004C027C" w:rsidP="004C027C">
            <w:pPr>
              <w:pStyle w:val="TableParagraph"/>
              <w:numPr>
                <w:ilvl w:val="0"/>
                <w:numId w:val="21"/>
              </w:numPr>
              <w:tabs>
                <w:tab w:val="left" w:pos="471"/>
              </w:tabs>
              <w:spacing w:before="63" w:line="237" w:lineRule="auto"/>
              <w:ind w:left="471" w:right="291"/>
              <w:rPr>
                <w:sz w:val="20"/>
                <w:szCs w:val="20"/>
              </w:rPr>
            </w:pPr>
            <w:r w:rsidRPr="00F5448A">
              <w:rPr>
                <w:sz w:val="20"/>
                <w:szCs w:val="20"/>
              </w:rPr>
              <w:t>Data</w:t>
            </w:r>
            <w:r w:rsidRPr="00F5448A">
              <w:rPr>
                <w:spacing w:val="-10"/>
                <w:sz w:val="20"/>
                <w:szCs w:val="20"/>
              </w:rPr>
              <w:t xml:space="preserve"> </w:t>
            </w:r>
            <w:r w:rsidRPr="00F5448A">
              <w:rPr>
                <w:sz w:val="20"/>
                <w:szCs w:val="20"/>
              </w:rPr>
              <w:t>related</w:t>
            </w:r>
            <w:r w:rsidRPr="00F5448A">
              <w:rPr>
                <w:spacing w:val="-10"/>
                <w:sz w:val="20"/>
                <w:szCs w:val="20"/>
              </w:rPr>
              <w:t xml:space="preserve"> </w:t>
            </w:r>
            <w:r w:rsidRPr="00F5448A">
              <w:rPr>
                <w:sz w:val="20"/>
                <w:szCs w:val="20"/>
              </w:rPr>
              <w:t>to</w:t>
            </w:r>
            <w:r w:rsidRPr="00F5448A">
              <w:rPr>
                <w:spacing w:val="-10"/>
                <w:sz w:val="20"/>
                <w:szCs w:val="20"/>
              </w:rPr>
              <w:t xml:space="preserve"> </w:t>
            </w:r>
            <w:r w:rsidRPr="00F5448A">
              <w:rPr>
                <w:sz w:val="20"/>
                <w:szCs w:val="20"/>
              </w:rPr>
              <w:t>women,</w:t>
            </w:r>
            <w:r w:rsidRPr="00F5448A">
              <w:rPr>
                <w:spacing w:val="-10"/>
                <w:sz w:val="20"/>
                <w:szCs w:val="20"/>
              </w:rPr>
              <w:t xml:space="preserve"> </w:t>
            </w:r>
            <w:r w:rsidRPr="00F5448A">
              <w:rPr>
                <w:sz w:val="20"/>
                <w:szCs w:val="20"/>
              </w:rPr>
              <w:t>children and youth</w:t>
            </w:r>
          </w:p>
        </w:tc>
        <w:tc>
          <w:tcPr>
            <w:tcW w:w="531" w:type="pct"/>
            <w:tcBorders>
              <w:top w:val="single" w:sz="4" w:space="0" w:color="0064BB"/>
              <w:bottom w:val="single" w:sz="4" w:space="0" w:color="0064BB"/>
            </w:tcBorders>
          </w:tcPr>
          <w:p w14:paraId="51C3F4B5" w14:textId="77777777" w:rsidR="004C027C" w:rsidRPr="00F5448A" w:rsidRDefault="004C027C" w:rsidP="004C027C">
            <w:pPr>
              <w:pStyle w:val="TableParagraph"/>
              <w:spacing w:before="79"/>
              <w:ind w:left="128" w:right="756"/>
              <w:rPr>
                <w:sz w:val="20"/>
                <w:szCs w:val="20"/>
              </w:rPr>
            </w:pPr>
            <w:r w:rsidRPr="00F5448A">
              <w:rPr>
                <w:sz w:val="20"/>
                <w:szCs w:val="20"/>
              </w:rPr>
              <w:t>VAPJP</w:t>
            </w:r>
            <w:r w:rsidRPr="00F5448A">
              <w:rPr>
                <w:spacing w:val="-14"/>
                <w:sz w:val="20"/>
                <w:szCs w:val="20"/>
              </w:rPr>
              <w:t xml:space="preserve"> </w:t>
            </w:r>
            <w:r w:rsidRPr="00F5448A">
              <w:rPr>
                <w:sz w:val="20"/>
                <w:szCs w:val="20"/>
              </w:rPr>
              <w:t xml:space="preserve">Program </w:t>
            </w:r>
            <w:r w:rsidRPr="00F5448A">
              <w:rPr>
                <w:spacing w:val="-2"/>
                <w:sz w:val="20"/>
                <w:szCs w:val="20"/>
              </w:rPr>
              <w:t>Reports</w:t>
            </w:r>
          </w:p>
          <w:p w14:paraId="658FB1AC" w14:textId="77777777" w:rsidR="004C027C" w:rsidRPr="00F5448A" w:rsidRDefault="004C027C" w:rsidP="004C027C">
            <w:pPr>
              <w:pStyle w:val="TableParagraph"/>
              <w:spacing w:before="80"/>
              <w:ind w:left="128"/>
              <w:rPr>
                <w:sz w:val="20"/>
                <w:szCs w:val="20"/>
              </w:rPr>
            </w:pPr>
            <w:r w:rsidRPr="00F5448A">
              <w:rPr>
                <w:sz w:val="20"/>
                <w:szCs w:val="20"/>
              </w:rPr>
              <w:t>VPF</w:t>
            </w:r>
            <w:r w:rsidRPr="00F5448A">
              <w:rPr>
                <w:spacing w:val="-6"/>
                <w:sz w:val="20"/>
                <w:szCs w:val="20"/>
              </w:rPr>
              <w:t xml:space="preserve"> </w:t>
            </w:r>
            <w:r w:rsidRPr="00F5448A">
              <w:rPr>
                <w:spacing w:val="-2"/>
                <w:sz w:val="20"/>
                <w:szCs w:val="20"/>
              </w:rPr>
              <w:t>reporting</w:t>
            </w:r>
          </w:p>
          <w:p w14:paraId="549FFF3B" w14:textId="77777777" w:rsidR="004C027C" w:rsidRPr="00F5448A" w:rsidRDefault="004C027C" w:rsidP="004C027C">
            <w:pPr>
              <w:pStyle w:val="TableParagraph"/>
              <w:spacing w:before="79"/>
              <w:ind w:left="128" w:right="222"/>
              <w:rPr>
                <w:sz w:val="20"/>
                <w:szCs w:val="20"/>
              </w:rPr>
            </w:pPr>
            <w:r w:rsidRPr="00F5448A">
              <w:rPr>
                <w:sz w:val="20"/>
                <w:szCs w:val="20"/>
              </w:rPr>
              <w:t>The</w:t>
            </w:r>
            <w:r w:rsidRPr="00F5448A">
              <w:rPr>
                <w:spacing w:val="-14"/>
                <w:sz w:val="20"/>
                <w:szCs w:val="20"/>
              </w:rPr>
              <w:t xml:space="preserve"> </w:t>
            </w:r>
            <w:r w:rsidRPr="00F5448A">
              <w:rPr>
                <w:sz w:val="20"/>
                <w:szCs w:val="20"/>
              </w:rPr>
              <w:t>Vanuatu-Australia Policing and Justice Services Study (Putt and Dinnen)</w:t>
            </w:r>
          </w:p>
          <w:p w14:paraId="190F5BEB" w14:textId="77777777" w:rsidR="004C027C" w:rsidRPr="00F5448A" w:rsidRDefault="004C027C" w:rsidP="004C027C">
            <w:pPr>
              <w:pStyle w:val="TableParagraph"/>
              <w:spacing w:before="81"/>
              <w:ind w:left="128"/>
              <w:rPr>
                <w:sz w:val="20"/>
                <w:szCs w:val="20"/>
              </w:rPr>
            </w:pPr>
            <w:r w:rsidRPr="00F5448A">
              <w:rPr>
                <w:sz w:val="20"/>
                <w:szCs w:val="20"/>
              </w:rPr>
              <w:t>VAPJP</w:t>
            </w:r>
            <w:r w:rsidRPr="00F5448A">
              <w:rPr>
                <w:spacing w:val="-9"/>
                <w:sz w:val="20"/>
                <w:szCs w:val="20"/>
              </w:rPr>
              <w:t xml:space="preserve"> </w:t>
            </w:r>
            <w:r w:rsidRPr="00F5448A">
              <w:rPr>
                <w:spacing w:val="-2"/>
                <w:sz w:val="20"/>
                <w:szCs w:val="20"/>
              </w:rPr>
              <w:t>GEDSI</w:t>
            </w:r>
          </w:p>
          <w:p w14:paraId="7D4605E8" w14:textId="77777777" w:rsidR="004C027C" w:rsidRPr="00F5448A" w:rsidRDefault="004C027C" w:rsidP="004C027C">
            <w:pPr>
              <w:pStyle w:val="TableParagraph"/>
              <w:spacing w:before="1"/>
              <w:ind w:left="128"/>
              <w:rPr>
                <w:sz w:val="20"/>
                <w:szCs w:val="20"/>
              </w:rPr>
            </w:pPr>
            <w:r w:rsidRPr="00F5448A">
              <w:rPr>
                <w:spacing w:val="-2"/>
                <w:sz w:val="20"/>
                <w:szCs w:val="20"/>
              </w:rPr>
              <w:t>Strategy</w:t>
            </w:r>
          </w:p>
        </w:tc>
        <w:tc>
          <w:tcPr>
            <w:tcW w:w="226" w:type="pct"/>
            <w:tcBorders>
              <w:top w:val="single" w:sz="4" w:space="0" w:color="0064BB"/>
              <w:bottom w:val="single" w:sz="4" w:space="0" w:color="0064BB"/>
            </w:tcBorders>
          </w:tcPr>
          <w:p w14:paraId="025D96B0" w14:textId="6872233B" w:rsidR="004C027C" w:rsidRPr="00F5448A" w:rsidRDefault="004C027C" w:rsidP="004C027C">
            <w:pPr>
              <w:pStyle w:val="TableParagraph"/>
              <w:spacing w:before="81"/>
              <w:ind w:left="321"/>
              <w:rPr>
                <w:sz w:val="20"/>
                <w:szCs w:val="20"/>
              </w:rPr>
            </w:pPr>
            <w:r w:rsidRPr="00F5448A">
              <w:rPr>
                <w:sz w:val="20"/>
                <w:szCs w:val="20"/>
              </w:rPr>
              <w:t>X</w:t>
            </w:r>
          </w:p>
        </w:tc>
        <w:tc>
          <w:tcPr>
            <w:tcW w:w="264" w:type="pct"/>
            <w:tcBorders>
              <w:top w:val="single" w:sz="4" w:space="0" w:color="0064BB"/>
              <w:bottom w:val="single" w:sz="4" w:space="0" w:color="0064BB"/>
            </w:tcBorders>
          </w:tcPr>
          <w:p w14:paraId="5B6A85B9" w14:textId="0D14D2B5" w:rsidR="004C027C" w:rsidRPr="00F5448A" w:rsidRDefault="004C027C" w:rsidP="004C027C">
            <w:pPr>
              <w:pStyle w:val="TableParagraph"/>
              <w:spacing w:before="81"/>
              <w:ind w:left="321"/>
              <w:rPr>
                <w:sz w:val="20"/>
                <w:szCs w:val="20"/>
              </w:rPr>
            </w:pPr>
            <w:r w:rsidRPr="00F5448A">
              <w:rPr>
                <w:sz w:val="20"/>
                <w:szCs w:val="20"/>
              </w:rPr>
              <w:t>X</w:t>
            </w:r>
          </w:p>
        </w:tc>
        <w:tc>
          <w:tcPr>
            <w:tcW w:w="225" w:type="pct"/>
            <w:tcBorders>
              <w:top w:val="single" w:sz="4" w:space="0" w:color="0064BB"/>
              <w:bottom w:val="single" w:sz="4" w:space="0" w:color="0064BB"/>
            </w:tcBorders>
          </w:tcPr>
          <w:p w14:paraId="2098F55C" w14:textId="77777777" w:rsidR="004C027C" w:rsidRPr="00F5448A" w:rsidRDefault="004C027C" w:rsidP="004C027C">
            <w:pPr>
              <w:pStyle w:val="TableParagraph"/>
              <w:spacing w:before="81"/>
              <w:ind w:left="303"/>
              <w:rPr>
                <w:sz w:val="20"/>
                <w:szCs w:val="20"/>
              </w:rPr>
            </w:pPr>
            <w:r w:rsidRPr="00F5448A">
              <w:rPr>
                <w:rFonts w:ascii="Segoe UI Symbol" w:hAnsi="Segoe UI Symbol" w:cs="Segoe UI Symbol"/>
                <w:spacing w:val="-10"/>
                <w:sz w:val="20"/>
                <w:szCs w:val="20"/>
              </w:rPr>
              <w:t>✔</w:t>
            </w:r>
          </w:p>
        </w:tc>
        <w:tc>
          <w:tcPr>
            <w:tcW w:w="350" w:type="pct"/>
            <w:tcBorders>
              <w:top w:val="single" w:sz="4" w:space="0" w:color="0064BB"/>
              <w:bottom w:val="single" w:sz="4" w:space="0" w:color="0064BB"/>
            </w:tcBorders>
          </w:tcPr>
          <w:p w14:paraId="27098B29" w14:textId="77777777" w:rsidR="004C027C" w:rsidRPr="00F5448A" w:rsidRDefault="004C027C" w:rsidP="004C027C">
            <w:pPr>
              <w:pStyle w:val="TableParagraph"/>
              <w:spacing w:before="81"/>
              <w:ind w:left="308"/>
              <w:rPr>
                <w:sz w:val="20"/>
                <w:szCs w:val="20"/>
              </w:rPr>
            </w:pPr>
            <w:r w:rsidRPr="00F5448A">
              <w:rPr>
                <w:rFonts w:ascii="Segoe UI Symbol" w:hAnsi="Segoe UI Symbol" w:cs="Segoe UI Symbol"/>
                <w:spacing w:val="-10"/>
                <w:sz w:val="20"/>
                <w:szCs w:val="20"/>
              </w:rPr>
              <w:t>✔</w:t>
            </w:r>
          </w:p>
        </w:tc>
        <w:tc>
          <w:tcPr>
            <w:tcW w:w="349" w:type="pct"/>
            <w:tcBorders>
              <w:top w:val="single" w:sz="4" w:space="0" w:color="0064BB"/>
              <w:bottom w:val="single" w:sz="4" w:space="0" w:color="0064BB"/>
            </w:tcBorders>
          </w:tcPr>
          <w:p w14:paraId="342C7B56" w14:textId="77777777" w:rsidR="004C027C" w:rsidRPr="00F5448A" w:rsidRDefault="004C027C" w:rsidP="004C027C">
            <w:pPr>
              <w:pStyle w:val="TableParagraph"/>
              <w:spacing w:before="81"/>
              <w:ind w:left="118"/>
              <w:rPr>
                <w:sz w:val="20"/>
                <w:szCs w:val="20"/>
              </w:rPr>
            </w:pPr>
            <w:r w:rsidRPr="00F5448A">
              <w:rPr>
                <w:rFonts w:ascii="Segoe UI Symbol" w:hAnsi="Segoe UI Symbol" w:cs="Segoe UI Symbol"/>
                <w:spacing w:val="-10"/>
                <w:sz w:val="20"/>
                <w:szCs w:val="20"/>
              </w:rPr>
              <w:t>✔</w:t>
            </w:r>
          </w:p>
        </w:tc>
        <w:tc>
          <w:tcPr>
            <w:tcW w:w="374" w:type="pct"/>
            <w:tcBorders>
              <w:top w:val="single" w:sz="4" w:space="0" w:color="0064BB"/>
              <w:bottom w:val="single" w:sz="4" w:space="0" w:color="0064BB"/>
            </w:tcBorders>
          </w:tcPr>
          <w:p w14:paraId="29846B1C" w14:textId="77777777" w:rsidR="004C027C" w:rsidRPr="00F5448A" w:rsidRDefault="004C027C" w:rsidP="004C027C">
            <w:pPr>
              <w:pStyle w:val="TableParagraph"/>
              <w:spacing w:before="81"/>
              <w:ind w:left="417"/>
              <w:rPr>
                <w:sz w:val="20"/>
                <w:szCs w:val="20"/>
              </w:rPr>
            </w:pPr>
            <w:r w:rsidRPr="00F5448A">
              <w:rPr>
                <w:rFonts w:ascii="Segoe UI Symbol" w:hAnsi="Segoe UI Symbol" w:cs="Segoe UI Symbol"/>
                <w:spacing w:val="-10"/>
                <w:sz w:val="20"/>
                <w:szCs w:val="20"/>
              </w:rPr>
              <w:t>✔</w:t>
            </w:r>
          </w:p>
        </w:tc>
      </w:tr>
      <w:tr w:rsidR="009C36E3" w14:paraId="1F734810" w14:textId="77777777" w:rsidTr="008439AE">
        <w:trPr>
          <w:trHeight w:val="2046"/>
        </w:trPr>
        <w:tc>
          <w:tcPr>
            <w:tcW w:w="721" w:type="pct"/>
            <w:tcBorders>
              <w:top w:val="single" w:sz="4" w:space="0" w:color="0064BB"/>
              <w:bottom w:val="single" w:sz="4" w:space="0" w:color="0064BB"/>
            </w:tcBorders>
            <w:shd w:val="clear" w:color="auto" w:fill="F1F1F1"/>
          </w:tcPr>
          <w:p w14:paraId="25B089C9" w14:textId="77777777" w:rsidR="009C36E3" w:rsidRPr="00F5448A" w:rsidRDefault="000E7207" w:rsidP="008A7763">
            <w:pPr>
              <w:pStyle w:val="TableParagraph"/>
              <w:ind w:left="468" w:right="351" w:hanging="360"/>
              <w:rPr>
                <w:b/>
                <w:sz w:val="20"/>
                <w:szCs w:val="20"/>
              </w:rPr>
            </w:pPr>
            <w:r w:rsidRPr="00F5448A">
              <w:rPr>
                <w:b/>
                <w:sz w:val="20"/>
                <w:szCs w:val="20"/>
              </w:rPr>
              <w:t>1.3 Is the current MERL framework</w:t>
            </w:r>
            <w:r w:rsidRPr="009403C3">
              <w:rPr>
                <w:b/>
                <w:sz w:val="20"/>
                <w:szCs w:val="20"/>
              </w:rPr>
              <w:t xml:space="preserve"> </w:t>
            </w:r>
            <w:r w:rsidRPr="00F5448A">
              <w:rPr>
                <w:b/>
                <w:sz w:val="20"/>
                <w:szCs w:val="20"/>
              </w:rPr>
              <w:t>fit</w:t>
            </w:r>
            <w:r w:rsidRPr="009403C3">
              <w:rPr>
                <w:b/>
                <w:sz w:val="20"/>
                <w:szCs w:val="20"/>
              </w:rPr>
              <w:t xml:space="preserve"> </w:t>
            </w:r>
            <w:r w:rsidRPr="00F5448A">
              <w:rPr>
                <w:b/>
                <w:sz w:val="20"/>
                <w:szCs w:val="20"/>
              </w:rPr>
              <w:t>for</w:t>
            </w:r>
            <w:r w:rsidRPr="009403C3">
              <w:rPr>
                <w:b/>
                <w:sz w:val="20"/>
                <w:szCs w:val="20"/>
              </w:rPr>
              <w:t xml:space="preserve"> </w:t>
            </w:r>
            <w:r w:rsidRPr="00F5448A">
              <w:rPr>
                <w:b/>
                <w:sz w:val="20"/>
                <w:szCs w:val="20"/>
              </w:rPr>
              <w:t>purpose?</w:t>
            </w:r>
          </w:p>
        </w:tc>
        <w:tc>
          <w:tcPr>
            <w:tcW w:w="1149" w:type="pct"/>
            <w:tcBorders>
              <w:top w:val="single" w:sz="4" w:space="0" w:color="0064BB"/>
              <w:bottom w:val="single" w:sz="4" w:space="0" w:color="0064BB"/>
            </w:tcBorders>
          </w:tcPr>
          <w:p w14:paraId="00A2AD61" w14:textId="77777777" w:rsidR="009C36E3" w:rsidRPr="00F5448A" w:rsidRDefault="000E7207">
            <w:pPr>
              <w:pStyle w:val="TableParagraph"/>
              <w:spacing w:before="80"/>
              <w:ind w:left="108"/>
              <w:rPr>
                <w:sz w:val="20"/>
                <w:szCs w:val="20"/>
              </w:rPr>
            </w:pPr>
            <w:r w:rsidRPr="00F5448A">
              <w:rPr>
                <w:sz w:val="20"/>
                <w:szCs w:val="20"/>
              </w:rPr>
              <w:t>How effective is the M&amp;E system in producing quality information</w:t>
            </w:r>
            <w:r w:rsidRPr="00F5448A">
              <w:rPr>
                <w:spacing w:val="-6"/>
                <w:sz w:val="20"/>
                <w:szCs w:val="20"/>
              </w:rPr>
              <w:t xml:space="preserve"> </w:t>
            </w:r>
            <w:r w:rsidRPr="00F5448A">
              <w:rPr>
                <w:sz w:val="20"/>
                <w:szCs w:val="20"/>
              </w:rPr>
              <w:t>on</w:t>
            </w:r>
            <w:r w:rsidRPr="00F5448A">
              <w:rPr>
                <w:spacing w:val="-6"/>
                <w:sz w:val="20"/>
                <w:szCs w:val="20"/>
              </w:rPr>
              <w:t xml:space="preserve"> </w:t>
            </w:r>
            <w:r w:rsidRPr="00F5448A">
              <w:rPr>
                <w:sz w:val="20"/>
                <w:szCs w:val="20"/>
              </w:rPr>
              <w:t>progress</w:t>
            </w:r>
            <w:r w:rsidRPr="00F5448A">
              <w:rPr>
                <w:spacing w:val="-6"/>
                <w:sz w:val="20"/>
                <w:szCs w:val="20"/>
              </w:rPr>
              <w:t xml:space="preserve"> </w:t>
            </w:r>
            <w:r w:rsidRPr="00F5448A">
              <w:rPr>
                <w:sz w:val="20"/>
                <w:szCs w:val="20"/>
              </w:rPr>
              <w:t>towards</w:t>
            </w:r>
            <w:r w:rsidRPr="00F5448A">
              <w:rPr>
                <w:spacing w:val="-6"/>
                <w:sz w:val="20"/>
                <w:szCs w:val="20"/>
              </w:rPr>
              <w:t xml:space="preserve"> </w:t>
            </w:r>
            <w:r w:rsidRPr="00F5448A">
              <w:rPr>
                <w:sz w:val="20"/>
                <w:szCs w:val="20"/>
              </w:rPr>
              <w:t>EOPOs</w:t>
            </w:r>
            <w:r w:rsidRPr="00F5448A">
              <w:rPr>
                <w:spacing w:val="-6"/>
                <w:sz w:val="20"/>
                <w:szCs w:val="20"/>
              </w:rPr>
              <w:t xml:space="preserve"> </w:t>
            </w:r>
            <w:r w:rsidRPr="00F5448A">
              <w:rPr>
                <w:sz w:val="20"/>
                <w:szCs w:val="20"/>
              </w:rPr>
              <w:t>and</w:t>
            </w:r>
            <w:r w:rsidRPr="00F5448A">
              <w:rPr>
                <w:spacing w:val="-6"/>
                <w:sz w:val="20"/>
                <w:szCs w:val="20"/>
              </w:rPr>
              <w:t xml:space="preserve"> </w:t>
            </w:r>
            <w:r w:rsidRPr="00F5448A">
              <w:rPr>
                <w:sz w:val="20"/>
                <w:szCs w:val="20"/>
              </w:rPr>
              <w:t>informing program decision making?</w:t>
            </w:r>
          </w:p>
        </w:tc>
        <w:tc>
          <w:tcPr>
            <w:tcW w:w="811" w:type="pct"/>
            <w:tcBorders>
              <w:top w:val="single" w:sz="4" w:space="0" w:color="0064BB"/>
              <w:bottom w:val="single" w:sz="4" w:space="0" w:color="0064BB"/>
            </w:tcBorders>
          </w:tcPr>
          <w:p w14:paraId="7BE20F0B" w14:textId="77777777" w:rsidR="009C36E3" w:rsidRPr="00F5448A" w:rsidRDefault="000E7207">
            <w:pPr>
              <w:pStyle w:val="TableParagraph"/>
              <w:numPr>
                <w:ilvl w:val="0"/>
                <w:numId w:val="20"/>
              </w:numPr>
              <w:tabs>
                <w:tab w:val="left" w:pos="472"/>
              </w:tabs>
              <w:spacing w:before="58"/>
              <w:ind w:right="147"/>
              <w:rPr>
                <w:sz w:val="20"/>
                <w:szCs w:val="20"/>
              </w:rPr>
            </w:pPr>
            <w:r w:rsidRPr="00F5448A">
              <w:rPr>
                <w:sz w:val="20"/>
                <w:szCs w:val="20"/>
              </w:rPr>
              <w:t>Perceptions regarding adjustments to program management</w:t>
            </w:r>
            <w:r w:rsidRPr="00F5448A">
              <w:rPr>
                <w:spacing w:val="-14"/>
                <w:sz w:val="20"/>
                <w:szCs w:val="20"/>
              </w:rPr>
              <w:t xml:space="preserve"> </w:t>
            </w:r>
            <w:r w:rsidRPr="00F5448A">
              <w:rPr>
                <w:sz w:val="20"/>
                <w:szCs w:val="20"/>
              </w:rPr>
              <w:t>and</w:t>
            </w:r>
            <w:r w:rsidRPr="00F5448A">
              <w:rPr>
                <w:spacing w:val="-14"/>
                <w:sz w:val="20"/>
                <w:szCs w:val="20"/>
              </w:rPr>
              <w:t xml:space="preserve"> </w:t>
            </w:r>
            <w:r w:rsidRPr="00F5448A">
              <w:rPr>
                <w:sz w:val="20"/>
                <w:szCs w:val="20"/>
              </w:rPr>
              <w:t>implementation in light of COVID-19</w:t>
            </w:r>
          </w:p>
          <w:p w14:paraId="2A680AAA" w14:textId="77777777" w:rsidR="009C36E3" w:rsidRPr="00F5448A" w:rsidRDefault="000E7207">
            <w:pPr>
              <w:pStyle w:val="TableParagraph"/>
              <w:numPr>
                <w:ilvl w:val="0"/>
                <w:numId w:val="20"/>
              </w:numPr>
              <w:tabs>
                <w:tab w:val="left" w:pos="472"/>
              </w:tabs>
              <w:spacing w:before="61"/>
              <w:ind w:right="367"/>
              <w:rPr>
                <w:sz w:val="20"/>
                <w:szCs w:val="20"/>
              </w:rPr>
            </w:pPr>
            <w:r w:rsidRPr="00F5448A">
              <w:rPr>
                <w:sz w:val="20"/>
                <w:szCs w:val="20"/>
              </w:rPr>
              <w:t>Evidence of innovations that could be maintained, views on additional changes that could enhance</w:t>
            </w:r>
            <w:r w:rsidRPr="00F5448A">
              <w:rPr>
                <w:spacing w:val="-14"/>
                <w:sz w:val="20"/>
                <w:szCs w:val="20"/>
              </w:rPr>
              <w:t xml:space="preserve"> </w:t>
            </w:r>
            <w:r w:rsidRPr="00F5448A">
              <w:rPr>
                <w:sz w:val="20"/>
                <w:szCs w:val="20"/>
              </w:rPr>
              <w:t>program</w:t>
            </w:r>
            <w:r w:rsidRPr="00F5448A">
              <w:rPr>
                <w:spacing w:val="-14"/>
                <w:sz w:val="20"/>
                <w:szCs w:val="20"/>
              </w:rPr>
              <w:t xml:space="preserve"> </w:t>
            </w:r>
            <w:r w:rsidRPr="00F5448A">
              <w:rPr>
                <w:sz w:val="20"/>
                <w:szCs w:val="20"/>
              </w:rPr>
              <w:t>performance</w:t>
            </w:r>
          </w:p>
        </w:tc>
        <w:tc>
          <w:tcPr>
            <w:tcW w:w="531" w:type="pct"/>
            <w:tcBorders>
              <w:top w:val="single" w:sz="4" w:space="0" w:color="0064BB"/>
              <w:bottom w:val="single" w:sz="4" w:space="0" w:color="0064BB"/>
            </w:tcBorders>
          </w:tcPr>
          <w:p w14:paraId="746DEFE6" w14:textId="77777777" w:rsidR="009C36E3" w:rsidRPr="00F5448A" w:rsidRDefault="000E7207">
            <w:pPr>
              <w:pStyle w:val="TableParagraph"/>
              <w:spacing w:before="79" w:line="242" w:lineRule="auto"/>
              <w:ind w:left="129" w:right="755"/>
              <w:rPr>
                <w:sz w:val="20"/>
                <w:szCs w:val="20"/>
              </w:rPr>
            </w:pPr>
            <w:r w:rsidRPr="00F5448A">
              <w:rPr>
                <w:sz w:val="20"/>
                <w:szCs w:val="20"/>
              </w:rPr>
              <w:t>VAPJP</w:t>
            </w:r>
            <w:r w:rsidRPr="00F5448A">
              <w:rPr>
                <w:spacing w:val="-14"/>
                <w:sz w:val="20"/>
                <w:szCs w:val="20"/>
              </w:rPr>
              <w:t xml:space="preserve"> </w:t>
            </w:r>
            <w:r w:rsidRPr="00F5448A">
              <w:rPr>
                <w:sz w:val="20"/>
                <w:szCs w:val="20"/>
              </w:rPr>
              <w:t xml:space="preserve">Program </w:t>
            </w:r>
            <w:r w:rsidRPr="00F5448A">
              <w:rPr>
                <w:spacing w:val="-2"/>
                <w:sz w:val="20"/>
                <w:szCs w:val="20"/>
              </w:rPr>
              <w:t>Reports</w:t>
            </w:r>
          </w:p>
          <w:p w14:paraId="38994A15" w14:textId="77777777" w:rsidR="009C36E3" w:rsidRPr="00F5448A" w:rsidRDefault="000E7207">
            <w:pPr>
              <w:pStyle w:val="TableParagraph"/>
              <w:spacing w:before="77"/>
              <w:ind w:left="129"/>
              <w:rPr>
                <w:sz w:val="20"/>
                <w:szCs w:val="20"/>
              </w:rPr>
            </w:pPr>
            <w:r w:rsidRPr="00F5448A">
              <w:rPr>
                <w:sz w:val="20"/>
                <w:szCs w:val="20"/>
              </w:rPr>
              <w:t>PMG</w:t>
            </w:r>
            <w:r w:rsidRPr="00F5448A">
              <w:rPr>
                <w:spacing w:val="-6"/>
                <w:sz w:val="20"/>
                <w:szCs w:val="20"/>
              </w:rPr>
              <w:t xml:space="preserve"> </w:t>
            </w:r>
            <w:r w:rsidRPr="00F5448A">
              <w:rPr>
                <w:spacing w:val="-2"/>
                <w:sz w:val="20"/>
                <w:szCs w:val="20"/>
              </w:rPr>
              <w:t>Minutes</w:t>
            </w:r>
          </w:p>
        </w:tc>
        <w:tc>
          <w:tcPr>
            <w:tcW w:w="226" w:type="pct"/>
            <w:tcBorders>
              <w:top w:val="single" w:sz="4" w:space="0" w:color="0064BB"/>
              <w:bottom w:val="single" w:sz="4" w:space="0" w:color="0064BB"/>
            </w:tcBorders>
          </w:tcPr>
          <w:p w14:paraId="6BBBE776" w14:textId="77777777" w:rsidR="009C36E3" w:rsidRPr="00F5448A" w:rsidRDefault="000E7207">
            <w:pPr>
              <w:pStyle w:val="TableParagraph"/>
              <w:spacing w:before="81"/>
              <w:ind w:left="103"/>
              <w:rPr>
                <w:sz w:val="20"/>
                <w:szCs w:val="20"/>
              </w:rPr>
            </w:pPr>
            <w:r w:rsidRPr="00F5448A">
              <w:rPr>
                <w:rFonts w:ascii="Segoe UI Symbol" w:hAnsi="Segoe UI Symbol" w:cs="Segoe UI Symbol"/>
                <w:spacing w:val="-10"/>
                <w:sz w:val="20"/>
                <w:szCs w:val="20"/>
              </w:rPr>
              <w:t>✔</w:t>
            </w:r>
          </w:p>
        </w:tc>
        <w:tc>
          <w:tcPr>
            <w:tcW w:w="264" w:type="pct"/>
            <w:tcBorders>
              <w:top w:val="single" w:sz="4" w:space="0" w:color="0064BB"/>
              <w:bottom w:val="single" w:sz="4" w:space="0" w:color="0064BB"/>
            </w:tcBorders>
          </w:tcPr>
          <w:p w14:paraId="22AB7FEC" w14:textId="77777777" w:rsidR="009C36E3" w:rsidRPr="00F5448A" w:rsidRDefault="000E7207">
            <w:pPr>
              <w:pStyle w:val="TableParagraph"/>
              <w:spacing w:before="81"/>
              <w:ind w:left="321"/>
              <w:rPr>
                <w:sz w:val="20"/>
                <w:szCs w:val="20"/>
              </w:rPr>
            </w:pPr>
            <w:r w:rsidRPr="00F5448A">
              <w:rPr>
                <w:rFonts w:ascii="Segoe UI Symbol" w:hAnsi="Segoe UI Symbol" w:cs="Segoe UI Symbol"/>
                <w:spacing w:val="-10"/>
                <w:sz w:val="20"/>
                <w:szCs w:val="20"/>
              </w:rPr>
              <w:t>✔</w:t>
            </w:r>
          </w:p>
        </w:tc>
        <w:tc>
          <w:tcPr>
            <w:tcW w:w="225" w:type="pct"/>
            <w:tcBorders>
              <w:top w:val="single" w:sz="4" w:space="0" w:color="0064BB"/>
              <w:bottom w:val="single" w:sz="4" w:space="0" w:color="0064BB"/>
            </w:tcBorders>
          </w:tcPr>
          <w:p w14:paraId="2857437F" w14:textId="77777777" w:rsidR="009C36E3" w:rsidRPr="00F5448A" w:rsidRDefault="000E7207">
            <w:pPr>
              <w:pStyle w:val="TableParagraph"/>
              <w:spacing w:before="81"/>
              <w:ind w:left="303"/>
              <w:rPr>
                <w:sz w:val="20"/>
                <w:szCs w:val="20"/>
              </w:rPr>
            </w:pPr>
            <w:r w:rsidRPr="00F5448A">
              <w:rPr>
                <w:rFonts w:ascii="Segoe UI Symbol" w:hAnsi="Segoe UI Symbol" w:cs="Segoe UI Symbol"/>
                <w:spacing w:val="-10"/>
                <w:sz w:val="20"/>
                <w:szCs w:val="20"/>
              </w:rPr>
              <w:t>✔</w:t>
            </w:r>
          </w:p>
        </w:tc>
        <w:tc>
          <w:tcPr>
            <w:tcW w:w="350" w:type="pct"/>
            <w:tcBorders>
              <w:top w:val="single" w:sz="4" w:space="0" w:color="0064BB"/>
              <w:bottom w:val="single" w:sz="4" w:space="0" w:color="0064BB"/>
            </w:tcBorders>
          </w:tcPr>
          <w:p w14:paraId="36C532E8" w14:textId="77777777" w:rsidR="009C36E3" w:rsidRPr="00F5448A" w:rsidRDefault="000E7207">
            <w:pPr>
              <w:pStyle w:val="TableParagraph"/>
              <w:spacing w:before="81"/>
              <w:ind w:left="308"/>
              <w:rPr>
                <w:sz w:val="20"/>
                <w:szCs w:val="20"/>
              </w:rPr>
            </w:pPr>
            <w:r w:rsidRPr="00F5448A">
              <w:rPr>
                <w:rFonts w:ascii="Segoe UI Symbol" w:hAnsi="Segoe UI Symbol" w:cs="Segoe UI Symbol"/>
                <w:spacing w:val="-10"/>
                <w:sz w:val="20"/>
                <w:szCs w:val="20"/>
              </w:rPr>
              <w:t>✔</w:t>
            </w:r>
          </w:p>
        </w:tc>
        <w:tc>
          <w:tcPr>
            <w:tcW w:w="349" w:type="pct"/>
            <w:tcBorders>
              <w:top w:val="single" w:sz="4" w:space="0" w:color="0064BB"/>
              <w:bottom w:val="single" w:sz="4" w:space="0" w:color="0064BB"/>
            </w:tcBorders>
          </w:tcPr>
          <w:p w14:paraId="463ECAF8" w14:textId="77777777" w:rsidR="009C36E3" w:rsidRPr="00F5448A" w:rsidRDefault="000E7207">
            <w:pPr>
              <w:pStyle w:val="TableParagraph"/>
              <w:spacing w:before="81"/>
              <w:ind w:left="118"/>
              <w:rPr>
                <w:sz w:val="20"/>
                <w:szCs w:val="20"/>
              </w:rPr>
            </w:pPr>
            <w:r w:rsidRPr="00F5448A">
              <w:rPr>
                <w:rFonts w:ascii="Segoe UI Symbol" w:hAnsi="Segoe UI Symbol" w:cs="Segoe UI Symbol"/>
                <w:spacing w:val="-10"/>
                <w:sz w:val="20"/>
                <w:szCs w:val="20"/>
              </w:rPr>
              <w:t>✔</w:t>
            </w:r>
          </w:p>
        </w:tc>
        <w:tc>
          <w:tcPr>
            <w:tcW w:w="374" w:type="pct"/>
            <w:tcBorders>
              <w:top w:val="single" w:sz="4" w:space="0" w:color="0064BB"/>
              <w:bottom w:val="single" w:sz="4" w:space="0" w:color="0064BB"/>
            </w:tcBorders>
          </w:tcPr>
          <w:p w14:paraId="71FD5A04" w14:textId="77777777" w:rsidR="009C36E3" w:rsidRPr="00F5448A" w:rsidRDefault="000E7207">
            <w:pPr>
              <w:pStyle w:val="TableParagraph"/>
              <w:spacing w:before="81"/>
              <w:ind w:left="417"/>
              <w:rPr>
                <w:sz w:val="20"/>
                <w:szCs w:val="20"/>
              </w:rPr>
            </w:pPr>
            <w:r w:rsidRPr="00F5448A">
              <w:rPr>
                <w:rFonts w:ascii="Segoe UI Symbol" w:hAnsi="Segoe UI Symbol" w:cs="Segoe UI Symbol"/>
                <w:spacing w:val="-10"/>
                <w:sz w:val="20"/>
                <w:szCs w:val="20"/>
              </w:rPr>
              <w:t>✔</w:t>
            </w:r>
          </w:p>
        </w:tc>
      </w:tr>
    </w:tbl>
    <w:p w14:paraId="4E199070" w14:textId="77777777" w:rsidR="0044633C" w:rsidRDefault="00760C2B" w:rsidP="00760C2B">
      <w:pPr>
        <w:pStyle w:val="Heading5"/>
        <w:spacing w:after="240"/>
        <w:ind w:left="142"/>
        <w:rPr>
          <w:spacing w:val="-2"/>
        </w:rPr>
      </w:pPr>
      <w:r>
        <w:br w:type="page"/>
      </w:r>
      <w:r w:rsidRPr="0044633C">
        <w:rPr>
          <w:spacing w:val="-2"/>
        </w:rPr>
        <w:t>Efficiency - Key question 2: How efficient are VAPJP’s delivery modalities?</w:t>
      </w:r>
    </w:p>
    <w:tbl>
      <w:tblPr>
        <w:tblW w:w="5000" w:type="pct"/>
        <w:tblCellMar>
          <w:left w:w="0" w:type="dxa"/>
          <w:right w:w="0" w:type="dxa"/>
        </w:tblCellMar>
        <w:tblLook w:val="01E0" w:firstRow="1" w:lastRow="1" w:firstColumn="1" w:lastColumn="1" w:noHBand="0" w:noVBand="0"/>
      </w:tblPr>
      <w:tblGrid>
        <w:gridCol w:w="3220"/>
        <w:gridCol w:w="5134"/>
        <w:gridCol w:w="3624"/>
        <w:gridCol w:w="2373"/>
        <w:gridCol w:w="1010"/>
        <w:gridCol w:w="1180"/>
        <w:gridCol w:w="1005"/>
        <w:gridCol w:w="1564"/>
        <w:gridCol w:w="1559"/>
        <w:gridCol w:w="1671"/>
      </w:tblGrid>
      <w:tr w:rsidR="00285366" w14:paraId="5D78E0FC" w14:textId="77777777" w:rsidTr="00D30DB6">
        <w:trPr>
          <w:trHeight w:val="604"/>
        </w:trPr>
        <w:tc>
          <w:tcPr>
            <w:tcW w:w="721" w:type="pct"/>
            <w:tcBorders>
              <w:top w:val="single" w:sz="4" w:space="0" w:color="0064BB"/>
            </w:tcBorders>
            <w:shd w:val="clear" w:color="auto" w:fill="0064BB"/>
          </w:tcPr>
          <w:p w14:paraId="094D37BF" w14:textId="77777777" w:rsidR="00285366" w:rsidRDefault="00285366" w:rsidP="00D30DB6">
            <w:pPr>
              <w:pStyle w:val="TableParagraph"/>
              <w:ind w:right="138"/>
              <w:rPr>
                <w:b/>
                <w:sz w:val="20"/>
              </w:rPr>
            </w:pPr>
            <w:r>
              <w:rPr>
                <w:b/>
                <w:color w:val="FFFFFF"/>
                <w:sz w:val="20"/>
              </w:rPr>
              <w:t>Review</w:t>
            </w:r>
            <w:r>
              <w:rPr>
                <w:b/>
                <w:color w:val="FFFFFF"/>
                <w:spacing w:val="-13"/>
                <w:sz w:val="20"/>
              </w:rPr>
              <w:t xml:space="preserve"> </w:t>
            </w:r>
            <w:r>
              <w:rPr>
                <w:b/>
                <w:color w:val="FFFFFF"/>
                <w:sz w:val="20"/>
              </w:rPr>
              <w:t>Questions</w:t>
            </w:r>
            <w:r>
              <w:rPr>
                <w:b/>
                <w:color w:val="FFFFFF"/>
                <w:spacing w:val="-14"/>
                <w:sz w:val="20"/>
              </w:rPr>
              <w:t xml:space="preserve"> </w:t>
            </w:r>
            <w:r>
              <w:rPr>
                <w:b/>
                <w:color w:val="FFFFFF"/>
                <w:sz w:val="20"/>
              </w:rPr>
              <w:t>and</w:t>
            </w:r>
            <w:r>
              <w:rPr>
                <w:b/>
                <w:color w:val="FFFFFF"/>
                <w:spacing w:val="-11"/>
                <w:sz w:val="20"/>
              </w:rPr>
              <w:t xml:space="preserve"> </w:t>
            </w:r>
            <w:r>
              <w:rPr>
                <w:b/>
                <w:color w:val="FFFFFF"/>
                <w:sz w:val="20"/>
              </w:rPr>
              <w:t xml:space="preserve">Sub- </w:t>
            </w:r>
            <w:r>
              <w:rPr>
                <w:b/>
                <w:color w:val="FFFFFF"/>
                <w:spacing w:val="-2"/>
                <w:sz w:val="20"/>
              </w:rPr>
              <w:t>Questions</w:t>
            </w:r>
          </w:p>
        </w:tc>
        <w:tc>
          <w:tcPr>
            <w:tcW w:w="1149" w:type="pct"/>
            <w:tcBorders>
              <w:top w:val="single" w:sz="4" w:space="0" w:color="0064BB"/>
            </w:tcBorders>
            <w:shd w:val="clear" w:color="auto" w:fill="0064BB"/>
          </w:tcPr>
          <w:p w14:paraId="72603D60" w14:textId="77777777" w:rsidR="00285366" w:rsidRDefault="00285366" w:rsidP="00D30DB6">
            <w:pPr>
              <w:pStyle w:val="TableParagraph"/>
              <w:ind w:left="108"/>
              <w:rPr>
                <w:b/>
                <w:sz w:val="20"/>
              </w:rPr>
            </w:pPr>
            <w:r>
              <w:rPr>
                <w:b/>
                <w:color w:val="FFFFFF"/>
                <w:sz w:val="20"/>
              </w:rPr>
              <w:t>Review</w:t>
            </w:r>
            <w:r>
              <w:rPr>
                <w:b/>
                <w:color w:val="FFFFFF"/>
                <w:spacing w:val="-8"/>
                <w:sz w:val="20"/>
              </w:rPr>
              <w:t xml:space="preserve"> </w:t>
            </w:r>
            <w:r>
              <w:rPr>
                <w:b/>
                <w:color w:val="FFFFFF"/>
                <w:sz w:val="20"/>
              </w:rPr>
              <w:t>Focus</w:t>
            </w:r>
            <w:r>
              <w:rPr>
                <w:b/>
                <w:color w:val="FFFFFF"/>
                <w:spacing w:val="-8"/>
                <w:sz w:val="20"/>
              </w:rPr>
              <w:t xml:space="preserve"> </w:t>
            </w:r>
            <w:r>
              <w:rPr>
                <w:b/>
                <w:color w:val="FFFFFF"/>
                <w:spacing w:val="-4"/>
                <w:sz w:val="20"/>
              </w:rPr>
              <w:t>areas</w:t>
            </w:r>
          </w:p>
        </w:tc>
        <w:tc>
          <w:tcPr>
            <w:tcW w:w="811" w:type="pct"/>
            <w:tcBorders>
              <w:top w:val="single" w:sz="4" w:space="0" w:color="0064BB"/>
            </w:tcBorders>
            <w:shd w:val="clear" w:color="auto" w:fill="0064BB"/>
          </w:tcPr>
          <w:p w14:paraId="711F8568" w14:textId="77777777" w:rsidR="00285366" w:rsidRDefault="00285366" w:rsidP="00D30DB6">
            <w:pPr>
              <w:pStyle w:val="TableParagraph"/>
              <w:ind w:left="112" w:right="472"/>
              <w:rPr>
                <w:b/>
                <w:sz w:val="20"/>
              </w:rPr>
            </w:pPr>
            <w:r>
              <w:rPr>
                <w:b/>
                <w:color w:val="FFFFFF"/>
                <w:sz w:val="20"/>
              </w:rPr>
              <w:t>Assessment</w:t>
            </w:r>
            <w:r>
              <w:rPr>
                <w:b/>
                <w:color w:val="FFFFFF"/>
                <w:spacing w:val="-11"/>
                <w:sz w:val="20"/>
              </w:rPr>
              <w:t xml:space="preserve"> </w:t>
            </w:r>
            <w:r>
              <w:rPr>
                <w:b/>
                <w:color w:val="FFFFFF"/>
                <w:sz w:val="20"/>
              </w:rPr>
              <w:t>criteria/</w:t>
            </w:r>
            <w:r>
              <w:rPr>
                <w:b/>
                <w:color w:val="FFFFFF"/>
                <w:spacing w:val="-14"/>
                <w:sz w:val="20"/>
              </w:rPr>
              <w:t xml:space="preserve"> </w:t>
            </w:r>
            <w:r>
              <w:rPr>
                <w:b/>
                <w:color w:val="FFFFFF"/>
                <w:sz w:val="20"/>
              </w:rPr>
              <w:t>factors</w:t>
            </w:r>
            <w:r>
              <w:rPr>
                <w:b/>
                <w:color w:val="FFFFFF"/>
                <w:spacing w:val="-14"/>
                <w:sz w:val="20"/>
              </w:rPr>
              <w:t xml:space="preserve"> </w:t>
            </w:r>
            <w:r>
              <w:rPr>
                <w:b/>
                <w:color w:val="FFFFFF"/>
                <w:sz w:val="20"/>
              </w:rPr>
              <w:t xml:space="preserve">for </w:t>
            </w:r>
            <w:r>
              <w:rPr>
                <w:b/>
                <w:color w:val="FFFFFF"/>
                <w:spacing w:val="-2"/>
                <w:sz w:val="20"/>
              </w:rPr>
              <w:t>consideration</w:t>
            </w:r>
          </w:p>
        </w:tc>
        <w:tc>
          <w:tcPr>
            <w:tcW w:w="531" w:type="pct"/>
            <w:tcBorders>
              <w:top w:val="single" w:sz="4" w:space="0" w:color="0064BB"/>
            </w:tcBorders>
            <w:shd w:val="clear" w:color="auto" w:fill="0064BB"/>
          </w:tcPr>
          <w:p w14:paraId="614DD898" w14:textId="77777777" w:rsidR="00285366" w:rsidRDefault="00285366" w:rsidP="00D30DB6">
            <w:pPr>
              <w:pStyle w:val="TableParagraph"/>
              <w:ind w:left="129"/>
              <w:rPr>
                <w:b/>
                <w:sz w:val="20"/>
              </w:rPr>
            </w:pPr>
            <w:r>
              <w:rPr>
                <w:b/>
                <w:color w:val="FFFFFF"/>
                <w:sz w:val="20"/>
              </w:rPr>
              <w:t>Desktop</w:t>
            </w:r>
            <w:r>
              <w:rPr>
                <w:b/>
                <w:color w:val="FFFFFF"/>
                <w:spacing w:val="-11"/>
                <w:sz w:val="20"/>
              </w:rPr>
              <w:t xml:space="preserve"> </w:t>
            </w:r>
            <w:r>
              <w:rPr>
                <w:b/>
                <w:color w:val="FFFFFF"/>
                <w:spacing w:val="-2"/>
                <w:sz w:val="20"/>
              </w:rPr>
              <w:t>review</w:t>
            </w:r>
          </w:p>
        </w:tc>
        <w:tc>
          <w:tcPr>
            <w:tcW w:w="1788" w:type="pct"/>
            <w:gridSpan w:val="6"/>
            <w:tcBorders>
              <w:top w:val="single" w:sz="4" w:space="0" w:color="0064BB"/>
            </w:tcBorders>
            <w:shd w:val="clear" w:color="auto" w:fill="0064BB"/>
          </w:tcPr>
          <w:p w14:paraId="027B3C21" w14:textId="77777777" w:rsidR="00285366" w:rsidRDefault="00285366" w:rsidP="00D30DB6">
            <w:pPr>
              <w:pStyle w:val="TableParagraph"/>
              <w:ind w:left="0" w:right="7"/>
              <w:jc w:val="center"/>
              <w:rPr>
                <w:b/>
                <w:color w:val="FFFFFF"/>
                <w:spacing w:val="-2"/>
                <w:sz w:val="20"/>
              </w:rPr>
            </w:pPr>
            <w:r>
              <w:rPr>
                <w:b/>
                <w:color w:val="FFFFFF"/>
                <w:sz w:val="20"/>
              </w:rPr>
              <w:t>Primary</w:t>
            </w:r>
            <w:r>
              <w:rPr>
                <w:b/>
                <w:color w:val="FFFFFF"/>
                <w:spacing w:val="-7"/>
                <w:sz w:val="20"/>
              </w:rPr>
              <w:t xml:space="preserve"> </w:t>
            </w:r>
            <w:r>
              <w:rPr>
                <w:b/>
                <w:color w:val="FFFFFF"/>
                <w:sz w:val="20"/>
              </w:rPr>
              <w:t>data</w:t>
            </w:r>
            <w:r>
              <w:rPr>
                <w:b/>
                <w:color w:val="FFFFFF"/>
                <w:spacing w:val="-9"/>
                <w:sz w:val="20"/>
              </w:rPr>
              <w:t xml:space="preserve"> </w:t>
            </w:r>
            <w:r>
              <w:rPr>
                <w:b/>
                <w:color w:val="FFFFFF"/>
                <w:spacing w:val="-2"/>
                <w:sz w:val="20"/>
              </w:rPr>
              <w:t>collection</w:t>
            </w:r>
          </w:p>
          <w:p w14:paraId="4CBE6999" w14:textId="77777777" w:rsidR="00285366" w:rsidRDefault="00285366" w:rsidP="00D30DB6">
            <w:pPr>
              <w:pStyle w:val="TableParagraph"/>
              <w:ind w:left="0" w:right="7"/>
              <w:jc w:val="center"/>
              <w:rPr>
                <w:b/>
                <w:color w:val="FFFFFF"/>
                <w:spacing w:val="-2"/>
                <w:sz w:val="20"/>
              </w:rPr>
            </w:pPr>
          </w:p>
          <w:p w14:paraId="3FE5E17C" w14:textId="77777777" w:rsidR="00285366" w:rsidRPr="007F6299" w:rsidRDefault="00285366" w:rsidP="00D30DB6">
            <w:pPr>
              <w:pStyle w:val="TableParagraph"/>
              <w:spacing w:before="0" w:line="225" w:lineRule="exact"/>
              <w:rPr>
                <w:color w:val="FFFFFF" w:themeColor="background1"/>
                <w:sz w:val="20"/>
              </w:rPr>
            </w:pPr>
            <w:r w:rsidRPr="007F6299">
              <w:rPr>
                <w:color w:val="FFFFFF" w:themeColor="background1"/>
                <w:spacing w:val="-4"/>
                <w:sz w:val="20"/>
              </w:rPr>
              <w:t xml:space="preserve">DFAT/            MJCS              </w:t>
            </w:r>
            <w:r w:rsidRPr="007F6299">
              <w:rPr>
                <w:color w:val="FFFFFF" w:themeColor="background1"/>
                <w:spacing w:val="-5"/>
                <w:sz w:val="20"/>
              </w:rPr>
              <w:t>VPF</w:t>
            </w:r>
            <w:r w:rsidRPr="007F6299">
              <w:rPr>
                <w:color w:val="FFFFFF" w:themeColor="background1"/>
                <w:spacing w:val="-4"/>
                <w:sz w:val="20"/>
              </w:rPr>
              <w:t xml:space="preserve">             </w:t>
            </w:r>
            <w:r w:rsidRPr="007F6299">
              <w:rPr>
                <w:color w:val="FFFFFF" w:themeColor="background1"/>
                <w:sz w:val="20"/>
              </w:rPr>
              <w:t xml:space="preserve">CSO –            </w:t>
            </w:r>
            <w:r w:rsidRPr="007F6299">
              <w:rPr>
                <w:color w:val="FFFFFF" w:themeColor="background1"/>
                <w:spacing w:val="-2"/>
                <w:sz w:val="20"/>
              </w:rPr>
              <w:t>Community              VAPJP</w:t>
            </w:r>
          </w:p>
          <w:p w14:paraId="710826CA" w14:textId="77777777" w:rsidR="00285366" w:rsidRPr="007F6299" w:rsidRDefault="00285366" w:rsidP="00D30DB6">
            <w:pPr>
              <w:pStyle w:val="TableParagraph"/>
              <w:ind w:left="0" w:right="7"/>
              <w:rPr>
                <w:color w:val="FFFFFF" w:themeColor="background1"/>
                <w:spacing w:val="-4"/>
                <w:sz w:val="20"/>
              </w:rPr>
            </w:pPr>
            <w:r w:rsidRPr="007F6299">
              <w:rPr>
                <w:color w:val="FFFFFF" w:themeColor="background1"/>
                <w:spacing w:val="-4"/>
                <w:sz w:val="20"/>
              </w:rPr>
              <w:t xml:space="preserve">  AFP                                                            VWC,                                                 Team</w:t>
            </w:r>
          </w:p>
          <w:p w14:paraId="60C4FDEE" w14:textId="77777777" w:rsidR="00285366" w:rsidRPr="007F6299" w:rsidRDefault="00285366" w:rsidP="00D30DB6">
            <w:pPr>
              <w:pStyle w:val="TableParagraph"/>
              <w:ind w:left="0" w:right="7"/>
              <w:rPr>
                <w:color w:val="FFFFFF" w:themeColor="background1"/>
                <w:spacing w:val="-14"/>
                <w:sz w:val="20"/>
              </w:rPr>
            </w:pPr>
            <w:r w:rsidRPr="007F6299">
              <w:rPr>
                <w:color w:val="FFFFFF" w:themeColor="background1"/>
                <w:spacing w:val="-4"/>
                <w:sz w:val="20"/>
              </w:rPr>
              <w:t xml:space="preserve">                                                                     </w:t>
            </w:r>
            <w:r w:rsidRPr="007F6299">
              <w:rPr>
                <w:color w:val="FFFFFF" w:themeColor="background1"/>
                <w:sz w:val="20"/>
              </w:rPr>
              <w:t>VSPD,</w:t>
            </w:r>
            <w:r w:rsidRPr="007F6299">
              <w:rPr>
                <w:color w:val="FFFFFF" w:themeColor="background1"/>
                <w:spacing w:val="-14"/>
                <w:sz w:val="20"/>
              </w:rPr>
              <w:t xml:space="preserve"> </w:t>
            </w:r>
          </w:p>
          <w:p w14:paraId="004E78B1" w14:textId="77777777" w:rsidR="00285366" w:rsidRPr="006E1191" w:rsidRDefault="00285366" w:rsidP="00D30DB6">
            <w:pPr>
              <w:pStyle w:val="TableParagraph"/>
              <w:ind w:left="0" w:right="7"/>
              <w:rPr>
                <w:spacing w:val="-4"/>
                <w:sz w:val="20"/>
              </w:rPr>
            </w:pPr>
            <w:r w:rsidRPr="007F6299">
              <w:rPr>
                <w:color w:val="FFFFFF" w:themeColor="background1"/>
                <w:spacing w:val="-14"/>
                <w:sz w:val="20"/>
              </w:rPr>
              <w:t xml:space="preserve">                                                                                      </w:t>
            </w:r>
            <w:r w:rsidRPr="007F6299">
              <w:rPr>
                <w:color w:val="FFFFFF" w:themeColor="background1"/>
                <w:sz w:val="20"/>
              </w:rPr>
              <w:t>WVC</w:t>
            </w:r>
          </w:p>
        </w:tc>
      </w:tr>
      <w:tr w:rsidR="006220FA" w14:paraId="5170B68B" w14:textId="77777777" w:rsidTr="00D30DB6">
        <w:trPr>
          <w:trHeight w:val="3671"/>
        </w:trPr>
        <w:tc>
          <w:tcPr>
            <w:tcW w:w="721" w:type="pct"/>
            <w:tcBorders>
              <w:top w:val="single" w:sz="4" w:space="0" w:color="0064BB"/>
              <w:bottom w:val="single" w:sz="4" w:space="0" w:color="0064BB"/>
            </w:tcBorders>
            <w:shd w:val="clear" w:color="auto" w:fill="F1F1F1"/>
          </w:tcPr>
          <w:p w14:paraId="015C16B8" w14:textId="3E690D23" w:rsidR="006220FA" w:rsidRPr="0042722D" w:rsidRDefault="006220FA" w:rsidP="006220FA">
            <w:pPr>
              <w:pStyle w:val="TableParagraph"/>
              <w:ind w:left="468" w:right="351" w:hanging="360"/>
              <w:rPr>
                <w:b/>
                <w:sz w:val="20"/>
                <w:szCs w:val="20"/>
              </w:rPr>
            </w:pPr>
            <w:r>
              <w:rPr>
                <w:b/>
                <w:sz w:val="20"/>
              </w:rPr>
              <w:t>2.1 Is the delivery and management</w:t>
            </w:r>
            <w:r w:rsidRPr="00B2694E">
              <w:rPr>
                <w:b/>
                <w:sz w:val="20"/>
              </w:rPr>
              <w:t xml:space="preserve"> </w:t>
            </w:r>
            <w:r>
              <w:rPr>
                <w:b/>
                <w:sz w:val="20"/>
              </w:rPr>
              <w:t>approach</w:t>
            </w:r>
            <w:r w:rsidRPr="00B2694E">
              <w:rPr>
                <w:b/>
                <w:sz w:val="20"/>
              </w:rPr>
              <w:t xml:space="preserve"> </w:t>
            </w:r>
            <w:r>
              <w:rPr>
                <w:b/>
                <w:sz w:val="20"/>
              </w:rPr>
              <w:t>of VAPJP fit for purpose?</w:t>
            </w:r>
          </w:p>
        </w:tc>
        <w:tc>
          <w:tcPr>
            <w:tcW w:w="1149" w:type="pct"/>
            <w:tcBorders>
              <w:top w:val="single" w:sz="4" w:space="0" w:color="0064BB"/>
              <w:bottom w:val="single" w:sz="4" w:space="0" w:color="0064BB"/>
            </w:tcBorders>
          </w:tcPr>
          <w:p w14:paraId="346B9450" w14:textId="77777777" w:rsidR="006220FA" w:rsidRPr="009403C3" w:rsidRDefault="006220FA" w:rsidP="009403C3">
            <w:pPr>
              <w:pStyle w:val="TableParagraph"/>
              <w:numPr>
                <w:ilvl w:val="0"/>
                <w:numId w:val="24"/>
              </w:numPr>
              <w:tabs>
                <w:tab w:val="left" w:pos="468"/>
              </w:tabs>
              <w:spacing w:before="64" w:line="235" w:lineRule="auto"/>
              <w:ind w:right="506"/>
              <w:rPr>
                <w:sz w:val="20"/>
                <w:szCs w:val="20"/>
              </w:rPr>
            </w:pPr>
            <w:r w:rsidRPr="009403C3">
              <w:rPr>
                <w:sz w:val="20"/>
                <w:szCs w:val="20"/>
              </w:rPr>
              <w:t>How efficient is the current management modality (i.e. DFAT/managing contractor/AFP)?</w:t>
            </w:r>
          </w:p>
          <w:p w14:paraId="1E2598BB" w14:textId="77777777" w:rsidR="006220FA" w:rsidRPr="009403C3" w:rsidRDefault="006220FA" w:rsidP="009403C3">
            <w:pPr>
              <w:pStyle w:val="TableParagraph"/>
              <w:numPr>
                <w:ilvl w:val="0"/>
                <w:numId w:val="24"/>
              </w:numPr>
              <w:tabs>
                <w:tab w:val="left" w:pos="468"/>
              </w:tabs>
              <w:spacing w:before="64" w:line="235" w:lineRule="auto"/>
              <w:ind w:right="506"/>
              <w:rPr>
                <w:sz w:val="20"/>
                <w:szCs w:val="20"/>
              </w:rPr>
            </w:pPr>
            <w:r w:rsidRPr="009403C3">
              <w:rPr>
                <w:sz w:val="20"/>
                <w:szCs w:val="20"/>
              </w:rPr>
              <w:t>How does the scope and level of engagement of implementing partners contribute to the efficiency or otherwise of program delivery?</w:t>
            </w:r>
          </w:p>
          <w:p w14:paraId="019F6428" w14:textId="23610558" w:rsidR="006220FA" w:rsidRPr="0042722D" w:rsidRDefault="006220FA" w:rsidP="009403C3">
            <w:pPr>
              <w:pStyle w:val="TableParagraph"/>
              <w:numPr>
                <w:ilvl w:val="0"/>
                <w:numId w:val="24"/>
              </w:numPr>
              <w:tabs>
                <w:tab w:val="left" w:pos="468"/>
              </w:tabs>
              <w:spacing w:before="64" w:line="235" w:lineRule="auto"/>
              <w:ind w:right="506"/>
              <w:rPr>
                <w:sz w:val="20"/>
                <w:szCs w:val="20"/>
              </w:rPr>
            </w:pPr>
            <w:r w:rsidRPr="009403C3">
              <w:rPr>
                <w:sz w:val="20"/>
                <w:szCs w:val="20"/>
              </w:rPr>
              <w:t>Is VAPJP taking sufficient steps to support localisation and local leadership within the program?</w:t>
            </w:r>
          </w:p>
        </w:tc>
        <w:tc>
          <w:tcPr>
            <w:tcW w:w="811" w:type="pct"/>
            <w:tcBorders>
              <w:top w:val="single" w:sz="4" w:space="0" w:color="0064BB"/>
              <w:bottom w:val="single" w:sz="4" w:space="0" w:color="0064BB"/>
            </w:tcBorders>
          </w:tcPr>
          <w:p w14:paraId="2F558151" w14:textId="77777777" w:rsidR="006220FA" w:rsidRPr="009403C3" w:rsidRDefault="006220FA" w:rsidP="009403C3">
            <w:pPr>
              <w:pStyle w:val="TableParagraph"/>
              <w:numPr>
                <w:ilvl w:val="0"/>
                <w:numId w:val="23"/>
              </w:numPr>
              <w:tabs>
                <w:tab w:val="left" w:pos="472"/>
              </w:tabs>
              <w:spacing w:before="59"/>
              <w:rPr>
                <w:spacing w:val="-2"/>
                <w:sz w:val="20"/>
                <w:szCs w:val="20"/>
              </w:rPr>
            </w:pPr>
            <w:r w:rsidRPr="009403C3">
              <w:rPr>
                <w:spacing w:val="-2"/>
                <w:sz w:val="20"/>
                <w:szCs w:val="20"/>
              </w:rPr>
              <w:t>Analysis of expenditure - budgeted versus actual (overall, by core component and/or activity type if relevant)</w:t>
            </w:r>
          </w:p>
          <w:p w14:paraId="7E4ED817" w14:textId="77777777" w:rsidR="006220FA" w:rsidRPr="009403C3" w:rsidRDefault="006220FA" w:rsidP="009403C3">
            <w:pPr>
              <w:pStyle w:val="TableParagraph"/>
              <w:numPr>
                <w:ilvl w:val="0"/>
                <w:numId w:val="23"/>
              </w:numPr>
              <w:tabs>
                <w:tab w:val="left" w:pos="472"/>
              </w:tabs>
              <w:spacing w:before="59"/>
              <w:rPr>
                <w:spacing w:val="-2"/>
                <w:sz w:val="20"/>
                <w:szCs w:val="20"/>
              </w:rPr>
            </w:pPr>
            <w:r w:rsidRPr="009403C3">
              <w:rPr>
                <w:spacing w:val="-2"/>
                <w:sz w:val="20"/>
                <w:szCs w:val="20"/>
              </w:rPr>
              <w:t>Perceptions regarding what activities are most effective for achieving program outcomes</w:t>
            </w:r>
          </w:p>
          <w:p w14:paraId="31C4D820" w14:textId="77777777" w:rsidR="006220FA" w:rsidRPr="009403C3" w:rsidRDefault="006220FA" w:rsidP="009403C3">
            <w:pPr>
              <w:pStyle w:val="TableParagraph"/>
              <w:numPr>
                <w:ilvl w:val="0"/>
                <w:numId w:val="23"/>
              </w:numPr>
              <w:tabs>
                <w:tab w:val="left" w:pos="472"/>
              </w:tabs>
              <w:spacing w:before="59"/>
              <w:rPr>
                <w:spacing w:val="-2"/>
                <w:sz w:val="20"/>
                <w:szCs w:val="20"/>
              </w:rPr>
            </w:pPr>
            <w:r w:rsidRPr="009403C3">
              <w:rPr>
                <w:spacing w:val="-2"/>
                <w:sz w:val="20"/>
                <w:szCs w:val="20"/>
              </w:rPr>
              <w:t>Perceptions regarding funding and resourcing, and if/where additional resourcing would enhance program outcomes</w:t>
            </w:r>
          </w:p>
          <w:p w14:paraId="67A42182" w14:textId="77777777" w:rsidR="006220FA" w:rsidRPr="009403C3" w:rsidRDefault="006220FA" w:rsidP="009403C3">
            <w:pPr>
              <w:pStyle w:val="TableParagraph"/>
              <w:numPr>
                <w:ilvl w:val="0"/>
                <w:numId w:val="23"/>
              </w:numPr>
              <w:tabs>
                <w:tab w:val="left" w:pos="472"/>
              </w:tabs>
              <w:spacing w:before="59"/>
              <w:rPr>
                <w:spacing w:val="-2"/>
                <w:sz w:val="20"/>
                <w:szCs w:val="20"/>
              </w:rPr>
            </w:pPr>
            <w:r w:rsidRPr="009403C3">
              <w:rPr>
                <w:spacing w:val="-2"/>
                <w:sz w:val="20"/>
                <w:szCs w:val="20"/>
              </w:rPr>
              <w:t xml:space="preserve">Evidence of data being collected and used to inform decision making </w:t>
            </w:r>
          </w:p>
          <w:p w14:paraId="1EA668EC" w14:textId="77777777" w:rsidR="006220FA" w:rsidRPr="009403C3" w:rsidRDefault="006220FA" w:rsidP="009403C3">
            <w:pPr>
              <w:pStyle w:val="TableParagraph"/>
              <w:numPr>
                <w:ilvl w:val="0"/>
                <w:numId w:val="23"/>
              </w:numPr>
              <w:tabs>
                <w:tab w:val="left" w:pos="472"/>
              </w:tabs>
              <w:spacing w:before="59"/>
              <w:rPr>
                <w:spacing w:val="-2"/>
                <w:sz w:val="20"/>
                <w:szCs w:val="20"/>
              </w:rPr>
            </w:pPr>
            <w:r w:rsidRPr="009403C3">
              <w:rPr>
                <w:spacing w:val="-2"/>
                <w:sz w:val="20"/>
                <w:szCs w:val="20"/>
              </w:rPr>
              <w:t>Perceptions regarding how the program applies lessons and knowledge generated under the program</w:t>
            </w:r>
          </w:p>
          <w:p w14:paraId="5FC3B34D" w14:textId="7113E067" w:rsidR="006220FA" w:rsidRPr="0042722D" w:rsidRDefault="006220FA" w:rsidP="009403C3">
            <w:pPr>
              <w:pStyle w:val="TableParagraph"/>
              <w:numPr>
                <w:ilvl w:val="0"/>
                <w:numId w:val="23"/>
              </w:numPr>
              <w:tabs>
                <w:tab w:val="left" w:pos="472"/>
              </w:tabs>
              <w:spacing w:before="59"/>
              <w:rPr>
                <w:sz w:val="20"/>
                <w:szCs w:val="20"/>
              </w:rPr>
            </w:pPr>
            <w:r w:rsidRPr="009403C3">
              <w:rPr>
                <w:spacing w:val="-2"/>
                <w:sz w:val="20"/>
                <w:szCs w:val="20"/>
              </w:rPr>
              <w:t>Perceptions regarding challenges and how learning and sharing of lessons from the program can be enhanced</w:t>
            </w:r>
          </w:p>
        </w:tc>
        <w:tc>
          <w:tcPr>
            <w:tcW w:w="531" w:type="pct"/>
            <w:tcBorders>
              <w:top w:val="single" w:sz="4" w:space="0" w:color="0064BB"/>
              <w:bottom w:val="single" w:sz="4" w:space="0" w:color="0064BB"/>
            </w:tcBorders>
          </w:tcPr>
          <w:p w14:paraId="35E9DD1A" w14:textId="5C1206EF" w:rsidR="006220FA" w:rsidRPr="0042722D" w:rsidRDefault="006220FA" w:rsidP="009403C3">
            <w:pPr>
              <w:pStyle w:val="TableParagraph"/>
              <w:ind w:left="129" w:right="755"/>
              <w:rPr>
                <w:sz w:val="20"/>
                <w:szCs w:val="20"/>
              </w:rPr>
            </w:pPr>
            <w:r w:rsidRPr="009403C3">
              <w:rPr>
                <w:sz w:val="20"/>
                <w:szCs w:val="20"/>
              </w:rPr>
              <w:t>VAPJP project documents</w:t>
            </w:r>
          </w:p>
        </w:tc>
        <w:tc>
          <w:tcPr>
            <w:tcW w:w="226" w:type="pct"/>
            <w:tcBorders>
              <w:top w:val="single" w:sz="4" w:space="0" w:color="0064BB"/>
              <w:bottom w:val="single" w:sz="4" w:space="0" w:color="0064BB"/>
            </w:tcBorders>
          </w:tcPr>
          <w:p w14:paraId="67D3FB52" w14:textId="7039CCA7" w:rsidR="006220FA" w:rsidRPr="00AD1316" w:rsidRDefault="006220FA" w:rsidP="006220FA">
            <w:pPr>
              <w:pStyle w:val="TableParagraph"/>
              <w:spacing w:before="81"/>
              <w:ind w:left="321"/>
              <w:rPr>
                <w:sz w:val="20"/>
                <w:szCs w:val="20"/>
              </w:rPr>
            </w:pPr>
            <w:r w:rsidRPr="00AD1316">
              <w:rPr>
                <w:rFonts w:ascii="Segoe UI Symbol" w:hAnsi="Segoe UI Symbol" w:cs="Segoe UI Symbol"/>
                <w:spacing w:val="-10"/>
                <w:sz w:val="20"/>
              </w:rPr>
              <w:t>✔</w:t>
            </w:r>
          </w:p>
        </w:tc>
        <w:tc>
          <w:tcPr>
            <w:tcW w:w="264" w:type="pct"/>
            <w:tcBorders>
              <w:top w:val="single" w:sz="4" w:space="0" w:color="0064BB"/>
              <w:bottom w:val="single" w:sz="4" w:space="0" w:color="0064BB"/>
            </w:tcBorders>
          </w:tcPr>
          <w:p w14:paraId="4A5D6090" w14:textId="18D722A9" w:rsidR="006220FA" w:rsidRPr="00AD1316" w:rsidRDefault="006220FA" w:rsidP="006220FA">
            <w:pPr>
              <w:pStyle w:val="TableParagraph"/>
              <w:spacing w:before="81"/>
              <w:ind w:left="321"/>
              <w:rPr>
                <w:sz w:val="20"/>
                <w:szCs w:val="20"/>
              </w:rPr>
            </w:pPr>
            <w:r w:rsidRPr="00AD1316">
              <w:rPr>
                <w:rFonts w:ascii="Segoe UI Symbol" w:hAnsi="Segoe UI Symbol" w:cs="Segoe UI Symbol"/>
                <w:spacing w:val="-10"/>
                <w:sz w:val="20"/>
              </w:rPr>
              <w:t>✔</w:t>
            </w:r>
          </w:p>
        </w:tc>
        <w:tc>
          <w:tcPr>
            <w:tcW w:w="225" w:type="pct"/>
            <w:tcBorders>
              <w:top w:val="single" w:sz="4" w:space="0" w:color="0064BB"/>
              <w:bottom w:val="single" w:sz="4" w:space="0" w:color="0064BB"/>
            </w:tcBorders>
          </w:tcPr>
          <w:p w14:paraId="7B4E641A" w14:textId="50369910" w:rsidR="006220FA" w:rsidRPr="00AD1316" w:rsidRDefault="006220FA" w:rsidP="006220FA">
            <w:pPr>
              <w:pStyle w:val="TableParagraph"/>
              <w:spacing w:before="81"/>
              <w:ind w:left="303"/>
              <w:rPr>
                <w:sz w:val="20"/>
                <w:szCs w:val="20"/>
              </w:rPr>
            </w:pPr>
            <w:r w:rsidRPr="00AD1316">
              <w:rPr>
                <w:rFonts w:ascii="Segoe UI Symbol" w:hAnsi="Segoe UI Symbol" w:cs="Segoe UI Symbol"/>
                <w:spacing w:val="-10"/>
                <w:sz w:val="20"/>
              </w:rPr>
              <w:t>✔</w:t>
            </w:r>
          </w:p>
        </w:tc>
        <w:tc>
          <w:tcPr>
            <w:tcW w:w="350" w:type="pct"/>
            <w:tcBorders>
              <w:top w:val="single" w:sz="4" w:space="0" w:color="0064BB"/>
              <w:bottom w:val="single" w:sz="4" w:space="0" w:color="0064BB"/>
            </w:tcBorders>
          </w:tcPr>
          <w:p w14:paraId="096339F3" w14:textId="23C01DA3" w:rsidR="006220FA" w:rsidRPr="00AD1316" w:rsidRDefault="006220FA" w:rsidP="006220FA">
            <w:pPr>
              <w:pStyle w:val="TableParagraph"/>
              <w:spacing w:before="81"/>
              <w:ind w:left="308"/>
              <w:rPr>
                <w:sz w:val="20"/>
                <w:szCs w:val="20"/>
              </w:rPr>
            </w:pPr>
            <w:r w:rsidRPr="00AD1316">
              <w:rPr>
                <w:rFonts w:ascii="Segoe UI Symbol" w:hAnsi="Segoe UI Symbol" w:cs="Segoe UI Symbol"/>
                <w:spacing w:val="-10"/>
                <w:sz w:val="20"/>
              </w:rPr>
              <w:t>✔</w:t>
            </w:r>
          </w:p>
        </w:tc>
        <w:tc>
          <w:tcPr>
            <w:tcW w:w="349" w:type="pct"/>
            <w:tcBorders>
              <w:top w:val="single" w:sz="4" w:space="0" w:color="0064BB"/>
              <w:bottom w:val="single" w:sz="4" w:space="0" w:color="0064BB"/>
            </w:tcBorders>
          </w:tcPr>
          <w:p w14:paraId="3EB2E689" w14:textId="04FFB8D7" w:rsidR="006220FA" w:rsidRPr="00AD1316" w:rsidRDefault="006220FA" w:rsidP="006220FA">
            <w:pPr>
              <w:pStyle w:val="TableParagraph"/>
              <w:spacing w:before="81"/>
              <w:ind w:left="118"/>
              <w:rPr>
                <w:sz w:val="20"/>
                <w:szCs w:val="20"/>
              </w:rPr>
            </w:pPr>
            <w:r w:rsidRPr="00AD1316">
              <w:rPr>
                <w:rFonts w:ascii="Segoe UI Symbol" w:hAnsi="Segoe UI Symbol" w:cs="Segoe UI Symbol"/>
                <w:spacing w:val="-10"/>
                <w:sz w:val="20"/>
              </w:rPr>
              <w:t>✔</w:t>
            </w:r>
          </w:p>
        </w:tc>
        <w:tc>
          <w:tcPr>
            <w:tcW w:w="374" w:type="pct"/>
            <w:tcBorders>
              <w:top w:val="single" w:sz="4" w:space="0" w:color="0064BB"/>
              <w:bottom w:val="single" w:sz="4" w:space="0" w:color="0064BB"/>
            </w:tcBorders>
          </w:tcPr>
          <w:p w14:paraId="7042E5A4" w14:textId="2260DA8C" w:rsidR="006220FA" w:rsidRPr="00AD1316" w:rsidRDefault="006220FA" w:rsidP="006220FA">
            <w:pPr>
              <w:pStyle w:val="TableParagraph"/>
              <w:spacing w:before="81"/>
              <w:ind w:left="417"/>
              <w:rPr>
                <w:sz w:val="20"/>
                <w:szCs w:val="20"/>
              </w:rPr>
            </w:pPr>
            <w:r w:rsidRPr="00AD1316">
              <w:rPr>
                <w:rFonts w:ascii="Segoe UI Symbol" w:hAnsi="Segoe UI Symbol" w:cs="Segoe UI Symbol"/>
                <w:spacing w:val="-10"/>
                <w:sz w:val="20"/>
              </w:rPr>
              <w:t>✔</w:t>
            </w:r>
          </w:p>
        </w:tc>
      </w:tr>
      <w:tr w:rsidR="00F2113F" w14:paraId="488E7F74" w14:textId="77777777" w:rsidTr="00F2113F">
        <w:trPr>
          <w:trHeight w:val="2576"/>
        </w:trPr>
        <w:tc>
          <w:tcPr>
            <w:tcW w:w="721" w:type="pct"/>
            <w:tcBorders>
              <w:top w:val="single" w:sz="4" w:space="0" w:color="0064BB"/>
              <w:bottom w:val="single" w:sz="4" w:space="0" w:color="0064BB"/>
            </w:tcBorders>
            <w:shd w:val="clear" w:color="auto" w:fill="F1F1F1"/>
          </w:tcPr>
          <w:p w14:paraId="6C17D6F9" w14:textId="2E844D64" w:rsidR="00F2113F" w:rsidRPr="00F5448A" w:rsidRDefault="00F2113F" w:rsidP="00F2113F">
            <w:pPr>
              <w:pStyle w:val="TableParagraph"/>
              <w:ind w:left="468" w:right="351" w:hanging="360"/>
              <w:rPr>
                <w:b/>
                <w:sz w:val="20"/>
                <w:szCs w:val="20"/>
              </w:rPr>
            </w:pPr>
            <w:r>
              <w:rPr>
                <w:b/>
                <w:sz w:val="20"/>
              </w:rPr>
              <w:t>2.2 To what extent do the governance and delivery modalities</w:t>
            </w:r>
            <w:r w:rsidRPr="00351F38">
              <w:rPr>
                <w:b/>
                <w:sz w:val="20"/>
              </w:rPr>
              <w:t xml:space="preserve"> </w:t>
            </w:r>
            <w:r>
              <w:rPr>
                <w:b/>
                <w:sz w:val="20"/>
              </w:rPr>
              <w:t>support</w:t>
            </w:r>
            <w:r w:rsidRPr="00351F38">
              <w:rPr>
                <w:b/>
                <w:sz w:val="20"/>
              </w:rPr>
              <w:t xml:space="preserve"> </w:t>
            </w:r>
            <w:r>
              <w:rPr>
                <w:b/>
                <w:sz w:val="20"/>
              </w:rPr>
              <w:t>progress towards IOs and EOPOs?</w:t>
            </w:r>
          </w:p>
        </w:tc>
        <w:tc>
          <w:tcPr>
            <w:tcW w:w="1149" w:type="pct"/>
            <w:tcBorders>
              <w:top w:val="single" w:sz="4" w:space="0" w:color="0064BB"/>
              <w:bottom w:val="single" w:sz="4" w:space="0" w:color="0064BB"/>
            </w:tcBorders>
          </w:tcPr>
          <w:p w14:paraId="75D0CA24" w14:textId="47A7D96C" w:rsidR="00F2113F" w:rsidRPr="005C6861" w:rsidRDefault="00F2113F" w:rsidP="00F2113F">
            <w:pPr>
              <w:pStyle w:val="TableParagraph"/>
              <w:numPr>
                <w:ilvl w:val="0"/>
                <w:numId w:val="24"/>
              </w:numPr>
              <w:tabs>
                <w:tab w:val="left" w:pos="468"/>
              </w:tabs>
              <w:spacing w:before="64" w:line="235" w:lineRule="auto"/>
              <w:ind w:right="506"/>
              <w:rPr>
                <w:sz w:val="20"/>
                <w:szCs w:val="20"/>
              </w:rPr>
            </w:pPr>
            <w:r w:rsidRPr="005C6861">
              <w:rPr>
                <w:sz w:val="20"/>
                <w:szCs w:val="20"/>
              </w:rPr>
              <w:t>To what extent are the governance mechanisms efficient in terms of facilitating delivery of EOPOs?</w:t>
            </w:r>
          </w:p>
          <w:p w14:paraId="699EFE8C" w14:textId="65E7C807" w:rsidR="00F2113F" w:rsidRPr="00F5448A" w:rsidRDefault="00F2113F" w:rsidP="00F2113F">
            <w:pPr>
              <w:pStyle w:val="TableParagraph"/>
              <w:numPr>
                <w:ilvl w:val="0"/>
                <w:numId w:val="24"/>
              </w:numPr>
              <w:tabs>
                <w:tab w:val="left" w:pos="468"/>
              </w:tabs>
              <w:spacing w:before="64" w:line="235" w:lineRule="auto"/>
              <w:ind w:right="506"/>
              <w:rPr>
                <w:sz w:val="20"/>
                <w:szCs w:val="20"/>
              </w:rPr>
            </w:pPr>
            <w:r w:rsidRPr="005C6861">
              <w:rPr>
                <w:sz w:val="20"/>
                <w:szCs w:val="20"/>
              </w:rPr>
              <w:t>Are the VAPJP delivery modalities - technical assistance, operational support and funding, training and professional development, community grants, infrastructure, and project delivery – still the most efficient way to provide support to the sector within this current phase?</w:t>
            </w:r>
          </w:p>
        </w:tc>
        <w:tc>
          <w:tcPr>
            <w:tcW w:w="811" w:type="pct"/>
            <w:tcBorders>
              <w:top w:val="single" w:sz="4" w:space="0" w:color="0064BB"/>
              <w:bottom w:val="single" w:sz="4" w:space="0" w:color="0064BB"/>
            </w:tcBorders>
          </w:tcPr>
          <w:p w14:paraId="77139C52" w14:textId="77777777" w:rsidR="00F2113F" w:rsidRPr="00B4451C" w:rsidRDefault="00F2113F" w:rsidP="00F2113F">
            <w:pPr>
              <w:pStyle w:val="TableParagraph"/>
              <w:numPr>
                <w:ilvl w:val="0"/>
                <w:numId w:val="24"/>
              </w:numPr>
              <w:tabs>
                <w:tab w:val="left" w:pos="468"/>
              </w:tabs>
              <w:spacing w:before="64" w:line="235" w:lineRule="auto"/>
              <w:ind w:right="347"/>
              <w:rPr>
                <w:sz w:val="20"/>
                <w:szCs w:val="20"/>
              </w:rPr>
            </w:pPr>
            <w:r w:rsidRPr="00B4451C">
              <w:rPr>
                <w:sz w:val="20"/>
                <w:szCs w:val="20"/>
              </w:rPr>
              <w:t>The extent that the MEL system has been implemented and supports effective monitoring of progress against outcome KPIs</w:t>
            </w:r>
          </w:p>
          <w:p w14:paraId="4660DC4A" w14:textId="77777777" w:rsidR="00F2113F" w:rsidRPr="00B4451C" w:rsidRDefault="00F2113F" w:rsidP="00F2113F">
            <w:pPr>
              <w:pStyle w:val="TableParagraph"/>
              <w:numPr>
                <w:ilvl w:val="0"/>
                <w:numId w:val="24"/>
              </w:numPr>
              <w:tabs>
                <w:tab w:val="left" w:pos="468"/>
              </w:tabs>
              <w:spacing w:before="64" w:line="235" w:lineRule="auto"/>
              <w:ind w:right="347"/>
              <w:rPr>
                <w:sz w:val="20"/>
                <w:szCs w:val="20"/>
              </w:rPr>
            </w:pPr>
            <w:r w:rsidRPr="00B4451C">
              <w:rPr>
                <w:sz w:val="20"/>
                <w:szCs w:val="20"/>
              </w:rPr>
              <w:t>Perceptions regarding the usefulness and limitations of the current monitoring system</w:t>
            </w:r>
          </w:p>
          <w:p w14:paraId="065C7295" w14:textId="0CEFEF4F" w:rsidR="00F2113F" w:rsidRPr="00F5448A" w:rsidRDefault="00F2113F" w:rsidP="00F2113F">
            <w:pPr>
              <w:pStyle w:val="TableParagraph"/>
              <w:numPr>
                <w:ilvl w:val="0"/>
                <w:numId w:val="24"/>
              </w:numPr>
              <w:tabs>
                <w:tab w:val="left" w:pos="471"/>
              </w:tabs>
              <w:spacing w:before="64" w:line="235" w:lineRule="auto"/>
              <w:ind w:right="347"/>
              <w:rPr>
                <w:sz w:val="20"/>
                <w:szCs w:val="20"/>
              </w:rPr>
            </w:pPr>
            <w:r w:rsidRPr="00B4451C">
              <w:rPr>
                <w:sz w:val="20"/>
                <w:szCs w:val="20"/>
              </w:rPr>
              <w:t>Evidence of recommendations being addressed</w:t>
            </w:r>
          </w:p>
        </w:tc>
        <w:tc>
          <w:tcPr>
            <w:tcW w:w="531" w:type="pct"/>
            <w:tcBorders>
              <w:top w:val="single" w:sz="4" w:space="0" w:color="0064BB"/>
              <w:bottom w:val="single" w:sz="4" w:space="0" w:color="0064BB"/>
            </w:tcBorders>
          </w:tcPr>
          <w:p w14:paraId="51F42A96" w14:textId="77777777" w:rsidR="00F2113F" w:rsidRPr="00AF536F" w:rsidRDefault="00F2113F" w:rsidP="00F2113F">
            <w:pPr>
              <w:pStyle w:val="TableParagraph"/>
              <w:ind w:left="129" w:right="755"/>
              <w:rPr>
                <w:sz w:val="20"/>
                <w:szCs w:val="20"/>
              </w:rPr>
            </w:pPr>
            <w:r w:rsidRPr="00AF536F">
              <w:rPr>
                <w:sz w:val="20"/>
                <w:szCs w:val="20"/>
              </w:rPr>
              <w:t>VAPJP project documents</w:t>
            </w:r>
          </w:p>
          <w:p w14:paraId="4102F8D5" w14:textId="1F12AD43" w:rsidR="00F2113F" w:rsidRPr="00F5448A" w:rsidRDefault="00F2113F" w:rsidP="00F2113F">
            <w:pPr>
              <w:pStyle w:val="TableParagraph"/>
              <w:ind w:left="129" w:right="755"/>
              <w:rPr>
                <w:sz w:val="20"/>
                <w:szCs w:val="20"/>
              </w:rPr>
            </w:pPr>
            <w:r w:rsidRPr="00AF536F">
              <w:rPr>
                <w:sz w:val="20"/>
                <w:szCs w:val="20"/>
              </w:rPr>
              <w:t>PMG Documents</w:t>
            </w:r>
          </w:p>
        </w:tc>
        <w:tc>
          <w:tcPr>
            <w:tcW w:w="226" w:type="pct"/>
            <w:tcBorders>
              <w:top w:val="single" w:sz="4" w:space="0" w:color="0064BB"/>
              <w:bottom w:val="single" w:sz="4" w:space="0" w:color="0064BB"/>
            </w:tcBorders>
          </w:tcPr>
          <w:p w14:paraId="2A10E191" w14:textId="44042D6B" w:rsidR="00F2113F" w:rsidRPr="00AD1316" w:rsidRDefault="00F2113F" w:rsidP="00F2113F">
            <w:pPr>
              <w:pStyle w:val="TableParagraph"/>
              <w:spacing w:before="81"/>
              <w:ind w:left="321"/>
              <w:rPr>
                <w:sz w:val="20"/>
                <w:szCs w:val="20"/>
              </w:rPr>
            </w:pPr>
            <w:r w:rsidRPr="00AD1316">
              <w:rPr>
                <w:rFonts w:ascii="Segoe UI Symbol" w:hAnsi="Segoe UI Symbol" w:cs="Segoe UI Symbol"/>
                <w:spacing w:val="-10"/>
                <w:sz w:val="20"/>
                <w:szCs w:val="20"/>
              </w:rPr>
              <w:t>✔</w:t>
            </w:r>
          </w:p>
        </w:tc>
        <w:tc>
          <w:tcPr>
            <w:tcW w:w="264" w:type="pct"/>
            <w:tcBorders>
              <w:top w:val="single" w:sz="4" w:space="0" w:color="0064BB"/>
              <w:bottom w:val="single" w:sz="4" w:space="0" w:color="0064BB"/>
            </w:tcBorders>
          </w:tcPr>
          <w:p w14:paraId="64AA3783" w14:textId="5030AA14" w:rsidR="00F2113F" w:rsidRPr="00AD1316" w:rsidRDefault="00F2113F" w:rsidP="00F2113F">
            <w:pPr>
              <w:pStyle w:val="TableParagraph"/>
              <w:spacing w:before="81"/>
              <w:ind w:left="321"/>
              <w:rPr>
                <w:sz w:val="20"/>
                <w:szCs w:val="20"/>
              </w:rPr>
            </w:pPr>
            <w:r w:rsidRPr="00AD1316">
              <w:rPr>
                <w:rFonts w:ascii="Segoe UI Symbol" w:hAnsi="Segoe UI Symbol" w:cs="Segoe UI Symbol"/>
                <w:spacing w:val="-10"/>
                <w:sz w:val="20"/>
                <w:szCs w:val="20"/>
              </w:rPr>
              <w:t>✔</w:t>
            </w:r>
          </w:p>
        </w:tc>
        <w:tc>
          <w:tcPr>
            <w:tcW w:w="225" w:type="pct"/>
            <w:tcBorders>
              <w:top w:val="single" w:sz="4" w:space="0" w:color="0064BB"/>
              <w:bottom w:val="single" w:sz="4" w:space="0" w:color="0064BB"/>
            </w:tcBorders>
          </w:tcPr>
          <w:p w14:paraId="71209380" w14:textId="048F232C" w:rsidR="00F2113F" w:rsidRPr="00AD1316" w:rsidRDefault="00F2113F" w:rsidP="00F2113F">
            <w:pPr>
              <w:pStyle w:val="TableParagraph"/>
              <w:spacing w:before="81"/>
              <w:ind w:left="303"/>
              <w:rPr>
                <w:sz w:val="20"/>
                <w:szCs w:val="20"/>
              </w:rPr>
            </w:pPr>
            <w:r w:rsidRPr="00AD1316">
              <w:rPr>
                <w:rFonts w:ascii="Segoe UI Symbol" w:hAnsi="Segoe UI Symbol" w:cs="Segoe UI Symbol"/>
                <w:spacing w:val="-10"/>
                <w:sz w:val="20"/>
                <w:szCs w:val="20"/>
              </w:rPr>
              <w:t>✔</w:t>
            </w:r>
          </w:p>
        </w:tc>
        <w:tc>
          <w:tcPr>
            <w:tcW w:w="350" w:type="pct"/>
            <w:tcBorders>
              <w:top w:val="single" w:sz="4" w:space="0" w:color="0064BB"/>
              <w:bottom w:val="single" w:sz="4" w:space="0" w:color="0064BB"/>
            </w:tcBorders>
          </w:tcPr>
          <w:p w14:paraId="09C77975" w14:textId="2DF7A978" w:rsidR="00F2113F" w:rsidRPr="00AD1316" w:rsidRDefault="00F2113F" w:rsidP="00F2113F">
            <w:pPr>
              <w:pStyle w:val="TableParagraph"/>
              <w:spacing w:before="81"/>
              <w:ind w:left="308"/>
              <w:rPr>
                <w:sz w:val="20"/>
                <w:szCs w:val="20"/>
              </w:rPr>
            </w:pPr>
            <w:r w:rsidRPr="00AD1316">
              <w:rPr>
                <w:rFonts w:ascii="Segoe UI Symbol" w:hAnsi="Segoe UI Symbol" w:cs="Segoe UI Symbol"/>
                <w:spacing w:val="-10"/>
                <w:sz w:val="20"/>
                <w:szCs w:val="20"/>
              </w:rPr>
              <w:t>✔</w:t>
            </w:r>
          </w:p>
        </w:tc>
        <w:tc>
          <w:tcPr>
            <w:tcW w:w="349" w:type="pct"/>
            <w:tcBorders>
              <w:top w:val="single" w:sz="4" w:space="0" w:color="0064BB"/>
              <w:bottom w:val="single" w:sz="4" w:space="0" w:color="0064BB"/>
            </w:tcBorders>
          </w:tcPr>
          <w:p w14:paraId="448B3CF8" w14:textId="0E0DE9AD" w:rsidR="00F2113F" w:rsidRPr="00AD1316" w:rsidRDefault="00F2113F" w:rsidP="00F2113F">
            <w:pPr>
              <w:pStyle w:val="TableParagraph"/>
              <w:spacing w:before="81"/>
              <w:ind w:left="118"/>
              <w:rPr>
                <w:sz w:val="20"/>
                <w:szCs w:val="20"/>
              </w:rPr>
            </w:pPr>
            <w:r w:rsidRPr="00AD1316">
              <w:rPr>
                <w:sz w:val="20"/>
                <w:szCs w:val="20"/>
              </w:rPr>
              <w:t>X</w:t>
            </w:r>
          </w:p>
        </w:tc>
        <w:tc>
          <w:tcPr>
            <w:tcW w:w="374" w:type="pct"/>
            <w:tcBorders>
              <w:top w:val="single" w:sz="4" w:space="0" w:color="0064BB"/>
              <w:bottom w:val="single" w:sz="4" w:space="0" w:color="0064BB"/>
            </w:tcBorders>
          </w:tcPr>
          <w:p w14:paraId="2CAECA2A" w14:textId="5A6D6054" w:rsidR="00F2113F" w:rsidRPr="00AD1316" w:rsidRDefault="00F2113F" w:rsidP="00F2113F">
            <w:pPr>
              <w:pStyle w:val="TableParagraph"/>
              <w:spacing w:before="81"/>
              <w:ind w:left="417"/>
              <w:rPr>
                <w:sz w:val="20"/>
                <w:szCs w:val="20"/>
              </w:rPr>
            </w:pPr>
            <w:r w:rsidRPr="00AD1316">
              <w:rPr>
                <w:rFonts w:ascii="Segoe UI Symbol" w:hAnsi="Segoe UI Symbol" w:cs="Segoe UI Symbol"/>
                <w:spacing w:val="-10"/>
                <w:sz w:val="20"/>
                <w:szCs w:val="20"/>
              </w:rPr>
              <w:t>✔</w:t>
            </w:r>
          </w:p>
        </w:tc>
      </w:tr>
      <w:tr w:rsidR="00A95F3B" w14:paraId="1F7E3DE2" w14:textId="77777777" w:rsidTr="00D30DB6">
        <w:trPr>
          <w:trHeight w:val="2046"/>
        </w:trPr>
        <w:tc>
          <w:tcPr>
            <w:tcW w:w="721" w:type="pct"/>
            <w:tcBorders>
              <w:top w:val="single" w:sz="4" w:space="0" w:color="0064BB"/>
              <w:bottom w:val="single" w:sz="4" w:space="0" w:color="0064BB"/>
            </w:tcBorders>
            <w:shd w:val="clear" w:color="auto" w:fill="F1F1F1"/>
          </w:tcPr>
          <w:p w14:paraId="1DBC68F3" w14:textId="557656B7" w:rsidR="00A95F3B" w:rsidRPr="00F5448A" w:rsidRDefault="00A95F3B" w:rsidP="00A95F3B">
            <w:pPr>
              <w:pStyle w:val="TableParagraph"/>
              <w:spacing w:before="88" w:line="276" w:lineRule="auto"/>
              <w:ind w:left="391" w:right="138" w:hanging="284"/>
              <w:rPr>
                <w:b/>
                <w:sz w:val="20"/>
                <w:szCs w:val="20"/>
              </w:rPr>
            </w:pPr>
            <w:r>
              <w:rPr>
                <w:b/>
                <w:sz w:val="20"/>
              </w:rPr>
              <w:t>2.3 Are resources allocated appropriately</w:t>
            </w:r>
            <w:r>
              <w:rPr>
                <w:b/>
                <w:spacing w:val="-14"/>
                <w:sz w:val="20"/>
              </w:rPr>
              <w:t xml:space="preserve"> </w:t>
            </w:r>
            <w:r>
              <w:rPr>
                <w:b/>
                <w:sz w:val="20"/>
              </w:rPr>
              <w:t>across</w:t>
            </w:r>
            <w:r>
              <w:rPr>
                <w:b/>
                <w:spacing w:val="-14"/>
                <w:sz w:val="20"/>
              </w:rPr>
              <w:t xml:space="preserve"> </w:t>
            </w:r>
            <w:r>
              <w:rPr>
                <w:b/>
                <w:sz w:val="20"/>
              </w:rPr>
              <w:t xml:space="preserve">program </w:t>
            </w:r>
            <w:r>
              <w:rPr>
                <w:b/>
                <w:spacing w:val="-2"/>
                <w:sz w:val="20"/>
              </w:rPr>
              <w:t>streams?</w:t>
            </w:r>
          </w:p>
        </w:tc>
        <w:tc>
          <w:tcPr>
            <w:tcW w:w="1149" w:type="pct"/>
            <w:tcBorders>
              <w:top w:val="single" w:sz="4" w:space="0" w:color="0064BB"/>
              <w:bottom w:val="single" w:sz="4" w:space="0" w:color="0064BB"/>
            </w:tcBorders>
          </w:tcPr>
          <w:p w14:paraId="282155E0" w14:textId="77777777" w:rsidR="00A95F3B" w:rsidRPr="00027FA9" w:rsidRDefault="00A95F3B" w:rsidP="00A95F3B">
            <w:pPr>
              <w:pStyle w:val="TableParagraph"/>
              <w:numPr>
                <w:ilvl w:val="0"/>
                <w:numId w:val="24"/>
              </w:numPr>
              <w:tabs>
                <w:tab w:val="left" w:pos="468"/>
              </w:tabs>
              <w:spacing w:before="64" w:line="235" w:lineRule="auto"/>
              <w:ind w:right="506"/>
              <w:rPr>
                <w:sz w:val="20"/>
                <w:szCs w:val="20"/>
              </w:rPr>
            </w:pPr>
            <w:r w:rsidRPr="00027FA9">
              <w:rPr>
                <w:sz w:val="20"/>
                <w:szCs w:val="20"/>
              </w:rPr>
              <w:t>How efficient is resource allocation across program streams and compared with Government of Vanuatu actual and budget sector expenditure?</w:t>
            </w:r>
          </w:p>
          <w:p w14:paraId="6012E3A7" w14:textId="21E84120" w:rsidR="00A95F3B" w:rsidRPr="00F5448A" w:rsidRDefault="00A95F3B" w:rsidP="00A95F3B">
            <w:pPr>
              <w:pStyle w:val="TableParagraph"/>
              <w:numPr>
                <w:ilvl w:val="0"/>
                <w:numId w:val="24"/>
              </w:numPr>
              <w:tabs>
                <w:tab w:val="left" w:pos="468"/>
              </w:tabs>
              <w:spacing w:before="64" w:line="235" w:lineRule="auto"/>
              <w:ind w:right="506"/>
              <w:rPr>
                <w:sz w:val="20"/>
                <w:szCs w:val="20"/>
              </w:rPr>
            </w:pPr>
            <w:r w:rsidRPr="00027FA9">
              <w:rPr>
                <w:sz w:val="20"/>
                <w:szCs w:val="20"/>
              </w:rPr>
              <w:t>Is expenditure on track?</w:t>
            </w:r>
          </w:p>
        </w:tc>
        <w:tc>
          <w:tcPr>
            <w:tcW w:w="811" w:type="pct"/>
            <w:tcBorders>
              <w:top w:val="single" w:sz="4" w:space="0" w:color="0064BB"/>
              <w:bottom w:val="single" w:sz="4" w:space="0" w:color="0064BB"/>
            </w:tcBorders>
          </w:tcPr>
          <w:p w14:paraId="5895D978" w14:textId="22088FCE" w:rsidR="00A95F3B" w:rsidRPr="00F5448A" w:rsidRDefault="00A95F3B" w:rsidP="00A95F3B">
            <w:pPr>
              <w:pStyle w:val="TableParagraph"/>
              <w:numPr>
                <w:ilvl w:val="0"/>
                <w:numId w:val="24"/>
              </w:numPr>
              <w:tabs>
                <w:tab w:val="left" w:pos="472"/>
              </w:tabs>
              <w:spacing w:before="64" w:line="235" w:lineRule="auto"/>
              <w:ind w:right="347"/>
              <w:rPr>
                <w:sz w:val="20"/>
                <w:szCs w:val="20"/>
              </w:rPr>
            </w:pPr>
            <w:r w:rsidRPr="00154387">
              <w:rPr>
                <w:sz w:val="20"/>
                <w:szCs w:val="20"/>
              </w:rPr>
              <w:t>Evidence of MEL systems supporting program implementation and decision making</w:t>
            </w:r>
          </w:p>
        </w:tc>
        <w:tc>
          <w:tcPr>
            <w:tcW w:w="531" w:type="pct"/>
            <w:tcBorders>
              <w:top w:val="single" w:sz="4" w:space="0" w:color="0064BB"/>
              <w:bottom w:val="single" w:sz="4" w:space="0" w:color="0064BB"/>
            </w:tcBorders>
          </w:tcPr>
          <w:p w14:paraId="5474983D" w14:textId="77777777" w:rsidR="00A95F3B" w:rsidRPr="00154387" w:rsidRDefault="00A95F3B" w:rsidP="00A95F3B">
            <w:pPr>
              <w:pStyle w:val="TableParagraph"/>
              <w:ind w:left="129" w:right="755"/>
              <w:rPr>
                <w:sz w:val="20"/>
                <w:szCs w:val="20"/>
              </w:rPr>
            </w:pPr>
            <w:r w:rsidRPr="00154387">
              <w:rPr>
                <w:sz w:val="20"/>
                <w:szCs w:val="20"/>
              </w:rPr>
              <w:t>VAPJP project documents</w:t>
            </w:r>
          </w:p>
          <w:p w14:paraId="213AF9EF" w14:textId="18013255" w:rsidR="00A95F3B" w:rsidRPr="00F5448A" w:rsidRDefault="00A95F3B" w:rsidP="00A95F3B">
            <w:pPr>
              <w:pStyle w:val="TableParagraph"/>
              <w:ind w:left="129" w:right="755"/>
              <w:rPr>
                <w:sz w:val="20"/>
                <w:szCs w:val="20"/>
              </w:rPr>
            </w:pPr>
            <w:r w:rsidRPr="00154387">
              <w:rPr>
                <w:sz w:val="20"/>
                <w:szCs w:val="20"/>
              </w:rPr>
              <w:t>GoV documents</w:t>
            </w:r>
          </w:p>
        </w:tc>
        <w:tc>
          <w:tcPr>
            <w:tcW w:w="226" w:type="pct"/>
            <w:tcBorders>
              <w:top w:val="single" w:sz="4" w:space="0" w:color="0064BB"/>
              <w:bottom w:val="single" w:sz="4" w:space="0" w:color="0064BB"/>
            </w:tcBorders>
          </w:tcPr>
          <w:p w14:paraId="6E93134C" w14:textId="28B80219" w:rsidR="00A95F3B" w:rsidRPr="00AD1316" w:rsidRDefault="00A95F3B" w:rsidP="00A95F3B">
            <w:pPr>
              <w:pStyle w:val="TableParagraph"/>
              <w:spacing w:before="81"/>
              <w:ind w:left="103"/>
              <w:rPr>
                <w:sz w:val="20"/>
                <w:szCs w:val="20"/>
              </w:rPr>
            </w:pPr>
            <w:r w:rsidRPr="00AD1316">
              <w:rPr>
                <w:rFonts w:ascii="Segoe UI Symbol" w:hAnsi="Segoe UI Symbol" w:cs="Segoe UI Symbol"/>
                <w:spacing w:val="-10"/>
                <w:sz w:val="20"/>
                <w:szCs w:val="20"/>
              </w:rPr>
              <w:t>✔</w:t>
            </w:r>
          </w:p>
        </w:tc>
        <w:tc>
          <w:tcPr>
            <w:tcW w:w="264" w:type="pct"/>
            <w:tcBorders>
              <w:top w:val="single" w:sz="4" w:space="0" w:color="0064BB"/>
              <w:bottom w:val="single" w:sz="4" w:space="0" w:color="0064BB"/>
            </w:tcBorders>
          </w:tcPr>
          <w:p w14:paraId="1B5843C5" w14:textId="32CFC68B" w:rsidR="00A95F3B" w:rsidRPr="00AD1316" w:rsidRDefault="00A95F3B" w:rsidP="00A95F3B">
            <w:pPr>
              <w:pStyle w:val="TableParagraph"/>
              <w:spacing w:before="81"/>
              <w:ind w:left="321"/>
              <w:rPr>
                <w:sz w:val="20"/>
                <w:szCs w:val="20"/>
              </w:rPr>
            </w:pPr>
            <w:r w:rsidRPr="00AD1316">
              <w:rPr>
                <w:rFonts w:ascii="Segoe UI Symbol" w:hAnsi="Segoe UI Symbol" w:cs="Segoe UI Symbol"/>
                <w:spacing w:val="-10"/>
                <w:sz w:val="20"/>
                <w:szCs w:val="20"/>
              </w:rPr>
              <w:t>✔</w:t>
            </w:r>
          </w:p>
        </w:tc>
        <w:tc>
          <w:tcPr>
            <w:tcW w:w="225" w:type="pct"/>
            <w:tcBorders>
              <w:top w:val="single" w:sz="4" w:space="0" w:color="0064BB"/>
              <w:bottom w:val="single" w:sz="4" w:space="0" w:color="0064BB"/>
            </w:tcBorders>
          </w:tcPr>
          <w:p w14:paraId="242CAB78" w14:textId="777AE371" w:rsidR="00A95F3B" w:rsidRPr="00AD1316" w:rsidRDefault="00A95F3B" w:rsidP="00A95F3B">
            <w:pPr>
              <w:pStyle w:val="TableParagraph"/>
              <w:spacing w:before="81"/>
              <w:ind w:left="303"/>
              <w:rPr>
                <w:sz w:val="20"/>
                <w:szCs w:val="20"/>
              </w:rPr>
            </w:pPr>
            <w:r w:rsidRPr="00AD1316">
              <w:rPr>
                <w:rFonts w:ascii="Segoe UI Symbol" w:hAnsi="Segoe UI Symbol" w:cs="Segoe UI Symbol"/>
                <w:spacing w:val="-10"/>
                <w:sz w:val="20"/>
                <w:szCs w:val="20"/>
              </w:rPr>
              <w:t>✔</w:t>
            </w:r>
          </w:p>
        </w:tc>
        <w:tc>
          <w:tcPr>
            <w:tcW w:w="350" w:type="pct"/>
            <w:tcBorders>
              <w:top w:val="single" w:sz="4" w:space="0" w:color="0064BB"/>
              <w:bottom w:val="single" w:sz="4" w:space="0" w:color="0064BB"/>
            </w:tcBorders>
          </w:tcPr>
          <w:p w14:paraId="60BAD855" w14:textId="4A9DD34A" w:rsidR="00A95F3B" w:rsidRPr="00AD1316" w:rsidRDefault="00A95F3B" w:rsidP="00A95F3B">
            <w:pPr>
              <w:pStyle w:val="TableParagraph"/>
              <w:spacing w:before="81"/>
              <w:ind w:left="308"/>
              <w:rPr>
                <w:sz w:val="20"/>
                <w:szCs w:val="20"/>
              </w:rPr>
            </w:pPr>
            <w:r w:rsidRPr="00AD1316">
              <w:rPr>
                <w:sz w:val="20"/>
                <w:szCs w:val="20"/>
              </w:rPr>
              <w:t>X</w:t>
            </w:r>
          </w:p>
        </w:tc>
        <w:tc>
          <w:tcPr>
            <w:tcW w:w="349" w:type="pct"/>
            <w:tcBorders>
              <w:top w:val="single" w:sz="4" w:space="0" w:color="0064BB"/>
              <w:bottom w:val="single" w:sz="4" w:space="0" w:color="0064BB"/>
            </w:tcBorders>
          </w:tcPr>
          <w:p w14:paraId="7B0A287D" w14:textId="0B14E463" w:rsidR="00A95F3B" w:rsidRPr="00AD1316" w:rsidRDefault="00A95F3B" w:rsidP="00A95F3B">
            <w:pPr>
              <w:pStyle w:val="TableParagraph"/>
              <w:spacing w:before="81"/>
              <w:ind w:left="118"/>
              <w:rPr>
                <w:sz w:val="20"/>
                <w:szCs w:val="20"/>
              </w:rPr>
            </w:pPr>
            <w:r w:rsidRPr="00AD1316">
              <w:rPr>
                <w:sz w:val="20"/>
                <w:szCs w:val="20"/>
              </w:rPr>
              <w:t>X</w:t>
            </w:r>
          </w:p>
        </w:tc>
        <w:tc>
          <w:tcPr>
            <w:tcW w:w="374" w:type="pct"/>
            <w:tcBorders>
              <w:top w:val="single" w:sz="4" w:space="0" w:color="0064BB"/>
              <w:bottom w:val="single" w:sz="4" w:space="0" w:color="0064BB"/>
            </w:tcBorders>
          </w:tcPr>
          <w:p w14:paraId="4FC04E07" w14:textId="4723DEBB" w:rsidR="00A95F3B" w:rsidRPr="00AD1316" w:rsidRDefault="00A95F3B" w:rsidP="00A95F3B">
            <w:pPr>
              <w:pStyle w:val="TableParagraph"/>
              <w:spacing w:before="81"/>
              <w:ind w:left="417"/>
              <w:rPr>
                <w:sz w:val="20"/>
                <w:szCs w:val="20"/>
              </w:rPr>
            </w:pPr>
            <w:r w:rsidRPr="00AD1316">
              <w:rPr>
                <w:rFonts w:ascii="Segoe UI Symbol" w:hAnsi="Segoe UI Symbol" w:cs="Segoe UI Symbol"/>
                <w:spacing w:val="-10"/>
                <w:sz w:val="20"/>
                <w:szCs w:val="20"/>
              </w:rPr>
              <w:t>✔</w:t>
            </w:r>
          </w:p>
        </w:tc>
      </w:tr>
    </w:tbl>
    <w:p w14:paraId="47A5C5F6" w14:textId="77777777" w:rsidR="00E60DDC" w:rsidRDefault="00E60DDC" w:rsidP="00760C2B">
      <w:pPr>
        <w:pStyle w:val="Heading5"/>
        <w:spacing w:after="240"/>
        <w:ind w:left="142"/>
        <w:rPr>
          <w:spacing w:val="-2"/>
        </w:rPr>
      </w:pPr>
    </w:p>
    <w:p w14:paraId="7BDE4B4F" w14:textId="77777777" w:rsidR="00E60DDC" w:rsidRDefault="00E60DDC">
      <w:pPr>
        <w:rPr>
          <w:b/>
          <w:bCs/>
          <w:spacing w:val="-2"/>
          <w:sz w:val="24"/>
          <w:szCs w:val="24"/>
        </w:rPr>
      </w:pPr>
      <w:r>
        <w:rPr>
          <w:spacing w:val="-2"/>
        </w:rPr>
        <w:br w:type="page"/>
      </w:r>
    </w:p>
    <w:p w14:paraId="7789A585" w14:textId="77777777" w:rsidR="00BA7E58" w:rsidRDefault="00A95F3B" w:rsidP="00760C2B">
      <w:pPr>
        <w:pStyle w:val="Heading5"/>
        <w:spacing w:after="240"/>
        <w:ind w:left="142"/>
        <w:rPr>
          <w:spacing w:val="-2"/>
        </w:rPr>
      </w:pPr>
      <w:r w:rsidRPr="00D536E9">
        <w:rPr>
          <w:spacing w:val="-2"/>
        </w:rPr>
        <w:t>Relevance - Key question 3: How relevant, appropriate and sustainable is the VAPJP investment?</w:t>
      </w:r>
    </w:p>
    <w:tbl>
      <w:tblPr>
        <w:tblW w:w="5000" w:type="pct"/>
        <w:tblCellMar>
          <w:left w:w="0" w:type="dxa"/>
          <w:right w:w="0" w:type="dxa"/>
        </w:tblCellMar>
        <w:tblLook w:val="01E0" w:firstRow="1" w:lastRow="1" w:firstColumn="1" w:lastColumn="1" w:noHBand="0" w:noVBand="0"/>
      </w:tblPr>
      <w:tblGrid>
        <w:gridCol w:w="3220"/>
        <w:gridCol w:w="5134"/>
        <w:gridCol w:w="3624"/>
        <w:gridCol w:w="2373"/>
        <w:gridCol w:w="1010"/>
        <w:gridCol w:w="1180"/>
        <w:gridCol w:w="1005"/>
        <w:gridCol w:w="1564"/>
        <w:gridCol w:w="1559"/>
        <w:gridCol w:w="1671"/>
      </w:tblGrid>
      <w:tr w:rsidR="00BA7E58" w14:paraId="57B9755A" w14:textId="77777777" w:rsidTr="00D30DB6">
        <w:trPr>
          <w:trHeight w:val="604"/>
        </w:trPr>
        <w:tc>
          <w:tcPr>
            <w:tcW w:w="721" w:type="pct"/>
            <w:tcBorders>
              <w:top w:val="single" w:sz="4" w:space="0" w:color="0064BB"/>
            </w:tcBorders>
            <w:shd w:val="clear" w:color="auto" w:fill="0064BB"/>
          </w:tcPr>
          <w:p w14:paraId="38D871AA" w14:textId="77777777" w:rsidR="00BA7E58" w:rsidRDefault="00BA7E58" w:rsidP="00D30DB6">
            <w:pPr>
              <w:pStyle w:val="TableParagraph"/>
              <w:ind w:right="138"/>
              <w:rPr>
                <w:b/>
                <w:sz w:val="20"/>
              </w:rPr>
            </w:pPr>
            <w:r>
              <w:rPr>
                <w:b/>
                <w:color w:val="FFFFFF"/>
                <w:sz w:val="20"/>
              </w:rPr>
              <w:t>Review</w:t>
            </w:r>
            <w:r>
              <w:rPr>
                <w:b/>
                <w:color w:val="FFFFFF"/>
                <w:spacing w:val="-13"/>
                <w:sz w:val="20"/>
              </w:rPr>
              <w:t xml:space="preserve"> </w:t>
            </w:r>
            <w:r>
              <w:rPr>
                <w:b/>
                <w:color w:val="FFFFFF"/>
                <w:sz w:val="20"/>
              </w:rPr>
              <w:t>Questions</w:t>
            </w:r>
            <w:r>
              <w:rPr>
                <w:b/>
                <w:color w:val="FFFFFF"/>
                <w:spacing w:val="-14"/>
                <w:sz w:val="20"/>
              </w:rPr>
              <w:t xml:space="preserve"> </w:t>
            </w:r>
            <w:r>
              <w:rPr>
                <w:b/>
                <w:color w:val="FFFFFF"/>
                <w:sz w:val="20"/>
              </w:rPr>
              <w:t>and</w:t>
            </w:r>
            <w:r>
              <w:rPr>
                <w:b/>
                <w:color w:val="FFFFFF"/>
                <w:spacing w:val="-11"/>
                <w:sz w:val="20"/>
              </w:rPr>
              <w:t xml:space="preserve"> </w:t>
            </w:r>
            <w:r>
              <w:rPr>
                <w:b/>
                <w:color w:val="FFFFFF"/>
                <w:sz w:val="20"/>
              </w:rPr>
              <w:t xml:space="preserve">Sub- </w:t>
            </w:r>
            <w:r>
              <w:rPr>
                <w:b/>
                <w:color w:val="FFFFFF"/>
                <w:spacing w:val="-2"/>
                <w:sz w:val="20"/>
              </w:rPr>
              <w:t>Questions</w:t>
            </w:r>
          </w:p>
        </w:tc>
        <w:tc>
          <w:tcPr>
            <w:tcW w:w="1149" w:type="pct"/>
            <w:tcBorders>
              <w:top w:val="single" w:sz="4" w:space="0" w:color="0064BB"/>
            </w:tcBorders>
            <w:shd w:val="clear" w:color="auto" w:fill="0064BB"/>
          </w:tcPr>
          <w:p w14:paraId="628D51E9" w14:textId="77777777" w:rsidR="00BA7E58" w:rsidRDefault="00BA7E58" w:rsidP="00D30DB6">
            <w:pPr>
              <w:pStyle w:val="TableParagraph"/>
              <w:ind w:left="108"/>
              <w:rPr>
                <w:b/>
                <w:sz w:val="20"/>
              </w:rPr>
            </w:pPr>
            <w:r>
              <w:rPr>
                <w:b/>
                <w:color w:val="FFFFFF"/>
                <w:sz w:val="20"/>
              </w:rPr>
              <w:t>Review</w:t>
            </w:r>
            <w:r>
              <w:rPr>
                <w:b/>
                <w:color w:val="FFFFFF"/>
                <w:spacing w:val="-8"/>
                <w:sz w:val="20"/>
              </w:rPr>
              <w:t xml:space="preserve"> </w:t>
            </w:r>
            <w:r>
              <w:rPr>
                <w:b/>
                <w:color w:val="FFFFFF"/>
                <w:sz w:val="20"/>
              </w:rPr>
              <w:t>Focus</w:t>
            </w:r>
            <w:r>
              <w:rPr>
                <w:b/>
                <w:color w:val="FFFFFF"/>
                <w:spacing w:val="-8"/>
                <w:sz w:val="20"/>
              </w:rPr>
              <w:t xml:space="preserve"> </w:t>
            </w:r>
            <w:r>
              <w:rPr>
                <w:b/>
                <w:color w:val="FFFFFF"/>
                <w:spacing w:val="-4"/>
                <w:sz w:val="20"/>
              </w:rPr>
              <w:t>areas</w:t>
            </w:r>
          </w:p>
        </w:tc>
        <w:tc>
          <w:tcPr>
            <w:tcW w:w="811" w:type="pct"/>
            <w:tcBorders>
              <w:top w:val="single" w:sz="4" w:space="0" w:color="0064BB"/>
            </w:tcBorders>
            <w:shd w:val="clear" w:color="auto" w:fill="0064BB"/>
          </w:tcPr>
          <w:p w14:paraId="628C389A" w14:textId="77777777" w:rsidR="00BA7E58" w:rsidRDefault="00BA7E58" w:rsidP="00D30DB6">
            <w:pPr>
              <w:pStyle w:val="TableParagraph"/>
              <w:ind w:left="112" w:right="472"/>
              <w:rPr>
                <w:b/>
                <w:sz w:val="20"/>
              </w:rPr>
            </w:pPr>
            <w:r>
              <w:rPr>
                <w:b/>
                <w:color w:val="FFFFFF"/>
                <w:sz w:val="20"/>
              </w:rPr>
              <w:t>Assessment</w:t>
            </w:r>
            <w:r>
              <w:rPr>
                <w:b/>
                <w:color w:val="FFFFFF"/>
                <w:spacing w:val="-11"/>
                <w:sz w:val="20"/>
              </w:rPr>
              <w:t xml:space="preserve"> </w:t>
            </w:r>
            <w:r>
              <w:rPr>
                <w:b/>
                <w:color w:val="FFFFFF"/>
                <w:sz w:val="20"/>
              </w:rPr>
              <w:t>criteria/</w:t>
            </w:r>
            <w:r>
              <w:rPr>
                <w:b/>
                <w:color w:val="FFFFFF"/>
                <w:spacing w:val="-14"/>
                <w:sz w:val="20"/>
              </w:rPr>
              <w:t xml:space="preserve"> </w:t>
            </w:r>
            <w:r>
              <w:rPr>
                <w:b/>
                <w:color w:val="FFFFFF"/>
                <w:sz w:val="20"/>
              </w:rPr>
              <w:t>factors</w:t>
            </w:r>
            <w:r>
              <w:rPr>
                <w:b/>
                <w:color w:val="FFFFFF"/>
                <w:spacing w:val="-14"/>
                <w:sz w:val="20"/>
              </w:rPr>
              <w:t xml:space="preserve"> </w:t>
            </w:r>
            <w:r>
              <w:rPr>
                <w:b/>
                <w:color w:val="FFFFFF"/>
                <w:sz w:val="20"/>
              </w:rPr>
              <w:t xml:space="preserve">for </w:t>
            </w:r>
            <w:r>
              <w:rPr>
                <w:b/>
                <w:color w:val="FFFFFF"/>
                <w:spacing w:val="-2"/>
                <w:sz w:val="20"/>
              </w:rPr>
              <w:t>consideration</w:t>
            </w:r>
          </w:p>
        </w:tc>
        <w:tc>
          <w:tcPr>
            <w:tcW w:w="531" w:type="pct"/>
            <w:tcBorders>
              <w:top w:val="single" w:sz="4" w:space="0" w:color="0064BB"/>
            </w:tcBorders>
            <w:shd w:val="clear" w:color="auto" w:fill="0064BB"/>
          </w:tcPr>
          <w:p w14:paraId="3864476F" w14:textId="77777777" w:rsidR="00BA7E58" w:rsidRDefault="00BA7E58" w:rsidP="00D30DB6">
            <w:pPr>
              <w:pStyle w:val="TableParagraph"/>
              <w:ind w:left="129"/>
              <w:rPr>
                <w:b/>
                <w:sz w:val="20"/>
              </w:rPr>
            </w:pPr>
            <w:r>
              <w:rPr>
                <w:b/>
                <w:color w:val="FFFFFF"/>
                <w:sz w:val="20"/>
              </w:rPr>
              <w:t>Desktop</w:t>
            </w:r>
            <w:r>
              <w:rPr>
                <w:b/>
                <w:color w:val="FFFFFF"/>
                <w:spacing w:val="-11"/>
                <w:sz w:val="20"/>
              </w:rPr>
              <w:t xml:space="preserve"> </w:t>
            </w:r>
            <w:r>
              <w:rPr>
                <w:b/>
                <w:color w:val="FFFFFF"/>
                <w:spacing w:val="-2"/>
                <w:sz w:val="20"/>
              </w:rPr>
              <w:t>review</w:t>
            </w:r>
          </w:p>
        </w:tc>
        <w:tc>
          <w:tcPr>
            <w:tcW w:w="1788" w:type="pct"/>
            <w:gridSpan w:val="6"/>
            <w:tcBorders>
              <w:top w:val="single" w:sz="4" w:space="0" w:color="0064BB"/>
            </w:tcBorders>
            <w:shd w:val="clear" w:color="auto" w:fill="0064BB"/>
          </w:tcPr>
          <w:p w14:paraId="7A153ED8" w14:textId="77777777" w:rsidR="00BA7E58" w:rsidRDefault="00BA7E58" w:rsidP="00D30DB6">
            <w:pPr>
              <w:pStyle w:val="TableParagraph"/>
              <w:ind w:left="0" w:right="7"/>
              <w:jc w:val="center"/>
              <w:rPr>
                <w:b/>
                <w:color w:val="FFFFFF"/>
                <w:spacing w:val="-2"/>
                <w:sz w:val="20"/>
              </w:rPr>
            </w:pPr>
            <w:r>
              <w:rPr>
                <w:b/>
                <w:color w:val="FFFFFF"/>
                <w:sz w:val="20"/>
              </w:rPr>
              <w:t>Primary</w:t>
            </w:r>
            <w:r>
              <w:rPr>
                <w:b/>
                <w:color w:val="FFFFFF"/>
                <w:spacing w:val="-7"/>
                <w:sz w:val="20"/>
              </w:rPr>
              <w:t xml:space="preserve"> </w:t>
            </w:r>
            <w:r>
              <w:rPr>
                <w:b/>
                <w:color w:val="FFFFFF"/>
                <w:sz w:val="20"/>
              </w:rPr>
              <w:t>data</w:t>
            </w:r>
            <w:r>
              <w:rPr>
                <w:b/>
                <w:color w:val="FFFFFF"/>
                <w:spacing w:val="-9"/>
                <w:sz w:val="20"/>
              </w:rPr>
              <w:t xml:space="preserve"> </w:t>
            </w:r>
            <w:r>
              <w:rPr>
                <w:b/>
                <w:color w:val="FFFFFF"/>
                <w:spacing w:val="-2"/>
                <w:sz w:val="20"/>
              </w:rPr>
              <w:t>collection</w:t>
            </w:r>
          </w:p>
          <w:p w14:paraId="1C18D64A" w14:textId="77777777" w:rsidR="00BA7E58" w:rsidRDefault="00BA7E58" w:rsidP="00D30DB6">
            <w:pPr>
              <w:pStyle w:val="TableParagraph"/>
              <w:ind w:left="0" w:right="7"/>
              <w:jc w:val="center"/>
              <w:rPr>
                <w:b/>
                <w:color w:val="FFFFFF"/>
                <w:spacing w:val="-2"/>
                <w:sz w:val="20"/>
              </w:rPr>
            </w:pPr>
          </w:p>
          <w:p w14:paraId="7FE1850F" w14:textId="77777777" w:rsidR="00BA7E58" w:rsidRPr="007F6299" w:rsidRDefault="00BA7E58" w:rsidP="00D30DB6">
            <w:pPr>
              <w:pStyle w:val="TableParagraph"/>
              <w:spacing w:before="0" w:line="225" w:lineRule="exact"/>
              <w:rPr>
                <w:color w:val="FFFFFF" w:themeColor="background1"/>
                <w:sz w:val="20"/>
              </w:rPr>
            </w:pPr>
            <w:r w:rsidRPr="007F6299">
              <w:rPr>
                <w:color w:val="FFFFFF" w:themeColor="background1"/>
                <w:spacing w:val="-4"/>
                <w:sz w:val="20"/>
              </w:rPr>
              <w:t xml:space="preserve">DFAT/            MJCS              </w:t>
            </w:r>
            <w:r w:rsidRPr="007F6299">
              <w:rPr>
                <w:color w:val="FFFFFF" w:themeColor="background1"/>
                <w:spacing w:val="-5"/>
                <w:sz w:val="20"/>
              </w:rPr>
              <w:t>VPF</w:t>
            </w:r>
            <w:r w:rsidRPr="007F6299">
              <w:rPr>
                <w:color w:val="FFFFFF" w:themeColor="background1"/>
                <w:spacing w:val="-4"/>
                <w:sz w:val="20"/>
              </w:rPr>
              <w:t xml:space="preserve">             </w:t>
            </w:r>
            <w:r w:rsidRPr="007F6299">
              <w:rPr>
                <w:color w:val="FFFFFF" w:themeColor="background1"/>
                <w:sz w:val="20"/>
              </w:rPr>
              <w:t xml:space="preserve">CSO –            </w:t>
            </w:r>
            <w:r w:rsidRPr="007F6299">
              <w:rPr>
                <w:color w:val="FFFFFF" w:themeColor="background1"/>
                <w:spacing w:val="-2"/>
                <w:sz w:val="20"/>
              </w:rPr>
              <w:t>Community              VAPJP</w:t>
            </w:r>
          </w:p>
          <w:p w14:paraId="09BA88CA" w14:textId="77777777" w:rsidR="00BA7E58" w:rsidRPr="007F6299" w:rsidRDefault="00BA7E58" w:rsidP="00D30DB6">
            <w:pPr>
              <w:pStyle w:val="TableParagraph"/>
              <w:ind w:left="0" w:right="7"/>
              <w:rPr>
                <w:color w:val="FFFFFF" w:themeColor="background1"/>
                <w:spacing w:val="-4"/>
                <w:sz w:val="20"/>
              </w:rPr>
            </w:pPr>
            <w:r w:rsidRPr="007F6299">
              <w:rPr>
                <w:color w:val="FFFFFF" w:themeColor="background1"/>
                <w:spacing w:val="-4"/>
                <w:sz w:val="20"/>
              </w:rPr>
              <w:t xml:space="preserve">  AFP                                                            VWC,                                                 Team</w:t>
            </w:r>
          </w:p>
          <w:p w14:paraId="541E5611" w14:textId="77777777" w:rsidR="00BA7E58" w:rsidRPr="007F6299" w:rsidRDefault="00BA7E58" w:rsidP="00D30DB6">
            <w:pPr>
              <w:pStyle w:val="TableParagraph"/>
              <w:ind w:left="0" w:right="7"/>
              <w:rPr>
                <w:color w:val="FFFFFF" w:themeColor="background1"/>
                <w:spacing w:val="-14"/>
                <w:sz w:val="20"/>
              </w:rPr>
            </w:pPr>
            <w:r w:rsidRPr="007F6299">
              <w:rPr>
                <w:color w:val="FFFFFF" w:themeColor="background1"/>
                <w:spacing w:val="-4"/>
                <w:sz w:val="20"/>
              </w:rPr>
              <w:t xml:space="preserve">                                                                     </w:t>
            </w:r>
            <w:r w:rsidRPr="007F6299">
              <w:rPr>
                <w:color w:val="FFFFFF" w:themeColor="background1"/>
                <w:sz w:val="20"/>
              </w:rPr>
              <w:t>VSPD,</w:t>
            </w:r>
            <w:r w:rsidRPr="007F6299">
              <w:rPr>
                <w:color w:val="FFFFFF" w:themeColor="background1"/>
                <w:spacing w:val="-14"/>
                <w:sz w:val="20"/>
              </w:rPr>
              <w:t xml:space="preserve"> </w:t>
            </w:r>
          </w:p>
          <w:p w14:paraId="2AD8BC38" w14:textId="77777777" w:rsidR="00BA7E58" w:rsidRPr="006E1191" w:rsidRDefault="00BA7E58" w:rsidP="00D30DB6">
            <w:pPr>
              <w:pStyle w:val="TableParagraph"/>
              <w:ind w:left="0" w:right="7"/>
              <w:rPr>
                <w:spacing w:val="-4"/>
                <w:sz w:val="20"/>
              </w:rPr>
            </w:pPr>
            <w:r w:rsidRPr="007F6299">
              <w:rPr>
                <w:color w:val="FFFFFF" w:themeColor="background1"/>
                <w:spacing w:val="-14"/>
                <w:sz w:val="20"/>
              </w:rPr>
              <w:t xml:space="preserve">                                                                                      </w:t>
            </w:r>
            <w:r w:rsidRPr="007F6299">
              <w:rPr>
                <w:color w:val="FFFFFF" w:themeColor="background1"/>
                <w:sz w:val="20"/>
              </w:rPr>
              <w:t>WVC</w:t>
            </w:r>
          </w:p>
        </w:tc>
      </w:tr>
      <w:tr w:rsidR="004C1A26" w14:paraId="7D6B787A" w14:textId="77777777" w:rsidTr="004C1A26">
        <w:trPr>
          <w:trHeight w:val="3381"/>
        </w:trPr>
        <w:tc>
          <w:tcPr>
            <w:tcW w:w="721" w:type="pct"/>
            <w:tcBorders>
              <w:top w:val="single" w:sz="4" w:space="0" w:color="0064BB"/>
              <w:bottom w:val="single" w:sz="4" w:space="0" w:color="0064BB"/>
            </w:tcBorders>
            <w:shd w:val="clear" w:color="auto" w:fill="F1F1F1"/>
          </w:tcPr>
          <w:p w14:paraId="00D7E2B4" w14:textId="64CB5F28" w:rsidR="004C1A26" w:rsidRPr="0042722D" w:rsidRDefault="004C1A26" w:rsidP="004C1A26">
            <w:pPr>
              <w:pStyle w:val="TableParagraph"/>
              <w:ind w:left="468" w:right="351" w:hanging="360"/>
              <w:rPr>
                <w:b/>
                <w:sz w:val="20"/>
                <w:szCs w:val="20"/>
              </w:rPr>
            </w:pPr>
            <w:r w:rsidRPr="00B2694E">
              <w:rPr>
                <w:b/>
                <w:sz w:val="20"/>
                <w:szCs w:val="20"/>
              </w:rPr>
              <w:t>3.1 How has the operating context changed, and how has VAPJP adapted to this?</w:t>
            </w:r>
          </w:p>
        </w:tc>
        <w:tc>
          <w:tcPr>
            <w:tcW w:w="1149" w:type="pct"/>
            <w:tcBorders>
              <w:top w:val="single" w:sz="4" w:space="0" w:color="0064BB"/>
              <w:bottom w:val="single" w:sz="4" w:space="0" w:color="0064BB"/>
            </w:tcBorders>
          </w:tcPr>
          <w:p w14:paraId="0B42E9ED" w14:textId="77777777" w:rsidR="004C1A26" w:rsidRPr="00116639" w:rsidRDefault="004C1A26" w:rsidP="004C1A26">
            <w:pPr>
              <w:pStyle w:val="TableParagraph"/>
              <w:spacing w:before="80" w:after="120"/>
              <w:ind w:left="108"/>
              <w:rPr>
                <w:sz w:val="20"/>
                <w:szCs w:val="20"/>
              </w:rPr>
            </w:pPr>
            <w:r w:rsidRPr="00116639">
              <w:rPr>
                <w:sz w:val="20"/>
                <w:szCs w:val="20"/>
              </w:rPr>
              <w:t>How have the relevant settings in Vanuatu changed since 2019, such as security environment (e.g. increased focus on cyber-security), policy priorities (e.g. decentralisation), capacity/needs within relevant ministries and political settings? To what extent is VAPJP navigating these new settings?</w:t>
            </w:r>
          </w:p>
          <w:p w14:paraId="6975BF35" w14:textId="2114D130" w:rsidR="004C1A26" w:rsidRPr="0042722D" w:rsidRDefault="004C1A26" w:rsidP="004C1A26">
            <w:pPr>
              <w:pStyle w:val="TableParagraph"/>
              <w:spacing w:before="80"/>
              <w:ind w:left="108"/>
              <w:rPr>
                <w:sz w:val="20"/>
                <w:szCs w:val="20"/>
              </w:rPr>
            </w:pPr>
            <w:r w:rsidRPr="00116639">
              <w:rPr>
                <w:sz w:val="20"/>
                <w:szCs w:val="20"/>
              </w:rPr>
              <w:t>How has the Australia-Vanuatu relationship in the policing and justice sector evolved since 2019? How does this affect VAPJP framing and potential?</w:t>
            </w:r>
          </w:p>
        </w:tc>
        <w:tc>
          <w:tcPr>
            <w:tcW w:w="811" w:type="pct"/>
            <w:tcBorders>
              <w:top w:val="single" w:sz="4" w:space="0" w:color="0064BB"/>
              <w:bottom w:val="single" w:sz="4" w:space="0" w:color="0064BB"/>
            </w:tcBorders>
          </w:tcPr>
          <w:p w14:paraId="56C60168" w14:textId="77777777" w:rsidR="004C1A26" w:rsidRPr="00DB5CF2" w:rsidRDefault="004C1A26" w:rsidP="004C1A26">
            <w:pPr>
              <w:pStyle w:val="TableParagraph"/>
              <w:numPr>
                <w:ilvl w:val="0"/>
                <w:numId w:val="24"/>
              </w:numPr>
              <w:tabs>
                <w:tab w:val="left" w:pos="495"/>
              </w:tabs>
              <w:spacing w:before="64" w:line="235" w:lineRule="auto"/>
              <w:ind w:right="347"/>
              <w:rPr>
                <w:sz w:val="20"/>
                <w:szCs w:val="20"/>
              </w:rPr>
            </w:pPr>
            <w:r w:rsidRPr="00DB5CF2">
              <w:rPr>
                <w:sz w:val="20"/>
                <w:szCs w:val="20"/>
              </w:rPr>
              <w:t>Alignment of VAPJP goals and outcomes with GoV and other stakeholder priorities</w:t>
            </w:r>
          </w:p>
          <w:p w14:paraId="0530C714" w14:textId="77777777" w:rsidR="004C1A26" w:rsidRPr="00DB5CF2" w:rsidRDefault="004C1A26" w:rsidP="004C1A26">
            <w:pPr>
              <w:pStyle w:val="TableParagraph"/>
              <w:numPr>
                <w:ilvl w:val="0"/>
                <w:numId w:val="24"/>
              </w:numPr>
              <w:tabs>
                <w:tab w:val="left" w:pos="495"/>
              </w:tabs>
              <w:spacing w:before="64" w:line="235" w:lineRule="auto"/>
              <w:ind w:right="347"/>
              <w:rPr>
                <w:sz w:val="20"/>
                <w:szCs w:val="20"/>
              </w:rPr>
            </w:pPr>
            <w:r w:rsidRPr="00DB5CF2">
              <w:rPr>
                <w:sz w:val="20"/>
                <w:szCs w:val="20"/>
              </w:rPr>
              <w:t>Partner perceptions regarding how the program was designed/implemented</w:t>
            </w:r>
          </w:p>
          <w:p w14:paraId="083716EB" w14:textId="3B520B01" w:rsidR="004C1A26" w:rsidRPr="0042722D" w:rsidRDefault="004C1A26" w:rsidP="004C1A26">
            <w:pPr>
              <w:pStyle w:val="TableParagraph"/>
              <w:numPr>
                <w:ilvl w:val="0"/>
                <w:numId w:val="24"/>
              </w:numPr>
              <w:tabs>
                <w:tab w:val="left" w:pos="472"/>
              </w:tabs>
              <w:spacing w:before="64" w:line="235" w:lineRule="auto"/>
              <w:ind w:right="347"/>
              <w:rPr>
                <w:sz w:val="20"/>
                <w:szCs w:val="20"/>
              </w:rPr>
            </w:pPr>
            <w:r w:rsidRPr="00DB5CF2">
              <w:rPr>
                <w:sz w:val="20"/>
                <w:szCs w:val="20"/>
              </w:rPr>
              <w:t>Consideration of evolving GoV response to the security agreement</w:t>
            </w:r>
          </w:p>
        </w:tc>
        <w:tc>
          <w:tcPr>
            <w:tcW w:w="531" w:type="pct"/>
            <w:tcBorders>
              <w:top w:val="single" w:sz="4" w:space="0" w:color="0064BB"/>
              <w:bottom w:val="single" w:sz="4" w:space="0" w:color="0064BB"/>
            </w:tcBorders>
          </w:tcPr>
          <w:p w14:paraId="60FB13B2" w14:textId="77777777" w:rsidR="004C1A26" w:rsidRPr="00240A5C" w:rsidRDefault="004C1A26" w:rsidP="00240A5C">
            <w:pPr>
              <w:pStyle w:val="TableParagraph"/>
              <w:spacing w:before="79" w:line="242" w:lineRule="auto"/>
              <w:ind w:left="129" w:right="755"/>
              <w:rPr>
                <w:sz w:val="20"/>
                <w:szCs w:val="20"/>
              </w:rPr>
            </w:pPr>
            <w:r w:rsidRPr="00240A5C">
              <w:rPr>
                <w:sz w:val="20"/>
                <w:szCs w:val="20"/>
              </w:rPr>
              <w:t>Australia Vanuatu bilateral security agreement</w:t>
            </w:r>
          </w:p>
          <w:p w14:paraId="1B2F7D04" w14:textId="77777777" w:rsidR="004C1A26" w:rsidRPr="00240A5C" w:rsidRDefault="004C1A26" w:rsidP="00240A5C">
            <w:pPr>
              <w:pStyle w:val="TableParagraph"/>
              <w:spacing w:before="79" w:line="242" w:lineRule="auto"/>
              <w:ind w:left="129" w:right="755"/>
              <w:rPr>
                <w:sz w:val="20"/>
                <w:szCs w:val="20"/>
              </w:rPr>
            </w:pPr>
            <w:r w:rsidRPr="00240A5C">
              <w:rPr>
                <w:sz w:val="20"/>
                <w:szCs w:val="20"/>
              </w:rPr>
              <w:t>Relevant academic analysis</w:t>
            </w:r>
          </w:p>
          <w:p w14:paraId="07DBC4C5" w14:textId="77777777" w:rsidR="004C1A26" w:rsidRPr="00240A5C" w:rsidRDefault="004C1A26" w:rsidP="00240A5C">
            <w:pPr>
              <w:pStyle w:val="TableParagraph"/>
              <w:spacing w:before="79" w:line="242" w:lineRule="auto"/>
              <w:ind w:left="129" w:right="755"/>
              <w:rPr>
                <w:sz w:val="20"/>
                <w:szCs w:val="20"/>
              </w:rPr>
            </w:pPr>
            <w:r w:rsidRPr="00240A5C">
              <w:rPr>
                <w:sz w:val="20"/>
                <w:szCs w:val="20"/>
              </w:rPr>
              <w:t>VAPJP Program Documents</w:t>
            </w:r>
          </w:p>
          <w:p w14:paraId="15186387" w14:textId="77777777" w:rsidR="004C1A26" w:rsidRPr="00240A5C" w:rsidRDefault="004C1A26" w:rsidP="00240A5C">
            <w:pPr>
              <w:pStyle w:val="TableParagraph"/>
              <w:spacing w:before="79" w:line="242" w:lineRule="auto"/>
              <w:ind w:left="129" w:right="755"/>
              <w:rPr>
                <w:sz w:val="20"/>
                <w:szCs w:val="20"/>
              </w:rPr>
            </w:pPr>
            <w:r w:rsidRPr="00240A5C">
              <w:rPr>
                <w:sz w:val="20"/>
                <w:szCs w:val="20"/>
              </w:rPr>
              <w:t>Academic and grey literature</w:t>
            </w:r>
          </w:p>
          <w:p w14:paraId="15901F92" w14:textId="77777777" w:rsidR="00240A5C" w:rsidRPr="00240A5C" w:rsidRDefault="004C1A26" w:rsidP="00240A5C">
            <w:pPr>
              <w:pStyle w:val="TableParagraph"/>
              <w:spacing w:before="79" w:line="242" w:lineRule="auto"/>
              <w:ind w:left="129" w:right="755"/>
              <w:rPr>
                <w:sz w:val="20"/>
                <w:szCs w:val="20"/>
              </w:rPr>
            </w:pPr>
            <w:r w:rsidRPr="00240A5C">
              <w:rPr>
                <w:sz w:val="20"/>
                <w:szCs w:val="20"/>
              </w:rPr>
              <w:t xml:space="preserve">GoV documents </w:t>
            </w:r>
          </w:p>
          <w:p w14:paraId="6BC02B88" w14:textId="1C5F7820" w:rsidR="004C1A26" w:rsidRPr="0042722D" w:rsidRDefault="004C1A26" w:rsidP="00240A5C">
            <w:pPr>
              <w:pStyle w:val="TableParagraph"/>
              <w:spacing w:before="79" w:line="242" w:lineRule="auto"/>
              <w:ind w:left="129" w:right="755"/>
              <w:rPr>
                <w:sz w:val="20"/>
                <w:szCs w:val="20"/>
              </w:rPr>
            </w:pPr>
            <w:r w:rsidRPr="00240A5C">
              <w:rPr>
                <w:sz w:val="20"/>
                <w:szCs w:val="20"/>
              </w:rPr>
              <w:t>PEA</w:t>
            </w:r>
          </w:p>
        </w:tc>
        <w:tc>
          <w:tcPr>
            <w:tcW w:w="226" w:type="pct"/>
            <w:tcBorders>
              <w:top w:val="single" w:sz="4" w:space="0" w:color="0064BB"/>
              <w:bottom w:val="single" w:sz="4" w:space="0" w:color="0064BB"/>
            </w:tcBorders>
          </w:tcPr>
          <w:p w14:paraId="4652E9C1" w14:textId="488608F9" w:rsidR="004C1A26" w:rsidRPr="00AD1316" w:rsidRDefault="004C1A26" w:rsidP="004C1A26">
            <w:pPr>
              <w:pStyle w:val="TableParagraph"/>
              <w:spacing w:before="81"/>
              <w:ind w:left="321"/>
              <w:rPr>
                <w:sz w:val="20"/>
                <w:szCs w:val="20"/>
              </w:rPr>
            </w:pPr>
            <w:r w:rsidRPr="00AD1316">
              <w:rPr>
                <w:rFonts w:ascii="Segoe UI Symbol" w:hAnsi="Segoe UI Symbol" w:cs="Segoe UI Symbol"/>
                <w:spacing w:val="-10"/>
                <w:sz w:val="20"/>
              </w:rPr>
              <w:t>✔</w:t>
            </w:r>
          </w:p>
        </w:tc>
        <w:tc>
          <w:tcPr>
            <w:tcW w:w="264" w:type="pct"/>
            <w:tcBorders>
              <w:top w:val="single" w:sz="4" w:space="0" w:color="0064BB"/>
              <w:bottom w:val="single" w:sz="4" w:space="0" w:color="0064BB"/>
            </w:tcBorders>
          </w:tcPr>
          <w:p w14:paraId="75DE79EF" w14:textId="4C051B88" w:rsidR="004C1A26" w:rsidRPr="00AD1316" w:rsidRDefault="004C1A26" w:rsidP="004C1A26">
            <w:pPr>
              <w:pStyle w:val="TableParagraph"/>
              <w:spacing w:before="81"/>
              <w:ind w:left="321"/>
              <w:rPr>
                <w:sz w:val="20"/>
                <w:szCs w:val="20"/>
              </w:rPr>
            </w:pPr>
            <w:r w:rsidRPr="00AD1316">
              <w:rPr>
                <w:rFonts w:ascii="Segoe UI Symbol" w:hAnsi="Segoe UI Symbol" w:cs="Segoe UI Symbol"/>
                <w:spacing w:val="-10"/>
                <w:sz w:val="20"/>
              </w:rPr>
              <w:t>✔</w:t>
            </w:r>
          </w:p>
        </w:tc>
        <w:tc>
          <w:tcPr>
            <w:tcW w:w="225" w:type="pct"/>
            <w:tcBorders>
              <w:top w:val="single" w:sz="4" w:space="0" w:color="0064BB"/>
              <w:bottom w:val="single" w:sz="4" w:space="0" w:color="0064BB"/>
            </w:tcBorders>
          </w:tcPr>
          <w:p w14:paraId="72F8CA72" w14:textId="7E210CF6" w:rsidR="004C1A26" w:rsidRPr="00AD1316" w:rsidRDefault="004C1A26" w:rsidP="004C1A26">
            <w:pPr>
              <w:pStyle w:val="TableParagraph"/>
              <w:spacing w:before="81"/>
              <w:ind w:left="303"/>
              <w:rPr>
                <w:sz w:val="20"/>
                <w:szCs w:val="20"/>
              </w:rPr>
            </w:pPr>
            <w:r w:rsidRPr="00AD1316">
              <w:rPr>
                <w:rFonts w:ascii="Segoe UI Symbol" w:hAnsi="Segoe UI Symbol" w:cs="Segoe UI Symbol"/>
                <w:spacing w:val="-10"/>
                <w:sz w:val="20"/>
              </w:rPr>
              <w:t>✔</w:t>
            </w:r>
          </w:p>
        </w:tc>
        <w:tc>
          <w:tcPr>
            <w:tcW w:w="350" w:type="pct"/>
            <w:tcBorders>
              <w:top w:val="single" w:sz="4" w:space="0" w:color="0064BB"/>
              <w:bottom w:val="single" w:sz="4" w:space="0" w:color="0064BB"/>
            </w:tcBorders>
          </w:tcPr>
          <w:p w14:paraId="4D7B64BC" w14:textId="44B42999" w:rsidR="004C1A26" w:rsidRPr="00AD1316" w:rsidRDefault="004C1A26" w:rsidP="004C1A26">
            <w:pPr>
              <w:pStyle w:val="TableParagraph"/>
              <w:spacing w:before="81"/>
              <w:ind w:left="308"/>
              <w:rPr>
                <w:sz w:val="20"/>
                <w:szCs w:val="20"/>
              </w:rPr>
            </w:pPr>
            <w:r w:rsidRPr="00AD1316">
              <w:rPr>
                <w:rFonts w:ascii="Segoe UI Symbol" w:hAnsi="Segoe UI Symbol" w:cs="Segoe UI Symbol"/>
                <w:spacing w:val="-10"/>
                <w:sz w:val="20"/>
              </w:rPr>
              <w:t>✔</w:t>
            </w:r>
          </w:p>
        </w:tc>
        <w:tc>
          <w:tcPr>
            <w:tcW w:w="349" w:type="pct"/>
            <w:tcBorders>
              <w:top w:val="single" w:sz="4" w:space="0" w:color="0064BB"/>
              <w:bottom w:val="single" w:sz="4" w:space="0" w:color="0064BB"/>
            </w:tcBorders>
          </w:tcPr>
          <w:p w14:paraId="11D45ABD" w14:textId="4F7F7281" w:rsidR="004C1A26" w:rsidRPr="00AD1316" w:rsidRDefault="004C1A26" w:rsidP="004C1A26">
            <w:pPr>
              <w:pStyle w:val="TableParagraph"/>
              <w:spacing w:before="81"/>
              <w:ind w:left="118"/>
              <w:rPr>
                <w:sz w:val="20"/>
                <w:szCs w:val="20"/>
              </w:rPr>
            </w:pPr>
            <w:r w:rsidRPr="00AD1316">
              <w:rPr>
                <w:rFonts w:ascii="Segoe UI Symbol" w:hAnsi="Segoe UI Symbol" w:cs="Segoe UI Symbol"/>
                <w:spacing w:val="-10"/>
                <w:sz w:val="20"/>
              </w:rPr>
              <w:t>✔</w:t>
            </w:r>
          </w:p>
        </w:tc>
        <w:tc>
          <w:tcPr>
            <w:tcW w:w="374" w:type="pct"/>
            <w:tcBorders>
              <w:top w:val="single" w:sz="4" w:space="0" w:color="0064BB"/>
              <w:bottom w:val="single" w:sz="4" w:space="0" w:color="0064BB"/>
            </w:tcBorders>
          </w:tcPr>
          <w:p w14:paraId="1AA9C15B" w14:textId="4C7CA7D9" w:rsidR="004C1A26" w:rsidRPr="00AD1316" w:rsidRDefault="004C1A26" w:rsidP="004C1A26">
            <w:pPr>
              <w:pStyle w:val="TableParagraph"/>
              <w:spacing w:before="81"/>
              <w:ind w:left="417"/>
              <w:rPr>
                <w:sz w:val="20"/>
                <w:szCs w:val="20"/>
              </w:rPr>
            </w:pPr>
            <w:r w:rsidRPr="00AD1316">
              <w:rPr>
                <w:rFonts w:ascii="Segoe UI Symbol" w:hAnsi="Segoe UI Symbol" w:cs="Segoe UI Symbol"/>
                <w:spacing w:val="-10"/>
                <w:sz w:val="20"/>
              </w:rPr>
              <w:t>✔</w:t>
            </w:r>
          </w:p>
        </w:tc>
      </w:tr>
      <w:tr w:rsidR="00785204" w14:paraId="08C44B4D" w14:textId="77777777" w:rsidTr="006B04C2">
        <w:trPr>
          <w:trHeight w:val="1999"/>
        </w:trPr>
        <w:tc>
          <w:tcPr>
            <w:tcW w:w="721" w:type="pct"/>
            <w:tcBorders>
              <w:top w:val="single" w:sz="4" w:space="0" w:color="0064BB"/>
              <w:bottom w:val="single" w:sz="4" w:space="0" w:color="0064BB"/>
            </w:tcBorders>
            <w:shd w:val="clear" w:color="auto" w:fill="F1F1F1"/>
          </w:tcPr>
          <w:p w14:paraId="1EF9D7E9" w14:textId="65814410" w:rsidR="00785204" w:rsidRPr="00F5448A" w:rsidRDefault="00785204" w:rsidP="00785204">
            <w:pPr>
              <w:pStyle w:val="TableParagraph"/>
              <w:ind w:left="468" w:right="351" w:hanging="360"/>
              <w:rPr>
                <w:b/>
                <w:sz w:val="20"/>
                <w:szCs w:val="20"/>
              </w:rPr>
            </w:pPr>
            <w:r w:rsidRPr="00812534">
              <w:rPr>
                <w:b/>
                <w:sz w:val="20"/>
                <w:szCs w:val="20"/>
              </w:rPr>
              <w:t>3.2 To what extent does the VAPJP design remain strategically aligned to Australian interests and comparative advantage, and Vanuatu government development priorities?</w:t>
            </w:r>
          </w:p>
        </w:tc>
        <w:tc>
          <w:tcPr>
            <w:tcW w:w="1149" w:type="pct"/>
            <w:tcBorders>
              <w:top w:val="single" w:sz="4" w:space="0" w:color="0064BB"/>
              <w:bottom w:val="single" w:sz="4" w:space="0" w:color="0064BB"/>
            </w:tcBorders>
          </w:tcPr>
          <w:p w14:paraId="71DCB539" w14:textId="07B6FBB8" w:rsidR="00785204" w:rsidRPr="00F5448A" w:rsidRDefault="00785204" w:rsidP="00785204">
            <w:pPr>
              <w:pStyle w:val="TableParagraph"/>
              <w:spacing w:before="80"/>
              <w:ind w:left="108"/>
              <w:rPr>
                <w:sz w:val="20"/>
                <w:szCs w:val="20"/>
              </w:rPr>
            </w:pPr>
            <w:r w:rsidRPr="00812534">
              <w:rPr>
                <w:sz w:val="20"/>
                <w:szCs w:val="20"/>
              </w:rPr>
              <w:t>Are the end of program outcomes still relevant?</w:t>
            </w:r>
          </w:p>
        </w:tc>
        <w:tc>
          <w:tcPr>
            <w:tcW w:w="811" w:type="pct"/>
            <w:tcBorders>
              <w:top w:val="single" w:sz="4" w:space="0" w:color="0064BB"/>
              <w:bottom w:val="single" w:sz="4" w:space="0" w:color="0064BB"/>
            </w:tcBorders>
          </w:tcPr>
          <w:p w14:paraId="04DDB708" w14:textId="77777777" w:rsidR="00785204" w:rsidRPr="002309A1" w:rsidRDefault="00785204" w:rsidP="00785204">
            <w:pPr>
              <w:pStyle w:val="TableParagraph"/>
              <w:numPr>
                <w:ilvl w:val="0"/>
                <w:numId w:val="24"/>
              </w:numPr>
              <w:tabs>
                <w:tab w:val="left" w:pos="495"/>
              </w:tabs>
              <w:spacing w:before="64" w:line="235" w:lineRule="auto"/>
              <w:ind w:right="347"/>
              <w:rPr>
                <w:sz w:val="20"/>
                <w:szCs w:val="20"/>
              </w:rPr>
            </w:pPr>
            <w:r w:rsidRPr="002309A1">
              <w:rPr>
                <w:sz w:val="20"/>
                <w:szCs w:val="20"/>
              </w:rPr>
              <w:t>Alignment of VAPJP goals and outcomes with GoV and other stakeholder priorities</w:t>
            </w:r>
          </w:p>
          <w:p w14:paraId="628B23F9" w14:textId="48C369A0" w:rsidR="00785204" w:rsidRPr="00F5448A" w:rsidRDefault="00785204" w:rsidP="00785204">
            <w:pPr>
              <w:pStyle w:val="TableParagraph"/>
              <w:numPr>
                <w:ilvl w:val="0"/>
                <w:numId w:val="24"/>
              </w:numPr>
              <w:tabs>
                <w:tab w:val="left" w:pos="471"/>
              </w:tabs>
              <w:spacing w:before="64" w:line="235" w:lineRule="auto"/>
              <w:ind w:right="347"/>
              <w:rPr>
                <w:sz w:val="20"/>
                <w:szCs w:val="20"/>
              </w:rPr>
            </w:pPr>
            <w:r w:rsidRPr="002309A1">
              <w:rPr>
                <w:sz w:val="20"/>
                <w:szCs w:val="20"/>
              </w:rPr>
              <w:t>Partner perceptions regarding how the program was designed/implemented</w:t>
            </w:r>
          </w:p>
        </w:tc>
        <w:tc>
          <w:tcPr>
            <w:tcW w:w="531" w:type="pct"/>
            <w:tcBorders>
              <w:top w:val="single" w:sz="4" w:space="0" w:color="0064BB"/>
              <w:bottom w:val="single" w:sz="4" w:space="0" w:color="0064BB"/>
            </w:tcBorders>
          </w:tcPr>
          <w:p w14:paraId="5382941A" w14:textId="77777777" w:rsidR="00785204" w:rsidRPr="00240A5C" w:rsidRDefault="00785204" w:rsidP="00785204">
            <w:pPr>
              <w:pStyle w:val="TableParagraph"/>
              <w:spacing w:before="79" w:line="242" w:lineRule="auto"/>
              <w:ind w:left="129" w:right="755"/>
              <w:rPr>
                <w:sz w:val="20"/>
                <w:szCs w:val="20"/>
              </w:rPr>
            </w:pPr>
            <w:r w:rsidRPr="00240A5C">
              <w:rPr>
                <w:sz w:val="20"/>
                <w:szCs w:val="20"/>
              </w:rPr>
              <w:t>VAPJP Program Documents</w:t>
            </w:r>
          </w:p>
          <w:p w14:paraId="537894D1" w14:textId="77777777" w:rsidR="00785204" w:rsidRPr="00240A5C" w:rsidRDefault="00785204" w:rsidP="00785204">
            <w:pPr>
              <w:pStyle w:val="TableParagraph"/>
              <w:spacing w:before="79" w:line="242" w:lineRule="auto"/>
              <w:ind w:left="129" w:right="755"/>
              <w:rPr>
                <w:sz w:val="20"/>
                <w:szCs w:val="20"/>
              </w:rPr>
            </w:pPr>
            <w:r w:rsidRPr="00240A5C">
              <w:rPr>
                <w:sz w:val="20"/>
                <w:szCs w:val="20"/>
              </w:rPr>
              <w:t>Academic and grey literature</w:t>
            </w:r>
          </w:p>
          <w:p w14:paraId="561B8B13" w14:textId="53F1FAEE" w:rsidR="00785204" w:rsidRPr="00F5448A" w:rsidRDefault="00785204" w:rsidP="00785204">
            <w:pPr>
              <w:pStyle w:val="TableParagraph"/>
              <w:spacing w:before="79" w:line="242" w:lineRule="auto"/>
              <w:ind w:left="129" w:right="755"/>
              <w:rPr>
                <w:sz w:val="20"/>
                <w:szCs w:val="20"/>
              </w:rPr>
            </w:pPr>
            <w:r w:rsidRPr="00240A5C">
              <w:rPr>
                <w:sz w:val="20"/>
                <w:szCs w:val="20"/>
              </w:rPr>
              <w:t>GoV documents PEA</w:t>
            </w:r>
          </w:p>
        </w:tc>
        <w:tc>
          <w:tcPr>
            <w:tcW w:w="226" w:type="pct"/>
            <w:tcBorders>
              <w:top w:val="single" w:sz="4" w:space="0" w:color="0064BB"/>
              <w:bottom w:val="single" w:sz="4" w:space="0" w:color="0064BB"/>
            </w:tcBorders>
          </w:tcPr>
          <w:p w14:paraId="79B34C90" w14:textId="21DFA268" w:rsidR="00785204" w:rsidRPr="00AD1316" w:rsidRDefault="00785204" w:rsidP="00785204">
            <w:pPr>
              <w:pStyle w:val="TableParagraph"/>
              <w:spacing w:before="81"/>
              <w:ind w:left="321"/>
              <w:rPr>
                <w:sz w:val="20"/>
                <w:szCs w:val="20"/>
              </w:rPr>
            </w:pPr>
            <w:r w:rsidRPr="00AD1316">
              <w:rPr>
                <w:rFonts w:ascii="Segoe UI Symbol" w:hAnsi="Segoe UI Symbol" w:cs="Segoe UI Symbol"/>
                <w:spacing w:val="-10"/>
                <w:sz w:val="20"/>
              </w:rPr>
              <w:t>✔</w:t>
            </w:r>
          </w:p>
        </w:tc>
        <w:tc>
          <w:tcPr>
            <w:tcW w:w="264" w:type="pct"/>
            <w:tcBorders>
              <w:top w:val="single" w:sz="4" w:space="0" w:color="0064BB"/>
              <w:bottom w:val="single" w:sz="4" w:space="0" w:color="0064BB"/>
            </w:tcBorders>
          </w:tcPr>
          <w:p w14:paraId="6E8D2965" w14:textId="390A2526" w:rsidR="00785204" w:rsidRPr="00AD1316" w:rsidRDefault="00785204" w:rsidP="00785204">
            <w:pPr>
              <w:pStyle w:val="TableParagraph"/>
              <w:spacing w:before="81"/>
              <w:ind w:left="321"/>
              <w:rPr>
                <w:sz w:val="20"/>
                <w:szCs w:val="20"/>
              </w:rPr>
            </w:pPr>
            <w:r w:rsidRPr="00AD1316">
              <w:rPr>
                <w:rFonts w:ascii="Segoe UI Symbol" w:hAnsi="Segoe UI Symbol" w:cs="Segoe UI Symbol"/>
                <w:spacing w:val="-10"/>
                <w:sz w:val="20"/>
              </w:rPr>
              <w:t>✔</w:t>
            </w:r>
          </w:p>
        </w:tc>
        <w:tc>
          <w:tcPr>
            <w:tcW w:w="225" w:type="pct"/>
            <w:tcBorders>
              <w:top w:val="single" w:sz="4" w:space="0" w:color="0064BB"/>
              <w:bottom w:val="single" w:sz="4" w:space="0" w:color="0064BB"/>
            </w:tcBorders>
          </w:tcPr>
          <w:p w14:paraId="3879F5E9" w14:textId="1167A7A7" w:rsidR="00785204" w:rsidRPr="00AD1316" w:rsidRDefault="00785204" w:rsidP="00785204">
            <w:pPr>
              <w:pStyle w:val="TableParagraph"/>
              <w:spacing w:before="81"/>
              <w:ind w:left="303"/>
              <w:rPr>
                <w:sz w:val="20"/>
                <w:szCs w:val="20"/>
              </w:rPr>
            </w:pPr>
            <w:r w:rsidRPr="00AD1316">
              <w:rPr>
                <w:rFonts w:ascii="Segoe UI Symbol" w:hAnsi="Segoe UI Symbol" w:cs="Segoe UI Symbol"/>
                <w:spacing w:val="-10"/>
                <w:sz w:val="20"/>
              </w:rPr>
              <w:t>✔</w:t>
            </w:r>
          </w:p>
        </w:tc>
        <w:tc>
          <w:tcPr>
            <w:tcW w:w="350" w:type="pct"/>
            <w:tcBorders>
              <w:top w:val="single" w:sz="4" w:space="0" w:color="0064BB"/>
              <w:bottom w:val="single" w:sz="4" w:space="0" w:color="0064BB"/>
            </w:tcBorders>
          </w:tcPr>
          <w:p w14:paraId="39DBCCFA" w14:textId="5CD639AE" w:rsidR="00785204" w:rsidRPr="00AD1316" w:rsidRDefault="00785204" w:rsidP="00785204">
            <w:pPr>
              <w:pStyle w:val="TableParagraph"/>
              <w:spacing w:before="81"/>
              <w:ind w:left="308"/>
              <w:rPr>
                <w:sz w:val="20"/>
                <w:szCs w:val="20"/>
              </w:rPr>
            </w:pPr>
            <w:r w:rsidRPr="00AD1316">
              <w:rPr>
                <w:sz w:val="20"/>
                <w:szCs w:val="20"/>
              </w:rPr>
              <w:t>X</w:t>
            </w:r>
          </w:p>
        </w:tc>
        <w:tc>
          <w:tcPr>
            <w:tcW w:w="349" w:type="pct"/>
            <w:tcBorders>
              <w:top w:val="single" w:sz="4" w:space="0" w:color="0064BB"/>
              <w:bottom w:val="single" w:sz="4" w:space="0" w:color="0064BB"/>
            </w:tcBorders>
          </w:tcPr>
          <w:p w14:paraId="40536AC9" w14:textId="52BF9D5C" w:rsidR="00785204" w:rsidRPr="00AD1316" w:rsidRDefault="00785204" w:rsidP="00785204">
            <w:pPr>
              <w:pStyle w:val="TableParagraph"/>
              <w:spacing w:before="81"/>
              <w:ind w:left="118"/>
              <w:rPr>
                <w:sz w:val="20"/>
                <w:szCs w:val="20"/>
              </w:rPr>
            </w:pPr>
            <w:r w:rsidRPr="00AD1316">
              <w:rPr>
                <w:sz w:val="20"/>
                <w:szCs w:val="20"/>
              </w:rPr>
              <w:t>X</w:t>
            </w:r>
          </w:p>
        </w:tc>
        <w:tc>
          <w:tcPr>
            <w:tcW w:w="374" w:type="pct"/>
            <w:tcBorders>
              <w:top w:val="single" w:sz="4" w:space="0" w:color="0064BB"/>
              <w:bottom w:val="single" w:sz="4" w:space="0" w:color="0064BB"/>
            </w:tcBorders>
          </w:tcPr>
          <w:p w14:paraId="5B34844C" w14:textId="7B0F0F79" w:rsidR="00785204" w:rsidRPr="00AD1316" w:rsidRDefault="00785204" w:rsidP="00785204">
            <w:pPr>
              <w:pStyle w:val="TableParagraph"/>
              <w:spacing w:before="81"/>
              <w:ind w:left="417"/>
              <w:rPr>
                <w:sz w:val="20"/>
                <w:szCs w:val="20"/>
              </w:rPr>
            </w:pPr>
            <w:r w:rsidRPr="00AD1316">
              <w:rPr>
                <w:rFonts w:ascii="Segoe UI Symbol" w:hAnsi="Segoe UI Symbol" w:cs="Segoe UI Symbol"/>
                <w:spacing w:val="-10"/>
                <w:sz w:val="20"/>
              </w:rPr>
              <w:t>✔</w:t>
            </w:r>
          </w:p>
        </w:tc>
      </w:tr>
      <w:tr w:rsidR="00695942" w14:paraId="7612E9BB" w14:textId="77777777" w:rsidTr="006B04C2">
        <w:trPr>
          <w:trHeight w:val="2254"/>
        </w:trPr>
        <w:tc>
          <w:tcPr>
            <w:tcW w:w="721" w:type="pct"/>
            <w:tcBorders>
              <w:top w:val="single" w:sz="4" w:space="0" w:color="0064BB"/>
              <w:bottom w:val="single" w:sz="4" w:space="0" w:color="0064BB"/>
            </w:tcBorders>
            <w:shd w:val="clear" w:color="auto" w:fill="F1F1F1"/>
          </w:tcPr>
          <w:p w14:paraId="6D898DD4" w14:textId="3241B1D0" w:rsidR="00695942" w:rsidRPr="00F5448A" w:rsidRDefault="00695942" w:rsidP="00695942">
            <w:pPr>
              <w:pStyle w:val="TableParagraph"/>
              <w:ind w:left="468" w:right="351" w:hanging="360"/>
              <w:rPr>
                <w:b/>
                <w:sz w:val="20"/>
                <w:szCs w:val="20"/>
              </w:rPr>
            </w:pPr>
            <w:r w:rsidRPr="00785204">
              <w:rPr>
                <w:b/>
                <w:sz w:val="20"/>
                <w:szCs w:val="20"/>
              </w:rPr>
              <w:t>3.3 To what extent are VAPJP outcomes sustainable?</w:t>
            </w:r>
          </w:p>
        </w:tc>
        <w:tc>
          <w:tcPr>
            <w:tcW w:w="1149" w:type="pct"/>
            <w:tcBorders>
              <w:top w:val="single" w:sz="4" w:space="0" w:color="0064BB"/>
              <w:bottom w:val="single" w:sz="4" w:space="0" w:color="0064BB"/>
            </w:tcBorders>
          </w:tcPr>
          <w:p w14:paraId="6060FFDC" w14:textId="77777777" w:rsidR="00695942" w:rsidRDefault="00695942" w:rsidP="00695942">
            <w:pPr>
              <w:pStyle w:val="TableParagraph"/>
              <w:ind w:left="108" w:right="287" w:hanging="1"/>
              <w:jc w:val="both"/>
              <w:rPr>
                <w:sz w:val="20"/>
              </w:rPr>
            </w:pPr>
            <w:r>
              <w:rPr>
                <w:sz w:val="20"/>
              </w:rPr>
              <w:t>What</w:t>
            </w:r>
            <w:r>
              <w:rPr>
                <w:spacing w:val="-6"/>
                <w:sz w:val="20"/>
              </w:rPr>
              <w:t xml:space="preserve"> </w:t>
            </w:r>
            <w:r>
              <w:rPr>
                <w:sz w:val="20"/>
              </w:rPr>
              <w:t>evidence</w:t>
            </w:r>
            <w:r>
              <w:rPr>
                <w:spacing w:val="-4"/>
                <w:sz w:val="20"/>
              </w:rPr>
              <w:t xml:space="preserve"> </w:t>
            </w:r>
            <w:r>
              <w:rPr>
                <w:sz w:val="20"/>
              </w:rPr>
              <w:t>exists</w:t>
            </w:r>
            <w:r>
              <w:rPr>
                <w:spacing w:val="-5"/>
                <w:sz w:val="20"/>
              </w:rPr>
              <w:t xml:space="preserve"> </w:t>
            </w:r>
            <w:r>
              <w:rPr>
                <w:sz w:val="20"/>
              </w:rPr>
              <w:t>to</w:t>
            </w:r>
            <w:r>
              <w:rPr>
                <w:spacing w:val="-6"/>
                <w:sz w:val="20"/>
              </w:rPr>
              <w:t xml:space="preserve"> </w:t>
            </w:r>
            <w:r>
              <w:rPr>
                <w:sz w:val="20"/>
              </w:rPr>
              <w:t>suggest</w:t>
            </w:r>
            <w:r>
              <w:rPr>
                <w:spacing w:val="-6"/>
                <w:sz w:val="20"/>
              </w:rPr>
              <w:t xml:space="preserve"> </w:t>
            </w:r>
            <w:r>
              <w:rPr>
                <w:sz w:val="18"/>
              </w:rPr>
              <w:t xml:space="preserve">ownership </w:t>
            </w:r>
            <w:r>
              <w:rPr>
                <w:sz w:val="20"/>
              </w:rPr>
              <w:t>of</w:t>
            </w:r>
            <w:r>
              <w:rPr>
                <w:spacing w:val="-6"/>
                <w:sz w:val="20"/>
              </w:rPr>
              <w:t xml:space="preserve"> </w:t>
            </w:r>
            <w:r>
              <w:rPr>
                <w:sz w:val="20"/>
              </w:rPr>
              <w:t>VAPJP priorities</w:t>
            </w:r>
            <w:r>
              <w:rPr>
                <w:spacing w:val="-8"/>
                <w:sz w:val="20"/>
              </w:rPr>
              <w:t xml:space="preserve"> </w:t>
            </w:r>
            <w:r>
              <w:rPr>
                <w:sz w:val="20"/>
              </w:rPr>
              <w:t>and</w:t>
            </w:r>
            <w:r>
              <w:rPr>
                <w:spacing w:val="-9"/>
                <w:sz w:val="20"/>
              </w:rPr>
              <w:t xml:space="preserve"> </w:t>
            </w:r>
            <w:r>
              <w:rPr>
                <w:sz w:val="20"/>
              </w:rPr>
              <w:t>results</w:t>
            </w:r>
            <w:r>
              <w:rPr>
                <w:spacing w:val="-8"/>
                <w:sz w:val="20"/>
              </w:rPr>
              <w:t xml:space="preserve"> </w:t>
            </w:r>
            <w:r>
              <w:rPr>
                <w:sz w:val="20"/>
              </w:rPr>
              <w:t>amongst</w:t>
            </w:r>
            <w:r>
              <w:rPr>
                <w:spacing w:val="-9"/>
                <w:sz w:val="20"/>
              </w:rPr>
              <w:t xml:space="preserve"> </w:t>
            </w:r>
            <w:r>
              <w:rPr>
                <w:sz w:val="20"/>
              </w:rPr>
              <w:t>program</w:t>
            </w:r>
            <w:r>
              <w:rPr>
                <w:spacing w:val="-9"/>
                <w:sz w:val="20"/>
              </w:rPr>
              <w:t xml:space="preserve"> </w:t>
            </w:r>
            <w:r>
              <w:rPr>
                <w:sz w:val="20"/>
              </w:rPr>
              <w:t>stakeholders, including GoV?</w:t>
            </w:r>
          </w:p>
          <w:p w14:paraId="04448FE4" w14:textId="77777777" w:rsidR="00695942" w:rsidRDefault="00695942" w:rsidP="00695942">
            <w:pPr>
              <w:pStyle w:val="TableParagraph"/>
              <w:spacing w:before="81"/>
              <w:ind w:left="108" w:right="174"/>
              <w:rPr>
                <w:sz w:val="20"/>
              </w:rPr>
            </w:pPr>
            <w:r>
              <w:rPr>
                <w:sz w:val="20"/>
              </w:rPr>
              <w:t>Is</w:t>
            </w:r>
            <w:r>
              <w:rPr>
                <w:spacing w:val="-5"/>
                <w:sz w:val="20"/>
              </w:rPr>
              <w:t xml:space="preserve"> </w:t>
            </w:r>
            <w:r>
              <w:rPr>
                <w:sz w:val="20"/>
              </w:rPr>
              <w:t>there</w:t>
            </w:r>
            <w:r>
              <w:rPr>
                <w:spacing w:val="-4"/>
                <w:sz w:val="20"/>
              </w:rPr>
              <w:t xml:space="preserve"> </w:t>
            </w:r>
            <w:r>
              <w:rPr>
                <w:sz w:val="20"/>
              </w:rPr>
              <w:t>more</w:t>
            </w:r>
            <w:r>
              <w:rPr>
                <w:spacing w:val="-6"/>
                <w:sz w:val="20"/>
              </w:rPr>
              <w:t xml:space="preserve"> </w:t>
            </w:r>
            <w:r>
              <w:rPr>
                <w:sz w:val="20"/>
              </w:rPr>
              <w:t>that</w:t>
            </w:r>
            <w:r>
              <w:rPr>
                <w:spacing w:val="-4"/>
                <w:sz w:val="20"/>
              </w:rPr>
              <w:t xml:space="preserve"> </w:t>
            </w:r>
            <w:r>
              <w:rPr>
                <w:sz w:val="20"/>
              </w:rPr>
              <w:t>VAPJP</w:t>
            </w:r>
            <w:r>
              <w:rPr>
                <w:spacing w:val="-7"/>
                <w:sz w:val="20"/>
              </w:rPr>
              <w:t xml:space="preserve"> </w:t>
            </w:r>
            <w:r>
              <w:rPr>
                <w:sz w:val="20"/>
              </w:rPr>
              <w:t>could</w:t>
            </w:r>
            <w:r>
              <w:rPr>
                <w:spacing w:val="-6"/>
                <w:sz w:val="20"/>
              </w:rPr>
              <w:t xml:space="preserve"> </w:t>
            </w:r>
            <w:r>
              <w:rPr>
                <w:sz w:val="20"/>
              </w:rPr>
              <w:t>be</w:t>
            </w:r>
            <w:r>
              <w:rPr>
                <w:spacing w:val="-4"/>
                <w:sz w:val="20"/>
              </w:rPr>
              <w:t xml:space="preserve"> </w:t>
            </w:r>
            <w:r>
              <w:rPr>
                <w:sz w:val="20"/>
              </w:rPr>
              <w:t>doing</w:t>
            </w:r>
            <w:r>
              <w:rPr>
                <w:spacing w:val="-4"/>
                <w:sz w:val="20"/>
              </w:rPr>
              <w:t xml:space="preserve"> </w:t>
            </w:r>
            <w:r>
              <w:rPr>
                <w:sz w:val="20"/>
              </w:rPr>
              <w:t>to</w:t>
            </w:r>
            <w:r>
              <w:rPr>
                <w:spacing w:val="-6"/>
                <w:sz w:val="20"/>
              </w:rPr>
              <w:t xml:space="preserve"> </w:t>
            </w:r>
            <w:r>
              <w:rPr>
                <w:sz w:val="20"/>
              </w:rPr>
              <w:t xml:space="preserve">support the VPF in securing appropriate levels of budget </w:t>
            </w:r>
            <w:r>
              <w:rPr>
                <w:spacing w:val="-2"/>
                <w:sz w:val="20"/>
              </w:rPr>
              <w:t>support?</w:t>
            </w:r>
          </w:p>
          <w:p w14:paraId="5112FB72" w14:textId="5550BFB2" w:rsidR="00695942" w:rsidRPr="00F5448A" w:rsidRDefault="00695942" w:rsidP="00695942">
            <w:pPr>
              <w:pStyle w:val="TableParagraph"/>
              <w:spacing w:before="80"/>
              <w:ind w:left="108"/>
              <w:rPr>
                <w:sz w:val="20"/>
                <w:szCs w:val="20"/>
              </w:rPr>
            </w:pPr>
            <w:r>
              <w:rPr>
                <w:sz w:val="20"/>
              </w:rPr>
              <w:t>How has the program’s increased focus on the interface</w:t>
            </w:r>
            <w:r>
              <w:rPr>
                <w:spacing w:val="-7"/>
                <w:sz w:val="20"/>
              </w:rPr>
              <w:t xml:space="preserve"> </w:t>
            </w:r>
            <w:r>
              <w:rPr>
                <w:sz w:val="20"/>
              </w:rPr>
              <w:t>between</w:t>
            </w:r>
            <w:r>
              <w:rPr>
                <w:spacing w:val="-7"/>
                <w:sz w:val="20"/>
              </w:rPr>
              <w:t xml:space="preserve"> </w:t>
            </w:r>
            <w:r>
              <w:rPr>
                <w:sz w:val="20"/>
              </w:rPr>
              <w:t>kastom</w:t>
            </w:r>
            <w:r>
              <w:rPr>
                <w:spacing w:val="-7"/>
                <w:sz w:val="20"/>
              </w:rPr>
              <w:t xml:space="preserve"> </w:t>
            </w:r>
            <w:r>
              <w:rPr>
                <w:sz w:val="20"/>
              </w:rPr>
              <w:t>and</w:t>
            </w:r>
            <w:r>
              <w:rPr>
                <w:spacing w:val="-7"/>
                <w:sz w:val="20"/>
              </w:rPr>
              <w:t xml:space="preserve"> </w:t>
            </w:r>
            <w:r>
              <w:rPr>
                <w:sz w:val="20"/>
              </w:rPr>
              <w:t>formal</w:t>
            </w:r>
            <w:r>
              <w:rPr>
                <w:spacing w:val="-7"/>
                <w:sz w:val="20"/>
              </w:rPr>
              <w:t xml:space="preserve"> </w:t>
            </w:r>
            <w:r>
              <w:rPr>
                <w:sz w:val="20"/>
              </w:rPr>
              <w:t>justice</w:t>
            </w:r>
            <w:r>
              <w:rPr>
                <w:spacing w:val="-7"/>
                <w:sz w:val="20"/>
              </w:rPr>
              <w:t xml:space="preserve"> </w:t>
            </w:r>
            <w:r>
              <w:rPr>
                <w:sz w:val="20"/>
              </w:rPr>
              <w:t>systems affected its relevance and sustainability?</w:t>
            </w:r>
          </w:p>
        </w:tc>
        <w:tc>
          <w:tcPr>
            <w:tcW w:w="811" w:type="pct"/>
            <w:tcBorders>
              <w:top w:val="single" w:sz="4" w:space="0" w:color="0064BB"/>
              <w:bottom w:val="single" w:sz="4" w:space="0" w:color="0064BB"/>
            </w:tcBorders>
          </w:tcPr>
          <w:p w14:paraId="1F2CD02C" w14:textId="77777777" w:rsidR="00695942" w:rsidRDefault="00695942" w:rsidP="00695942">
            <w:pPr>
              <w:pStyle w:val="TableParagraph"/>
              <w:numPr>
                <w:ilvl w:val="0"/>
                <w:numId w:val="20"/>
              </w:numPr>
              <w:tabs>
                <w:tab w:val="left" w:pos="500"/>
              </w:tabs>
              <w:spacing w:before="58"/>
              <w:ind w:right="376"/>
              <w:rPr>
                <w:sz w:val="20"/>
              </w:rPr>
            </w:pPr>
            <w:r>
              <w:rPr>
                <w:sz w:val="20"/>
              </w:rPr>
              <w:t>Alignment</w:t>
            </w:r>
            <w:r>
              <w:rPr>
                <w:spacing w:val="-12"/>
                <w:sz w:val="20"/>
              </w:rPr>
              <w:t xml:space="preserve"> </w:t>
            </w:r>
            <w:r>
              <w:rPr>
                <w:sz w:val="20"/>
              </w:rPr>
              <w:t>of</w:t>
            </w:r>
            <w:r>
              <w:rPr>
                <w:spacing w:val="-10"/>
                <w:sz w:val="20"/>
              </w:rPr>
              <w:t xml:space="preserve"> </w:t>
            </w:r>
            <w:r>
              <w:rPr>
                <w:sz w:val="20"/>
              </w:rPr>
              <w:t>VAPJP</w:t>
            </w:r>
            <w:r>
              <w:rPr>
                <w:spacing w:val="-11"/>
                <w:sz w:val="20"/>
              </w:rPr>
              <w:t xml:space="preserve"> </w:t>
            </w:r>
            <w:r>
              <w:rPr>
                <w:sz w:val="20"/>
              </w:rPr>
              <w:t>goals</w:t>
            </w:r>
            <w:r>
              <w:rPr>
                <w:spacing w:val="-9"/>
                <w:sz w:val="20"/>
              </w:rPr>
              <w:t xml:space="preserve"> </w:t>
            </w:r>
            <w:r>
              <w:rPr>
                <w:sz w:val="20"/>
              </w:rPr>
              <w:t>and outcomes with GoV and other stakeholder priorities</w:t>
            </w:r>
          </w:p>
          <w:p w14:paraId="570DF0A1" w14:textId="153AF1C1" w:rsidR="00695942" w:rsidRPr="00F5448A" w:rsidRDefault="00695942" w:rsidP="00695942">
            <w:pPr>
              <w:pStyle w:val="TableParagraph"/>
              <w:numPr>
                <w:ilvl w:val="0"/>
                <w:numId w:val="20"/>
              </w:numPr>
              <w:tabs>
                <w:tab w:val="left" w:pos="472"/>
              </w:tabs>
              <w:spacing w:before="61"/>
              <w:ind w:right="367"/>
              <w:rPr>
                <w:sz w:val="20"/>
                <w:szCs w:val="20"/>
              </w:rPr>
            </w:pPr>
            <w:r>
              <w:rPr>
                <w:sz w:val="20"/>
              </w:rPr>
              <w:t>Partner</w:t>
            </w:r>
            <w:r>
              <w:rPr>
                <w:spacing w:val="-14"/>
                <w:sz w:val="20"/>
              </w:rPr>
              <w:t xml:space="preserve"> </w:t>
            </w:r>
            <w:r>
              <w:rPr>
                <w:sz w:val="20"/>
              </w:rPr>
              <w:t>perceptions</w:t>
            </w:r>
            <w:r>
              <w:rPr>
                <w:spacing w:val="-14"/>
                <w:sz w:val="20"/>
              </w:rPr>
              <w:t xml:space="preserve"> </w:t>
            </w:r>
            <w:r>
              <w:rPr>
                <w:sz w:val="20"/>
              </w:rPr>
              <w:t xml:space="preserve">regarding how the program was </w:t>
            </w:r>
            <w:r>
              <w:rPr>
                <w:spacing w:val="-2"/>
                <w:sz w:val="20"/>
              </w:rPr>
              <w:t>designed/implemented</w:t>
            </w:r>
          </w:p>
        </w:tc>
        <w:tc>
          <w:tcPr>
            <w:tcW w:w="531" w:type="pct"/>
            <w:tcBorders>
              <w:top w:val="single" w:sz="4" w:space="0" w:color="0064BB"/>
              <w:bottom w:val="single" w:sz="4" w:space="0" w:color="0064BB"/>
            </w:tcBorders>
          </w:tcPr>
          <w:p w14:paraId="69BFDF3B" w14:textId="77777777" w:rsidR="00695942" w:rsidRPr="00785204" w:rsidRDefault="00695942" w:rsidP="00695942">
            <w:pPr>
              <w:pStyle w:val="TableParagraph"/>
              <w:spacing w:before="79" w:line="242" w:lineRule="auto"/>
              <w:ind w:left="129" w:right="755"/>
              <w:rPr>
                <w:sz w:val="20"/>
                <w:szCs w:val="20"/>
              </w:rPr>
            </w:pPr>
            <w:r w:rsidRPr="00785204">
              <w:rPr>
                <w:sz w:val="20"/>
                <w:szCs w:val="20"/>
              </w:rPr>
              <w:t>VAPJP Program Documents</w:t>
            </w:r>
          </w:p>
          <w:p w14:paraId="00E3C489" w14:textId="77777777" w:rsidR="00695942" w:rsidRPr="00785204" w:rsidRDefault="00695942" w:rsidP="00695942">
            <w:pPr>
              <w:pStyle w:val="TableParagraph"/>
              <w:spacing w:before="79" w:line="242" w:lineRule="auto"/>
              <w:ind w:left="129" w:right="755"/>
              <w:rPr>
                <w:sz w:val="20"/>
                <w:szCs w:val="20"/>
              </w:rPr>
            </w:pPr>
            <w:r w:rsidRPr="00785204">
              <w:rPr>
                <w:sz w:val="20"/>
                <w:szCs w:val="20"/>
              </w:rPr>
              <w:t>GoV NSDP 2016-2030</w:t>
            </w:r>
          </w:p>
          <w:p w14:paraId="2977E22C" w14:textId="3CF7770A" w:rsidR="00695942" w:rsidRPr="00F5448A" w:rsidRDefault="00695942" w:rsidP="00695942">
            <w:pPr>
              <w:pStyle w:val="TableParagraph"/>
              <w:spacing w:before="79" w:line="242" w:lineRule="auto"/>
              <w:ind w:left="129" w:right="755"/>
              <w:rPr>
                <w:sz w:val="20"/>
                <w:szCs w:val="20"/>
              </w:rPr>
            </w:pPr>
            <w:r w:rsidRPr="00785204">
              <w:rPr>
                <w:sz w:val="20"/>
                <w:szCs w:val="20"/>
              </w:rPr>
              <w:t>Academic and grey literature</w:t>
            </w:r>
          </w:p>
        </w:tc>
        <w:tc>
          <w:tcPr>
            <w:tcW w:w="226" w:type="pct"/>
            <w:tcBorders>
              <w:top w:val="single" w:sz="4" w:space="0" w:color="0064BB"/>
              <w:bottom w:val="single" w:sz="4" w:space="0" w:color="0064BB"/>
            </w:tcBorders>
          </w:tcPr>
          <w:p w14:paraId="772C720C" w14:textId="02C36149" w:rsidR="00695942" w:rsidRPr="00AD1316" w:rsidRDefault="00695942" w:rsidP="00695942">
            <w:pPr>
              <w:pStyle w:val="TableParagraph"/>
              <w:spacing w:before="81"/>
              <w:ind w:left="321"/>
              <w:rPr>
                <w:sz w:val="20"/>
                <w:szCs w:val="20"/>
              </w:rPr>
            </w:pPr>
            <w:r w:rsidRPr="00AD1316">
              <w:rPr>
                <w:sz w:val="20"/>
                <w:szCs w:val="20"/>
              </w:rPr>
              <w:t>X</w:t>
            </w:r>
          </w:p>
        </w:tc>
        <w:tc>
          <w:tcPr>
            <w:tcW w:w="264" w:type="pct"/>
            <w:tcBorders>
              <w:top w:val="single" w:sz="4" w:space="0" w:color="0064BB"/>
              <w:bottom w:val="single" w:sz="4" w:space="0" w:color="0064BB"/>
            </w:tcBorders>
          </w:tcPr>
          <w:p w14:paraId="7F201BCF" w14:textId="3AF74B3B" w:rsidR="00695942" w:rsidRPr="00AD1316" w:rsidRDefault="00695942" w:rsidP="00695942">
            <w:pPr>
              <w:pStyle w:val="TableParagraph"/>
              <w:spacing w:before="81"/>
              <w:ind w:left="321"/>
              <w:rPr>
                <w:sz w:val="20"/>
                <w:szCs w:val="20"/>
              </w:rPr>
            </w:pPr>
            <w:r>
              <w:rPr>
                <w:rFonts w:ascii="Segoe UI Symbol" w:hAnsi="Segoe UI Symbol"/>
                <w:spacing w:val="-10"/>
                <w:sz w:val="20"/>
              </w:rPr>
              <w:t>✔</w:t>
            </w:r>
          </w:p>
        </w:tc>
        <w:tc>
          <w:tcPr>
            <w:tcW w:w="225" w:type="pct"/>
            <w:tcBorders>
              <w:top w:val="single" w:sz="4" w:space="0" w:color="0064BB"/>
              <w:bottom w:val="single" w:sz="4" w:space="0" w:color="0064BB"/>
            </w:tcBorders>
          </w:tcPr>
          <w:p w14:paraId="0DD7D24F" w14:textId="7B6EBA21" w:rsidR="00695942" w:rsidRPr="00AD1316" w:rsidRDefault="00695942" w:rsidP="00695942">
            <w:pPr>
              <w:pStyle w:val="TableParagraph"/>
              <w:spacing w:before="81"/>
              <w:ind w:left="303"/>
              <w:rPr>
                <w:sz w:val="20"/>
                <w:szCs w:val="20"/>
              </w:rPr>
            </w:pPr>
            <w:r>
              <w:rPr>
                <w:rFonts w:ascii="Segoe UI Symbol" w:hAnsi="Segoe UI Symbol"/>
                <w:spacing w:val="-10"/>
                <w:sz w:val="20"/>
              </w:rPr>
              <w:t>✔</w:t>
            </w:r>
          </w:p>
        </w:tc>
        <w:tc>
          <w:tcPr>
            <w:tcW w:w="350" w:type="pct"/>
            <w:tcBorders>
              <w:top w:val="single" w:sz="4" w:space="0" w:color="0064BB"/>
              <w:bottom w:val="single" w:sz="4" w:space="0" w:color="0064BB"/>
            </w:tcBorders>
          </w:tcPr>
          <w:p w14:paraId="2BABC8CA" w14:textId="068E2298" w:rsidR="00695942" w:rsidRPr="00AD1316" w:rsidRDefault="00695942" w:rsidP="00695942">
            <w:pPr>
              <w:pStyle w:val="TableParagraph"/>
              <w:spacing w:before="81"/>
              <w:ind w:left="308"/>
              <w:rPr>
                <w:sz w:val="20"/>
                <w:szCs w:val="20"/>
              </w:rPr>
            </w:pPr>
            <w:r>
              <w:rPr>
                <w:rFonts w:ascii="Segoe UI Symbol" w:hAnsi="Segoe UI Symbol"/>
                <w:spacing w:val="-10"/>
                <w:sz w:val="20"/>
              </w:rPr>
              <w:t>✔</w:t>
            </w:r>
          </w:p>
        </w:tc>
        <w:tc>
          <w:tcPr>
            <w:tcW w:w="349" w:type="pct"/>
            <w:tcBorders>
              <w:top w:val="single" w:sz="4" w:space="0" w:color="0064BB"/>
              <w:bottom w:val="single" w:sz="4" w:space="0" w:color="0064BB"/>
            </w:tcBorders>
          </w:tcPr>
          <w:p w14:paraId="7842A7AD" w14:textId="2CCE2E5D" w:rsidR="00695942" w:rsidRPr="00AD1316" w:rsidRDefault="00695942" w:rsidP="00695942">
            <w:pPr>
              <w:pStyle w:val="TableParagraph"/>
              <w:spacing w:before="81"/>
              <w:ind w:left="118"/>
              <w:rPr>
                <w:sz w:val="20"/>
                <w:szCs w:val="20"/>
              </w:rPr>
            </w:pPr>
            <w:r>
              <w:rPr>
                <w:rFonts w:ascii="Segoe UI Symbol" w:hAnsi="Segoe UI Symbol"/>
                <w:spacing w:val="-10"/>
                <w:sz w:val="20"/>
              </w:rPr>
              <w:t>✔</w:t>
            </w:r>
          </w:p>
        </w:tc>
        <w:tc>
          <w:tcPr>
            <w:tcW w:w="374" w:type="pct"/>
            <w:tcBorders>
              <w:top w:val="single" w:sz="4" w:space="0" w:color="0064BB"/>
              <w:bottom w:val="single" w:sz="4" w:space="0" w:color="0064BB"/>
            </w:tcBorders>
          </w:tcPr>
          <w:p w14:paraId="30277DD4" w14:textId="256E5039" w:rsidR="00695942" w:rsidRPr="00AD1316" w:rsidRDefault="00695942" w:rsidP="00695942">
            <w:pPr>
              <w:pStyle w:val="TableParagraph"/>
              <w:spacing w:before="81"/>
              <w:ind w:left="417"/>
              <w:rPr>
                <w:sz w:val="20"/>
                <w:szCs w:val="20"/>
              </w:rPr>
            </w:pPr>
            <w:r>
              <w:rPr>
                <w:rFonts w:ascii="Segoe UI Symbol" w:hAnsi="Segoe UI Symbol"/>
                <w:spacing w:val="-10"/>
                <w:sz w:val="20"/>
              </w:rPr>
              <w:t>✔</w:t>
            </w:r>
          </w:p>
        </w:tc>
      </w:tr>
    </w:tbl>
    <w:p w14:paraId="64B8D552" w14:textId="77777777" w:rsidR="003E4C6C" w:rsidRDefault="003E4C6C" w:rsidP="00760C2B">
      <w:pPr>
        <w:pStyle w:val="Heading5"/>
        <w:spacing w:after="240"/>
        <w:ind w:left="142"/>
        <w:rPr>
          <w:spacing w:val="-2"/>
        </w:rPr>
      </w:pPr>
    </w:p>
    <w:p w14:paraId="295F2689" w14:textId="77777777" w:rsidR="003E4C6C" w:rsidRDefault="003E4C6C">
      <w:pPr>
        <w:rPr>
          <w:b/>
          <w:bCs/>
          <w:spacing w:val="-2"/>
          <w:sz w:val="24"/>
          <w:szCs w:val="24"/>
        </w:rPr>
      </w:pPr>
      <w:r>
        <w:rPr>
          <w:spacing w:val="-2"/>
        </w:rPr>
        <w:br w:type="page"/>
      </w:r>
    </w:p>
    <w:p w14:paraId="7A76BE81" w14:textId="77777777" w:rsidR="003E4C6C" w:rsidRDefault="003E4C6C" w:rsidP="00760C2B">
      <w:pPr>
        <w:pStyle w:val="Heading5"/>
        <w:spacing w:after="240"/>
        <w:ind w:left="142"/>
        <w:rPr>
          <w:spacing w:val="-2"/>
        </w:rPr>
      </w:pPr>
      <w:r w:rsidRPr="003E4C6C">
        <w:rPr>
          <w:spacing w:val="-2"/>
        </w:rPr>
        <w:t>Future Focus - Key question 4: What opportunities are there for Australia to effectively and efficiently contribute to the Vanuatu policing and justice sector going forward?</w:t>
      </w:r>
    </w:p>
    <w:tbl>
      <w:tblPr>
        <w:tblW w:w="5000" w:type="pct"/>
        <w:tblCellMar>
          <w:left w:w="0" w:type="dxa"/>
          <w:right w:w="0" w:type="dxa"/>
        </w:tblCellMar>
        <w:tblLook w:val="01E0" w:firstRow="1" w:lastRow="1" w:firstColumn="1" w:lastColumn="1" w:noHBand="0" w:noVBand="0"/>
      </w:tblPr>
      <w:tblGrid>
        <w:gridCol w:w="3220"/>
        <w:gridCol w:w="5134"/>
        <w:gridCol w:w="3624"/>
        <w:gridCol w:w="2373"/>
        <w:gridCol w:w="1010"/>
        <w:gridCol w:w="1180"/>
        <w:gridCol w:w="1005"/>
        <w:gridCol w:w="1564"/>
        <w:gridCol w:w="1559"/>
        <w:gridCol w:w="1671"/>
      </w:tblGrid>
      <w:tr w:rsidR="00C624EF" w14:paraId="5032E8A7" w14:textId="77777777" w:rsidTr="00D30DB6">
        <w:trPr>
          <w:trHeight w:val="604"/>
        </w:trPr>
        <w:tc>
          <w:tcPr>
            <w:tcW w:w="721" w:type="pct"/>
            <w:tcBorders>
              <w:top w:val="single" w:sz="4" w:space="0" w:color="0064BB"/>
            </w:tcBorders>
            <w:shd w:val="clear" w:color="auto" w:fill="0064BB"/>
          </w:tcPr>
          <w:p w14:paraId="06B07090" w14:textId="77777777" w:rsidR="00C624EF" w:rsidRDefault="00C624EF" w:rsidP="00D30DB6">
            <w:pPr>
              <w:pStyle w:val="TableParagraph"/>
              <w:ind w:right="138"/>
              <w:rPr>
                <w:b/>
                <w:sz w:val="20"/>
              </w:rPr>
            </w:pPr>
            <w:r>
              <w:rPr>
                <w:b/>
                <w:color w:val="FFFFFF"/>
                <w:sz w:val="20"/>
              </w:rPr>
              <w:t>Review</w:t>
            </w:r>
            <w:r>
              <w:rPr>
                <w:b/>
                <w:color w:val="FFFFFF"/>
                <w:spacing w:val="-13"/>
                <w:sz w:val="20"/>
              </w:rPr>
              <w:t xml:space="preserve"> </w:t>
            </w:r>
            <w:r>
              <w:rPr>
                <w:b/>
                <w:color w:val="FFFFFF"/>
                <w:sz w:val="20"/>
              </w:rPr>
              <w:t>Questions</w:t>
            </w:r>
            <w:r>
              <w:rPr>
                <w:b/>
                <w:color w:val="FFFFFF"/>
                <w:spacing w:val="-14"/>
                <w:sz w:val="20"/>
              </w:rPr>
              <w:t xml:space="preserve"> </w:t>
            </w:r>
            <w:r>
              <w:rPr>
                <w:b/>
                <w:color w:val="FFFFFF"/>
                <w:sz w:val="20"/>
              </w:rPr>
              <w:t>and</w:t>
            </w:r>
            <w:r>
              <w:rPr>
                <w:b/>
                <w:color w:val="FFFFFF"/>
                <w:spacing w:val="-11"/>
                <w:sz w:val="20"/>
              </w:rPr>
              <w:t xml:space="preserve"> </w:t>
            </w:r>
            <w:r>
              <w:rPr>
                <w:b/>
                <w:color w:val="FFFFFF"/>
                <w:sz w:val="20"/>
              </w:rPr>
              <w:t xml:space="preserve">Sub- </w:t>
            </w:r>
            <w:r>
              <w:rPr>
                <w:b/>
                <w:color w:val="FFFFFF"/>
                <w:spacing w:val="-2"/>
                <w:sz w:val="20"/>
              </w:rPr>
              <w:t>Questions</w:t>
            </w:r>
          </w:p>
        </w:tc>
        <w:tc>
          <w:tcPr>
            <w:tcW w:w="1149" w:type="pct"/>
            <w:tcBorders>
              <w:top w:val="single" w:sz="4" w:space="0" w:color="0064BB"/>
            </w:tcBorders>
            <w:shd w:val="clear" w:color="auto" w:fill="0064BB"/>
          </w:tcPr>
          <w:p w14:paraId="39DAE907" w14:textId="77777777" w:rsidR="00C624EF" w:rsidRDefault="00C624EF" w:rsidP="00D30DB6">
            <w:pPr>
              <w:pStyle w:val="TableParagraph"/>
              <w:ind w:left="108"/>
              <w:rPr>
                <w:b/>
                <w:sz w:val="20"/>
              </w:rPr>
            </w:pPr>
            <w:r>
              <w:rPr>
                <w:b/>
                <w:color w:val="FFFFFF"/>
                <w:sz w:val="20"/>
              </w:rPr>
              <w:t>Review</w:t>
            </w:r>
            <w:r>
              <w:rPr>
                <w:b/>
                <w:color w:val="FFFFFF"/>
                <w:spacing w:val="-8"/>
                <w:sz w:val="20"/>
              </w:rPr>
              <w:t xml:space="preserve"> </w:t>
            </w:r>
            <w:r>
              <w:rPr>
                <w:b/>
                <w:color w:val="FFFFFF"/>
                <w:sz w:val="20"/>
              </w:rPr>
              <w:t>Focus</w:t>
            </w:r>
            <w:r>
              <w:rPr>
                <w:b/>
                <w:color w:val="FFFFFF"/>
                <w:spacing w:val="-8"/>
                <w:sz w:val="20"/>
              </w:rPr>
              <w:t xml:space="preserve"> </w:t>
            </w:r>
            <w:r>
              <w:rPr>
                <w:b/>
                <w:color w:val="FFFFFF"/>
                <w:spacing w:val="-4"/>
                <w:sz w:val="20"/>
              </w:rPr>
              <w:t>areas</w:t>
            </w:r>
          </w:p>
        </w:tc>
        <w:tc>
          <w:tcPr>
            <w:tcW w:w="811" w:type="pct"/>
            <w:tcBorders>
              <w:top w:val="single" w:sz="4" w:space="0" w:color="0064BB"/>
            </w:tcBorders>
            <w:shd w:val="clear" w:color="auto" w:fill="0064BB"/>
          </w:tcPr>
          <w:p w14:paraId="1E2A8B89" w14:textId="77777777" w:rsidR="00C624EF" w:rsidRDefault="00C624EF" w:rsidP="00D30DB6">
            <w:pPr>
              <w:pStyle w:val="TableParagraph"/>
              <w:ind w:left="112" w:right="472"/>
              <w:rPr>
                <w:b/>
                <w:sz w:val="20"/>
              </w:rPr>
            </w:pPr>
            <w:r>
              <w:rPr>
                <w:b/>
                <w:color w:val="FFFFFF"/>
                <w:sz w:val="20"/>
              </w:rPr>
              <w:t>Assessment</w:t>
            </w:r>
            <w:r>
              <w:rPr>
                <w:b/>
                <w:color w:val="FFFFFF"/>
                <w:spacing w:val="-11"/>
                <w:sz w:val="20"/>
              </w:rPr>
              <w:t xml:space="preserve"> </w:t>
            </w:r>
            <w:r>
              <w:rPr>
                <w:b/>
                <w:color w:val="FFFFFF"/>
                <w:sz w:val="20"/>
              </w:rPr>
              <w:t>criteria/</w:t>
            </w:r>
            <w:r>
              <w:rPr>
                <w:b/>
                <w:color w:val="FFFFFF"/>
                <w:spacing w:val="-14"/>
                <w:sz w:val="20"/>
              </w:rPr>
              <w:t xml:space="preserve"> </w:t>
            </w:r>
            <w:r>
              <w:rPr>
                <w:b/>
                <w:color w:val="FFFFFF"/>
                <w:sz w:val="20"/>
              </w:rPr>
              <w:t>factors</w:t>
            </w:r>
            <w:r>
              <w:rPr>
                <w:b/>
                <w:color w:val="FFFFFF"/>
                <w:spacing w:val="-14"/>
                <w:sz w:val="20"/>
              </w:rPr>
              <w:t xml:space="preserve"> </w:t>
            </w:r>
            <w:r>
              <w:rPr>
                <w:b/>
                <w:color w:val="FFFFFF"/>
                <w:sz w:val="20"/>
              </w:rPr>
              <w:t xml:space="preserve">for </w:t>
            </w:r>
            <w:r>
              <w:rPr>
                <w:b/>
                <w:color w:val="FFFFFF"/>
                <w:spacing w:val="-2"/>
                <w:sz w:val="20"/>
              </w:rPr>
              <w:t>consideration</w:t>
            </w:r>
          </w:p>
        </w:tc>
        <w:tc>
          <w:tcPr>
            <w:tcW w:w="531" w:type="pct"/>
            <w:tcBorders>
              <w:top w:val="single" w:sz="4" w:space="0" w:color="0064BB"/>
            </w:tcBorders>
            <w:shd w:val="clear" w:color="auto" w:fill="0064BB"/>
          </w:tcPr>
          <w:p w14:paraId="6137C003" w14:textId="77777777" w:rsidR="00C624EF" w:rsidRDefault="00C624EF" w:rsidP="00D30DB6">
            <w:pPr>
              <w:pStyle w:val="TableParagraph"/>
              <w:ind w:left="129"/>
              <w:rPr>
                <w:b/>
                <w:sz w:val="20"/>
              </w:rPr>
            </w:pPr>
            <w:r>
              <w:rPr>
                <w:b/>
                <w:color w:val="FFFFFF"/>
                <w:sz w:val="20"/>
              </w:rPr>
              <w:t>Desktop</w:t>
            </w:r>
            <w:r>
              <w:rPr>
                <w:b/>
                <w:color w:val="FFFFFF"/>
                <w:spacing w:val="-11"/>
                <w:sz w:val="20"/>
              </w:rPr>
              <w:t xml:space="preserve"> </w:t>
            </w:r>
            <w:r>
              <w:rPr>
                <w:b/>
                <w:color w:val="FFFFFF"/>
                <w:spacing w:val="-2"/>
                <w:sz w:val="20"/>
              </w:rPr>
              <w:t>review</w:t>
            </w:r>
          </w:p>
        </w:tc>
        <w:tc>
          <w:tcPr>
            <w:tcW w:w="1788" w:type="pct"/>
            <w:gridSpan w:val="6"/>
            <w:tcBorders>
              <w:top w:val="single" w:sz="4" w:space="0" w:color="0064BB"/>
            </w:tcBorders>
            <w:shd w:val="clear" w:color="auto" w:fill="0064BB"/>
          </w:tcPr>
          <w:p w14:paraId="32CE2A9A" w14:textId="77777777" w:rsidR="00C624EF" w:rsidRDefault="00C624EF" w:rsidP="00D30DB6">
            <w:pPr>
              <w:pStyle w:val="TableParagraph"/>
              <w:ind w:left="0" w:right="7"/>
              <w:jc w:val="center"/>
              <w:rPr>
                <w:b/>
                <w:color w:val="FFFFFF"/>
                <w:spacing w:val="-2"/>
                <w:sz w:val="20"/>
              </w:rPr>
            </w:pPr>
            <w:r>
              <w:rPr>
                <w:b/>
                <w:color w:val="FFFFFF"/>
                <w:sz w:val="20"/>
              </w:rPr>
              <w:t>Primary</w:t>
            </w:r>
            <w:r>
              <w:rPr>
                <w:b/>
                <w:color w:val="FFFFFF"/>
                <w:spacing w:val="-7"/>
                <w:sz w:val="20"/>
              </w:rPr>
              <w:t xml:space="preserve"> </w:t>
            </w:r>
            <w:r>
              <w:rPr>
                <w:b/>
                <w:color w:val="FFFFFF"/>
                <w:sz w:val="20"/>
              </w:rPr>
              <w:t>data</w:t>
            </w:r>
            <w:r>
              <w:rPr>
                <w:b/>
                <w:color w:val="FFFFFF"/>
                <w:spacing w:val="-9"/>
                <w:sz w:val="20"/>
              </w:rPr>
              <w:t xml:space="preserve"> </w:t>
            </w:r>
            <w:r>
              <w:rPr>
                <w:b/>
                <w:color w:val="FFFFFF"/>
                <w:spacing w:val="-2"/>
                <w:sz w:val="20"/>
              </w:rPr>
              <w:t>collection</w:t>
            </w:r>
          </w:p>
          <w:p w14:paraId="2A4524EC" w14:textId="77777777" w:rsidR="00C624EF" w:rsidRDefault="00C624EF" w:rsidP="00D30DB6">
            <w:pPr>
              <w:pStyle w:val="TableParagraph"/>
              <w:ind w:left="0" w:right="7"/>
              <w:jc w:val="center"/>
              <w:rPr>
                <w:b/>
                <w:color w:val="FFFFFF"/>
                <w:spacing w:val="-2"/>
                <w:sz w:val="20"/>
              </w:rPr>
            </w:pPr>
          </w:p>
          <w:p w14:paraId="39A63672" w14:textId="77777777" w:rsidR="00C624EF" w:rsidRPr="007F6299" w:rsidRDefault="00C624EF" w:rsidP="00D30DB6">
            <w:pPr>
              <w:pStyle w:val="TableParagraph"/>
              <w:spacing w:before="0" w:line="225" w:lineRule="exact"/>
              <w:rPr>
                <w:color w:val="FFFFFF" w:themeColor="background1"/>
                <w:sz w:val="20"/>
              </w:rPr>
            </w:pPr>
            <w:r w:rsidRPr="007F6299">
              <w:rPr>
                <w:color w:val="FFFFFF" w:themeColor="background1"/>
                <w:spacing w:val="-4"/>
                <w:sz w:val="20"/>
              </w:rPr>
              <w:t xml:space="preserve">DFAT/            MJCS              </w:t>
            </w:r>
            <w:r w:rsidRPr="007F6299">
              <w:rPr>
                <w:color w:val="FFFFFF" w:themeColor="background1"/>
                <w:spacing w:val="-5"/>
                <w:sz w:val="20"/>
              </w:rPr>
              <w:t>VPF</w:t>
            </w:r>
            <w:r w:rsidRPr="007F6299">
              <w:rPr>
                <w:color w:val="FFFFFF" w:themeColor="background1"/>
                <w:spacing w:val="-4"/>
                <w:sz w:val="20"/>
              </w:rPr>
              <w:t xml:space="preserve">             </w:t>
            </w:r>
            <w:r w:rsidRPr="007F6299">
              <w:rPr>
                <w:color w:val="FFFFFF" w:themeColor="background1"/>
                <w:sz w:val="20"/>
              </w:rPr>
              <w:t xml:space="preserve">CSO –            </w:t>
            </w:r>
            <w:r w:rsidRPr="007F6299">
              <w:rPr>
                <w:color w:val="FFFFFF" w:themeColor="background1"/>
                <w:spacing w:val="-2"/>
                <w:sz w:val="20"/>
              </w:rPr>
              <w:t>Community              VAPJP</w:t>
            </w:r>
          </w:p>
          <w:p w14:paraId="38837C8B" w14:textId="77777777" w:rsidR="00C624EF" w:rsidRPr="007F6299" w:rsidRDefault="00C624EF" w:rsidP="00D30DB6">
            <w:pPr>
              <w:pStyle w:val="TableParagraph"/>
              <w:ind w:left="0" w:right="7"/>
              <w:rPr>
                <w:color w:val="FFFFFF" w:themeColor="background1"/>
                <w:spacing w:val="-4"/>
                <w:sz w:val="20"/>
              </w:rPr>
            </w:pPr>
            <w:r w:rsidRPr="007F6299">
              <w:rPr>
                <w:color w:val="FFFFFF" w:themeColor="background1"/>
                <w:spacing w:val="-4"/>
                <w:sz w:val="20"/>
              </w:rPr>
              <w:t xml:space="preserve">  AFP                                                            VWC,                                                 Team</w:t>
            </w:r>
          </w:p>
          <w:p w14:paraId="274DC520" w14:textId="77777777" w:rsidR="00C624EF" w:rsidRPr="007F6299" w:rsidRDefault="00C624EF" w:rsidP="00D30DB6">
            <w:pPr>
              <w:pStyle w:val="TableParagraph"/>
              <w:ind w:left="0" w:right="7"/>
              <w:rPr>
                <w:color w:val="FFFFFF" w:themeColor="background1"/>
                <w:spacing w:val="-14"/>
                <w:sz w:val="20"/>
              </w:rPr>
            </w:pPr>
            <w:r w:rsidRPr="007F6299">
              <w:rPr>
                <w:color w:val="FFFFFF" w:themeColor="background1"/>
                <w:spacing w:val="-4"/>
                <w:sz w:val="20"/>
              </w:rPr>
              <w:t xml:space="preserve">                                                                     </w:t>
            </w:r>
            <w:r w:rsidRPr="007F6299">
              <w:rPr>
                <w:color w:val="FFFFFF" w:themeColor="background1"/>
                <w:sz w:val="20"/>
              </w:rPr>
              <w:t>VSPD,</w:t>
            </w:r>
            <w:r w:rsidRPr="007F6299">
              <w:rPr>
                <w:color w:val="FFFFFF" w:themeColor="background1"/>
                <w:spacing w:val="-14"/>
                <w:sz w:val="20"/>
              </w:rPr>
              <w:t xml:space="preserve"> </w:t>
            </w:r>
          </w:p>
          <w:p w14:paraId="6D90344A" w14:textId="77777777" w:rsidR="00C624EF" w:rsidRPr="006E1191" w:rsidRDefault="00C624EF" w:rsidP="00D30DB6">
            <w:pPr>
              <w:pStyle w:val="TableParagraph"/>
              <w:ind w:left="0" w:right="7"/>
              <w:rPr>
                <w:spacing w:val="-4"/>
                <w:sz w:val="20"/>
              </w:rPr>
            </w:pPr>
            <w:r w:rsidRPr="007F6299">
              <w:rPr>
                <w:color w:val="FFFFFF" w:themeColor="background1"/>
                <w:spacing w:val="-14"/>
                <w:sz w:val="20"/>
              </w:rPr>
              <w:t xml:space="preserve">                                                                                      </w:t>
            </w:r>
            <w:r w:rsidRPr="007F6299">
              <w:rPr>
                <w:color w:val="FFFFFF" w:themeColor="background1"/>
                <w:sz w:val="20"/>
              </w:rPr>
              <w:t>WVC</w:t>
            </w:r>
          </w:p>
        </w:tc>
      </w:tr>
      <w:tr w:rsidR="00C624EF" w14:paraId="4DFF61F5" w14:textId="77777777" w:rsidTr="00D30DB6">
        <w:trPr>
          <w:trHeight w:val="3381"/>
        </w:trPr>
        <w:tc>
          <w:tcPr>
            <w:tcW w:w="721" w:type="pct"/>
            <w:tcBorders>
              <w:top w:val="single" w:sz="4" w:space="0" w:color="0064BB"/>
              <w:bottom w:val="single" w:sz="4" w:space="0" w:color="0064BB"/>
            </w:tcBorders>
            <w:shd w:val="clear" w:color="auto" w:fill="F1F1F1"/>
          </w:tcPr>
          <w:p w14:paraId="4C142C8D" w14:textId="38D553B9" w:rsidR="00C624EF" w:rsidRPr="0042722D" w:rsidRDefault="00863A97" w:rsidP="00D30DB6">
            <w:pPr>
              <w:pStyle w:val="TableParagraph"/>
              <w:ind w:left="468" w:right="351" w:hanging="360"/>
              <w:rPr>
                <w:b/>
                <w:sz w:val="20"/>
                <w:szCs w:val="20"/>
              </w:rPr>
            </w:pPr>
            <w:r w:rsidRPr="00863A97">
              <w:rPr>
                <w:b/>
                <w:sz w:val="20"/>
                <w:szCs w:val="20"/>
              </w:rPr>
              <w:t>4.1 For the remaining period of VAPJP (to end 2024), what further adaptation is required for the program to remain relevant to security and justice challenges in Vanuatu?</w:t>
            </w:r>
          </w:p>
        </w:tc>
        <w:tc>
          <w:tcPr>
            <w:tcW w:w="1149" w:type="pct"/>
            <w:tcBorders>
              <w:top w:val="single" w:sz="4" w:space="0" w:color="0064BB"/>
              <w:bottom w:val="single" w:sz="4" w:space="0" w:color="0064BB"/>
            </w:tcBorders>
          </w:tcPr>
          <w:p w14:paraId="451ED4C9" w14:textId="77777777" w:rsidR="00283AF1" w:rsidRPr="00FA38A6" w:rsidRDefault="00283AF1" w:rsidP="00FA38A6">
            <w:pPr>
              <w:pStyle w:val="TableParagraph"/>
              <w:spacing w:before="80" w:after="120"/>
              <w:ind w:left="108"/>
              <w:rPr>
                <w:sz w:val="20"/>
                <w:szCs w:val="20"/>
              </w:rPr>
            </w:pPr>
            <w:r w:rsidRPr="00FA38A6">
              <w:rPr>
                <w:sz w:val="20"/>
                <w:szCs w:val="20"/>
              </w:rPr>
              <w:t>Do the EOPOs and IOs remain relevant?</w:t>
            </w:r>
          </w:p>
          <w:p w14:paraId="4AD5FA03" w14:textId="77777777" w:rsidR="00283AF1" w:rsidRPr="00FA38A6" w:rsidRDefault="00283AF1" w:rsidP="00FA38A6">
            <w:pPr>
              <w:pStyle w:val="TableParagraph"/>
              <w:spacing w:before="80" w:after="120"/>
              <w:ind w:left="108"/>
              <w:rPr>
                <w:sz w:val="20"/>
                <w:szCs w:val="20"/>
              </w:rPr>
            </w:pPr>
            <w:r w:rsidRPr="00FA38A6">
              <w:rPr>
                <w:sz w:val="20"/>
                <w:szCs w:val="20"/>
              </w:rPr>
              <w:t>Are there opportunities to redirect program focus into new, emerging priorities?</w:t>
            </w:r>
          </w:p>
          <w:p w14:paraId="7968AB09" w14:textId="0DE51A83" w:rsidR="00C624EF" w:rsidRPr="0042722D" w:rsidRDefault="00283AF1" w:rsidP="00283AF1">
            <w:pPr>
              <w:pStyle w:val="TableParagraph"/>
              <w:numPr>
                <w:ilvl w:val="0"/>
                <w:numId w:val="24"/>
              </w:numPr>
              <w:tabs>
                <w:tab w:val="left" w:pos="468"/>
              </w:tabs>
              <w:spacing w:before="64" w:line="235" w:lineRule="auto"/>
              <w:ind w:right="506"/>
              <w:rPr>
                <w:sz w:val="20"/>
                <w:szCs w:val="20"/>
              </w:rPr>
            </w:pPr>
            <w:r w:rsidRPr="00283AF1">
              <w:rPr>
                <w:sz w:val="20"/>
                <w:szCs w:val="20"/>
              </w:rPr>
              <w:t>Is there a need for consolidation or scaling back in some areas and/or deeper engagement in others to better influence change?</w:t>
            </w:r>
          </w:p>
        </w:tc>
        <w:tc>
          <w:tcPr>
            <w:tcW w:w="811" w:type="pct"/>
            <w:tcBorders>
              <w:top w:val="single" w:sz="4" w:space="0" w:color="0064BB"/>
              <w:bottom w:val="single" w:sz="4" w:space="0" w:color="0064BB"/>
            </w:tcBorders>
          </w:tcPr>
          <w:p w14:paraId="18BA0A21" w14:textId="77777777" w:rsidR="00AC47BB" w:rsidRPr="00AC47BB" w:rsidRDefault="00AC47BB" w:rsidP="00AC47BB">
            <w:pPr>
              <w:pStyle w:val="TableParagraph"/>
              <w:numPr>
                <w:ilvl w:val="0"/>
                <w:numId w:val="24"/>
              </w:numPr>
              <w:tabs>
                <w:tab w:val="left" w:pos="500"/>
              </w:tabs>
              <w:spacing w:before="64" w:line="235" w:lineRule="auto"/>
              <w:ind w:right="347"/>
              <w:rPr>
                <w:sz w:val="20"/>
                <w:szCs w:val="20"/>
              </w:rPr>
            </w:pPr>
            <w:r w:rsidRPr="00AC47BB">
              <w:rPr>
                <w:sz w:val="20"/>
                <w:szCs w:val="20"/>
              </w:rPr>
              <w:t>Other donor perceptions of VAPJP</w:t>
            </w:r>
          </w:p>
          <w:p w14:paraId="34235BFF" w14:textId="77777777" w:rsidR="00AC47BB" w:rsidRPr="00AC47BB" w:rsidRDefault="00AC47BB" w:rsidP="00AC47BB">
            <w:pPr>
              <w:pStyle w:val="TableParagraph"/>
              <w:numPr>
                <w:ilvl w:val="0"/>
                <w:numId w:val="24"/>
              </w:numPr>
              <w:tabs>
                <w:tab w:val="left" w:pos="500"/>
              </w:tabs>
              <w:spacing w:before="64" w:line="235" w:lineRule="auto"/>
              <w:ind w:right="347"/>
              <w:rPr>
                <w:sz w:val="20"/>
                <w:szCs w:val="20"/>
              </w:rPr>
            </w:pPr>
            <w:r w:rsidRPr="00AC47BB">
              <w:rPr>
                <w:sz w:val="20"/>
                <w:szCs w:val="20"/>
              </w:rPr>
              <w:t>Evidence of partnerships with other development assistance programs in Vanuatu</w:t>
            </w:r>
          </w:p>
          <w:p w14:paraId="69B8CA0B" w14:textId="4B8D1CD6" w:rsidR="00C624EF" w:rsidRPr="0042722D" w:rsidRDefault="00AC47BB" w:rsidP="00AC47BB">
            <w:pPr>
              <w:pStyle w:val="TableParagraph"/>
              <w:numPr>
                <w:ilvl w:val="0"/>
                <w:numId w:val="24"/>
              </w:numPr>
              <w:tabs>
                <w:tab w:val="left" w:pos="472"/>
              </w:tabs>
              <w:spacing w:before="64" w:line="235" w:lineRule="auto"/>
              <w:ind w:right="347"/>
              <w:rPr>
                <w:sz w:val="20"/>
                <w:szCs w:val="20"/>
              </w:rPr>
            </w:pPr>
            <w:r w:rsidRPr="00AC47BB">
              <w:rPr>
                <w:sz w:val="20"/>
                <w:szCs w:val="20"/>
              </w:rPr>
              <w:t>Evidence of partnerships with Australian Whole of Government</w:t>
            </w:r>
          </w:p>
        </w:tc>
        <w:tc>
          <w:tcPr>
            <w:tcW w:w="531" w:type="pct"/>
            <w:tcBorders>
              <w:top w:val="single" w:sz="4" w:space="0" w:color="0064BB"/>
              <w:bottom w:val="single" w:sz="4" w:space="0" w:color="0064BB"/>
            </w:tcBorders>
          </w:tcPr>
          <w:p w14:paraId="1DA33398" w14:textId="77777777" w:rsidR="00994C49" w:rsidRPr="00033091" w:rsidRDefault="00994C49" w:rsidP="00033091">
            <w:pPr>
              <w:pStyle w:val="TableParagraph"/>
              <w:ind w:left="145" w:right="755"/>
              <w:rPr>
                <w:sz w:val="20"/>
              </w:rPr>
            </w:pPr>
            <w:r w:rsidRPr="00033091">
              <w:rPr>
                <w:sz w:val="20"/>
              </w:rPr>
              <w:t>VAPJP Program Documents</w:t>
            </w:r>
          </w:p>
          <w:p w14:paraId="18FEFF39" w14:textId="77777777" w:rsidR="00994C49" w:rsidRPr="00033091" w:rsidRDefault="00994C49" w:rsidP="00033091">
            <w:pPr>
              <w:pStyle w:val="TableParagraph"/>
              <w:ind w:left="145" w:right="755"/>
              <w:rPr>
                <w:sz w:val="20"/>
              </w:rPr>
            </w:pPr>
            <w:r w:rsidRPr="00033091">
              <w:rPr>
                <w:sz w:val="20"/>
              </w:rPr>
              <w:t>Australia’s International Development Policy</w:t>
            </w:r>
          </w:p>
          <w:p w14:paraId="0991FF9B" w14:textId="77777777" w:rsidR="00994C49" w:rsidRPr="00033091" w:rsidRDefault="00994C49" w:rsidP="00033091">
            <w:pPr>
              <w:pStyle w:val="TableParagraph"/>
              <w:ind w:left="145" w:right="755"/>
              <w:rPr>
                <w:sz w:val="20"/>
              </w:rPr>
            </w:pPr>
            <w:r w:rsidRPr="00033091">
              <w:rPr>
                <w:sz w:val="20"/>
              </w:rPr>
              <w:t>Australia Vanuatu bilateral security agreement</w:t>
            </w:r>
          </w:p>
          <w:p w14:paraId="4107A53D" w14:textId="77777777" w:rsidR="00994C49" w:rsidRPr="00033091" w:rsidRDefault="00994C49" w:rsidP="00033091">
            <w:pPr>
              <w:pStyle w:val="TableParagraph"/>
              <w:ind w:left="145" w:right="755"/>
              <w:rPr>
                <w:sz w:val="20"/>
              </w:rPr>
            </w:pPr>
            <w:r w:rsidRPr="00033091">
              <w:rPr>
                <w:sz w:val="20"/>
              </w:rPr>
              <w:t>Relevant academic and grey literature</w:t>
            </w:r>
          </w:p>
          <w:p w14:paraId="5E1E3531" w14:textId="5D5AFD62" w:rsidR="00C624EF" w:rsidRPr="0042722D" w:rsidRDefault="00994C49" w:rsidP="00033091">
            <w:pPr>
              <w:pStyle w:val="TableParagraph"/>
              <w:ind w:left="145" w:right="755"/>
              <w:rPr>
                <w:sz w:val="20"/>
                <w:szCs w:val="20"/>
              </w:rPr>
            </w:pPr>
            <w:r w:rsidRPr="00033091">
              <w:rPr>
                <w:sz w:val="20"/>
              </w:rPr>
              <w:t>PEA</w:t>
            </w:r>
          </w:p>
        </w:tc>
        <w:tc>
          <w:tcPr>
            <w:tcW w:w="226" w:type="pct"/>
            <w:tcBorders>
              <w:top w:val="single" w:sz="4" w:space="0" w:color="0064BB"/>
              <w:bottom w:val="single" w:sz="4" w:space="0" w:color="0064BB"/>
            </w:tcBorders>
          </w:tcPr>
          <w:p w14:paraId="47EB85E5" w14:textId="77777777" w:rsidR="00C624EF" w:rsidRPr="00AD1316" w:rsidRDefault="00C624EF" w:rsidP="00D30DB6">
            <w:pPr>
              <w:pStyle w:val="TableParagraph"/>
              <w:spacing w:before="81"/>
              <w:ind w:left="321"/>
              <w:rPr>
                <w:sz w:val="20"/>
                <w:szCs w:val="20"/>
              </w:rPr>
            </w:pPr>
            <w:r w:rsidRPr="00AD1316">
              <w:rPr>
                <w:rFonts w:ascii="Segoe UI Symbol" w:hAnsi="Segoe UI Symbol" w:cs="Segoe UI Symbol"/>
                <w:spacing w:val="-10"/>
                <w:sz w:val="20"/>
              </w:rPr>
              <w:t>✔</w:t>
            </w:r>
          </w:p>
        </w:tc>
        <w:tc>
          <w:tcPr>
            <w:tcW w:w="264" w:type="pct"/>
            <w:tcBorders>
              <w:top w:val="single" w:sz="4" w:space="0" w:color="0064BB"/>
              <w:bottom w:val="single" w:sz="4" w:space="0" w:color="0064BB"/>
            </w:tcBorders>
          </w:tcPr>
          <w:p w14:paraId="317C8E04" w14:textId="77777777" w:rsidR="00C624EF" w:rsidRPr="00AD1316" w:rsidRDefault="00C624EF" w:rsidP="00D30DB6">
            <w:pPr>
              <w:pStyle w:val="TableParagraph"/>
              <w:spacing w:before="81"/>
              <w:ind w:left="321"/>
              <w:rPr>
                <w:sz w:val="20"/>
                <w:szCs w:val="20"/>
              </w:rPr>
            </w:pPr>
            <w:r w:rsidRPr="00AD1316">
              <w:rPr>
                <w:rFonts w:ascii="Segoe UI Symbol" w:hAnsi="Segoe UI Symbol" w:cs="Segoe UI Symbol"/>
                <w:spacing w:val="-10"/>
                <w:sz w:val="20"/>
              </w:rPr>
              <w:t>✔</w:t>
            </w:r>
          </w:p>
        </w:tc>
        <w:tc>
          <w:tcPr>
            <w:tcW w:w="225" w:type="pct"/>
            <w:tcBorders>
              <w:top w:val="single" w:sz="4" w:space="0" w:color="0064BB"/>
              <w:bottom w:val="single" w:sz="4" w:space="0" w:color="0064BB"/>
            </w:tcBorders>
          </w:tcPr>
          <w:p w14:paraId="1260F18B" w14:textId="77777777" w:rsidR="00C624EF" w:rsidRPr="00AD1316" w:rsidRDefault="00C624EF" w:rsidP="00D30DB6">
            <w:pPr>
              <w:pStyle w:val="TableParagraph"/>
              <w:spacing w:before="81"/>
              <w:ind w:left="303"/>
              <w:rPr>
                <w:sz w:val="20"/>
                <w:szCs w:val="20"/>
              </w:rPr>
            </w:pPr>
            <w:r w:rsidRPr="00AD1316">
              <w:rPr>
                <w:rFonts w:ascii="Segoe UI Symbol" w:hAnsi="Segoe UI Symbol" w:cs="Segoe UI Symbol"/>
                <w:spacing w:val="-10"/>
                <w:sz w:val="20"/>
              </w:rPr>
              <w:t>✔</w:t>
            </w:r>
          </w:p>
        </w:tc>
        <w:tc>
          <w:tcPr>
            <w:tcW w:w="350" w:type="pct"/>
            <w:tcBorders>
              <w:top w:val="single" w:sz="4" w:space="0" w:color="0064BB"/>
              <w:bottom w:val="single" w:sz="4" w:space="0" w:color="0064BB"/>
            </w:tcBorders>
          </w:tcPr>
          <w:p w14:paraId="2C1F1CEA" w14:textId="77777777" w:rsidR="00C624EF" w:rsidRPr="00AD1316" w:rsidRDefault="00C624EF" w:rsidP="00D30DB6">
            <w:pPr>
              <w:pStyle w:val="TableParagraph"/>
              <w:spacing w:before="81"/>
              <w:ind w:left="308"/>
              <w:rPr>
                <w:sz w:val="20"/>
                <w:szCs w:val="20"/>
              </w:rPr>
            </w:pPr>
            <w:r w:rsidRPr="00AD1316">
              <w:rPr>
                <w:rFonts w:ascii="Segoe UI Symbol" w:hAnsi="Segoe UI Symbol" w:cs="Segoe UI Symbol"/>
                <w:spacing w:val="-10"/>
                <w:sz w:val="20"/>
              </w:rPr>
              <w:t>✔</w:t>
            </w:r>
          </w:p>
        </w:tc>
        <w:tc>
          <w:tcPr>
            <w:tcW w:w="349" w:type="pct"/>
            <w:tcBorders>
              <w:top w:val="single" w:sz="4" w:space="0" w:color="0064BB"/>
              <w:bottom w:val="single" w:sz="4" w:space="0" w:color="0064BB"/>
            </w:tcBorders>
          </w:tcPr>
          <w:p w14:paraId="40A5186C" w14:textId="77777777" w:rsidR="00C624EF" w:rsidRPr="00AD1316" w:rsidRDefault="00C624EF" w:rsidP="00D30DB6">
            <w:pPr>
              <w:pStyle w:val="TableParagraph"/>
              <w:spacing w:before="81"/>
              <w:ind w:left="118"/>
              <w:rPr>
                <w:sz w:val="20"/>
                <w:szCs w:val="20"/>
              </w:rPr>
            </w:pPr>
            <w:r w:rsidRPr="00AD1316">
              <w:rPr>
                <w:rFonts w:ascii="Segoe UI Symbol" w:hAnsi="Segoe UI Symbol" w:cs="Segoe UI Symbol"/>
                <w:spacing w:val="-10"/>
                <w:sz w:val="20"/>
              </w:rPr>
              <w:t>✔</w:t>
            </w:r>
          </w:p>
        </w:tc>
        <w:tc>
          <w:tcPr>
            <w:tcW w:w="374" w:type="pct"/>
            <w:tcBorders>
              <w:top w:val="single" w:sz="4" w:space="0" w:color="0064BB"/>
              <w:bottom w:val="single" w:sz="4" w:space="0" w:color="0064BB"/>
            </w:tcBorders>
          </w:tcPr>
          <w:p w14:paraId="18A6B1CA" w14:textId="77777777" w:rsidR="00C624EF" w:rsidRPr="00AD1316" w:rsidRDefault="00C624EF" w:rsidP="00D30DB6">
            <w:pPr>
              <w:pStyle w:val="TableParagraph"/>
              <w:spacing w:before="81"/>
              <w:ind w:left="417"/>
              <w:rPr>
                <w:sz w:val="20"/>
                <w:szCs w:val="20"/>
              </w:rPr>
            </w:pPr>
            <w:r w:rsidRPr="00AD1316">
              <w:rPr>
                <w:rFonts w:ascii="Segoe UI Symbol" w:hAnsi="Segoe UI Symbol" w:cs="Segoe UI Symbol"/>
                <w:spacing w:val="-10"/>
                <w:sz w:val="20"/>
              </w:rPr>
              <w:t>✔</w:t>
            </w:r>
          </w:p>
        </w:tc>
      </w:tr>
      <w:tr w:rsidR="00461950" w14:paraId="657FD8B1" w14:textId="77777777" w:rsidTr="00D30DB6">
        <w:trPr>
          <w:trHeight w:val="2956"/>
        </w:trPr>
        <w:tc>
          <w:tcPr>
            <w:tcW w:w="721" w:type="pct"/>
            <w:tcBorders>
              <w:top w:val="single" w:sz="4" w:space="0" w:color="0064BB"/>
              <w:bottom w:val="single" w:sz="4" w:space="0" w:color="0064BB"/>
            </w:tcBorders>
            <w:shd w:val="clear" w:color="auto" w:fill="F1F1F1"/>
          </w:tcPr>
          <w:p w14:paraId="62393887" w14:textId="77777777" w:rsidR="00461950" w:rsidRPr="00863A97" w:rsidRDefault="00461950" w:rsidP="00461950">
            <w:pPr>
              <w:pStyle w:val="TableParagraph"/>
              <w:ind w:left="468" w:right="351" w:hanging="360"/>
              <w:rPr>
                <w:b/>
                <w:sz w:val="20"/>
                <w:szCs w:val="20"/>
              </w:rPr>
            </w:pPr>
            <w:r w:rsidRPr="00863A97">
              <w:rPr>
                <w:b/>
                <w:sz w:val="20"/>
                <w:szCs w:val="20"/>
              </w:rPr>
              <w:t>4.2 What opportunities are there for Australia to contribute to a next phase of support (2024-2028) to the policing and justice sectors in Vanuatu and how should this be delivered?</w:t>
            </w:r>
          </w:p>
          <w:p w14:paraId="595DCA18" w14:textId="483A6B4F" w:rsidR="00461950" w:rsidRPr="00F5448A" w:rsidRDefault="00461950" w:rsidP="00461950">
            <w:pPr>
              <w:pStyle w:val="TableParagraph"/>
              <w:ind w:left="468" w:right="351" w:hanging="360"/>
              <w:rPr>
                <w:b/>
                <w:sz w:val="20"/>
                <w:szCs w:val="20"/>
              </w:rPr>
            </w:pPr>
            <w:r w:rsidRPr="00863A97">
              <w:rPr>
                <w:b/>
                <w:sz w:val="20"/>
                <w:szCs w:val="20"/>
              </w:rPr>
              <w:t>[**Note 4.2 will be an annex for internal DFAT/AFP use]</w:t>
            </w:r>
          </w:p>
        </w:tc>
        <w:tc>
          <w:tcPr>
            <w:tcW w:w="1149" w:type="pct"/>
            <w:tcBorders>
              <w:top w:val="single" w:sz="4" w:space="0" w:color="0064BB"/>
              <w:bottom w:val="single" w:sz="4" w:space="0" w:color="0064BB"/>
            </w:tcBorders>
          </w:tcPr>
          <w:p w14:paraId="4AF4D0D3" w14:textId="77777777" w:rsidR="00461950" w:rsidRPr="00B31D3C" w:rsidRDefault="00461950" w:rsidP="00461950">
            <w:pPr>
              <w:pStyle w:val="TableParagraph"/>
              <w:ind w:left="108" w:right="287" w:hanging="1"/>
              <w:rPr>
                <w:sz w:val="20"/>
              </w:rPr>
            </w:pPr>
            <w:r w:rsidRPr="00B31D3C">
              <w:rPr>
                <w:sz w:val="20"/>
              </w:rPr>
              <w:t>Considering achievements to date, Australia’s comparative advantage and future outlook, is there a need to review the current EOPOs and IOs for the next phase?</w:t>
            </w:r>
          </w:p>
          <w:p w14:paraId="2CFBFB01" w14:textId="77777777" w:rsidR="00461950" w:rsidRPr="00B31D3C" w:rsidRDefault="00461950" w:rsidP="00461950">
            <w:pPr>
              <w:pStyle w:val="TableParagraph"/>
              <w:ind w:left="108" w:right="287" w:hanging="1"/>
              <w:rPr>
                <w:sz w:val="20"/>
              </w:rPr>
            </w:pPr>
            <w:r w:rsidRPr="00B31D3C">
              <w:rPr>
                <w:sz w:val="20"/>
              </w:rPr>
              <w:t>What delivery modality is likely to be most effective and efficient?</w:t>
            </w:r>
          </w:p>
          <w:p w14:paraId="7E1EEF9A" w14:textId="59D932B9" w:rsidR="00461950" w:rsidRPr="00F5448A" w:rsidRDefault="00461950" w:rsidP="00EB4AC9">
            <w:pPr>
              <w:pStyle w:val="TableParagraph"/>
              <w:numPr>
                <w:ilvl w:val="0"/>
                <w:numId w:val="24"/>
              </w:numPr>
              <w:tabs>
                <w:tab w:val="left" w:pos="468"/>
              </w:tabs>
              <w:spacing w:before="64" w:line="235" w:lineRule="auto"/>
              <w:ind w:right="506"/>
              <w:rPr>
                <w:sz w:val="20"/>
                <w:szCs w:val="20"/>
              </w:rPr>
            </w:pPr>
            <w:r w:rsidRPr="00EB4AC9">
              <w:rPr>
                <w:sz w:val="20"/>
                <w:szCs w:val="20"/>
              </w:rPr>
              <w:t>What are the strengths and weaknesses of the ‘chain-of-justice’ approach, compared to standalone policing and justice programs?</w:t>
            </w:r>
          </w:p>
        </w:tc>
        <w:tc>
          <w:tcPr>
            <w:tcW w:w="811" w:type="pct"/>
            <w:tcBorders>
              <w:top w:val="single" w:sz="4" w:space="0" w:color="0064BB"/>
              <w:bottom w:val="single" w:sz="4" w:space="0" w:color="0064BB"/>
            </w:tcBorders>
          </w:tcPr>
          <w:p w14:paraId="4C8B7EAE" w14:textId="77777777" w:rsidR="00461950" w:rsidRDefault="00461950" w:rsidP="00461950">
            <w:pPr>
              <w:pStyle w:val="TableParagraph"/>
              <w:numPr>
                <w:ilvl w:val="0"/>
                <w:numId w:val="20"/>
              </w:numPr>
              <w:tabs>
                <w:tab w:val="left" w:pos="500"/>
              </w:tabs>
              <w:spacing w:before="58"/>
              <w:ind w:right="376"/>
              <w:rPr>
                <w:sz w:val="20"/>
              </w:rPr>
            </w:pPr>
            <w:r>
              <w:rPr>
                <w:sz w:val="20"/>
              </w:rPr>
              <w:t xml:space="preserve">Evidence of shared </w:t>
            </w:r>
            <w:r w:rsidRPr="00B31D3C">
              <w:rPr>
                <w:sz w:val="20"/>
              </w:rPr>
              <w:t>outcomes/attribution</w:t>
            </w:r>
          </w:p>
          <w:p w14:paraId="01F356C2" w14:textId="1E87C94E" w:rsidR="00461950" w:rsidRPr="00F5448A" w:rsidRDefault="00461950" w:rsidP="00461950">
            <w:pPr>
              <w:pStyle w:val="TableParagraph"/>
              <w:numPr>
                <w:ilvl w:val="0"/>
                <w:numId w:val="20"/>
              </w:numPr>
              <w:tabs>
                <w:tab w:val="left" w:pos="500"/>
              </w:tabs>
              <w:spacing w:before="58"/>
              <w:ind w:right="376"/>
              <w:rPr>
                <w:sz w:val="20"/>
                <w:szCs w:val="20"/>
              </w:rPr>
            </w:pPr>
            <w:r>
              <w:rPr>
                <w:sz w:val="20"/>
              </w:rPr>
              <w:t>Perceptions</w:t>
            </w:r>
            <w:r w:rsidRPr="00B31D3C">
              <w:rPr>
                <w:sz w:val="20"/>
              </w:rPr>
              <w:t xml:space="preserve"> </w:t>
            </w:r>
            <w:r>
              <w:rPr>
                <w:sz w:val="20"/>
              </w:rPr>
              <w:t>of</w:t>
            </w:r>
            <w:r w:rsidRPr="00B31D3C">
              <w:rPr>
                <w:sz w:val="20"/>
              </w:rPr>
              <w:t xml:space="preserve"> </w:t>
            </w:r>
            <w:r>
              <w:rPr>
                <w:sz w:val="20"/>
              </w:rPr>
              <w:t>emerging/possible future partnerships</w:t>
            </w:r>
          </w:p>
        </w:tc>
        <w:tc>
          <w:tcPr>
            <w:tcW w:w="531" w:type="pct"/>
            <w:tcBorders>
              <w:top w:val="single" w:sz="4" w:space="0" w:color="0064BB"/>
              <w:bottom w:val="single" w:sz="4" w:space="0" w:color="0064BB"/>
            </w:tcBorders>
          </w:tcPr>
          <w:p w14:paraId="01032A76" w14:textId="77777777" w:rsidR="00810CB7" w:rsidRPr="00033091" w:rsidRDefault="00810CB7" w:rsidP="00810CB7">
            <w:pPr>
              <w:pStyle w:val="TableParagraph"/>
              <w:ind w:left="145" w:right="755"/>
              <w:rPr>
                <w:sz w:val="20"/>
              </w:rPr>
            </w:pPr>
            <w:r w:rsidRPr="00033091">
              <w:rPr>
                <w:sz w:val="20"/>
              </w:rPr>
              <w:t>VAPJP Program Documents</w:t>
            </w:r>
          </w:p>
          <w:p w14:paraId="7180AE28" w14:textId="77777777" w:rsidR="00810CB7" w:rsidRPr="00033091" w:rsidRDefault="00810CB7" w:rsidP="00810CB7">
            <w:pPr>
              <w:pStyle w:val="TableParagraph"/>
              <w:ind w:left="145" w:right="755"/>
              <w:rPr>
                <w:sz w:val="20"/>
              </w:rPr>
            </w:pPr>
            <w:r w:rsidRPr="00033091">
              <w:rPr>
                <w:sz w:val="20"/>
              </w:rPr>
              <w:t>Australia’s International Development Policy</w:t>
            </w:r>
          </w:p>
          <w:p w14:paraId="70A624B3" w14:textId="77777777" w:rsidR="00810CB7" w:rsidRPr="00033091" w:rsidRDefault="00810CB7" w:rsidP="00810CB7">
            <w:pPr>
              <w:pStyle w:val="TableParagraph"/>
              <w:ind w:left="145" w:right="755"/>
              <w:rPr>
                <w:sz w:val="20"/>
              </w:rPr>
            </w:pPr>
            <w:r w:rsidRPr="00033091">
              <w:rPr>
                <w:sz w:val="20"/>
              </w:rPr>
              <w:t>Australia Vanuatu bilateral security agreement</w:t>
            </w:r>
          </w:p>
          <w:p w14:paraId="30DAC942" w14:textId="77777777" w:rsidR="00810CB7" w:rsidRPr="00033091" w:rsidRDefault="00810CB7" w:rsidP="00810CB7">
            <w:pPr>
              <w:pStyle w:val="TableParagraph"/>
              <w:ind w:left="145" w:right="755"/>
              <w:rPr>
                <w:sz w:val="20"/>
              </w:rPr>
            </w:pPr>
            <w:r w:rsidRPr="00033091">
              <w:rPr>
                <w:sz w:val="20"/>
              </w:rPr>
              <w:t>Relevant academic and grey literature</w:t>
            </w:r>
          </w:p>
          <w:p w14:paraId="27B281D3" w14:textId="5467C7E9" w:rsidR="00461950" w:rsidRPr="00F5448A" w:rsidRDefault="00810CB7" w:rsidP="00810CB7">
            <w:pPr>
              <w:pStyle w:val="TableParagraph"/>
              <w:ind w:left="145" w:right="755"/>
              <w:rPr>
                <w:sz w:val="20"/>
                <w:szCs w:val="20"/>
              </w:rPr>
            </w:pPr>
            <w:r w:rsidRPr="00033091">
              <w:rPr>
                <w:sz w:val="20"/>
              </w:rPr>
              <w:t>PEA</w:t>
            </w:r>
          </w:p>
        </w:tc>
        <w:tc>
          <w:tcPr>
            <w:tcW w:w="226" w:type="pct"/>
            <w:tcBorders>
              <w:top w:val="single" w:sz="4" w:space="0" w:color="0064BB"/>
              <w:bottom w:val="single" w:sz="4" w:space="0" w:color="0064BB"/>
            </w:tcBorders>
          </w:tcPr>
          <w:p w14:paraId="062B41A4" w14:textId="37619E26" w:rsidR="00461950" w:rsidRPr="00AD1316" w:rsidRDefault="00461950" w:rsidP="00461950">
            <w:pPr>
              <w:pStyle w:val="TableParagraph"/>
              <w:spacing w:before="81"/>
              <w:ind w:left="321"/>
              <w:rPr>
                <w:sz w:val="20"/>
                <w:szCs w:val="20"/>
              </w:rPr>
            </w:pPr>
            <w:r w:rsidRPr="00461950">
              <w:rPr>
                <w:rFonts w:ascii="Segoe UI Symbol" w:hAnsi="Segoe UI Symbol" w:cs="Segoe UI Symbol"/>
                <w:spacing w:val="-10"/>
                <w:sz w:val="20"/>
                <w:szCs w:val="20"/>
              </w:rPr>
              <w:t>✔</w:t>
            </w:r>
          </w:p>
        </w:tc>
        <w:tc>
          <w:tcPr>
            <w:tcW w:w="264" w:type="pct"/>
            <w:tcBorders>
              <w:top w:val="single" w:sz="4" w:space="0" w:color="0064BB"/>
              <w:bottom w:val="single" w:sz="4" w:space="0" w:color="0064BB"/>
            </w:tcBorders>
          </w:tcPr>
          <w:p w14:paraId="4481D6B7" w14:textId="1ED52F60" w:rsidR="00461950" w:rsidRPr="00AD1316" w:rsidRDefault="00461950" w:rsidP="00461950">
            <w:pPr>
              <w:pStyle w:val="TableParagraph"/>
              <w:spacing w:before="81"/>
              <w:ind w:left="321"/>
              <w:rPr>
                <w:sz w:val="20"/>
                <w:szCs w:val="20"/>
              </w:rPr>
            </w:pPr>
            <w:r w:rsidRPr="00461950">
              <w:rPr>
                <w:rFonts w:ascii="Segoe UI Symbol" w:hAnsi="Segoe UI Symbol" w:cs="Segoe UI Symbol"/>
                <w:spacing w:val="-10"/>
                <w:sz w:val="20"/>
                <w:szCs w:val="20"/>
              </w:rPr>
              <w:t>✔</w:t>
            </w:r>
          </w:p>
        </w:tc>
        <w:tc>
          <w:tcPr>
            <w:tcW w:w="225" w:type="pct"/>
            <w:tcBorders>
              <w:top w:val="single" w:sz="4" w:space="0" w:color="0064BB"/>
              <w:bottom w:val="single" w:sz="4" w:space="0" w:color="0064BB"/>
            </w:tcBorders>
          </w:tcPr>
          <w:p w14:paraId="441715C7" w14:textId="286EB823" w:rsidR="00461950" w:rsidRPr="00AD1316" w:rsidRDefault="00461950" w:rsidP="00461950">
            <w:pPr>
              <w:pStyle w:val="TableParagraph"/>
              <w:spacing w:before="81"/>
              <w:ind w:left="303"/>
              <w:rPr>
                <w:sz w:val="20"/>
                <w:szCs w:val="20"/>
              </w:rPr>
            </w:pPr>
            <w:r w:rsidRPr="00461950">
              <w:rPr>
                <w:rFonts w:ascii="Segoe UI Symbol" w:hAnsi="Segoe UI Symbol" w:cs="Segoe UI Symbol"/>
                <w:spacing w:val="-10"/>
                <w:sz w:val="20"/>
                <w:szCs w:val="20"/>
              </w:rPr>
              <w:t>✔</w:t>
            </w:r>
          </w:p>
        </w:tc>
        <w:tc>
          <w:tcPr>
            <w:tcW w:w="350" w:type="pct"/>
            <w:tcBorders>
              <w:top w:val="single" w:sz="4" w:space="0" w:color="0064BB"/>
              <w:bottom w:val="single" w:sz="4" w:space="0" w:color="0064BB"/>
            </w:tcBorders>
          </w:tcPr>
          <w:p w14:paraId="44AB5154" w14:textId="63D4D739" w:rsidR="00461950" w:rsidRPr="00AD1316" w:rsidRDefault="00461950" w:rsidP="00461950">
            <w:pPr>
              <w:pStyle w:val="TableParagraph"/>
              <w:spacing w:before="81"/>
              <w:ind w:left="308"/>
              <w:rPr>
                <w:sz w:val="20"/>
                <w:szCs w:val="20"/>
              </w:rPr>
            </w:pPr>
            <w:r w:rsidRPr="00461950">
              <w:rPr>
                <w:rFonts w:ascii="Segoe UI Symbol" w:hAnsi="Segoe UI Symbol" w:cs="Segoe UI Symbol"/>
                <w:spacing w:val="-10"/>
                <w:sz w:val="20"/>
                <w:szCs w:val="20"/>
              </w:rPr>
              <w:t>✔</w:t>
            </w:r>
          </w:p>
        </w:tc>
        <w:tc>
          <w:tcPr>
            <w:tcW w:w="349" w:type="pct"/>
            <w:tcBorders>
              <w:top w:val="single" w:sz="4" w:space="0" w:color="0064BB"/>
              <w:bottom w:val="single" w:sz="4" w:space="0" w:color="0064BB"/>
            </w:tcBorders>
          </w:tcPr>
          <w:p w14:paraId="7B5BDBC7" w14:textId="0FFB087A" w:rsidR="00461950" w:rsidRPr="00AD1316" w:rsidRDefault="00461950" w:rsidP="00461950">
            <w:pPr>
              <w:pStyle w:val="TableParagraph"/>
              <w:spacing w:before="81"/>
              <w:ind w:left="118"/>
              <w:rPr>
                <w:sz w:val="20"/>
                <w:szCs w:val="20"/>
              </w:rPr>
            </w:pPr>
            <w:r w:rsidRPr="00461950">
              <w:rPr>
                <w:sz w:val="20"/>
                <w:szCs w:val="20"/>
              </w:rPr>
              <w:t>X</w:t>
            </w:r>
          </w:p>
        </w:tc>
        <w:tc>
          <w:tcPr>
            <w:tcW w:w="374" w:type="pct"/>
            <w:tcBorders>
              <w:top w:val="single" w:sz="4" w:space="0" w:color="0064BB"/>
              <w:bottom w:val="single" w:sz="4" w:space="0" w:color="0064BB"/>
            </w:tcBorders>
          </w:tcPr>
          <w:p w14:paraId="0E0B6073" w14:textId="6AD4B691" w:rsidR="00461950" w:rsidRPr="00AD1316" w:rsidRDefault="00461950" w:rsidP="00461950">
            <w:pPr>
              <w:pStyle w:val="TableParagraph"/>
              <w:spacing w:before="81"/>
              <w:ind w:left="417"/>
              <w:rPr>
                <w:sz w:val="20"/>
                <w:szCs w:val="20"/>
              </w:rPr>
            </w:pPr>
            <w:r w:rsidRPr="00461950">
              <w:rPr>
                <w:rFonts w:ascii="Segoe UI Symbol" w:hAnsi="Segoe UI Symbol" w:cs="Segoe UI Symbol"/>
                <w:spacing w:val="-10"/>
                <w:sz w:val="20"/>
                <w:szCs w:val="20"/>
              </w:rPr>
              <w:t>✔</w:t>
            </w:r>
          </w:p>
        </w:tc>
      </w:tr>
    </w:tbl>
    <w:p w14:paraId="65666AD2" w14:textId="77777777" w:rsidR="00760C2B" w:rsidRDefault="00760C2B"/>
    <w:p w14:paraId="3CC003EE" w14:textId="77777777" w:rsidR="009C36E3" w:rsidRDefault="009C36E3">
      <w:pPr>
        <w:rPr>
          <w:rFonts w:ascii="Segoe UI Symbol" w:hAnsi="Segoe UI Symbol"/>
          <w:sz w:val="20"/>
        </w:rPr>
        <w:sectPr w:rsidR="009C36E3">
          <w:headerReference w:type="default" r:id="rId19"/>
          <w:footerReference w:type="default" r:id="rId20"/>
          <w:pgSz w:w="23820" w:h="16840" w:orient="landscape"/>
          <w:pgMar w:top="1120" w:right="740" w:bottom="740" w:left="740" w:header="552" w:footer="559" w:gutter="0"/>
          <w:cols w:space="720"/>
        </w:sectPr>
      </w:pPr>
    </w:p>
    <w:p w14:paraId="40DF8A9D" w14:textId="77777777" w:rsidR="009C36E3" w:rsidRDefault="009C36E3">
      <w:pPr>
        <w:rPr>
          <w:rFonts w:ascii="Segoe UI Symbol" w:hAnsi="Segoe UI Symbol"/>
          <w:sz w:val="20"/>
        </w:rPr>
        <w:sectPr w:rsidR="009C36E3">
          <w:type w:val="continuous"/>
          <w:pgSz w:w="23820" w:h="16840" w:orient="landscape"/>
          <w:pgMar w:top="1120" w:right="740" w:bottom="2522" w:left="740" w:header="552" w:footer="559" w:gutter="0"/>
          <w:cols w:space="720"/>
        </w:sectPr>
      </w:pPr>
    </w:p>
    <w:p w14:paraId="31CF40FC" w14:textId="50144C11" w:rsidR="00E86E8F" w:rsidRDefault="00E86E8F">
      <w:pPr>
        <w:rPr>
          <w:rFonts w:ascii="Segoe UI Symbol" w:hAnsi="Segoe UI Symbol"/>
          <w:sz w:val="20"/>
        </w:rPr>
      </w:pPr>
    </w:p>
    <w:p w14:paraId="35B70CE1" w14:textId="77777777" w:rsidR="00E86E8F" w:rsidRDefault="00E86E8F">
      <w:pPr>
        <w:rPr>
          <w:rFonts w:ascii="Segoe UI Symbol" w:hAnsi="Segoe UI Symbol"/>
          <w:sz w:val="20"/>
        </w:rPr>
      </w:pPr>
      <w:r>
        <w:rPr>
          <w:rFonts w:ascii="Segoe UI Symbol" w:hAnsi="Segoe UI Symbol"/>
          <w:sz w:val="20"/>
        </w:rPr>
        <w:br w:type="page"/>
      </w:r>
    </w:p>
    <w:p w14:paraId="4453709F" w14:textId="77777777" w:rsidR="009C36E3" w:rsidRDefault="009C36E3">
      <w:pPr>
        <w:rPr>
          <w:rFonts w:ascii="Segoe UI Symbol" w:hAnsi="Segoe UI Symbol"/>
          <w:sz w:val="20"/>
        </w:rPr>
        <w:sectPr w:rsidR="009C36E3">
          <w:type w:val="continuous"/>
          <w:pgSz w:w="23820" w:h="16840" w:orient="landscape"/>
          <w:pgMar w:top="1120" w:right="740" w:bottom="740" w:left="740" w:header="552" w:footer="559" w:gutter="0"/>
          <w:cols w:space="720"/>
        </w:sectPr>
      </w:pPr>
    </w:p>
    <w:p w14:paraId="156ED8DF" w14:textId="565C521E" w:rsidR="007C64B9" w:rsidRDefault="000E7207" w:rsidP="004141F6">
      <w:pPr>
        <w:spacing w:before="81"/>
        <w:ind w:left="104"/>
        <w:rPr>
          <w:b/>
          <w:spacing w:val="-2"/>
          <w:sz w:val="16"/>
        </w:rPr>
      </w:pPr>
      <w:r>
        <w:rPr>
          <w:b/>
          <w:sz w:val="16"/>
        </w:rPr>
        <w:t>Mid-Term</w:t>
      </w:r>
      <w:r>
        <w:rPr>
          <w:b/>
          <w:spacing w:val="-6"/>
          <w:sz w:val="16"/>
        </w:rPr>
        <w:t xml:space="preserve"> </w:t>
      </w:r>
      <w:r>
        <w:rPr>
          <w:b/>
          <w:spacing w:val="-2"/>
          <w:sz w:val="16"/>
        </w:rPr>
        <w:t>Review</w:t>
      </w:r>
    </w:p>
    <w:p w14:paraId="546691B8" w14:textId="4327A9C3" w:rsidR="00AD1937" w:rsidRPr="00AD1937" w:rsidRDefault="004141F6" w:rsidP="00C74487">
      <w:pPr>
        <w:pStyle w:val="Heading1"/>
        <w:spacing w:before="0" w:after="240"/>
        <w:ind w:left="102" w:right="-11941"/>
        <w:rPr>
          <w:b w:val="0"/>
          <w:sz w:val="16"/>
          <w:szCs w:val="16"/>
        </w:rPr>
      </w:pPr>
      <w:r>
        <w:t>Annex</w:t>
      </w:r>
      <w:r>
        <w:rPr>
          <w:spacing w:val="-3"/>
        </w:rPr>
        <w:t xml:space="preserve"> </w:t>
      </w:r>
      <w:r>
        <w:t>4</w:t>
      </w:r>
      <w:r>
        <w:rPr>
          <w:spacing w:val="-3"/>
        </w:rPr>
        <w:t xml:space="preserve"> </w:t>
      </w:r>
      <w:r>
        <w:t>VAPJP</w:t>
      </w:r>
      <w:r>
        <w:rPr>
          <w:spacing w:val="-1"/>
        </w:rPr>
        <w:t xml:space="preserve"> </w:t>
      </w:r>
      <w:r>
        <w:t>Design Update Annex</w:t>
      </w:r>
      <w:r>
        <w:rPr>
          <w:spacing w:val="-3"/>
        </w:rPr>
        <w:t xml:space="preserve"> </w:t>
      </w:r>
      <w:r>
        <w:t>10: One</w:t>
      </w:r>
      <w:r>
        <w:rPr>
          <w:spacing w:val="-3"/>
        </w:rPr>
        <w:t xml:space="preserve"> </w:t>
      </w:r>
      <w:r>
        <w:t>page overview</w:t>
      </w:r>
    </w:p>
    <w:p w14:paraId="2BF42D3A" w14:textId="26789963" w:rsidR="00B02025" w:rsidRDefault="00F81988" w:rsidP="000D7ABA">
      <w:pPr>
        <w:ind w:right="-11962"/>
        <w:rPr>
          <w:rFonts w:ascii="Source Sans Pro"/>
          <w:b/>
          <w:sz w:val="36"/>
        </w:rPr>
      </w:pPr>
      <w:r>
        <w:rPr>
          <w:noProof/>
        </w:rPr>
        <w:drawing>
          <wp:inline distT="0" distB="0" distL="0" distR="0" wp14:anchorId="7BA12854" wp14:editId="6B590AE4">
            <wp:extent cx="9553575" cy="5656989"/>
            <wp:effectExtent l="0" t="0" r="0" b="1270"/>
            <wp:docPr id="204" name="Picture 204" descr="One page overview of VAPJP design update listing the end of program outcomes, intermediate outcomes, outputs and delivery modalities for justice, policing, community and sector coord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One page overview of VAPJP design update listing the end of program outcomes, intermediate outcomes, outputs and delivery modalities for justice, policing, community and sector coordination. "/>
                    <pic:cNvPicPr/>
                  </pic:nvPicPr>
                  <pic:blipFill>
                    <a:blip r:embed="rId21"/>
                    <a:stretch>
                      <a:fillRect/>
                    </a:stretch>
                  </pic:blipFill>
                  <pic:spPr>
                    <a:xfrm>
                      <a:off x="0" y="0"/>
                      <a:ext cx="9558664" cy="5660002"/>
                    </a:xfrm>
                    <a:prstGeom prst="rect">
                      <a:avLst/>
                    </a:prstGeom>
                  </pic:spPr>
                </pic:pic>
              </a:graphicData>
            </a:graphic>
          </wp:inline>
        </w:drawing>
      </w:r>
    </w:p>
    <w:sectPr w:rsidR="00B02025" w:rsidSect="00F4411A">
      <w:headerReference w:type="default" r:id="rId22"/>
      <w:footerReference w:type="default" r:id="rId23"/>
      <w:type w:val="continuous"/>
      <w:pgSz w:w="16850" w:h="11910" w:orient="landscape"/>
      <w:pgMar w:top="567" w:right="1880" w:bottom="280" w:left="860" w:header="0" w:footer="557" w:gutter="0"/>
      <w:cols w:space="720" w:equalWidth="0">
        <w:col w:w="14110" w:space="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F1345" w14:textId="77777777" w:rsidR="00E963CD" w:rsidRDefault="00E963CD">
      <w:r>
        <w:separator/>
      </w:r>
    </w:p>
  </w:endnote>
  <w:endnote w:type="continuationSeparator" w:id="0">
    <w:p w14:paraId="5C1D96D4" w14:textId="77777777" w:rsidR="00E963CD" w:rsidRDefault="00E96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6CEC" w14:textId="77777777" w:rsidR="009C36E3" w:rsidRDefault="000E7207">
    <w:pPr>
      <w:pStyle w:val="BodyText"/>
      <w:spacing w:line="14" w:lineRule="auto"/>
      <w:ind w:left="0"/>
    </w:pPr>
    <w:r>
      <w:rPr>
        <w:noProof/>
      </w:rPr>
      <mc:AlternateContent>
        <mc:Choice Requires="wps">
          <w:drawing>
            <wp:anchor distT="0" distB="0" distL="0" distR="0" simplePos="0" relativeHeight="485582848" behindDoc="1" locked="0" layoutInCell="1" allowOverlap="1" wp14:anchorId="2069981F" wp14:editId="0DFD9D54">
              <wp:simplePos x="0" y="0"/>
              <wp:positionH relativeFrom="page">
                <wp:posOffset>6911340</wp:posOffset>
              </wp:positionH>
              <wp:positionV relativeFrom="page">
                <wp:posOffset>10199205</wp:posOffset>
              </wp:positionV>
              <wp:extent cx="162560" cy="14668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46685"/>
                      </a:xfrm>
                      <a:prstGeom prst="rect">
                        <a:avLst/>
                      </a:prstGeom>
                    </wps:spPr>
                    <wps:txbx>
                      <w:txbxContent>
                        <w:p w14:paraId="5CF1E313" w14:textId="77777777" w:rsidR="009C36E3" w:rsidRDefault="000E7207">
                          <w:pPr>
                            <w:spacing w:before="15"/>
                            <w:ind w:left="60"/>
                            <w:rPr>
                              <w:sz w:val="17"/>
                            </w:rPr>
                          </w:pPr>
                          <w:r>
                            <w:rPr>
                              <w:spacing w:val="-5"/>
                              <w:sz w:val="17"/>
                            </w:rPr>
                            <w:fldChar w:fldCharType="begin"/>
                          </w:r>
                          <w:r>
                            <w:rPr>
                              <w:spacing w:val="-5"/>
                              <w:sz w:val="17"/>
                            </w:rPr>
                            <w:instrText xml:space="preserve"> PAGE  \* roman </w:instrText>
                          </w:r>
                          <w:r>
                            <w:rPr>
                              <w:spacing w:val="-5"/>
                              <w:sz w:val="17"/>
                            </w:rPr>
                            <w:fldChar w:fldCharType="separate"/>
                          </w:r>
                          <w:r>
                            <w:rPr>
                              <w:spacing w:val="-5"/>
                              <w:sz w:val="17"/>
                            </w:rPr>
                            <w:t>iii</w:t>
                          </w:r>
                          <w:r>
                            <w:rPr>
                              <w:spacing w:val="-5"/>
                              <w:sz w:val="17"/>
                            </w:rPr>
                            <w:fldChar w:fldCharType="end"/>
                          </w:r>
                        </w:p>
                      </w:txbxContent>
                    </wps:txbx>
                    <wps:bodyPr wrap="square" lIns="0" tIns="0" rIns="0" bIns="0" rtlCol="0">
                      <a:noAutofit/>
                    </wps:bodyPr>
                  </wps:wsp>
                </a:graphicData>
              </a:graphic>
            </wp:anchor>
          </w:drawing>
        </mc:Choice>
        <mc:Fallback>
          <w:pict>
            <v:shapetype w14:anchorId="2069981F" id="_x0000_t202" coordsize="21600,21600" o:spt="202" path="m,l,21600r21600,l21600,xe">
              <v:stroke joinstyle="miter"/>
              <v:path gradientshapeok="t" o:connecttype="rect"/>
            </v:shapetype>
            <v:shape id="Textbox 7" o:spid="_x0000_s1028" type="#_x0000_t202" style="position:absolute;margin-left:544.2pt;margin-top:803.1pt;width:12.8pt;height:11.55pt;z-index:-177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" filled="f" stroked="f">
              <v:textbox inset="0,0,0,0">
                <w:txbxContent>
                  <w:p w14:paraId="5CF1E313" w14:textId="77777777" w:rsidR="009C36E3" w:rsidRDefault="000E7207">
                    <w:pPr>
                      <w:spacing w:before="15"/>
                      <w:ind w:left="60"/>
                      <w:rPr>
                        <w:sz w:val="17"/>
                      </w:rPr>
                    </w:pPr>
                    <w:r>
                      <w:rPr>
                        <w:spacing w:val="-5"/>
                        <w:sz w:val="17"/>
                      </w:rPr>
                      <w:fldChar w:fldCharType="begin"/>
                    </w:r>
                    <w:r>
                      <w:rPr>
                        <w:spacing w:val="-5"/>
                        <w:sz w:val="17"/>
                      </w:rPr>
                      <w:instrText xml:space="preserve"> PAGE  \* roman </w:instrText>
                    </w:r>
                    <w:r>
                      <w:rPr>
                        <w:spacing w:val="-5"/>
                        <w:sz w:val="17"/>
                      </w:rPr>
                      <w:fldChar w:fldCharType="separate"/>
                    </w:r>
                    <w:r>
                      <w:rPr>
                        <w:spacing w:val="-5"/>
                        <w:sz w:val="17"/>
                      </w:rPr>
                      <w:t>iii</w:t>
                    </w:r>
                    <w:r>
                      <w:rPr>
                        <w:spacing w:val="-5"/>
                        <w:sz w:val="1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7915" w14:textId="77777777" w:rsidR="009C36E3" w:rsidRDefault="000E7207">
    <w:pPr>
      <w:pStyle w:val="BodyText"/>
      <w:spacing w:line="14" w:lineRule="auto"/>
      <w:ind w:left="0"/>
    </w:pPr>
    <w:r>
      <w:rPr>
        <w:noProof/>
      </w:rPr>
      <mc:AlternateContent>
        <mc:Choice Requires="wps">
          <w:drawing>
            <wp:anchor distT="0" distB="0" distL="0" distR="0" simplePos="0" relativeHeight="485583872" behindDoc="1" locked="0" layoutInCell="1" allowOverlap="1" wp14:anchorId="0710595C" wp14:editId="1940D9FE">
              <wp:simplePos x="0" y="0"/>
              <wp:positionH relativeFrom="page">
                <wp:posOffset>6862571</wp:posOffset>
              </wp:positionH>
              <wp:positionV relativeFrom="page">
                <wp:posOffset>10199205</wp:posOffset>
              </wp:positionV>
              <wp:extent cx="210820" cy="14668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6685"/>
                      </a:xfrm>
                      <a:prstGeom prst="rect">
                        <a:avLst/>
                      </a:prstGeom>
                    </wps:spPr>
                    <wps:txbx>
                      <w:txbxContent>
                        <w:p w14:paraId="1330B6A3" w14:textId="77777777" w:rsidR="009C36E3" w:rsidRDefault="000E7207">
                          <w:pPr>
                            <w:spacing w:before="15"/>
                            <w:ind w:left="60"/>
                            <w:rPr>
                              <w:sz w:val="17"/>
                            </w:rPr>
                          </w:pPr>
                          <w:r>
                            <w:rPr>
                              <w:spacing w:val="-5"/>
                              <w:sz w:val="17"/>
                            </w:rPr>
                            <w:fldChar w:fldCharType="begin"/>
                          </w:r>
                          <w:r>
                            <w:rPr>
                              <w:spacing w:val="-5"/>
                              <w:sz w:val="17"/>
                            </w:rPr>
                            <w:instrText xml:space="preserve"> PAGE </w:instrText>
                          </w:r>
                          <w:r>
                            <w:rPr>
                              <w:spacing w:val="-5"/>
                              <w:sz w:val="17"/>
                            </w:rPr>
                            <w:fldChar w:fldCharType="separate"/>
                          </w:r>
                          <w:r>
                            <w:rPr>
                              <w:spacing w:val="-5"/>
                              <w:sz w:val="17"/>
                            </w:rPr>
                            <w:t>10</w:t>
                          </w:r>
                          <w:r>
                            <w:rPr>
                              <w:spacing w:val="-5"/>
                              <w:sz w:val="17"/>
                            </w:rPr>
                            <w:fldChar w:fldCharType="end"/>
                          </w:r>
                        </w:p>
                      </w:txbxContent>
                    </wps:txbx>
                    <wps:bodyPr wrap="square" lIns="0" tIns="0" rIns="0" bIns="0" rtlCol="0">
                      <a:noAutofit/>
                    </wps:bodyPr>
                  </wps:wsp>
                </a:graphicData>
              </a:graphic>
            </wp:anchor>
          </w:drawing>
        </mc:Choice>
        <mc:Fallback>
          <w:pict>
            <v:shapetype w14:anchorId="0710595C" id="_x0000_t202" coordsize="21600,21600" o:spt="202" path="m,l,21600r21600,l21600,xe">
              <v:stroke joinstyle="miter"/>
              <v:path gradientshapeok="t" o:connecttype="rect"/>
            </v:shapetype>
            <v:shape id="Textbox 9" o:spid="_x0000_s1030" type="#_x0000_t202" style="position:absolute;margin-left:540.35pt;margin-top:803.1pt;width:16.6pt;height:11.55pt;z-index:-177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" filled="f" stroked="f">
              <v:textbox inset="0,0,0,0">
                <w:txbxContent>
                  <w:p w14:paraId="1330B6A3" w14:textId="77777777" w:rsidR="009C36E3" w:rsidRDefault="000E7207">
                    <w:pPr>
                      <w:spacing w:before="15"/>
                      <w:ind w:left="60"/>
                      <w:rPr>
                        <w:sz w:val="17"/>
                      </w:rPr>
                    </w:pPr>
                    <w:r>
                      <w:rPr>
                        <w:spacing w:val="-5"/>
                        <w:sz w:val="17"/>
                      </w:rPr>
                      <w:fldChar w:fldCharType="begin"/>
                    </w:r>
                    <w:r>
                      <w:rPr>
                        <w:spacing w:val="-5"/>
                        <w:sz w:val="17"/>
                      </w:rPr>
                      <w:instrText xml:space="preserve"> PAGE </w:instrText>
                    </w:r>
                    <w:r>
                      <w:rPr>
                        <w:spacing w:val="-5"/>
                        <w:sz w:val="17"/>
                      </w:rPr>
                      <w:fldChar w:fldCharType="separate"/>
                    </w:r>
                    <w:r>
                      <w:rPr>
                        <w:spacing w:val="-5"/>
                        <w:sz w:val="17"/>
                      </w:rPr>
                      <w:t>10</w:t>
                    </w:r>
                    <w:r>
                      <w:rPr>
                        <w:spacing w:val="-5"/>
                        <w:sz w:val="1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E743A" w14:textId="77777777" w:rsidR="009C36E3" w:rsidRDefault="000E7207">
    <w:pPr>
      <w:pStyle w:val="BodyText"/>
      <w:spacing w:line="14" w:lineRule="auto"/>
      <w:ind w:left="0"/>
    </w:pPr>
    <w:r>
      <w:rPr>
        <w:noProof/>
      </w:rPr>
      <mc:AlternateContent>
        <mc:Choice Requires="wps">
          <w:drawing>
            <wp:anchor distT="0" distB="0" distL="0" distR="0" simplePos="0" relativeHeight="485584896" behindDoc="1" locked="0" layoutInCell="1" allowOverlap="1" wp14:anchorId="2530DAFE" wp14:editId="5E4E1152">
              <wp:simplePos x="0" y="0"/>
              <wp:positionH relativeFrom="page">
                <wp:posOffset>14421611</wp:posOffset>
              </wp:positionH>
              <wp:positionV relativeFrom="page">
                <wp:posOffset>10197681</wp:posOffset>
              </wp:positionV>
              <wp:extent cx="210820" cy="14668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46685"/>
                      </a:xfrm>
                      <a:prstGeom prst="rect">
                        <a:avLst/>
                      </a:prstGeom>
                    </wps:spPr>
                    <wps:txbx>
                      <w:txbxContent>
                        <w:p w14:paraId="78535224" w14:textId="77777777" w:rsidR="009C36E3" w:rsidRDefault="000E7207">
                          <w:pPr>
                            <w:spacing w:before="15"/>
                            <w:ind w:left="60"/>
                            <w:rPr>
                              <w:sz w:val="17"/>
                            </w:rPr>
                          </w:pPr>
                          <w:r>
                            <w:rPr>
                              <w:spacing w:val="-5"/>
                              <w:sz w:val="17"/>
                            </w:rPr>
                            <w:fldChar w:fldCharType="begin"/>
                          </w:r>
                          <w:r>
                            <w:rPr>
                              <w:spacing w:val="-5"/>
                              <w:sz w:val="17"/>
                            </w:rPr>
                            <w:instrText xml:space="preserve"> PAGE </w:instrText>
                          </w:r>
                          <w:r>
                            <w:rPr>
                              <w:spacing w:val="-5"/>
                              <w:sz w:val="17"/>
                            </w:rPr>
                            <w:fldChar w:fldCharType="separate"/>
                          </w:r>
                          <w:r>
                            <w:rPr>
                              <w:spacing w:val="-5"/>
                              <w:sz w:val="17"/>
                            </w:rPr>
                            <w:t>47</w:t>
                          </w:r>
                          <w:r>
                            <w:rPr>
                              <w:spacing w:val="-5"/>
                              <w:sz w:val="17"/>
                            </w:rPr>
                            <w:fldChar w:fldCharType="end"/>
                          </w:r>
                        </w:p>
                      </w:txbxContent>
                    </wps:txbx>
                    <wps:bodyPr wrap="square" lIns="0" tIns="0" rIns="0" bIns="0" rtlCol="0">
                      <a:noAutofit/>
                    </wps:bodyPr>
                  </wps:wsp>
                </a:graphicData>
              </a:graphic>
            </wp:anchor>
          </w:drawing>
        </mc:Choice>
        <mc:Fallback>
          <w:pict>
            <v:shapetype w14:anchorId="2530DAFE" id="_x0000_t202" coordsize="21600,21600" o:spt="202" path="m,l,21600r21600,l21600,xe">
              <v:stroke joinstyle="miter"/>
              <v:path gradientshapeok="t" o:connecttype="rect"/>
            </v:shapetype>
            <v:shape id="Textbox 121" o:spid="_x0000_s1032" type="#_x0000_t202" style="position:absolute;margin-left:1135.55pt;margin-top:802.95pt;width:16.6pt;height:11.55pt;z-index:-177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" filled="f" stroked="f">
              <v:textbox inset="0,0,0,0">
                <w:txbxContent>
                  <w:p w14:paraId="78535224" w14:textId="77777777" w:rsidR="009C36E3" w:rsidRDefault="000E7207">
                    <w:pPr>
                      <w:spacing w:before="15"/>
                      <w:ind w:left="60"/>
                      <w:rPr>
                        <w:sz w:val="17"/>
                      </w:rPr>
                    </w:pPr>
                    <w:r>
                      <w:rPr>
                        <w:spacing w:val="-5"/>
                        <w:sz w:val="17"/>
                      </w:rPr>
                      <w:fldChar w:fldCharType="begin"/>
                    </w:r>
                    <w:r>
                      <w:rPr>
                        <w:spacing w:val="-5"/>
                        <w:sz w:val="17"/>
                      </w:rPr>
                      <w:instrText xml:space="preserve"> PAGE </w:instrText>
                    </w:r>
                    <w:r>
                      <w:rPr>
                        <w:spacing w:val="-5"/>
                        <w:sz w:val="17"/>
                      </w:rPr>
                      <w:fldChar w:fldCharType="separate"/>
                    </w:r>
                    <w:r>
                      <w:rPr>
                        <w:spacing w:val="-5"/>
                        <w:sz w:val="17"/>
                      </w:rPr>
                      <w:t>47</w:t>
                    </w:r>
                    <w:r>
                      <w:rPr>
                        <w:spacing w:val="-5"/>
                        <w:sz w:val="1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43211" w14:textId="77777777" w:rsidR="009C36E3" w:rsidRDefault="000E7207">
    <w:pPr>
      <w:pStyle w:val="BodyText"/>
      <w:spacing w:line="14" w:lineRule="auto"/>
      <w:ind w:left="0"/>
    </w:pPr>
    <w:r>
      <w:rPr>
        <w:noProof/>
      </w:rPr>
      <mc:AlternateContent>
        <mc:Choice Requires="wps">
          <w:drawing>
            <wp:anchor distT="0" distB="0" distL="0" distR="0" simplePos="0" relativeHeight="485585408" behindDoc="1" locked="0" layoutInCell="1" allowOverlap="1" wp14:anchorId="73FB68D4" wp14:editId="0EF17864">
              <wp:simplePos x="0" y="0"/>
              <wp:positionH relativeFrom="page">
                <wp:posOffset>9841483</wp:posOffset>
              </wp:positionH>
              <wp:positionV relativeFrom="page">
                <wp:posOffset>7067385</wp:posOffset>
              </wp:positionV>
              <wp:extent cx="147320" cy="14668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46685"/>
                      </a:xfrm>
                      <a:prstGeom prst="rect">
                        <a:avLst/>
                      </a:prstGeom>
                    </wps:spPr>
                    <wps:txbx>
                      <w:txbxContent>
                        <w:p w14:paraId="57382936" w14:textId="77777777" w:rsidR="009C36E3" w:rsidRDefault="000E7207">
                          <w:pPr>
                            <w:spacing w:before="15"/>
                            <w:ind w:left="20"/>
                            <w:rPr>
                              <w:sz w:val="17"/>
                            </w:rPr>
                          </w:pPr>
                          <w:r>
                            <w:rPr>
                              <w:spacing w:val="-5"/>
                              <w:sz w:val="17"/>
                            </w:rPr>
                            <w:t>50</w:t>
                          </w:r>
                        </w:p>
                      </w:txbxContent>
                    </wps:txbx>
                    <wps:bodyPr wrap="square" lIns="0" tIns="0" rIns="0" bIns="0" rtlCol="0">
                      <a:noAutofit/>
                    </wps:bodyPr>
                  </wps:wsp>
                </a:graphicData>
              </a:graphic>
            </wp:anchor>
          </w:drawing>
        </mc:Choice>
        <mc:Fallback>
          <w:pict>
            <v:shapetype w14:anchorId="73FB68D4" id="_x0000_t202" coordsize="21600,21600" o:spt="202" path="m,l,21600r21600,l21600,xe">
              <v:stroke joinstyle="miter"/>
              <v:path gradientshapeok="t" o:connecttype="rect"/>
            </v:shapetype>
            <v:shape id="Textbox 122" o:spid="_x0000_s1033" type="#_x0000_t202" style="position:absolute;margin-left:774.9pt;margin-top:556.5pt;width:11.6pt;height:11.55pt;z-index:-1773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" filled="f" stroked="f">
              <v:textbox inset="0,0,0,0">
                <w:txbxContent>
                  <w:p w14:paraId="57382936" w14:textId="77777777" w:rsidR="009C36E3" w:rsidRDefault="000E7207">
                    <w:pPr>
                      <w:spacing w:before="15"/>
                      <w:ind w:left="20"/>
                      <w:rPr>
                        <w:sz w:val="17"/>
                      </w:rPr>
                    </w:pPr>
                    <w:r>
                      <w:rPr>
                        <w:spacing w:val="-5"/>
                        <w:sz w:val="17"/>
                      </w:rPr>
                      <w:t>50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B5227" w14:textId="77777777" w:rsidR="00E963CD" w:rsidRDefault="00E963CD">
      <w:r>
        <w:separator/>
      </w:r>
    </w:p>
  </w:footnote>
  <w:footnote w:type="continuationSeparator" w:id="0">
    <w:p w14:paraId="25815A29" w14:textId="77777777" w:rsidR="00E963CD" w:rsidRDefault="00E96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73F99" w14:textId="77777777" w:rsidR="009C36E3" w:rsidRDefault="000E7207">
    <w:pPr>
      <w:pStyle w:val="BodyText"/>
      <w:spacing w:line="14" w:lineRule="auto"/>
      <w:ind w:left="0"/>
    </w:pPr>
    <w:r>
      <w:rPr>
        <w:noProof/>
      </w:rPr>
      <mc:AlternateContent>
        <mc:Choice Requires="wps">
          <w:drawing>
            <wp:anchor distT="0" distB="0" distL="0" distR="0" simplePos="0" relativeHeight="485582336" behindDoc="1" locked="0" layoutInCell="1" allowOverlap="1" wp14:anchorId="42B6F47C" wp14:editId="7FCE1787">
              <wp:simplePos x="0" y="0"/>
              <wp:positionH relativeFrom="page">
                <wp:posOffset>528319</wp:posOffset>
              </wp:positionH>
              <wp:positionV relativeFrom="page">
                <wp:posOffset>350540</wp:posOffset>
              </wp:positionV>
              <wp:extent cx="862330" cy="1397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139700"/>
                      </a:xfrm>
                      <a:prstGeom prst="rect">
                        <a:avLst/>
                      </a:prstGeom>
                    </wps:spPr>
                    <wps:txbx>
                      <w:txbxContent>
                        <w:p w14:paraId="67E5EFC2" w14:textId="77777777" w:rsidR="009C36E3" w:rsidRDefault="000E7207">
                          <w:pPr>
                            <w:spacing w:before="15"/>
                            <w:ind w:left="20"/>
                            <w:rPr>
                              <w:b/>
                              <w:sz w:val="16"/>
                            </w:rPr>
                          </w:pPr>
                          <w:r>
                            <w:rPr>
                              <w:b/>
                              <w:sz w:val="16"/>
                            </w:rPr>
                            <w:t>Mid-Term</w:t>
                          </w:r>
                          <w:r>
                            <w:rPr>
                              <w:b/>
                              <w:spacing w:val="-6"/>
                              <w:sz w:val="16"/>
                            </w:rPr>
                            <w:t xml:space="preserve"> </w:t>
                          </w:r>
                          <w:r>
                            <w:rPr>
                              <w:b/>
                              <w:spacing w:val="-2"/>
                              <w:sz w:val="16"/>
                            </w:rPr>
                            <w:t>Review</w:t>
                          </w:r>
                        </w:p>
                      </w:txbxContent>
                    </wps:txbx>
                    <wps:bodyPr wrap="square" lIns="0" tIns="0" rIns="0" bIns="0" rtlCol="0">
                      <a:noAutofit/>
                    </wps:bodyPr>
                  </wps:wsp>
                </a:graphicData>
              </a:graphic>
            </wp:anchor>
          </w:drawing>
        </mc:Choice>
        <mc:Fallback>
          <w:pict>
            <v:shapetype w14:anchorId="42B6F47C" id="_x0000_t202" coordsize="21600,21600" o:spt="202" path="m,l,21600r21600,l21600,xe">
              <v:stroke joinstyle="miter"/>
              <v:path gradientshapeok="t" o:connecttype="rect"/>
            </v:shapetype>
            <v:shape id="Textbox 6" o:spid="_x0000_s1027" type="#_x0000_t202" style="position:absolute;margin-left:41.6pt;margin-top:27.6pt;width:67.9pt;height:11pt;z-index:-177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" filled="f" stroked="f">
              <v:textbox inset="0,0,0,0">
                <w:txbxContent>
                  <w:p w14:paraId="67E5EFC2" w14:textId="77777777" w:rsidR="009C36E3" w:rsidRDefault="000E7207">
                    <w:pPr>
                      <w:spacing w:before="15"/>
                      <w:ind w:left="20"/>
                      <w:rPr>
                        <w:b/>
                        <w:sz w:val="16"/>
                      </w:rPr>
                    </w:pPr>
                    <w:r>
                      <w:rPr>
                        <w:b/>
                        <w:sz w:val="16"/>
                      </w:rPr>
                      <w:t>Mid-Term</w:t>
                    </w:r>
                    <w:r>
                      <w:rPr>
                        <w:b/>
                        <w:spacing w:val="-6"/>
                        <w:sz w:val="16"/>
                      </w:rPr>
                      <w:t xml:space="preserve"> </w:t>
                    </w:r>
                    <w:r>
                      <w:rPr>
                        <w:b/>
                        <w:spacing w:val="-2"/>
                        <w:sz w:val="16"/>
                      </w:rPr>
                      <w:t>Review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1322E" w14:textId="77777777" w:rsidR="009C36E3" w:rsidRDefault="000E7207">
    <w:pPr>
      <w:pStyle w:val="BodyText"/>
      <w:spacing w:line="14" w:lineRule="auto"/>
      <w:ind w:left="0"/>
    </w:pPr>
    <w:r>
      <w:rPr>
        <w:noProof/>
      </w:rPr>
      <mc:AlternateContent>
        <mc:Choice Requires="wps">
          <w:drawing>
            <wp:anchor distT="0" distB="0" distL="0" distR="0" simplePos="0" relativeHeight="485583360" behindDoc="1" locked="0" layoutInCell="1" allowOverlap="1" wp14:anchorId="55895E9B" wp14:editId="11FF37E7">
              <wp:simplePos x="0" y="0"/>
              <wp:positionH relativeFrom="page">
                <wp:posOffset>528319</wp:posOffset>
              </wp:positionH>
              <wp:positionV relativeFrom="page">
                <wp:posOffset>350540</wp:posOffset>
              </wp:positionV>
              <wp:extent cx="862330"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139700"/>
                      </a:xfrm>
                      <a:prstGeom prst="rect">
                        <a:avLst/>
                      </a:prstGeom>
                    </wps:spPr>
                    <wps:txbx>
                      <w:txbxContent>
                        <w:p w14:paraId="2F7AB351" w14:textId="77777777" w:rsidR="009C36E3" w:rsidRDefault="000E7207">
                          <w:pPr>
                            <w:spacing w:before="15"/>
                            <w:ind w:left="20"/>
                            <w:rPr>
                              <w:b/>
                              <w:sz w:val="16"/>
                            </w:rPr>
                          </w:pPr>
                          <w:r>
                            <w:rPr>
                              <w:b/>
                              <w:sz w:val="16"/>
                            </w:rPr>
                            <w:t>Mid-Term</w:t>
                          </w:r>
                          <w:r>
                            <w:rPr>
                              <w:b/>
                              <w:spacing w:val="-6"/>
                              <w:sz w:val="16"/>
                            </w:rPr>
                            <w:t xml:space="preserve"> </w:t>
                          </w:r>
                          <w:r>
                            <w:rPr>
                              <w:b/>
                              <w:spacing w:val="-2"/>
                              <w:sz w:val="16"/>
                            </w:rPr>
                            <w:t>Review</w:t>
                          </w:r>
                        </w:p>
                      </w:txbxContent>
                    </wps:txbx>
                    <wps:bodyPr wrap="square" lIns="0" tIns="0" rIns="0" bIns="0" rtlCol="0">
                      <a:noAutofit/>
                    </wps:bodyPr>
                  </wps:wsp>
                </a:graphicData>
              </a:graphic>
            </wp:anchor>
          </w:drawing>
        </mc:Choice>
        <mc:Fallback>
          <w:pict>
            <v:shapetype w14:anchorId="55895E9B" id="_x0000_t202" coordsize="21600,21600" o:spt="202" path="m,l,21600r21600,l21600,xe">
              <v:stroke joinstyle="miter"/>
              <v:path gradientshapeok="t" o:connecttype="rect"/>
            </v:shapetype>
            <v:shape id="Textbox 8" o:spid="_x0000_s1029" type="#_x0000_t202" style="position:absolute;margin-left:41.6pt;margin-top:27.6pt;width:67.9pt;height:11pt;z-index:-177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" filled="f" stroked="f">
              <v:textbox inset="0,0,0,0">
                <w:txbxContent>
                  <w:p w14:paraId="2F7AB351" w14:textId="77777777" w:rsidR="009C36E3" w:rsidRDefault="000E7207">
                    <w:pPr>
                      <w:spacing w:before="15"/>
                      <w:ind w:left="20"/>
                      <w:rPr>
                        <w:b/>
                        <w:sz w:val="16"/>
                      </w:rPr>
                    </w:pPr>
                    <w:r>
                      <w:rPr>
                        <w:b/>
                        <w:sz w:val="16"/>
                      </w:rPr>
                      <w:t>Mid-Term</w:t>
                    </w:r>
                    <w:r>
                      <w:rPr>
                        <w:b/>
                        <w:spacing w:val="-6"/>
                        <w:sz w:val="16"/>
                      </w:rPr>
                      <w:t xml:space="preserve"> </w:t>
                    </w:r>
                    <w:r>
                      <w:rPr>
                        <w:b/>
                        <w:spacing w:val="-2"/>
                        <w:sz w:val="16"/>
                      </w:rPr>
                      <w:t>Review</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95131" w14:textId="77777777" w:rsidR="009C36E3" w:rsidRDefault="000E7207">
    <w:pPr>
      <w:pStyle w:val="BodyText"/>
      <w:spacing w:line="14" w:lineRule="auto"/>
      <w:ind w:left="0"/>
    </w:pPr>
    <w:r>
      <w:rPr>
        <w:noProof/>
      </w:rPr>
      <mc:AlternateContent>
        <mc:Choice Requires="wps">
          <w:drawing>
            <wp:anchor distT="0" distB="0" distL="0" distR="0" simplePos="0" relativeHeight="485584384" behindDoc="1" locked="0" layoutInCell="1" allowOverlap="1" wp14:anchorId="67F7A842" wp14:editId="22FED4A7">
              <wp:simplePos x="0" y="0"/>
              <wp:positionH relativeFrom="page">
                <wp:posOffset>528319</wp:posOffset>
              </wp:positionH>
              <wp:positionV relativeFrom="page">
                <wp:posOffset>350540</wp:posOffset>
              </wp:positionV>
              <wp:extent cx="862330" cy="1397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139700"/>
                      </a:xfrm>
                      <a:prstGeom prst="rect">
                        <a:avLst/>
                      </a:prstGeom>
                    </wps:spPr>
                    <wps:txbx>
                      <w:txbxContent>
                        <w:p w14:paraId="4D2BD086" w14:textId="77777777" w:rsidR="009C36E3" w:rsidRDefault="000E7207">
                          <w:pPr>
                            <w:spacing w:before="15"/>
                            <w:ind w:left="20"/>
                            <w:rPr>
                              <w:b/>
                              <w:sz w:val="16"/>
                            </w:rPr>
                          </w:pPr>
                          <w:r>
                            <w:rPr>
                              <w:b/>
                              <w:sz w:val="16"/>
                            </w:rPr>
                            <w:t>Mid-Term</w:t>
                          </w:r>
                          <w:r>
                            <w:rPr>
                              <w:b/>
                              <w:spacing w:val="-6"/>
                              <w:sz w:val="16"/>
                            </w:rPr>
                            <w:t xml:space="preserve"> </w:t>
                          </w:r>
                          <w:r>
                            <w:rPr>
                              <w:b/>
                              <w:spacing w:val="-2"/>
                              <w:sz w:val="16"/>
                            </w:rPr>
                            <w:t>Review</w:t>
                          </w:r>
                        </w:p>
                      </w:txbxContent>
                    </wps:txbx>
                    <wps:bodyPr wrap="square" lIns="0" tIns="0" rIns="0" bIns="0" rtlCol="0">
                      <a:noAutofit/>
                    </wps:bodyPr>
                  </wps:wsp>
                </a:graphicData>
              </a:graphic>
            </wp:anchor>
          </w:drawing>
        </mc:Choice>
        <mc:Fallback>
          <w:pict>
            <v:shapetype w14:anchorId="67F7A842" id="_x0000_t202" coordsize="21600,21600" o:spt="202" path="m,l,21600r21600,l21600,xe">
              <v:stroke joinstyle="miter"/>
              <v:path gradientshapeok="t" o:connecttype="rect"/>
            </v:shapetype>
            <v:shape id="Textbox 120" o:spid="_x0000_s1031" type="#_x0000_t202" style="position:absolute;margin-left:41.6pt;margin-top:27.6pt;width:67.9pt;height:11pt;z-index:-177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" filled="f" stroked="f">
              <v:textbox inset="0,0,0,0">
                <w:txbxContent>
                  <w:p w14:paraId="4D2BD086" w14:textId="77777777" w:rsidR="009C36E3" w:rsidRDefault="000E7207">
                    <w:pPr>
                      <w:spacing w:before="15"/>
                      <w:ind w:left="20"/>
                      <w:rPr>
                        <w:b/>
                        <w:sz w:val="16"/>
                      </w:rPr>
                    </w:pPr>
                    <w:r>
                      <w:rPr>
                        <w:b/>
                        <w:sz w:val="16"/>
                      </w:rPr>
                      <w:t>Mid-Term</w:t>
                    </w:r>
                    <w:r>
                      <w:rPr>
                        <w:b/>
                        <w:spacing w:val="-6"/>
                        <w:sz w:val="16"/>
                      </w:rPr>
                      <w:t xml:space="preserve"> </w:t>
                    </w:r>
                    <w:r>
                      <w:rPr>
                        <w:b/>
                        <w:spacing w:val="-2"/>
                        <w:sz w:val="16"/>
                      </w:rPr>
                      <w:t>Review</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38F9" w14:textId="77777777" w:rsidR="009C36E3" w:rsidRDefault="009C36E3">
    <w:pPr>
      <w:pStyle w:val="BodyText"/>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1A53"/>
    <w:multiLevelType w:val="hybridMultilevel"/>
    <w:tmpl w:val="56D49942"/>
    <w:lvl w:ilvl="0" w:tplc="12D859A8">
      <w:start w:val="1"/>
      <w:numFmt w:val="lowerRoman"/>
      <w:lvlText w:val="%1."/>
      <w:lvlJc w:val="left"/>
      <w:pPr>
        <w:ind w:left="88" w:hanging="92"/>
      </w:pPr>
      <w:rPr>
        <w:rFonts w:ascii="Calibri" w:eastAsia="Calibri" w:hAnsi="Calibri" w:cs="Calibri" w:hint="default"/>
        <w:b w:val="0"/>
        <w:bCs w:val="0"/>
        <w:i w:val="0"/>
        <w:iCs w:val="0"/>
        <w:spacing w:val="-1"/>
        <w:w w:val="107"/>
        <w:sz w:val="12"/>
        <w:szCs w:val="12"/>
        <w:lang w:val="en-US" w:eastAsia="en-US" w:bidi="ar-SA"/>
      </w:rPr>
    </w:lvl>
    <w:lvl w:ilvl="1" w:tplc="DA8833DE">
      <w:numFmt w:val="bullet"/>
      <w:lvlText w:val="•"/>
      <w:lvlJc w:val="left"/>
      <w:pPr>
        <w:ind w:left="390" w:hanging="92"/>
      </w:pPr>
      <w:rPr>
        <w:rFonts w:hint="default"/>
        <w:lang w:val="en-US" w:eastAsia="en-US" w:bidi="ar-SA"/>
      </w:rPr>
    </w:lvl>
    <w:lvl w:ilvl="2" w:tplc="2B026D60">
      <w:numFmt w:val="bullet"/>
      <w:lvlText w:val="•"/>
      <w:lvlJc w:val="left"/>
      <w:pPr>
        <w:ind w:left="700" w:hanging="92"/>
      </w:pPr>
      <w:rPr>
        <w:rFonts w:hint="default"/>
        <w:lang w:val="en-US" w:eastAsia="en-US" w:bidi="ar-SA"/>
      </w:rPr>
    </w:lvl>
    <w:lvl w:ilvl="3" w:tplc="53205818">
      <w:numFmt w:val="bullet"/>
      <w:lvlText w:val="•"/>
      <w:lvlJc w:val="left"/>
      <w:pPr>
        <w:ind w:left="1010" w:hanging="92"/>
      </w:pPr>
      <w:rPr>
        <w:rFonts w:hint="default"/>
        <w:lang w:val="en-US" w:eastAsia="en-US" w:bidi="ar-SA"/>
      </w:rPr>
    </w:lvl>
    <w:lvl w:ilvl="4" w:tplc="E570835E">
      <w:numFmt w:val="bullet"/>
      <w:lvlText w:val="•"/>
      <w:lvlJc w:val="left"/>
      <w:pPr>
        <w:ind w:left="1321" w:hanging="92"/>
      </w:pPr>
      <w:rPr>
        <w:rFonts w:hint="default"/>
        <w:lang w:val="en-US" w:eastAsia="en-US" w:bidi="ar-SA"/>
      </w:rPr>
    </w:lvl>
    <w:lvl w:ilvl="5" w:tplc="0DFCDF14">
      <w:numFmt w:val="bullet"/>
      <w:lvlText w:val="•"/>
      <w:lvlJc w:val="left"/>
      <w:pPr>
        <w:ind w:left="1631" w:hanging="92"/>
      </w:pPr>
      <w:rPr>
        <w:rFonts w:hint="default"/>
        <w:lang w:val="en-US" w:eastAsia="en-US" w:bidi="ar-SA"/>
      </w:rPr>
    </w:lvl>
    <w:lvl w:ilvl="6" w:tplc="7EDC60B4">
      <w:numFmt w:val="bullet"/>
      <w:lvlText w:val="•"/>
      <w:lvlJc w:val="left"/>
      <w:pPr>
        <w:ind w:left="1941" w:hanging="92"/>
      </w:pPr>
      <w:rPr>
        <w:rFonts w:hint="default"/>
        <w:lang w:val="en-US" w:eastAsia="en-US" w:bidi="ar-SA"/>
      </w:rPr>
    </w:lvl>
    <w:lvl w:ilvl="7" w:tplc="49FE0312">
      <w:numFmt w:val="bullet"/>
      <w:lvlText w:val="•"/>
      <w:lvlJc w:val="left"/>
      <w:pPr>
        <w:ind w:left="2251" w:hanging="92"/>
      </w:pPr>
      <w:rPr>
        <w:rFonts w:hint="default"/>
        <w:lang w:val="en-US" w:eastAsia="en-US" w:bidi="ar-SA"/>
      </w:rPr>
    </w:lvl>
    <w:lvl w:ilvl="8" w:tplc="249E2A2A">
      <w:numFmt w:val="bullet"/>
      <w:lvlText w:val="•"/>
      <w:lvlJc w:val="left"/>
      <w:pPr>
        <w:ind w:left="2562" w:hanging="92"/>
      </w:pPr>
      <w:rPr>
        <w:rFonts w:hint="default"/>
        <w:lang w:val="en-US" w:eastAsia="en-US" w:bidi="ar-SA"/>
      </w:rPr>
    </w:lvl>
  </w:abstractNum>
  <w:abstractNum w:abstractNumId="1" w15:restartNumberingAfterBreak="0">
    <w:nsid w:val="078B1720"/>
    <w:multiLevelType w:val="hybridMultilevel"/>
    <w:tmpl w:val="9CAAAB62"/>
    <w:lvl w:ilvl="0" w:tplc="59046C44">
      <w:numFmt w:val="bullet"/>
      <w:lvlText w:val=""/>
      <w:lvlJc w:val="left"/>
      <w:pPr>
        <w:ind w:left="468" w:hanging="360"/>
      </w:pPr>
      <w:rPr>
        <w:rFonts w:ascii="Symbol" w:eastAsia="Symbol" w:hAnsi="Symbol" w:cs="Symbol" w:hint="default"/>
        <w:b w:val="0"/>
        <w:bCs w:val="0"/>
        <w:i w:val="0"/>
        <w:iCs w:val="0"/>
        <w:color w:val="003478"/>
        <w:spacing w:val="0"/>
        <w:w w:val="99"/>
        <w:sz w:val="20"/>
        <w:szCs w:val="20"/>
        <w:lang w:val="en-US" w:eastAsia="en-US" w:bidi="ar-SA"/>
      </w:rPr>
    </w:lvl>
    <w:lvl w:ilvl="1" w:tplc="072A24D8">
      <w:numFmt w:val="bullet"/>
      <w:lvlText w:val="•"/>
      <w:lvlJc w:val="left"/>
      <w:pPr>
        <w:ind w:left="922" w:hanging="360"/>
      </w:pPr>
      <w:rPr>
        <w:rFonts w:hint="default"/>
        <w:lang w:val="en-US" w:eastAsia="en-US" w:bidi="ar-SA"/>
      </w:rPr>
    </w:lvl>
    <w:lvl w:ilvl="2" w:tplc="EF9E1F9E">
      <w:numFmt w:val="bullet"/>
      <w:lvlText w:val="•"/>
      <w:lvlJc w:val="left"/>
      <w:pPr>
        <w:ind w:left="1384" w:hanging="360"/>
      </w:pPr>
      <w:rPr>
        <w:rFonts w:hint="default"/>
        <w:lang w:val="en-US" w:eastAsia="en-US" w:bidi="ar-SA"/>
      </w:rPr>
    </w:lvl>
    <w:lvl w:ilvl="3" w:tplc="639E41C2">
      <w:numFmt w:val="bullet"/>
      <w:lvlText w:val="•"/>
      <w:lvlJc w:val="left"/>
      <w:pPr>
        <w:ind w:left="1846" w:hanging="360"/>
      </w:pPr>
      <w:rPr>
        <w:rFonts w:hint="default"/>
        <w:lang w:val="en-US" w:eastAsia="en-US" w:bidi="ar-SA"/>
      </w:rPr>
    </w:lvl>
    <w:lvl w:ilvl="4" w:tplc="FEC8F674">
      <w:numFmt w:val="bullet"/>
      <w:lvlText w:val="•"/>
      <w:lvlJc w:val="left"/>
      <w:pPr>
        <w:ind w:left="2308" w:hanging="360"/>
      </w:pPr>
      <w:rPr>
        <w:rFonts w:hint="default"/>
        <w:lang w:val="en-US" w:eastAsia="en-US" w:bidi="ar-SA"/>
      </w:rPr>
    </w:lvl>
    <w:lvl w:ilvl="5" w:tplc="86CCC1FC">
      <w:numFmt w:val="bullet"/>
      <w:lvlText w:val="•"/>
      <w:lvlJc w:val="left"/>
      <w:pPr>
        <w:ind w:left="2770" w:hanging="360"/>
      </w:pPr>
      <w:rPr>
        <w:rFonts w:hint="default"/>
        <w:lang w:val="en-US" w:eastAsia="en-US" w:bidi="ar-SA"/>
      </w:rPr>
    </w:lvl>
    <w:lvl w:ilvl="6" w:tplc="55565C14">
      <w:numFmt w:val="bullet"/>
      <w:lvlText w:val="•"/>
      <w:lvlJc w:val="left"/>
      <w:pPr>
        <w:ind w:left="3232" w:hanging="360"/>
      </w:pPr>
      <w:rPr>
        <w:rFonts w:hint="default"/>
        <w:lang w:val="en-US" w:eastAsia="en-US" w:bidi="ar-SA"/>
      </w:rPr>
    </w:lvl>
    <w:lvl w:ilvl="7" w:tplc="F9CCBD7C">
      <w:numFmt w:val="bullet"/>
      <w:lvlText w:val="•"/>
      <w:lvlJc w:val="left"/>
      <w:pPr>
        <w:ind w:left="3694" w:hanging="360"/>
      </w:pPr>
      <w:rPr>
        <w:rFonts w:hint="default"/>
        <w:lang w:val="en-US" w:eastAsia="en-US" w:bidi="ar-SA"/>
      </w:rPr>
    </w:lvl>
    <w:lvl w:ilvl="8" w:tplc="C58E8E64">
      <w:numFmt w:val="bullet"/>
      <w:lvlText w:val="•"/>
      <w:lvlJc w:val="left"/>
      <w:pPr>
        <w:ind w:left="4156" w:hanging="360"/>
      </w:pPr>
      <w:rPr>
        <w:rFonts w:hint="default"/>
        <w:lang w:val="en-US" w:eastAsia="en-US" w:bidi="ar-SA"/>
      </w:rPr>
    </w:lvl>
  </w:abstractNum>
  <w:abstractNum w:abstractNumId="2" w15:restartNumberingAfterBreak="0">
    <w:nsid w:val="0A39546E"/>
    <w:multiLevelType w:val="hybridMultilevel"/>
    <w:tmpl w:val="A038FB46"/>
    <w:lvl w:ilvl="0" w:tplc="35020C94">
      <w:numFmt w:val="bullet"/>
      <w:lvlText w:val=""/>
      <w:lvlJc w:val="left"/>
      <w:pPr>
        <w:ind w:left="1129" w:hanging="358"/>
      </w:pPr>
      <w:rPr>
        <w:rFonts w:ascii="Symbol" w:eastAsia="Symbol" w:hAnsi="Symbol" w:cs="Symbol" w:hint="default"/>
        <w:b w:val="0"/>
        <w:bCs w:val="0"/>
        <w:i w:val="0"/>
        <w:iCs w:val="0"/>
        <w:color w:val="0064BB"/>
        <w:spacing w:val="0"/>
        <w:w w:val="99"/>
        <w:sz w:val="20"/>
        <w:szCs w:val="20"/>
        <w:lang w:val="en-US" w:eastAsia="en-US" w:bidi="ar-SA"/>
      </w:rPr>
    </w:lvl>
    <w:lvl w:ilvl="1" w:tplc="FAE024DE">
      <w:numFmt w:val="bullet"/>
      <w:lvlText w:val="•"/>
      <w:lvlJc w:val="left"/>
      <w:pPr>
        <w:ind w:left="2116" w:hanging="358"/>
      </w:pPr>
      <w:rPr>
        <w:rFonts w:hint="default"/>
        <w:lang w:val="en-US" w:eastAsia="en-US" w:bidi="ar-SA"/>
      </w:rPr>
    </w:lvl>
    <w:lvl w:ilvl="2" w:tplc="C158D10C">
      <w:numFmt w:val="bullet"/>
      <w:lvlText w:val="•"/>
      <w:lvlJc w:val="left"/>
      <w:pPr>
        <w:ind w:left="3113" w:hanging="358"/>
      </w:pPr>
      <w:rPr>
        <w:rFonts w:hint="default"/>
        <w:lang w:val="en-US" w:eastAsia="en-US" w:bidi="ar-SA"/>
      </w:rPr>
    </w:lvl>
    <w:lvl w:ilvl="3" w:tplc="675EE7AC">
      <w:numFmt w:val="bullet"/>
      <w:lvlText w:val="•"/>
      <w:lvlJc w:val="left"/>
      <w:pPr>
        <w:ind w:left="4109" w:hanging="358"/>
      </w:pPr>
      <w:rPr>
        <w:rFonts w:hint="default"/>
        <w:lang w:val="en-US" w:eastAsia="en-US" w:bidi="ar-SA"/>
      </w:rPr>
    </w:lvl>
    <w:lvl w:ilvl="4" w:tplc="30441A9C">
      <w:numFmt w:val="bullet"/>
      <w:lvlText w:val="•"/>
      <w:lvlJc w:val="left"/>
      <w:pPr>
        <w:ind w:left="5106" w:hanging="358"/>
      </w:pPr>
      <w:rPr>
        <w:rFonts w:hint="default"/>
        <w:lang w:val="en-US" w:eastAsia="en-US" w:bidi="ar-SA"/>
      </w:rPr>
    </w:lvl>
    <w:lvl w:ilvl="5" w:tplc="4E14A950">
      <w:numFmt w:val="bullet"/>
      <w:lvlText w:val="•"/>
      <w:lvlJc w:val="left"/>
      <w:pPr>
        <w:ind w:left="6103" w:hanging="358"/>
      </w:pPr>
      <w:rPr>
        <w:rFonts w:hint="default"/>
        <w:lang w:val="en-US" w:eastAsia="en-US" w:bidi="ar-SA"/>
      </w:rPr>
    </w:lvl>
    <w:lvl w:ilvl="6" w:tplc="0BFC0D28">
      <w:numFmt w:val="bullet"/>
      <w:lvlText w:val="•"/>
      <w:lvlJc w:val="left"/>
      <w:pPr>
        <w:ind w:left="7099" w:hanging="358"/>
      </w:pPr>
      <w:rPr>
        <w:rFonts w:hint="default"/>
        <w:lang w:val="en-US" w:eastAsia="en-US" w:bidi="ar-SA"/>
      </w:rPr>
    </w:lvl>
    <w:lvl w:ilvl="7" w:tplc="325C7C4E">
      <w:numFmt w:val="bullet"/>
      <w:lvlText w:val="•"/>
      <w:lvlJc w:val="left"/>
      <w:pPr>
        <w:ind w:left="8096" w:hanging="358"/>
      </w:pPr>
      <w:rPr>
        <w:rFonts w:hint="default"/>
        <w:lang w:val="en-US" w:eastAsia="en-US" w:bidi="ar-SA"/>
      </w:rPr>
    </w:lvl>
    <w:lvl w:ilvl="8" w:tplc="1C3C8844">
      <w:numFmt w:val="bullet"/>
      <w:lvlText w:val="•"/>
      <w:lvlJc w:val="left"/>
      <w:pPr>
        <w:ind w:left="9093" w:hanging="358"/>
      </w:pPr>
      <w:rPr>
        <w:rFonts w:hint="default"/>
        <w:lang w:val="en-US" w:eastAsia="en-US" w:bidi="ar-SA"/>
      </w:rPr>
    </w:lvl>
  </w:abstractNum>
  <w:abstractNum w:abstractNumId="3" w15:restartNumberingAfterBreak="0">
    <w:nsid w:val="0CDE464B"/>
    <w:multiLevelType w:val="hybridMultilevel"/>
    <w:tmpl w:val="D5B28C30"/>
    <w:lvl w:ilvl="0" w:tplc="8466B0BC">
      <w:numFmt w:val="bullet"/>
      <w:lvlText w:val=""/>
      <w:lvlJc w:val="left"/>
      <w:pPr>
        <w:ind w:left="1129" w:hanging="358"/>
      </w:pPr>
      <w:rPr>
        <w:rFonts w:ascii="Symbol" w:eastAsia="Symbol" w:hAnsi="Symbol" w:cs="Symbol" w:hint="default"/>
        <w:b w:val="0"/>
        <w:bCs w:val="0"/>
        <w:i w:val="0"/>
        <w:iCs w:val="0"/>
        <w:color w:val="0064BB"/>
        <w:spacing w:val="0"/>
        <w:w w:val="99"/>
        <w:sz w:val="20"/>
        <w:szCs w:val="20"/>
        <w:lang w:val="en-US" w:eastAsia="en-US" w:bidi="ar-SA"/>
      </w:rPr>
    </w:lvl>
    <w:lvl w:ilvl="1" w:tplc="C694917A">
      <w:numFmt w:val="bullet"/>
      <w:lvlText w:val=""/>
      <w:lvlJc w:val="left"/>
      <w:pPr>
        <w:ind w:left="1237" w:hanging="358"/>
      </w:pPr>
      <w:rPr>
        <w:rFonts w:ascii="Symbol" w:eastAsia="Symbol" w:hAnsi="Symbol" w:cs="Symbol" w:hint="default"/>
        <w:b w:val="0"/>
        <w:bCs w:val="0"/>
        <w:i w:val="0"/>
        <w:iCs w:val="0"/>
        <w:color w:val="0064BB"/>
        <w:spacing w:val="0"/>
        <w:w w:val="99"/>
        <w:sz w:val="20"/>
        <w:szCs w:val="20"/>
        <w:lang w:val="en-US" w:eastAsia="en-US" w:bidi="ar-SA"/>
      </w:rPr>
    </w:lvl>
    <w:lvl w:ilvl="2" w:tplc="8410FE5E">
      <w:numFmt w:val="bullet"/>
      <w:lvlText w:val="•"/>
      <w:lvlJc w:val="left"/>
      <w:pPr>
        <w:ind w:left="2334" w:hanging="358"/>
      </w:pPr>
      <w:rPr>
        <w:rFonts w:hint="default"/>
        <w:lang w:val="en-US" w:eastAsia="en-US" w:bidi="ar-SA"/>
      </w:rPr>
    </w:lvl>
    <w:lvl w:ilvl="3" w:tplc="2A8CA7E4">
      <w:numFmt w:val="bullet"/>
      <w:lvlText w:val="•"/>
      <w:lvlJc w:val="left"/>
      <w:pPr>
        <w:ind w:left="3428" w:hanging="358"/>
      </w:pPr>
      <w:rPr>
        <w:rFonts w:hint="default"/>
        <w:lang w:val="en-US" w:eastAsia="en-US" w:bidi="ar-SA"/>
      </w:rPr>
    </w:lvl>
    <w:lvl w:ilvl="4" w:tplc="882EF200">
      <w:numFmt w:val="bullet"/>
      <w:lvlText w:val="•"/>
      <w:lvlJc w:val="left"/>
      <w:pPr>
        <w:ind w:left="4522" w:hanging="358"/>
      </w:pPr>
      <w:rPr>
        <w:rFonts w:hint="default"/>
        <w:lang w:val="en-US" w:eastAsia="en-US" w:bidi="ar-SA"/>
      </w:rPr>
    </w:lvl>
    <w:lvl w:ilvl="5" w:tplc="A6E40C2A">
      <w:numFmt w:val="bullet"/>
      <w:lvlText w:val="•"/>
      <w:lvlJc w:val="left"/>
      <w:pPr>
        <w:ind w:left="5616" w:hanging="358"/>
      </w:pPr>
      <w:rPr>
        <w:rFonts w:hint="default"/>
        <w:lang w:val="en-US" w:eastAsia="en-US" w:bidi="ar-SA"/>
      </w:rPr>
    </w:lvl>
    <w:lvl w:ilvl="6" w:tplc="0716184C">
      <w:numFmt w:val="bullet"/>
      <w:lvlText w:val="•"/>
      <w:lvlJc w:val="left"/>
      <w:pPr>
        <w:ind w:left="6710" w:hanging="358"/>
      </w:pPr>
      <w:rPr>
        <w:rFonts w:hint="default"/>
        <w:lang w:val="en-US" w:eastAsia="en-US" w:bidi="ar-SA"/>
      </w:rPr>
    </w:lvl>
    <w:lvl w:ilvl="7" w:tplc="9A30B226">
      <w:numFmt w:val="bullet"/>
      <w:lvlText w:val="•"/>
      <w:lvlJc w:val="left"/>
      <w:pPr>
        <w:ind w:left="7804" w:hanging="358"/>
      </w:pPr>
      <w:rPr>
        <w:rFonts w:hint="default"/>
        <w:lang w:val="en-US" w:eastAsia="en-US" w:bidi="ar-SA"/>
      </w:rPr>
    </w:lvl>
    <w:lvl w:ilvl="8" w:tplc="0010E0A4">
      <w:numFmt w:val="bullet"/>
      <w:lvlText w:val="•"/>
      <w:lvlJc w:val="left"/>
      <w:pPr>
        <w:ind w:left="8898" w:hanging="358"/>
      </w:pPr>
      <w:rPr>
        <w:rFonts w:hint="default"/>
        <w:lang w:val="en-US" w:eastAsia="en-US" w:bidi="ar-SA"/>
      </w:rPr>
    </w:lvl>
  </w:abstractNum>
  <w:abstractNum w:abstractNumId="4" w15:restartNumberingAfterBreak="0">
    <w:nsid w:val="11175E5D"/>
    <w:multiLevelType w:val="multilevel"/>
    <w:tmpl w:val="9BCA3EFA"/>
    <w:lvl w:ilvl="0">
      <w:start w:val="1"/>
      <w:numFmt w:val="decimal"/>
      <w:lvlText w:val="%1"/>
      <w:lvlJc w:val="left"/>
      <w:pPr>
        <w:ind w:left="1338" w:hanging="567"/>
      </w:pPr>
      <w:rPr>
        <w:rFonts w:ascii="Arial" w:eastAsia="Arial" w:hAnsi="Arial" w:cs="Arial" w:hint="default"/>
        <w:b/>
        <w:bCs/>
        <w:i w:val="0"/>
        <w:iCs w:val="0"/>
        <w:spacing w:val="0"/>
        <w:w w:val="99"/>
        <w:sz w:val="20"/>
        <w:szCs w:val="20"/>
        <w:lang w:val="en-US" w:eastAsia="en-US" w:bidi="ar-SA"/>
      </w:rPr>
    </w:lvl>
    <w:lvl w:ilvl="1">
      <w:start w:val="1"/>
      <w:numFmt w:val="decimal"/>
      <w:lvlText w:val="%1.%2"/>
      <w:lvlJc w:val="left"/>
      <w:pPr>
        <w:ind w:left="1904" w:hanging="567"/>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2920" w:hanging="567"/>
      </w:pPr>
      <w:rPr>
        <w:rFonts w:hint="default"/>
        <w:lang w:val="en-US" w:eastAsia="en-US" w:bidi="ar-SA"/>
      </w:rPr>
    </w:lvl>
    <w:lvl w:ilvl="3">
      <w:numFmt w:val="bullet"/>
      <w:lvlText w:val="•"/>
      <w:lvlJc w:val="left"/>
      <w:pPr>
        <w:ind w:left="3941" w:hanging="567"/>
      </w:pPr>
      <w:rPr>
        <w:rFonts w:hint="default"/>
        <w:lang w:val="en-US" w:eastAsia="en-US" w:bidi="ar-SA"/>
      </w:rPr>
    </w:lvl>
    <w:lvl w:ilvl="4">
      <w:numFmt w:val="bullet"/>
      <w:lvlText w:val="•"/>
      <w:lvlJc w:val="left"/>
      <w:pPr>
        <w:ind w:left="4962" w:hanging="567"/>
      </w:pPr>
      <w:rPr>
        <w:rFonts w:hint="default"/>
        <w:lang w:val="en-US" w:eastAsia="en-US" w:bidi="ar-SA"/>
      </w:rPr>
    </w:lvl>
    <w:lvl w:ilvl="5">
      <w:numFmt w:val="bullet"/>
      <w:lvlText w:val="•"/>
      <w:lvlJc w:val="left"/>
      <w:pPr>
        <w:ind w:left="5982" w:hanging="567"/>
      </w:pPr>
      <w:rPr>
        <w:rFonts w:hint="default"/>
        <w:lang w:val="en-US" w:eastAsia="en-US" w:bidi="ar-SA"/>
      </w:rPr>
    </w:lvl>
    <w:lvl w:ilvl="6">
      <w:numFmt w:val="bullet"/>
      <w:lvlText w:val="•"/>
      <w:lvlJc w:val="left"/>
      <w:pPr>
        <w:ind w:left="7003" w:hanging="567"/>
      </w:pPr>
      <w:rPr>
        <w:rFonts w:hint="default"/>
        <w:lang w:val="en-US" w:eastAsia="en-US" w:bidi="ar-SA"/>
      </w:rPr>
    </w:lvl>
    <w:lvl w:ilvl="7">
      <w:numFmt w:val="bullet"/>
      <w:lvlText w:val="•"/>
      <w:lvlJc w:val="left"/>
      <w:pPr>
        <w:ind w:left="8024" w:hanging="567"/>
      </w:pPr>
      <w:rPr>
        <w:rFonts w:hint="default"/>
        <w:lang w:val="en-US" w:eastAsia="en-US" w:bidi="ar-SA"/>
      </w:rPr>
    </w:lvl>
    <w:lvl w:ilvl="8">
      <w:numFmt w:val="bullet"/>
      <w:lvlText w:val="•"/>
      <w:lvlJc w:val="left"/>
      <w:pPr>
        <w:ind w:left="9044" w:hanging="567"/>
      </w:pPr>
      <w:rPr>
        <w:rFonts w:hint="default"/>
        <w:lang w:val="en-US" w:eastAsia="en-US" w:bidi="ar-SA"/>
      </w:rPr>
    </w:lvl>
  </w:abstractNum>
  <w:abstractNum w:abstractNumId="5" w15:restartNumberingAfterBreak="0">
    <w:nsid w:val="13857BD4"/>
    <w:multiLevelType w:val="hybridMultilevel"/>
    <w:tmpl w:val="9E9075B8"/>
    <w:lvl w:ilvl="0" w:tplc="AD0AE184">
      <w:numFmt w:val="bullet"/>
      <w:lvlText w:val=""/>
      <w:lvlJc w:val="left"/>
      <w:pPr>
        <w:ind w:left="495" w:hanging="360"/>
      </w:pPr>
      <w:rPr>
        <w:rFonts w:ascii="Symbol" w:eastAsia="Symbol" w:hAnsi="Symbol" w:cs="Symbol" w:hint="default"/>
        <w:b w:val="0"/>
        <w:bCs w:val="0"/>
        <w:i w:val="0"/>
        <w:iCs w:val="0"/>
        <w:spacing w:val="0"/>
        <w:w w:val="99"/>
        <w:sz w:val="20"/>
        <w:szCs w:val="20"/>
        <w:lang w:val="en-US" w:eastAsia="en-US" w:bidi="ar-SA"/>
      </w:rPr>
    </w:lvl>
    <w:lvl w:ilvl="1" w:tplc="490EFC3C">
      <w:numFmt w:val="bullet"/>
      <w:lvlText w:val="•"/>
      <w:lvlJc w:val="left"/>
      <w:pPr>
        <w:ind w:left="804" w:hanging="360"/>
      </w:pPr>
      <w:rPr>
        <w:rFonts w:hint="default"/>
        <w:lang w:val="en-US" w:eastAsia="en-US" w:bidi="ar-SA"/>
      </w:rPr>
    </w:lvl>
    <w:lvl w:ilvl="2" w:tplc="2B00E864">
      <w:numFmt w:val="bullet"/>
      <w:lvlText w:val="•"/>
      <w:lvlJc w:val="left"/>
      <w:pPr>
        <w:ind w:left="1108" w:hanging="360"/>
      </w:pPr>
      <w:rPr>
        <w:rFonts w:hint="default"/>
        <w:lang w:val="en-US" w:eastAsia="en-US" w:bidi="ar-SA"/>
      </w:rPr>
    </w:lvl>
    <w:lvl w:ilvl="3" w:tplc="F7D41A92">
      <w:numFmt w:val="bullet"/>
      <w:lvlText w:val="•"/>
      <w:lvlJc w:val="left"/>
      <w:pPr>
        <w:ind w:left="1412" w:hanging="360"/>
      </w:pPr>
      <w:rPr>
        <w:rFonts w:hint="default"/>
        <w:lang w:val="en-US" w:eastAsia="en-US" w:bidi="ar-SA"/>
      </w:rPr>
    </w:lvl>
    <w:lvl w:ilvl="4" w:tplc="D7FC8714">
      <w:numFmt w:val="bullet"/>
      <w:lvlText w:val="•"/>
      <w:lvlJc w:val="left"/>
      <w:pPr>
        <w:ind w:left="1716" w:hanging="360"/>
      </w:pPr>
      <w:rPr>
        <w:rFonts w:hint="default"/>
        <w:lang w:val="en-US" w:eastAsia="en-US" w:bidi="ar-SA"/>
      </w:rPr>
    </w:lvl>
    <w:lvl w:ilvl="5" w:tplc="A3A0CEF4">
      <w:numFmt w:val="bullet"/>
      <w:lvlText w:val="•"/>
      <w:lvlJc w:val="left"/>
      <w:pPr>
        <w:ind w:left="2020" w:hanging="360"/>
      </w:pPr>
      <w:rPr>
        <w:rFonts w:hint="default"/>
        <w:lang w:val="en-US" w:eastAsia="en-US" w:bidi="ar-SA"/>
      </w:rPr>
    </w:lvl>
    <w:lvl w:ilvl="6" w:tplc="EA24E694">
      <w:numFmt w:val="bullet"/>
      <w:lvlText w:val="•"/>
      <w:lvlJc w:val="left"/>
      <w:pPr>
        <w:ind w:left="2324" w:hanging="360"/>
      </w:pPr>
      <w:rPr>
        <w:rFonts w:hint="default"/>
        <w:lang w:val="en-US" w:eastAsia="en-US" w:bidi="ar-SA"/>
      </w:rPr>
    </w:lvl>
    <w:lvl w:ilvl="7" w:tplc="7A1E3C74">
      <w:numFmt w:val="bullet"/>
      <w:lvlText w:val="•"/>
      <w:lvlJc w:val="left"/>
      <w:pPr>
        <w:ind w:left="2628" w:hanging="360"/>
      </w:pPr>
      <w:rPr>
        <w:rFonts w:hint="default"/>
        <w:lang w:val="en-US" w:eastAsia="en-US" w:bidi="ar-SA"/>
      </w:rPr>
    </w:lvl>
    <w:lvl w:ilvl="8" w:tplc="B4F813BE">
      <w:numFmt w:val="bullet"/>
      <w:lvlText w:val="•"/>
      <w:lvlJc w:val="left"/>
      <w:pPr>
        <w:ind w:left="2932" w:hanging="360"/>
      </w:pPr>
      <w:rPr>
        <w:rFonts w:hint="default"/>
        <w:lang w:val="en-US" w:eastAsia="en-US" w:bidi="ar-SA"/>
      </w:rPr>
    </w:lvl>
  </w:abstractNum>
  <w:abstractNum w:abstractNumId="6" w15:restartNumberingAfterBreak="0">
    <w:nsid w:val="145A01A9"/>
    <w:multiLevelType w:val="hybridMultilevel"/>
    <w:tmpl w:val="BCE42964"/>
    <w:lvl w:ilvl="0" w:tplc="69A68FEA">
      <w:numFmt w:val="bullet"/>
      <w:lvlText w:val=""/>
      <w:lvlJc w:val="left"/>
      <w:pPr>
        <w:ind w:left="495" w:hanging="360"/>
      </w:pPr>
      <w:rPr>
        <w:rFonts w:ascii="Symbol" w:eastAsia="Symbol" w:hAnsi="Symbol" w:cs="Symbol" w:hint="default"/>
        <w:b w:val="0"/>
        <w:bCs w:val="0"/>
        <w:i w:val="0"/>
        <w:iCs w:val="0"/>
        <w:spacing w:val="0"/>
        <w:w w:val="99"/>
        <w:sz w:val="20"/>
        <w:szCs w:val="20"/>
        <w:lang w:val="en-US" w:eastAsia="en-US" w:bidi="ar-SA"/>
      </w:rPr>
    </w:lvl>
    <w:lvl w:ilvl="1" w:tplc="AA448894">
      <w:numFmt w:val="bullet"/>
      <w:lvlText w:val="•"/>
      <w:lvlJc w:val="left"/>
      <w:pPr>
        <w:ind w:left="804" w:hanging="360"/>
      </w:pPr>
      <w:rPr>
        <w:rFonts w:hint="default"/>
        <w:lang w:val="en-US" w:eastAsia="en-US" w:bidi="ar-SA"/>
      </w:rPr>
    </w:lvl>
    <w:lvl w:ilvl="2" w:tplc="14545DCE">
      <w:numFmt w:val="bullet"/>
      <w:lvlText w:val="•"/>
      <w:lvlJc w:val="left"/>
      <w:pPr>
        <w:ind w:left="1108" w:hanging="360"/>
      </w:pPr>
      <w:rPr>
        <w:rFonts w:hint="default"/>
        <w:lang w:val="en-US" w:eastAsia="en-US" w:bidi="ar-SA"/>
      </w:rPr>
    </w:lvl>
    <w:lvl w:ilvl="3" w:tplc="22965624">
      <w:numFmt w:val="bullet"/>
      <w:lvlText w:val="•"/>
      <w:lvlJc w:val="left"/>
      <w:pPr>
        <w:ind w:left="1412" w:hanging="360"/>
      </w:pPr>
      <w:rPr>
        <w:rFonts w:hint="default"/>
        <w:lang w:val="en-US" w:eastAsia="en-US" w:bidi="ar-SA"/>
      </w:rPr>
    </w:lvl>
    <w:lvl w:ilvl="4" w:tplc="23668820">
      <w:numFmt w:val="bullet"/>
      <w:lvlText w:val="•"/>
      <w:lvlJc w:val="left"/>
      <w:pPr>
        <w:ind w:left="1716" w:hanging="360"/>
      </w:pPr>
      <w:rPr>
        <w:rFonts w:hint="default"/>
        <w:lang w:val="en-US" w:eastAsia="en-US" w:bidi="ar-SA"/>
      </w:rPr>
    </w:lvl>
    <w:lvl w:ilvl="5" w:tplc="B1B61DA8">
      <w:numFmt w:val="bullet"/>
      <w:lvlText w:val="•"/>
      <w:lvlJc w:val="left"/>
      <w:pPr>
        <w:ind w:left="2020" w:hanging="360"/>
      </w:pPr>
      <w:rPr>
        <w:rFonts w:hint="default"/>
        <w:lang w:val="en-US" w:eastAsia="en-US" w:bidi="ar-SA"/>
      </w:rPr>
    </w:lvl>
    <w:lvl w:ilvl="6" w:tplc="00A890AE">
      <w:numFmt w:val="bullet"/>
      <w:lvlText w:val="•"/>
      <w:lvlJc w:val="left"/>
      <w:pPr>
        <w:ind w:left="2324" w:hanging="360"/>
      </w:pPr>
      <w:rPr>
        <w:rFonts w:hint="default"/>
        <w:lang w:val="en-US" w:eastAsia="en-US" w:bidi="ar-SA"/>
      </w:rPr>
    </w:lvl>
    <w:lvl w:ilvl="7" w:tplc="E7D43632">
      <w:numFmt w:val="bullet"/>
      <w:lvlText w:val="•"/>
      <w:lvlJc w:val="left"/>
      <w:pPr>
        <w:ind w:left="2628" w:hanging="360"/>
      </w:pPr>
      <w:rPr>
        <w:rFonts w:hint="default"/>
        <w:lang w:val="en-US" w:eastAsia="en-US" w:bidi="ar-SA"/>
      </w:rPr>
    </w:lvl>
    <w:lvl w:ilvl="8" w:tplc="9E3016AA">
      <w:numFmt w:val="bullet"/>
      <w:lvlText w:val="•"/>
      <w:lvlJc w:val="left"/>
      <w:pPr>
        <w:ind w:left="2932" w:hanging="360"/>
      </w:pPr>
      <w:rPr>
        <w:rFonts w:hint="default"/>
        <w:lang w:val="en-US" w:eastAsia="en-US" w:bidi="ar-SA"/>
      </w:rPr>
    </w:lvl>
  </w:abstractNum>
  <w:abstractNum w:abstractNumId="7" w15:restartNumberingAfterBreak="0">
    <w:nsid w:val="15A522A5"/>
    <w:multiLevelType w:val="hybridMultilevel"/>
    <w:tmpl w:val="735625C6"/>
    <w:lvl w:ilvl="0" w:tplc="8556B222">
      <w:numFmt w:val="bullet"/>
      <w:lvlText w:val=""/>
      <w:lvlJc w:val="left"/>
      <w:pPr>
        <w:ind w:left="500" w:hanging="360"/>
      </w:pPr>
      <w:rPr>
        <w:rFonts w:ascii="Symbol" w:eastAsia="Symbol" w:hAnsi="Symbol" w:cs="Symbol" w:hint="default"/>
        <w:b w:val="0"/>
        <w:bCs w:val="0"/>
        <w:i w:val="0"/>
        <w:iCs w:val="0"/>
        <w:spacing w:val="0"/>
        <w:w w:val="99"/>
        <w:sz w:val="20"/>
        <w:szCs w:val="20"/>
        <w:lang w:val="en-US" w:eastAsia="en-US" w:bidi="ar-SA"/>
      </w:rPr>
    </w:lvl>
    <w:lvl w:ilvl="1" w:tplc="36E6A4CE">
      <w:numFmt w:val="bullet"/>
      <w:lvlText w:val="•"/>
      <w:lvlJc w:val="left"/>
      <w:pPr>
        <w:ind w:left="810" w:hanging="360"/>
      </w:pPr>
      <w:rPr>
        <w:rFonts w:hint="default"/>
        <w:lang w:val="en-US" w:eastAsia="en-US" w:bidi="ar-SA"/>
      </w:rPr>
    </w:lvl>
    <w:lvl w:ilvl="2" w:tplc="F3DE327E">
      <w:numFmt w:val="bullet"/>
      <w:lvlText w:val="•"/>
      <w:lvlJc w:val="left"/>
      <w:pPr>
        <w:ind w:left="1120" w:hanging="360"/>
      </w:pPr>
      <w:rPr>
        <w:rFonts w:hint="default"/>
        <w:lang w:val="en-US" w:eastAsia="en-US" w:bidi="ar-SA"/>
      </w:rPr>
    </w:lvl>
    <w:lvl w:ilvl="3" w:tplc="92DA17AC">
      <w:numFmt w:val="bullet"/>
      <w:lvlText w:val="•"/>
      <w:lvlJc w:val="left"/>
      <w:pPr>
        <w:ind w:left="1430" w:hanging="360"/>
      </w:pPr>
      <w:rPr>
        <w:rFonts w:hint="default"/>
        <w:lang w:val="en-US" w:eastAsia="en-US" w:bidi="ar-SA"/>
      </w:rPr>
    </w:lvl>
    <w:lvl w:ilvl="4" w:tplc="64DE0B06">
      <w:numFmt w:val="bullet"/>
      <w:lvlText w:val="•"/>
      <w:lvlJc w:val="left"/>
      <w:pPr>
        <w:ind w:left="1740" w:hanging="360"/>
      </w:pPr>
      <w:rPr>
        <w:rFonts w:hint="default"/>
        <w:lang w:val="en-US" w:eastAsia="en-US" w:bidi="ar-SA"/>
      </w:rPr>
    </w:lvl>
    <w:lvl w:ilvl="5" w:tplc="3370CA1A">
      <w:numFmt w:val="bullet"/>
      <w:lvlText w:val="•"/>
      <w:lvlJc w:val="left"/>
      <w:pPr>
        <w:ind w:left="2050" w:hanging="360"/>
      </w:pPr>
      <w:rPr>
        <w:rFonts w:hint="default"/>
        <w:lang w:val="en-US" w:eastAsia="en-US" w:bidi="ar-SA"/>
      </w:rPr>
    </w:lvl>
    <w:lvl w:ilvl="6" w:tplc="E12A82EE">
      <w:numFmt w:val="bullet"/>
      <w:lvlText w:val="•"/>
      <w:lvlJc w:val="left"/>
      <w:pPr>
        <w:ind w:left="2360" w:hanging="360"/>
      </w:pPr>
      <w:rPr>
        <w:rFonts w:hint="default"/>
        <w:lang w:val="en-US" w:eastAsia="en-US" w:bidi="ar-SA"/>
      </w:rPr>
    </w:lvl>
    <w:lvl w:ilvl="7" w:tplc="4CBC3BA4">
      <w:numFmt w:val="bullet"/>
      <w:lvlText w:val="•"/>
      <w:lvlJc w:val="left"/>
      <w:pPr>
        <w:ind w:left="2670" w:hanging="360"/>
      </w:pPr>
      <w:rPr>
        <w:rFonts w:hint="default"/>
        <w:lang w:val="en-US" w:eastAsia="en-US" w:bidi="ar-SA"/>
      </w:rPr>
    </w:lvl>
    <w:lvl w:ilvl="8" w:tplc="56D81DE6">
      <w:numFmt w:val="bullet"/>
      <w:lvlText w:val="•"/>
      <w:lvlJc w:val="left"/>
      <w:pPr>
        <w:ind w:left="2980" w:hanging="360"/>
      </w:pPr>
      <w:rPr>
        <w:rFonts w:hint="default"/>
        <w:lang w:val="en-US" w:eastAsia="en-US" w:bidi="ar-SA"/>
      </w:rPr>
    </w:lvl>
  </w:abstractNum>
  <w:abstractNum w:abstractNumId="8" w15:restartNumberingAfterBreak="0">
    <w:nsid w:val="175D70F3"/>
    <w:multiLevelType w:val="hybridMultilevel"/>
    <w:tmpl w:val="C9125002"/>
    <w:lvl w:ilvl="0" w:tplc="C282A0F2">
      <w:numFmt w:val="bullet"/>
      <w:lvlText w:val=""/>
      <w:lvlJc w:val="left"/>
      <w:pPr>
        <w:ind w:left="500" w:hanging="360"/>
      </w:pPr>
      <w:rPr>
        <w:rFonts w:ascii="Symbol" w:eastAsia="Symbol" w:hAnsi="Symbol" w:cs="Symbol" w:hint="default"/>
        <w:b w:val="0"/>
        <w:bCs w:val="0"/>
        <w:i w:val="0"/>
        <w:iCs w:val="0"/>
        <w:spacing w:val="0"/>
        <w:w w:val="99"/>
        <w:sz w:val="20"/>
        <w:szCs w:val="20"/>
        <w:lang w:val="en-US" w:eastAsia="en-US" w:bidi="ar-SA"/>
      </w:rPr>
    </w:lvl>
    <w:lvl w:ilvl="1" w:tplc="DAA698E8">
      <w:numFmt w:val="bullet"/>
      <w:lvlText w:val="•"/>
      <w:lvlJc w:val="left"/>
      <w:pPr>
        <w:ind w:left="810" w:hanging="360"/>
      </w:pPr>
      <w:rPr>
        <w:rFonts w:hint="default"/>
        <w:lang w:val="en-US" w:eastAsia="en-US" w:bidi="ar-SA"/>
      </w:rPr>
    </w:lvl>
    <w:lvl w:ilvl="2" w:tplc="80744E08">
      <w:numFmt w:val="bullet"/>
      <w:lvlText w:val="•"/>
      <w:lvlJc w:val="left"/>
      <w:pPr>
        <w:ind w:left="1120" w:hanging="360"/>
      </w:pPr>
      <w:rPr>
        <w:rFonts w:hint="default"/>
        <w:lang w:val="en-US" w:eastAsia="en-US" w:bidi="ar-SA"/>
      </w:rPr>
    </w:lvl>
    <w:lvl w:ilvl="3" w:tplc="E7C8A720">
      <w:numFmt w:val="bullet"/>
      <w:lvlText w:val="•"/>
      <w:lvlJc w:val="left"/>
      <w:pPr>
        <w:ind w:left="1430" w:hanging="360"/>
      </w:pPr>
      <w:rPr>
        <w:rFonts w:hint="default"/>
        <w:lang w:val="en-US" w:eastAsia="en-US" w:bidi="ar-SA"/>
      </w:rPr>
    </w:lvl>
    <w:lvl w:ilvl="4" w:tplc="09CA0DE6">
      <w:numFmt w:val="bullet"/>
      <w:lvlText w:val="•"/>
      <w:lvlJc w:val="left"/>
      <w:pPr>
        <w:ind w:left="1740" w:hanging="360"/>
      </w:pPr>
      <w:rPr>
        <w:rFonts w:hint="default"/>
        <w:lang w:val="en-US" w:eastAsia="en-US" w:bidi="ar-SA"/>
      </w:rPr>
    </w:lvl>
    <w:lvl w:ilvl="5" w:tplc="7ED42558">
      <w:numFmt w:val="bullet"/>
      <w:lvlText w:val="•"/>
      <w:lvlJc w:val="left"/>
      <w:pPr>
        <w:ind w:left="2050" w:hanging="360"/>
      </w:pPr>
      <w:rPr>
        <w:rFonts w:hint="default"/>
        <w:lang w:val="en-US" w:eastAsia="en-US" w:bidi="ar-SA"/>
      </w:rPr>
    </w:lvl>
    <w:lvl w:ilvl="6" w:tplc="F41EA8D0">
      <w:numFmt w:val="bullet"/>
      <w:lvlText w:val="•"/>
      <w:lvlJc w:val="left"/>
      <w:pPr>
        <w:ind w:left="2360" w:hanging="360"/>
      </w:pPr>
      <w:rPr>
        <w:rFonts w:hint="default"/>
        <w:lang w:val="en-US" w:eastAsia="en-US" w:bidi="ar-SA"/>
      </w:rPr>
    </w:lvl>
    <w:lvl w:ilvl="7" w:tplc="E1DA25D2">
      <w:numFmt w:val="bullet"/>
      <w:lvlText w:val="•"/>
      <w:lvlJc w:val="left"/>
      <w:pPr>
        <w:ind w:left="2670" w:hanging="360"/>
      </w:pPr>
      <w:rPr>
        <w:rFonts w:hint="default"/>
        <w:lang w:val="en-US" w:eastAsia="en-US" w:bidi="ar-SA"/>
      </w:rPr>
    </w:lvl>
    <w:lvl w:ilvl="8" w:tplc="3A6A40D6">
      <w:numFmt w:val="bullet"/>
      <w:lvlText w:val="•"/>
      <w:lvlJc w:val="left"/>
      <w:pPr>
        <w:ind w:left="2980" w:hanging="360"/>
      </w:pPr>
      <w:rPr>
        <w:rFonts w:hint="default"/>
        <w:lang w:val="en-US" w:eastAsia="en-US" w:bidi="ar-SA"/>
      </w:rPr>
    </w:lvl>
  </w:abstractNum>
  <w:abstractNum w:abstractNumId="9" w15:restartNumberingAfterBreak="0">
    <w:nsid w:val="18302ADE"/>
    <w:multiLevelType w:val="hybridMultilevel"/>
    <w:tmpl w:val="84123CD8"/>
    <w:lvl w:ilvl="0" w:tplc="76645A82">
      <w:numFmt w:val="bullet"/>
      <w:lvlText w:val=""/>
      <w:lvlJc w:val="left"/>
      <w:pPr>
        <w:ind w:left="468" w:hanging="360"/>
      </w:pPr>
      <w:rPr>
        <w:rFonts w:ascii="Symbol" w:eastAsia="Symbol" w:hAnsi="Symbol" w:cs="Symbol" w:hint="default"/>
        <w:b w:val="0"/>
        <w:bCs w:val="0"/>
        <w:i w:val="0"/>
        <w:iCs w:val="0"/>
        <w:color w:val="0064BB"/>
        <w:spacing w:val="0"/>
        <w:w w:val="99"/>
        <w:sz w:val="20"/>
        <w:szCs w:val="20"/>
        <w:lang w:val="en-US" w:eastAsia="en-US" w:bidi="ar-SA"/>
      </w:rPr>
    </w:lvl>
    <w:lvl w:ilvl="1" w:tplc="929E469A">
      <w:numFmt w:val="bullet"/>
      <w:lvlText w:val="•"/>
      <w:lvlJc w:val="left"/>
      <w:pPr>
        <w:ind w:left="1433" w:hanging="360"/>
      </w:pPr>
      <w:rPr>
        <w:rFonts w:hint="default"/>
        <w:lang w:val="en-US" w:eastAsia="en-US" w:bidi="ar-SA"/>
      </w:rPr>
    </w:lvl>
    <w:lvl w:ilvl="2" w:tplc="CDD045CE">
      <w:numFmt w:val="bullet"/>
      <w:lvlText w:val="•"/>
      <w:lvlJc w:val="left"/>
      <w:pPr>
        <w:ind w:left="2407" w:hanging="360"/>
      </w:pPr>
      <w:rPr>
        <w:rFonts w:hint="default"/>
        <w:lang w:val="en-US" w:eastAsia="en-US" w:bidi="ar-SA"/>
      </w:rPr>
    </w:lvl>
    <w:lvl w:ilvl="3" w:tplc="48D2FEEA">
      <w:numFmt w:val="bullet"/>
      <w:lvlText w:val="•"/>
      <w:lvlJc w:val="left"/>
      <w:pPr>
        <w:ind w:left="3380" w:hanging="360"/>
      </w:pPr>
      <w:rPr>
        <w:rFonts w:hint="default"/>
        <w:lang w:val="en-US" w:eastAsia="en-US" w:bidi="ar-SA"/>
      </w:rPr>
    </w:lvl>
    <w:lvl w:ilvl="4" w:tplc="13E80EDC">
      <w:numFmt w:val="bullet"/>
      <w:lvlText w:val="•"/>
      <w:lvlJc w:val="left"/>
      <w:pPr>
        <w:ind w:left="4354" w:hanging="360"/>
      </w:pPr>
      <w:rPr>
        <w:rFonts w:hint="default"/>
        <w:lang w:val="en-US" w:eastAsia="en-US" w:bidi="ar-SA"/>
      </w:rPr>
    </w:lvl>
    <w:lvl w:ilvl="5" w:tplc="753E4D54">
      <w:numFmt w:val="bullet"/>
      <w:lvlText w:val="•"/>
      <w:lvlJc w:val="left"/>
      <w:pPr>
        <w:ind w:left="5327" w:hanging="360"/>
      </w:pPr>
      <w:rPr>
        <w:rFonts w:hint="default"/>
        <w:lang w:val="en-US" w:eastAsia="en-US" w:bidi="ar-SA"/>
      </w:rPr>
    </w:lvl>
    <w:lvl w:ilvl="6" w:tplc="269CA118">
      <w:numFmt w:val="bullet"/>
      <w:lvlText w:val="•"/>
      <w:lvlJc w:val="left"/>
      <w:pPr>
        <w:ind w:left="6301" w:hanging="360"/>
      </w:pPr>
      <w:rPr>
        <w:rFonts w:hint="default"/>
        <w:lang w:val="en-US" w:eastAsia="en-US" w:bidi="ar-SA"/>
      </w:rPr>
    </w:lvl>
    <w:lvl w:ilvl="7" w:tplc="90CAFD76">
      <w:numFmt w:val="bullet"/>
      <w:lvlText w:val="•"/>
      <w:lvlJc w:val="left"/>
      <w:pPr>
        <w:ind w:left="7274" w:hanging="360"/>
      </w:pPr>
      <w:rPr>
        <w:rFonts w:hint="default"/>
        <w:lang w:val="en-US" w:eastAsia="en-US" w:bidi="ar-SA"/>
      </w:rPr>
    </w:lvl>
    <w:lvl w:ilvl="8" w:tplc="1CC0466E">
      <w:numFmt w:val="bullet"/>
      <w:lvlText w:val="•"/>
      <w:lvlJc w:val="left"/>
      <w:pPr>
        <w:ind w:left="8248" w:hanging="360"/>
      </w:pPr>
      <w:rPr>
        <w:rFonts w:hint="default"/>
        <w:lang w:val="en-US" w:eastAsia="en-US" w:bidi="ar-SA"/>
      </w:rPr>
    </w:lvl>
  </w:abstractNum>
  <w:abstractNum w:abstractNumId="10" w15:restartNumberingAfterBreak="0">
    <w:nsid w:val="21613909"/>
    <w:multiLevelType w:val="hybridMultilevel"/>
    <w:tmpl w:val="86F60D0E"/>
    <w:lvl w:ilvl="0" w:tplc="4EE881A8">
      <w:numFmt w:val="bullet"/>
      <w:lvlText w:val=""/>
      <w:lvlJc w:val="left"/>
      <w:pPr>
        <w:ind w:left="495" w:hanging="360"/>
      </w:pPr>
      <w:rPr>
        <w:rFonts w:ascii="Symbol" w:eastAsia="Symbol" w:hAnsi="Symbol" w:cs="Symbol" w:hint="default"/>
        <w:b w:val="0"/>
        <w:bCs w:val="0"/>
        <w:i w:val="0"/>
        <w:iCs w:val="0"/>
        <w:spacing w:val="0"/>
        <w:w w:val="99"/>
        <w:sz w:val="20"/>
        <w:szCs w:val="20"/>
        <w:lang w:val="en-US" w:eastAsia="en-US" w:bidi="ar-SA"/>
      </w:rPr>
    </w:lvl>
    <w:lvl w:ilvl="1" w:tplc="69EC1488">
      <w:numFmt w:val="bullet"/>
      <w:lvlText w:val="•"/>
      <w:lvlJc w:val="left"/>
      <w:pPr>
        <w:ind w:left="804" w:hanging="360"/>
      </w:pPr>
      <w:rPr>
        <w:rFonts w:hint="default"/>
        <w:lang w:val="en-US" w:eastAsia="en-US" w:bidi="ar-SA"/>
      </w:rPr>
    </w:lvl>
    <w:lvl w:ilvl="2" w:tplc="114CEEA8">
      <w:numFmt w:val="bullet"/>
      <w:lvlText w:val="•"/>
      <w:lvlJc w:val="left"/>
      <w:pPr>
        <w:ind w:left="1108" w:hanging="360"/>
      </w:pPr>
      <w:rPr>
        <w:rFonts w:hint="default"/>
        <w:lang w:val="en-US" w:eastAsia="en-US" w:bidi="ar-SA"/>
      </w:rPr>
    </w:lvl>
    <w:lvl w:ilvl="3" w:tplc="4B2A0610">
      <w:numFmt w:val="bullet"/>
      <w:lvlText w:val="•"/>
      <w:lvlJc w:val="left"/>
      <w:pPr>
        <w:ind w:left="1412" w:hanging="360"/>
      </w:pPr>
      <w:rPr>
        <w:rFonts w:hint="default"/>
        <w:lang w:val="en-US" w:eastAsia="en-US" w:bidi="ar-SA"/>
      </w:rPr>
    </w:lvl>
    <w:lvl w:ilvl="4" w:tplc="E9F023C6">
      <w:numFmt w:val="bullet"/>
      <w:lvlText w:val="•"/>
      <w:lvlJc w:val="left"/>
      <w:pPr>
        <w:ind w:left="1716" w:hanging="360"/>
      </w:pPr>
      <w:rPr>
        <w:rFonts w:hint="default"/>
        <w:lang w:val="en-US" w:eastAsia="en-US" w:bidi="ar-SA"/>
      </w:rPr>
    </w:lvl>
    <w:lvl w:ilvl="5" w:tplc="E9945652">
      <w:numFmt w:val="bullet"/>
      <w:lvlText w:val="•"/>
      <w:lvlJc w:val="left"/>
      <w:pPr>
        <w:ind w:left="2020" w:hanging="360"/>
      </w:pPr>
      <w:rPr>
        <w:rFonts w:hint="default"/>
        <w:lang w:val="en-US" w:eastAsia="en-US" w:bidi="ar-SA"/>
      </w:rPr>
    </w:lvl>
    <w:lvl w:ilvl="6" w:tplc="D9681BC4">
      <w:numFmt w:val="bullet"/>
      <w:lvlText w:val="•"/>
      <w:lvlJc w:val="left"/>
      <w:pPr>
        <w:ind w:left="2324" w:hanging="360"/>
      </w:pPr>
      <w:rPr>
        <w:rFonts w:hint="default"/>
        <w:lang w:val="en-US" w:eastAsia="en-US" w:bidi="ar-SA"/>
      </w:rPr>
    </w:lvl>
    <w:lvl w:ilvl="7" w:tplc="A8CE9152">
      <w:numFmt w:val="bullet"/>
      <w:lvlText w:val="•"/>
      <w:lvlJc w:val="left"/>
      <w:pPr>
        <w:ind w:left="2628" w:hanging="360"/>
      </w:pPr>
      <w:rPr>
        <w:rFonts w:hint="default"/>
        <w:lang w:val="en-US" w:eastAsia="en-US" w:bidi="ar-SA"/>
      </w:rPr>
    </w:lvl>
    <w:lvl w:ilvl="8" w:tplc="7722CFAE">
      <w:numFmt w:val="bullet"/>
      <w:lvlText w:val="•"/>
      <w:lvlJc w:val="left"/>
      <w:pPr>
        <w:ind w:left="2932" w:hanging="360"/>
      </w:pPr>
      <w:rPr>
        <w:rFonts w:hint="default"/>
        <w:lang w:val="en-US" w:eastAsia="en-US" w:bidi="ar-SA"/>
      </w:rPr>
    </w:lvl>
  </w:abstractNum>
  <w:abstractNum w:abstractNumId="11" w15:restartNumberingAfterBreak="0">
    <w:nsid w:val="2276419E"/>
    <w:multiLevelType w:val="hybridMultilevel"/>
    <w:tmpl w:val="277E4F58"/>
    <w:lvl w:ilvl="0" w:tplc="32D695E0">
      <w:numFmt w:val="bullet"/>
      <w:lvlText w:val=""/>
      <w:lvlJc w:val="left"/>
      <w:pPr>
        <w:ind w:left="468" w:hanging="360"/>
      </w:pPr>
      <w:rPr>
        <w:rFonts w:ascii="Symbol" w:eastAsia="Symbol" w:hAnsi="Symbol" w:cs="Symbol" w:hint="default"/>
        <w:b w:val="0"/>
        <w:bCs w:val="0"/>
        <w:i w:val="0"/>
        <w:iCs w:val="0"/>
        <w:color w:val="003478"/>
        <w:spacing w:val="0"/>
        <w:w w:val="99"/>
        <w:sz w:val="20"/>
        <w:szCs w:val="20"/>
        <w:lang w:val="en-US" w:eastAsia="en-US" w:bidi="ar-SA"/>
      </w:rPr>
    </w:lvl>
    <w:lvl w:ilvl="1" w:tplc="1FB02256">
      <w:numFmt w:val="bullet"/>
      <w:lvlText w:val="•"/>
      <w:lvlJc w:val="left"/>
      <w:pPr>
        <w:ind w:left="919" w:hanging="360"/>
      </w:pPr>
      <w:rPr>
        <w:rFonts w:hint="default"/>
        <w:lang w:val="en-US" w:eastAsia="en-US" w:bidi="ar-SA"/>
      </w:rPr>
    </w:lvl>
    <w:lvl w:ilvl="2" w:tplc="8E946070">
      <w:numFmt w:val="bullet"/>
      <w:lvlText w:val="•"/>
      <w:lvlJc w:val="left"/>
      <w:pPr>
        <w:ind w:left="1379" w:hanging="360"/>
      </w:pPr>
      <w:rPr>
        <w:rFonts w:hint="default"/>
        <w:lang w:val="en-US" w:eastAsia="en-US" w:bidi="ar-SA"/>
      </w:rPr>
    </w:lvl>
    <w:lvl w:ilvl="3" w:tplc="3D983A78">
      <w:numFmt w:val="bullet"/>
      <w:lvlText w:val="•"/>
      <w:lvlJc w:val="left"/>
      <w:pPr>
        <w:ind w:left="1839" w:hanging="360"/>
      </w:pPr>
      <w:rPr>
        <w:rFonts w:hint="default"/>
        <w:lang w:val="en-US" w:eastAsia="en-US" w:bidi="ar-SA"/>
      </w:rPr>
    </w:lvl>
    <w:lvl w:ilvl="4" w:tplc="79E2637C">
      <w:numFmt w:val="bullet"/>
      <w:lvlText w:val="•"/>
      <w:lvlJc w:val="left"/>
      <w:pPr>
        <w:ind w:left="2299" w:hanging="360"/>
      </w:pPr>
      <w:rPr>
        <w:rFonts w:hint="default"/>
        <w:lang w:val="en-US" w:eastAsia="en-US" w:bidi="ar-SA"/>
      </w:rPr>
    </w:lvl>
    <w:lvl w:ilvl="5" w:tplc="280E04B8">
      <w:numFmt w:val="bullet"/>
      <w:lvlText w:val="•"/>
      <w:lvlJc w:val="left"/>
      <w:pPr>
        <w:ind w:left="2759" w:hanging="360"/>
      </w:pPr>
      <w:rPr>
        <w:rFonts w:hint="default"/>
        <w:lang w:val="en-US" w:eastAsia="en-US" w:bidi="ar-SA"/>
      </w:rPr>
    </w:lvl>
    <w:lvl w:ilvl="6" w:tplc="731442E6">
      <w:numFmt w:val="bullet"/>
      <w:lvlText w:val="•"/>
      <w:lvlJc w:val="left"/>
      <w:pPr>
        <w:ind w:left="3218" w:hanging="360"/>
      </w:pPr>
      <w:rPr>
        <w:rFonts w:hint="default"/>
        <w:lang w:val="en-US" w:eastAsia="en-US" w:bidi="ar-SA"/>
      </w:rPr>
    </w:lvl>
    <w:lvl w:ilvl="7" w:tplc="C2DC028C">
      <w:numFmt w:val="bullet"/>
      <w:lvlText w:val="•"/>
      <w:lvlJc w:val="left"/>
      <w:pPr>
        <w:ind w:left="3678" w:hanging="360"/>
      </w:pPr>
      <w:rPr>
        <w:rFonts w:hint="default"/>
        <w:lang w:val="en-US" w:eastAsia="en-US" w:bidi="ar-SA"/>
      </w:rPr>
    </w:lvl>
    <w:lvl w:ilvl="8" w:tplc="273ECA3C">
      <w:numFmt w:val="bullet"/>
      <w:lvlText w:val="•"/>
      <w:lvlJc w:val="left"/>
      <w:pPr>
        <w:ind w:left="4138" w:hanging="360"/>
      </w:pPr>
      <w:rPr>
        <w:rFonts w:hint="default"/>
        <w:lang w:val="en-US" w:eastAsia="en-US" w:bidi="ar-SA"/>
      </w:rPr>
    </w:lvl>
  </w:abstractNum>
  <w:abstractNum w:abstractNumId="12" w15:restartNumberingAfterBreak="0">
    <w:nsid w:val="26971CFD"/>
    <w:multiLevelType w:val="hybridMultilevel"/>
    <w:tmpl w:val="BE52F2FC"/>
    <w:lvl w:ilvl="0" w:tplc="484E4236">
      <w:numFmt w:val="bullet"/>
      <w:lvlText w:val=""/>
      <w:lvlJc w:val="left"/>
      <w:pPr>
        <w:ind w:left="1129" w:hanging="358"/>
      </w:pPr>
      <w:rPr>
        <w:rFonts w:ascii="Symbol" w:eastAsia="Symbol" w:hAnsi="Symbol" w:cs="Symbol" w:hint="default"/>
        <w:b w:val="0"/>
        <w:bCs w:val="0"/>
        <w:i w:val="0"/>
        <w:iCs w:val="0"/>
        <w:color w:val="0064BB"/>
        <w:spacing w:val="0"/>
        <w:w w:val="99"/>
        <w:sz w:val="20"/>
        <w:szCs w:val="20"/>
        <w:lang w:val="en-US" w:eastAsia="en-US" w:bidi="ar-SA"/>
      </w:rPr>
    </w:lvl>
    <w:lvl w:ilvl="1" w:tplc="927E95B2">
      <w:numFmt w:val="bullet"/>
      <w:lvlText w:val="•"/>
      <w:lvlJc w:val="left"/>
      <w:pPr>
        <w:ind w:left="2116" w:hanging="358"/>
      </w:pPr>
      <w:rPr>
        <w:rFonts w:hint="default"/>
        <w:lang w:val="en-US" w:eastAsia="en-US" w:bidi="ar-SA"/>
      </w:rPr>
    </w:lvl>
    <w:lvl w:ilvl="2" w:tplc="475E4DD6">
      <w:numFmt w:val="bullet"/>
      <w:lvlText w:val="•"/>
      <w:lvlJc w:val="left"/>
      <w:pPr>
        <w:ind w:left="3113" w:hanging="358"/>
      </w:pPr>
      <w:rPr>
        <w:rFonts w:hint="default"/>
        <w:lang w:val="en-US" w:eastAsia="en-US" w:bidi="ar-SA"/>
      </w:rPr>
    </w:lvl>
    <w:lvl w:ilvl="3" w:tplc="65165ADA">
      <w:numFmt w:val="bullet"/>
      <w:lvlText w:val="•"/>
      <w:lvlJc w:val="left"/>
      <w:pPr>
        <w:ind w:left="4109" w:hanging="358"/>
      </w:pPr>
      <w:rPr>
        <w:rFonts w:hint="default"/>
        <w:lang w:val="en-US" w:eastAsia="en-US" w:bidi="ar-SA"/>
      </w:rPr>
    </w:lvl>
    <w:lvl w:ilvl="4" w:tplc="C916C56E">
      <w:numFmt w:val="bullet"/>
      <w:lvlText w:val="•"/>
      <w:lvlJc w:val="left"/>
      <w:pPr>
        <w:ind w:left="5106" w:hanging="358"/>
      </w:pPr>
      <w:rPr>
        <w:rFonts w:hint="default"/>
        <w:lang w:val="en-US" w:eastAsia="en-US" w:bidi="ar-SA"/>
      </w:rPr>
    </w:lvl>
    <w:lvl w:ilvl="5" w:tplc="AB381D6A">
      <w:numFmt w:val="bullet"/>
      <w:lvlText w:val="•"/>
      <w:lvlJc w:val="left"/>
      <w:pPr>
        <w:ind w:left="6103" w:hanging="358"/>
      </w:pPr>
      <w:rPr>
        <w:rFonts w:hint="default"/>
        <w:lang w:val="en-US" w:eastAsia="en-US" w:bidi="ar-SA"/>
      </w:rPr>
    </w:lvl>
    <w:lvl w:ilvl="6" w:tplc="DCA2B1C0">
      <w:numFmt w:val="bullet"/>
      <w:lvlText w:val="•"/>
      <w:lvlJc w:val="left"/>
      <w:pPr>
        <w:ind w:left="7099" w:hanging="358"/>
      </w:pPr>
      <w:rPr>
        <w:rFonts w:hint="default"/>
        <w:lang w:val="en-US" w:eastAsia="en-US" w:bidi="ar-SA"/>
      </w:rPr>
    </w:lvl>
    <w:lvl w:ilvl="7" w:tplc="A55653DC">
      <w:numFmt w:val="bullet"/>
      <w:lvlText w:val="•"/>
      <w:lvlJc w:val="left"/>
      <w:pPr>
        <w:ind w:left="8096" w:hanging="358"/>
      </w:pPr>
      <w:rPr>
        <w:rFonts w:hint="default"/>
        <w:lang w:val="en-US" w:eastAsia="en-US" w:bidi="ar-SA"/>
      </w:rPr>
    </w:lvl>
    <w:lvl w:ilvl="8" w:tplc="71E83EC8">
      <w:numFmt w:val="bullet"/>
      <w:lvlText w:val="•"/>
      <w:lvlJc w:val="left"/>
      <w:pPr>
        <w:ind w:left="9093" w:hanging="358"/>
      </w:pPr>
      <w:rPr>
        <w:rFonts w:hint="default"/>
        <w:lang w:val="en-US" w:eastAsia="en-US" w:bidi="ar-SA"/>
      </w:rPr>
    </w:lvl>
  </w:abstractNum>
  <w:abstractNum w:abstractNumId="13" w15:restartNumberingAfterBreak="0">
    <w:nsid w:val="28E51414"/>
    <w:multiLevelType w:val="hybridMultilevel"/>
    <w:tmpl w:val="F4F632E4"/>
    <w:lvl w:ilvl="0" w:tplc="BD921294">
      <w:numFmt w:val="bullet"/>
      <w:lvlText w:val=""/>
      <w:lvlJc w:val="left"/>
      <w:pPr>
        <w:ind w:left="5553" w:hanging="360"/>
      </w:pPr>
      <w:rPr>
        <w:rFonts w:ascii="Symbol" w:eastAsia="Symbol" w:hAnsi="Symbol" w:cs="Symbol" w:hint="default"/>
        <w:b w:val="0"/>
        <w:bCs w:val="0"/>
        <w:i w:val="0"/>
        <w:iCs w:val="0"/>
        <w:spacing w:val="0"/>
        <w:w w:val="99"/>
        <w:sz w:val="20"/>
        <w:szCs w:val="20"/>
        <w:lang w:val="en-US" w:eastAsia="en-US" w:bidi="ar-SA"/>
      </w:rPr>
    </w:lvl>
    <w:lvl w:ilvl="1" w:tplc="2F9614AC">
      <w:numFmt w:val="bullet"/>
      <w:lvlText w:val="•"/>
      <w:lvlJc w:val="left"/>
      <w:pPr>
        <w:ind w:left="6896" w:hanging="360"/>
      </w:pPr>
      <w:rPr>
        <w:rFonts w:hint="default"/>
        <w:lang w:val="en-US" w:eastAsia="en-US" w:bidi="ar-SA"/>
      </w:rPr>
    </w:lvl>
    <w:lvl w:ilvl="2" w:tplc="645C912C">
      <w:numFmt w:val="bullet"/>
      <w:lvlText w:val="•"/>
      <w:lvlJc w:val="left"/>
      <w:pPr>
        <w:ind w:left="8233" w:hanging="360"/>
      </w:pPr>
      <w:rPr>
        <w:rFonts w:hint="default"/>
        <w:lang w:val="en-US" w:eastAsia="en-US" w:bidi="ar-SA"/>
      </w:rPr>
    </w:lvl>
    <w:lvl w:ilvl="3" w:tplc="E5FA5150">
      <w:numFmt w:val="bullet"/>
      <w:lvlText w:val="•"/>
      <w:lvlJc w:val="left"/>
      <w:pPr>
        <w:ind w:left="9570" w:hanging="360"/>
      </w:pPr>
      <w:rPr>
        <w:rFonts w:hint="default"/>
        <w:lang w:val="en-US" w:eastAsia="en-US" w:bidi="ar-SA"/>
      </w:rPr>
    </w:lvl>
    <w:lvl w:ilvl="4" w:tplc="FC26E480">
      <w:numFmt w:val="bullet"/>
      <w:lvlText w:val="•"/>
      <w:lvlJc w:val="left"/>
      <w:pPr>
        <w:ind w:left="10907" w:hanging="360"/>
      </w:pPr>
      <w:rPr>
        <w:rFonts w:hint="default"/>
        <w:lang w:val="en-US" w:eastAsia="en-US" w:bidi="ar-SA"/>
      </w:rPr>
    </w:lvl>
    <w:lvl w:ilvl="5" w:tplc="95822704">
      <w:numFmt w:val="bullet"/>
      <w:lvlText w:val="•"/>
      <w:lvlJc w:val="left"/>
      <w:pPr>
        <w:ind w:left="12244" w:hanging="360"/>
      </w:pPr>
      <w:rPr>
        <w:rFonts w:hint="default"/>
        <w:lang w:val="en-US" w:eastAsia="en-US" w:bidi="ar-SA"/>
      </w:rPr>
    </w:lvl>
    <w:lvl w:ilvl="6" w:tplc="2E166B10">
      <w:numFmt w:val="bullet"/>
      <w:lvlText w:val="•"/>
      <w:lvlJc w:val="left"/>
      <w:pPr>
        <w:ind w:left="13580" w:hanging="360"/>
      </w:pPr>
      <w:rPr>
        <w:rFonts w:hint="default"/>
        <w:lang w:val="en-US" w:eastAsia="en-US" w:bidi="ar-SA"/>
      </w:rPr>
    </w:lvl>
    <w:lvl w:ilvl="7" w:tplc="9B9AF7B6">
      <w:numFmt w:val="bullet"/>
      <w:lvlText w:val="•"/>
      <w:lvlJc w:val="left"/>
      <w:pPr>
        <w:ind w:left="14917" w:hanging="360"/>
      </w:pPr>
      <w:rPr>
        <w:rFonts w:hint="default"/>
        <w:lang w:val="en-US" w:eastAsia="en-US" w:bidi="ar-SA"/>
      </w:rPr>
    </w:lvl>
    <w:lvl w:ilvl="8" w:tplc="9A7ABCBA">
      <w:numFmt w:val="bullet"/>
      <w:lvlText w:val="•"/>
      <w:lvlJc w:val="left"/>
      <w:pPr>
        <w:ind w:left="16254" w:hanging="360"/>
      </w:pPr>
      <w:rPr>
        <w:rFonts w:hint="default"/>
        <w:lang w:val="en-US" w:eastAsia="en-US" w:bidi="ar-SA"/>
      </w:rPr>
    </w:lvl>
  </w:abstractNum>
  <w:abstractNum w:abstractNumId="14" w15:restartNumberingAfterBreak="0">
    <w:nsid w:val="2C531497"/>
    <w:multiLevelType w:val="hybridMultilevel"/>
    <w:tmpl w:val="2D8A4E5C"/>
    <w:lvl w:ilvl="0" w:tplc="8D4AEDAA">
      <w:numFmt w:val="bullet"/>
      <w:lvlText w:val=""/>
      <w:lvlJc w:val="left"/>
      <w:pPr>
        <w:ind w:left="500" w:hanging="360"/>
      </w:pPr>
      <w:rPr>
        <w:rFonts w:ascii="Symbol" w:eastAsia="Symbol" w:hAnsi="Symbol" w:cs="Symbol" w:hint="default"/>
        <w:b w:val="0"/>
        <w:bCs w:val="0"/>
        <w:i w:val="0"/>
        <w:iCs w:val="0"/>
        <w:spacing w:val="0"/>
        <w:w w:val="99"/>
        <w:sz w:val="20"/>
        <w:szCs w:val="20"/>
        <w:lang w:val="en-US" w:eastAsia="en-US" w:bidi="ar-SA"/>
      </w:rPr>
    </w:lvl>
    <w:lvl w:ilvl="1" w:tplc="4596215A">
      <w:numFmt w:val="bullet"/>
      <w:lvlText w:val="•"/>
      <w:lvlJc w:val="left"/>
      <w:pPr>
        <w:ind w:left="810" w:hanging="360"/>
      </w:pPr>
      <w:rPr>
        <w:rFonts w:hint="default"/>
        <w:lang w:val="en-US" w:eastAsia="en-US" w:bidi="ar-SA"/>
      </w:rPr>
    </w:lvl>
    <w:lvl w:ilvl="2" w:tplc="BEA8DC80">
      <w:numFmt w:val="bullet"/>
      <w:lvlText w:val="•"/>
      <w:lvlJc w:val="left"/>
      <w:pPr>
        <w:ind w:left="1120" w:hanging="360"/>
      </w:pPr>
      <w:rPr>
        <w:rFonts w:hint="default"/>
        <w:lang w:val="en-US" w:eastAsia="en-US" w:bidi="ar-SA"/>
      </w:rPr>
    </w:lvl>
    <w:lvl w:ilvl="3" w:tplc="C776AFC8">
      <w:numFmt w:val="bullet"/>
      <w:lvlText w:val="•"/>
      <w:lvlJc w:val="left"/>
      <w:pPr>
        <w:ind w:left="1430" w:hanging="360"/>
      </w:pPr>
      <w:rPr>
        <w:rFonts w:hint="default"/>
        <w:lang w:val="en-US" w:eastAsia="en-US" w:bidi="ar-SA"/>
      </w:rPr>
    </w:lvl>
    <w:lvl w:ilvl="4" w:tplc="3A3C7568">
      <w:numFmt w:val="bullet"/>
      <w:lvlText w:val="•"/>
      <w:lvlJc w:val="left"/>
      <w:pPr>
        <w:ind w:left="1740" w:hanging="360"/>
      </w:pPr>
      <w:rPr>
        <w:rFonts w:hint="default"/>
        <w:lang w:val="en-US" w:eastAsia="en-US" w:bidi="ar-SA"/>
      </w:rPr>
    </w:lvl>
    <w:lvl w:ilvl="5" w:tplc="7A8EFA7A">
      <w:numFmt w:val="bullet"/>
      <w:lvlText w:val="•"/>
      <w:lvlJc w:val="left"/>
      <w:pPr>
        <w:ind w:left="2050" w:hanging="360"/>
      </w:pPr>
      <w:rPr>
        <w:rFonts w:hint="default"/>
        <w:lang w:val="en-US" w:eastAsia="en-US" w:bidi="ar-SA"/>
      </w:rPr>
    </w:lvl>
    <w:lvl w:ilvl="6" w:tplc="DED8B7D0">
      <w:numFmt w:val="bullet"/>
      <w:lvlText w:val="•"/>
      <w:lvlJc w:val="left"/>
      <w:pPr>
        <w:ind w:left="2360" w:hanging="360"/>
      </w:pPr>
      <w:rPr>
        <w:rFonts w:hint="default"/>
        <w:lang w:val="en-US" w:eastAsia="en-US" w:bidi="ar-SA"/>
      </w:rPr>
    </w:lvl>
    <w:lvl w:ilvl="7" w:tplc="2B688A66">
      <w:numFmt w:val="bullet"/>
      <w:lvlText w:val="•"/>
      <w:lvlJc w:val="left"/>
      <w:pPr>
        <w:ind w:left="2670" w:hanging="360"/>
      </w:pPr>
      <w:rPr>
        <w:rFonts w:hint="default"/>
        <w:lang w:val="en-US" w:eastAsia="en-US" w:bidi="ar-SA"/>
      </w:rPr>
    </w:lvl>
    <w:lvl w:ilvl="8" w:tplc="F5508EA6">
      <w:numFmt w:val="bullet"/>
      <w:lvlText w:val="•"/>
      <w:lvlJc w:val="left"/>
      <w:pPr>
        <w:ind w:left="2980" w:hanging="360"/>
      </w:pPr>
      <w:rPr>
        <w:rFonts w:hint="default"/>
        <w:lang w:val="en-US" w:eastAsia="en-US" w:bidi="ar-SA"/>
      </w:rPr>
    </w:lvl>
  </w:abstractNum>
  <w:abstractNum w:abstractNumId="15" w15:restartNumberingAfterBreak="0">
    <w:nsid w:val="2C5E5DDA"/>
    <w:multiLevelType w:val="hybridMultilevel"/>
    <w:tmpl w:val="7FA43BC0"/>
    <w:lvl w:ilvl="0" w:tplc="BDE0E908">
      <w:start w:val="1"/>
      <w:numFmt w:val="decimal"/>
      <w:lvlText w:val="%1."/>
      <w:lvlJc w:val="left"/>
      <w:pPr>
        <w:ind w:left="1129" w:hanging="358"/>
      </w:pPr>
      <w:rPr>
        <w:rFonts w:ascii="Arial" w:eastAsia="Arial" w:hAnsi="Arial" w:cs="Arial" w:hint="default"/>
        <w:b w:val="0"/>
        <w:bCs w:val="0"/>
        <w:i w:val="0"/>
        <w:iCs w:val="0"/>
        <w:spacing w:val="-1"/>
        <w:w w:val="99"/>
        <w:sz w:val="20"/>
        <w:szCs w:val="20"/>
        <w:lang w:val="en-US" w:eastAsia="en-US" w:bidi="ar-SA"/>
      </w:rPr>
    </w:lvl>
    <w:lvl w:ilvl="1" w:tplc="80FA587C">
      <w:start w:val="1"/>
      <w:numFmt w:val="lowerLetter"/>
      <w:lvlText w:val="(%2)"/>
      <w:lvlJc w:val="left"/>
      <w:pPr>
        <w:ind w:left="1484" w:hanging="356"/>
      </w:pPr>
      <w:rPr>
        <w:rFonts w:ascii="Arial" w:eastAsia="Arial" w:hAnsi="Arial" w:cs="Arial" w:hint="default"/>
        <w:b w:val="0"/>
        <w:bCs w:val="0"/>
        <w:i w:val="0"/>
        <w:iCs w:val="0"/>
        <w:spacing w:val="-1"/>
        <w:w w:val="99"/>
        <w:sz w:val="20"/>
        <w:szCs w:val="20"/>
        <w:lang w:val="en-US" w:eastAsia="en-US" w:bidi="ar-SA"/>
      </w:rPr>
    </w:lvl>
    <w:lvl w:ilvl="2" w:tplc="E0C2326C">
      <w:numFmt w:val="bullet"/>
      <w:lvlText w:val="•"/>
      <w:lvlJc w:val="left"/>
      <w:pPr>
        <w:ind w:left="2547" w:hanging="356"/>
      </w:pPr>
      <w:rPr>
        <w:rFonts w:hint="default"/>
        <w:lang w:val="en-US" w:eastAsia="en-US" w:bidi="ar-SA"/>
      </w:rPr>
    </w:lvl>
    <w:lvl w:ilvl="3" w:tplc="BE7E5E62">
      <w:numFmt w:val="bullet"/>
      <w:lvlText w:val="•"/>
      <w:lvlJc w:val="left"/>
      <w:pPr>
        <w:ind w:left="3614" w:hanging="356"/>
      </w:pPr>
      <w:rPr>
        <w:rFonts w:hint="default"/>
        <w:lang w:val="en-US" w:eastAsia="en-US" w:bidi="ar-SA"/>
      </w:rPr>
    </w:lvl>
    <w:lvl w:ilvl="4" w:tplc="6FBCEAA6">
      <w:numFmt w:val="bullet"/>
      <w:lvlText w:val="•"/>
      <w:lvlJc w:val="left"/>
      <w:pPr>
        <w:ind w:left="4682" w:hanging="356"/>
      </w:pPr>
      <w:rPr>
        <w:rFonts w:hint="default"/>
        <w:lang w:val="en-US" w:eastAsia="en-US" w:bidi="ar-SA"/>
      </w:rPr>
    </w:lvl>
    <w:lvl w:ilvl="5" w:tplc="A0427746">
      <w:numFmt w:val="bullet"/>
      <w:lvlText w:val="•"/>
      <w:lvlJc w:val="left"/>
      <w:pPr>
        <w:ind w:left="5749" w:hanging="356"/>
      </w:pPr>
      <w:rPr>
        <w:rFonts w:hint="default"/>
        <w:lang w:val="en-US" w:eastAsia="en-US" w:bidi="ar-SA"/>
      </w:rPr>
    </w:lvl>
    <w:lvl w:ilvl="6" w:tplc="20B2D07A">
      <w:numFmt w:val="bullet"/>
      <w:lvlText w:val="•"/>
      <w:lvlJc w:val="left"/>
      <w:pPr>
        <w:ind w:left="6816" w:hanging="356"/>
      </w:pPr>
      <w:rPr>
        <w:rFonts w:hint="default"/>
        <w:lang w:val="en-US" w:eastAsia="en-US" w:bidi="ar-SA"/>
      </w:rPr>
    </w:lvl>
    <w:lvl w:ilvl="7" w:tplc="64A0E024">
      <w:numFmt w:val="bullet"/>
      <w:lvlText w:val="•"/>
      <w:lvlJc w:val="left"/>
      <w:pPr>
        <w:ind w:left="7884" w:hanging="356"/>
      </w:pPr>
      <w:rPr>
        <w:rFonts w:hint="default"/>
        <w:lang w:val="en-US" w:eastAsia="en-US" w:bidi="ar-SA"/>
      </w:rPr>
    </w:lvl>
    <w:lvl w:ilvl="8" w:tplc="71265E52">
      <w:numFmt w:val="bullet"/>
      <w:lvlText w:val="•"/>
      <w:lvlJc w:val="left"/>
      <w:pPr>
        <w:ind w:left="8951" w:hanging="356"/>
      </w:pPr>
      <w:rPr>
        <w:rFonts w:hint="default"/>
        <w:lang w:val="en-US" w:eastAsia="en-US" w:bidi="ar-SA"/>
      </w:rPr>
    </w:lvl>
  </w:abstractNum>
  <w:abstractNum w:abstractNumId="16" w15:restartNumberingAfterBreak="0">
    <w:nsid w:val="2CA0346F"/>
    <w:multiLevelType w:val="hybridMultilevel"/>
    <w:tmpl w:val="6FCA1C6C"/>
    <w:lvl w:ilvl="0" w:tplc="ADD68F7E">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6FF8F1DE">
      <w:numFmt w:val="bullet"/>
      <w:lvlText w:val="•"/>
      <w:lvlJc w:val="left"/>
      <w:pPr>
        <w:ind w:left="790" w:hanging="360"/>
      </w:pPr>
      <w:rPr>
        <w:rFonts w:hint="default"/>
        <w:lang w:val="en-US" w:eastAsia="en-US" w:bidi="ar-SA"/>
      </w:rPr>
    </w:lvl>
    <w:lvl w:ilvl="2" w:tplc="63B22EEC">
      <w:numFmt w:val="bullet"/>
      <w:lvlText w:val="•"/>
      <w:lvlJc w:val="left"/>
      <w:pPr>
        <w:ind w:left="1101" w:hanging="360"/>
      </w:pPr>
      <w:rPr>
        <w:rFonts w:hint="default"/>
        <w:lang w:val="en-US" w:eastAsia="en-US" w:bidi="ar-SA"/>
      </w:rPr>
    </w:lvl>
    <w:lvl w:ilvl="3" w:tplc="76A06E9A">
      <w:numFmt w:val="bullet"/>
      <w:lvlText w:val="•"/>
      <w:lvlJc w:val="left"/>
      <w:pPr>
        <w:ind w:left="1412" w:hanging="360"/>
      </w:pPr>
      <w:rPr>
        <w:rFonts w:hint="default"/>
        <w:lang w:val="en-US" w:eastAsia="en-US" w:bidi="ar-SA"/>
      </w:rPr>
    </w:lvl>
    <w:lvl w:ilvl="4" w:tplc="880EF986">
      <w:numFmt w:val="bullet"/>
      <w:lvlText w:val="•"/>
      <w:lvlJc w:val="left"/>
      <w:pPr>
        <w:ind w:left="1723" w:hanging="360"/>
      </w:pPr>
      <w:rPr>
        <w:rFonts w:hint="default"/>
        <w:lang w:val="en-US" w:eastAsia="en-US" w:bidi="ar-SA"/>
      </w:rPr>
    </w:lvl>
    <w:lvl w:ilvl="5" w:tplc="0C3E26C6">
      <w:numFmt w:val="bullet"/>
      <w:lvlText w:val="•"/>
      <w:lvlJc w:val="left"/>
      <w:pPr>
        <w:ind w:left="2034" w:hanging="360"/>
      </w:pPr>
      <w:rPr>
        <w:rFonts w:hint="default"/>
        <w:lang w:val="en-US" w:eastAsia="en-US" w:bidi="ar-SA"/>
      </w:rPr>
    </w:lvl>
    <w:lvl w:ilvl="6" w:tplc="E9E24A2E">
      <w:numFmt w:val="bullet"/>
      <w:lvlText w:val="•"/>
      <w:lvlJc w:val="left"/>
      <w:pPr>
        <w:ind w:left="2344" w:hanging="360"/>
      </w:pPr>
      <w:rPr>
        <w:rFonts w:hint="default"/>
        <w:lang w:val="en-US" w:eastAsia="en-US" w:bidi="ar-SA"/>
      </w:rPr>
    </w:lvl>
    <w:lvl w:ilvl="7" w:tplc="4816C6D6">
      <w:numFmt w:val="bullet"/>
      <w:lvlText w:val="•"/>
      <w:lvlJc w:val="left"/>
      <w:pPr>
        <w:ind w:left="2655" w:hanging="360"/>
      </w:pPr>
      <w:rPr>
        <w:rFonts w:hint="default"/>
        <w:lang w:val="en-US" w:eastAsia="en-US" w:bidi="ar-SA"/>
      </w:rPr>
    </w:lvl>
    <w:lvl w:ilvl="8" w:tplc="95D6D39A">
      <w:numFmt w:val="bullet"/>
      <w:lvlText w:val="•"/>
      <w:lvlJc w:val="left"/>
      <w:pPr>
        <w:ind w:left="2966" w:hanging="360"/>
      </w:pPr>
      <w:rPr>
        <w:rFonts w:hint="default"/>
        <w:lang w:val="en-US" w:eastAsia="en-US" w:bidi="ar-SA"/>
      </w:rPr>
    </w:lvl>
  </w:abstractNum>
  <w:abstractNum w:abstractNumId="17" w15:restartNumberingAfterBreak="0">
    <w:nsid w:val="2F052046"/>
    <w:multiLevelType w:val="hybridMultilevel"/>
    <w:tmpl w:val="B2F297D8"/>
    <w:lvl w:ilvl="0" w:tplc="BC56E44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1E3EA8A0">
      <w:numFmt w:val="bullet"/>
      <w:lvlText w:val="•"/>
      <w:lvlJc w:val="left"/>
      <w:pPr>
        <w:ind w:left="790" w:hanging="360"/>
      </w:pPr>
      <w:rPr>
        <w:rFonts w:hint="default"/>
        <w:lang w:val="en-US" w:eastAsia="en-US" w:bidi="ar-SA"/>
      </w:rPr>
    </w:lvl>
    <w:lvl w:ilvl="2" w:tplc="B44A1996">
      <w:numFmt w:val="bullet"/>
      <w:lvlText w:val="•"/>
      <w:lvlJc w:val="left"/>
      <w:pPr>
        <w:ind w:left="1101" w:hanging="360"/>
      </w:pPr>
      <w:rPr>
        <w:rFonts w:hint="default"/>
        <w:lang w:val="en-US" w:eastAsia="en-US" w:bidi="ar-SA"/>
      </w:rPr>
    </w:lvl>
    <w:lvl w:ilvl="3" w:tplc="0534EB5A">
      <w:numFmt w:val="bullet"/>
      <w:lvlText w:val="•"/>
      <w:lvlJc w:val="left"/>
      <w:pPr>
        <w:ind w:left="1412" w:hanging="360"/>
      </w:pPr>
      <w:rPr>
        <w:rFonts w:hint="default"/>
        <w:lang w:val="en-US" w:eastAsia="en-US" w:bidi="ar-SA"/>
      </w:rPr>
    </w:lvl>
    <w:lvl w:ilvl="4" w:tplc="67362118">
      <w:numFmt w:val="bullet"/>
      <w:lvlText w:val="•"/>
      <w:lvlJc w:val="left"/>
      <w:pPr>
        <w:ind w:left="1723" w:hanging="360"/>
      </w:pPr>
      <w:rPr>
        <w:rFonts w:hint="default"/>
        <w:lang w:val="en-US" w:eastAsia="en-US" w:bidi="ar-SA"/>
      </w:rPr>
    </w:lvl>
    <w:lvl w:ilvl="5" w:tplc="12A6B170">
      <w:numFmt w:val="bullet"/>
      <w:lvlText w:val="•"/>
      <w:lvlJc w:val="left"/>
      <w:pPr>
        <w:ind w:left="2034" w:hanging="360"/>
      </w:pPr>
      <w:rPr>
        <w:rFonts w:hint="default"/>
        <w:lang w:val="en-US" w:eastAsia="en-US" w:bidi="ar-SA"/>
      </w:rPr>
    </w:lvl>
    <w:lvl w:ilvl="6" w:tplc="BD68F278">
      <w:numFmt w:val="bullet"/>
      <w:lvlText w:val="•"/>
      <w:lvlJc w:val="left"/>
      <w:pPr>
        <w:ind w:left="2344" w:hanging="360"/>
      </w:pPr>
      <w:rPr>
        <w:rFonts w:hint="default"/>
        <w:lang w:val="en-US" w:eastAsia="en-US" w:bidi="ar-SA"/>
      </w:rPr>
    </w:lvl>
    <w:lvl w:ilvl="7" w:tplc="8FC01EFC">
      <w:numFmt w:val="bullet"/>
      <w:lvlText w:val="•"/>
      <w:lvlJc w:val="left"/>
      <w:pPr>
        <w:ind w:left="2655" w:hanging="360"/>
      </w:pPr>
      <w:rPr>
        <w:rFonts w:hint="default"/>
        <w:lang w:val="en-US" w:eastAsia="en-US" w:bidi="ar-SA"/>
      </w:rPr>
    </w:lvl>
    <w:lvl w:ilvl="8" w:tplc="05A4B970">
      <w:numFmt w:val="bullet"/>
      <w:lvlText w:val="•"/>
      <w:lvlJc w:val="left"/>
      <w:pPr>
        <w:ind w:left="2966" w:hanging="360"/>
      </w:pPr>
      <w:rPr>
        <w:rFonts w:hint="default"/>
        <w:lang w:val="en-US" w:eastAsia="en-US" w:bidi="ar-SA"/>
      </w:rPr>
    </w:lvl>
  </w:abstractNum>
  <w:abstractNum w:abstractNumId="18" w15:restartNumberingAfterBreak="0">
    <w:nsid w:val="45812BA8"/>
    <w:multiLevelType w:val="hybridMultilevel"/>
    <w:tmpl w:val="FDE4A5DC"/>
    <w:lvl w:ilvl="0" w:tplc="9708AD9C">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BA6E930E">
      <w:numFmt w:val="bullet"/>
      <w:lvlText w:val="•"/>
      <w:lvlJc w:val="left"/>
      <w:pPr>
        <w:ind w:left="790" w:hanging="360"/>
      </w:pPr>
      <w:rPr>
        <w:rFonts w:hint="default"/>
        <w:lang w:val="en-US" w:eastAsia="en-US" w:bidi="ar-SA"/>
      </w:rPr>
    </w:lvl>
    <w:lvl w:ilvl="2" w:tplc="EDC643D0">
      <w:numFmt w:val="bullet"/>
      <w:lvlText w:val="•"/>
      <w:lvlJc w:val="left"/>
      <w:pPr>
        <w:ind w:left="1101" w:hanging="360"/>
      </w:pPr>
      <w:rPr>
        <w:rFonts w:hint="default"/>
        <w:lang w:val="en-US" w:eastAsia="en-US" w:bidi="ar-SA"/>
      </w:rPr>
    </w:lvl>
    <w:lvl w:ilvl="3" w:tplc="F3A499E6">
      <w:numFmt w:val="bullet"/>
      <w:lvlText w:val="•"/>
      <w:lvlJc w:val="left"/>
      <w:pPr>
        <w:ind w:left="1412" w:hanging="360"/>
      </w:pPr>
      <w:rPr>
        <w:rFonts w:hint="default"/>
        <w:lang w:val="en-US" w:eastAsia="en-US" w:bidi="ar-SA"/>
      </w:rPr>
    </w:lvl>
    <w:lvl w:ilvl="4" w:tplc="8E666D98">
      <w:numFmt w:val="bullet"/>
      <w:lvlText w:val="•"/>
      <w:lvlJc w:val="left"/>
      <w:pPr>
        <w:ind w:left="1723" w:hanging="360"/>
      </w:pPr>
      <w:rPr>
        <w:rFonts w:hint="default"/>
        <w:lang w:val="en-US" w:eastAsia="en-US" w:bidi="ar-SA"/>
      </w:rPr>
    </w:lvl>
    <w:lvl w:ilvl="5" w:tplc="C4406FA2">
      <w:numFmt w:val="bullet"/>
      <w:lvlText w:val="•"/>
      <w:lvlJc w:val="left"/>
      <w:pPr>
        <w:ind w:left="2034" w:hanging="360"/>
      </w:pPr>
      <w:rPr>
        <w:rFonts w:hint="default"/>
        <w:lang w:val="en-US" w:eastAsia="en-US" w:bidi="ar-SA"/>
      </w:rPr>
    </w:lvl>
    <w:lvl w:ilvl="6" w:tplc="304430AA">
      <w:numFmt w:val="bullet"/>
      <w:lvlText w:val="•"/>
      <w:lvlJc w:val="left"/>
      <w:pPr>
        <w:ind w:left="2344" w:hanging="360"/>
      </w:pPr>
      <w:rPr>
        <w:rFonts w:hint="default"/>
        <w:lang w:val="en-US" w:eastAsia="en-US" w:bidi="ar-SA"/>
      </w:rPr>
    </w:lvl>
    <w:lvl w:ilvl="7" w:tplc="47D65AFC">
      <w:numFmt w:val="bullet"/>
      <w:lvlText w:val="•"/>
      <w:lvlJc w:val="left"/>
      <w:pPr>
        <w:ind w:left="2655" w:hanging="360"/>
      </w:pPr>
      <w:rPr>
        <w:rFonts w:hint="default"/>
        <w:lang w:val="en-US" w:eastAsia="en-US" w:bidi="ar-SA"/>
      </w:rPr>
    </w:lvl>
    <w:lvl w:ilvl="8" w:tplc="EAB26962">
      <w:numFmt w:val="bullet"/>
      <w:lvlText w:val="•"/>
      <w:lvlJc w:val="left"/>
      <w:pPr>
        <w:ind w:left="2966" w:hanging="360"/>
      </w:pPr>
      <w:rPr>
        <w:rFonts w:hint="default"/>
        <w:lang w:val="en-US" w:eastAsia="en-US" w:bidi="ar-SA"/>
      </w:rPr>
    </w:lvl>
  </w:abstractNum>
  <w:abstractNum w:abstractNumId="19" w15:restartNumberingAfterBreak="0">
    <w:nsid w:val="47AE26CC"/>
    <w:multiLevelType w:val="hybridMultilevel"/>
    <w:tmpl w:val="3A80CEF2"/>
    <w:lvl w:ilvl="0" w:tplc="C2443FC0">
      <w:numFmt w:val="bullet"/>
      <w:lvlText w:val=""/>
      <w:lvlJc w:val="left"/>
      <w:pPr>
        <w:ind w:left="468" w:hanging="360"/>
      </w:pPr>
      <w:rPr>
        <w:rFonts w:ascii="Symbol" w:eastAsia="Symbol" w:hAnsi="Symbol" w:cs="Symbol" w:hint="default"/>
        <w:b w:val="0"/>
        <w:bCs w:val="0"/>
        <w:i w:val="0"/>
        <w:iCs w:val="0"/>
        <w:color w:val="003478"/>
        <w:spacing w:val="0"/>
        <w:w w:val="99"/>
        <w:sz w:val="20"/>
        <w:szCs w:val="20"/>
        <w:lang w:val="en-US" w:eastAsia="en-US" w:bidi="ar-SA"/>
      </w:rPr>
    </w:lvl>
    <w:lvl w:ilvl="1" w:tplc="23A01102">
      <w:numFmt w:val="bullet"/>
      <w:lvlText w:val="•"/>
      <w:lvlJc w:val="left"/>
      <w:pPr>
        <w:ind w:left="919" w:hanging="360"/>
      </w:pPr>
      <w:rPr>
        <w:rFonts w:hint="default"/>
        <w:lang w:val="en-US" w:eastAsia="en-US" w:bidi="ar-SA"/>
      </w:rPr>
    </w:lvl>
    <w:lvl w:ilvl="2" w:tplc="F1E227C2">
      <w:numFmt w:val="bullet"/>
      <w:lvlText w:val="•"/>
      <w:lvlJc w:val="left"/>
      <w:pPr>
        <w:ind w:left="1378" w:hanging="360"/>
      </w:pPr>
      <w:rPr>
        <w:rFonts w:hint="default"/>
        <w:lang w:val="en-US" w:eastAsia="en-US" w:bidi="ar-SA"/>
      </w:rPr>
    </w:lvl>
    <w:lvl w:ilvl="3" w:tplc="80A85652">
      <w:numFmt w:val="bullet"/>
      <w:lvlText w:val="•"/>
      <w:lvlJc w:val="left"/>
      <w:pPr>
        <w:ind w:left="1837" w:hanging="360"/>
      </w:pPr>
      <w:rPr>
        <w:rFonts w:hint="default"/>
        <w:lang w:val="en-US" w:eastAsia="en-US" w:bidi="ar-SA"/>
      </w:rPr>
    </w:lvl>
    <w:lvl w:ilvl="4" w:tplc="1A5EEAF0">
      <w:numFmt w:val="bullet"/>
      <w:lvlText w:val="•"/>
      <w:lvlJc w:val="left"/>
      <w:pPr>
        <w:ind w:left="2297" w:hanging="360"/>
      </w:pPr>
      <w:rPr>
        <w:rFonts w:hint="default"/>
        <w:lang w:val="en-US" w:eastAsia="en-US" w:bidi="ar-SA"/>
      </w:rPr>
    </w:lvl>
    <w:lvl w:ilvl="5" w:tplc="8F423DDA">
      <w:numFmt w:val="bullet"/>
      <w:lvlText w:val="•"/>
      <w:lvlJc w:val="left"/>
      <w:pPr>
        <w:ind w:left="2756" w:hanging="360"/>
      </w:pPr>
      <w:rPr>
        <w:rFonts w:hint="default"/>
        <w:lang w:val="en-US" w:eastAsia="en-US" w:bidi="ar-SA"/>
      </w:rPr>
    </w:lvl>
    <w:lvl w:ilvl="6" w:tplc="282CA6CA">
      <w:numFmt w:val="bullet"/>
      <w:lvlText w:val="•"/>
      <w:lvlJc w:val="left"/>
      <w:pPr>
        <w:ind w:left="3215" w:hanging="360"/>
      </w:pPr>
      <w:rPr>
        <w:rFonts w:hint="default"/>
        <w:lang w:val="en-US" w:eastAsia="en-US" w:bidi="ar-SA"/>
      </w:rPr>
    </w:lvl>
    <w:lvl w:ilvl="7" w:tplc="00700614">
      <w:numFmt w:val="bullet"/>
      <w:lvlText w:val="•"/>
      <w:lvlJc w:val="left"/>
      <w:pPr>
        <w:ind w:left="3675" w:hanging="360"/>
      </w:pPr>
      <w:rPr>
        <w:rFonts w:hint="default"/>
        <w:lang w:val="en-US" w:eastAsia="en-US" w:bidi="ar-SA"/>
      </w:rPr>
    </w:lvl>
    <w:lvl w:ilvl="8" w:tplc="96FA7F2A">
      <w:numFmt w:val="bullet"/>
      <w:lvlText w:val="•"/>
      <w:lvlJc w:val="left"/>
      <w:pPr>
        <w:ind w:left="4134" w:hanging="360"/>
      </w:pPr>
      <w:rPr>
        <w:rFonts w:hint="default"/>
        <w:lang w:val="en-US" w:eastAsia="en-US" w:bidi="ar-SA"/>
      </w:rPr>
    </w:lvl>
  </w:abstractNum>
  <w:abstractNum w:abstractNumId="20" w15:restartNumberingAfterBreak="0">
    <w:nsid w:val="50D007DA"/>
    <w:multiLevelType w:val="hybridMultilevel"/>
    <w:tmpl w:val="EAC292C8"/>
    <w:lvl w:ilvl="0" w:tplc="74BEF8B0">
      <w:numFmt w:val="bullet"/>
      <w:lvlText w:val=""/>
      <w:lvlJc w:val="left"/>
      <w:pPr>
        <w:ind w:left="495" w:hanging="360"/>
      </w:pPr>
      <w:rPr>
        <w:rFonts w:ascii="Symbol" w:eastAsia="Symbol" w:hAnsi="Symbol" w:cs="Symbol" w:hint="default"/>
        <w:b w:val="0"/>
        <w:bCs w:val="0"/>
        <w:i w:val="0"/>
        <w:iCs w:val="0"/>
        <w:spacing w:val="0"/>
        <w:w w:val="99"/>
        <w:sz w:val="20"/>
        <w:szCs w:val="20"/>
        <w:lang w:val="en-US" w:eastAsia="en-US" w:bidi="ar-SA"/>
      </w:rPr>
    </w:lvl>
    <w:lvl w:ilvl="1" w:tplc="26ECA968">
      <w:numFmt w:val="bullet"/>
      <w:lvlText w:val="•"/>
      <w:lvlJc w:val="left"/>
      <w:pPr>
        <w:ind w:left="804" w:hanging="360"/>
      </w:pPr>
      <w:rPr>
        <w:rFonts w:hint="default"/>
        <w:lang w:val="en-US" w:eastAsia="en-US" w:bidi="ar-SA"/>
      </w:rPr>
    </w:lvl>
    <w:lvl w:ilvl="2" w:tplc="9E640FD2">
      <w:numFmt w:val="bullet"/>
      <w:lvlText w:val="•"/>
      <w:lvlJc w:val="left"/>
      <w:pPr>
        <w:ind w:left="1108" w:hanging="360"/>
      </w:pPr>
      <w:rPr>
        <w:rFonts w:hint="default"/>
        <w:lang w:val="en-US" w:eastAsia="en-US" w:bidi="ar-SA"/>
      </w:rPr>
    </w:lvl>
    <w:lvl w:ilvl="3" w:tplc="49B89E20">
      <w:numFmt w:val="bullet"/>
      <w:lvlText w:val="•"/>
      <w:lvlJc w:val="left"/>
      <w:pPr>
        <w:ind w:left="1412" w:hanging="360"/>
      </w:pPr>
      <w:rPr>
        <w:rFonts w:hint="default"/>
        <w:lang w:val="en-US" w:eastAsia="en-US" w:bidi="ar-SA"/>
      </w:rPr>
    </w:lvl>
    <w:lvl w:ilvl="4" w:tplc="A8A66C12">
      <w:numFmt w:val="bullet"/>
      <w:lvlText w:val="•"/>
      <w:lvlJc w:val="left"/>
      <w:pPr>
        <w:ind w:left="1716" w:hanging="360"/>
      </w:pPr>
      <w:rPr>
        <w:rFonts w:hint="default"/>
        <w:lang w:val="en-US" w:eastAsia="en-US" w:bidi="ar-SA"/>
      </w:rPr>
    </w:lvl>
    <w:lvl w:ilvl="5" w:tplc="82347F2A">
      <w:numFmt w:val="bullet"/>
      <w:lvlText w:val="•"/>
      <w:lvlJc w:val="left"/>
      <w:pPr>
        <w:ind w:left="2020" w:hanging="360"/>
      </w:pPr>
      <w:rPr>
        <w:rFonts w:hint="default"/>
        <w:lang w:val="en-US" w:eastAsia="en-US" w:bidi="ar-SA"/>
      </w:rPr>
    </w:lvl>
    <w:lvl w:ilvl="6" w:tplc="D8DAD7A0">
      <w:numFmt w:val="bullet"/>
      <w:lvlText w:val="•"/>
      <w:lvlJc w:val="left"/>
      <w:pPr>
        <w:ind w:left="2324" w:hanging="360"/>
      </w:pPr>
      <w:rPr>
        <w:rFonts w:hint="default"/>
        <w:lang w:val="en-US" w:eastAsia="en-US" w:bidi="ar-SA"/>
      </w:rPr>
    </w:lvl>
    <w:lvl w:ilvl="7" w:tplc="CC5ED0DE">
      <w:numFmt w:val="bullet"/>
      <w:lvlText w:val="•"/>
      <w:lvlJc w:val="left"/>
      <w:pPr>
        <w:ind w:left="2628" w:hanging="360"/>
      </w:pPr>
      <w:rPr>
        <w:rFonts w:hint="default"/>
        <w:lang w:val="en-US" w:eastAsia="en-US" w:bidi="ar-SA"/>
      </w:rPr>
    </w:lvl>
    <w:lvl w:ilvl="8" w:tplc="5BD8EF26">
      <w:numFmt w:val="bullet"/>
      <w:lvlText w:val="•"/>
      <w:lvlJc w:val="left"/>
      <w:pPr>
        <w:ind w:left="2932" w:hanging="360"/>
      </w:pPr>
      <w:rPr>
        <w:rFonts w:hint="default"/>
        <w:lang w:val="en-US" w:eastAsia="en-US" w:bidi="ar-SA"/>
      </w:rPr>
    </w:lvl>
  </w:abstractNum>
  <w:abstractNum w:abstractNumId="21" w15:restartNumberingAfterBreak="0">
    <w:nsid w:val="50D241EE"/>
    <w:multiLevelType w:val="hybridMultilevel"/>
    <w:tmpl w:val="F01E3B3C"/>
    <w:lvl w:ilvl="0" w:tplc="C604F9E8">
      <w:numFmt w:val="bullet"/>
      <w:lvlText w:val=""/>
      <w:lvlJc w:val="left"/>
      <w:pPr>
        <w:ind w:left="468" w:hanging="361"/>
      </w:pPr>
      <w:rPr>
        <w:rFonts w:ascii="Symbol" w:eastAsia="Symbol" w:hAnsi="Symbol" w:cs="Symbol" w:hint="default"/>
        <w:b w:val="0"/>
        <w:bCs w:val="0"/>
        <w:i w:val="0"/>
        <w:iCs w:val="0"/>
        <w:color w:val="003478"/>
        <w:spacing w:val="0"/>
        <w:w w:val="99"/>
        <w:sz w:val="20"/>
        <w:szCs w:val="20"/>
        <w:lang w:val="en-US" w:eastAsia="en-US" w:bidi="ar-SA"/>
      </w:rPr>
    </w:lvl>
    <w:lvl w:ilvl="1" w:tplc="019E712A">
      <w:numFmt w:val="bullet"/>
      <w:lvlText w:val="•"/>
      <w:lvlJc w:val="left"/>
      <w:pPr>
        <w:ind w:left="919" w:hanging="361"/>
      </w:pPr>
      <w:rPr>
        <w:rFonts w:hint="default"/>
        <w:lang w:val="en-US" w:eastAsia="en-US" w:bidi="ar-SA"/>
      </w:rPr>
    </w:lvl>
    <w:lvl w:ilvl="2" w:tplc="E1D2F270">
      <w:numFmt w:val="bullet"/>
      <w:lvlText w:val="•"/>
      <w:lvlJc w:val="left"/>
      <w:pPr>
        <w:ind w:left="1379" w:hanging="361"/>
      </w:pPr>
      <w:rPr>
        <w:rFonts w:hint="default"/>
        <w:lang w:val="en-US" w:eastAsia="en-US" w:bidi="ar-SA"/>
      </w:rPr>
    </w:lvl>
    <w:lvl w:ilvl="3" w:tplc="6A2EEB36">
      <w:numFmt w:val="bullet"/>
      <w:lvlText w:val="•"/>
      <w:lvlJc w:val="left"/>
      <w:pPr>
        <w:ind w:left="1839" w:hanging="361"/>
      </w:pPr>
      <w:rPr>
        <w:rFonts w:hint="default"/>
        <w:lang w:val="en-US" w:eastAsia="en-US" w:bidi="ar-SA"/>
      </w:rPr>
    </w:lvl>
    <w:lvl w:ilvl="4" w:tplc="3FA28216">
      <w:numFmt w:val="bullet"/>
      <w:lvlText w:val="•"/>
      <w:lvlJc w:val="left"/>
      <w:pPr>
        <w:ind w:left="2299" w:hanging="361"/>
      </w:pPr>
      <w:rPr>
        <w:rFonts w:hint="default"/>
        <w:lang w:val="en-US" w:eastAsia="en-US" w:bidi="ar-SA"/>
      </w:rPr>
    </w:lvl>
    <w:lvl w:ilvl="5" w:tplc="EC506E18">
      <w:numFmt w:val="bullet"/>
      <w:lvlText w:val="•"/>
      <w:lvlJc w:val="left"/>
      <w:pPr>
        <w:ind w:left="2759" w:hanging="361"/>
      </w:pPr>
      <w:rPr>
        <w:rFonts w:hint="default"/>
        <w:lang w:val="en-US" w:eastAsia="en-US" w:bidi="ar-SA"/>
      </w:rPr>
    </w:lvl>
    <w:lvl w:ilvl="6" w:tplc="EE328548">
      <w:numFmt w:val="bullet"/>
      <w:lvlText w:val="•"/>
      <w:lvlJc w:val="left"/>
      <w:pPr>
        <w:ind w:left="3218" w:hanging="361"/>
      </w:pPr>
      <w:rPr>
        <w:rFonts w:hint="default"/>
        <w:lang w:val="en-US" w:eastAsia="en-US" w:bidi="ar-SA"/>
      </w:rPr>
    </w:lvl>
    <w:lvl w:ilvl="7" w:tplc="99B078C0">
      <w:numFmt w:val="bullet"/>
      <w:lvlText w:val="•"/>
      <w:lvlJc w:val="left"/>
      <w:pPr>
        <w:ind w:left="3678" w:hanging="361"/>
      </w:pPr>
      <w:rPr>
        <w:rFonts w:hint="default"/>
        <w:lang w:val="en-US" w:eastAsia="en-US" w:bidi="ar-SA"/>
      </w:rPr>
    </w:lvl>
    <w:lvl w:ilvl="8" w:tplc="ECFE892C">
      <w:numFmt w:val="bullet"/>
      <w:lvlText w:val="•"/>
      <w:lvlJc w:val="left"/>
      <w:pPr>
        <w:ind w:left="4138" w:hanging="361"/>
      </w:pPr>
      <w:rPr>
        <w:rFonts w:hint="default"/>
        <w:lang w:val="en-US" w:eastAsia="en-US" w:bidi="ar-SA"/>
      </w:rPr>
    </w:lvl>
  </w:abstractNum>
  <w:abstractNum w:abstractNumId="22" w15:restartNumberingAfterBreak="0">
    <w:nsid w:val="55834D9D"/>
    <w:multiLevelType w:val="hybridMultilevel"/>
    <w:tmpl w:val="696E1B0E"/>
    <w:lvl w:ilvl="0" w:tplc="375AEDD0">
      <w:numFmt w:val="bullet"/>
      <w:lvlText w:val=""/>
      <w:lvlJc w:val="left"/>
      <w:pPr>
        <w:ind w:left="468" w:hanging="360"/>
      </w:pPr>
      <w:rPr>
        <w:rFonts w:ascii="Symbol" w:eastAsia="Symbol" w:hAnsi="Symbol" w:cs="Symbol" w:hint="default"/>
        <w:b w:val="0"/>
        <w:bCs w:val="0"/>
        <w:i w:val="0"/>
        <w:iCs w:val="0"/>
        <w:color w:val="003478"/>
        <w:spacing w:val="0"/>
        <w:w w:val="99"/>
        <w:sz w:val="20"/>
        <w:szCs w:val="20"/>
        <w:lang w:val="en-US" w:eastAsia="en-US" w:bidi="ar-SA"/>
      </w:rPr>
    </w:lvl>
    <w:lvl w:ilvl="1" w:tplc="C6C03450">
      <w:numFmt w:val="bullet"/>
      <w:lvlText w:val="•"/>
      <w:lvlJc w:val="left"/>
      <w:pPr>
        <w:ind w:left="919" w:hanging="360"/>
      </w:pPr>
      <w:rPr>
        <w:rFonts w:hint="default"/>
        <w:lang w:val="en-US" w:eastAsia="en-US" w:bidi="ar-SA"/>
      </w:rPr>
    </w:lvl>
    <w:lvl w:ilvl="2" w:tplc="3B3263C6">
      <w:numFmt w:val="bullet"/>
      <w:lvlText w:val="•"/>
      <w:lvlJc w:val="left"/>
      <w:pPr>
        <w:ind w:left="1378" w:hanging="360"/>
      </w:pPr>
      <w:rPr>
        <w:rFonts w:hint="default"/>
        <w:lang w:val="en-US" w:eastAsia="en-US" w:bidi="ar-SA"/>
      </w:rPr>
    </w:lvl>
    <w:lvl w:ilvl="3" w:tplc="25768402">
      <w:numFmt w:val="bullet"/>
      <w:lvlText w:val="•"/>
      <w:lvlJc w:val="left"/>
      <w:pPr>
        <w:ind w:left="1837" w:hanging="360"/>
      </w:pPr>
      <w:rPr>
        <w:rFonts w:hint="default"/>
        <w:lang w:val="en-US" w:eastAsia="en-US" w:bidi="ar-SA"/>
      </w:rPr>
    </w:lvl>
    <w:lvl w:ilvl="4" w:tplc="C69AAD40">
      <w:numFmt w:val="bullet"/>
      <w:lvlText w:val="•"/>
      <w:lvlJc w:val="left"/>
      <w:pPr>
        <w:ind w:left="2297" w:hanging="360"/>
      </w:pPr>
      <w:rPr>
        <w:rFonts w:hint="default"/>
        <w:lang w:val="en-US" w:eastAsia="en-US" w:bidi="ar-SA"/>
      </w:rPr>
    </w:lvl>
    <w:lvl w:ilvl="5" w:tplc="16981E50">
      <w:numFmt w:val="bullet"/>
      <w:lvlText w:val="•"/>
      <w:lvlJc w:val="left"/>
      <w:pPr>
        <w:ind w:left="2756" w:hanging="360"/>
      </w:pPr>
      <w:rPr>
        <w:rFonts w:hint="default"/>
        <w:lang w:val="en-US" w:eastAsia="en-US" w:bidi="ar-SA"/>
      </w:rPr>
    </w:lvl>
    <w:lvl w:ilvl="6" w:tplc="58868C00">
      <w:numFmt w:val="bullet"/>
      <w:lvlText w:val="•"/>
      <w:lvlJc w:val="left"/>
      <w:pPr>
        <w:ind w:left="3215" w:hanging="360"/>
      </w:pPr>
      <w:rPr>
        <w:rFonts w:hint="default"/>
        <w:lang w:val="en-US" w:eastAsia="en-US" w:bidi="ar-SA"/>
      </w:rPr>
    </w:lvl>
    <w:lvl w:ilvl="7" w:tplc="736EAA90">
      <w:numFmt w:val="bullet"/>
      <w:lvlText w:val="•"/>
      <w:lvlJc w:val="left"/>
      <w:pPr>
        <w:ind w:left="3675" w:hanging="360"/>
      </w:pPr>
      <w:rPr>
        <w:rFonts w:hint="default"/>
        <w:lang w:val="en-US" w:eastAsia="en-US" w:bidi="ar-SA"/>
      </w:rPr>
    </w:lvl>
    <w:lvl w:ilvl="8" w:tplc="D358624A">
      <w:numFmt w:val="bullet"/>
      <w:lvlText w:val="•"/>
      <w:lvlJc w:val="left"/>
      <w:pPr>
        <w:ind w:left="4134" w:hanging="360"/>
      </w:pPr>
      <w:rPr>
        <w:rFonts w:hint="default"/>
        <w:lang w:val="en-US" w:eastAsia="en-US" w:bidi="ar-SA"/>
      </w:rPr>
    </w:lvl>
  </w:abstractNum>
  <w:abstractNum w:abstractNumId="23" w15:restartNumberingAfterBreak="0">
    <w:nsid w:val="59AE4160"/>
    <w:multiLevelType w:val="hybridMultilevel"/>
    <w:tmpl w:val="A4BAF1F0"/>
    <w:lvl w:ilvl="0" w:tplc="39C243AC">
      <w:start w:val="1"/>
      <w:numFmt w:val="lowerRoman"/>
      <w:lvlText w:val="%1."/>
      <w:lvlJc w:val="left"/>
      <w:pPr>
        <w:ind w:left="88" w:hanging="92"/>
      </w:pPr>
      <w:rPr>
        <w:rFonts w:ascii="Calibri" w:eastAsia="Calibri" w:hAnsi="Calibri" w:cs="Calibri" w:hint="default"/>
        <w:b w:val="0"/>
        <w:bCs w:val="0"/>
        <w:i w:val="0"/>
        <w:iCs w:val="0"/>
        <w:spacing w:val="-1"/>
        <w:w w:val="107"/>
        <w:sz w:val="12"/>
        <w:szCs w:val="12"/>
        <w:lang w:val="en-US" w:eastAsia="en-US" w:bidi="ar-SA"/>
      </w:rPr>
    </w:lvl>
    <w:lvl w:ilvl="1" w:tplc="75DCD272">
      <w:numFmt w:val="bullet"/>
      <w:lvlText w:val="•"/>
      <w:lvlJc w:val="left"/>
      <w:pPr>
        <w:ind w:left="388" w:hanging="92"/>
      </w:pPr>
      <w:rPr>
        <w:rFonts w:hint="default"/>
        <w:lang w:val="en-US" w:eastAsia="en-US" w:bidi="ar-SA"/>
      </w:rPr>
    </w:lvl>
    <w:lvl w:ilvl="2" w:tplc="1BBA2C16">
      <w:numFmt w:val="bullet"/>
      <w:lvlText w:val="•"/>
      <w:lvlJc w:val="left"/>
      <w:pPr>
        <w:ind w:left="697" w:hanging="92"/>
      </w:pPr>
      <w:rPr>
        <w:rFonts w:hint="default"/>
        <w:lang w:val="en-US" w:eastAsia="en-US" w:bidi="ar-SA"/>
      </w:rPr>
    </w:lvl>
    <w:lvl w:ilvl="3" w:tplc="B83AF750">
      <w:numFmt w:val="bullet"/>
      <w:lvlText w:val="•"/>
      <w:lvlJc w:val="left"/>
      <w:pPr>
        <w:ind w:left="1005" w:hanging="92"/>
      </w:pPr>
      <w:rPr>
        <w:rFonts w:hint="default"/>
        <w:lang w:val="en-US" w:eastAsia="en-US" w:bidi="ar-SA"/>
      </w:rPr>
    </w:lvl>
    <w:lvl w:ilvl="4" w:tplc="686C95AE">
      <w:numFmt w:val="bullet"/>
      <w:lvlText w:val="•"/>
      <w:lvlJc w:val="left"/>
      <w:pPr>
        <w:ind w:left="1314" w:hanging="92"/>
      </w:pPr>
      <w:rPr>
        <w:rFonts w:hint="default"/>
        <w:lang w:val="en-US" w:eastAsia="en-US" w:bidi="ar-SA"/>
      </w:rPr>
    </w:lvl>
    <w:lvl w:ilvl="5" w:tplc="CD4EAB92">
      <w:numFmt w:val="bullet"/>
      <w:lvlText w:val="•"/>
      <w:lvlJc w:val="left"/>
      <w:pPr>
        <w:ind w:left="1622" w:hanging="92"/>
      </w:pPr>
      <w:rPr>
        <w:rFonts w:hint="default"/>
        <w:lang w:val="en-US" w:eastAsia="en-US" w:bidi="ar-SA"/>
      </w:rPr>
    </w:lvl>
    <w:lvl w:ilvl="6" w:tplc="A47EFCE2">
      <w:numFmt w:val="bullet"/>
      <w:lvlText w:val="•"/>
      <w:lvlJc w:val="left"/>
      <w:pPr>
        <w:ind w:left="1931" w:hanging="92"/>
      </w:pPr>
      <w:rPr>
        <w:rFonts w:hint="default"/>
        <w:lang w:val="en-US" w:eastAsia="en-US" w:bidi="ar-SA"/>
      </w:rPr>
    </w:lvl>
    <w:lvl w:ilvl="7" w:tplc="11DEDE40">
      <w:numFmt w:val="bullet"/>
      <w:lvlText w:val="•"/>
      <w:lvlJc w:val="left"/>
      <w:pPr>
        <w:ind w:left="2239" w:hanging="92"/>
      </w:pPr>
      <w:rPr>
        <w:rFonts w:hint="default"/>
        <w:lang w:val="en-US" w:eastAsia="en-US" w:bidi="ar-SA"/>
      </w:rPr>
    </w:lvl>
    <w:lvl w:ilvl="8" w:tplc="C090F0A2">
      <w:numFmt w:val="bullet"/>
      <w:lvlText w:val="•"/>
      <w:lvlJc w:val="left"/>
      <w:pPr>
        <w:ind w:left="2548" w:hanging="92"/>
      </w:pPr>
      <w:rPr>
        <w:rFonts w:hint="default"/>
        <w:lang w:val="en-US" w:eastAsia="en-US" w:bidi="ar-SA"/>
      </w:rPr>
    </w:lvl>
  </w:abstractNum>
  <w:abstractNum w:abstractNumId="24" w15:restartNumberingAfterBreak="0">
    <w:nsid w:val="59CC1DF7"/>
    <w:multiLevelType w:val="hybridMultilevel"/>
    <w:tmpl w:val="724E990E"/>
    <w:lvl w:ilvl="0" w:tplc="25A21566">
      <w:start w:val="1"/>
      <w:numFmt w:val="lowerRoman"/>
      <w:lvlText w:val="%1."/>
      <w:lvlJc w:val="left"/>
      <w:pPr>
        <w:ind w:left="86" w:hanging="92"/>
      </w:pPr>
      <w:rPr>
        <w:rFonts w:ascii="Calibri" w:eastAsia="Calibri" w:hAnsi="Calibri" w:cs="Calibri" w:hint="default"/>
        <w:b w:val="0"/>
        <w:bCs w:val="0"/>
        <w:i w:val="0"/>
        <w:iCs w:val="0"/>
        <w:spacing w:val="-1"/>
        <w:w w:val="107"/>
        <w:sz w:val="12"/>
        <w:szCs w:val="12"/>
        <w:lang w:val="en-US" w:eastAsia="en-US" w:bidi="ar-SA"/>
      </w:rPr>
    </w:lvl>
    <w:lvl w:ilvl="1" w:tplc="2E8E7F86">
      <w:numFmt w:val="bullet"/>
      <w:lvlText w:val="•"/>
      <w:lvlJc w:val="left"/>
      <w:pPr>
        <w:ind w:left="376" w:hanging="92"/>
      </w:pPr>
      <w:rPr>
        <w:rFonts w:hint="default"/>
        <w:lang w:val="en-US" w:eastAsia="en-US" w:bidi="ar-SA"/>
      </w:rPr>
    </w:lvl>
    <w:lvl w:ilvl="2" w:tplc="A90A6AC4">
      <w:numFmt w:val="bullet"/>
      <w:lvlText w:val="•"/>
      <w:lvlJc w:val="left"/>
      <w:pPr>
        <w:ind w:left="672" w:hanging="92"/>
      </w:pPr>
      <w:rPr>
        <w:rFonts w:hint="default"/>
        <w:lang w:val="en-US" w:eastAsia="en-US" w:bidi="ar-SA"/>
      </w:rPr>
    </w:lvl>
    <w:lvl w:ilvl="3" w:tplc="51D6FDBA">
      <w:numFmt w:val="bullet"/>
      <w:lvlText w:val="•"/>
      <w:lvlJc w:val="left"/>
      <w:pPr>
        <w:ind w:left="969" w:hanging="92"/>
      </w:pPr>
      <w:rPr>
        <w:rFonts w:hint="default"/>
        <w:lang w:val="en-US" w:eastAsia="en-US" w:bidi="ar-SA"/>
      </w:rPr>
    </w:lvl>
    <w:lvl w:ilvl="4" w:tplc="5A10AD8C">
      <w:numFmt w:val="bullet"/>
      <w:lvlText w:val="•"/>
      <w:lvlJc w:val="left"/>
      <w:pPr>
        <w:ind w:left="1265" w:hanging="92"/>
      </w:pPr>
      <w:rPr>
        <w:rFonts w:hint="default"/>
        <w:lang w:val="en-US" w:eastAsia="en-US" w:bidi="ar-SA"/>
      </w:rPr>
    </w:lvl>
    <w:lvl w:ilvl="5" w:tplc="4E88469E">
      <w:numFmt w:val="bullet"/>
      <w:lvlText w:val="•"/>
      <w:lvlJc w:val="left"/>
      <w:pPr>
        <w:ind w:left="1562" w:hanging="92"/>
      </w:pPr>
      <w:rPr>
        <w:rFonts w:hint="default"/>
        <w:lang w:val="en-US" w:eastAsia="en-US" w:bidi="ar-SA"/>
      </w:rPr>
    </w:lvl>
    <w:lvl w:ilvl="6" w:tplc="AB6E4EA8">
      <w:numFmt w:val="bullet"/>
      <w:lvlText w:val="•"/>
      <w:lvlJc w:val="left"/>
      <w:pPr>
        <w:ind w:left="1858" w:hanging="92"/>
      </w:pPr>
      <w:rPr>
        <w:rFonts w:hint="default"/>
        <w:lang w:val="en-US" w:eastAsia="en-US" w:bidi="ar-SA"/>
      </w:rPr>
    </w:lvl>
    <w:lvl w:ilvl="7" w:tplc="1786E9F4">
      <w:numFmt w:val="bullet"/>
      <w:lvlText w:val="•"/>
      <w:lvlJc w:val="left"/>
      <w:pPr>
        <w:ind w:left="2154" w:hanging="92"/>
      </w:pPr>
      <w:rPr>
        <w:rFonts w:hint="default"/>
        <w:lang w:val="en-US" w:eastAsia="en-US" w:bidi="ar-SA"/>
      </w:rPr>
    </w:lvl>
    <w:lvl w:ilvl="8" w:tplc="F05CBD02">
      <w:numFmt w:val="bullet"/>
      <w:lvlText w:val="•"/>
      <w:lvlJc w:val="left"/>
      <w:pPr>
        <w:ind w:left="2451" w:hanging="92"/>
      </w:pPr>
      <w:rPr>
        <w:rFonts w:hint="default"/>
        <w:lang w:val="en-US" w:eastAsia="en-US" w:bidi="ar-SA"/>
      </w:rPr>
    </w:lvl>
  </w:abstractNum>
  <w:abstractNum w:abstractNumId="25" w15:restartNumberingAfterBreak="0">
    <w:nsid w:val="5ABC18ED"/>
    <w:multiLevelType w:val="hybridMultilevel"/>
    <w:tmpl w:val="09BA7648"/>
    <w:lvl w:ilvl="0" w:tplc="2E501A9C">
      <w:numFmt w:val="bullet"/>
      <w:lvlText w:val=""/>
      <w:lvlJc w:val="left"/>
      <w:pPr>
        <w:ind w:left="472" w:hanging="360"/>
      </w:pPr>
      <w:rPr>
        <w:rFonts w:ascii="Symbol" w:eastAsia="Symbol" w:hAnsi="Symbol" w:cs="Symbol" w:hint="default"/>
        <w:b w:val="0"/>
        <w:bCs w:val="0"/>
        <w:i w:val="0"/>
        <w:iCs w:val="0"/>
        <w:color w:val="003478"/>
        <w:spacing w:val="0"/>
        <w:w w:val="100"/>
        <w:sz w:val="18"/>
        <w:szCs w:val="18"/>
        <w:lang w:val="en-US" w:eastAsia="en-US" w:bidi="ar-SA"/>
      </w:rPr>
    </w:lvl>
    <w:lvl w:ilvl="1" w:tplc="23BE8740">
      <w:numFmt w:val="bullet"/>
      <w:lvlText w:val="•"/>
      <w:lvlJc w:val="left"/>
      <w:pPr>
        <w:ind w:left="790" w:hanging="360"/>
      </w:pPr>
      <w:rPr>
        <w:rFonts w:hint="default"/>
        <w:lang w:val="en-US" w:eastAsia="en-US" w:bidi="ar-SA"/>
      </w:rPr>
    </w:lvl>
    <w:lvl w:ilvl="2" w:tplc="06E842E2">
      <w:numFmt w:val="bullet"/>
      <w:lvlText w:val="•"/>
      <w:lvlJc w:val="left"/>
      <w:pPr>
        <w:ind w:left="1101" w:hanging="360"/>
      </w:pPr>
      <w:rPr>
        <w:rFonts w:hint="default"/>
        <w:lang w:val="en-US" w:eastAsia="en-US" w:bidi="ar-SA"/>
      </w:rPr>
    </w:lvl>
    <w:lvl w:ilvl="3" w:tplc="2F9E45E6">
      <w:numFmt w:val="bullet"/>
      <w:lvlText w:val="•"/>
      <w:lvlJc w:val="left"/>
      <w:pPr>
        <w:ind w:left="1412" w:hanging="360"/>
      </w:pPr>
      <w:rPr>
        <w:rFonts w:hint="default"/>
        <w:lang w:val="en-US" w:eastAsia="en-US" w:bidi="ar-SA"/>
      </w:rPr>
    </w:lvl>
    <w:lvl w:ilvl="4" w:tplc="148E05F8">
      <w:numFmt w:val="bullet"/>
      <w:lvlText w:val="•"/>
      <w:lvlJc w:val="left"/>
      <w:pPr>
        <w:ind w:left="1723" w:hanging="360"/>
      </w:pPr>
      <w:rPr>
        <w:rFonts w:hint="default"/>
        <w:lang w:val="en-US" w:eastAsia="en-US" w:bidi="ar-SA"/>
      </w:rPr>
    </w:lvl>
    <w:lvl w:ilvl="5" w:tplc="74F44228">
      <w:numFmt w:val="bullet"/>
      <w:lvlText w:val="•"/>
      <w:lvlJc w:val="left"/>
      <w:pPr>
        <w:ind w:left="2034" w:hanging="360"/>
      </w:pPr>
      <w:rPr>
        <w:rFonts w:hint="default"/>
        <w:lang w:val="en-US" w:eastAsia="en-US" w:bidi="ar-SA"/>
      </w:rPr>
    </w:lvl>
    <w:lvl w:ilvl="6" w:tplc="78968BE8">
      <w:numFmt w:val="bullet"/>
      <w:lvlText w:val="•"/>
      <w:lvlJc w:val="left"/>
      <w:pPr>
        <w:ind w:left="2344" w:hanging="360"/>
      </w:pPr>
      <w:rPr>
        <w:rFonts w:hint="default"/>
        <w:lang w:val="en-US" w:eastAsia="en-US" w:bidi="ar-SA"/>
      </w:rPr>
    </w:lvl>
    <w:lvl w:ilvl="7" w:tplc="CBFE74E6">
      <w:numFmt w:val="bullet"/>
      <w:lvlText w:val="•"/>
      <w:lvlJc w:val="left"/>
      <w:pPr>
        <w:ind w:left="2655" w:hanging="360"/>
      </w:pPr>
      <w:rPr>
        <w:rFonts w:hint="default"/>
        <w:lang w:val="en-US" w:eastAsia="en-US" w:bidi="ar-SA"/>
      </w:rPr>
    </w:lvl>
    <w:lvl w:ilvl="8" w:tplc="3F52BE00">
      <w:numFmt w:val="bullet"/>
      <w:lvlText w:val="•"/>
      <w:lvlJc w:val="left"/>
      <w:pPr>
        <w:ind w:left="2966" w:hanging="360"/>
      </w:pPr>
      <w:rPr>
        <w:rFonts w:hint="default"/>
        <w:lang w:val="en-US" w:eastAsia="en-US" w:bidi="ar-SA"/>
      </w:rPr>
    </w:lvl>
  </w:abstractNum>
  <w:abstractNum w:abstractNumId="26" w15:restartNumberingAfterBreak="0">
    <w:nsid w:val="5ADF569C"/>
    <w:multiLevelType w:val="hybridMultilevel"/>
    <w:tmpl w:val="DF9CFB4A"/>
    <w:lvl w:ilvl="0" w:tplc="F02091CA">
      <w:start w:val="2"/>
      <w:numFmt w:val="lowerRoman"/>
      <w:lvlText w:val="%1."/>
      <w:lvlJc w:val="left"/>
      <w:pPr>
        <w:ind w:left="88" w:hanging="122"/>
      </w:pPr>
      <w:rPr>
        <w:rFonts w:ascii="Calibri" w:eastAsia="Calibri" w:hAnsi="Calibri" w:cs="Calibri" w:hint="default"/>
        <w:b w:val="0"/>
        <w:bCs w:val="0"/>
        <w:i w:val="0"/>
        <w:iCs w:val="0"/>
        <w:spacing w:val="-1"/>
        <w:w w:val="107"/>
        <w:sz w:val="12"/>
        <w:szCs w:val="12"/>
        <w:lang w:val="en-US" w:eastAsia="en-US" w:bidi="ar-SA"/>
      </w:rPr>
    </w:lvl>
    <w:lvl w:ilvl="1" w:tplc="664CEB8A">
      <w:numFmt w:val="bullet"/>
      <w:lvlText w:val="•"/>
      <w:lvlJc w:val="left"/>
      <w:pPr>
        <w:ind w:left="390" w:hanging="122"/>
      </w:pPr>
      <w:rPr>
        <w:rFonts w:hint="default"/>
        <w:lang w:val="en-US" w:eastAsia="en-US" w:bidi="ar-SA"/>
      </w:rPr>
    </w:lvl>
    <w:lvl w:ilvl="2" w:tplc="90DE3628">
      <w:numFmt w:val="bullet"/>
      <w:lvlText w:val="•"/>
      <w:lvlJc w:val="left"/>
      <w:pPr>
        <w:ind w:left="700" w:hanging="122"/>
      </w:pPr>
      <w:rPr>
        <w:rFonts w:hint="default"/>
        <w:lang w:val="en-US" w:eastAsia="en-US" w:bidi="ar-SA"/>
      </w:rPr>
    </w:lvl>
    <w:lvl w:ilvl="3" w:tplc="0AC0CD2A">
      <w:numFmt w:val="bullet"/>
      <w:lvlText w:val="•"/>
      <w:lvlJc w:val="left"/>
      <w:pPr>
        <w:ind w:left="1010" w:hanging="122"/>
      </w:pPr>
      <w:rPr>
        <w:rFonts w:hint="default"/>
        <w:lang w:val="en-US" w:eastAsia="en-US" w:bidi="ar-SA"/>
      </w:rPr>
    </w:lvl>
    <w:lvl w:ilvl="4" w:tplc="75084808">
      <w:numFmt w:val="bullet"/>
      <w:lvlText w:val="•"/>
      <w:lvlJc w:val="left"/>
      <w:pPr>
        <w:ind w:left="1321" w:hanging="122"/>
      </w:pPr>
      <w:rPr>
        <w:rFonts w:hint="default"/>
        <w:lang w:val="en-US" w:eastAsia="en-US" w:bidi="ar-SA"/>
      </w:rPr>
    </w:lvl>
    <w:lvl w:ilvl="5" w:tplc="BAC22CAA">
      <w:numFmt w:val="bullet"/>
      <w:lvlText w:val="•"/>
      <w:lvlJc w:val="left"/>
      <w:pPr>
        <w:ind w:left="1631" w:hanging="122"/>
      </w:pPr>
      <w:rPr>
        <w:rFonts w:hint="default"/>
        <w:lang w:val="en-US" w:eastAsia="en-US" w:bidi="ar-SA"/>
      </w:rPr>
    </w:lvl>
    <w:lvl w:ilvl="6" w:tplc="CC405106">
      <w:numFmt w:val="bullet"/>
      <w:lvlText w:val="•"/>
      <w:lvlJc w:val="left"/>
      <w:pPr>
        <w:ind w:left="1941" w:hanging="122"/>
      </w:pPr>
      <w:rPr>
        <w:rFonts w:hint="default"/>
        <w:lang w:val="en-US" w:eastAsia="en-US" w:bidi="ar-SA"/>
      </w:rPr>
    </w:lvl>
    <w:lvl w:ilvl="7" w:tplc="AA32CF9A">
      <w:numFmt w:val="bullet"/>
      <w:lvlText w:val="•"/>
      <w:lvlJc w:val="left"/>
      <w:pPr>
        <w:ind w:left="2251" w:hanging="122"/>
      </w:pPr>
      <w:rPr>
        <w:rFonts w:hint="default"/>
        <w:lang w:val="en-US" w:eastAsia="en-US" w:bidi="ar-SA"/>
      </w:rPr>
    </w:lvl>
    <w:lvl w:ilvl="8" w:tplc="BF024F1E">
      <w:numFmt w:val="bullet"/>
      <w:lvlText w:val="•"/>
      <w:lvlJc w:val="left"/>
      <w:pPr>
        <w:ind w:left="2562" w:hanging="122"/>
      </w:pPr>
      <w:rPr>
        <w:rFonts w:hint="default"/>
        <w:lang w:val="en-US" w:eastAsia="en-US" w:bidi="ar-SA"/>
      </w:rPr>
    </w:lvl>
  </w:abstractNum>
  <w:abstractNum w:abstractNumId="27" w15:restartNumberingAfterBreak="0">
    <w:nsid w:val="62800EB5"/>
    <w:multiLevelType w:val="hybridMultilevel"/>
    <w:tmpl w:val="AEB83A24"/>
    <w:lvl w:ilvl="0" w:tplc="F4FCF468">
      <w:start w:val="1"/>
      <w:numFmt w:val="decimal"/>
      <w:lvlText w:val="%1."/>
      <w:lvlJc w:val="left"/>
      <w:pPr>
        <w:ind w:left="83" w:hanging="223"/>
      </w:pPr>
      <w:rPr>
        <w:rFonts w:ascii="Calibri" w:eastAsia="Calibri" w:hAnsi="Calibri" w:cs="Calibri" w:hint="default"/>
        <w:b/>
        <w:bCs/>
        <w:i w:val="0"/>
        <w:iCs w:val="0"/>
        <w:spacing w:val="-1"/>
        <w:w w:val="101"/>
        <w:sz w:val="18"/>
        <w:szCs w:val="18"/>
        <w:lang w:val="en-US" w:eastAsia="en-US" w:bidi="ar-SA"/>
      </w:rPr>
    </w:lvl>
    <w:lvl w:ilvl="1" w:tplc="EF786992">
      <w:numFmt w:val="bullet"/>
      <w:lvlText w:val="•"/>
      <w:lvlJc w:val="left"/>
      <w:pPr>
        <w:ind w:left="743" w:hanging="223"/>
      </w:pPr>
      <w:rPr>
        <w:rFonts w:hint="default"/>
        <w:lang w:val="en-US" w:eastAsia="en-US" w:bidi="ar-SA"/>
      </w:rPr>
    </w:lvl>
    <w:lvl w:ilvl="2" w:tplc="A4CEF25C">
      <w:numFmt w:val="bullet"/>
      <w:lvlText w:val="•"/>
      <w:lvlJc w:val="left"/>
      <w:pPr>
        <w:ind w:left="1406" w:hanging="223"/>
      </w:pPr>
      <w:rPr>
        <w:rFonts w:hint="default"/>
        <w:lang w:val="en-US" w:eastAsia="en-US" w:bidi="ar-SA"/>
      </w:rPr>
    </w:lvl>
    <w:lvl w:ilvl="3" w:tplc="3A38E766">
      <w:numFmt w:val="bullet"/>
      <w:lvlText w:val="•"/>
      <w:lvlJc w:val="left"/>
      <w:pPr>
        <w:ind w:left="2070" w:hanging="223"/>
      </w:pPr>
      <w:rPr>
        <w:rFonts w:hint="default"/>
        <w:lang w:val="en-US" w:eastAsia="en-US" w:bidi="ar-SA"/>
      </w:rPr>
    </w:lvl>
    <w:lvl w:ilvl="4" w:tplc="DBCA663A">
      <w:numFmt w:val="bullet"/>
      <w:lvlText w:val="•"/>
      <w:lvlJc w:val="left"/>
      <w:pPr>
        <w:ind w:left="2733" w:hanging="223"/>
      </w:pPr>
      <w:rPr>
        <w:rFonts w:hint="default"/>
        <w:lang w:val="en-US" w:eastAsia="en-US" w:bidi="ar-SA"/>
      </w:rPr>
    </w:lvl>
    <w:lvl w:ilvl="5" w:tplc="47781B4A">
      <w:numFmt w:val="bullet"/>
      <w:lvlText w:val="•"/>
      <w:lvlJc w:val="left"/>
      <w:pPr>
        <w:ind w:left="3397" w:hanging="223"/>
      </w:pPr>
      <w:rPr>
        <w:rFonts w:hint="default"/>
        <w:lang w:val="en-US" w:eastAsia="en-US" w:bidi="ar-SA"/>
      </w:rPr>
    </w:lvl>
    <w:lvl w:ilvl="6" w:tplc="5896C580">
      <w:numFmt w:val="bullet"/>
      <w:lvlText w:val="•"/>
      <w:lvlJc w:val="left"/>
      <w:pPr>
        <w:ind w:left="4060" w:hanging="223"/>
      </w:pPr>
      <w:rPr>
        <w:rFonts w:hint="default"/>
        <w:lang w:val="en-US" w:eastAsia="en-US" w:bidi="ar-SA"/>
      </w:rPr>
    </w:lvl>
    <w:lvl w:ilvl="7" w:tplc="7578204C">
      <w:numFmt w:val="bullet"/>
      <w:lvlText w:val="•"/>
      <w:lvlJc w:val="left"/>
      <w:pPr>
        <w:ind w:left="4723" w:hanging="223"/>
      </w:pPr>
      <w:rPr>
        <w:rFonts w:hint="default"/>
        <w:lang w:val="en-US" w:eastAsia="en-US" w:bidi="ar-SA"/>
      </w:rPr>
    </w:lvl>
    <w:lvl w:ilvl="8" w:tplc="75B2A8D0">
      <w:numFmt w:val="bullet"/>
      <w:lvlText w:val="•"/>
      <w:lvlJc w:val="left"/>
      <w:pPr>
        <w:ind w:left="5387" w:hanging="223"/>
      </w:pPr>
      <w:rPr>
        <w:rFonts w:hint="default"/>
        <w:lang w:val="en-US" w:eastAsia="en-US" w:bidi="ar-SA"/>
      </w:rPr>
    </w:lvl>
  </w:abstractNum>
  <w:abstractNum w:abstractNumId="28" w15:restartNumberingAfterBreak="0">
    <w:nsid w:val="66E5384B"/>
    <w:multiLevelType w:val="multilevel"/>
    <w:tmpl w:val="8DFA21DC"/>
    <w:lvl w:ilvl="0">
      <w:start w:val="1"/>
      <w:numFmt w:val="decimal"/>
      <w:lvlText w:val="%1"/>
      <w:lvlJc w:val="left"/>
      <w:pPr>
        <w:ind w:left="1204" w:hanging="432"/>
      </w:pPr>
      <w:rPr>
        <w:rFonts w:ascii="Source Sans Pro" w:eastAsia="Source Sans Pro" w:hAnsi="Source Sans Pro" w:cs="Source Sans Pro" w:hint="default"/>
        <w:b/>
        <w:bCs/>
        <w:i w:val="0"/>
        <w:iCs w:val="0"/>
        <w:color w:val="003478"/>
        <w:spacing w:val="0"/>
        <w:w w:val="100"/>
        <w:sz w:val="36"/>
        <w:szCs w:val="36"/>
        <w:lang w:val="en-US" w:eastAsia="en-US" w:bidi="ar-SA"/>
      </w:rPr>
    </w:lvl>
    <w:lvl w:ilvl="1">
      <w:start w:val="1"/>
      <w:numFmt w:val="decimal"/>
      <w:lvlText w:val="%1.%2"/>
      <w:lvlJc w:val="left"/>
      <w:pPr>
        <w:ind w:left="1347" w:hanging="576"/>
      </w:pPr>
      <w:rPr>
        <w:rFonts w:ascii="Source Sans Pro" w:eastAsia="Source Sans Pro" w:hAnsi="Source Sans Pro" w:cs="Source Sans Pro" w:hint="default"/>
        <w:b/>
        <w:bCs/>
        <w:i w:val="0"/>
        <w:iCs w:val="0"/>
        <w:color w:val="0064BB"/>
        <w:spacing w:val="-1"/>
        <w:w w:val="100"/>
        <w:sz w:val="28"/>
        <w:szCs w:val="28"/>
        <w:lang w:val="en-US" w:eastAsia="en-US" w:bidi="ar-SA"/>
      </w:rPr>
    </w:lvl>
    <w:lvl w:ilvl="2">
      <w:start w:val="1"/>
      <w:numFmt w:val="decimal"/>
      <w:lvlText w:val="%1.%2.%3"/>
      <w:lvlJc w:val="left"/>
      <w:pPr>
        <w:ind w:left="1492" w:hanging="721"/>
      </w:pPr>
      <w:rPr>
        <w:rFonts w:ascii="Source Sans Pro" w:eastAsia="Source Sans Pro" w:hAnsi="Source Sans Pro" w:cs="Source Sans Pro" w:hint="default"/>
        <w:b/>
        <w:bCs/>
        <w:i w:val="0"/>
        <w:iCs w:val="0"/>
        <w:color w:val="007B92"/>
        <w:spacing w:val="-2"/>
        <w:w w:val="100"/>
        <w:sz w:val="22"/>
        <w:szCs w:val="22"/>
        <w:lang w:val="en-US" w:eastAsia="en-US" w:bidi="ar-SA"/>
      </w:rPr>
    </w:lvl>
    <w:lvl w:ilvl="3">
      <w:numFmt w:val="bullet"/>
      <w:lvlText w:val="•"/>
      <w:lvlJc w:val="left"/>
      <w:pPr>
        <w:ind w:left="2698" w:hanging="721"/>
      </w:pPr>
      <w:rPr>
        <w:rFonts w:hint="default"/>
        <w:lang w:val="en-US" w:eastAsia="en-US" w:bidi="ar-SA"/>
      </w:rPr>
    </w:lvl>
    <w:lvl w:ilvl="4">
      <w:numFmt w:val="bullet"/>
      <w:lvlText w:val="•"/>
      <w:lvlJc w:val="left"/>
      <w:pPr>
        <w:ind w:left="3896" w:hanging="721"/>
      </w:pPr>
      <w:rPr>
        <w:rFonts w:hint="default"/>
        <w:lang w:val="en-US" w:eastAsia="en-US" w:bidi="ar-SA"/>
      </w:rPr>
    </w:lvl>
    <w:lvl w:ilvl="5">
      <w:numFmt w:val="bullet"/>
      <w:lvlText w:val="•"/>
      <w:lvlJc w:val="left"/>
      <w:pPr>
        <w:ind w:left="5094" w:hanging="721"/>
      </w:pPr>
      <w:rPr>
        <w:rFonts w:hint="default"/>
        <w:lang w:val="en-US" w:eastAsia="en-US" w:bidi="ar-SA"/>
      </w:rPr>
    </w:lvl>
    <w:lvl w:ilvl="6">
      <w:numFmt w:val="bullet"/>
      <w:lvlText w:val="•"/>
      <w:lvlJc w:val="left"/>
      <w:pPr>
        <w:ind w:left="6293" w:hanging="721"/>
      </w:pPr>
      <w:rPr>
        <w:rFonts w:hint="default"/>
        <w:lang w:val="en-US" w:eastAsia="en-US" w:bidi="ar-SA"/>
      </w:rPr>
    </w:lvl>
    <w:lvl w:ilvl="7">
      <w:numFmt w:val="bullet"/>
      <w:lvlText w:val="•"/>
      <w:lvlJc w:val="left"/>
      <w:pPr>
        <w:ind w:left="7491" w:hanging="721"/>
      </w:pPr>
      <w:rPr>
        <w:rFonts w:hint="default"/>
        <w:lang w:val="en-US" w:eastAsia="en-US" w:bidi="ar-SA"/>
      </w:rPr>
    </w:lvl>
    <w:lvl w:ilvl="8">
      <w:numFmt w:val="bullet"/>
      <w:lvlText w:val="•"/>
      <w:lvlJc w:val="left"/>
      <w:pPr>
        <w:ind w:left="8689" w:hanging="721"/>
      </w:pPr>
      <w:rPr>
        <w:rFonts w:hint="default"/>
        <w:lang w:val="en-US" w:eastAsia="en-US" w:bidi="ar-SA"/>
      </w:rPr>
    </w:lvl>
  </w:abstractNum>
  <w:abstractNum w:abstractNumId="29" w15:restartNumberingAfterBreak="0">
    <w:nsid w:val="68030BEC"/>
    <w:multiLevelType w:val="hybridMultilevel"/>
    <w:tmpl w:val="3CE23622"/>
    <w:lvl w:ilvl="0" w:tplc="1AE07A60">
      <w:numFmt w:val="bullet"/>
      <w:lvlText w:val=""/>
      <w:lvlJc w:val="left"/>
      <w:pPr>
        <w:ind w:left="468" w:hanging="360"/>
      </w:pPr>
      <w:rPr>
        <w:rFonts w:ascii="Symbol" w:eastAsia="Symbol" w:hAnsi="Symbol" w:cs="Symbol" w:hint="default"/>
        <w:b w:val="0"/>
        <w:bCs w:val="0"/>
        <w:i w:val="0"/>
        <w:iCs w:val="0"/>
        <w:color w:val="0064BB"/>
        <w:spacing w:val="0"/>
        <w:w w:val="99"/>
        <w:sz w:val="20"/>
        <w:szCs w:val="20"/>
        <w:lang w:val="en-US" w:eastAsia="en-US" w:bidi="ar-SA"/>
      </w:rPr>
    </w:lvl>
    <w:lvl w:ilvl="1" w:tplc="576E798E">
      <w:numFmt w:val="bullet"/>
      <w:lvlText w:val="•"/>
      <w:lvlJc w:val="left"/>
      <w:pPr>
        <w:ind w:left="1433" w:hanging="360"/>
      </w:pPr>
      <w:rPr>
        <w:rFonts w:hint="default"/>
        <w:lang w:val="en-US" w:eastAsia="en-US" w:bidi="ar-SA"/>
      </w:rPr>
    </w:lvl>
    <w:lvl w:ilvl="2" w:tplc="D0468D80">
      <w:numFmt w:val="bullet"/>
      <w:lvlText w:val="•"/>
      <w:lvlJc w:val="left"/>
      <w:pPr>
        <w:ind w:left="2407" w:hanging="360"/>
      </w:pPr>
      <w:rPr>
        <w:rFonts w:hint="default"/>
        <w:lang w:val="en-US" w:eastAsia="en-US" w:bidi="ar-SA"/>
      </w:rPr>
    </w:lvl>
    <w:lvl w:ilvl="3" w:tplc="E0CC7EB6">
      <w:numFmt w:val="bullet"/>
      <w:lvlText w:val="•"/>
      <w:lvlJc w:val="left"/>
      <w:pPr>
        <w:ind w:left="3380" w:hanging="360"/>
      </w:pPr>
      <w:rPr>
        <w:rFonts w:hint="default"/>
        <w:lang w:val="en-US" w:eastAsia="en-US" w:bidi="ar-SA"/>
      </w:rPr>
    </w:lvl>
    <w:lvl w:ilvl="4" w:tplc="7C3C6CFE">
      <w:numFmt w:val="bullet"/>
      <w:lvlText w:val="•"/>
      <w:lvlJc w:val="left"/>
      <w:pPr>
        <w:ind w:left="4354" w:hanging="360"/>
      </w:pPr>
      <w:rPr>
        <w:rFonts w:hint="default"/>
        <w:lang w:val="en-US" w:eastAsia="en-US" w:bidi="ar-SA"/>
      </w:rPr>
    </w:lvl>
    <w:lvl w:ilvl="5" w:tplc="EA7C3C74">
      <w:numFmt w:val="bullet"/>
      <w:lvlText w:val="•"/>
      <w:lvlJc w:val="left"/>
      <w:pPr>
        <w:ind w:left="5327" w:hanging="360"/>
      </w:pPr>
      <w:rPr>
        <w:rFonts w:hint="default"/>
        <w:lang w:val="en-US" w:eastAsia="en-US" w:bidi="ar-SA"/>
      </w:rPr>
    </w:lvl>
    <w:lvl w:ilvl="6" w:tplc="77103B58">
      <w:numFmt w:val="bullet"/>
      <w:lvlText w:val="•"/>
      <w:lvlJc w:val="left"/>
      <w:pPr>
        <w:ind w:left="6301" w:hanging="360"/>
      </w:pPr>
      <w:rPr>
        <w:rFonts w:hint="default"/>
        <w:lang w:val="en-US" w:eastAsia="en-US" w:bidi="ar-SA"/>
      </w:rPr>
    </w:lvl>
    <w:lvl w:ilvl="7" w:tplc="1C7C1A8E">
      <w:numFmt w:val="bullet"/>
      <w:lvlText w:val="•"/>
      <w:lvlJc w:val="left"/>
      <w:pPr>
        <w:ind w:left="7274" w:hanging="360"/>
      </w:pPr>
      <w:rPr>
        <w:rFonts w:hint="default"/>
        <w:lang w:val="en-US" w:eastAsia="en-US" w:bidi="ar-SA"/>
      </w:rPr>
    </w:lvl>
    <w:lvl w:ilvl="8" w:tplc="28B2B710">
      <w:numFmt w:val="bullet"/>
      <w:lvlText w:val="•"/>
      <w:lvlJc w:val="left"/>
      <w:pPr>
        <w:ind w:left="8248" w:hanging="360"/>
      </w:pPr>
      <w:rPr>
        <w:rFonts w:hint="default"/>
        <w:lang w:val="en-US" w:eastAsia="en-US" w:bidi="ar-SA"/>
      </w:rPr>
    </w:lvl>
  </w:abstractNum>
  <w:abstractNum w:abstractNumId="30" w15:restartNumberingAfterBreak="0">
    <w:nsid w:val="68154168"/>
    <w:multiLevelType w:val="hybridMultilevel"/>
    <w:tmpl w:val="01E02720"/>
    <w:lvl w:ilvl="0" w:tplc="819CBDDE">
      <w:numFmt w:val="bullet"/>
      <w:lvlText w:val=""/>
      <w:lvlJc w:val="left"/>
      <w:pPr>
        <w:ind w:left="1129" w:hanging="358"/>
      </w:pPr>
      <w:rPr>
        <w:rFonts w:ascii="Symbol" w:eastAsia="Symbol" w:hAnsi="Symbol" w:cs="Symbol" w:hint="default"/>
        <w:b w:val="0"/>
        <w:bCs w:val="0"/>
        <w:i w:val="0"/>
        <w:iCs w:val="0"/>
        <w:color w:val="0064BB"/>
        <w:spacing w:val="0"/>
        <w:w w:val="99"/>
        <w:sz w:val="20"/>
        <w:szCs w:val="20"/>
        <w:lang w:val="en-US" w:eastAsia="en-US" w:bidi="ar-SA"/>
      </w:rPr>
    </w:lvl>
    <w:lvl w:ilvl="1" w:tplc="9ACC096C">
      <w:numFmt w:val="bullet"/>
      <w:lvlText w:val="•"/>
      <w:lvlJc w:val="left"/>
      <w:pPr>
        <w:ind w:left="2116" w:hanging="358"/>
      </w:pPr>
      <w:rPr>
        <w:rFonts w:hint="default"/>
        <w:lang w:val="en-US" w:eastAsia="en-US" w:bidi="ar-SA"/>
      </w:rPr>
    </w:lvl>
    <w:lvl w:ilvl="2" w:tplc="F63A94E2">
      <w:numFmt w:val="bullet"/>
      <w:lvlText w:val="•"/>
      <w:lvlJc w:val="left"/>
      <w:pPr>
        <w:ind w:left="3113" w:hanging="358"/>
      </w:pPr>
      <w:rPr>
        <w:rFonts w:hint="default"/>
        <w:lang w:val="en-US" w:eastAsia="en-US" w:bidi="ar-SA"/>
      </w:rPr>
    </w:lvl>
    <w:lvl w:ilvl="3" w:tplc="2E9806E6">
      <w:numFmt w:val="bullet"/>
      <w:lvlText w:val="•"/>
      <w:lvlJc w:val="left"/>
      <w:pPr>
        <w:ind w:left="4109" w:hanging="358"/>
      </w:pPr>
      <w:rPr>
        <w:rFonts w:hint="default"/>
        <w:lang w:val="en-US" w:eastAsia="en-US" w:bidi="ar-SA"/>
      </w:rPr>
    </w:lvl>
    <w:lvl w:ilvl="4" w:tplc="22BCCB0C">
      <w:numFmt w:val="bullet"/>
      <w:lvlText w:val="•"/>
      <w:lvlJc w:val="left"/>
      <w:pPr>
        <w:ind w:left="5106" w:hanging="358"/>
      </w:pPr>
      <w:rPr>
        <w:rFonts w:hint="default"/>
        <w:lang w:val="en-US" w:eastAsia="en-US" w:bidi="ar-SA"/>
      </w:rPr>
    </w:lvl>
    <w:lvl w:ilvl="5" w:tplc="1BD2C756">
      <w:numFmt w:val="bullet"/>
      <w:lvlText w:val="•"/>
      <w:lvlJc w:val="left"/>
      <w:pPr>
        <w:ind w:left="6103" w:hanging="358"/>
      </w:pPr>
      <w:rPr>
        <w:rFonts w:hint="default"/>
        <w:lang w:val="en-US" w:eastAsia="en-US" w:bidi="ar-SA"/>
      </w:rPr>
    </w:lvl>
    <w:lvl w:ilvl="6" w:tplc="A498DDC8">
      <w:numFmt w:val="bullet"/>
      <w:lvlText w:val="•"/>
      <w:lvlJc w:val="left"/>
      <w:pPr>
        <w:ind w:left="7099" w:hanging="358"/>
      </w:pPr>
      <w:rPr>
        <w:rFonts w:hint="default"/>
        <w:lang w:val="en-US" w:eastAsia="en-US" w:bidi="ar-SA"/>
      </w:rPr>
    </w:lvl>
    <w:lvl w:ilvl="7" w:tplc="02689D1A">
      <w:numFmt w:val="bullet"/>
      <w:lvlText w:val="•"/>
      <w:lvlJc w:val="left"/>
      <w:pPr>
        <w:ind w:left="8096" w:hanging="358"/>
      </w:pPr>
      <w:rPr>
        <w:rFonts w:hint="default"/>
        <w:lang w:val="en-US" w:eastAsia="en-US" w:bidi="ar-SA"/>
      </w:rPr>
    </w:lvl>
    <w:lvl w:ilvl="8" w:tplc="791467FA">
      <w:numFmt w:val="bullet"/>
      <w:lvlText w:val="•"/>
      <w:lvlJc w:val="left"/>
      <w:pPr>
        <w:ind w:left="9093" w:hanging="358"/>
      </w:pPr>
      <w:rPr>
        <w:rFonts w:hint="default"/>
        <w:lang w:val="en-US" w:eastAsia="en-US" w:bidi="ar-SA"/>
      </w:rPr>
    </w:lvl>
  </w:abstractNum>
  <w:abstractNum w:abstractNumId="31" w15:restartNumberingAfterBreak="0">
    <w:nsid w:val="6D314690"/>
    <w:multiLevelType w:val="hybridMultilevel"/>
    <w:tmpl w:val="8504757A"/>
    <w:lvl w:ilvl="0" w:tplc="5C7A1690">
      <w:numFmt w:val="bullet"/>
      <w:lvlText w:val=""/>
      <w:lvlJc w:val="left"/>
      <w:pPr>
        <w:ind w:left="468" w:hanging="360"/>
      </w:pPr>
      <w:rPr>
        <w:rFonts w:ascii="Symbol" w:eastAsia="Symbol" w:hAnsi="Symbol" w:cs="Symbol" w:hint="default"/>
        <w:b w:val="0"/>
        <w:bCs w:val="0"/>
        <w:i w:val="0"/>
        <w:iCs w:val="0"/>
        <w:color w:val="003478"/>
        <w:spacing w:val="0"/>
        <w:w w:val="99"/>
        <w:sz w:val="20"/>
        <w:szCs w:val="20"/>
        <w:lang w:val="en-US" w:eastAsia="en-US" w:bidi="ar-SA"/>
      </w:rPr>
    </w:lvl>
    <w:lvl w:ilvl="1" w:tplc="182C9EA4">
      <w:numFmt w:val="bullet"/>
      <w:lvlText w:val="•"/>
      <w:lvlJc w:val="left"/>
      <w:pPr>
        <w:ind w:left="922" w:hanging="360"/>
      </w:pPr>
      <w:rPr>
        <w:rFonts w:hint="default"/>
        <w:lang w:val="en-US" w:eastAsia="en-US" w:bidi="ar-SA"/>
      </w:rPr>
    </w:lvl>
    <w:lvl w:ilvl="2" w:tplc="72BE8682">
      <w:numFmt w:val="bullet"/>
      <w:lvlText w:val="•"/>
      <w:lvlJc w:val="left"/>
      <w:pPr>
        <w:ind w:left="1384" w:hanging="360"/>
      </w:pPr>
      <w:rPr>
        <w:rFonts w:hint="default"/>
        <w:lang w:val="en-US" w:eastAsia="en-US" w:bidi="ar-SA"/>
      </w:rPr>
    </w:lvl>
    <w:lvl w:ilvl="3" w:tplc="CF34988A">
      <w:numFmt w:val="bullet"/>
      <w:lvlText w:val="•"/>
      <w:lvlJc w:val="left"/>
      <w:pPr>
        <w:ind w:left="1846" w:hanging="360"/>
      </w:pPr>
      <w:rPr>
        <w:rFonts w:hint="default"/>
        <w:lang w:val="en-US" w:eastAsia="en-US" w:bidi="ar-SA"/>
      </w:rPr>
    </w:lvl>
    <w:lvl w:ilvl="4" w:tplc="70781DC8">
      <w:numFmt w:val="bullet"/>
      <w:lvlText w:val="•"/>
      <w:lvlJc w:val="left"/>
      <w:pPr>
        <w:ind w:left="2308" w:hanging="360"/>
      </w:pPr>
      <w:rPr>
        <w:rFonts w:hint="default"/>
        <w:lang w:val="en-US" w:eastAsia="en-US" w:bidi="ar-SA"/>
      </w:rPr>
    </w:lvl>
    <w:lvl w:ilvl="5" w:tplc="D10A2BFC">
      <w:numFmt w:val="bullet"/>
      <w:lvlText w:val="•"/>
      <w:lvlJc w:val="left"/>
      <w:pPr>
        <w:ind w:left="2770" w:hanging="360"/>
      </w:pPr>
      <w:rPr>
        <w:rFonts w:hint="default"/>
        <w:lang w:val="en-US" w:eastAsia="en-US" w:bidi="ar-SA"/>
      </w:rPr>
    </w:lvl>
    <w:lvl w:ilvl="6" w:tplc="CEB0CAE4">
      <w:numFmt w:val="bullet"/>
      <w:lvlText w:val="•"/>
      <w:lvlJc w:val="left"/>
      <w:pPr>
        <w:ind w:left="3232" w:hanging="360"/>
      </w:pPr>
      <w:rPr>
        <w:rFonts w:hint="default"/>
        <w:lang w:val="en-US" w:eastAsia="en-US" w:bidi="ar-SA"/>
      </w:rPr>
    </w:lvl>
    <w:lvl w:ilvl="7" w:tplc="1124E858">
      <w:numFmt w:val="bullet"/>
      <w:lvlText w:val="•"/>
      <w:lvlJc w:val="left"/>
      <w:pPr>
        <w:ind w:left="3694" w:hanging="360"/>
      </w:pPr>
      <w:rPr>
        <w:rFonts w:hint="default"/>
        <w:lang w:val="en-US" w:eastAsia="en-US" w:bidi="ar-SA"/>
      </w:rPr>
    </w:lvl>
    <w:lvl w:ilvl="8" w:tplc="F6F4A548">
      <w:numFmt w:val="bullet"/>
      <w:lvlText w:val="•"/>
      <w:lvlJc w:val="left"/>
      <w:pPr>
        <w:ind w:left="4156" w:hanging="360"/>
      </w:pPr>
      <w:rPr>
        <w:rFonts w:hint="default"/>
        <w:lang w:val="en-US" w:eastAsia="en-US" w:bidi="ar-SA"/>
      </w:rPr>
    </w:lvl>
  </w:abstractNum>
  <w:abstractNum w:abstractNumId="32" w15:restartNumberingAfterBreak="0">
    <w:nsid w:val="72B14719"/>
    <w:multiLevelType w:val="hybridMultilevel"/>
    <w:tmpl w:val="B9069FC6"/>
    <w:lvl w:ilvl="0" w:tplc="EAF41C5C">
      <w:numFmt w:val="bullet"/>
      <w:lvlText w:val=""/>
      <w:lvlJc w:val="left"/>
      <w:pPr>
        <w:ind w:left="1128" w:hanging="358"/>
      </w:pPr>
      <w:rPr>
        <w:rFonts w:ascii="Symbol" w:eastAsia="Symbol" w:hAnsi="Symbol" w:cs="Symbol" w:hint="default"/>
        <w:b w:val="0"/>
        <w:bCs w:val="0"/>
        <w:i w:val="0"/>
        <w:iCs w:val="0"/>
        <w:color w:val="0064BB"/>
        <w:spacing w:val="0"/>
        <w:w w:val="99"/>
        <w:sz w:val="20"/>
        <w:szCs w:val="20"/>
        <w:lang w:val="en-US" w:eastAsia="en-US" w:bidi="ar-SA"/>
      </w:rPr>
    </w:lvl>
    <w:lvl w:ilvl="1" w:tplc="445CE1A4">
      <w:numFmt w:val="bullet"/>
      <w:lvlText w:val="•"/>
      <w:lvlJc w:val="left"/>
      <w:pPr>
        <w:ind w:left="2116" w:hanging="358"/>
      </w:pPr>
      <w:rPr>
        <w:rFonts w:hint="default"/>
        <w:lang w:val="en-US" w:eastAsia="en-US" w:bidi="ar-SA"/>
      </w:rPr>
    </w:lvl>
    <w:lvl w:ilvl="2" w:tplc="0434B740">
      <w:numFmt w:val="bullet"/>
      <w:lvlText w:val="•"/>
      <w:lvlJc w:val="left"/>
      <w:pPr>
        <w:ind w:left="3113" w:hanging="358"/>
      </w:pPr>
      <w:rPr>
        <w:rFonts w:hint="default"/>
        <w:lang w:val="en-US" w:eastAsia="en-US" w:bidi="ar-SA"/>
      </w:rPr>
    </w:lvl>
    <w:lvl w:ilvl="3" w:tplc="AC86357E">
      <w:numFmt w:val="bullet"/>
      <w:lvlText w:val="•"/>
      <w:lvlJc w:val="left"/>
      <w:pPr>
        <w:ind w:left="4109" w:hanging="358"/>
      </w:pPr>
      <w:rPr>
        <w:rFonts w:hint="default"/>
        <w:lang w:val="en-US" w:eastAsia="en-US" w:bidi="ar-SA"/>
      </w:rPr>
    </w:lvl>
    <w:lvl w:ilvl="4" w:tplc="75AA5806">
      <w:numFmt w:val="bullet"/>
      <w:lvlText w:val="•"/>
      <w:lvlJc w:val="left"/>
      <w:pPr>
        <w:ind w:left="5106" w:hanging="358"/>
      </w:pPr>
      <w:rPr>
        <w:rFonts w:hint="default"/>
        <w:lang w:val="en-US" w:eastAsia="en-US" w:bidi="ar-SA"/>
      </w:rPr>
    </w:lvl>
    <w:lvl w:ilvl="5" w:tplc="6F80DF96">
      <w:numFmt w:val="bullet"/>
      <w:lvlText w:val="•"/>
      <w:lvlJc w:val="left"/>
      <w:pPr>
        <w:ind w:left="6103" w:hanging="358"/>
      </w:pPr>
      <w:rPr>
        <w:rFonts w:hint="default"/>
        <w:lang w:val="en-US" w:eastAsia="en-US" w:bidi="ar-SA"/>
      </w:rPr>
    </w:lvl>
    <w:lvl w:ilvl="6" w:tplc="260E4500">
      <w:numFmt w:val="bullet"/>
      <w:lvlText w:val="•"/>
      <w:lvlJc w:val="left"/>
      <w:pPr>
        <w:ind w:left="7099" w:hanging="358"/>
      </w:pPr>
      <w:rPr>
        <w:rFonts w:hint="default"/>
        <w:lang w:val="en-US" w:eastAsia="en-US" w:bidi="ar-SA"/>
      </w:rPr>
    </w:lvl>
    <w:lvl w:ilvl="7" w:tplc="669023D2">
      <w:numFmt w:val="bullet"/>
      <w:lvlText w:val="•"/>
      <w:lvlJc w:val="left"/>
      <w:pPr>
        <w:ind w:left="8096" w:hanging="358"/>
      </w:pPr>
      <w:rPr>
        <w:rFonts w:hint="default"/>
        <w:lang w:val="en-US" w:eastAsia="en-US" w:bidi="ar-SA"/>
      </w:rPr>
    </w:lvl>
    <w:lvl w:ilvl="8" w:tplc="9BBADE28">
      <w:numFmt w:val="bullet"/>
      <w:lvlText w:val="•"/>
      <w:lvlJc w:val="left"/>
      <w:pPr>
        <w:ind w:left="9093" w:hanging="358"/>
      </w:pPr>
      <w:rPr>
        <w:rFonts w:hint="default"/>
        <w:lang w:val="en-US" w:eastAsia="en-US" w:bidi="ar-SA"/>
      </w:rPr>
    </w:lvl>
  </w:abstractNum>
  <w:abstractNum w:abstractNumId="33" w15:restartNumberingAfterBreak="0">
    <w:nsid w:val="76170EDB"/>
    <w:multiLevelType w:val="hybridMultilevel"/>
    <w:tmpl w:val="39E8FDA8"/>
    <w:lvl w:ilvl="0" w:tplc="AB3A4780">
      <w:numFmt w:val="bullet"/>
      <w:lvlText w:val=""/>
      <w:lvlJc w:val="left"/>
      <w:pPr>
        <w:ind w:left="468" w:hanging="360"/>
      </w:pPr>
      <w:rPr>
        <w:rFonts w:ascii="Symbol" w:eastAsia="Symbol" w:hAnsi="Symbol" w:cs="Symbol" w:hint="default"/>
        <w:b w:val="0"/>
        <w:bCs w:val="0"/>
        <w:i w:val="0"/>
        <w:iCs w:val="0"/>
        <w:color w:val="0064BB"/>
        <w:spacing w:val="0"/>
        <w:w w:val="99"/>
        <w:sz w:val="20"/>
        <w:szCs w:val="20"/>
        <w:lang w:val="en-US" w:eastAsia="en-US" w:bidi="ar-SA"/>
      </w:rPr>
    </w:lvl>
    <w:lvl w:ilvl="1" w:tplc="5BFC3608">
      <w:numFmt w:val="bullet"/>
      <w:lvlText w:val="•"/>
      <w:lvlJc w:val="left"/>
      <w:pPr>
        <w:ind w:left="1433" w:hanging="360"/>
      </w:pPr>
      <w:rPr>
        <w:rFonts w:hint="default"/>
        <w:lang w:val="en-US" w:eastAsia="en-US" w:bidi="ar-SA"/>
      </w:rPr>
    </w:lvl>
    <w:lvl w:ilvl="2" w:tplc="34145622">
      <w:numFmt w:val="bullet"/>
      <w:lvlText w:val="•"/>
      <w:lvlJc w:val="left"/>
      <w:pPr>
        <w:ind w:left="2407" w:hanging="360"/>
      </w:pPr>
      <w:rPr>
        <w:rFonts w:hint="default"/>
        <w:lang w:val="en-US" w:eastAsia="en-US" w:bidi="ar-SA"/>
      </w:rPr>
    </w:lvl>
    <w:lvl w:ilvl="3" w:tplc="E12264EE">
      <w:numFmt w:val="bullet"/>
      <w:lvlText w:val="•"/>
      <w:lvlJc w:val="left"/>
      <w:pPr>
        <w:ind w:left="3380" w:hanging="360"/>
      </w:pPr>
      <w:rPr>
        <w:rFonts w:hint="default"/>
        <w:lang w:val="en-US" w:eastAsia="en-US" w:bidi="ar-SA"/>
      </w:rPr>
    </w:lvl>
    <w:lvl w:ilvl="4" w:tplc="5426BE9E">
      <w:numFmt w:val="bullet"/>
      <w:lvlText w:val="•"/>
      <w:lvlJc w:val="left"/>
      <w:pPr>
        <w:ind w:left="4354" w:hanging="360"/>
      </w:pPr>
      <w:rPr>
        <w:rFonts w:hint="default"/>
        <w:lang w:val="en-US" w:eastAsia="en-US" w:bidi="ar-SA"/>
      </w:rPr>
    </w:lvl>
    <w:lvl w:ilvl="5" w:tplc="3A4A9CF8">
      <w:numFmt w:val="bullet"/>
      <w:lvlText w:val="•"/>
      <w:lvlJc w:val="left"/>
      <w:pPr>
        <w:ind w:left="5327" w:hanging="360"/>
      </w:pPr>
      <w:rPr>
        <w:rFonts w:hint="default"/>
        <w:lang w:val="en-US" w:eastAsia="en-US" w:bidi="ar-SA"/>
      </w:rPr>
    </w:lvl>
    <w:lvl w:ilvl="6" w:tplc="5524B98C">
      <w:numFmt w:val="bullet"/>
      <w:lvlText w:val="•"/>
      <w:lvlJc w:val="left"/>
      <w:pPr>
        <w:ind w:left="6301" w:hanging="360"/>
      </w:pPr>
      <w:rPr>
        <w:rFonts w:hint="default"/>
        <w:lang w:val="en-US" w:eastAsia="en-US" w:bidi="ar-SA"/>
      </w:rPr>
    </w:lvl>
    <w:lvl w:ilvl="7" w:tplc="E1C62600">
      <w:numFmt w:val="bullet"/>
      <w:lvlText w:val="•"/>
      <w:lvlJc w:val="left"/>
      <w:pPr>
        <w:ind w:left="7274" w:hanging="360"/>
      </w:pPr>
      <w:rPr>
        <w:rFonts w:hint="default"/>
        <w:lang w:val="en-US" w:eastAsia="en-US" w:bidi="ar-SA"/>
      </w:rPr>
    </w:lvl>
    <w:lvl w:ilvl="8" w:tplc="3DDC7534">
      <w:numFmt w:val="bullet"/>
      <w:lvlText w:val="•"/>
      <w:lvlJc w:val="left"/>
      <w:pPr>
        <w:ind w:left="8248" w:hanging="360"/>
      </w:pPr>
      <w:rPr>
        <w:rFonts w:hint="default"/>
        <w:lang w:val="en-US" w:eastAsia="en-US" w:bidi="ar-SA"/>
      </w:rPr>
    </w:lvl>
  </w:abstractNum>
  <w:abstractNum w:abstractNumId="34" w15:restartNumberingAfterBreak="0">
    <w:nsid w:val="790D2EFE"/>
    <w:multiLevelType w:val="hybridMultilevel"/>
    <w:tmpl w:val="EA4AC82A"/>
    <w:lvl w:ilvl="0" w:tplc="84623BB4">
      <w:numFmt w:val="bullet"/>
      <w:lvlText w:val=""/>
      <w:lvlJc w:val="left"/>
      <w:pPr>
        <w:ind w:left="468" w:hanging="360"/>
      </w:pPr>
      <w:rPr>
        <w:rFonts w:ascii="Symbol" w:eastAsia="Symbol" w:hAnsi="Symbol" w:cs="Symbol" w:hint="default"/>
        <w:b w:val="0"/>
        <w:bCs w:val="0"/>
        <w:i w:val="0"/>
        <w:iCs w:val="0"/>
        <w:color w:val="003478"/>
        <w:spacing w:val="0"/>
        <w:w w:val="99"/>
        <w:sz w:val="20"/>
        <w:szCs w:val="20"/>
        <w:lang w:val="en-US" w:eastAsia="en-US" w:bidi="ar-SA"/>
      </w:rPr>
    </w:lvl>
    <w:lvl w:ilvl="1" w:tplc="B8540626">
      <w:numFmt w:val="bullet"/>
      <w:lvlText w:val="•"/>
      <w:lvlJc w:val="left"/>
      <w:pPr>
        <w:ind w:left="922" w:hanging="360"/>
      </w:pPr>
      <w:rPr>
        <w:rFonts w:hint="default"/>
        <w:lang w:val="en-US" w:eastAsia="en-US" w:bidi="ar-SA"/>
      </w:rPr>
    </w:lvl>
    <w:lvl w:ilvl="2" w:tplc="5374FAE6">
      <w:numFmt w:val="bullet"/>
      <w:lvlText w:val="•"/>
      <w:lvlJc w:val="left"/>
      <w:pPr>
        <w:ind w:left="1384" w:hanging="360"/>
      </w:pPr>
      <w:rPr>
        <w:rFonts w:hint="default"/>
        <w:lang w:val="en-US" w:eastAsia="en-US" w:bidi="ar-SA"/>
      </w:rPr>
    </w:lvl>
    <w:lvl w:ilvl="3" w:tplc="0FDCBE72">
      <w:numFmt w:val="bullet"/>
      <w:lvlText w:val="•"/>
      <w:lvlJc w:val="left"/>
      <w:pPr>
        <w:ind w:left="1846" w:hanging="360"/>
      </w:pPr>
      <w:rPr>
        <w:rFonts w:hint="default"/>
        <w:lang w:val="en-US" w:eastAsia="en-US" w:bidi="ar-SA"/>
      </w:rPr>
    </w:lvl>
    <w:lvl w:ilvl="4" w:tplc="96E44E76">
      <w:numFmt w:val="bullet"/>
      <w:lvlText w:val="•"/>
      <w:lvlJc w:val="left"/>
      <w:pPr>
        <w:ind w:left="2308" w:hanging="360"/>
      </w:pPr>
      <w:rPr>
        <w:rFonts w:hint="default"/>
        <w:lang w:val="en-US" w:eastAsia="en-US" w:bidi="ar-SA"/>
      </w:rPr>
    </w:lvl>
    <w:lvl w:ilvl="5" w:tplc="58ECCF54">
      <w:numFmt w:val="bullet"/>
      <w:lvlText w:val="•"/>
      <w:lvlJc w:val="left"/>
      <w:pPr>
        <w:ind w:left="2770" w:hanging="360"/>
      </w:pPr>
      <w:rPr>
        <w:rFonts w:hint="default"/>
        <w:lang w:val="en-US" w:eastAsia="en-US" w:bidi="ar-SA"/>
      </w:rPr>
    </w:lvl>
    <w:lvl w:ilvl="6" w:tplc="72F4888E">
      <w:numFmt w:val="bullet"/>
      <w:lvlText w:val="•"/>
      <w:lvlJc w:val="left"/>
      <w:pPr>
        <w:ind w:left="3232" w:hanging="360"/>
      </w:pPr>
      <w:rPr>
        <w:rFonts w:hint="default"/>
        <w:lang w:val="en-US" w:eastAsia="en-US" w:bidi="ar-SA"/>
      </w:rPr>
    </w:lvl>
    <w:lvl w:ilvl="7" w:tplc="5098486E">
      <w:numFmt w:val="bullet"/>
      <w:lvlText w:val="•"/>
      <w:lvlJc w:val="left"/>
      <w:pPr>
        <w:ind w:left="3694" w:hanging="360"/>
      </w:pPr>
      <w:rPr>
        <w:rFonts w:hint="default"/>
        <w:lang w:val="en-US" w:eastAsia="en-US" w:bidi="ar-SA"/>
      </w:rPr>
    </w:lvl>
    <w:lvl w:ilvl="8" w:tplc="3162C742">
      <w:numFmt w:val="bullet"/>
      <w:lvlText w:val="•"/>
      <w:lvlJc w:val="left"/>
      <w:pPr>
        <w:ind w:left="4156" w:hanging="360"/>
      </w:pPr>
      <w:rPr>
        <w:rFonts w:hint="default"/>
        <w:lang w:val="en-US" w:eastAsia="en-US" w:bidi="ar-SA"/>
      </w:rPr>
    </w:lvl>
  </w:abstractNum>
  <w:num w:numId="1" w16cid:durableId="1975988264">
    <w:abstractNumId w:val="24"/>
  </w:num>
  <w:num w:numId="2" w16cid:durableId="1485511300">
    <w:abstractNumId w:val="23"/>
  </w:num>
  <w:num w:numId="3" w16cid:durableId="172109885">
    <w:abstractNumId w:val="0"/>
  </w:num>
  <w:num w:numId="4" w16cid:durableId="430274006">
    <w:abstractNumId w:val="26"/>
  </w:num>
  <w:num w:numId="5" w16cid:durableId="605311466">
    <w:abstractNumId w:val="27"/>
  </w:num>
  <w:num w:numId="6" w16cid:durableId="1457143448">
    <w:abstractNumId w:val="7"/>
  </w:num>
  <w:num w:numId="7" w16cid:durableId="753168585">
    <w:abstractNumId w:val="22"/>
  </w:num>
  <w:num w:numId="8" w16cid:durableId="1838156109">
    <w:abstractNumId w:val="8"/>
  </w:num>
  <w:num w:numId="9" w16cid:durableId="183399128">
    <w:abstractNumId w:val="19"/>
  </w:num>
  <w:num w:numId="10" w16cid:durableId="1238321316">
    <w:abstractNumId w:val="14"/>
  </w:num>
  <w:num w:numId="11" w16cid:durableId="1470248503">
    <w:abstractNumId w:val="6"/>
  </w:num>
  <w:num w:numId="12" w16cid:durableId="263538705">
    <w:abstractNumId w:val="20"/>
  </w:num>
  <w:num w:numId="13" w16cid:durableId="556940996">
    <w:abstractNumId w:val="5"/>
  </w:num>
  <w:num w:numId="14" w16cid:durableId="726077728">
    <w:abstractNumId w:val="21"/>
  </w:num>
  <w:num w:numId="15" w16cid:durableId="1342902006">
    <w:abstractNumId w:val="10"/>
  </w:num>
  <w:num w:numId="16" w16cid:durableId="1682005105">
    <w:abstractNumId w:val="11"/>
  </w:num>
  <w:num w:numId="17" w16cid:durableId="1435901380">
    <w:abstractNumId w:val="13"/>
  </w:num>
  <w:num w:numId="18" w16cid:durableId="396629613">
    <w:abstractNumId w:val="18"/>
  </w:num>
  <w:num w:numId="19" w16cid:durableId="1911962945">
    <w:abstractNumId w:val="1"/>
  </w:num>
  <w:num w:numId="20" w16cid:durableId="1251695718">
    <w:abstractNumId w:val="17"/>
  </w:num>
  <w:num w:numId="21" w16cid:durableId="1963805686">
    <w:abstractNumId w:val="16"/>
  </w:num>
  <w:num w:numId="22" w16cid:durableId="1603342085">
    <w:abstractNumId w:val="34"/>
  </w:num>
  <w:num w:numId="23" w16cid:durableId="2140878593">
    <w:abstractNumId w:val="25"/>
  </w:num>
  <w:num w:numId="24" w16cid:durableId="733771917">
    <w:abstractNumId w:val="31"/>
  </w:num>
  <w:num w:numId="25" w16cid:durableId="10494748">
    <w:abstractNumId w:val="32"/>
  </w:num>
  <w:num w:numId="26" w16cid:durableId="1315062447">
    <w:abstractNumId w:val="2"/>
  </w:num>
  <w:num w:numId="27" w16cid:durableId="1860924813">
    <w:abstractNumId w:val="29"/>
  </w:num>
  <w:num w:numId="28" w16cid:durableId="250049856">
    <w:abstractNumId w:val="9"/>
  </w:num>
  <w:num w:numId="29" w16cid:durableId="1964605412">
    <w:abstractNumId w:val="33"/>
  </w:num>
  <w:num w:numId="30" w16cid:durableId="83376866">
    <w:abstractNumId w:val="30"/>
  </w:num>
  <w:num w:numId="31" w16cid:durableId="1770658275">
    <w:abstractNumId w:val="15"/>
  </w:num>
  <w:num w:numId="32" w16cid:durableId="2074691256">
    <w:abstractNumId w:val="12"/>
  </w:num>
  <w:num w:numId="33" w16cid:durableId="1060247774">
    <w:abstractNumId w:val="28"/>
  </w:num>
  <w:num w:numId="34" w16cid:durableId="332295679">
    <w:abstractNumId w:val="3"/>
  </w:num>
  <w:num w:numId="35" w16cid:durableId="5003869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6E3"/>
    <w:rsid w:val="00001BC8"/>
    <w:rsid w:val="000047A7"/>
    <w:rsid w:val="00012D12"/>
    <w:rsid w:val="00022F8B"/>
    <w:rsid w:val="00025191"/>
    <w:rsid w:val="00026899"/>
    <w:rsid w:val="00027B58"/>
    <w:rsid w:val="00027FA9"/>
    <w:rsid w:val="00030B4C"/>
    <w:rsid w:val="00033091"/>
    <w:rsid w:val="00040A62"/>
    <w:rsid w:val="00044F9F"/>
    <w:rsid w:val="0004680C"/>
    <w:rsid w:val="0005051B"/>
    <w:rsid w:val="000505EE"/>
    <w:rsid w:val="00056D3B"/>
    <w:rsid w:val="00056EF8"/>
    <w:rsid w:val="000626DB"/>
    <w:rsid w:val="00066B53"/>
    <w:rsid w:val="000800C0"/>
    <w:rsid w:val="0008574F"/>
    <w:rsid w:val="00091435"/>
    <w:rsid w:val="00094F70"/>
    <w:rsid w:val="000A0EBC"/>
    <w:rsid w:val="000B3D78"/>
    <w:rsid w:val="000D0E0B"/>
    <w:rsid w:val="000D50D6"/>
    <w:rsid w:val="000D7A4C"/>
    <w:rsid w:val="000D7ABA"/>
    <w:rsid w:val="000E716F"/>
    <w:rsid w:val="000E7207"/>
    <w:rsid w:val="000F3318"/>
    <w:rsid w:val="000F3AC9"/>
    <w:rsid w:val="000F6E15"/>
    <w:rsid w:val="0010015A"/>
    <w:rsid w:val="0010173D"/>
    <w:rsid w:val="001032C7"/>
    <w:rsid w:val="001108FF"/>
    <w:rsid w:val="00116639"/>
    <w:rsid w:val="00123D25"/>
    <w:rsid w:val="001261A6"/>
    <w:rsid w:val="00132BB9"/>
    <w:rsid w:val="001350E6"/>
    <w:rsid w:val="001400A3"/>
    <w:rsid w:val="0014633F"/>
    <w:rsid w:val="00154387"/>
    <w:rsid w:val="00156C73"/>
    <w:rsid w:val="00161CC5"/>
    <w:rsid w:val="00165F7E"/>
    <w:rsid w:val="00171C0A"/>
    <w:rsid w:val="00185A8E"/>
    <w:rsid w:val="001A03BF"/>
    <w:rsid w:val="001A76B7"/>
    <w:rsid w:val="001B170F"/>
    <w:rsid w:val="001B6591"/>
    <w:rsid w:val="001C0270"/>
    <w:rsid w:val="001D47C1"/>
    <w:rsid w:val="001D6325"/>
    <w:rsid w:val="001E0333"/>
    <w:rsid w:val="0020169A"/>
    <w:rsid w:val="00204FAD"/>
    <w:rsid w:val="0021490D"/>
    <w:rsid w:val="00216818"/>
    <w:rsid w:val="002269D7"/>
    <w:rsid w:val="002309A1"/>
    <w:rsid w:val="00230BC1"/>
    <w:rsid w:val="00232113"/>
    <w:rsid w:val="00240A5C"/>
    <w:rsid w:val="00245DA7"/>
    <w:rsid w:val="00257ADF"/>
    <w:rsid w:val="0026008D"/>
    <w:rsid w:val="002601AB"/>
    <w:rsid w:val="0026128B"/>
    <w:rsid w:val="00264662"/>
    <w:rsid w:val="00265F56"/>
    <w:rsid w:val="002670C8"/>
    <w:rsid w:val="002743BA"/>
    <w:rsid w:val="00275BDF"/>
    <w:rsid w:val="002807F8"/>
    <w:rsid w:val="00280D5D"/>
    <w:rsid w:val="0028139B"/>
    <w:rsid w:val="00283AF1"/>
    <w:rsid w:val="00285288"/>
    <w:rsid w:val="00285366"/>
    <w:rsid w:val="00287960"/>
    <w:rsid w:val="00293102"/>
    <w:rsid w:val="0029436F"/>
    <w:rsid w:val="002A2B53"/>
    <w:rsid w:val="002B0EEC"/>
    <w:rsid w:val="002C150B"/>
    <w:rsid w:val="002C5F45"/>
    <w:rsid w:val="002D10C8"/>
    <w:rsid w:val="002E17DF"/>
    <w:rsid w:val="002E5B5C"/>
    <w:rsid w:val="002E5B7E"/>
    <w:rsid w:val="00315C59"/>
    <w:rsid w:val="00323736"/>
    <w:rsid w:val="00327417"/>
    <w:rsid w:val="0033225F"/>
    <w:rsid w:val="0033411A"/>
    <w:rsid w:val="003401C1"/>
    <w:rsid w:val="0034483A"/>
    <w:rsid w:val="00351F38"/>
    <w:rsid w:val="003522DC"/>
    <w:rsid w:val="00353819"/>
    <w:rsid w:val="0035415D"/>
    <w:rsid w:val="00360F6E"/>
    <w:rsid w:val="0036402F"/>
    <w:rsid w:val="003670C8"/>
    <w:rsid w:val="00370F2C"/>
    <w:rsid w:val="00372A57"/>
    <w:rsid w:val="003850C5"/>
    <w:rsid w:val="003A16AF"/>
    <w:rsid w:val="003A4608"/>
    <w:rsid w:val="003A4DAE"/>
    <w:rsid w:val="003B4CB4"/>
    <w:rsid w:val="003B6772"/>
    <w:rsid w:val="003C0709"/>
    <w:rsid w:val="003C0C2E"/>
    <w:rsid w:val="003C4810"/>
    <w:rsid w:val="003C587D"/>
    <w:rsid w:val="003D4E65"/>
    <w:rsid w:val="003E2388"/>
    <w:rsid w:val="003E2DF2"/>
    <w:rsid w:val="003E3DAD"/>
    <w:rsid w:val="003E4C6C"/>
    <w:rsid w:val="003F0499"/>
    <w:rsid w:val="00406648"/>
    <w:rsid w:val="00410780"/>
    <w:rsid w:val="00413790"/>
    <w:rsid w:val="004141F6"/>
    <w:rsid w:val="00414C92"/>
    <w:rsid w:val="00423B09"/>
    <w:rsid w:val="0042722D"/>
    <w:rsid w:val="00435E09"/>
    <w:rsid w:val="0044633C"/>
    <w:rsid w:val="00461950"/>
    <w:rsid w:val="004640A8"/>
    <w:rsid w:val="00467F51"/>
    <w:rsid w:val="00475760"/>
    <w:rsid w:val="00480C9E"/>
    <w:rsid w:val="00483255"/>
    <w:rsid w:val="004838BE"/>
    <w:rsid w:val="0049092B"/>
    <w:rsid w:val="004917F1"/>
    <w:rsid w:val="004958D2"/>
    <w:rsid w:val="004A0B8D"/>
    <w:rsid w:val="004A352B"/>
    <w:rsid w:val="004B22BF"/>
    <w:rsid w:val="004B5991"/>
    <w:rsid w:val="004C027C"/>
    <w:rsid w:val="004C1A26"/>
    <w:rsid w:val="004C5DF6"/>
    <w:rsid w:val="004D5A02"/>
    <w:rsid w:val="004D78B7"/>
    <w:rsid w:val="004E0593"/>
    <w:rsid w:val="004F09BF"/>
    <w:rsid w:val="005021E5"/>
    <w:rsid w:val="00505F2C"/>
    <w:rsid w:val="00507F14"/>
    <w:rsid w:val="00542660"/>
    <w:rsid w:val="005426AF"/>
    <w:rsid w:val="00543830"/>
    <w:rsid w:val="005457A1"/>
    <w:rsid w:val="00546E87"/>
    <w:rsid w:val="00561CDF"/>
    <w:rsid w:val="00570DCC"/>
    <w:rsid w:val="00572F52"/>
    <w:rsid w:val="00584D54"/>
    <w:rsid w:val="00590238"/>
    <w:rsid w:val="005912C0"/>
    <w:rsid w:val="00592A33"/>
    <w:rsid w:val="005A5331"/>
    <w:rsid w:val="005B32CE"/>
    <w:rsid w:val="005C1130"/>
    <w:rsid w:val="005C3702"/>
    <w:rsid w:val="005C489E"/>
    <w:rsid w:val="005C4EB4"/>
    <w:rsid w:val="005C6861"/>
    <w:rsid w:val="005E6E83"/>
    <w:rsid w:val="005F2E57"/>
    <w:rsid w:val="00601562"/>
    <w:rsid w:val="00611868"/>
    <w:rsid w:val="006157A7"/>
    <w:rsid w:val="006203EB"/>
    <w:rsid w:val="006220FA"/>
    <w:rsid w:val="006239CA"/>
    <w:rsid w:val="00627C54"/>
    <w:rsid w:val="006432C2"/>
    <w:rsid w:val="00644E45"/>
    <w:rsid w:val="00653ACF"/>
    <w:rsid w:val="00653E6B"/>
    <w:rsid w:val="00677787"/>
    <w:rsid w:val="00680EFA"/>
    <w:rsid w:val="00683DD3"/>
    <w:rsid w:val="00686D6F"/>
    <w:rsid w:val="00695942"/>
    <w:rsid w:val="0069658C"/>
    <w:rsid w:val="006B04BB"/>
    <w:rsid w:val="006B04C2"/>
    <w:rsid w:val="006B267F"/>
    <w:rsid w:val="006B412E"/>
    <w:rsid w:val="006B52C2"/>
    <w:rsid w:val="006B628C"/>
    <w:rsid w:val="006D6066"/>
    <w:rsid w:val="006E1191"/>
    <w:rsid w:val="006E64C4"/>
    <w:rsid w:val="006E65D2"/>
    <w:rsid w:val="006F1844"/>
    <w:rsid w:val="006F24F8"/>
    <w:rsid w:val="006F7CCC"/>
    <w:rsid w:val="0070344C"/>
    <w:rsid w:val="007052AA"/>
    <w:rsid w:val="00711B34"/>
    <w:rsid w:val="00711D40"/>
    <w:rsid w:val="00712A6F"/>
    <w:rsid w:val="007135DD"/>
    <w:rsid w:val="00720AD1"/>
    <w:rsid w:val="0072274A"/>
    <w:rsid w:val="0072465A"/>
    <w:rsid w:val="00724CB7"/>
    <w:rsid w:val="007357BA"/>
    <w:rsid w:val="00741BD3"/>
    <w:rsid w:val="00742091"/>
    <w:rsid w:val="0074360D"/>
    <w:rsid w:val="00744F34"/>
    <w:rsid w:val="007519D8"/>
    <w:rsid w:val="00752066"/>
    <w:rsid w:val="00752BAC"/>
    <w:rsid w:val="00755A2C"/>
    <w:rsid w:val="00760C2B"/>
    <w:rsid w:val="00762060"/>
    <w:rsid w:val="00762A36"/>
    <w:rsid w:val="00764EF0"/>
    <w:rsid w:val="00775FAF"/>
    <w:rsid w:val="00785204"/>
    <w:rsid w:val="007857C8"/>
    <w:rsid w:val="00797A9D"/>
    <w:rsid w:val="007A6C43"/>
    <w:rsid w:val="007C64B9"/>
    <w:rsid w:val="007C6C5F"/>
    <w:rsid w:val="007E5EDB"/>
    <w:rsid w:val="007E7C0B"/>
    <w:rsid w:val="007F1407"/>
    <w:rsid w:val="007F56EF"/>
    <w:rsid w:val="007F6299"/>
    <w:rsid w:val="00802B5D"/>
    <w:rsid w:val="00806119"/>
    <w:rsid w:val="00810CB7"/>
    <w:rsid w:val="0081152C"/>
    <w:rsid w:val="00812534"/>
    <w:rsid w:val="008132B9"/>
    <w:rsid w:val="008158E2"/>
    <w:rsid w:val="00821580"/>
    <w:rsid w:val="0082322A"/>
    <w:rsid w:val="00831FFF"/>
    <w:rsid w:val="00837004"/>
    <w:rsid w:val="00840115"/>
    <w:rsid w:val="0084286C"/>
    <w:rsid w:val="008439AE"/>
    <w:rsid w:val="00855B34"/>
    <w:rsid w:val="00856902"/>
    <w:rsid w:val="00860C39"/>
    <w:rsid w:val="00862F85"/>
    <w:rsid w:val="00863A97"/>
    <w:rsid w:val="0086493F"/>
    <w:rsid w:val="0086511A"/>
    <w:rsid w:val="00865C66"/>
    <w:rsid w:val="00865CD8"/>
    <w:rsid w:val="00891253"/>
    <w:rsid w:val="0089145C"/>
    <w:rsid w:val="008A6B14"/>
    <w:rsid w:val="008A7763"/>
    <w:rsid w:val="008B064F"/>
    <w:rsid w:val="008B78A3"/>
    <w:rsid w:val="008C385F"/>
    <w:rsid w:val="008C78B5"/>
    <w:rsid w:val="008D323A"/>
    <w:rsid w:val="008E255A"/>
    <w:rsid w:val="008F6A88"/>
    <w:rsid w:val="008F78B7"/>
    <w:rsid w:val="008F7F1F"/>
    <w:rsid w:val="009056FB"/>
    <w:rsid w:val="009114BE"/>
    <w:rsid w:val="00912D8D"/>
    <w:rsid w:val="00927386"/>
    <w:rsid w:val="009351A9"/>
    <w:rsid w:val="00935AA1"/>
    <w:rsid w:val="009403C3"/>
    <w:rsid w:val="00947F19"/>
    <w:rsid w:val="00950284"/>
    <w:rsid w:val="009523E3"/>
    <w:rsid w:val="009530BC"/>
    <w:rsid w:val="0095324B"/>
    <w:rsid w:val="00956F14"/>
    <w:rsid w:val="00963BD9"/>
    <w:rsid w:val="00966377"/>
    <w:rsid w:val="00982167"/>
    <w:rsid w:val="009917CB"/>
    <w:rsid w:val="00993055"/>
    <w:rsid w:val="00993AEA"/>
    <w:rsid w:val="00994C49"/>
    <w:rsid w:val="00995CC3"/>
    <w:rsid w:val="00996455"/>
    <w:rsid w:val="009A097A"/>
    <w:rsid w:val="009A13C8"/>
    <w:rsid w:val="009A49FB"/>
    <w:rsid w:val="009B4C10"/>
    <w:rsid w:val="009B5337"/>
    <w:rsid w:val="009B5D34"/>
    <w:rsid w:val="009C1A5E"/>
    <w:rsid w:val="009C36E3"/>
    <w:rsid w:val="009C4605"/>
    <w:rsid w:val="009D63F5"/>
    <w:rsid w:val="009E1A57"/>
    <w:rsid w:val="00A134E8"/>
    <w:rsid w:val="00A142EA"/>
    <w:rsid w:val="00A33D64"/>
    <w:rsid w:val="00A34641"/>
    <w:rsid w:val="00A36DDA"/>
    <w:rsid w:val="00A3744E"/>
    <w:rsid w:val="00A379AA"/>
    <w:rsid w:val="00A43C16"/>
    <w:rsid w:val="00A45044"/>
    <w:rsid w:val="00A54485"/>
    <w:rsid w:val="00A55A88"/>
    <w:rsid w:val="00A62998"/>
    <w:rsid w:val="00A758DE"/>
    <w:rsid w:val="00A75B06"/>
    <w:rsid w:val="00A77899"/>
    <w:rsid w:val="00A814F1"/>
    <w:rsid w:val="00A81BD6"/>
    <w:rsid w:val="00A85562"/>
    <w:rsid w:val="00A95F3B"/>
    <w:rsid w:val="00AA3059"/>
    <w:rsid w:val="00AA4991"/>
    <w:rsid w:val="00AA66AB"/>
    <w:rsid w:val="00AB256F"/>
    <w:rsid w:val="00AB39E2"/>
    <w:rsid w:val="00AB4EAB"/>
    <w:rsid w:val="00AB6522"/>
    <w:rsid w:val="00AC47BB"/>
    <w:rsid w:val="00AC47FF"/>
    <w:rsid w:val="00AC5A31"/>
    <w:rsid w:val="00AD1316"/>
    <w:rsid w:val="00AD1937"/>
    <w:rsid w:val="00AD67C2"/>
    <w:rsid w:val="00AD683C"/>
    <w:rsid w:val="00AD7C42"/>
    <w:rsid w:val="00AE1726"/>
    <w:rsid w:val="00AF536F"/>
    <w:rsid w:val="00AF55AB"/>
    <w:rsid w:val="00B02025"/>
    <w:rsid w:val="00B075CC"/>
    <w:rsid w:val="00B11A33"/>
    <w:rsid w:val="00B209E9"/>
    <w:rsid w:val="00B20D42"/>
    <w:rsid w:val="00B23F54"/>
    <w:rsid w:val="00B2694E"/>
    <w:rsid w:val="00B30B9A"/>
    <w:rsid w:val="00B30F8A"/>
    <w:rsid w:val="00B31D3C"/>
    <w:rsid w:val="00B31DBE"/>
    <w:rsid w:val="00B36922"/>
    <w:rsid w:val="00B4451C"/>
    <w:rsid w:val="00B52505"/>
    <w:rsid w:val="00B53B3D"/>
    <w:rsid w:val="00B63E1E"/>
    <w:rsid w:val="00B725DA"/>
    <w:rsid w:val="00B747A1"/>
    <w:rsid w:val="00B77B7F"/>
    <w:rsid w:val="00B801E1"/>
    <w:rsid w:val="00B85DE5"/>
    <w:rsid w:val="00B91442"/>
    <w:rsid w:val="00B9358D"/>
    <w:rsid w:val="00B96194"/>
    <w:rsid w:val="00BA1E36"/>
    <w:rsid w:val="00BA7E58"/>
    <w:rsid w:val="00BB5EEB"/>
    <w:rsid w:val="00BC093B"/>
    <w:rsid w:val="00BE029E"/>
    <w:rsid w:val="00BE28FE"/>
    <w:rsid w:val="00BE49B5"/>
    <w:rsid w:val="00BF3BD0"/>
    <w:rsid w:val="00BF7534"/>
    <w:rsid w:val="00C059B2"/>
    <w:rsid w:val="00C11911"/>
    <w:rsid w:val="00C11DA1"/>
    <w:rsid w:val="00C450B8"/>
    <w:rsid w:val="00C53541"/>
    <w:rsid w:val="00C624EF"/>
    <w:rsid w:val="00C7127F"/>
    <w:rsid w:val="00C74487"/>
    <w:rsid w:val="00C76722"/>
    <w:rsid w:val="00C84A55"/>
    <w:rsid w:val="00C91EA2"/>
    <w:rsid w:val="00C930E4"/>
    <w:rsid w:val="00CA2E1C"/>
    <w:rsid w:val="00CA33F2"/>
    <w:rsid w:val="00CB04B4"/>
    <w:rsid w:val="00CB17FD"/>
    <w:rsid w:val="00CC2DE7"/>
    <w:rsid w:val="00CC5AC5"/>
    <w:rsid w:val="00CC7DD1"/>
    <w:rsid w:val="00CE37C5"/>
    <w:rsid w:val="00CE5D7B"/>
    <w:rsid w:val="00CF5ED3"/>
    <w:rsid w:val="00CF5FA8"/>
    <w:rsid w:val="00D0072F"/>
    <w:rsid w:val="00D040AB"/>
    <w:rsid w:val="00D0734F"/>
    <w:rsid w:val="00D220AA"/>
    <w:rsid w:val="00D36F58"/>
    <w:rsid w:val="00D536E9"/>
    <w:rsid w:val="00D5593E"/>
    <w:rsid w:val="00D60EEF"/>
    <w:rsid w:val="00D678B8"/>
    <w:rsid w:val="00D70A2E"/>
    <w:rsid w:val="00D731FB"/>
    <w:rsid w:val="00D85EA2"/>
    <w:rsid w:val="00D94E8A"/>
    <w:rsid w:val="00DA45CB"/>
    <w:rsid w:val="00DB05BE"/>
    <w:rsid w:val="00DB0DE2"/>
    <w:rsid w:val="00DB452C"/>
    <w:rsid w:val="00DB5CF2"/>
    <w:rsid w:val="00DB5EE9"/>
    <w:rsid w:val="00DC4617"/>
    <w:rsid w:val="00DC59FF"/>
    <w:rsid w:val="00DC5BA4"/>
    <w:rsid w:val="00DC7C06"/>
    <w:rsid w:val="00DD5111"/>
    <w:rsid w:val="00DF1694"/>
    <w:rsid w:val="00DF2F38"/>
    <w:rsid w:val="00DF7769"/>
    <w:rsid w:val="00DF7872"/>
    <w:rsid w:val="00E023DE"/>
    <w:rsid w:val="00E065DC"/>
    <w:rsid w:val="00E06752"/>
    <w:rsid w:val="00E104C2"/>
    <w:rsid w:val="00E11B4E"/>
    <w:rsid w:val="00E17D99"/>
    <w:rsid w:val="00E21DDF"/>
    <w:rsid w:val="00E255CC"/>
    <w:rsid w:val="00E3175A"/>
    <w:rsid w:val="00E36DAA"/>
    <w:rsid w:val="00E405E7"/>
    <w:rsid w:val="00E42B53"/>
    <w:rsid w:val="00E4609B"/>
    <w:rsid w:val="00E505BE"/>
    <w:rsid w:val="00E51368"/>
    <w:rsid w:val="00E60DDC"/>
    <w:rsid w:val="00E62458"/>
    <w:rsid w:val="00E65450"/>
    <w:rsid w:val="00E745AE"/>
    <w:rsid w:val="00E84525"/>
    <w:rsid w:val="00E85C15"/>
    <w:rsid w:val="00E86E8F"/>
    <w:rsid w:val="00E9288E"/>
    <w:rsid w:val="00E9391D"/>
    <w:rsid w:val="00E963CD"/>
    <w:rsid w:val="00EA5284"/>
    <w:rsid w:val="00EB07D1"/>
    <w:rsid w:val="00EB4AC9"/>
    <w:rsid w:val="00EB7457"/>
    <w:rsid w:val="00EC64BD"/>
    <w:rsid w:val="00EC6857"/>
    <w:rsid w:val="00EE0B39"/>
    <w:rsid w:val="00EE2CA8"/>
    <w:rsid w:val="00EE6614"/>
    <w:rsid w:val="00EF638E"/>
    <w:rsid w:val="00F01F96"/>
    <w:rsid w:val="00F07ECC"/>
    <w:rsid w:val="00F12D33"/>
    <w:rsid w:val="00F15222"/>
    <w:rsid w:val="00F20FCF"/>
    <w:rsid w:val="00F2113F"/>
    <w:rsid w:val="00F24A1D"/>
    <w:rsid w:val="00F25572"/>
    <w:rsid w:val="00F277DD"/>
    <w:rsid w:val="00F3307D"/>
    <w:rsid w:val="00F41459"/>
    <w:rsid w:val="00F41C6A"/>
    <w:rsid w:val="00F437F8"/>
    <w:rsid w:val="00F4385A"/>
    <w:rsid w:val="00F4411A"/>
    <w:rsid w:val="00F4430F"/>
    <w:rsid w:val="00F46480"/>
    <w:rsid w:val="00F46988"/>
    <w:rsid w:val="00F470C2"/>
    <w:rsid w:val="00F5079C"/>
    <w:rsid w:val="00F52468"/>
    <w:rsid w:val="00F5448A"/>
    <w:rsid w:val="00F55CD1"/>
    <w:rsid w:val="00F6591C"/>
    <w:rsid w:val="00F701E9"/>
    <w:rsid w:val="00F81988"/>
    <w:rsid w:val="00F9641B"/>
    <w:rsid w:val="00FA38A6"/>
    <w:rsid w:val="00FA745C"/>
    <w:rsid w:val="00FB69DA"/>
    <w:rsid w:val="00FC139A"/>
    <w:rsid w:val="00FC59EF"/>
    <w:rsid w:val="00FC7096"/>
    <w:rsid w:val="00FD2274"/>
    <w:rsid w:val="00FE2416"/>
    <w:rsid w:val="00FE30B4"/>
    <w:rsid w:val="00FE5E8E"/>
    <w:rsid w:val="00FF79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AB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E84525"/>
    <w:pPr>
      <w:spacing w:before="91"/>
      <w:ind w:left="772"/>
      <w:outlineLvl w:val="0"/>
    </w:pPr>
    <w:rPr>
      <w:rFonts w:ascii="Source Sans Pro"/>
      <w:b/>
      <w:color w:val="003478"/>
      <w:spacing w:val="-2"/>
      <w:sz w:val="40"/>
    </w:rPr>
  </w:style>
  <w:style w:type="paragraph" w:styleId="Heading2">
    <w:name w:val="heading 2"/>
    <w:basedOn w:val="Normal"/>
    <w:uiPriority w:val="9"/>
    <w:unhideWhenUsed/>
    <w:qFormat/>
    <w:rsid w:val="00E84525"/>
    <w:pPr>
      <w:spacing w:before="332"/>
      <w:ind w:left="772"/>
      <w:outlineLvl w:val="1"/>
    </w:pPr>
    <w:rPr>
      <w:rFonts w:ascii="Source Sans Pro"/>
      <w:b/>
      <w:color w:val="0064BB"/>
      <w:spacing w:val="-2"/>
      <w:sz w:val="36"/>
    </w:rPr>
  </w:style>
  <w:style w:type="paragraph" w:styleId="Heading3">
    <w:name w:val="heading 3"/>
    <w:basedOn w:val="Normal"/>
    <w:uiPriority w:val="9"/>
    <w:unhideWhenUsed/>
    <w:qFormat/>
    <w:pPr>
      <w:spacing w:before="238"/>
      <w:ind w:left="920"/>
      <w:outlineLvl w:val="2"/>
    </w:pPr>
    <w:rPr>
      <w:rFonts w:ascii="Source Sans Pro" w:eastAsia="Source Sans Pro" w:hAnsi="Source Sans Pro" w:cs="Source Sans Pro"/>
      <w:b/>
      <w:bCs/>
      <w:sz w:val="26"/>
      <w:szCs w:val="26"/>
    </w:rPr>
  </w:style>
  <w:style w:type="paragraph" w:styleId="Heading4">
    <w:name w:val="heading 4"/>
    <w:basedOn w:val="Normal"/>
    <w:uiPriority w:val="9"/>
    <w:unhideWhenUsed/>
    <w:qFormat/>
    <w:pPr>
      <w:ind w:left="1057" w:right="1"/>
      <w:jc w:val="center"/>
      <w:outlineLvl w:val="3"/>
    </w:pPr>
    <w:rPr>
      <w:rFonts w:ascii="Calibri" w:eastAsia="Calibri" w:hAnsi="Calibri" w:cs="Calibri"/>
      <w:sz w:val="25"/>
      <w:szCs w:val="25"/>
    </w:rPr>
  </w:style>
  <w:style w:type="paragraph" w:styleId="Heading5">
    <w:name w:val="heading 5"/>
    <w:basedOn w:val="Normal"/>
    <w:uiPriority w:val="9"/>
    <w:unhideWhenUsed/>
    <w:qFormat/>
    <w:pPr>
      <w:spacing w:before="75"/>
      <w:ind w:left="988"/>
      <w:outlineLvl w:val="4"/>
    </w:pPr>
    <w:rPr>
      <w:b/>
      <w:bCs/>
      <w:sz w:val="24"/>
      <w:szCs w:val="24"/>
    </w:rPr>
  </w:style>
  <w:style w:type="paragraph" w:styleId="Heading6">
    <w:name w:val="heading 6"/>
    <w:basedOn w:val="Normal"/>
    <w:uiPriority w:val="9"/>
    <w:unhideWhenUsed/>
    <w:qFormat/>
    <w:pPr>
      <w:ind w:left="1491" w:hanging="719"/>
      <w:outlineLvl w:val="5"/>
    </w:pPr>
    <w:rPr>
      <w:rFonts w:ascii="Source Sans Pro" w:eastAsia="Source Sans Pro" w:hAnsi="Source Sans Pro" w:cs="Source Sans Pro"/>
      <w:b/>
      <w:bCs/>
    </w:rPr>
  </w:style>
  <w:style w:type="paragraph" w:styleId="Heading7">
    <w:name w:val="heading 7"/>
    <w:basedOn w:val="Normal"/>
    <w:uiPriority w:val="1"/>
    <w:qFormat/>
    <w:rsid w:val="00C84A55"/>
    <w:pPr>
      <w:spacing w:before="121"/>
      <w:ind w:left="771"/>
      <w:outlineLvl w:val="6"/>
    </w:pPr>
    <w:rPr>
      <w:b/>
      <w:bCs/>
      <w:color w:val="003478"/>
      <w:sz w:val="20"/>
      <w:szCs w:val="20"/>
    </w:rPr>
  </w:style>
  <w:style w:type="paragraph" w:styleId="Heading8">
    <w:name w:val="heading 8"/>
    <w:basedOn w:val="Normal"/>
    <w:uiPriority w:val="1"/>
    <w:qFormat/>
    <w:pPr>
      <w:spacing w:before="122"/>
      <w:ind w:left="771"/>
      <w:outlineLvl w:val="7"/>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1338" w:hanging="566"/>
    </w:pPr>
    <w:rPr>
      <w:b/>
      <w:bCs/>
      <w:sz w:val="20"/>
      <w:szCs w:val="20"/>
    </w:rPr>
  </w:style>
  <w:style w:type="paragraph" w:styleId="TOC2">
    <w:name w:val="toc 2"/>
    <w:basedOn w:val="Normal"/>
    <w:uiPriority w:val="1"/>
    <w:qFormat/>
    <w:pPr>
      <w:spacing w:before="120"/>
      <w:ind w:left="1904" w:hanging="566"/>
    </w:pPr>
    <w:rPr>
      <w:sz w:val="20"/>
      <w:szCs w:val="20"/>
    </w:rPr>
  </w:style>
  <w:style w:type="paragraph" w:styleId="BodyText">
    <w:name w:val="Body Text"/>
    <w:basedOn w:val="Normal"/>
    <w:link w:val="BodyTextChar"/>
    <w:uiPriority w:val="1"/>
    <w:qFormat/>
    <w:pPr>
      <w:ind w:left="771"/>
    </w:pPr>
    <w:rPr>
      <w:sz w:val="20"/>
      <w:szCs w:val="20"/>
    </w:rPr>
  </w:style>
  <w:style w:type="paragraph" w:styleId="ListParagraph">
    <w:name w:val="List Paragraph"/>
    <w:basedOn w:val="Normal"/>
    <w:uiPriority w:val="1"/>
    <w:qFormat/>
    <w:pPr>
      <w:ind w:left="1129" w:hanging="358"/>
    </w:pPr>
  </w:style>
  <w:style w:type="paragraph" w:customStyle="1" w:styleId="TableParagraph">
    <w:name w:val="Table Paragraph"/>
    <w:basedOn w:val="Normal"/>
    <w:uiPriority w:val="1"/>
    <w:qFormat/>
    <w:pPr>
      <w:spacing w:before="78"/>
      <w:ind w:left="107"/>
    </w:pPr>
  </w:style>
  <w:style w:type="paragraph" w:styleId="Revision">
    <w:name w:val="Revision"/>
    <w:hidden/>
    <w:uiPriority w:val="99"/>
    <w:semiHidden/>
    <w:rsid w:val="0095324B"/>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95324B"/>
    <w:rPr>
      <w:sz w:val="16"/>
      <w:szCs w:val="16"/>
    </w:rPr>
  </w:style>
  <w:style w:type="paragraph" w:styleId="CommentText">
    <w:name w:val="annotation text"/>
    <w:basedOn w:val="Normal"/>
    <w:link w:val="CommentTextChar"/>
    <w:uiPriority w:val="99"/>
    <w:unhideWhenUsed/>
    <w:rsid w:val="0095324B"/>
    <w:rPr>
      <w:sz w:val="20"/>
      <w:szCs w:val="20"/>
    </w:rPr>
  </w:style>
  <w:style w:type="character" w:customStyle="1" w:styleId="CommentTextChar">
    <w:name w:val="Comment Text Char"/>
    <w:basedOn w:val="DefaultParagraphFont"/>
    <w:link w:val="CommentText"/>
    <w:uiPriority w:val="99"/>
    <w:rsid w:val="0095324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5324B"/>
    <w:rPr>
      <w:b/>
      <w:bCs/>
    </w:rPr>
  </w:style>
  <w:style w:type="character" w:customStyle="1" w:styleId="CommentSubjectChar">
    <w:name w:val="Comment Subject Char"/>
    <w:basedOn w:val="CommentTextChar"/>
    <w:link w:val="CommentSubject"/>
    <w:uiPriority w:val="99"/>
    <w:semiHidden/>
    <w:rsid w:val="0095324B"/>
    <w:rPr>
      <w:rFonts w:ascii="Arial" w:eastAsia="Arial" w:hAnsi="Arial" w:cs="Arial"/>
      <w:b/>
      <w:bCs/>
      <w:sz w:val="20"/>
      <w:szCs w:val="20"/>
    </w:rPr>
  </w:style>
  <w:style w:type="character" w:customStyle="1" w:styleId="BodyTextChar">
    <w:name w:val="Body Text Char"/>
    <w:basedOn w:val="DefaultParagraphFont"/>
    <w:link w:val="BodyText"/>
    <w:uiPriority w:val="1"/>
    <w:rsid w:val="004958D2"/>
    <w:rPr>
      <w:rFonts w:ascii="Arial" w:eastAsia="Arial" w:hAnsi="Arial" w:cs="Arial"/>
      <w:sz w:val="20"/>
      <w:szCs w:val="20"/>
    </w:rPr>
  </w:style>
  <w:style w:type="paragraph" w:styleId="Title">
    <w:name w:val="Title"/>
    <w:basedOn w:val="Normal"/>
    <w:next w:val="Normal"/>
    <w:link w:val="TitleChar"/>
    <w:uiPriority w:val="10"/>
    <w:qFormat/>
    <w:rsid w:val="00E84525"/>
    <w:pPr>
      <w:ind w:left="920"/>
    </w:pPr>
    <w:rPr>
      <w:rFonts w:ascii="Source Sans Pro"/>
      <w:b/>
      <w:sz w:val="52"/>
    </w:rPr>
  </w:style>
  <w:style w:type="character" w:customStyle="1" w:styleId="TitleChar">
    <w:name w:val="Title Char"/>
    <w:basedOn w:val="DefaultParagraphFont"/>
    <w:link w:val="Title"/>
    <w:uiPriority w:val="10"/>
    <w:rsid w:val="00E84525"/>
    <w:rPr>
      <w:rFonts w:ascii="Source Sans Pro" w:eastAsia="Arial" w:hAnsi="Arial" w:cs="Arial"/>
      <w:b/>
      <w:sz w:val="52"/>
    </w:rPr>
  </w:style>
  <w:style w:type="paragraph" w:styleId="Subtitle">
    <w:name w:val="Subtitle"/>
    <w:basedOn w:val="Normal"/>
    <w:next w:val="Normal"/>
    <w:link w:val="SubtitleChar"/>
    <w:uiPriority w:val="11"/>
    <w:qFormat/>
    <w:rsid w:val="00E84525"/>
    <w:pPr>
      <w:spacing w:before="1"/>
      <w:ind w:left="920" w:right="4061"/>
    </w:pPr>
    <w:rPr>
      <w:rFonts w:ascii="Source Sans Pro"/>
      <w:b/>
      <w:sz w:val="32"/>
    </w:rPr>
  </w:style>
  <w:style w:type="character" w:customStyle="1" w:styleId="SubtitleChar">
    <w:name w:val="Subtitle Char"/>
    <w:basedOn w:val="DefaultParagraphFont"/>
    <w:link w:val="Subtitle"/>
    <w:uiPriority w:val="11"/>
    <w:rsid w:val="00E84525"/>
    <w:rPr>
      <w:rFonts w:ascii="Source Sans Pro" w:eastAsia="Arial" w:hAnsi="Arial" w:cs="Arial"/>
      <w:b/>
      <w:sz w:val="32"/>
    </w:rPr>
  </w:style>
  <w:style w:type="paragraph" w:styleId="Header">
    <w:name w:val="header"/>
    <w:basedOn w:val="Normal"/>
    <w:link w:val="HeaderChar"/>
    <w:uiPriority w:val="99"/>
    <w:unhideWhenUsed/>
    <w:rsid w:val="00912D8D"/>
    <w:pPr>
      <w:tabs>
        <w:tab w:val="center" w:pos="4513"/>
        <w:tab w:val="right" w:pos="9026"/>
      </w:tabs>
    </w:pPr>
  </w:style>
  <w:style w:type="character" w:customStyle="1" w:styleId="HeaderChar">
    <w:name w:val="Header Char"/>
    <w:basedOn w:val="DefaultParagraphFont"/>
    <w:link w:val="Header"/>
    <w:uiPriority w:val="99"/>
    <w:rsid w:val="00912D8D"/>
    <w:rPr>
      <w:rFonts w:ascii="Arial" w:eastAsia="Arial" w:hAnsi="Arial" w:cs="Arial"/>
    </w:rPr>
  </w:style>
  <w:style w:type="paragraph" w:styleId="Footer">
    <w:name w:val="footer"/>
    <w:basedOn w:val="Normal"/>
    <w:link w:val="FooterChar"/>
    <w:uiPriority w:val="99"/>
    <w:unhideWhenUsed/>
    <w:rsid w:val="00912D8D"/>
    <w:pPr>
      <w:tabs>
        <w:tab w:val="center" w:pos="4513"/>
        <w:tab w:val="right" w:pos="9026"/>
      </w:tabs>
    </w:pPr>
  </w:style>
  <w:style w:type="character" w:customStyle="1" w:styleId="FooterChar">
    <w:name w:val="Footer Char"/>
    <w:basedOn w:val="DefaultParagraphFont"/>
    <w:link w:val="Footer"/>
    <w:uiPriority w:val="99"/>
    <w:rsid w:val="00912D8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www.vanuatuicj.com/resolution"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forumsec.org/wp-content/uploads/2023/11/Annex-E-Revitalised-Pacific-Leaders-Gender-Equality-Declaratio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04008-36B0-468A-B1F1-3A4DD7619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32314</Words>
  <Characters>180890</Characters>
  <Application>Microsoft Office Word</Application>
  <DocSecurity>0</DocSecurity>
  <Lines>3196</Lines>
  <Paragraphs>1334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Vanuatu Australia Policing and Justice Program - Mid-Term Review</dc:title>
  <dc:creator/>
  <cp:keywords>[SEC=OFFICIAL]</cp:keywords>
  <dc:description/>
  <cp:lastModifiedBy/>
  <cp:revision>1</cp:revision>
  <dcterms:created xsi:type="dcterms:W3CDTF">2024-06-27T22:14:00Z</dcterms:created>
  <dcterms:modified xsi:type="dcterms:W3CDTF">2024-06-27T22:17:00Z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Display">
    <vt:lpwstr>OFFICIAL</vt:lpwstr>
  </property>
  <property fmtid="{D5CDD505-2E9C-101B-9397-08002B2CF9AE}" pid="3" name="PMUuid">
    <vt:lpwstr>v=2022.2;d=gov.au;g=46DD6D7C-8107-577B-BC6E-F348953B2E44</vt:lpwstr>
  </property>
  <property fmtid="{D5CDD505-2E9C-101B-9397-08002B2CF9AE}" pid="4" name="PM_DisplayValueSecClassificationWithQualifier">
    <vt:lpwstr>OFFICIAL</vt:lpwstr>
  </property>
  <property fmtid="{D5CDD505-2E9C-101B-9397-08002B2CF9AE}" pid="5" name="PM_Hash_SHA1">
    <vt:lpwstr>6114A9719EB156BC7765E497B6F9060537F2ED6B</vt:lpwstr>
  </property>
  <property fmtid="{D5CDD505-2E9C-101B-9397-08002B2CF9AE}" pid="6" name="PM_Hash_Version">
    <vt:lpwstr>2022.1</vt:lpwstr>
  </property>
  <property fmtid="{D5CDD505-2E9C-101B-9397-08002B2CF9AE}" pid="7" name="PM_Hash_Salt">
    <vt:lpwstr>90D2DBFACBBDBBCCA260417835059A00</vt:lpwstr>
  </property>
  <property fmtid="{D5CDD505-2E9C-101B-9397-08002B2CF9AE}" pid="8" name="PM_Hash_Salt_Prev">
    <vt:lpwstr>7D4B730D3F5B089E9944AB4DA5913494</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ProtectiveMarkingValue_Footer">
    <vt:lpwstr>OFFICIAL</vt:lpwstr>
  </property>
  <property fmtid="{D5CDD505-2E9C-101B-9397-08002B2CF9AE}" pid="14" name="PM_Originating_FileId">
    <vt:lpwstr>EBE6C8BB66114C78849221A4464033F1</vt:lpwstr>
  </property>
  <property fmtid="{D5CDD505-2E9C-101B-9397-08002B2CF9AE}" pid="15" name="PM_ProtectiveMarkingValue_Header">
    <vt:lpwstr>OFFICIAL</vt:lpwstr>
  </property>
  <property fmtid="{D5CDD505-2E9C-101B-9397-08002B2CF9AE}" pid="16" name="PM_OriginationTimeStamp">
    <vt:lpwstr>2024-02-06T05:59:45Z</vt:lpwstr>
  </property>
  <property fmtid="{D5CDD505-2E9C-101B-9397-08002B2CF9AE}" pid="17" name="PM_OriginatorDomainName_SHA256">
    <vt:lpwstr>6F3591835F3B2A8A025B00B5BA6418010DA3A17C9C26EA9C049FFD28039489A2</vt:lpwstr>
  </property>
  <property fmtid="{D5CDD505-2E9C-101B-9397-08002B2CF9AE}" pid="18" name="PM_OriginatorUserAccountName_SHA256">
    <vt:lpwstr>3E9DB5AB808CA91EB3E8EC398CDB7F67B110581D6BB28BC88565729DCE387350</vt:lpwstr>
  </property>
  <property fmtid="{D5CDD505-2E9C-101B-9397-08002B2CF9AE}" pid="19" name="PM_Originator_Hash_SHA1">
    <vt:lpwstr>D9F6E5C82DFAF7AB6E3D596D48DD43C72EDFDAB4</vt:lpwstr>
  </property>
  <property fmtid="{D5CDD505-2E9C-101B-9397-08002B2CF9AE}" pid="20" name="PM_ProtectiveMarkingImage_Footer">
    <vt:lpwstr>C:\Program Files (x86)\Common Files\janusNET Shared\janusSEAL\Images\DocumentSlashBlue.png</vt:lpwstr>
  </property>
  <property fmtid="{D5CDD505-2E9C-101B-9397-08002B2CF9AE}" pid="21" name="PM_ProtectiveMarkingImage_Header">
    <vt:lpwstr>C:\Program Files (x86)\Common Files\janusNET Shared\janusSEAL\Images\DocumentSlashBlue.png</vt:lpwstr>
  </property>
  <property fmtid="{D5CDD505-2E9C-101B-9397-08002B2CF9AE}" pid="22" name="PMHMAC">
    <vt:lpwstr>v=2022.1;a=SHA256;h=4B8CE7C4C2AEFA3B686895949CE1D291BDD82B999D2C5F298CC23313CE6A8F4F</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y fmtid="{D5CDD505-2E9C-101B-9397-08002B2CF9AE}" pid="28" name="PM_Caveats_Count">
    <vt:lpwstr>0</vt:lpwstr>
  </property>
</Properties>
</file>