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8AD5" w14:textId="36E20902" w:rsidR="00005EA1" w:rsidRPr="00455DA7" w:rsidRDefault="00707B08" w:rsidP="00454354">
      <w:pPr>
        <w:pStyle w:val="Heading1"/>
      </w:pPr>
      <w:r>
        <w:t>AFP -</w:t>
      </w:r>
      <w:r w:rsidR="005B386E" w:rsidRPr="00455DA7">
        <w:t xml:space="preserve">DFAT </w:t>
      </w:r>
      <w:r w:rsidR="00AE2C7B" w:rsidRPr="00455DA7">
        <w:t>Management Response</w:t>
      </w:r>
      <w:r w:rsidR="005B386E" w:rsidRPr="00455DA7">
        <w:t>: Mid-Term Review of the Vanuatu Australia Policing and Justice Program</w:t>
      </w:r>
    </w:p>
    <w:p w14:paraId="517BD964" w14:textId="77777777" w:rsidR="00A1482D" w:rsidRDefault="00A1482D">
      <w:pPr>
        <w:rPr>
          <w:b/>
          <w:bCs/>
        </w:rPr>
      </w:pPr>
    </w:p>
    <w:p w14:paraId="57E85E51" w14:textId="328C7546" w:rsidR="00A50A4E" w:rsidRDefault="00A50A4E" w:rsidP="00454354">
      <w:pPr>
        <w:pStyle w:val="Heading2"/>
      </w:pPr>
      <w:r>
        <w:t xml:space="preserve">Purpose: </w:t>
      </w:r>
    </w:p>
    <w:p w14:paraId="4F7BEF3F" w14:textId="579DD6BD" w:rsidR="006442D6" w:rsidRDefault="000769F2">
      <w:r>
        <w:t>The Government of Australia, through DFAT, commissioned a mid-term review (MTR) of the Vanuatu Australia Policing and Justice Program</w:t>
      </w:r>
      <w:r w:rsidR="007F104B">
        <w:t xml:space="preserve"> Phase </w:t>
      </w:r>
      <w:r w:rsidR="00A258AE">
        <w:t>2</w:t>
      </w:r>
      <w:r w:rsidR="007F104B">
        <w:t xml:space="preserve"> (VAPJP) in mid-2023</w:t>
      </w:r>
      <w:r w:rsidR="00F84A94">
        <w:t xml:space="preserve">. The </w:t>
      </w:r>
      <w:r w:rsidR="00851BDB">
        <w:t>MTR served three key purposes</w:t>
      </w:r>
      <w:r w:rsidR="006442D6">
        <w:t xml:space="preserve">: </w:t>
      </w:r>
    </w:p>
    <w:p w14:paraId="0CD1BDBC" w14:textId="1327CBED" w:rsidR="006442D6" w:rsidRPr="00A3420B" w:rsidRDefault="00B77081" w:rsidP="006442D6">
      <w:pPr>
        <w:pStyle w:val="ListParagraph"/>
        <w:numPr>
          <w:ilvl w:val="0"/>
          <w:numId w:val="3"/>
        </w:numPr>
      </w:pPr>
      <w:r>
        <w:t xml:space="preserve">provide </w:t>
      </w:r>
      <w:r w:rsidRPr="00A3420B">
        <w:t xml:space="preserve">stakeholders with </w:t>
      </w:r>
      <w:r w:rsidRPr="00454354">
        <w:rPr>
          <w:rStyle w:val="Strong"/>
          <w:rFonts w:cstheme="minorHAnsi"/>
          <w:b w:val="0"/>
          <w:bCs w:val="0"/>
          <w:color w:val="auto"/>
        </w:rPr>
        <w:t>an assessment of the effectiveness and efficiency of Australia’s current contribution to the policing and justice sectors in Vanuatu.</w:t>
      </w:r>
    </w:p>
    <w:p w14:paraId="5F4FEDD8" w14:textId="0F9D809A" w:rsidR="00A50A4E" w:rsidRDefault="00A3420B" w:rsidP="006442D6">
      <w:pPr>
        <w:pStyle w:val="ListParagraph"/>
        <w:numPr>
          <w:ilvl w:val="0"/>
          <w:numId w:val="3"/>
        </w:numPr>
      </w:pPr>
      <w:r>
        <w:t>i</w:t>
      </w:r>
      <w:r w:rsidR="006442D6">
        <w:t xml:space="preserve">dentify </w:t>
      </w:r>
      <w:r w:rsidR="00D857A2">
        <w:t xml:space="preserve">lessons </w:t>
      </w:r>
      <w:r w:rsidR="00CB67B0">
        <w:t xml:space="preserve">to improve implementation of the current investment. </w:t>
      </w:r>
    </w:p>
    <w:p w14:paraId="5CB1E542" w14:textId="2A1F4D45" w:rsidR="006442D6" w:rsidRDefault="006442D6" w:rsidP="00454354">
      <w:pPr>
        <w:pStyle w:val="ListParagraph"/>
        <w:numPr>
          <w:ilvl w:val="0"/>
          <w:numId w:val="3"/>
        </w:numPr>
      </w:pPr>
      <w:r>
        <w:rPr>
          <w:rStyle w:val="Strong"/>
          <w:rFonts w:cstheme="minorHAnsi"/>
          <w:b w:val="0"/>
          <w:bCs w:val="0"/>
          <w:color w:val="auto"/>
        </w:rPr>
        <w:t>inform decision-making on priorities, adjustments and the implementation modality for Australia’s next phase of support to Vanuatu’s policing and justice sector.</w:t>
      </w:r>
    </w:p>
    <w:p w14:paraId="3169D622" w14:textId="12E6B266" w:rsidR="002A4A9F" w:rsidRDefault="00170BB9" w:rsidP="00CA1222">
      <w:pPr>
        <w:pStyle w:val="Bullet1"/>
        <w:numPr>
          <w:ilvl w:val="0"/>
          <w:numId w:val="0"/>
        </w:numPr>
        <w:tabs>
          <w:tab w:val="clear" w:pos="567"/>
          <w:tab w:val="left" w:pos="0"/>
        </w:tabs>
        <w:spacing w:before="0" w:after="0" w:line="240" w:lineRule="auto"/>
        <w:contextualSpacing/>
        <w:jc w:val="both"/>
        <w:rPr>
          <w:rStyle w:val="Strong"/>
          <w:rFonts w:cstheme="minorHAnsi"/>
          <w:b w:val="0"/>
          <w:bCs w:val="0"/>
          <w:color w:val="auto"/>
        </w:rPr>
      </w:pPr>
      <w:r>
        <w:rPr>
          <w:rStyle w:val="Strong"/>
          <w:rFonts w:cstheme="minorHAnsi"/>
          <w:b w:val="0"/>
          <w:bCs w:val="0"/>
          <w:color w:val="auto"/>
        </w:rPr>
        <w:t xml:space="preserve">Phase </w:t>
      </w:r>
      <w:r w:rsidR="00A258AE">
        <w:rPr>
          <w:rStyle w:val="Strong"/>
          <w:rFonts w:cstheme="minorHAnsi"/>
          <w:b w:val="0"/>
          <w:bCs w:val="0"/>
          <w:color w:val="auto"/>
        </w:rPr>
        <w:t>2</w:t>
      </w:r>
      <w:r>
        <w:rPr>
          <w:rStyle w:val="Strong"/>
          <w:rFonts w:cstheme="minorHAnsi"/>
          <w:b w:val="0"/>
          <w:bCs w:val="0"/>
          <w:color w:val="auto"/>
        </w:rPr>
        <w:t xml:space="preserve"> of VAPJP </w:t>
      </w:r>
      <w:r w:rsidR="007A43C6">
        <w:rPr>
          <w:rStyle w:val="Strong"/>
          <w:rFonts w:cstheme="minorHAnsi"/>
          <w:b w:val="0"/>
          <w:bCs w:val="0"/>
          <w:color w:val="auto"/>
        </w:rPr>
        <w:t>is a four-year program</w:t>
      </w:r>
      <w:r>
        <w:rPr>
          <w:rStyle w:val="Strong"/>
          <w:rFonts w:cstheme="minorHAnsi"/>
          <w:b w:val="0"/>
          <w:bCs w:val="0"/>
          <w:color w:val="auto"/>
        </w:rPr>
        <w:t xml:space="preserve"> (2020-2024)</w:t>
      </w:r>
      <w:r w:rsidR="001556B2">
        <w:rPr>
          <w:rStyle w:val="Strong"/>
          <w:rFonts w:cstheme="minorHAnsi"/>
          <w:b w:val="0"/>
          <w:bCs w:val="0"/>
          <w:color w:val="auto"/>
        </w:rPr>
        <w:t>, implemented in partnership with the Australian Federal Police (AFP),</w:t>
      </w:r>
      <w:r>
        <w:rPr>
          <w:rStyle w:val="Strong"/>
          <w:rFonts w:cstheme="minorHAnsi"/>
          <w:b w:val="0"/>
          <w:bCs w:val="0"/>
          <w:color w:val="auto"/>
        </w:rPr>
        <w:t xml:space="preserve"> </w:t>
      </w:r>
      <w:r w:rsidR="007A43C6">
        <w:rPr>
          <w:rStyle w:val="Strong"/>
          <w:rFonts w:cstheme="minorHAnsi"/>
          <w:b w:val="0"/>
          <w:bCs w:val="0"/>
          <w:color w:val="auto"/>
        </w:rPr>
        <w:t xml:space="preserve">that aims to support </w:t>
      </w:r>
      <w:r w:rsidR="00ED753A">
        <w:rPr>
          <w:rStyle w:val="Strong"/>
          <w:rFonts w:cstheme="minorHAnsi"/>
          <w:b w:val="0"/>
          <w:bCs w:val="0"/>
          <w:color w:val="auto"/>
        </w:rPr>
        <w:t xml:space="preserve">Vanuatu’s </w:t>
      </w:r>
      <w:r w:rsidR="006C6B5B">
        <w:rPr>
          <w:rStyle w:val="Strong"/>
          <w:rFonts w:cstheme="minorHAnsi"/>
          <w:b w:val="0"/>
          <w:bCs w:val="0"/>
          <w:color w:val="auto"/>
        </w:rPr>
        <w:t>police force</w:t>
      </w:r>
      <w:r w:rsidR="00A135C7">
        <w:rPr>
          <w:rStyle w:val="Strong"/>
          <w:rFonts w:cstheme="minorHAnsi"/>
          <w:b w:val="0"/>
          <w:bCs w:val="0"/>
          <w:color w:val="auto"/>
        </w:rPr>
        <w:t>, justice and community service agencies</w:t>
      </w:r>
      <w:r w:rsidR="00EC5EC7">
        <w:rPr>
          <w:rStyle w:val="Strong"/>
          <w:rFonts w:cstheme="minorHAnsi"/>
          <w:b w:val="0"/>
          <w:bCs w:val="0"/>
          <w:color w:val="auto"/>
        </w:rPr>
        <w:t xml:space="preserve"> and targeted non-state actors</w:t>
      </w:r>
      <w:r w:rsidR="00A135C7">
        <w:rPr>
          <w:rStyle w:val="Strong"/>
          <w:rFonts w:cstheme="minorHAnsi"/>
          <w:b w:val="0"/>
          <w:bCs w:val="0"/>
          <w:color w:val="auto"/>
        </w:rPr>
        <w:t xml:space="preserve"> to provide</w:t>
      </w:r>
      <w:r w:rsidR="00EC5EC7">
        <w:rPr>
          <w:rStyle w:val="Strong"/>
          <w:rFonts w:cstheme="minorHAnsi"/>
          <w:b w:val="0"/>
          <w:bCs w:val="0"/>
          <w:color w:val="auto"/>
        </w:rPr>
        <w:t xml:space="preserve"> fair, equitable and</w:t>
      </w:r>
      <w:r w:rsidR="00A135C7">
        <w:rPr>
          <w:rStyle w:val="Strong"/>
          <w:rFonts w:cstheme="minorHAnsi"/>
          <w:b w:val="0"/>
          <w:bCs w:val="0"/>
          <w:color w:val="auto"/>
        </w:rPr>
        <w:t xml:space="preserve"> quality services that meet the needs of the community</w:t>
      </w:r>
      <w:r w:rsidR="00EC5EC7">
        <w:rPr>
          <w:rStyle w:val="Strong"/>
          <w:rFonts w:cstheme="minorHAnsi"/>
          <w:b w:val="0"/>
          <w:bCs w:val="0"/>
          <w:color w:val="auto"/>
        </w:rPr>
        <w:t xml:space="preserve">. </w:t>
      </w:r>
      <w:r w:rsidR="00C63592">
        <w:rPr>
          <w:rStyle w:val="Strong"/>
          <w:rFonts w:cstheme="minorHAnsi"/>
          <w:b w:val="0"/>
          <w:bCs w:val="0"/>
          <w:color w:val="auto"/>
        </w:rPr>
        <w:t xml:space="preserve">The MTR was </w:t>
      </w:r>
      <w:r w:rsidR="006442D6">
        <w:rPr>
          <w:rStyle w:val="Strong"/>
          <w:rFonts w:cstheme="minorHAnsi"/>
          <w:b w:val="0"/>
          <w:bCs w:val="0"/>
          <w:color w:val="auto"/>
        </w:rPr>
        <w:t xml:space="preserve">delayed </w:t>
      </w:r>
      <w:r w:rsidR="00C63592">
        <w:rPr>
          <w:rStyle w:val="Strong"/>
          <w:rFonts w:cstheme="minorHAnsi"/>
          <w:b w:val="0"/>
          <w:bCs w:val="0"/>
          <w:color w:val="auto"/>
        </w:rPr>
        <w:t xml:space="preserve">by twin Category-4 cyclones </w:t>
      </w:r>
      <w:r w:rsidR="006442D6">
        <w:rPr>
          <w:rStyle w:val="Strong"/>
          <w:rFonts w:cstheme="minorHAnsi"/>
          <w:b w:val="0"/>
          <w:bCs w:val="0"/>
          <w:color w:val="auto"/>
        </w:rPr>
        <w:t xml:space="preserve">in 2023 </w:t>
      </w:r>
      <w:r w:rsidR="00C63592">
        <w:rPr>
          <w:rStyle w:val="Strong"/>
          <w:rFonts w:cstheme="minorHAnsi"/>
          <w:b w:val="0"/>
          <w:bCs w:val="0"/>
          <w:color w:val="auto"/>
        </w:rPr>
        <w:t xml:space="preserve">and </w:t>
      </w:r>
      <w:r w:rsidR="00CA1222">
        <w:rPr>
          <w:rStyle w:val="Strong"/>
          <w:rFonts w:cstheme="minorHAnsi"/>
          <w:b w:val="0"/>
          <w:bCs w:val="0"/>
          <w:color w:val="auto"/>
        </w:rPr>
        <w:t xml:space="preserve">difficulties in procuring a team </w:t>
      </w:r>
      <w:r w:rsidR="006442D6">
        <w:rPr>
          <w:rStyle w:val="Strong"/>
          <w:rFonts w:cstheme="minorHAnsi"/>
          <w:b w:val="0"/>
          <w:bCs w:val="0"/>
          <w:color w:val="auto"/>
        </w:rPr>
        <w:t xml:space="preserve">that </w:t>
      </w:r>
      <w:r w:rsidR="00CA1222">
        <w:rPr>
          <w:rStyle w:val="Strong"/>
          <w:rFonts w:cstheme="minorHAnsi"/>
          <w:b w:val="0"/>
          <w:bCs w:val="0"/>
          <w:color w:val="auto"/>
        </w:rPr>
        <w:t xml:space="preserve">could mobilise within the planned timeframe. </w:t>
      </w:r>
    </w:p>
    <w:p w14:paraId="5EB117D6" w14:textId="77777777" w:rsidR="00615305" w:rsidRDefault="00615305" w:rsidP="00CA1222">
      <w:pPr>
        <w:pStyle w:val="Bullet1"/>
        <w:numPr>
          <w:ilvl w:val="0"/>
          <w:numId w:val="0"/>
        </w:numPr>
        <w:tabs>
          <w:tab w:val="clear" w:pos="567"/>
          <w:tab w:val="left" w:pos="0"/>
        </w:tabs>
        <w:spacing w:before="0" w:after="0" w:line="240" w:lineRule="auto"/>
        <w:contextualSpacing/>
        <w:jc w:val="both"/>
        <w:rPr>
          <w:rStyle w:val="Strong"/>
          <w:rFonts w:cstheme="minorHAnsi"/>
          <w:b w:val="0"/>
          <w:bCs w:val="0"/>
          <w:color w:val="auto"/>
        </w:rPr>
      </w:pPr>
    </w:p>
    <w:p w14:paraId="728AB633" w14:textId="77777777" w:rsidR="006442D6" w:rsidRDefault="006442D6" w:rsidP="00454354">
      <w:pPr>
        <w:pStyle w:val="Heading2"/>
      </w:pPr>
      <w:r>
        <w:t xml:space="preserve">Summary of the review: </w:t>
      </w:r>
    </w:p>
    <w:p w14:paraId="36268D23" w14:textId="77777777" w:rsidR="006442D6" w:rsidRDefault="006442D6" w:rsidP="0035180E">
      <w:r>
        <w:t xml:space="preserve">Overall, the MTR concluded that VAPJP had responded well to an extremely challenging and volatile context through flexible and adaptive program management. The program has been effective in responding to the evolving needs of the Vanuatu Government but has faced challenges in demonstrating long-term impact. The report provides some useful recommendations on how the program could improve effectiveness and visibility of outcomes, adjust implementation modalities to address issues identified in the review and consider priorities for Australia’s next phase of support to Vanuatu’s policing and justice sector. </w:t>
      </w:r>
    </w:p>
    <w:p w14:paraId="227C87E9" w14:textId="2CD7873E" w:rsidR="00615305" w:rsidRPr="00454354" w:rsidRDefault="006442D6" w:rsidP="00454354">
      <w:pPr>
        <w:pStyle w:val="Heading2"/>
        <w:rPr>
          <w:b/>
          <w:bCs/>
        </w:rPr>
      </w:pPr>
      <w:r w:rsidRPr="00454354">
        <w:t>R</w:t>
      </w:r>
      <w:r w:rsidR="00615305" w:rsidRPr="00454354">
        <w:t xml:space="preserve">esponse to the </w:t>
      </w:r>
      <w:r w:rsidRPr="00454354">
        <w:t>review</w:t>
      </w:r>
      <w:r w:rsidR="00615305" w:rsidRPr="00454354">
        <w:t>:</w:t>
      </w:r>
    </w:p>
    <w:p w14:paraId="5820B314" w14:textId="105BE601" w:rsidR="00E87EF4" w:rsidRDefault="00E87EF4" w:rsidP="00E87EF4">
      <w:r>
        <w:t xml:space="preserve">DFAT </w:t>
      </w:r>
      <w:r w:rsidR="00707B08">
        <w:t xml:space="preserve">and AFP </w:t>
      </w:r>
      <w:r>
        <w:t>welcome the findings and recommendations made by the mid-term review. These findings will inform and guide DFAT</w:t>
      </w:r>
      <w:r w:rsidR="00AD56B6">
        <w:t xml:space="preserve"> and AFP’</w:t>
      </w:r>
      <w:r>
        <w:t xml:space="preserve">s future support to the policing and justice sector in Vanuatu through a third phase of the Vanuatu Australia Policing and Justice Program. </w:t>
      </w:r>
    </w:p>
    <w:p w14:paraId="558129EF" w14:textId="5C9107FD" w:rsidR="00161AB5" w:rsidRDefault="00161AB5">
      <w:r>
        <w:t>The MT</w:t>
      </w:r>
      <w:r w:rsidR="003F6444">
        <w:t>R made 14 recommendations.</w:t>
      </w:r>
      <w:r w:rsidR="00CF1E90">
        <w:t xml:space="preserve"> DFAT</w:t>
      </w:r>
      <w:r w:rsidR="00AD56B6">
        <w:t xml:space="preserve"> and AFP</w:t>
      </w:r>
      <w:r w:rsidR="00CF1E90">
        <w:t xml:space="preserve"> agreed with </w:t>
      </w:r>
      <w:r w:rsidR="00AD56B6">
        <w:t>11</w:t>
      </w:r>
      <w:r w:rsidR="00B77081">
        <w:t xml:space="preserve"> recommendations and</w:t>
      </w:r>
      <w:r w:rsidR="005A5181">
        <w:t xml:space="preserve"> </w:t>
      </w:r>
      <w:r w:rsidR="00CF1E90">
        <w:t xml:space="preserve">partially agreed with </w:t>
      </w:r>
      <w:r w:rsidR="00B77081">
        <w:t xml:space="preserve">three recommendations. </w:t>
      </w:r>
    </w:p>
    <w:p w14:paraId="74F4B447" w14:textId="74241811" w:rsidR="00400565" w:rsidRPr="00120645" w:rsidRDefault="00C32615">
      <w:pPr>
        <w:sectPr w:rsidR="00400565" w:rsidRPr="00120645" w:rsidSect="00185158">
          <w:footerReference w:type="default" r:id="rId8"/>
          <w:pgSz w:w="11906" w:h="16838"/>
          <w:pgMar w:top="1440" w:right="1440" w:bottom="1440" w:left="1440" w:header="708" w:footer="708" w:gutter="0"/>
          <w:cols w:space="708"/>
          <w:docGrid w:linePitch="360"/>
        </w:sectPr>
      </w:pPr>
      <w:r>
        <w:t>More detailed responses to each recommendation are included in the table below</w:t>
      </w:r>
      <w:r w:rsidR="00C02736">
        <w:t xml:space="preserve">. </w:t>
      </w:r>
    </w:p>
    <w:p w14:paraId="7E666146" w14:textId="14A4B601" w:rsidR="00615305" w:rsidRPr="00615305" w:rsidRDefault="00615305" w:rsidP="00AA5D0B">
      <w:pPr>
        <w:pStyle w:val="Heading2"/>
        <w:spacing w:after="120"/>
      </w:pPr>
      <w:r>
        <w:lastRenderedPageBreak/>
        <w:t>Detailed management response to the recommendations:</w:t>
      </w:r>
    </w:p>
    <w:tbl>
      <w:tblPr>
        <w:tblStyle w:val="GridTable5Dark-Accent1"/>
        <w:tblW w:w="5000" w:type="pct"/>
        <w:tblLook w:val="04A0" w:firstRow="1" w:lastRow="0" w:firstColumn="1" w:lastColumn="0" w:noHBand="0" w:noVBand="1"/>
      </w:tblPr>
      <w:tblGrid>
        <w:gridCol w:w="817"/>
        <w:gridCol w:w="3587"/>
        <w:gridCol w:w="1089"/>
        <w:gridCol w:w="3894"/>
        <w:gridCol w:w="3308"/>
        <w:gridCol w:w="1253"/>
      </w:tblGrid>
      <w:tr w:rsidR="00905545" w14:paraId="0687F063" w14:textId="77777777" w:rsidTr="004A4F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3" w:type="pct"/>
          </w:tcPr>
          <w:p w14:paraId="47BA52F2" w14:textId="1F31D943" w:rsidR="00AE2C7B" w:rsidRDefault="00AE2C7B">
            <w:r>
              <w:t>No.</w:t>
            </w:r>
          </w:p>
        </w:tc>
        <w:tc>
          <w:tcPr>
            <w:tcW w:w="1286" w:type="pct"/>
          </w:tcPr>
          <w:p w14:paraId="520CE0C9" w14:textId="2CF0FFED" w:rsidR="00AE2C7B" w:rsidRDefault="00AE2C7B">
            <w:pPr>
              <w:cnfStyle w:val="100000000000" w:firstRow="1" w:lastRow="0" w:firstColumn="0" w:lastColumn="0" w:oddVBand="0" w:evenVBand="0" w:oddHBand="0" w:evenHBand="0" w:firstRowFirstColumn="0" w:firstRowLastColumn="0" w:lastRowFirstColumn="0" w:lastRowLastColumn="0"/>
            </w:pPr>
            <w:r>
              <w:t xml:space="preserve">Recommendation from the </w:t>
            </w:r>
            <w:r w:rsidR="00382E46">
              <w:t>m</w:t>
            </w:r>
            <w:r>
              <w:t>id-</w:t>
            </w:r>
            <w:r w:rsidR="00382E46">
              <w:t>t</w:t>
            </w:r>
            <w:r>
              <w:t xml:space="preserve">erm </w:t>
            </w:r>
            <w:r w:rsidR="00382E46">
              <w:t>r</w:t>
            </w:r>
            <w:r>
              <w:t>eview</w:t>
            </w:r>
          </w:p>
        </w:tc>
        <w:tc>
          <w:tcPr>
            <w:tcW w:w="390" w:type="pct"/>
          </w:tcPr>
          <w:p w14:paraId="531854D0" w14:textId="5E4E7251" w:rsidR="00AE2C7B" w:rsidRDefault="00382E46">
            <w:pPr>
              <w:cnfStyle w:val="100000000000" w:firstRow="1" w:lastRow="0" w:firstColumn="0" w:lastColumn="0" w:oddVBand="0" w:evenVBand="0" w:oddHBand="0" w:evenHBand="0" w:firstRowFirstColumn="0" w:firstRowLastColumn="0" w:lastRowFirstColumn="0" w:lastRowLastColumn="0"/>
            </w:pPr>
            <w:r>
              <w:t>Response</w:t>
            </w:r>
          </w:p>
        </w:tc>
        <w:tc>
          <w:tcPr>
            <w:tcW w:w="1396" w:type="pct"/>
          </w:tcPr>
          <w:p w14:paraId="677A8893" w14:textId="419EEFFE" w:rsidR="00AE2C7B" w:rsidRDefault="00382E46">
            <w:pPr>
              <w:cnfStyle w:val="100000000000" w:firstRow="1" w:lastRow="0" w:firstColumn="0" w:lastColumn="0" w:oddVBand="0" w:evenVBand="0" w:oddHBand="0" w:evenHBand="0" w:firstRowFirstColumn="0" w:firstRowLastColumn="0" w:lastRowFirstColumn="0" w:lastRowLastColumn="0"/>
            </w:pPr>
            <w:r>
              <w:t>Explanation</w:t>
            </w:r>
          </w:p>
        </w:tc>
        <w:tc>
          <w:tcPr>
            <w:tcW w:w="1186" w:type="pct"/>
          </w:tcPr>
          <w:p w14:paraId="62D66783" w14:textId="20855893" w:rsidR="00AE2C7B" w:rsidRDefault="00382E46">
            <w:pPr>
              <w:cnfStyle w:val="100000000000" w:firstRow="1" w:lastRow="0" w:firstColumn="0" w:lastColumn="0" w:oddVBand="0" w:evenVBand="0" w:oddHBand="0" w:evenHBand="0" w:firstRowFirstColumn="0" w:firstRowLastColumn="0" w:lastRowFirstColumn="0" w:lastRowLastColumn="0"/>
            </w:pPr>
            <w:r>
              <w:t>Action Plan</w:t>
            </w:r>
          </w:p>
        </w:tc>
        <w:tc>
          <w:tcPr>
            <w:tcW w:w="449" w:type="pct"/>
          </w:tcPr>
          <w:p w14:paraId="564DECF2" w14:textId="70C4C66C" w:rsidR="00AE2C7B" w:rsidRDefault="00382E46">
            <w:pPr>
              <w:cnfStyle w:val="100000000000" w:firstRow="1" w:lastRow="0" w:firstColumn="0" w:lastColumn="0" w:oddVBand="0" w:evenVBand="0" w:oddHBand="0" w:evenHBand="0" w:firstRowFirstColumn="0" w:firstRowLastColumn="0" w:lastRowFirstColumn="0" w:lastRowLastColumn="0"/>
            </w:pPr>
            <w:r>
              <w:t>Timeframe</w:t>
            </w:r>
          </w:p>
        </w:tc>
      </w:tr>
      <w:tr w:rsidR="00905545" w14:paraId="28B81050"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281DABBB" w14:textId="2165E9ED" w:rsidR="00AE2C7B" w:rsidRDefault="00382E46">
            <w:r>
              <w:t>1</w:t>
            </w:r>
          </w:p>
        </w:tc>
        <w:tc>
          <w:tcPr>
            <w:tcW w:w="1286" w:type="pct"/>
          </w:tcPr>
          <w:p w14:paraId="1551ED64" w14:textId="0A78B7C7" w:rsidR="00AE2C7B" w:rsidRPr="0086307F" w:rsidRDefault="0049593D">
            <w:pPr>
              <w:cnfStyle w:val="000000100000" w:firstRow="0" w:lastRow="0" w:firstColumn="0" w:lastColumn="0" w:oddVBand="0" w:evenVBand="0" w:oddHBand="1" w:evenHBand="0" w:firstRowFirstColumn="0" w:firstRowLastColumn="0" w:lastRowFirstColumn="0" w:lastRowLastColumn="0"/>
              <w:rPr>
                <w:rFonts w:cstheme="minorHAnsi"/>
              </w:rPr>
            </w:pPr>
            <w:r w:rsidRPr="0086307F">
              <w:rPr>
                <w:rFonts w:cstheme="minorHAnsi"/>
                <w:kern w:val="0"/>
              </w:rPr>
              <w:t>The justice stream of VAPJP should strengthen effectiveness by focusing on the ‘core business’ expressed in EOPO1 of improving the quality and reach of justice services, particularly for vulnerable women, children, youth and people with disability. This will require a concerted effort to strengthen visibility around outcomes and quality of results.</w:t>
            </w:r>
          </w:p>
        </w:tc>
        <w:tc>
          <w:tcPr>
            <w:tcW w:w="390" w:type="pct"/>
          </w:tcPr>
          <w:p w14:paraId="030CE19C" w14:textId="418AF811" w:rsidR="00AE2C7B" w:rsidRDefault="00C97820">
            <w:pPr>
              <w:cnfStyle w:val="000000100000" w:firstRow="0" w:lastRow="0" w:firstColumn="0" w:lastColumn="0" w:oddVBand="0" w:evenVBand="0" w:oddHBand="1" w:evenHBand="0" w:firstRowFirstColumn="0" w:firstRowLastColumn="0" w:lastRowFirstColumn="0" w:lastRowLastColumn="0"/>
            </w:pPr>
            <w:r>
              <w:t>A</w:t>
            </w:r>
            <w:r w:rsidR="00533A41">
              <w:t>gree</w:t>
            </w:r>
          </w:p>
        </w:tc>
        <w:tc>
          <w:tcPr>
            <w:tcW w:w="1396" w:type="pct"/>
          </w:tcPr>
          <w:p w14:paraId="340F979A" w14:textId="616CBD30" w:rsidR="005260A6" w:rsidRDefault="006442D6">
            <w:pPr>
              <w:cnfStyle w:val="000000100000" w:firstRow="0" w:lastRow="0" w:firstColumn="0" w:lastColumn="0" w:oddVBand="0" w:evenVBand="0" w:oddHBand="1" w:evenHBand="0" w:firstRowFirstColumn="0" w:firstRowLastColumn="0" w:lastRowFirstColumn="0" w:lastRowLastColumn="0"/>
            </w:pPr>
            <w:r>
              <w:t xml:space="preserve">VAPJP </w:t>
            </w:r>
            <w:r w:rsidR="00617E36">
              <w:t xml:space="preserve">works closely with the Government of Vanuatu </w:t>
            </w:r>
            <w:r w:rsidR="00072BEB">
              <w:t xml:space="preserve">(GoV) </w:t>
            </w:r>
            <w:r w:rsidR="00617E36">
              <w:t xml:space="preserve">to meet its priorities for justice services, within the agreed scope and towards the agreed EOPOs of the program. The justice sector in Vanuatu is diverse and priorities have evolved over the course of the program, necessitating an adaptive approach to achieving EOPOs. </w:t>
            </w:r>
          </w:p>
          <w:p w14:paraId="7F94F47A" w14:textId="77777777" w:rsidR="005260A6" w:rsidRDefault="005260A6">
            <w:pPr>
              <w:cnfStyle w:val="000000100000" w:firstRow="0" w:lastRow="0" w:firstColumn="0" w:lastColumn="0" w:oddVBand="0" w:evenVBand="0" w:oddHBand="1" w:evenHBand="0" w:firstRowFirstColumn="0" w:firstRowLastColumn="0" w:lastRowFirstColumn="0" w:lastRowLastColumn="0"/>
            </w:pPr>
          </w:p>
          <w:p w14:paraId="42006EB5" w14:textId="6AC4611D" w:rsidR="00317AD9" w:rsidRDefault="00317AD9">
            <w:pPr>
              <w:cnfStyle w:val="000000100000" w:firstRow="0" w:lastRow="0" w:firstColumn="0" w:lastColumn="0" w:oddVBand="0" w:evenVBand="0" w:oddHBand="1" w:evenHBand="0" w:firstRowFirstColumn="0" w:firstRowLastColumn="0" w:lastRowFirstColumn="0" w:lastRowLastColumn="0"/>
            </w:pPr>
          </w:p>
          <w:p w14:paraId="2037CDB4" w14:textId="0287DF27" w:rsidR="00430A25" w:rsidRDefault="00430A25" w:rsidP="00530D21">
            <w:pPr>
              <w:cnfStyle w:val="000000100000" w:firstRow="0" w:lastRow="0" w:firstColumn="0" w:lastColumn="0" w:oddVBand="0" w:evenVBand="0" w:oddHBand="1" w:evenHBand="0" w:firstRowFirstColumn="0" w:firstRowLastColumn="0" w:lastRowFirstColumn="0" w:lastRowLastColumn="0"/>
            </w:pPr>
          </w:p>
        </w:tc>
        <w:tc>
          <w:tcPr>
            <w:tcW w:w="1186" w:type="pct"/>
          </w:tcPr>
          <w:p w14:paraId="35D86217" w14:textId="4DC3E92F" w:rsidR="00AE2C7B" w:rsidRDefault="00267ECB" w:rsidP="0057176C">
            <w:pPr>
              <w:spacing w:after="120"/>
              <w:cnfStyle w:val="000000100000" w:firstRow="0" w:lastRow="0" w:firstColumn="0" w:lastColumn="0" w:oddVBand="0" w:evenVBand="0" w:oddHBand="1" w:evenHBand="0" w:firstRowFirstColumn="0" w:firstRowLastColumn="0" w:lastRowFirstColumn="0" w:lastRowLastColumn="0"/>
            </w:pPr>
            <w:r>
              <w:t>DFAT</w:t>
            </w:r>
            <w:r w:rsidR="00002CC3">
              <w:t xml:space="preserve"> and </w:t>
            </w:r>
            <w:r>
              <w:t xml:space="preserve">VAPJP will </w:t>
            </w:r>
            <w:r w:rsidR="009D4803">
              <w:t xml:space="preserve">review the 2024 </w:t>
            </w:r>
            <w:r w:rsidR="000D6189">
              <w:t>Annual Work Plan (</w:t>
            </w:r>
            <w:r w:rsidR="009D4803">
              <w:t>AWP</w:t>
            </w:r>
            <w:r w:rsidR="000D6189">
              <w:t>)</w:t>
            </w:r>
            <w:r w:rsidR="009D4803">
              <w:t xml:space="preserve"> to ensure that</w:t>
            </w:r>
            <w:r w:rsidR="006442D6">
              <w:t xml:space="preserve"> all remaining activities are aligned </w:t>
            </w:r>
            <w:r w:rsidR="005260A6">
              <w:t xml:space="preserve">to </w:t>
            </w:r>
            <w:r w:rsidR="006442D6">
              <w:t>EOPOs</w:t>
            </w:r>
            <w:r w:rsidR="009D4803">
              <w:t xml:space="preserve">. </w:t>
            </w:r>
          </w:p>
          <w:p w14:paraId="6188313D" w14:textId="0371BCD6" w:rsidR="009F73BC" w:rsidRDefault="009F73BC" w:rsidP="00F035C8">
            <w:pPr>
              <w:spacing w:after="120"/>
              <w:cnfStyle w:val="000000100000" w:firstRow="0" w:lastRow="0" w:firstColumn="0" w:lastColumn="0" w:oddVBand="0" w:evenVBand="0" w:oddHBand="1" w:evenHBand="0" w:firstRowFirstColumn="0" w:firstRowLastColumn="0" w:lastRowFirstColumn="0" w:lastRowLastColumn="0"/>
            </w:pPr>
            <w:r>
              <w:t>DFAT will liaise with Vanuatu Government partners to ensure they are supportive of any changes to the AWP</w:t>
            </w:r>
            <w:r w:rsidR="000D6189">
              <w:t>.</w:t>
            </w:r>
          </w:p>
          <w:p w14:paraId="0A6DCEF2" w14:textId="4C2736EB" w:rsidR="009F09D7" w:rsidRDefault="00543E3B" w:rsidP="00F035C8">
            <w:pPr>
              <w:spacing w:after="120"/>
              <w:cnfStyle w:val="000000100000" w:firstRow="0" w:lastRow="0" w:firstColumn="0" w:lastColumn="0" w:oddVBand="0" w:evenVBand="0" w:oddHBand="1" w:evenHBand="0" w:firstRowFirstColumn="0" w:firstRowLastColumn="0" w:lastRowFirstColumn="0" w:lastRowLastColumn="0"/>
            </w:pPr>
            <w:r>
              <w:t>DFAT will ensure the d</w:t>
            </w:r>
            <w:r w:rsidR="0093419E">
              <w:t xml:space="preserve">esign of </w:t>
            </w:r>
            <w:r>
              <w:t xml:space="preserve">Phase </w:t>
            </w:r>
            <w:r w:rsidR="00A258AE">
              <w:t>3</w:t>
            </w:r>
            <w:r w:rsidR="0093419E">
              <w:t xml:space="preserve"> </w:t>
            </w:r>
            <w:r w:rsidR="005260A6">
              <w:t xml:space="preserve">has a clear Theory of Change focused on aligning activities with EOPOs, while maintaining capacity for operational responsiveness. </w:t>
            </w:r>
          </w:p>
          <w:p w14:paraId="6692E2C3" w14:textId="20141D32" w:rsidR="00914F65" w:rsidRDefault="00914F65" w:rsidP="00F035C8">
            <w:pPr>
              <w:spacing w:after="120"/>
              <w:cnfStyle w:val="000000100000" w:firstRow="0" w:lastRow="0" w:firstColumn="0" w:lastColumn="0" w:oddVBand="0" w:evenVBand="0" w:oddHBand="1" w:evenHBand="0" w:firstRowFirstColumn="0" w:firstRowLastColumn="0" w:lastRowFirstColumn="0" w:lastRowLastColumn="0"/>
            </w:pPr>
            <w:r>
              <w:t xml:space="preserve">DFAT, AFP and VAPJP will use the existing reporting framework, </w:t>
            </w:r>
            <w:r w:rsidR="00285671" w:rsidRPr="00285671">
              <w:t>Monitoring, Evaluation and Learning (MEL)</w:t>
            </w:r>
            <w:r>
              <w:t xml:space="preserve"> Plan and Communications Plan to strengthen visibility of outcomes in the final year of the program.</w:t>
            </w:r>
          </w:p>
          <w:p w14:paraId="17DB366E" w14:textId="26A7118F" w:rsidR="00914F65" w:rsidRDefault="00914F65" w:rsidP="00411586">
            <w:pPr>
              <w:cnfStyle w:val="000000100000" w:firstRow="0" w:lastRow="0" w:firstColumn="0" w:lastColumn="0" w:oddVBand="0" w:evenVBand="0" w:oddHBand="1" w:evenHBand="0" w:firstRowFirstColumn="0" w:firstRowLastColumn="0" w:lastRowFirstColumn="0" w:lastRowLastColumn="0"/>
            </w:pPr>
            <w:r>
              <w:t xml:space="preserve">DFAT will ensure that an effective reporting framework, MEL Plan and Communications Plan are developed early in Phase </w:t>
            </w:r>
            <w:r w:rsidR="00A258AE">
              <w:t>3</w:t>
            </w:r>
            <w:r>
              <w:t xml:space="preserve"> to help ensure the full impact of activities is captured.</w:t>
            </w:r>
          </w:p>
        </w:tc>
        <w:tc>
          <w:tcPr>
            <w:tcW w:w="449" w:type="pct"/>
          </w:tcPr>
          <w:p w14:paraId="4FC3E1BE" w14:textId="38AA618B" w:rsidR="00AE2C7B" w:rsidRDefault="006442D6">
            <w:pPr>
              <w:cnfStyle w:val="000000100000" w:firstRow="0" w:lastRow="0" w:firstColumn="0" w:lastColumn="0" w:oddVBand="0" w:evenVBand="0" w:oddHBand="1" w:evenHBand="0" w:firstRowFirstColumn="0" w:firstRowLastColumn="0" w:lastRowFirstColumn="0" w:lastRowLastColumn="0"/>
            </w:pPr>
            <w:r>
              <w:t>Q3 – Q4</w:t>
            </w:r>
            <w:r w:rsidR="00725711">
              <w:t xml:space="preserve"> </w:t>
            </w:r>
            <w:r w:rsidR="00601198">
              <w:t>2024</w:t>
            </w:r>
          </w:p>
        </w:tc>
      </w:tr>
      <w:tr w:rsidR="00905545" w14:paraId="08ABC560"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3856A22F" w14:textId="5DCBEA49" w:rsidR="00AE2C7B" w:rsidRDefault="00382E46">
            <w:r>
              <w:lastRenderedPageBreak/>
              <w:t>2</w:t>
            </w:r>
          </w:p>
        </w:tc>
        <w:tc>
          <w:tcPr>
            <w:tcW w:w="1286" w:type="pct"/>
          </w:tcPr>
          <w:p w14:paraId="6E98A5BC" w14:textId="7623DC3D" w:rsidR="00AE2C7B" w:rsidRPr="0086307F" w:rsidRDefault="00B646AB">
            <w:pPr>
              <w:cnfStyle w:val="000000000000" w:firstRow="0" w:lastRow="0" w:firstColumn="0" w:lastColumn="0" w:oddVBand="0" w:evenVBand="0" w:oddHBand="0" w:evenHBand="0" w:firstRowFirstColumn="0" w:firstRowLastColumn="0" w:lastRowFirstColumn="0" w:lastRowLastColumn="0"/>
              <w:rPr>
                <w:rFonts w:cstheme="minorHAnsi"/>
              </w:rPr>
            </w:pPr>
            <w:r w:rsidRPr="0086307F">
              <w:rPr>
                <w:rFonts w:cstheme="minorHAnsi"/>
                <w:kern w:val="0"/>
              </w:rPr>
              <w:t>The policing stream does not need to significantly change its current focus, although it also requires a concerted effort to strengthen visibility around outcomes and quality of results. The policing stream should maintain its EOPO1 focus of improving the quality and reach of justice services, particularly for vulnerable women, children, youth and people with disability.</w:t>
            </w:r>
          </w:p>
        </w:tc>
        <w:tc>
          <w:tcPr>
            <w:tcW w:w="390" w:type="pct"/>
          </w:tcPr>
          <w:p w14:paraId="711B1421" w14:textId="42A51DE9" w:rsidR="00AE2C7B" w:rsidRDefault="00C15E51">
            <w:pPr>
              <w:cnfStyle w:val="000000000000" w:firstRow="0" w:lastRow="0" w:firstColumn="0" w:lastColumn="0" w:oddVBand="0" w:evenVBand="0" w:oddHBand="0" w:evenHBand="0" w:firstRowFirstColumn="0" w:firstRowLastColumn="0" w:lastRowFirstColumn="0" w:lastRowLastColumn="0"/>
            </w:pPr>
            <w:r>
              <w:t>Partially agree</w:t>
            </w:r>
          </w:p>
        </w:tc>
        <w:tc>
          <w:tcPr>
            <w:tcW w:w="1396" w:type="pct"/>
          </w:tcPr>
          <w:p w14:paraId="260143A3" w14:textId="7D8FECA9" w:rsidR="00383045" w:rsidRDefault="00445BB9">
            <w:pPr>
              <w:cnfStyle w:val="000000000000" w:firstRow="0" w:lastRow="0" w:firstColumn="0" w:lastColumn="0" w:oddVBand="0" w:evenVBand="0" w:oddHBand="0" w:evenHBand="0" w:firstRowFirstColumn="0" w:firstRowLastColumn="0" w:lastRowFirstColumn="0" w:lastRowLastColumn="0"/>
            </w:pPr>
            <w:r>
              <w:t xml:space="preserve">The policing </w:t>
            </w:r>
            <w:r w:rsidR="00C806DF">
              <w:t xml:space="preserve">stream is delivering strong </w:t>
            </w:r>
            <w:r w:rsidR="00A277A5">
              <w:t>outputs, evidenced by positive feedback from GoV counterparts</w:t>
            </w:r>
            <w:r w:rsidR="004D1817">
              <w:t xml:space="preserve">. </w:t>
            </w:r>
            <w:r w:rsidR="00383045">
              <w:t xml:space="preserve">The policing stream should </w:t>
            </w:r>
            <w:r w:rsidR="00905545">
              <w:t xml:space="preserve">remain focused on </w:t>
            </w:r>
            <w:r w:rsidR="00383045">
              <w:t>core business</w:t>
            </w:r>
            <w:r w:rsidR="00905545">
              <w:t xml:space="preserve">, </w:t>
            </w:r>
            <w:r w:rsidR="00914F65">
              <w:t xml:space="preserve">but also needs to </w:t>
            </w:r>
            <w:r w:rsidR="00905545">
              <w:t xml:space="preserve">maintain </w:t>
            </w:r>
            <w:r w:rsidR="00914F65">
              <w:t xml:space="preserve">the </w:t>
            </w:r>
            <w:r w:rsidR="00905545">
              <w:t xml:space="preserve">capability to respond to </w:t>
            </w:r>
            <w:r w:rsidR="00383045">
              <w:t>emerging VPF priorities</w:t>
            </w:r>
            <w:r w:rsidR="003368CF">
              <w:t xml:space="preserve"> and challenges</w:t>
            </w:r>
            <w:r w:rsidR="00383045">
              <w:t xml:space="preserve">, such as </w:t>
            </w:r>
            <w:r w:rsidR="00CB1407">
              <w:t>cybercrime</w:t>
            </w:r>
            <w:r w:rsidR="00186336">
              <w:t>.</w:t>
            </w:r>
          </w:p>
          <w:p w14:paraId="0A3EC56E" w14:textId="77777777" w:rsidR="00061BFD" w:rsidRDefault="00061BFD" w:rsidP="00061BFD">
            <w:pPr>
              <w:cnfStyle w:val="000000000000" w:firstRow="0" w:lastRow="0" w:firstColumn="0" w:lastColumn="0" w:oddVBand="0" w:evenVBand="0" w:oddHBand="0" w:evenHBand="0" w:firstRowFirstColumn="0" w:firstRowLastColumn="0" w:lastRowFirstColumn="0" w:lastRowLastColumn="0"/>
            </w:pPr>
          </w:p>
          <w:p w14:paraId="36E0397D" w14:textId="0E806482" w:rsidR="00D4055D" w:rsidRDefault="00D4055D">
            <w:pPr>
              <w:cnfStyle w:val="000000000000" w:firstRow="0" w:lastRow="0" w:firstColumn="0" w:lastColumn="0" w:oddVBand="0" w:evenVBand="0" w:oddHBand="0" w:evenHBand="0" w:firstRowFirstColumn="0" w:firstRowLastColumn="0" w:lastRowFirstColumn="0" w:lastRowLastColumn="0"/>
            </w:pPr>
          </w:p>
        </w:tc>
        <w:tc>
          <w:tcPr>
            <w:tcW w:w="1186" w:type="pct"/>
          </w:tcPr>
          <w:p w14:paraId="544F1ADD" w14:textId="678CD87B" w:rsidR="00914F65" w:rsidRDefault="00914F65" w:rsidP="007E6E83">
            <w:pPr>
              <w:spacing w:after="120"/>
              <w:cnfStyle w:val="000000000000" w:firstRow="0" w:lastRow="0" w:firstColumn="0" w:lastColumn="0" w:oddVBand="0" w:evenVBand="0" w:oddHBand="0" w:evenHBand="0" w:firstRowFirstColumn="0" w:firstRowLastColumn="0" w:lastRowFirstColumn="0" w:lastRowLastColumn="0"/>
            </w:pPr>
            <w:r>
              <w:t xml:space="preserve">DFAT, in collaboration with AFP, will ensure the design of Phase </w:t>
            </w:r>
            <w:r w:rsidR="00A258AE">
              <w:t>3</w:t>
            </w:r>
            <w:r>
              <w:t xml:space="preserve"> has a clear Theory of Change focused on aligning activities with EOPOs, while maintaining capacity for operational responsiveness. </w:t>
            </w:r>
          </w:p>
          <w:p w14:paraId="49E987D0" w14:textId="324A6835" w:rsidR="00A56A94" w:rsidRDefault="00BD6535" w:rsidP="007E6E83">
            <w:pPr>
              <w:spacing w:after="120"/>
              <w:cnfStyle w:val="000000000000" w:firstRow="0" w:lastRow="0" w:firstColumn="0" w:lastColumn="0" w:oddVBand="0" w:evenVBand="0" w:oddHBand="0" w:evenHBand="0" w:firstRowFirstColumn="0" w:firstRowLastColumn="0" w:lastRowFirstColumn="0" w:lastRowLastColumn="0"/>
            </w:pPr>
            <w:r>
              <w:t xml:space="preserve">DFAT, AFP and VAPJP </w:t>
            </w:r>
            <w:r w:rsidR="00061BFD">
              <w:t xml:space="preserve">will use the existing reporting framework, </w:t>
            </w:r>
            <w:r w:rsidR="00285671" w:rsidRPr="00285671">
              <w:t xml:space="preserve">Monitoring, Evaluation and Learning </w:t>
            </w:r>
            <w:r w:rsidR="00285671">
              <w:t>(</w:t>
            </w:r>
            <w:r w:rsidR="00061BFD">
              <w:t>MEL</w:t>
            </w:r>
            <w:r w:rsidR="00285671">
              <w:t>)</w:t>
            </w:r>
            <w:r w:rsidR="00061BFD">
              <w:t xml:space="preserve"> Plan and Communications Plan to </w:t>
            </w:r>
            <w:r w:rsidR="000E1380">
              <w:t>strengthen visibility of outcomes in the final year of the program</w:t>
            </w:r>
            <w:r w:rsidR="00061BFD">
              <w:t>.</w:t>
            </w:r>
            <w:r w:rsidR="00DB04EE">
              <w:t xml:space="preserve"> </w:t>
            </w:r>
          </w:p>
          <w:p w14:paraId="530A41DB" w14:textId="1112631B" w:rsidR="000E1380" w:rsidRDefault="003039DD">
            <w:pPr>
              <w:cnfStyle w:val="000000000000" w:firstRow="0" w:lastRow="0" w:firstColumn="0" w:lastColumn="0" w:oddVBand="0" w:evenVBand="0" w:oddHBand="0" w:evenHBand="0" w:firstRowFirstColumn="0" w:firstRowLastColumn="0" w:lastRowFirstColumn="0" w:lastRowLastColumn="0"/>
            </w:pPr>
            <w:r>
              <w:t>DFAT</w:t>
            </w:r>
            <w:r w:rsidR="00914F65">
              <w:t xml:space="preserve">, in collaboration with AFP, </w:t>
            </w:r>
            <w:r>
              <w:t xml:space="preserve">will ensure </w:t>
            </w:r>
            <w:r w:rsidR="00061BFD">
              <w:t xml:space="preserve">that an effective reporting framework, MEL Plan and Communications Plan are developed early in </w:t>
            </w:r>
            <w:r>
              <w:t xml:space="preserve">Phase </w:t>
            </w:r>
            <w:r w:rsidR="00A258AE">
              <w:t>3</w:t>
            </w:r>
            <w:r w:rsidR="00072BEB">
              <w:t xml:space="preserve"> to help ensure the full impact of activities is captured</w:t>
            </w:r>
            <w:r w:rsidR="00061BFD">
              <w:t>.</w:t>
            </w:r>
            <w:r w:rsidR="00F10E82">
              <w:t xml:space="preserve"> </w:t>
            </w:r>
          </w:p>
        </w:tc>
        <w:tc>
          <w:tcPr>
            <w:tcW w:w="449" w:type="pct"/>
          </w:tcPr>
          <w:p w14:paraId="4B8D5968" w14:textId="36EE3500" w:rsidR="00AE2C7B" w:rsidRDefault="00262715">
            <w:pPr>
              <w:cnfStyle w:val="000000000000" w:firstRow="0" w:lastRow="0" w:firstColumn="0" w:lastColumn="0" w:oddVBand="0" w:evenVBand="0" w:oddHBand="0" w:evenHBand="0" w:firstRowFirstColumn="0" w:firstRowLastColumn="0" w:lastRowFirstColumn="0" w:lastRowLastColumn="0"/>
            </w:pPr>
            <w:r>
              <w:t>Q</w:t>
            </w:r>
            <w:r w:rsidR="00905545">
              <w:t>3 – Q4</w:t>
            </w:r>
            <w:r>
              <w:t xml:space="preserve"> 2024</w:t>
            </w:r>
          </w:p>
        </w:tc>
      </w:tr>
      <w:tr w:rsidR="00905545" w14:paraId="46D120AE"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40BF9824" w14:textId="72E7CD68" w:rsidR="00AE2C7B" w:rsidRDefault="00382E46">
            <w:r>
              <w:lastRenderedPageBreak/>
              <w:t>3</w:t>
            </w:r>
          </w:p>
        </w:tc>
        <w:tc>
          <w:tcPr>
            <w:tcW w:w="1286" w:type="pct"/>
          </w:tcPr>
          <w:p w14:paraId="113C73A0" w14:textId="5BBF12A9" w:rsidR="00AE2C7B" w:rsidRPr="00D50FF7" w:rsidRDefault="00B646AB">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VAPJP should revisit earlier program approaches to capacity building and its measurement, modified to reflect current program circumstances. Consideration should also be given to developing a Theory of Change during the forthcoming design process that may also be of utility to the existing program.</w:t>
            </w:r>
          </w:p>
        </w:tc>
        <w:tc>
          <w:tcPr>
            <w:tcW w:w="390" w:type="pct"/>
          </w:tcPr>
          <w:p w14:paraId="572C6CBB" w14:textId="5CB5A420" w:rsidR="00AE2C7B" w:rsidRDefault="00072BEB">
            <w:pPr>
              <w:cnfStyle w:val="000000100000" w:firstRow="0" w:lastRow="0" w:firstColumn="0" w:lastColumn="0" w:oddVBand="0" w:evenVBand="0" w:oddHBand="1" w:evenHBand="0" w:firstRowFirstColumn="0" w:firstRowLastColumn="0" w:lastRowFirstColumn="0" w:lastRowLastColumn="0"/>
            </w:pPr>
            <w:r>
              <w:t>A</w:t>
            </w:r>
            <w:r w:rsidR="00BB2054">
              <w:t>gree</w:t>
            </w:r>
          </w:p>
        </w:tc>
        <w:tc>
          <w:tcPr>
            <w:tcW w:w="1396" w:type="pct"/>
          </w:tcPr>
          <w:p w14:paraId="06514EAD" w14:textId="12E8EE58" w:rsidR="00AE2C7B" w:rsidRDefault="006632CD">
            <w:pPr>
              <w:cnfStyle w:val="000000100000" w:firstRow="0" w:lastRow="0" w:firstColumn="0" w:lastColumn="0" w:oddVBand="0" w:evenVBand="0" w:oddHBand="1" w:evenHBand="0" w:firstRowFirstColumn="0" w:firstRowLastColumn="0" w:lastRowFirstColumn="0" w:lastRowLastColumn="0"/>
            </w:pPr>
            <w:r>
              <w:t xml:space="preserve">VAPJP has </w:t>
            </w:r>
            <w:r w:rsidR="000931D5">
              <w:t>faced challenges in demonstrating</w:t>
            </w:r>
            <w:r w:rsidR="00471610">
              <w:t xml:space="preserve"> </w:t>
            </w:r>
            <w:r w:rsidR="00285671">
              <w:t xml:space="preserve">the </w:t>
            </w:r>
            <w:r w:rsidR="00471610">
              <w:t>long-term</w:t>
            </w:r>
            <w:r>
              <w:t xml:space="preserve"> impact</w:t>
            </w:r>
            <w:r w:rsidR="00072BEB">
              <w:t xml:space="preserve"> of its </w:t>
            </w:r>
            <w:r>
              <w:t>capacity building</w:t>
            </w:r>
            <w:r w:rsidR="00072BEB">
              <w:t xml:space="preserve"> and </w:t>
            </w:r>
            <w:r w:rsidR="00471610">
              <w:t>behaviour change</w:t>
            </w:r>
            <w:r w:rsidR="00072BEB">
              <w:t xml:space="preserve"> activities</w:t>
            </w:r>
            <w:r>
              <w:t xml:space="preserve">. </w:t>
            </w:r>
            <w:r w:rsidR="000F767C">
              <w:t xml:space="preserve">This is in part due to the lack of a Theory of Change that </w:t>
            </w:r>
            <w:r w:rsidR="00257D24">
              <w:t xml:space="preserve">would </w:t>
            </w:r>
            <w:r w:rsidR="000F767C">
              <w:t xml:space="preserve">support a </w:t>
            </w:r>
            <w:r w:rsidR="00DC3206">
              <w:t xml:space="preserve">clear </w:t>
            </w:r>
            <w:r w:rsidR="000F767C">
              <w:t xml:space="preserve">understanding of progress towards </w:t>
            </w:r>
            <w:r w:rsidR="00DC3206">
              <w:t>EOPOs</w:t>
            </w:r>
            <w:r w:rsidR="00926DA7">
              <w:t>.</w:t>
            </w:r>
          </w:p>
          <w:p w14:paraId="5E543732" w14:textId="02E47711" w:rsidR="00C01912" w:rsidRDefault="00C01912" w:rsidP="00072BEB">
            <w:pPr>
              <w:cnfStyle w:val="000000100000" w:firstRow="0" w:lastRow="0" w:firstColumn="0" w:lastColumn="0" w:oddVBand="0" w:evenVBand="0" w:oddHBand="1" w:evenHBand="0" w:firstRowFirstColumn="0" w:firstRowLastColumn="0" w:lastRowFirstColumn="0" w:lastRowLastColumn="0"/>
            </w:pPr>
          </w:p>
        </w:tc>
        <w:tc>
          <w:tcPr>
            <w:tcW w:w="1186" w:type="pct"/>
          </w:tcPr>
          <w:p w14:paraId="5205DF57" w14:textId="0A6148F3" w:rsidR="00072BEB" w:rsidRDefault="00072BEB" w:rsidP="007E6E83">
            <w:pPr>
              <w:spacing w:after="120"/>
              <w:cnfStyle w:val="000000100000" w:firstRow="0" w:lastRow="0" w:firstColumn="0" w:lastColumn="0" w:oddVBand="0" w:evenVBand="0" w:oddHBand="1" w:evenHBand="0" w:firstRowFirstColumn="0" w:firstRowLastColumn="0" w:lastRowFirstColumn="0" w:lastRowLastColumn="0"/>
            </w:pPr>
            <w:r>
              <w:t xml:space="preserve">VAPJP developed a Monitoring, Evaluation and Learning </w:t>
            </w:r>
            <w:r w:rsidR="00285671">
              <w:t xml:space="preserve">(MEL) </w:t>
            </w:r>
            <w:r>
              <w:t xml:space="preserve">Plan in 2023 to support outcome reporting. </w:t>
            </w:r>
          </w:p>
          <w:p w14:paraId="74D12862" w14:textId="6703FB83" w:rsidR="00285671" w:rsidRDefault="00EA6D53" w:rsidP="007E6E83">
            <w:pPr>
              <w:spacing w:after="120"/>
              <w:cnfStyle w:val="000000100000" w:firstRow="0" w:lastRow="0" w:firstColumn="0" w:lastColumn="0" w:oddVBand="0" w:evenVBand="0" w:oddHBand="1" w:evenHBand="0" w:firstRowFirstColumn="0" w:firstRowLastColumn="0" w:lastRowFirstColumn="0" w:lastRowLastColumn="0"/>
            </w:pPr>
            <w:r>
              <w:t>DFAT will ensure t</w:t>
            </w:r>
            <w:r w:rsidR="003D5826">
              <w:t xml:space="preserve">he design </w:t>
            </w:r>
            <w:r>
              <w:t xml:space="preserve">of Phase </w:t>
            </w:r>
            <w:r w:rsidR="00A258AE">
              <w:t>3</w:t>
            </w:r>
            <w:r w:rsidR="003D5826">
              <w:t xml:space="preserve"> </w:t>
            </w:r>
            <w:r w:rsidR="00285671">
              <w:t xml:space="preserve">has </w:t>
            </w:r>
            <w:r w:rsidR="003D5826">
              <w:t xml:space="preserve">a </w:t>
            </w:r>
            <w:r w:rsidR="00285671">
              <w:t xml:space="preserve">clear </w:t>
            </w:r>
            <w:r w:rsidR="00EF127E">
              <w:t>Theory of Change</w:t>
            </w:r>
            <w:r w:rsidR="00285671">
              <w:t>,</w:t>
            </w:r>
            <w:r w:rsidR="00924DA2">
              <w:t xml:space="preserve"> and a</w:t>
            </w:r>
            <w:r w:rsidR="00072BEB">
              <w:t xml:space="preserve"> MEL Plan </w:t>
            </w:r>
            <w:r w:rsidR="00924DA2">
              <w:t>that supports measurement of capacity building impact where appropriate.</w:t>
            </w:r>
            <w:r w:rsidR="00021CC2">
              <w:t xml:space="preserve"> </w:t>
            </w:r>
          </w:p>
          <w:p w14:paraId="5FD65D44" w14:textId="17A18069" w:rsidR="00205F9D" w:rsidRDefault="00C630CD" w:rsidP="00285671">
            <w:pPr>
              <w:cnfStyle w:val="000000100000" w:firstRow="0" w:lastRow="0" w:firstColumn="0" w:lastColumn="0" w:oddVBand="0" w:evenVBand="0" w:oddHBand="1" w:evenHBand="0" w:firstRowFirstColumn="0" w:firstRowLastColumn="0" w:lastRowFirstColumn="0" w:lastRowLastColumn="0"/>
            </w:pPr>
            <w:r>
              <w:t>In</w:t>
            </w:r>
            <w:r w:rsidRPr="00C630CD">
              <w:t xml:space="preserve"> considering approaches to capacity building and its measurement</w:t>
            </w:r>
            <w:r>
              <w:t>,</w:t>
            </w:r>
            <w:r w:rsidRPr="00C630CD">
              <w:t xml:space="preserve"> </w:t>
            </w:r>
            <w:r w:rsidR="00285671" w:rsidRPr="00285671">
              <w:t xml:space="preserve">DFAT will </w:t>
            </w:r>
            <w:r w:rsidR="00411586">
              <w:t xml:space="preserve">also </w:t>
            </w:r>
            <w:r w:rsidR="00285671" w:rsidRPr="00285671">
              <w:t xml:space="preserve">ensure the design of Phase </w:t>
            </w:r>
            <w:r w:rsidR="00A258AE">
              <w:t>3</w:t>
            </w:r>
            <w:r w:rsidR="00285671">
              <w:t xml:space="preserve"> </w:t>
            </w:r>
            <w:r w:rsidR="00E57433">
              <w:t>integrate</w:t>
            </w:r>
            <w:r w:rsidR="00285671">
              <w:t>s</w:t>
            </w:r>
            <w:r w:rsidR="00E57433">
              <w:t xml:space="preserve"> </w:t>
            </w:r>
            <w:r w:rsidR="00B90B2E">
              <w:t xml:space="preserve">findings from the Program’s training evaluation </w:t>
            </w:r>
            <w:r w:rsidR="006D6047">
              <w:t xml:space="preserve">in </w:t>
            </w:r>
            <w:r w:rsidR="00C036AD">
              <w:t>Q2/</w:t>
            </w:r>
            <w:r w:rsidR="00257D24">
              <w:t>Q</w:t>
            </w:r>
            <w:r w:rsidR="00C036AD">
              <w:t>3 2024.</w:t>
            </w:r>
          </w:p>
        </w:tc>
        <w:tc>
          <w:tcPr>
            <w:tcW w:w="449" w:type="pct"/>
          </w:tcPr>
          <w:p w14:paraId="3DC4ED51" w14:textId="67B5DF97" w:rsidR="00AE2C7B" w:rsidRDefault="00E57433">
            <w:pPr>
              <w:cnfStyle w:val="000000100000" w:firstRow="0" w:lastRow="0" w:firstColumn="0" w:lastColumn="0" w:oddVBand="0" w:evenVBand="0" w:oddHBand="1" w:evenHBand="0" w:firstRowFirstColumn="0" w:firstRowLastColumn="0" w:lastRowFirstColumn="0" w:lastRowLastColumn="0"/>
            </w:pPr>
            <w:r>
              <w:t>Q3 – Q4 2024</w:t>
            </w:r>
          </w:p>
        </w:tc>
      </w:tr>
      <w:tr w:rsidR="00905545" w14:paraId="767BC12A"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5FDF8E66" w14:textId="41BFF549" w:rsidR="00AE2C7B" w:rsidRDefault="00382E46">
            <w:r>
              <w:t>4</w:t>
            </w:r>
          </w:p>
        </w:tc>
        <w:tc>
          <w:tcPr>
            <w:tcW w:w="1286" w:type="pct"/>
          </w:tcPr>
          <w:p w14:paraId="1E66BB12" w14:textId="04341E44" w:rsidR="00AE2C7B" w:rsidRPr="00D50FF7" w:rsidRDefault="00B646AB">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Both the justice and policing streams of VAPJP should prioritise sustainability and exit planning for all activities, so that benefits outlast the program. With participation and input from counterparts across the program, VAPJP should develop a sustainability plan that reflects output and IO targets for the end of program, and identifies expected support required to maintain progress or protect changes already achieved.</w:t>
            </w:r>
          </w:p>
        </w:tc>
        <w:tc>
          <w:tcPr>
            <w:tcW w:w="390" w:type="pct"/>
          </w:tcPr>
          <w:p w14:paraId="6623571C" w14:textId="531F5E99" w:rsidR="00AE2C7B" w:rsidRDefault="00E959BD">
            <w:pPr>
              <w:cnfStyle w:val="000000000000" w:firstRow="0" w:lastRow="0" w:firstColumn="0" w:lastColumn="0" w:oddVBand="0" w:evenVBand="0" w:oddHBand="0" w:evenHBand="0" w:firstRowFirstColumn="0" w:firstRowLastColumn="0" w:lastRowFirstColumn="0" w:lastRowLastColumn="0"/>
            </w:pPr>
            <w:r>
              <w:t>A</w:t>
            </w:r>
            <w:r w:rsidR="00361274">
              <w:t>gree</w:t>
            </w:r>
          </w:p>
        </w:tc>
        <w:tc>
          <w:tcPr>
            <w:tcW w:w="1396" w:type="pct"/>
          </w:tcPr>
          <w:p w14:paraId="27C5E70C" w14:textId="757CF330" w:rsidR="00D95439" w:rsidRDefault="000C36C7">
            <w:pPr>
              <w:cnfStyle w:val="000000000000" w:firstRow="0" w:lastRow="0" w:firstColumn="0" w:lastColumn="0" w:oddVBand="0" w:evenVBand="0" w:oddHBand="0" w:evenHBand="0" w:firstRowFirstColumn="0" w:firstRowLastColumn="0" w:lastRowFirstColumn="0" w:lastRowLastColumn="0"/>
            </w:pPr>
            <w:r>
              <w:t xml:space="preserve">Sustainability </w:t>
            </w:r>
            <w:r w:rsidR="007B26B8">
              <w:t>is particularly</w:t>
            </w:r>
            <w:r w:rsidR="00471140">
              <w:t xml:space="preserve"> important as we approach the end of the current phase of the program</w:t>
            </w:r>
            <w:r w:rsidR="000E6F69">
              <w:t>, to ensure that the gains made in this phase are maintained</w:t>
            </w:r>
            <w:r w:rsidR="007956DD">
              <w:t>.</w:t>
            </w:r>
          </w:p>
          <w:p w14:paraId="74D1C880" w14:textId="7465AAA3" w:rsidR="00C56134" w:rsidRDefault="00C56134" w:rsidP="00E959BD">
            <w:pPr>
              <w:cnfStyle w:val="000000000000" w:firstRow="0" w:lastRow="0" w:firstColumn="0" w:lastColumn="0" w:oddVBand="0" w:evenVBand="0" w:oddHBand="0" w:evenHBand="0" w:firstRowFirstColumn="0" w:firstRowLastColumn="0" w:lastRowFirstColumn="0" w:lastRowLastColumn="0"/>
            </w:pPr>
          </w:p>
        </w:tc>
        <w:tc>
          <w:tcPr>
            <w:tcW w:w="1186" w:type="pct"/>
          </w:tcPr>
          <w:p w14:paraId="2F05D5F4" w14:textId="798D9269" w:rsidR="00AE2C7B" w:rsidRDefault="00E24571">
            <w:pPr>
              <w:cnfStyle w:val="000000000000" w:firstRow="0" w:lastRow="0" w:firstColumn="0" w:lastColumn="0" w:oddVBand="0" w:evenVBand="0" w:oddHBand="0" w:evenHBand="0" w:firstRowFirstColumn="0" w:firstRowLastColumn="0" w:lastRowFirstColumn="0" w:lastRowLastColumn="0"/>
            </w:pPr>
            <w:r>
              <w:t xml:space="preserve">VAPJP </w:t>
            </w:r>
            <w:r w:rsidR="00AD1903">
              <w:t>will</w:t>
            </w:r>
            <w:r>
              <w:t xml:space="preserve"> </w:t>
            </w:r>
            <w:r w:rsidR="004817D4">
              <w:t xml:space="preserve">develop a </w:t>
            </w:r>
            <w:r w:rsidR="00881011">
              <w:t>S</w:t>
            </w:r>
            <w:r w:rsidR="000E4401">
              <w:t xml:space="preserve">ustainability </w:t>
            </w:r>
            <w:r w:rsidR="00881011">
              <w:t>P</w:t>
            </w:r>
            <w:r w:rsidR="000E4401">
              <w:t>lan</w:t>
            </w:r>
            <w:r w:rsidR="00881011">
              <w:t xml:space="preserve"> in the </w:t>
            </w:r>
            <w:r w:rsidR="000E4401">
              <w:t>Completion Report</w:t>
            </w:r>
            <w:r w:rsidR="005A1D23">
              <w:t xml:space="preserve"> that will inform </w:t>
            </w:r>
            <w:r w:rsidR="004F46A9">
              <w:t xml:space="preserve">the </w:t>
            </w:r>
            <w:r w:rsidR="00AD1903">
              <w:t xml:space="preserve">Phase </w:t>
            </w:r>
            <w:r w:rsidR="00A258AE">
              <w:t>3</w:t>
            </w:r>
            <w:r w:rsidR="00AD1903">
              <w:t xml:space="preserve"> </w:t>
            </w:r>
            <w:r w:rsidR="004F46A9">
              <w:t>design</w:t>
            </w:r>
            <w:r w:rsidR="0044577E">
              <w:t>.</w:t>
            </w:r>
          </w:p>
        </w:tc>
        <w:tc>
          <w:tcPr>
            <w:tcW w:w="449" w:type="pct"/>
          </w:tcPr>
          <w:p w14:paraId="0DEDCA6F" w14:textId="6A0CD0B8" w:rsidR="00AE2C7B" w:rsidRDefault="00262715">
            <w:pPr>
              <w:cnfStyle w:val="000000000000" w:firstRow="0" w:lastRow="0" w:firstColumn="0" w:lastColumn="0" w:oddVBand="0" w:evenVBand="0" w:oddHBand="0" w:evenHBand="0" w:firstRowFirstColumn="0" w:firstRowLastColumn="0" w:lastRowFirstColumn="0" w:lastRowLastColumn="0"/>
            </w:pPr>
            <w:r>
              <w:t>Q</w:t>
            </w:r>
            <w:r w:rsidR="00195347">
              <w:t>4</w:t>
            </w:r>
            <w:r>
              <w:t xml:space="preserve"> 2024</w:t>
            </w:r>
          </w:p>
        </w:tc>
      </w:tr>
      <w:tr w:rsidR="00A563A1" w14:paraId="6A5C3684"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04AE54FC" w14:textId="7C31B793" w:rsidR="00A563A1" w:rsidRDefault="00A563A1" w:rsidP="00A563A1">
            <w:r>
              <w:lastRenderedPageBreak/>
              <w:t>5</w:t>
            </w:r>
          </w:p>
        </w:tc>
        <w:tc>
          <w:tcPr>
            <w:tcW w:w="1286" w:type="pct"/>
          </w:tcPr>
          <w:p w14:paraId="2EFEEA3D" w14:textId="58E764F3" w:rsidR="00A563A1" w:rsidRPr="00D50FF7" w:rsidRDefault="00A563A1" w:rsidP="00A563A1">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The policing stream should consider four key changes to make police training more sustainable and improve ownership. These are deploying an AFP adviser with a policing education background (rather than a community policing background), a greater emphasis on utilising a Train the Trainer approach, prioritising trainings and curriculum development in Bislama, and where possible decentralising training which will encourage more female officers to undertake training.</w:t>
            </w:r>
          </w:p>
        </w:tc>
        <w:tc>
          <w:tcPr>
            <w:tcW w:w="390" w:type="pct"/>
          </w:tcPr>
          <w:p w14:paraId="046D03D3" w14:textId="28B5B628" w:rsidR="00A563A1" w:rsidRDefault="00A563A1" w:rsidP="00A563A1">
            <w:pPr>
              <w:cnfStyle w:val="000000100000" w:firstRow="0" w:lastRow="0" w:firstColumn="0" w:lastColumn="0" w:oddVBand="0" w:evenVBand="0" w:oddHBand="1" w:evenHBand="0" w:firstRowFirstColumn="0" w:firstRowLastColumn="0" w:lastRowFirstColumn="0" w:lastRowLastColumn="0"/>
            </w:pPr>
            <w:r>
              <w:t xml:space="preserve">Agree </w:t>
            </w:r>
          </w:p>
        </w:tc>
        <w:tc>
          <w:tcPr>
            <w:tcW w:w="1396" w:type="pct"/>
          </w:tcPr>
          <w:p w14:paraId="5E19E2AA" w14:textId="77777777" w:rsidR="00A563A1" w:rsidRDefault="00A563A1" w:rsidP="00A563A1">
            <w:pPr>
              <w:cnfStyle w:val="000000100000" w:firstRow="0" w:lastRow="0" w:firstColumn="0" w:lastColumn="0" w:oddVBand="0" w:evenVBand="0" w:oddHBand="1" w:evenHBand="0" w:firstRowFirstColumn="0" w:firstRowLastColumn="0" w:lastRowFirstColumn="0" w:lastRowLastColumn="0"/>
            </w:pPr>
            <w:r>
              <w:t xml:space="preserve">These four different recommendations relate to the principles of sustainability, relevance, and efficiency of training delivered under the program.   </w:t>
            </w:r>
          </w:p>
          <w:p w14:paraId="22196E33" w14:textId="77777777" w:rsidR="00A563A1" w:rsidRDefault="00A563A1" w:rsidP="00A563A1">
            <w:pPr>
              <w:cnfStyle w:val="000000100000" w:firstRow="0" w:lastRow="0" w:firstColumn="0" w:lastColumn="0" w:oddVBand="0" w:evenVBand="0" w:oddHBand="1" w:evenHBand="0" w:firstRowFirstColumn="0" w:firstRowLastColumn="0" w:lastRowFirstColumn="0" w:lastRowLastColumn="0"/>
            </w:pPr>
          </w:p>
          <w:p w14:paraId="65386B13" w14:textId="77777777" w:rsidR="00A563A1" w:rsidRDefault="00A563A1" w:rsidP="00A563A1">
            <w:pPr>
              <w:cnfStyle w:val="000000100000" w:firstRow="0" w:lastRow="0" w:firstColumn="0" w:lastColumn="0" w:oddVBand="0" w:evenVBand="0" w:oddHBand="1" w:evenHBand="0" w:firstRowFirstColumn="0" w:firstRowLastColumn="0" w:lastRowFirstColumn="0" w:lastRowLastColumn="0"/>
            </w:pPr>
          </w:p>
        </w:tc>
        <w:tc>
          <w:tcPr>
            <w:tcW w:w="1186" w:type="pct"/>
          </w:tcPr>
          <w:p w14:paraId="160FDE22" w14:textId="17FA3D66" w:rsidR="00A563A1" w:rsidRDefault="00A563A1" w:rsidP="00A563A1">
            <w:pPr>
              <w:cnfStyle w:val="000000100000" w:firstRow="0" w:lastRow="0" w:firstColumn="0" w:lastColumn="0" w:oddVBand="0" w:evenVBand="0" w:oddHBand="1" w:evenHBand="0" w:firstRowFirstColumn="0" w:firstRowLastColumn="0" w:lastRowFirstColumn="0" w:lastRowLastColumn="0"/>
            </w:pPr>
            <w:r>
              <w:t>AFP will continue to seize opportunities to strengthen sustainability, relevance, and efficiency in program delivery</w:t>
            </w:r>
            <w:r w:rsidR="00C630CD">
              <w:t>,</w:t>
            </w:r>
            <w:r>
              <w:t xml:space="preserve"> including building on existing efforts to deliver train the trainer courses, consider increased decentralised training, development of training in Bislama, and assessing the advisor footprint in consultation with the VPF as part of the</w:t>
            </w:r>
            <w:r w:rsidR="00221292" w:rsidRPr="00221292">
              <w:t xml:space="preserve"> Phase </w:t>
            </w:r>
            <w:r w:rsidR="00A258AE">
              <w:t>3</w:t>
            </w:r>
            <w:r w:rsidR="00221292" w:rsidRPr="00221292">
              <w:t xml:space="preserve"> </w:t>
            </w:r>
            <w:r>
              <w:t xml:space="preserve">design. </w:t>
            </w:r>
          </w:p>
          <w:p w14:paraId="4070A54C" w14:textId="77777777" w:rsidR="00A563A1" w:rsidRDefault="00A563A1" w:rsidP="00A563A1">
            <w:pPr>
              <w:cnfStyle w:val="000000100000" w:firstRow="0" w:lastRow="0" w:firstColumn="0" w:lastColumn="0" w:oddVBand="0" w:evenVBand="0" w:oddHBand="1" w:evenHBand="0" w:firstRowFirstColumn="0" w:firstRowLastColumn="0" w:lastRowFirstColumn="0" w:lastRowLastColumn="0"/>
            </w:pPr>
          </w:p>
        </w:tc>
        <w:tc>
          <w:tcPr>
            <w:tcW w:w="449" w:type="pct"/>
          </w:tcPr>
          <w:p w14:paraId="3C8235F1" w14:textId="79C96935" w:rsidR="00A563A1" w:rsidRDefault="00A563A1" w:rsidP="00A563A1">
            <w:pPr>
              <w:cnfStyle w:val="000000100000" w:firstRow="0" w:lastRow="0" w:firstColumn="0" w:lastColumn="0" w:oddVBand="0" w:evenVBand="0" w:oddHBand="1" w:evenHBand="0" w:firstRowFirstColumn="0" w:firstRowLastColumn="0" w:lastRowFirstColumn="0" w:lastRowLastColumn="0"/>
            </w:pPr>
            <w:r>
              <w:t>Q2 2024</w:t>
            </w:r>
          </w:p>
        </w:tc>
      </w:tr>
      <w:tr w:rsidR="00905545" w14:paraId="6A5FC687"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6EA4493B" w14:textId="302D1E9C" w:rsidR="00AE2C7B" w:rsidRDefault="00382E46">
            <w:r>
              <w:lastRenderedPageBreak/>
              <w:t>6</w:t>
            </w:r>
          </w:p>
        </w:tc>
        <w:tc>
          <w:tcPr>
            <w:tcW w:w="1286" w:type="pct"/>
          </w:tcPr>
          <w:p w14:paraId="2F9A5020" w14:textId="162076C8" w:rsidR="00AE2C7B" w:rsidRPr="00D50FF7" w:rsidRDefault="003D2D15">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VAPJP reporting should be improved and rationalised to meet DFAT and AFP strategic requirements, as well as inform adaptive programming across VAPJP.</w:t>
            </w:r>
          </w:p>
        </w:tc>
        <w:tc>
          <w:tcPr>
            <w:tcW w:w="390" w:type="pct"/>
          </w:tcPr>
          <w:p w14:paraId="4E00A07C" w14:textId="15D32A9C" w:rsidR="00AE2C7B" w:rsidRDefault="005219AD">
            <w:pPr>
              <w:cnfStyle w:val="000000000000" w:firstRow="0" w:lastRow="0" w:firstColumn="0" w:lastColumn="0" w:oddVBand="0" w:evenVBand="0" w:oddHBand="0" w:evenHBand="0" w:firstRowFirstColumn="0" w:firstRowLastColumn="0" w:lastRowFirstColumn="0" w:lastRowLastColumn="0"/>
            </w:pPr>
            <w:r>
              <w:t>Agree</w:t>
            </w:r>
          </w:p>
        </w:tc>
        <w:tc>
          <w:tcPr>
            <w:tcW w:w="1396" w:type="pct"/>
          </w:tcPr>
          <w:p w14:paraId="230B3384" w14:textId="29BCF9B7" w:rsidR="00AE2C7B" w:rsidRDefault="00042B1C">
            <w:pPr>
              <w:cnfStyle w:val="000000000000" w:firstRow="0" w:lastRow="0" w:firstColumn="0" w:lastColumn="0" w:oddVBand="0" w:evenVBand="0" w:oddHBand="0" w:evenHBand="0" w:firstRowFirstColumn="0" w:firstRowLastColumn="0" w:lastRowFirstColumn="0" w:lastRowLastColumn="0"/>
            </w:pPr>
            <w:r>
              <w:t xml:space="preserve">There is scope to streamline and improve </w:t>
            </w:r>
            <w:r w:rsidR="00E7616E">
              <w:t xml:space="preserve">VAPJP </w:t>
            </w:r>
            <w:r w:rsidR="00324D0D">
              <w:t>progress reporting</w:t>
            </w:r>
            <w:r w:rsidR="00F649EE">
              <w:t xml:space="preserve">. </w:t>
            </w:r>
            <w:r w:rsidR="009F41ED">
              <w:t xml:space="preserve">The absence of a Theory of Change or specific targets has </w:t>
            </w:r>
            <w:r w:rsidR="00640BF2">
              <w:t xml:space="preserve">caused </w:t>
            </w:r>
            <w:r w:rsidR="00AE5915">
              <w:t>challeng</w:t>
            </w:r>
            <w:r w:rsidR="00640BF2">
              <w:t xml:space="preserve">es to </w:t>
            </w:r>
            <w:r w:rsidR="003507CE">
              <w:t>demonstrat</w:t>
            </w:r>
            <w:r w:rsidR="00AE5915">
              <w:t>ing</w:t>
            </w:r>
            <w:r w:rsidR="003507CE">
              <w:t xml:space="preserve"> progress towards EOPOs</w:t>
            </w:r>
            <w:r w:rsidR="006E5E65">
              <w:t>.</w:t>
            </w:r>
          </w:p>
          <w:p w14:paraId="1E13E255" w14:textId="77777777" w:rsidR="00B92E38" w:rsidRDefault="00B92E38">
            <w:pPr>
              <w:cnfStyle w:val="000000000000" w:firstRow="0" w:lastRow="0" w:firstColumn="0" w:lastColumn="0" w:oddVBand="0" w:evenVBand="0" w:oddHBand="0" w:evenHBand="0" w:firstRowFirstColumn="0" w:firstRowLastColumn="0" w:lastRowFirstColumn="0" w:lastRowLastColumn="0"/>
            </w:pPr>
          </w:p>
          <w:p w14:paraId="5DC43EB3" w14:textId="77777777" w:rsidR="0041716D" w:rsidRDefault="0041716D">
            <w:pPr>
              <w:cnfStyle w:val="000000000000" w:firstRow="0" w:lastRow="0" w:firstColumn="0" w:lastColumn="0" w:oddVBand="0" w:evenVBand="0" w:oddHBand="0" w:evenHBand="0" w:firstRowFirstColumn="0" w:firstRowLastColumn="0" w:lastRowFirstColumn="0" w:lastRowLastColumn="0"/>
            </w:pPr>
          </w:p>
          <w:p w14:paraId="09198C1E" w14:textId="70CFD563" w:rsidR="0041716D" w:rsidRDefault="0041716D">
            <w:pPr>
              <w:cnfStyle w:val="000000000000" w:firstRow="0" w:lastRow="0" w:firstColumn="0" w:lastColumn="0" w:oddVBand="0" w:evenVBand="0" w:oddHBand="0" w:evenHBand="0" w:firstRowFirstColumn="0" w:firstRowLastColumn="0" w:lastRowFirstColumn="0" w:lastRowLastColumn="0"/>
            </w:pPr>
          </w:p>
        </w:tc>
        <w:tc>
          <w:tcPr>
            <w:tcW w:w="1186" w:type="pct"/>
          </w:tcPr>
          <w:p w14:paraId="3FA98EEC" w14:textId="52A041F2" w:rsidR="001F085C" w:rsidRDefault="00BA117D" w:rsidP="007C62C7">
            <w:pPr>
              <w:spacing w:after="120"/>
              <w:cnfStyle w:val="000000000000" w:firstRow="0" w:lastRow="0" w:firstColumn="0" w:lastColumn="0" w:oddVBand="0" w:evenVBand="0" w:oddHBand="0" w:evenHBand="0" w:firstRowFirstColumn="0" w:firstRowLastColumn="0" w:lastRowFirstColumn="0" w:lastRowLastColumn="0"/>
            </w:pPr>
            <w:r>
              <w:t xml:space="preserve">DFAT and AFP </w:t>
            </w:r>
            <w:r w:rsidR="004C5C86">
              <w:t xml:space="preserve">will </w:t>
            </w:r>
            <w:r w:rsidR="00601610">
              <w:t xml:space="preserve">explore opportunities to align </w:t>
            </w:r>
            <w:r w:rsidR="004C5C86">
              <w:t xml:space="preserve">reporting requirements and </w:t>
            </w:r>
            <w:r w:rsidR="00E957CC">
              <w:t xml:space="preserve">communicate </w:t>
            </w:r>
            <w:r w:rsidR="00000DB6">
              <w:t xml:space="preserve">to VAPJP. </w:t>
            </w:r>
          </w:p>
          <w:p w14:paraId="277E9C76" w14:textId="10E3E2D1" w:rsidR="001660CC" w:rsidRDefault="00C85626" w:rsidP="007C62C7">
            <w:pPr>
              <w:spacing w:after="120"/>
              <w:cnfStyle w:val="000000000000" w:firstRow="0" w:lastRow="0" w:firstColumn="0" w:lastColumn="0" w:oddVBand="0" w:evenVBand="0" w:oddHBand="0" w:evenHBand="0" w:firstRowFirstColumn="0" w:firstRowLastColumn="0" w:lastRowFirstColumn="0" w:lastRowLastColumn="0"/>
            </w:pPr>
            <w:r>
              <w:t xml:space="preserve">DFAT, AFP and VAPJP will </w:t>
            </w:r>
            <w:r w:rsidR="009320FB">
              <w:t>agree to pract</w:t>
            </w:r>
            <w:r w:rsidR="00455A33">
              <w:t xml:space="preserve">icable </w:t>
            </w:r>
            <w:r>
              <w:t xml:space="preserve">reporting </w:t>
            </w:r>
            <w:r w:rsidR="00F051CD">
              <w:t xml:space="preserve">requirements </w:t>
            </w:r>
            <w:r>
              <w:t>for</w:t>
            </w:r>
            <w:r w:rsidR="005E3E75">
              <w:t xml:space="preserve"> remaining program reports (including </w:t>
            </w:r>
            <w:r w:rsidR="003E3141">
              <w:t xml:space="preserve">consideration of a PowerPoint rather than written </w:t>
            </w:r>
            <w:r w:rsidR="005E3E75">
              <w:t>s</w:t>
            </w:r>
            <w:r>
              <w:t>ix</w:t>
            </w:r>
            <w:r w:rsidR="005E3E75">
              <w:t>-m</w:t>
            </w:r>
            <w:r>
              <w:t>onthly Progress Report</w:t>
            </w:r>
            <w:r w:rsidR="003E3141">
              <w:t>, see also Recommendation 14</w:t>
            </w:r>
            <w:r w:rsidR="005E3E75">
              <w:t>)</w:t>
            </w:r>
            <w:r w:rsidR="00F051CD">
              <w:t>.</w:t>
            </w:r>
          </w:p>
          <w:p w14:paraId="342110EC" w14:textId="3036CF97" w:rsidR="002D4F0D" w:rsidRDefault="00A25ED9">
            <w:pPr>
              <w:cnfStyle w:val="000000000000" w:firstRow="0" w:lastRow="0" w:firstColumn="0" w:lastColumn="0" w:oddVBand="0" w:evenVBand="0" w:oddHBand="0" w:evenHBand="0" w:firstRowFirstColumn="0" w:firstRowLastColumn="0" w:lastRowFirstColumn="0" w:lastRowLastColumn="0"/>
            </w:pPr>
            <w:r>
              <w:t>DFAT will ensure the</w:t>
            </w:r>
            <w:r w:rsidR="001660CC">
              <w:t xml:space="preserve"> design </w:t>
            </w:r>
            <w:r>
              <w:t xml:space="preserve">for Phase </w:t>
            </w:r>
            <w:r w:rsidR="00A258AE">
              <w:t>3</w:t>
            </w:r>
            <w:r>
              <w:t xml:space="preserve"> </w:t>
            </w:r>
            <w:r w:rsidR="00221292" w:rsidRPr="00221292">
              <w:t xml:space="preserve">has a clear Theory of Change, and </w:t>
            </w:r>
            <w:r w:rsidR="00221292">
              <w:t xml:space="preserve">a </w:t>
            </w:r>
            <w:r w:rsidR="00511499">
              <w:t>ME</w:t>
            </w:r>
            <w:r w:rsidR="00586567">
              <w:t>L Plan</w:t>
            </w:r>
            <w:r w:rsidR="00511499">
              <w:t xml:space="preserve"> </w:t>
            </w:r>
            <w:r w:rsidR="00B37D91">
              <w:t xml:space="preserve">that </w:t>
            </w:r>
            <w:r w:rsidR="00B37D91" w:rsidRPr="00A25ED9">
              <w:t xml:space="preserve">supports </w:t>
            </w:r>
            <w:r w:rsidR="00A82888">
              <w:t>targeted</w:t>
            </w:r>
            <w:r w:rsidR="007A11C1">
              <w:t xml:space="preserve">, fit-for-purpose </w:t>
            </w:r>
            <w:r w:rsidR="009010F6">
              <w:t>reporting</w:t>
            </w:r>
            <w:r w:rsidR="007A11C1">
              <w:t xml:space="preserve"> with </w:t>
            </w:r>
            <w:r w:rsidR="00A73BF5">
              <w:t>clear templates and guidance</w:t>
            </w:r>
            <w:r w:rsidR="00B37D91" w:rsidRPr="00A25ED9">
              <w:t>.</w:t>
            </w:r>
          </w:p>
        </w:tc>
        <w:tc>
          <w:tcPr>
            <w:tcW w:w="449" w:type="pct"/>
          </w:tcPr>
          <w:p w14:paraId="73930626" w14:textId="58818D3D" w:rsidR="00AE2C7B" w:rsidRDefault="00280C60">
            <w:pPr>
              <w:cnfStyle w:val="000000000000" w:firstRow="0" w:lastRow="0" w:firstColumn="0" w:lastColumn="0" w:oddVBand="0" w:evenVBand="0" w:oddHBand="0" w:evenHBand="0" w:firstRowFirstColumn="0" w:firstRowLastColumn="0" w:lastRowFirstColumn="0" w:lastRowLastColumn="0"/>
            </w:pPr>
            <w:r>
              <w:t>Q3 – Q4 2024</w:t>
            </w:r>
          </w:p>
        </w:tc>
      </w:tr>
      <w:tr w:rsidR="00905545" w14:paraId="5475D07A"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77502A71" w14:textId="4DFC132C" w:rsidR="00AE2C7B" w:rsidRDefault="00382E46">
            <w:r>
              <w:lastRenderedPageBreak/>
              <w:t>7</w:t>
            </w:r>
          </w:p>
        </w:tc>
        <w:tc>
          <w:tcPr>
            <w:tcW w:w="1286" w:type="pct"/>
          </w:tcPr>
          <w:p w14:paraId="5979257D" w14:textId="763CC1D5" w:rsidR="00AE2C7B" w:rsidRPr="00D50FF7" w:rsidRDefault="003D2D15">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VAPJP, DFAT and AFP should support the transition to the new PC-P, with a view to maintaining and enhancing systems and processes for collaboration and joint outcomes across the Justice and Policing sector through strong communications, and recognition of shared goals and mutual accountability. Consideration could be given to engaging a Partnership Broker to assist with establishing this relationship from the outset.</w:t>
            </w:r>
          </w:p>
        </w:tc>
        <w:tc>
          <w:tcPr>
            <w:tcW w:w="390" w:type="pct"/>
          </w:tcPr>
          <w:p w14:paraId="17A010BE" w14:textId="7D144C47" w:rsidR="00AE2C7B" w:rsidRDefault="00FA566C">
            <w:pPr>
              <w:cnfStyle w:val="000000100000" w:firstRow="0" w:lastRow="0" w:firstColumn="0" w:lastColumn="0" w:oddVBand="0" w:evenVBand="0" w:oddHBand="1" w:evenHBand="0" w:firstRowFirstColumn="0" w:firstRowLastColumn="0" w:lastRowFirstColumn="0" w:lastRowLastColumn="0"/>
            </w:pPr>
            <w:r>
              <w:t>Partially a</w:t>
            </w:r>
            <w:r w:rsidR="003930F1">
              <w:t>gree</w:t>
            </w:r>
          </w:p>
        </w:tc>
        <w:tc>
          <w:tcPr>
            <w:tcW w:w="1396" w:type="pct"/>
          </w:tcPr>
          <w:p w14:paraId="18AE3AEA" w14:textId="378E1C9E" w:rsidR="007A4A60" w:rsidRDefault="00FE1B9F" w:rsidP="00904433">
            <w:pPr>
              <w:spacing w:after="120"/>
              <w:cnfStyle w:val="000000100000" w:firstRow="0" w:lastRow="0" w:firstColumn="0" w:lastColumn="0" w:oddVBand="0" w:evenVBand="0" w:oddHBand="1" w:evenHBand="0" w:firstRowFirstColumn="0" w:firstRowLastColumn="0" w:lastRowFirstColumn="0" w:lastRowLastColumn="0"/>
            </w:pPr>
            <w:r>
              <w:t>The MTR found</w:t>
            </w:r>
            <w:r w:rsidR="00E0004A">
              <w:t xml:space="preserve"> that much of the success of the policing side of the program was attributed to the </w:t>
            </w:r>
            <w:r w:rsidR="008F4A66">
              <w:t>AFP Program Coordinator – Policing</w:t>
            </w:r>
            <w:r w:rsidR="0052671A">
              <w:t xml:space="preserve"> who </w:t>
            </w:r>
            <w:r w:rsidR="003F68DD">
              <w:t>completed their</w:t>
            </w:r>
            <w:r w:rsidR="0052671A">
              <w:t xml:space="preserve"> posting in January 2024. </w:t>
            </w:r>
            <w:r w:rsidR="00C33868">
              <w:t xml:space="preserve">It was also found that the relationships between the PC-P, </w:t>
            </w:r>
            <w:r w:rsidR="00040EE9">
              <w:t xml:space="preserve">PC-J, </w:t>
            </w:r>
            <w:r w:rsidR="00C33868">
              <w:t>DFAT and the managing contractor had supported strong delivery</w:t>
            </w:r>
            <w:r w:rsidR="00051547">
              <w:t>.</w:t>
            </w:r>
            <w:r w:rsidR="00B607D2">
              <w:t xml:space="preserve"> </w:t>
            </w:r>
            <w:r w:rsidR="00585DF8">
              <w:t>A new PC-P</w:t>
            </w:r>
            <w:r w:rsidR="002E0956">
              <w:t xml:space="preserve"> commenced in late January 2024</w:t>
            </w:r>
            <w:r w:rsidR="007A187B">
              <w:t xml:space="preserve"> and the transition so far has been smooth with a strong focus on partnership and collaboration.</w:t>
            </w:r>
            <w:r w:rsidR="001350DA">
              <w:t xml:space="preserve"> </w:t>
            </w:r>
          </w:p>
          <w:p w14:paraId="72AF04D0" w14:textId="5D18C708" w:rsidR="00585DF8" w:rsidRDefault="00A059CB">
            <w:pPr>
              <w:cnfStyle w:val="000000100000" w:firstRow="0" w:lastRow="0" w:firstColumn="0" w:lastColumn="0" w:oddVBand="0" w:evenVBand="0" w:oddHBand="1" w:evenHBand="0" w:firstRowFirstColumn="0" w:firstRowLastColumn="0" w:lastRowFirstColumn="0" w:lastRowLastColumn="0"/>
            </w:pPr>
            <w:r>
              <w:t xml:space="preserve">The PC-P/ PC-J/DFAT relationships are strong and effective; </w:t>
            </w:r>
            <w:r w:rsidR="005F0407">
              <w:t>DFAT</w:t>
            </w:r>
            <w:r w:rsidR="00A16938">
              <w:t xml:space="preserve"> and AFP’s</w:t>
            </w:r>
            <w:r w:rsidR="00184259">
              <w:t xml:space="preserve"> view is that </w:t>
            </w:r>
            <w:r w:rsidR="001350DA">
              <w:t xml:space="preserve">a Partnership Broker </w:t>
            </w:r>
            <w:r w:rsidR="00B16193">
              <w:t>is not required</w:t>
            </w:r>
            <w:r>
              <w:t>.</w:t>
            </w:r>
            <w:r w:rsidR="000A18BC">
              <w:t xml:space="preserve"> </w:t>
            </w:r>
          </w:p>
        </w:tc>
        <w:tc>
          <w:tcPr>
            <w:tcW w:w="1186" w:type="pct"/>
          </w:tcPr>
          <w:p w14:paraId="31031EE0" w14:textId="0CBB146F" w:rsidR="00BD25FE" w:rsidRDefault="002E0956" w:rsidP="007C62C7">
            <w:pPr>
              <w:spacing w:after="120"/>
              <w:cnfStyle w:val="000000100000" w:firstRow="0" w:lastRow="0" w:firstColumn="0" w:lastColumn="0" w:oddVBand="0" w:evenVBand="0" w:oddHBand="1" w:evenHBand="0" w:firstRowFirstColumn="0" w:firstRowLastColumn="0" w:lastRowFirstColumn="0" w:lastRowLastColumn="0"/>
            </w:pPr>
            <w:r>
              <w:t xml:space="preserve">DFAT, AFP and VAPJP </w:t>
            </w:r>
            <w:r w:rsidR="00F628A4">
              <w:t xml:space="preserve">have </w:t>
            </w:r>
            <w:r>
              <w:t>recognise</w:t>
            </w:r>
            <w:r w:rsidR="00F628A4">
              <w:t>d</w:t>
            </w:r>
            <w:r>
              <w:t xml:space="preserve"> the importance of </w:t>
            </w:r>
            <w:r w:rsidR="00BD25FE">
              <w:t xml:space="preserve">the PC-P position and </w:t>
            </w:r>
            <w:r w:rsidR="00EE0107">
              <w:t xml:space="preserve">prioritised </w:t>
            </w:r>
            <w:r w:rsidR="00BD25FE">
              <w:t xml:space="preserve">a quick transition </w:t>
            </w:r>
            <w:r w:rsidR="00EE0107">
              <w:t>to the new PC-P</w:t>
            </w:r>
            <w:r w:rsidR="001C2C4C">
              <w:t xml:space="preserve"> with strong support and engagement with GoV</w:t>
            </w:r>
            <w:r w:rsidR="00CE1553">
              <w:t xml:space="preserve">. </w:t>
            </w:r>
          </w:p>
          <w:p w14:paraId="3F589DD1" w14:textId="7B6D3514" w:rsidR="006F1287" w:rsidRDefault="00366367">
            <w:pPr>
              <w:cnfStyle w:val="000000100000" w:firstRow="0" w:lastRow="0" w:firstColumn="0" w:lastColumn="0" w:oddVBand="0" w:evenVBand="0" w:oddHBand="1" w:evenHBand="0" w:firstRowFirstColumn="0" w:firstRowLastColumn="0" w:lastRowFirstColumn="0" w:lastRowLastColumn="0"/>
            </w:pPr>
            <w:r>
              <w:t xml:space="preserve">DFAT and VAPJP </w:t>
            </w:r>
            <w:r w:rsidR="006F1287">
              <w:t xml:space="preserve">will </w:t>
            </w:r>
            <w:r>
              <w:t xml:space="preserve">review operational systems, resourcing and </w:t>
            </w:r>
            <w:r w:rsidR="00B736A8">
              <w:t xml:space="preserve">reporting alignment through the Phase </w:t>
            </w:r>
            <w:r w:rsidR="00A258AE">
              <w:t>3</w:t>
            </w:r>
            <w:r>
              <w:t xml:space="preserve"> </w:t>
            </w:r>
            <w:r w:rsidR="006F1287">
              <w:t xml:space="preserve">design </w:t>
            </w:r>
            <w:r w:rsidR="00B736A8">
              <w:t>process,</w:t>
            </w:r>
            <w:r w:rsidR="006F1287">
              <w:t xml:space="preserve"> </w:t>
            </w:r>
            <w:r w:rsidR="00B736A8">
              <w:t xml:space="preserve">identifying </w:t>
            </w:r>
            <w:r w:rsidR="006F1287">
              <w:t xml:space="preserve">improvements and efficiencies where possible. </w:t>
            </w:r>
          </w:p>
        </w:tc>
        <w:tc>
          <w:tcPr>
            <w:tcW w:w="449" w:type="pct"/>
          </w:tcPr>
          <w:p w14:paraId="45AB3750" w14:textId="2C76045E" w:rsidR="00AE2C7B" w:rsidRDefault="006E50CD">
            <w:pPr>
              <w:cnfStyle w:val="000000100000" w:firstRow="0" w:lastRow="0" w:firstColumn="0" w:lastColumn="0" w:oddVBand="0" w:evenVBand="0" w:oddHBand="1" w:evenHBand="0" w:firstRowFirstColumn="0" w:firstRowLastColumn="0" w:lastRowFirstColumn="0" w:lastRowLastColumn="0"/>
            </w:pPr>
            <w:r>
              <w:t xml:space="preserve">Q2 </w:t>
            </w:r>
            <w:r w:rsidR="007B4E53">
              <w:t xml:space="preserve">– Q4 </w:t>
            </w:r>
            <w:r w:rsidR="00FC34F6">
              <w:t>2024</w:t>
            </w:r>
          </w:p>
        </w:tc>
      </w:tr>
      <w:tr w:rsidR="00905545" w14:paraId="76A33537"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078772BC" w14:textId="1AA04507" w:rsidR="00382E46" w:rsidRDefault="00382E46">
            <w:r>
              <w:t>8</w:t>
            </w:r>
          </w:p>
        </w:tc>
        <w:tc>
          <w:tcPr>
            <w:tcW w:w="1286" w:type="pct"/>
          </w:tcPr>
          <w:p w14:paraId="724946FF" w14:textId="0F89046B" w:rsidR="00382E46" w:rsidRPr="00D50FF7" w:rsidRDefault="00E76E92">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Management</w:t>
            </w:r>
            <w:r w:rsidR="00406AB2">
              <w:rPr>
                <w:rFonts w:cstheme="minorHAnsi"/>
                <w:kern w:val="0"/>
              </w:rPr>
              <w:t xml:space="preserve"> and</w:t>
            </w:r>
            <w:r w:rsidRPr="00D50FF7">
              <w:rPr>
                <w:rFonts w:cstheme="minorHAnsi"/>
                <w:kern w:val="0"/>
              </w:rPr>
              <w:t xml:space="preserve"> advisers from the justice stream of VAPJP should work collaboratively, to build a positive workplace environment that facilitates understanding and recognition of advisers’ contributions and challenges, and where possible increases connections between agencies.</w:t>
            </w:r>
          </w:p>
        </w:tc>
        <w:tc>
          <w:tcPr>
            <w:tcW w:w="390" w:type="pct"/>
          </w:tcPr>
          <w:p w14:paraId="0035A764" w14:textId="7B101586" w:rsidR="00382E46" w:rsidRDefault="00B30409">
            <w:pPr>
              <w:cnfStyle w:val="000000000000" w:firstRow="0" w:lastRow="0" w:firstColumn="0" w:lastColumn="0" w:oddVBand="0" w:evenVBand="0" w:oddHBand="0" w:evenHBand="0" w:firstRowFirstColumn="0" w:firstRowLastColumn="0" w:lastRowFirstColumn="0" w:lastRowLastColumn="0"/>
            </w:pPr>
            <w:r>
              <w:t>Agree</w:t>
            </w:r>
          </w:p>
        </w:tc>
        <w:tc>
          <w:tcPr>
            <w:tcW w:w="1396" w:type="pct"/>
          </w:tcPr>
          <w:p w14:paraId="14A0AC3D" w14:textId="18ED3671" w:rsidR="001E478F" w:rsidRDefault="00B41679">
            <w:pPr>
              <w:cnfStyle w:val="000000000000" w:firstRow="0" w:lastRow="0" w:firstColumn="0" w:lastColumn="0" w:oddVBand="0" w:evenVBand="0" w:oddHBand="0" w:evenHBand="0" w:firstRowFirstColumn="0" w:firstRowLastColumn="0" w:lastRowFirstColumn="0" w:lastRowLastColumn="0"/>
            </w:pPr>
            <w:r>
              <w:t xml:space="preserve">DFAT agrees that </w:t>
            </w:r>
            <w:r w:rsidR="00330473">
              <w:t xml:space="preserve">the </w:t>
            </w:r>
            <w:r w:rsidR="007A7760">
              <w:t xml:space="preserve">behaviours and principles outlined </w:t>
            </w:r>
            <w:r w:rsidR="00330473">
              <w:t xml:space="preserve">in this </w:t>
            </w:r>
            <w:r w:rsidR="00837B88">
              <w:t>R</w:t>
            </w:r>
            <w:r w:rsidR="00330473">
              <w:t xml:space="preserve">ecommendation </w:t>
            </w:r>
            <w:r w:rsidR="001E0327">
              <w:t>should be integrated into the role</w:t>
            </w:r>
            <w:r w:rsidR="00B920BE">
              <w:t xml:space="preserve"> requirements and expectations</w:t>
            </w:r>
            <w:r w:rsidR="001E0327">
              <w:t xml:space="preserve"> of </w:t>
            </w:r>
            <w:r>
              <w:t>ad</w:t>
            </w:r>
            <w:r w:rsidR="001E478F">
              <w:t>visers</w:t>
            </w:r>
            <w:r w:rsidR="00774220">
              <w:t xml:space="preserve"> </w:t>
            </w:r>
            <w:r w:rsidR="00A617F4">
              <w:t xml:space="preserve">and the </w:t>
            </w:r>
            <w:r w:rsidR="00F24794">
              <w:t xml:space="preserve">duty-of-care </w:t>
            </w:r>
            <w:r w:rsidR="00BE5284">
              <w:t xml:space="preserve">responsibilities </w:t>
            </w:r>
            <w:r w:rsidR="00F24794">
              <w:t>of Man</w:t>
            </w:r>
            <w:r w:rsidR="00BE5284">
              <w:t>a</w:t>
            </w:r>
            <w:r w:rsidR="00F24794">
              <w:t>gers</w:t>
            </w:r>
            <w:r w:rsidR="00330473">
              <w:t>.</w:t>
            </w:r>
            <w:r w:rsidR="001E478F">
              <w:t xml:space="preserve"> </w:t>
            </w:r>
          </w:p>
          <w:p w14:paraId="01DD85F2" w14:textId="77777777" w:rsidR="001E478F" w:rsidRDefault="001E478F">
            <w:pPr>
              <w:cnfStyle w:val="000000000000" w:firstRow="0" w:lastRow="0" w:firstColumn="0" w:lastColumn="0" w:oddVBand="0" w:evenVBand="0" w:oddHBand="0" w:evenHBand="0" w:firstRowFirstColumn="0" w:firstRowLastColumn="0" w:lastRowFirstColumn="0" w:lastRowLastColumn="0"/>
            </w:pPr>
          </w:p>
          <w:p w14:paraId="25635975" w14:textId="2F75F7F7" w:rsidR="00382E46" w:rsidRDefault="00382E46">
            <w:pPr>
              <w:cnfStyle w:val="000000000000" w:firstRow="0" w:lastRow="0" w:firstColumn="0" w:lastColumn="0" w:oddVBand="0" w:evenVBand="0" w:oddHBand="0" w:evenHBand="0" w:firstRowFirstColumn="0" w:firstRowLastColumn="0" w:lastRowFirstColumn="0" w:lastRowLastColumn="0"/>
            </w:pPr>
          </w:p>
        </w:tc>
        <w:tc>
          <w:tcPr>
            <w:tcW w:w="1186" w:type="pct"/>
          </w:tcPr>
          <w:p w14:paraId="3063BBA8" w14:textId="725C070F" w:rsidR="001D6436" w:rsidRDefault="001D6436" w:rsidP="00904433">
            <w:pPr>
              <w:spacing w:after="120"/>
              <w:cnfStyle w:val="000000000000" w:firstRow="0" w:lastRow="0" w:firstColumn="0" w:lastColumn="0" w:oddVBand="0" w:evenVBand="0" w:oddHBand="0" w:evenHBand="0" w:firstRowFirstColumn="0" w:firstRowLastColumn="0" w:lastRowFirstColumn="0" w:lastRowLastColumn="0"/>
            </w:pPr>
            <w:r>
              <w:t xml:space="preserve">Deputised management support was put in place in Q3 2023 to add daily oversight and support to Justice </w:t>
            </w:r>
            <w:r w:rsidR="00C52467" w:rsidRPr="00C52467">
              <w:t>Technical Advisers (two agency based and one cross sector).</w:t>
            </w:r>
          </w:p>
          <w:p w14:paraId="6F6BA4D6" w14:textId="634FBA82" w:rsidR="00516FD2" w:rsidRDefault="00C84E34" w:rsidP="00955FDB">
            <w:pPr>
              <w:cnfStyle w:val="000000000000" w:firstRow="0" w:lastRow="0" w:firstColumn="0" w:lastColumn="0" w:oddVBand="0" w:evenVBand="0" w:oddHBand="0" w:evenHBand="0" w:firstRowFirstColumn="0" w:firstRowLastColumn="0" w:lastRowFirstColumn="0" w:lastRowLastColumn="0"/>
            </w:pPr>
            <w:r>
              <w:t>DFAT</w:t>
            </w:r>
            <w:r w:rsidR="00BE573C">
              <w:t xml:space="preserve">, AFP and </w:t>
            </w:r>
            <w:r w:rsidR="005C7BC7">
              <w:t xml:space="preserve">VAPJP </w:t>
            </w:r>
            <w:r w:rsidR="001F61EA">
              <w:t xml:space="preserve">will work together to </w:t>
            </w:r>
            <w:r w:rsidR="00A8519F">
              <w:t xml:space="preserve">strengthen </w:t>
            </w:r>
            <w:r>
              <w:t xml:space="preserve">communication </w:t>
            </w:r>
            <w:r w:rsidR="001D6436">
              <w:t xml:space="preserve">within and </w:t>
            </w:r>
            <w:r>
              <w:t xml:space="preserve">between </w:t>
            </w:r>
            <w:r w:rsidR="00EC7DD8">
              <w:t>agencies</w:t>
            </w:r>
            <w:r w:rsidR="00C52467">
              <w:t xml:space="preserve"> and enhance connections</w:t>
            </w:r>
            <w:r w:rsidR="00F4771C">
              <w:t>.</w:t>
            </w:r>
          </w:p>
        </w:tc>
        <w:tc>
          <w:tcPr>
            <w:tcW w:w="449" w:type="pct"/>
          </w:tcPr>
          <w:p w14:paraId="78EB8DCA" w14:textId="3B892252" w:rsidR="00D73FBC" w:rsidRDefault="00D73FBC">
            <w:pPr>
              <w:cnfStyle w:val="000000000000" w:firstRow="0" w:lastRow="0" w:firstColumn="0" w:lastColumn="0" w:oddVBand="0" w:evenVBand="0" w:oddHBand="0" w:evenHBand="0" w:firstRowFirstColumn="0" w:firstRowLastColumn="0" w:lastRowFirstColumn="0" w:lastRowLastColumn="0"/>
            </w:pPr>
            <w:r>
              <w:t>2023</w:t>
            </w:r>
          </w:p>
          <w:p w14:paraId="0F9F8AF9" w14:textId="6E4BD2EE" w:rsidR="00382E46" w:rsidRDefault="00D73FBC">
            <w:pPr>
              <w:cnfStyle w:val="000000000000" w:firstRow="0" w:lastRow="0" w:firstColumn="0" w:lastColumn="0" w:oddVBand="0" w:evenVBand="0" w:oddHBand="0" w:evenHBand="0" w:firstRowFirstColumn="0" w:firstRowLastColumn="0" w:lastRowFirstColumn="0" w:lastRowLastColumn="0"/>
            </w:pPr>
            <w:r>
              <w:t>Q3 – Q4 2024</w:t>
            </w:r>
          </w:p>
        </w:tc>
      </w:tr>
      <w:tr w:rsidR="00905545" w14:paraId="32210220"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14723482" w14:textId="1184E5B4" w:rsidR="00382E46" w:rsidRDefault="00382E46">
            <w:r>
              <w:lastRenderedPageBreak/>
              <w:t>9</w:t>
            </w:r>
          </w:p>
        </w:tc>
        <w:tc>
          <w:tcPr>
            <w:tcW w:w="1286" w:type="pct"/>
          </w:tcPr>
          <w:p w14:paraId="7C5529B4" w14:textId="693F09C6" w:rsidR="00382E46" w:rsidRPr="00D50FF7" w:rsidRDefault="00E76E92">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DFAT and VAPJP should review budget allocations to ensure sufficient funding for community-facing activities to strengthen prevention and responsive services to violence against women and children, and people with disabilities that align with best practice and Do No Harm principles. This applies to both the FPU in the policing stream and the CA2J activities in the justice stream.</w:t>
            </w:r>
          </w:p>
        </w:tc>
        <w:tc>
          <w:tcPr>
            <w:tcW w:w="390" w:type="pct"/>
          </w:tcPr>
          <w:p w14:paraId="6A2DCD5B" w14:textId="400BEF7D" w:rsidR="00382E46" w:rsidRDefault="00ED1684">
            <w:pPr>
              <w:cnfStyle w:val="000000100000" w:firstRow="0" w:lastRow="0" w:firstColumn="0" w:lastColumn="0" w:oddVBand="0" w:evenVBand="0" w:oddHBand="1" w:evenHBand="0" w:firstRowFirstColumn="0" w:firstRowLastColumn="0" w:lastRowFirstColumn="0" w:lastRowLastColumn="0"/>
            </w:pPr>
            <w:r>
              <w:t xml:space="preserve">Partially </w:t>
            </w:r>
            <w:r w:rsidR="008D530E">
              <w:t>a</w:t>
            </w:r>
            <w:r>
              <w:t>gree</w:t>
            </w:r>
          </w:p>
        </w:tc>
        <w:tc>
          <w:tcPr>
            <w:tcW w:w="1396" w:type="pct"/>
          </w:tcPr>
          <w:p w14:paraId="1497820F" w14:textId="07AB8798" w:rsidR="00382E46" w:rsidRDefault="008739CB">
            <w:pPr>
              <w:cnfStyle w:val="000000100000" w:firstRow="0" w:lastRow="0" w:firstColumn="0" w:lastColumn="0" w:oddVBand="0" w:evenVBand="0" w:oddHBand="1" w:evenHBand="0" w:firstRowFirstColumn="0" w:firstRowLastColumn="0" w:lastRowFirstColumn="0" w:lastRowLastColumn="0"/>
            </w:pPr>
            <w:r>
              <w:t xml:space="preserve">The program </w:t>
            </w:r>
            <w:r w:rsidR="0021302D">
              <w:t>design include</w:t>
            </w:r>
            <w:r w:rsidR="00E5333F">
              <w:t>s</w:t>
            </w:r>
            <w:r w:rsidR="0021302D">
              <w:t xml:space="preserve"> a </w:t>
            </w:r>
            <w:r w:rsidR="0018375C">
              <w:t>community grants mechanism</w:t>
            </w:r>
            <w:r w:rsidR="0021302D">
              <w:t xml:space="preserve">. However, this </w:t>
            </w:r>
            <w:r w:rsidR="00E5333F">
              <w:t xml:space="preserve">mechanism </w:t>
            </w:r>
            <w:r w:rsidR="007936FD">
              <w:t xml:space="preserve">was deprioritised </w:t>
            </w:r>
            <w:r w:rsidR="00E5333F">
              <w:t xml:space="preserve">during implementation </w:t>
            </w:r>
            <w:r w:rsidR="007936FD">
              <w:t xml:space="preserve">in favour of </w:t>
            </w:r>
            <w:r w:rsidR="00E3120B">
              <w:t>other program mechanisms respond</w:t>
            </w:r>
            <w:r w:rsidR="00E5333F">
              <w:t>ing</w:t>
            </w:r>
            <w:r w:rsidR="00E3120B">
              <w:t xml:space="preserve"> to GoV </w:t>
            </w:r>
            <w:r w:rsidR="005A6C8E">
              <w:t xml:space="preserve">priorities. </w:t>
            </w:r>
          </w:p>
          <w:p w14:paraId="2D67BB87" w14:textId="77777777" w:rsidR="005A6C8E" w:rsidRDefault="005A6C8E">
            <w:pPr>
              <w:cnfStyle w:val="000000100000" w:firstRow="0" w:lastRow="0" w:firstColumn="0" w:lastColumn="0" w:oddVBand="0" w:evenVBand="0" w:oddHBand="1" w:evenHBand="0" w:firstRowFirstColumn="0" w:firstRowLastColumn="0" w:lastRowFirstColumn="0" w:lastRowLastColumn="0"/>
            </w:pPr>
          </w:p>
          <w:p w14:paraId="7A2C1CB5" w14:textId="37B4C96C" w:rsidR="007C27C0" w:rsidRDefault="007C27C0" w:rsidP="0072009D">
            <w:pPr>
              <w:cnfStyle w:val="000000100000" w:firstRow="0" w:lastRow="0" w:firstColumn="0" w:lastColumn="0" w:oddVBand="0" w:evenVBand="0" w:oddHBand="1" w:evenHBand="0" w:firstRowFirstColumn="0" w:firstRowLastColumn="0" w:lastRowFirstColumn="0" w:lastRowLastColumn="0"/>
            </w:pPr>
          </w:p>
        </w:tc>
        <w:tc>
          <w:tcPr>
            <w:tcW w:w="1186" w:type="pct"/>
          </w:tcPr>
          <w:p w14:paraId="0956473D" w14:textId="61E7A183" w:rsidR="00382E46" w:rsidRDefault="005A6C8E">
            <w:pPr>
              <w:cnfStyle w:val="000000100000" w:firstRow="0" w:lastRow="0" w:firstColumn="0" w:lastColumn="0" w:oddVBand="0" w:evenVBand="0" w:oddHBand="1" w:evenHBand="0" w:firstRowFirstColumn="0" w:firstRowLastColumn="0" w:lastRowFirstColumn="0" w:lastRowLastColumn="0"/>
            </w:pPr>
            <w:r>
              <w:t xml:space="preserve">DFAT will </w:t>
            </w:r>
            <w:r w:rsidR="000A37C3">
              <w:t xml:space="preserve">ensure the design of Phase </w:t>
            </w:r>
            <w:r w:rsidR="00A258AE">
              <w:t>3</w:t>
            </w:r>
            <w:r w:rsidR="000A37C3">
              <w:t xml:space="preserve"> </w:t>
            </w:r>
            <w:r>
              <w:t>consider</w:t>
            </w:r>
            <w:r w:rsidR="000A37C3">
              <w:t>s</w:t>
            </w:r>
            <w:r>
              <w:t xml:space="preserve"> the </w:t>
            </w:r>
            <w:r w:rsidR="00BD5E0D">
              <w:t>shape, scope and size of the community-facing component of the program</w:t>
            </w:r>
            <w:r w:rsidR="00837B88">
              <w:t xml:space="preserve"> aligned to the priorities of GoV</w:t>
            </w:r>
            <w:r w:rsidR="007C27C0">
              <w:t>.</w:t>
            </w:r>
            <w:r w:rsidR="00BD5E0D">
              <w:t xml:space="preserve"> </w:t>
            </w:r>
          </w:p>
        </w:tc>
        <w:tc>
          <w:tcPr>
            <w:tcW w:w="449" w:type="pct"/>
          </w:tcPr>
          <w:p w14:paraId="4DF7AFD3" w14:textId="19883111" w:rsidR="00382E46" w:rsidRDefault="00D73FBC">
            <w:pPr>
              <w:cnfStyle w:val="000000100000" w:firstRow="0" w:lastRow="0" w:firstColumn="0" w:lastColumn="0" w:oddVBand="0" w:evenVBand="0" w:oddHBand="1" w:evenHBand="0" w:firstRowFirstColumn="0" w:firstRowLastColumn="0" w:lastRowFirstColumn="0" w:lastRowLastColumn="0"/>
            </w:pPr>
            <w:r>
              <w:t>Q3 – Q4 2024</w:t>
            </w:r>
          </w:p>
        </w:tc>
      </w:tr>
      <w:tr w:rsidR="00905545" w14:paraId="2EFF7E62"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6F8A915A" w14:textId="151284A0" w:rsidR="00382E46" w:rsidRDefault="00382E46">
            <w:r>
              <w:t>10</w:t>
            </w:r>
          </w:p>
        </w:tc>
        <w:tc>
          <w:tcPr>
            <w:tcW w:w="1286" w:type="pct"/>
          </w:tcPr>
          <w:p w14:paraId="31F719F0" w14:textId="4936FB63" w:rsidR="00382E46" w:rsidRPr="00D50FF7" w:rsidRDefault="00E76E92">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VAPJP and the managing contractor, in close collaboration with the AFP, should increase efficiency by updating logistics and procurement procedures, and improving resourcing for administrative and reporting support for AFP advisers, that currently take time of technical specialists away from delivering expert support and services. Delegations of authority can be reviewed in the new design.</w:t>
            </w:r>
          </w:p>
        </w:tc>
        <w:tc>
          <w:tcPr>
            <w:tcW w:w="390" w:type="pct"/>
          </w:tcPr>
          <w:p w14:paraId="6FAAE9EC" w14:textId="6F18980A" w:rsidR="00382E46" w:rsidRDefault="00ED1684">
            <w:pPr>
              <w:cnfStyle w:val="000000000000" w:firstRow="0" w:lastRow="0" w:firstColumn="0" w:lastColumn="0" w:oddVBand="0" w:evenVBand="0" w:oddHBand="0" w:evenHBand="0" w:firstRowFirstColumn="0" w:firstRowLastColumn="0" w:lastRowFirstColumn="0" w:lastRowLastColumn="0"/>
            </w:pPr>
            <w:r>
              <w:t>Agree</w:t>
            </w:r>
          </w:p>
        </w:tc>
        <w:tc>
          <w:tcPr>
            <w:tcW w:w="1396" w:type="pct"/>
          </w:tcPr>
          <w:p w14:paraId="6E672DB7" w14:textId="37BB80F9" w:rsidR="00511B63" w:rsidRDefault="00080B7A" w:rsidP="00904433">
            <w:pPr>
              <w:spacing w:after="120"/>
              <w:cnfStyle w:val="000000000000" w:firstRow="0" w:lastRow="0" w:firstColumn="0" w:lastColumn="0" w:oddVBand="0" w:evenVBand="0" w:oddHBand="0" w:evenHBand="0" w:firstRowFirstColumn="0" w:firstRowLastColumn="0" w:lastRowFirstColumn="0" w:lastRowLastColumn="0"/>
            </w:pPr>
            <w:r>
              <w:t xml:space="preserve">The MTR </w:t>
            </w:r>
            <w:r w:rsidR="006960F8">
              <w:t>reported t</w:t>
            </w:r>
            <w:r>
              <w:t>hat policing advisers were spending considerable time on reporting, admin</w:t>
            </w:r>
            <w:r w:rsidR="00EB70BE">
              <w:t>istration</w:t>
            </w:r>
            <w:r>
              <w:t xml:space="preserve"> and logistics</w:t>
            </w:r>
            <w:r w:rsidR="0071784C">
              <w:t xml:space="preserve">, diminishing their capacity to perform their core function. </w:t>
            </w:r>
          </w:p>
          <w:p w14:paraId="0ADCE57E" w14:textId="7D29ABF2" w:rsidR="00382E46" w:rsidRDefault="00511B63">
            <w:pPr>
              <w:cnfStyle w:val="000000000000" w:firstRow="0" w:lastRow="0" w:firstColumn="0" w:lastColumn="0" w:oddVBand="0" w:evenVBand="0" w:oddHBand="0" w:evenHBand="0" w:firstRowFirstColumn="0" w:firstRowLastColumn="0" w:lastRowFirstColumn="0" w:lastRowLastColumn="0"/>
            </w:pPr>
            <w:r>
              <w:t xml:space="preserve">Currently </w:t>
            </w:r>
            <w:r w:rsidR="006A234D">
              <w:t>2.0 F</w:t>
            </w:r>
            <w:r>
              <w:t xml:space="preserve">TE LES are dedicated to </w:t>
            </w:r>
            <w:r w:rsidR="00951EB7">
              <w:t xml:space="preserve">finance and administration for </w:t>
            </w:r>
            <w:r>
              <w:t xml:space="preserve">policing with </w:t>
            </w:r>
            <w:r w:rsidR="00837B88">
              <w:t xml:space="preserve">3.0 </w:t>
            </w:r>
            <w:r w:rsidR="00951EB7">
              <w:t>cross-sector LES also supporting in ICT, infrastructure and logistics.</w:t>
            </w:r>
            <w:r w:rsidR="0071784C">
              <w:t xml:space="preserve"> </w:t>
            </w:r>
          </w:p>
        </w:tc>
        <w:tc>
          <w:tcPr>
            <w:tcW w:w="1186" w:type="pct"/>
          </w:tcPr>
          <w:p w14:paraId="575CD5D5" w14:textId="4D3BC834" w:rsidR="00382E46" w:rsidRDefault="00951EB7">
            <w:pPr>
              <w:cnfStyle w:val="000000000000" w:firstRow="0" w:lastRow="0" w:firstColumn="0" w:lastColumn="0" w:oddVBand="0" w:evenVBand="0" w:oddHBand="0" w:evenHBand="0" w:firstRowFirstColumn="0" w:firstRowLastColumn="0" w:lastRowFirstColumn="0" w:lastRowLastColumn="0"/>
            </w:pPr>
            <w:r>
              <w:t>DFAT and AFP will review</w:t>
            </w:r>
            <w:r w:rsidR="00406AB2">
              <w:t xml:space="preserve"> support</w:t>
            </w:r>
            <w:r>
              <w:t xml:space="preserve"> </w:t>
            </w:r>
            <w:r w:rsidR="00162A68">
              <w:t xml:space="preserve">requirements as part of the </w:t>
            </w:r>
            <w:r w:rsidR="00104527">
              <w:t xml:space="preserve">Phase </w:t>
            </w:r>
            <w:r w:rsidR="00A258AE">
              <w:t>3</w:t>
            </w:r>
            <w:r w:rsidR="00104527">
              <w:t xml:space="preserve"> </w:t>
            </w:r>
            <w:r w:rsidR="00162A68">
              <w:t>design</w:t>
            </w:r>
            <w:r w:rsidR="00D61DBA">
              <w:t xml:space="preserve">, including the feasibility of centralised </w:t>
            </w:r>
            <w:r w:rsidR="000B4CB8">
              <w:t xml:space="preserve">administrative support for both justice and policing advisers. </w:t>
            </w:r>
            <w:r w:rsidR="00162A68">
              <w:t xml:space="preserve"> </w:t>
            </w:r>
          </w:p>
        </w:tc>
        <w:tc>
          <w:tcPr>
            <w:tcW w:w="449" w:type="pct"/>
          </w:tcPr>
          <w:p w14:paraId="1F843C06" w14:textId="6FB894BF" w:rsidR="00382E46" w:rsidRDefault="00E362A2">
            <w:pPr>
              <w:cnfStyle w:val="000000000000" w:firstRow="0" w:lastRow="0" w:firstColumn="0" w:lastColumn="0" w:oddVBand="0" w:evenVBand="0" w:oddHBand="0" w:evenHBand="0" w:firstRowFirstColumn="0" w:firstRowLastColumn="0" w:lastRowFirstColumn="0" w:lastRowLastColumn="0"/>
            </w:pPr>
            <w:r>
              <w:t>Q3 – Q4 2024</w:t>
            </w:r>
          </w:p>
        </w:tc>
      </w:tr>
      <w:tr w:rsidR="00905545" w14:paraId="2E9852A3"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1186FD95" w14:textId="16B61871" w:rsidR="00382E46" w:rsidRDefault="00382E46">
            <w:r>
              <w:lastRenderedPageBreak/>
              <w:t>11</w:t>
            </w:r>
          </w:p>
        </w:tc>
        <w:tc>
          <w:tcPr>
            <w:tcW w:w="1286" w:type="pct"/>
          </w:tcPr>
          <w:p w14:paraId="02BB00DE" w14:textId="5AA40C0D" w:rsidR="00382E46" w:rsidRPr="00D50FF7" w:rsidRDefault="0037467B">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As infrastructure and provision of assets will remain a significant element of VAPJP, the program should continue to promote disability inclusion in designs, and planning for adequate utilisation, management and maintenance of assets and infrastructure developed.</w:t>
            </w:r>
          </w:p>
        </w:tc>
        <w:tc>
          <w:tcPr>
            <w:tcW w:w="390" w:type="pct"/>
          </w:tcPr>
          <w:p w14:paraId="5B1CFFEA" w14:textId="307E640A" w:rsidR="00382E46" w:rsidRDefault="00082066">
            <w:pPr>
              <w:cnfStyle w:val="000000100000" w:firstRow="0" w:lastRow="0" w:firstColumn="0" w:lastColumn="0" w:oddVBand="0" w:evenVBand="0" w:oddHBand="1" w:evenHBand="0" w:firstRowFirstColumn="0" w:firstRowLastColumn="0" w:lastRowFirstColumn="0" w:lastRowLastColumn="0"/>
            </w:pPr>
            <w:r>
              <w:t>Agree</w:t>
            </w:r>
          </w:p>
        </w:tc>
        <w:tc>
          <w:tcPr>
            <w:tcW w:w="1396" w:type="pct"/>
          </w:tcPr>
          <w:p w14:paraId="493E4D30" w14:textId="14C57B34" w:rsidR="005E43FE" w:rsidRDefault="005E43FE">
            <w:pPr>
              <w:cnfStyle w:val="000000100000" w:firstRow="0" w:lastRow="0" w:firstColumn="0" w:lastColumn="0" w:oddVBand="0" w:evenVBand="0" w:oddHBand="1" w:evenHBand="0" w:firstRowFirstColumn="0" w:firstRowLastColumn="0" w:lastRowFirstColumn="0" w:lastRowLastColumn="0"/>
            </w:pPr>
            <w:r>
              <w:t xml:space="preserve">DFAT </w:t>
            </w:r>
            <w:r w:rsidR="00563D77">
              <w:t xml:space="preserve">supports the </w:t>
            </w:r>
            <w:r w:rsidR="000C2097">
              <w:t>R</w:t>
            </w:r>
            <w:r w:rsidR="00563D77">
              <w:t>ecommendation</w:t>
            </w:r>
            <w:r w:rsidR="006001A7">
              <w:t xml:space="preserve"> and</w:t>
            </w:r>
            <w:r w:rsidR="00563D77">
              <w:t xml:space="preserve"> </w:t>
            </w:r>
            <w:r>
              <w:t>will con</w:t>
            </w:r>
            <w:r w:rsidR="00DC7196">
              <w:t xml:space="preserve">tinue to </w:t>
            </w:r>
            <w:r w:rsidR="00563D77">
              <w:t xml:space="preserve">explore opportunities to strengthen </w:t>
            </w:r>
            <w:r w:rsidR="00293226">
              <w:t xml:space="preserve">social and </w:t>
            </w:r>
            <w:r w:rsidR="00563D77">
              <w:t xml:space="preserve">disability inclusion in all program </w:t>
            </w:r>
            <w:r w:rsidR="006001A7">
              <w:t xml:space="preserve">implementation and future </w:t>
            </w:r>
            <w:r w:rsidR="00563D77">
              <w:t xml:space="preserve">design activities. </w:t>
            </w:r>
          </w:p>
          <w:p w14:paraId="332E51D8" w14:textId="77777777" w:rsidR="005E43FE" w:rsidRDefault="005E43FE">
            <w:pPr>
              <w:cnfStyle w:val="000000100000" w:firstRow="0" w:lastRow="0" w:firstColumn="0" w:lastColumn="0" w:oddVBand="0" w:evenVBand="0" w:oddHBand="1" w:evenHBand="0" w:firstRowFirstColumn="0" w:firstRowLastColumn="0" w:lastRowFirstColumn="0" w:lastRowLastColumn="0"/>
            </w:pPr>
          </w:p>
          <w:p w14:paraId="0292A7DA" w14:textId="105272F8" w:rsidR="007152AF" w:rsidRDefault="007152AF" w:rsidP="00293226">
            <w:pPr>
              <w:cnfStyle w:val="000000100000" w:firstRow="0" w:lastRow="0" w:firstColumn="0" w:lastColumn="0" w:oddVBand="0" w:evenVBand="0" w:oddHBand="1" w:evenHBand="0" w:firstRowFirstColumn="0" w:firstRowLastColumn="0" w:lastRowFirstColumn="0" w:lastRowLastColumn="0"/>
            </w:pPr>
          </w:p>
        </w:tc>
        <w:tc>
          <w:tcPr>
            <w:tcW w:w="1186" w:type="pct"/>
          </w:tcPr>
          <w:p w14:paraId="72CBF434" w14:textId="340260DF" w:rsidR="00293226" w:rsidRDefault="00293226" w:rsidP="00904433">
            <w:pPr>
              <w:spacing w:after="120"/>
              <w:cnfStyle w:val="000000100000" w:firstRow="0" w:lastRow="0" w:firstColumn="0" w:lastColumn="0" w:oddVBand="0" w:evenVBand="0" w:oddHBand="1" w:evenHBand="0" w:firstRowFirstColumn="0" w:firstRowLastColumn="0" w:lastRowFirstColumn="0" w:lastRowLastColumn="0"/>
            </w:pPr>
            <w:r>
              <w:t>VAPJP is currently fully compliant with DFAT’s disability accessibility standards for all VAPJP-supported new infrastructure</w:t>
            </w:r>
            <w:r w:rsidR="00CE1553">
              <w:t xml:space="preserve">. </w:t>
            </w:r>
          </w:p>
          <w:p w14:paraId="4F3E19A1" w14:textId="07F60B08" w:rsidR="00382E46" w:rsidRDefault="003F1015">
            <w:pPr>
              <w:cnfStyle w:val="000000100000" w:firstRow="0" w:lastRow="0" w:firstColumn="0" w:lastColumn="0" w:oddVBand="0" w:evenVBand="0" w:oddHBand="1" w:evenHBand="0" w:firstRowFirstColumn="0" w:firstRowLastColumn="0" w:lastRowFirstColumn="0" w:lastRowLastColumn="0"/>
            </w:pPr>
            <w:r>
              <w:t xml:space="preserve">VAPJP will support the </w:t>
            </w:r>
            <w:r w:rsidR="00A73685">
              <w:t>Vanuatu government’s policing and justice infrastructure working groups to ensure that they adequately con</w:t>
            </w:r>
            <w:r w:rsidR="00583020">
              <w:t xml:space="preserve">sult people with </w:t>
            </w:r>
            <w:r w:rsidR="009C312C">
              <w:t>disability</w:t>
            </w:r>
            <w:r w:rsidR="00A3420B">
              <w:t>, and other groups such as women and children as appropriate,</w:t>
            </w:r>
            <w:r w:rsidR="009C312C">
              <w:t xml:space="preserve"> </w:t>
            </w:r>
            <w:r w:rsidR="00583020">
              <w:t>in their designs and building</w:t>
            </w:r>
            <w:r w:rsidR="007D3164">
              <w:t>s,</w:t>
            </w:r>
            <w:r w:rsidR="00583020">
              <w:t xml:space="preserve"> in line with Vanuatu standards.</w:t>
            </w:r>
          </w:p>
        </w:tc>
        <w:tc>
          <w:tcPr>
            <w:tcW w:w="449" w:type="pct"/>
          </w:tcPr>
          <w:p w14:paraId="1C6A219D" w14:textId="053967CF" w:rsidR="00382E46" w:rsidRDefault="00A95E4C">
            <w:pPr>
              <w:cnfStyle w:val="000000100000" w:firstRow="0" w:lastRow="0" w:firstColumn="0" w:lastColumn="0" w:oddVBand="0" w:evenVBand="0" w:oddHBand="1" w:evenHBand="0" w:firstRowFirstColumn="0" w:firstRowLastColumn="0" w:lastRowFirstColumn="0" w:lastRowLastColumn="0"/>
            </w:pPr>
            <w:r>
              <w:t>Ongoing</w:t>
            </w:r>
          </w:p>
        </w:tc>
      </w:tr>
      <w:tr w:rsidR="00905545" w14:paraId="1BE9FDFD"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0638AE52" w14:textId="07D57C64" w:rsidR="00382E46" w:rsidRDefault="00382E46">
            <w:r>
              <w:t>12</w:t>
            </w:r>
          </w:p>
        </w:tc>
        <w:tc>
          <w:tcPr>
            <w:tcW w:w="1286" w:type="pct"/>
          </w:tcPr>
          <w:p w14:paraId="478428A0" w14:textId="6186C445" w:rsidR="00382E46" w:rsidRPr="00D50FF7" w:rsidRDefault="0037467B">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Given the stated strategic importance of the VAPJP program, DFAT should apply significantly more resourcing at Post to management and oversight of the Program.</w:t>
            </w:r>
          </w:p>
        </w:tc>
        <w:tc>
          <w:tcPr>
            <w:tcW w:w="390" w:type="pct"/>
          </w:tcPr>
          <w:p w14:paraId="34175BBE" w14:textId="7BE377CE" w:rsidR="00382E46" w:rsidRDefault="00082066">
            <w:pPr>
              <w:cnfStyle w:val="000000000000" w:firstRow="0" w:lastRow="0" w:firstColumn="0" w:lastColumn="0" w:oddVBand="0" w:evenVBand="0" w:oddHBand="0" w:evenHBand="0" w:firstRowFirstColumn="0" w:firstRowLastColumn="0" w:lastRowFirstColumn="0" w:lastRowLastColumn="0"/>
            </w:pPr>
            <w:r>
              <w:t>Agree</w:t>
            </w:r>
          </w:p>
        </w:tc>
        <w:tc>
          <w:tcPr>
            <w:tcW w:w="1396" w:type="pct"/>
          </w:tcPr>
          <w:p w14:paraId="7F2744C9" w14:textId="72ACB0E5" w:rsidR="00382E46" w:rsidRDefault="00082066">
            <w:pPr>
              <w:cnfStyle w:val="000000000000" w:firstRow="0" w:lastRow="0" w:firstColumn="0" w:lastColumn="0" w:oddVBand="0" w:evenVBand="0" w:oddHBand="0" w:evenHBand="0" w:firstRowFirstColumn="0" w:firstRowLastColumn="0" w:lastRowFirstColumn="0" w:lastRowLastColumn="0"/>
            </w:pPr>
            <w:r>
              <w:t>At the time of the MTR in country mission,</w:t>
            </w:r>
            <w:r w:rsidR="000B7AE9">
              <w:t xml:space="preserve"> due to </w:t>
            </w:r>
            <w:r w:rsidR="003E5A0A">
              <w:t xml:space="preserve">broader resourcing </w:t>
            </w:r>
            <w:r w:rsidR="000B7AE9">
              <w:t>constraints</w:t>
            </w:r>
            <w:r w:rsidR="003E5A0A">
              <w:t xml:space="preserve"> across Post</w:t>
            </w:r>
            <w:r w:rsidR="000B7AE9">
              <w:t>,</w:t>
            </w:r>
            <w:r>
              <w:t xml:space="preserve"> </w:t>
            </w:r>
            <w:r w:rsidR="00EE4522">
              <w:t>1.75</w:t>
            </w:r>
            <w:r w:rsidR="001315AB">
              <w:t xml:space="preserve"> FTE</w:t>
            </w:r>
            <w:r w:rsidR="00EE4522">
              <w:t xml:space="preserve"> LES </w:t>
            </w:r>
            <w:r w:rsidR="00232478">
              <w:t xml:space="preserve">were committed to </w:t>
            </w:r>
            <w:r w:rsidR="00EE4522">
              <w:t>manag</w:t>
            </w:r>
            <w:r w:rsidR="00232478">
              <w:t>ing</w:t>
            </w:r>
            <w:r w:rsidR="0005257E">
              <w:t xml:space="preserve"> </w:t>
            </w:r>
            <w:r w:rsidR="00EE4522">
              <w:t>the program, reporting directly to the High Commissioner.</w:t>
            </w:r>
            <w:r>
              <w:t xml:space="preserve"> </w:t>
            </w:r>
          </w:p>
        </w:tc>
        <w:tc>
          <w:tcPr>
            <w:tcW w:w="1186" w:type="pct"/>
          </w:tcPr>
          <w:p w14:paraId="76B6127E" w14:textId="2484F42C" w:rsidR="00EF3140" w:rsidRDefault="00EE4522" w:rsidP="00904433">
            <w:pPr>
              <w:spacing w:after="120"/>
              <w:cnfStyle w:val="000000000000" w:firstRow="0" w:lastRow="0" w:firstColumn="0" w:lastColumn="0" w:oddVBand="0" w:evenVBand="0" w:oddHBand="0" w:evenHBand="0" w:firstRowFirstColumn="0" w:firstRowLastColumn="0" w:lastRowFirstColumn="0" w:lastRowLastColumn="0"/>
            </w:pPr>
            <w:r>
              <w:t>VAPJP now falls under the oversight of the new Political Counsellor</w:t>
            </w:r>
            <w:r w:rsidR="00384D87">
              <w:t xml:space="preserve">, supported by a new First Secretary </w:t>
            </w:r>
            <w:r w:rsidR="00A71537">
              <w:t>(Development)</w:t>
            </w:r>
            <w:r w:rsidR="00384D87">
              <w:t xml:space="preserve">, which is </w:t>
            </w:r>
            <w:r>
              <w:t xml:space="preserve">providing improved </w:t>
            </w:r>
            <w:r w:rsidR="004228D0">
              <w:t>oversight</w:t>
            </w:r>
            <w:r w:rsidR="00364389">
              <w:t xml:space="preserve"> of th</w:t>
            </w:r>
            <w:r w:rsidR="00602CD6">
              <w:t>e</w:t>
            </w:r>
            <w:r w:rsidR="00364389">
              <w:t xml:space="preserve"> program. </w:t>
            </w:r>
            <w:r w:rsidR="00406AB2">
              <w:t>LES resourcing has also increased to 2 FTE.</w:t>
            </w:r>
          </w:p>
          <w:p w14:paraId="2086DF23" w14:textId="0061D611" w:rsidR="00382E46" w:rsidRDefault="00EF3140">
            <w:pPr>
              <w:cnfStyle w:val="000000000000" w:firstRow="0" w:lastRow="0" w:firstColumn="0" w:lastColumn="0" w:oddVBand="0" w:evenVBand="0" w:oddHBand="0" w:evenHBand="0" w:firstRowFirstColumn="0" w:firstRowLastColumn="0" w:lastRowFirstColumn="0" w:lastRowLastColumn="0"/>
            </w:pPr>
            <w:r>
              <w:t xml:space="preserve">Appropriate levels of support will be considered in the design of </w:t>
            </w:r>
            <w:r w:rsidR="00F01009">
              <w:t>P</w:t>
            </w:r>
            <w:r>
              <w:t>hase</w:t>
            </w:r>
            <w:r w:rsidR="00F01009">
              <w:t xml:space="preserve"> </w:t>
            </w:r>
            <w:r w:rsidR="00A258AE">
              <w:t>3</w:t>
            </w:r>
            <w:r>
              <w:t>.</w:t>
            </w:r>
          </w:p>
        </w:tc>
        <w:tc>
          <w:tcPr>
            <w:tcW w:w="449" w:type="pct"/>
          </w:tcPr>
          <w:p w14:paraId="712B0EF7" w14:textId="6B897DFA" w:rsidR="00382E46" w:rsidRDefault="00364389">
            <w:pPr>
              <w:cnfStyle w:val="000000000000" w:firstRow="0" w:lastRow="0" w:firstColumn="0" w:lastColumn="0" w:oddVBand="0" w:evenVBand="0" w:oddHBand="0" w:evenHBand="0" w:firstRowFirstColumn="0" w:firstRowLastColumn="0" w:lastRowFirstColumn="0" w:lastRowLastColumn="0"/>
            </w:pPr>
            <w:r>
              <w:t>Completed.</w:t>
            </w:r>
          </w:p>
        </w:tc>
      </w:tr>
      <w:tr w:rsidR="00905545" w14:paraId="6A276B41" w14:textId="77777777" w:rsidTr="002029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3" w:type="pct"/>
          </w:tcPr>
          <w:p w14:paraId="498599F1" w14:textId="57AF1BE3" w:rsidR="00382E46" w:rsidRDefault="00382E46">
            <w:r>
              <w:lastRenderedPageBreak/>
              <w:t>13</w:t>
            </w:r>
          </w:p>
        </w:tc>
        <w:tc>
          <w:tcPr>
            <w:tcW w:w="1286" w:type="pct"/>
          </w:tcPr>
          <w:p w14:paraId="256FA02C" w14:textId="04B2EF03" w:rsidR="00382E46" w:rsidRPr="00D50FF7" w:rsidRDefault="0037467B">
            <w:pPr>
              <w:cnfStyle w:val="000000100000" w:firstRow="0" w:lastRow="0" w:firstColumn="0" w:lastColumn="0" w:oddVBand="0" w:evenVBand="0" w:oddHBand="1" w:evenHBand="0" w:firstRowFirstColumn="0" w:firstRowLastColumn="0" w:lastRowFirstColumn="0" w:lastRowLastColumn="0"/>
              <w:rPr>
                <w:rFonts w:cstheme="minorHAnsi"/>
              </w:rPr>
            </w:pPr>
            <w:r w:rsidRPr="00D50FF7">
              <w:rPr>
                <w:rFonts w:cstheme="minorHAnsi"/>
                <w:kern w:val="0"/>
              </w:rPr>
              <w:t>Given the frequency and severity of natural disasters, VAPJP should continue to work with partner agencies on practical disaster risk reduction, and ‘chain-of-justice’ preparedness</w:t>
            </w:r>
            <w:r w:rsidR="00C23BBC">
              <w:rPr>
                <w:rFonts w:cstheme="minorHAnsi"/>
                <w:kern w:val="0"/>
              </w:rPr>
              <w:t>,</w:t>
            </w:r>
            <w:r w:rsidR="00C23BBC" w:rsidRPr="00D50FF7">
              <w:rPr>
                <w:rFonts w:cstheme="minorHAnsi"/>
                <w:kern w:val="0"/>
              </w:rPr>
              <w:t xml:space="preserve"> </w:t>
            </w:r>
            <w:r w:rsidRPr="00D50FF7">
              <w:rPr>
                <w:rFonts w:cstheme="minorHAnsi"/>
                <w:kern w:val="0"/>
              </w:rPr>
              <w:t>including response and recovery, as well as responding to disasters in a coordinated fashion with the relevant GoV agencies.</w:t>
            </w:r>
          </w:p>
        </w:tc>
        <w:tc>
          <w:tcPr>
            <w:tcW w:w="390" w:type="pct"/>
          </w:tcPr>
          <w:p w14:paraId="466087DC" w14:textId="474F494C" w:rsidR="00382E46" w:rsidRDefault="00315A88">
            <w:pPr>
              <w:cnfStyle w:val="000000100000" w:firstRow="0" w:lastRow="0" w:firstColumn="0" w:lastColumn="0" w:oddVBand="0" w:evenVBand="0" w:oddHBand="1" w:evenHBand="0" w:firstRowFirstColumn="0" w:firstRowLastColumn="0" w:lastRowFirstColumn="0" w:lastRowLastColumn="0"/>
            </w:pPr>
            <w:r>
              <w:t>Agree</w:t>
            </w:r>
          </w:p>
        </w:tc>
        <w:tc>
          <w:tcPr>
            <w:tcW w:w="1396" w:type="pct"/>
          </w:tcPr>
          <w:p w14:paraId="0048CE87" w14:textId="2ED8FD0F" w:rsidR="00CB13DF" w:rsidRDefault="000A67E8">
            <w:pPr>
              <w:cnfStyle w:val="000000100000" w:firstRow="0" w:lastRow="0" w:firstColumn="0" w:lastColumn="0" w:oddVBand="0" w:evenVBand="0" w:oddHBand="1" w:evenHBand="0" w:firstRowFirstColumn="0" w:firstRowLastColumn="0" w:lastRowFirstColumn="0" w:lastRowLastColumn="0"/>
            </w:pPr>
            <w:r>
              <w:t>Vanuatu experiences a high frequency of natural disasters which disrupt service delivery across government.</w:t>
            </w:r>
            <w:r w:rsidR="00C06EAB">
              <w:t xml:space="preserve"> In 2023 alone, Vanuatu experience</w:t>
            </w:r>
            <w:r w:rsidR="00362504">
              <w:t>d</w:t>
            </w:r>
            <w:r w:rsidR="00C06EAB">
              <w:t xml:space="preserve"> three Tropical Cyclones </w:t>
            </w:r>
            <w:r w:rsidR="00CB13DF">
              <w:t>of Category 4 or above (Judy, Kevin and Lola). VAPJP support</w:t>
            </w:r>
            <w:r w:rsidR="00CA04B7">
              <w:t>s</w:t>
            </w:r>
            <w:r w:rsidR="00CB13DF">
              <w:t xml:space="preserve"> GoV to recover from disasters </w:t>
            </w:r>
            <w:r w:rsidR="00CA04B7">
              <w:t>and</w:t>
            </w:r>
            <w:r w:rsidR="001F7B49">
              <w:t xml:space="preserve"> </w:t>
            </w:r>
            <w:r w:rsidR="00406AB2">
              <w:t>improve planning</w:t>
            </w:r>
            <w:r w:rsidR="001F7B49">
              <w:t xml:space="preserve"> to ensure continue</w:t>
            </w:r>
            <w:r w:rsidR="008E24D6">
              <w:t>d</w:t>
            </w:r>
            <w:r w:rsidR="001F7B49">
              <w:t xml:space="preserve"> service delivery. </w:t>
            </w:r>
          </w:p>
        </w:tc>
        <w:tc>
          <w:tcPr>
            <w:tcW w:w="1186" w:type="pct"/>
          </w:tcPr>
          <w:p w14:paraId="511A6A5A" w14:textId="6C09FBB3" w:rsidR="00AE3B07" w:rsidRDefault="00C32615" w:rsidP="00904433">
            <w:pPr>
              <w:spacing w:after="120"/>
              <w:cnfStyle w:val="000000100000" w:firstRow="0" w:lastRow="0" w:firstColumn="0" w:lastColumn="0" w:oddVBand="0" w:evenVBand="0" w:oddHBand="1" w:evenHBand="0" w:firstRowFirstColumn="0" w:firstRowLastColumn="0" w:lastRowFirstColumn="0" w:lastRowLastColumn="0"/>
            </w:pPr>
            <w:r>
              <w:t xml:space="preserve">DFAT and VAPJP will build on the recommendations of VAPJP supported research, conducted in partnership with </w:t>
            </w:r>
            <w:r w:rsidR="00E87EF4">
              <w:t>Vanuatu’s</w:t>
            </w:r>
            <w:r>
              <w:t xml:space="preserve"> Ministry of Justice and Community Services, to support improved disaster preparedness within the justice sector.</w:t>
            </w:r>
          </w:p>
          <w:p w14:paraId="0427CF16" w14:textId="6503DF66" w:rsidR="00C25C89" w:rsidRDefault="001F7B49">
            <w:pPr>
              <w:cnfStyle w:val="000000100000" w:firstRow="0" w:lastRow="0" w:firstColumn="0" w:lastColumn="0" w:oddVBand="0" w:evenVBand="0" w:oddHBand="1" w:evenHBand="0" w:firstRowFirstColumn="0" w:firstRowLastColumn="0" w:lastRowFirstColumn="0" w:lastRowLastColumn="0"/>
            </w:pPr>
            <w:r>
              <w:t xml:space="preserve">DFAT will ensure that disaster preparedness across the policing and justice </w:t>
            </w:r>
            <w:r w:rsidR="008A7452">
              <w:t xml:space="preserve">sector is a focus of the </w:t>
            </w:r>
            <w:r w:rsidR="00C84AC2">
              <w:t xml:space="preserve">Phase </w:t>
            </w:r>
            <w:r w:rsidR="00A258AE">
              <w:t>3</w:t>
            </w:r>
            <w:r w:rsidR="00C84AC2">
              <w:t xml:space="preserve"> </w:t>
            </w:r>
            <w:r w:rsidR="008A7452">
              <w:t>design to continue t</w:t>
            </w:r>
            <w:r w:rsidR="00667186">
              <w:t>he</w:t>
            </w:r>
            <w:r w:rsidR="008A7452">
              <w:t xml:space="preserve"> good work completed to date.</w:t>
            </w:r>
          </w:p>
        </w:tc>
        <w:tc>
          <w:tcPr>
            <w:tcW w:w="449" w:type="pct"/>
          </w:tcPr>
          <w:p w14:paraId="064041C2" w14:textId="54F6B1F1" w:rsidR="00382E46" w:rsidRDefault="00E362A2">
            <w:pPr>
              <w:cnfStyle w:val="000000100000" w:firstRow="0" w:lastRow="0" w:firstColumn="0" w:lastColumn="0" w:oddVBand="0" w:evenVBand="0" w:oddHBand="1" w:evenHBand="0" w:firstRowFirstColumn="0" w:firstRowLastColumn="0" w:lastRowFirstColumn="0" w:lastRowLastColumn="0"/>
            </w:pPr>
            <w:r>
              <w:t>Q2 – Q4 2024</w:t>
            </w:r>
          </w:p>
        </w:tc>
      </w:tr>
      <w:tr w:rsidR="00905545" w14:paraId="367F0616" w14:textId="77777777" w:rsidTr="0020293A">
        <w:trPr>
          <w:cantSplit/>
        </w:trPr>
        <w:tc>
          <w:tcPr>
            <w:cnfStyle w:val="001000000000" w:firstRow="0" w:lastRow="0" w:firstColumn="1" w:lastColumn="0" w:oddVBand="0" w:evenVBand="0" w:oddHBand="0" w:evenHBand="0" w:firstRowFirstColumn="0" w:firstRowLastColumn="0" w:lastRowFirstColumn="0" w:lastRowLastColumn="0"/>
            <w:tcW w:w="293" w:type="pct"/>
          </w:tcPr>
          <w:p w14:paraId="7A6ED351" w14:textId="5D2E2C87" w:rsidR="00382E46" w:rsidRDefault="00382E46">
            <w:r>
              <w:lastRenderedPageBreak/>
              <w:t>14</w:t>
            </w:r>
          </w:p>
        </w:tc>
        <w:tc>
          <w:tcPr>
            <w:tcW w:w="1286" w:type="pct"/>
          </w:tcPr>
          <w:p w14:paraId="08ADB594" w14:textId="1765B665" w:rsidR="00382E46" w:rsidRPr="00D50FF7" w:rsidRDefault="00B07800">
            <w:pPr>
              <w:cnfStyle w:val="000000000000" w:firstRow="0" w:lastRow="0" w:firstColumn="0" w:lastColumn="0" w:oddVBand="0" w:evenVBand="0" w:oddHBand="0" w:evenHBand="0" w:firstRowFirstColumn="0" w:firstRowLastColumn="0" w:lastRowFirstColumn="0" w:lastRowLastColumn="0"/>
              <w:rPr>
                <w:rFonts w:cstheme="minorHAnsi"/>
              </w:rPr>
            </w:pPr>
            <w:r w:rsidRPr="00D50FF7">
              <w:rPr>
                <w:rFonts w:cstheme="minorHAnsi"/>
                <w:kern w:val="0"/>
              </w:rPr>
              <w:t xml:space="preserve">There are a number of areas that warrant further attention at the design stage, which will overlap with the final year of the program. These include the multi-agency work being carried out on Epi to determine its strengths and challenges, and to what extent it can be used as a model in the future. It also includes coordination with other donors, the best model for achieving joined-up outcomes for prevention and response to VAWC, the best mechanism for ensuring responsiveness to natural disasters, the suitability of including Corrections in a future iteration of the program, and whether a </w:t>
            </w:r>
            <w:r w:rsidR="00A258AE" w:rsidRPr="00D50FF7">
              <w:rPr>
                <w:rFonts w:cstheme="minorHAnsi"/>
                <w:kern w:val="0"/>
              </w:rPr>
              <w:t>six-monthly</w:t>
            </w:r>
            <w:r w:rsidRPr="00D50FF7">
              <w:rPr>
                <w:rFonts w:cstheme="minorHAnsi"/>
                <w:kern w:val="0"/>
              </w:rPr>
              <w:t xml:space="preserve"> PowerPoint, instead of written reporting would serve the interests of DFAT, AFP and VAPJP.</w:t>
            </w:r>
          </w:p>
        </w:tc>
        <w:tc>
          <w:tcPr>
            <w:tcW w:w="390" w:type="pct"/>
          </w:tcPr>
          <w:p w14:paraId="0B1B98A7" w14:textId="616DE4F9" w:rsidR="00382E46" w:rsidRDefault="00E96ED6">
            <w:pPr>
              <w:cnfStyle w:val="000000000000" w:firstRow="0" w:lastRow="0" w:firstColumn="0" w:lastColumn="0" w:oddVBand="0" w:evenVBand="0" w:oddHBand="0" w:evenHBand="0" w:firstRowFirstColumn="0" w:firstRowLastColumn="0" w:lastRowFirstColumn="0" w:lastRowLastColumn="0"/>
            </w:pPr>
            <w:r>
              <w:t>Agree</w:t>
            </w:r>
          </w:p>
        </w:tc>
        <w:tc>
          <w:tcPr>
            <w:tcW w:w="1396" w:type="pct"/>
          </w:tcPr>
          <w:p w14:paraId="750BAEFB" w14:textId="32734213" w:rsidR="00E3142C" w:rsidRDefault="00E3142C">
            <w:pPr>
              <w:cnfStyle w:val="000000000000" w:firstRow="0" w:lastRow="0" w:firstColumn="0" w:lastColumn="0" w:oddVBand="0" w:evenVBand="0" w:oddHBand="0" w:evenHBand="0" w:firstRowFirstColumn="0" w:firstRowLastColumn="0" w:lastRowFirstColumn="0" w:lastRowLastColumn="0"/>
            </w:pPr>
            <w:r>
              <w:t xml:space="preserve">DFAT </w:t>
            </w:r>
            <w:r w:rsidR="003F330F">
              <w:t xml:space="preserve">accepts the </w:t>
            </w:r>
            <w:r>
              <w:t xml:space="preserve">remaining </w:t>
            </w:r>
            <w:r w:rsidR="00277D7B">
              <w:t>program priorities identified in</w:t>
            </w:r>
            <w:r w:rsidR="00BF6344">
              <w:t xml:space="preserve"> </w:t>
            </w:r>
            <w:r w:rsidR="00277D7B">
              <w:t xml:space="preserve">the </w:t>
            </w:r>
            <w:r>
              <w:t>Recommendation</w:t>
            </w:r>
            <w:r w:rsidR="00BF6344">
              <w:t xml:space="preserve"> </w:t>
            </w:r>
            <w:r w:rsidR="00277D7B">
              <w:t>for</w:t>
            </w:r>
            <w:r w:rsidR="00BF6344">
              <w:t xml:space="preserve"> </w:t>
            </w:r>
            <w:r w:rsidR="00277D7B">
              <w:t xml:space="preserve">consideration in the </w:t>
            </w:r>
            <w:r w:rsidR="005370B7">
              <w:t>remain</w:t>
            </w:r>
            <w:r w:rsidR="00BF6344">
              <w:t xml:space="preserve">der of the </w:t>
            </w:r>
            <w:r w:rsidR="005370B7">
              <w:t xml:space="preserve">program or </w:t>
            </w:r>
            <w:r w:rsidR="000C2097">
              <w:t xml:space="preserve">in the design of Phase </w:t>
            </w:r>
            <w:r w:rsidR="00A258AE">
              <w:t>3</w:t>
            </w:r>
            <w:r w:rsidR="000C2097">
              <w:t xml:space="preserve">. </w:t>
            </w:r>
          </w:p>
          <w:p w14:paraId="3CBC06C0" w14:textId="57615894" w:rsidR="008F1D78" w:rsidRDefault="008F1D78" w:rsidP="000C2097">
            <w:pPr>
              <w:cnfStyle w:val="000000000000" w:firstRow="0" w:lastRow="0" w:firstColumn="0" w:lastColumn="0" w:oddVBand="0" w:evenVBand="0" w:oddHBand="0" w:evenHBand="0" w:firstRowFirstColumn="0" w:firstRowLastColumn="0" w:lastRowFirstColumn="0" w:lastRowLastColumn="0"/>
            </w:pPr>
          </w:p>
        </w:tc>
        <w:tc>
          <w:tcPr>
            <w:tcW w:w="1186" w:type="pct"/>
          </w:tcPr>
          <w:p w14:paraId="4390AAC1" w14:textId="34627F24" w:rsidR="00F74A88" w:rsidRDefault="0022686E" w:rsidP="00AA5D0B">
            <w:pPr>
              <w:spacing w:after="120"/>
              <w:cnfStyle w:val="000000000000" w:firstRow="0" w:lastRow="0" w:firstColumn="0" w:lastColumn="0" w:oddVBand="0" w:evenVBand="0" w:oddHBand="0" w:evenHBand="0" w:firstRowFirstColumn="0" w:firstRowLastColumn="0" w:lastRowFirstColumn="0" w:lastRowLastColumn="0"/>
            </w:pPr>
            <w:r>
              <w:t xml:space="preserve">DFAT will ensure that </w:t>
            </w:r>
            <w:r w:rsidR="00E87EF4">
              <w:t xml:space="preserve">areas identified are included in </w:t>
            </w:r>
            <w:r w:rsidR="00F335D2">
              <w:t xml:space="preserve">Phase </w:t>
            </w:r>
            <w:r w:rsidR="00A258AE">
              <w:t>3</w:t>
            </w:r>
            <w:r w:rsidR="00F335D2">
              <w:t xml:space="preserve"> </w:t>
            </w:r>
            <w:r w:rsidR="00E87EF4">
              <w:t>design considerations</w:t>
            </w:r>
            <w:r w:rsidR="00321113">
              <w:t xml:space="preserve">. </w:t>
            </w:r>
          </w:p>
          <w:p w14:paraId="55E8E1E1" w14:textId="44FAB796" w:rsidR="007C2E6D" w:rsidRDefault="007C2E6D" w:rsidP="00AA5D0B">
            <w:pPr>
              <w:spacing w:after="120"/>
              <w:cnfStyle w:val="000000000000" w:firstRow="0" w:lastRow="0" w:firstColumn="0" w:lastColumn="0" w:oddVBand="0" w:evenVBand="0" w:oddHBand="0" w:evenHBand="0" w:firstRowFirstColumn="0" w:firstRowLastColumn="0" w:lastRowFirstColumn="0" w:lastRowLastColumn="0"/>
            </w:pPr>
            <w:r w:rsidRPr="007C2E6D">
              <w:t xml:space="preserve">DFAT </w:t>
            </w:r>
            <w:r w:rsidR="00C23BBC">
              <w:t xml:space="preserve">will </w:t>
            </w:r>
            <w:r w:rsidRPr="007C2E6D">
              <w:t xml:space="preserve">document </w:t>
            </w:r>
            <w:r w:rsidR="00AB2CA5">
              <w:t xml:space="preserve">Australian Government </w:t>
            </w:r>
            <w:r w:rsidRPr="007C2E6D">
              <w:t xml:space="preserve">investments </w:t>
            </w:r>
            <w:r w:rsidR="00AB2CA5">
              <w:t>(</w:t>
            </w:r>
            <w:r w:rsidRPr="007C2E6D">
              <w:t>bilateral</w:t>
            </w:r>
            <w:r w:rsidR="00D6442E">
              <w:t>, regional</w:t>
            </w:r>
            <w:r w:rsidRPr="007C2E6D">
              <w:t xml:space="preserve"> and mu</w:t>
            </w:r>
            <w:r w:rsidR="00A3420B">
              <w:t>l</w:t>
            </w:r>
            <w:r w:rsidRPr="007C2E6D">
              <w:t>tilateral</w:t>
            </w:r>
            <w:r w:rsidR="00AB2CA5">
              <w:t>) across the</w:t>
            </w:r>
            <w:r w:rsidRPr="007C2E6D">
              <w:t xml:space="preserve"> justice </w:t>
            </w:r>
            <w:r w:rsidR="00AB2CA5">
              <w:t>sector</w:t>
            </w:r>
            <w:r w:rsidR="00AB2CA5" w:rsidRPr="007C2E6D">
              <w:t xml:space="preserve"> </w:t>
            </w:r>
            <w:r w:rsidRPr="007C2E6D">
              <w:t xml:space="preserve">in Vanuatu and support </w:t>
            </w:r>
            <w:r w:rsidR="006F674D">
              <w:t>P</w:t>
            </w:r>
            <w:r w:rsidRPr="007C2E6D">
              <w:t>rogram connect</w:t>
            </w:r>
            <w:r w:rsidR="006F674D">
              <w:t>ion</w:t>
            </w:r>
            <w:r w:rsidRPr="007C2E6D">
              <w:t>s with these initiatives</w:t>
            </w:r>
            <w:r w:rsidR="00012B52">
              <w:t>.</w:t>
            </w:r>
          </w:p>
          <w:p w14:paraId="145BC38D" w14:textId="62C113B0" w:rsidR="002D6EAD" w:rsidRDefault="00203D79">
            <w:pPr>
              <w:cnfStyle w:val="000000000000" w:firstRow="0" w:lastRow="0" w:firstColumn="0" w:lastColumn="0" w:oddVBand="0" w:evenVBand="0" w:oddHBand="0" w:evenHBand="0" w:firstRowFirstColumn="0" w:firstRowLastColumn="0" w:lastRowFirstColumn="0" w:lastRowLastColumn="0"/>
            </w:pPr>
            <w:r>
              <w:t xml:space="preserve">DFAT and VAPJP will review operational systems, resourcing and reporting alignment to identify improvements and efficiencies where possible. </w:t>
            </w:r>
          </w:p>
        </w:tc>
        <w:tc>
          <w:tcPr>
            <w:tcW w:w="449" w:type="pct"/>
          </w:tcPr>
          <w:p w14:paraId="1F69BCDC" w14:textId="1FF36240" w:rsidR="00382E46" w:rsidRDefault="00E362A2">
            <w:pPr>
              <w:cnfStyle w:val="000000000000" w:firstRow="0" w:lastRow="0" w:firstColumn="0" w:lastColumn="0" w:oddVBand="0" w:evenVBand="0" w:oddHBand="0" w:evenHBand="0" w:firstRowFirstColumn="0" w:firstRowLastColumn="0" w:lastRowFirstColumn="0" w:lastRowLastColumn="0"/>
            </w:pPr>
            <w:r>
              <w:t>Q3 – Q4 2024</w:t>
            </w:r>
          </w:p>
        </w:tc>
      </w:tr>
    </w:tbl>
    <w:p w14:paraId="3FA9CF30" w14:textId="77777777" w:rsidR="00AE2C7B" w:rsidRDefault="00AE2C7B"/>
    <w:sectPr w:rsidR="00AE2C7B" w:rsidSect="0018515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7DD0" w14:textId="77777777" w:rsidR="000019B6" w:rsidRDefault="000019B6" w:rsidP="00C46C25">
      <w:pPr>
        <w:spacing w:after="0" w:line="240" w:lineRule="auto"/>
      </w:pPr>
      <w:r>
        <w:separator/>
      </w:r>
    </w:p>
  </w:endnote>
  <w:endnote w:type="continuationSeparator" w:id="0">
    <w:p w14:paraId="36238A07" w14:textId="77777777" w:rsidR="000019B6" w:rsidRDefault="000019B6" w:rsidP="00C4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02503"/>
      <w:docPartObj>
        <w:docPartGallery w:val="Page Numbers (Bottom of Page)"/>
        <w:docPartUnique/>
      </w:docPartObj>
    </w:sdtPr>
    <w:sdtEndPr>
      <w:rPr>
        <w:noProof/>
      </w:rPr>
    </w:sdtEndPr>
    <w:sdtContent>
      <w:p w14:paraId="47B0C274" w14:textId="7747E4EB" w:rsidR="00D438B5" w:rsidRDefault="00D43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BF5BB" w14:textId="77777777" w:rsidR="00D438B5" w:rsidRDefault="00D4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0BE8" w14:textId="77777777" w:rsidR="000019B6" w:rsidRDefault="000019B6" w:rsidP="00C46C25">
      <w:pPr>
        <w:spacing w:after="0" w:line="240" w:lineRule="auto"/>
      </w:pPr>
      <w:r>
        <w:separator/>
      </w:r>
    </w:p>
  </w:footnote>
  <w:footnote w:type="continuationSeparator" w:id="0">
    <w:p w14:paraId="44ED97AC" w14:textId="77777777" w:rsidR="000019B6" w:rsidRDefault="000019B6" w:rsidP="00C4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B38"/>
    <w:multiLevelType w:val="hybridMultilevel"/>
    <w:tmpl w:val="E860451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72D9468B"/>
    <w:multiLevelType w:val="hybridMultilevel"/>
    <w:tmpl w:val="6F3CC054"/>
    <w:lvl w:ilvl="0" w:tplc="3B86017C">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cs="Times New Roman" w:hint="default"/>
        <w:color w:val="4472C4" w:themeColor="accent1"/>
      </w:rPr>
    </w:lvl>
    <w:lvl w:ilvl="2">
      <w:start w:val="1"/>
      <w:numFmt w:val="bullet"/>
      <w:pStyle w:val="Bullet3"/>
      <w:lvlText w:val="»"/>
      <w:lvlJc w:val="left"/>
      <w:pPr>
        <w:tabs>
          <w:tab w:val="num" w:pos="852"/>
        </w:tabs>
        <w:ind w:left="852" w:hanging="285"/>
      </w:pPr>
      <w:rPr>
        <w:rFonts w:ascii="Arial" w:hAnsi="Arial" w:cs="Times New Roman" w:hint="default"/>
        <w:color w:val="4472C4" w:themeColor="accent1"/>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3" w15:restartNumberingAfterBreak="0">
    <w:nsid w:val="74B7698D"/>
    <w:multiLevelType w:val="hybridMultilevel"/>
    <w:tmpl w:val="691CD00E"/>
    <w:lvl w:ilvl="0" w:tplc="1C008AF6">
      <w:start w:val="1"/>
      <w:numFmt w:val="decimal"/>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7E573035"/>
    <w:multiLevelType w:val="hybridMultilevel"/>
    <w:tmpl w:val="1CD0E050"/>
    <w:lvl w:ilvl="0" w:tplc="3B86017C">
      <w:numFmt w:val="bullet"/>
      <w:lvlText w:val="–"/>
      <w:lvlJc w:val="left"/>
      <w:pPr>
        <w:ind w:left="450"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951235752">
    <w:abstractNumId w:val="2"/>
  </w:num>
  <w:num w:numId="2" w16cid:durableId="1070155455">
    <w:abstractNumId w:val="3"/>
  </w:num>
  <w:num w:numId="3" w16cid:durableId="1007907420">
    <w:abstractNumId w:val="0"/>
  </w:num>
  <w:num w:numId="4" w16cid:durableId="378405020">
    <w:abstractNumId w:val="1"/>
  </w:num>
  <w:num w:numId="5" w16cid:durableId="316879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B"/>
    <w:rsid w:val="00000DB6"/>
    <w:rsid w:val="000019B6"/>
    <w:rsid w:val="00002CC3"/>
    <w:rsid w:val="000049B4"/>
    <w:rsid w:val="00005AC9"/>
    <w:rsid w:val="00005EA1"/>
    <w:rsid w:val="000101AA"/>
    <w:rsid w:val="00012B52"/>
    <w:rsid w:val="0001733C"/>
    <w:rsid w:val="00020E4A"/>
    <w:rsid w:val="000214EF"/>
    <w:rsid w:val="00021CC2"/>
    <w:rsid w:val="000262E0"/>
    <w:rsid w:val="00037CE3"/>
    <w:rsid w:val="00040EE9"/>
    <w:rsid w:val="00042B1C"/>
    <w:rsid w:val="00051547"/>
    <w:rsid w:val="0005257E"/>
    <w:rsid w:val="000541CC"/>
    <w:rsid w:val="00061BFD"/>
    <w:rsid w:val="00072BEB"/>
    <w:rsid w:val="000769F2"/>
    <w:rsid w:val="000807C7"/>
    <w:rsid w:val="00080B7A"/>
    <w:rsid w:val="00082066"/>
    <w:rsid w:val="00091531"/>
    <w:rsid w:val="000931D5"/>
    <w:rsid w:val="000A18BC"/>
    <w:rsid w:val="000A37C3"/>
    <w:rsid w:val="000A67E8"/>
    <w:rsid w:val="000A7BAB"/>
    <w:rsid w:val="000B31E9"/>
    <w:rsid w:val="000B4CB8"/>
    <w:rsid w:val="000B6887"/>
    <w:rsid w:val="000B7AE9"/>
    <w:rsid w:val="000C2097"/>
    <w:rsid w:val="000C36C7"/>
    <w:rsid w:val="000C5EB9"/>
    <w:rsid w:val="000D6039"/>
    <w:rsid w:val="000D6189"/>
    <w:rsid w:val="000E1380"/>
    <w:rsid w:val="000E143F"/>
    <w:rsid w:val="000E4401"/>
    <w:rsid w:val="000E6F69"/>
    <w:rsid w:val="000F1076"/>
    <w:rsid w:val="000F12A8"/>
    <w:rsid w:val="000F4A52"/>
    <w:rsid w:val="000F767C"/>
    <w:rsid w:val="00104527"/>
    <w:rsid w:val="00113632"/>
    <w:rsid w:val="00120645"/>
    <w:rsid w:val="001307F5"/>
    <w:rsid w:val="001311AC"/>
    <w:rsid w:val="001315AB"/>
    <w:rsid w:val="001350DA"/>
    <w:rsid w:val="001426C0"/>
    <w:rsid w:val="00144E84"/>
    <w:rsid w:val="001556B2"/>
    <w:rsid w:val="00161AB5"/>
    <w:rsid w:val="00162A68"/>
    <w:rsid w:val="001660CC"/>
    <w:rsid w:val="00170BB9"/>
    <w:rsid w:val="0018375C"/>
    <w:rsid w:val="00184259"/>
    <w:rsid w:val="00184E45"/>
    <w:rsid w:val="00185158"/>
    <w:rsid w:val="00186336"/>
    <w:rsid w:val="00195347"/>
    <w:rsid w:val="001A0BAC"/>
    <w:rsid w:val="001A261E"/>
    <w:rsid w:val="001A2A93"/>
    <w:rsid w:val="001B0BCF"/>
    <w:rsid w:val="001B3D62"/>
    <w:rsid w:val="001C2C4C"/>
    <w:rsid w:val="001C3DFB"/>
    <w:rsid w:val="001D5455"/>
    <w:rsid w:val="001D6436"/>
    <w:rsid w:val="001E0327"/>
    <w:rsid w:val="001E478F"/>
    <w:rsid w:val="001E6231"/>
    <w:rsid w:val="001F085C"/>
    <w:rsid w:val="001F61EA"/>
    <w:rsid w:val="001F7575"/>
    <w:rsid w:val="001F7B49"/>
    <w:rsid w:val="0020293A"/>
    <w:rsid w:val="00203D79"/>
    <w:rsid w:val="00205F9D"/>
    <w:rsid w:val="0021302D"/>
    <w:rsid w:val="002135EE"/>
    <w:rsid w:val="00213ACE"/>
    <w:rsid w:val="00221292"/>
    <w:rsid w:val="00222C72"/>
    <w:rsid w:val="00224858"/>
    <w:rsid w:val="002258FB"/>
    <w:rsid w:val="0022686E"/>
    <w:rsid w:val="00232478"/>
    <w:rsid w:val="00257D24"/>
    <w:rsid w:val="00262715"/>
    <w:rsid w:val="002663FC"/>
    <w:rsid w:val="00267ECB"/>
    <w:rsid w:val="00277D7B"/>
    <w:rsid w:val="00280C60"/>
    <w:rsid w:val="0028120F"/>
    <w:rsid w:val="00285671"/>
    <w:rsid w:val="00285CCE"/>
    <w:rsid w:val="00292586"/>
    <w:rsid w:val="00293226"/>
    <w:rsid w:val="002A28D7"/>
    <w:rsid w:val="002A3B3A"/>
    <w:rsid w:val="002A4A9F"/>
    <w:rsid w:val="002A6A1D"/>
    <w:rsid w:val="002A7A8A"/>
    <w:rsid w:val="002C3320"/>
    <w:rsid w:val="002D4F0D"/>
    <w:rsid w:val="002D4F23"/>
    <w:rsid w:val="002D6EAD"/>
    <w:rsid w:val="002E0956"/>
    <w:rsid w:val="002E0E30"/>
    <w:rsid w:val="003039DD"/>
    <w:rsid w:val="00310DE5"/>
    <w:rsid w:val="00315A88"/>
    <w:rsid w:val="00317AD9"/>
    <w:rsid w:val="00321113"/>
    <w:rsid w:val="00321C63"/>
    <w:rsid w:val="00324D0D"/>
    <w:rsid w:val="00330273"/>
    <w:rsid w:val="00330473"/>
    <w:rsid w:val="0033060B"/>
    <w:rsid w:val="0033394D"/>
    <w:rsid w:val="003368CF"/>
    <w:rsid w:val="0033787F"/>
    <w:rsid w:val="003507CE"/>
    <w:rsid w:val="0035180E"/>
    <w:rsid w:val="003527C3"/>
    <w:rsid w:val="00353441"/>
    <w:rsid w:val="00361274"/>
    <w:rsid w:val="00362504"/>
    <w:rsid w:val="00364389"/>
    <w:rsid w:val="00366367"/>
    <w:rsid w:val="0037467B"/>
    <w:rsid w:val="00382E46"/>
    <w:rsid w:val="00383045"/>
    <w:rsid w:val="00384D87"/>
    <w:rsid w:val="003923E1"/>
    <w:rsid w:val="003930F1"/>
    <w:rsid w:val="003A2106"/>
    <w:rsid w:val="003A5A95"/>
    <w:rsid w:val="003B08DB"/>
    <w:rsid w:val="003B2731"/>
    <w:rsid w:val="003C7AD8"/>
    <w:rsid w:val="003D2D15"/>
    <w:rsid w:val="003D509B"/>
    <w:rsid w:val="003D5826"/>
    <w:rsid w:val="003E2EEC"/>
    <w:rsid w:val="003E3141"/>
    <w:rsid w:val="003E494F"/>
    <w:rsid w:val="003E5A0A"/>
    <w:rsid w:val="003F0209"/>
    <w:rsid w:val="003F1015"/>
    <w:rsid w:val="003F10E8"/>
    <w:rsid w:val="003F330F"/>
    <w:rsid w:val="003F3F8E"/>
    <w:rsid w:val="003F6444"/>
    <w:rsid w:val="003F68DD"/>
    <w:rsid w:val="00400565"/>
    <w:rsid w:val="00401898"/>
    <w:rsid w:val="00401BF2"/>
    <w:rsid w:val="00404E7D"/>
    <w:rsid w:val="00406AB2"/>
    <w:rsid w:val="0041010F"/>
    <w:rsid w:val="00411586"/>
    <w:rsid w:val="00411BED"/>
    <w:rsid w:val="004120D3"/>
    <w:rsid w:val="00413D56"/>
    <w:rsid w:val="0041716D"/>
    <w:rsid w:val="004228D0"/>
    <w:rsid w:val="00427D2B"/>
    <w:rsid w:val="0043016D"/>
    <w:rsid w:val="00430A25"/>
    <w:rsid w:val="004313F5"/>
    <w:rsid w:val="00442952"/>
    <w:rsid w:val="0044577E"/>
    <w:rsid w:val="00445BB9"/>
    <w:rsid w:val="004479EF"/>
    <w:rsid w:val="00447EEF"/>
    <w:rsid w:val="004531E1"/>
    <w:rsid w:val="004539A8"/>
    <w:rsid w:val="00454354"/>
    <w:rsid w:val="00455A33"/>
    <w:rsid w:val="00455DA7"/>
    <w:rsid w:val="004635CC"/>
    <w:rsid w:val="00463E2F"/>
    <w:rsid w:val="00471140"/>
    <w:rsid w:val="00471610"/>
    <w:rsid w:val="004817D4"/>
    <w:rsid w:val="00482573"/>
    <w:rsid w:val="00482C53"/>
    <w:rsid w:val="00486E46"/>
    <w:rsid w:val="00490D61"/>
    <w:rsid w:val="00491A09"/>
    <w:rsid w:val="0049593D"/>
    <w:rsid w:val="004A4F19"/>
    <w:rsid w:val="004B4A03"/>
    <w:rsid w:val="004C18B0"/>
    <w:rsid w:val="004C342D"/>
    <w:rsid w:val="004C5C86"/>
    <w:rsid w:val="004C7E45"/>
    <w:rsid w:val="004D1817"/>
    <w:rsid w:val="004D43FE"/>
    <w:rsid w:val="004F46A9"/>
    <w:rsid w:val="004F750F"/>
    <w:rsid w:val="00503508"/>
    <w:rsid w:val="00506B96"/>
    <w:rsid w:val="00507DDA"/>
    <w:rsid w:val="005103D9"/>
    <w:rsid w:val="00510461"/>
    <w:rsid w:val="00511499"/>
    <w:rsid w:val="00511B63"/>
    <w:rsid w:val="00516FD2"/>
    <w:rsid w:val="005219AD"/>
    <w:rsid w:val="0052211D"/>
    <w:rsid w:val="005260A6"/>
    <w:rsid w:val="0052671A"/>
    <w:rsid w:val="00530D21"/>
    <w:rsid w:val="00533A41"/>
    <w:rsid w:val="005370B7"/>
    <w:rsid w:val="00543E3B"/>
    <w:rsid w:val="00547AEB"/>
    <w:rsid w:val="0055308C"/>
    <w:rsid w:val="00563D77"/>
    <w:rsid w:val="0057176C"/>
    <w:rsid w:val="00574959"/>
    <w:rsid w:val="00583020"/>
    <w:rsid w:val="00585DF8"/>
    <w:rsid w:val="00586567"/>
    <w:rsid w:val="005869C0"/>
    <w:rsid w:val="005A1D23"/>
    <w:rsid w:val="005A5181"/>
    <w:rsid w:val="005A6C8E"/>
    <w:rsid w:val="005B386E"/>
    <w:rsid w:val="005B4DBC"/>
    <w:rsid w:val="005C2C99"/>
    <w:rsid w:val="005C3528"/>
    <w:rsid w:val="005C3AC2"/>
    <w:rsid w:val="005C7BC7"/>
    <w:rsid w:val="005D06A1"/>
    <w:rsid w:val="005D194A"/>
    <w:rsid w:val="005E3E75"/>
    <w:rsid w:val="005E43FE"/>
    <w:rsid w:val="005F0407"/>
    <w:rsid w:val="005F0CD2"/>
    <w:rsid w:val="006001A7"/>
    <w:rsid w:val="00601198"/>
    <w:rsid w:val="00601610"/>
    <w:rsid w:val="00602CD6"/>
    <w:rsid w:val="0060318D"/>
    <w:rsid w:val="00605AA7"/>
    <w:rsid w:val="006101DC"/>
    <w:rsid w:val="00615305"/>
    <w:rsid w:val="00617E36"/>
    <w:rsid w:val="0062054F"/>
    <w:rsid w:val="00621A56"/>
    <w:rsid w:val="00631013"/>
    <w:rsid w:val="00640BF2"/>
    <w:rsid w:val="006412E4"/>
    <w:rsid w:val="006441C2"/>
    <w:rsid w:val="006442D6"/>
    <w:rsid w:val="006463B1"/>
    <w:rsid w:val="006463E4"/>
    <w:rsid w:val="00647C19"/>
    <w:rsid w:val="00653836"/>
    <w:rsid w:val="006632CD"/>
    <w:rsid w:val="006669DB"/>
    <w:rsid w:val="00667186"/>
    <w:rsid w:val="00671A88"/>
    <w:rsid w:val="006772DA"/>
    <w:rsid w:val="00687B05"/>
    <w:rsid w:val="00692FAA"/>
    <w:rsid w:val="00694BFF"/>
    <w:rsid w:val="006960F8"/>
    <w:rsid w:val="006A234D"/>
    <w:rsid w:val="006A2F27"/>
    <w:rsid w:val="006A64A9"/>
    <w:rsid w:val="006C6B5B"/>
    <w:rsid w:val="006D6047"/>
    <w:rsid w:val="006D6FA0"/>
    <w:rsid w:val="006E10DF"/>
    <w:rsid w:val="006E1633"/>
    <w:rsid w:val="006E256F"/>
    <w:rsid w:val="006E50CD"/>
    <w:rsid w:val="006E5E65"/>
    <w:rsid w:val="006F1287"/>
    <w:rsid w:val="006F47A0"/>
    <w:rsid w:val="006F51FD"/>
    <w:rsid w:val="006F5E05"/>
    <w:rsid w:val="006F674D"/>
    <w:rsid w:val="006F7974"/>
    <w:rsid w:val="00707B08"/>
    <w:rsid w:val="007117C0"/>
    <w:rsid w:val="007152AF"/>
    <w:rsid w:val="0071784C"/>
    <w:rsid w:val="0072009D"/>
    <w:rsid w:val="007212CC"/>
    <w:rsid w:val="00725711"/>
    <w:rsid w:val="007379B2"/>
    <w:rsid w:val="00745F64"/>
    <w:rsid w:val="00746AAC"/>
    <w:rsid w:val="00751F11"/>
    <w:rsid w:val="0075368B"/>
    <w:rsid w:val="00757695"/>
    <w:rsid w:val="00763162"/>
    <w:rsid w:val="00765A0A"/>
    <w:rsid w:val="00774220"/>
    <w:rsid w:val="00783D9D"/>
    <w:rsid w:val="00791D2C"/>
    <w:rsid w:val="007936FD"/>
    <w:rsid w:val="007956DD"/>
    <w:rsid w:val="007A1180"/>
    <w:rsid w:val="007A11C1"/>
    <w:rsid w:val="007A1838"/>
    <w:rsid w:val="007A187B"/>
    <w:rsid w:val="007A43C6"/>
    <w:rsid w:val="007A46D2"/>
    <w:rsid w:val="007A4A60"/>
    <w:rsid w:val="007A4F75"/>
    <w:rsid w:val="007A7760"/>
    <w:rsid w:val="007B0203"/>
    <w:rsid w:val="007B0D4A"/>
    <w:rsid w:val="007B26B8"/>
    <w:rsid w:val="007B346C"/>
    <w:rsid w:val="007B3861"/>
    <w:rsid w:val="007B4E53"/>
    <w:rsid w:val="007C27C0"/>
    <w:rsid w:val="007C2E6D"/>
    <w:rsid w:val="007C62C7"/>
    <w:rsid w:val="007C6E05"/>
    <w:rsid w:val="007D3164"/>
    <w:rsid w:val="007D70F1"/>
    <w:rsid w:val="007E3DA5"/>
    <w:rsid w:val="007E6E83"/>
    <w:rsid w:val="007E75CA"/>
    <w:rsid w:val="007F104B"/>
    <w:rsid w:val="008141E3"/>
    <w:rsid w:val="00823B11"/>
    <w:rsid w:val="0083707C"/>
    <w:rsid w:val="00837B88"/>
    <w:rsid w:val="00841247"/>
    <w:rsid w:val="00841D1E"/>
    <w:rsid w:val="008423F8"/>
    <w:rsid w:val="00851BDB"/>
    <w:rsid w:val="00853A17"/>
    <w:rsid w:val="00856E83"/>
    <w:rsid w:val="0086307F"/>
    <w:rsid w:val="00863345"/>
    <w:rsid w:val="008739CB"/>
    <w:rsid w:val="008743C8"/>
    <w:rsid w:val="00874E41"/>
    <w:rsid w:val="00881011"/>
    <w:rsid w:val="00884AB6"/>
    <w:rsid w:val="008864F2"/>
    <w:rsid w:val="008A5590"/>
    <w:rsid w:val="008A7452"/>
    <w:rsid w:val="008B439A"/>
    <w:rsid w:val="008B723A"/>
    <w:rsid w:val="008C2799"/>
    <w:rsid w:val="008C3111"/>
    <w:rsid w:val="008D530E"/>
    <w:rsid w:val="008E24D6"/>
    <w:rsid w:val="008E7307"/>
    <w:rsid w:val="008F1D78"/>
    <w:rsid w:val="008F4A62"/>
    <w:rsid w:val="008F4A66"/>
    <w:rsid w:val="00900A91"/>
    <w:rsid w:val="009010F6"/>
    <w:rsid w:val="00904433"/>
    <w:rsid w:val="00905545"/>
    <w:rsid w:val="00914F65"/>
    <w:rsid w:val="00924DA2"/>
    <w:rsid w:val="00926DA7"/>
    <w:rsid w:val="009320FB"/>
    <w:rsid w:val="0093419E"/>
    <w:rsid w:val="0094579F"/>
    <w:rsid w:val="009473CC"/>
    <w:rsid w:val="00951EB7"/>
    <w:rsid w:val="00955FDB"/>
    <w:rsid w:val="009672C9"/>
    <w:rsid w:val="009678EC"/>
    <w:rsid w:val="009804F6"/>
    <w:rsid w:val="009922C5"/>
    <w:rsid w:val="00995D2E"/>
    <w:rsid w:val="00997676"/>
    <w:rsid w:val="009A23B9"/>
    <w:rsid w:val="009B4978"/>
    <w:rsid w:val="009B6C1B"/>
    <w:rsid w:val="009C312C"/>
    <w:rsid w:val="009C56E0"/>
    <w:rsid w:val="009C656E"/>
    <w:rsid w:val="009D4803"/>
    <w:rsid w:val="009D6F49"/>
    <w:rsid w:val="009F09D7"/>
    <w:rsid w:val="009F2A08"/>
    <w:rsid w:val="009F41ED"/>
    <w:rsid w:val="009F5E40"/>
    <w:rsid w:val="009F73BC"/>
    <w:rsid w:val="00A001CB"/>
    <w:rsid w:val="00A059CB"/>
    <w:rsid w:val="00A135C7"/>
    <w:rsid w:val="00A1482D"/>
    <w:rsid w:val="00A16938"/>
    <w:rsid w:val="00A17B18"/>
    <w:rsid w:val="00A202CE"/>
    <w:rsid w:val="00A258AE"/>
    <w:rsid w:val="00A25ED9"/>
    <w:rsid w:val="00A277A5"/>
    <w:rsid w:val="00A30096"/>
    <w:rsid w:val="00A3420B"/>
    <w:rsid w:val="00A45B74"/>
    <w:rsid w:val="00A50A4E"/>
    <w:rsid w:val="00A533E8"/>
    <w:rsid w:val="00A563A1"/>
    <w:rsid w:val="00A56A94"/>
    <w:rsid w:val="00A617F4"/>
    <w:rsid w:val="00A62D72"/>
    <w:rsid w:val="00A70E8F"/>
    <w:rsid w:val="00A71537"/>
    <w:rsid w:val="00A73685"/>
    <w:rsid w:val="00A73BF5"/>
    <w:rsid w:val="00A82888"/>
    <w:rsid w:val="00A8519F"/>
    <w:rsid w:val="00A86E9A"/>
    <w:rsid w:val="00A95E4C"/>
    <w:rsid w:val="00AA29C1"/>
    <w:rsid w:val="00AA55C1"/>
    <w:rsid w:val="00AA5D0B"/>
    <w:rsid w:val="00AA693B"/>
    <w:rsid w:val="00AB2CA5"/>
    <w:rsid w:val="00AB5A3A"/>
    <w:rsid w:val="00AC2435"/>
    <w:rsid w:val="00AD1903"/>
    <w:rsid w:val="00AD4326"/>
    <w:rsid w:val="00AD56B6"/>
    <w:rsid w:val="00AE16E1"/>
    <w:rsid w:val="00AE294C"/>
    <w:rsid w:val="00AE2C7B"/>
    <w:rsid w:val="00AE3B07"/>
    <w:rsid w:val="00AE5915"/>
    <w:rsid w:val="00B05DC2"/>
    <w:rsid w:val="00B07800"/>
    <w:rsid w:val="00B13AE5"/>
    <w:rsid w:val="00B16193"/>
    <w:rsid w:val="00B21BB4"/>
    <w:rsid w:val="00B23782"/>
    <w:rsid w:val="00B24841"/>
    <w:rsid w:val="00B25618"/>
    <w:rsid w:val="00B30409"/>
    <w:rsid w:val="00B318F6"/>
    <w:rsid w:val="00B37D91"/>
    <w:rsid w:val="00B41679"/>
    <w:rsid w:val="00B42E72"/>
    <w:rsid w:val="00B516A8"/>
    <w:rsid w:val="00B52C9E"/>
    <w:rsid w:val="00B55D52"/>
    <w:rsid w:val="00B607D2"/>
    <w:rsid w:val="00B607EA"/>
    <w:rsid w:val="00B61AD5"/>
    <w:rsid w:val="00B646AB"/>
    <w:rsid w:val="00B736A8"/>
    <w:rsid w:val="00B77081"/>
    <w:rsid w:val="00B90350"/>
    <w:rsid w:val="00B90B2E"/>
    <w:rsid w:val="00B920BE"/>
    <w:rsid w:val="00B92E38"/>
    <w:rsid w:val="00BA117D"/>
    <w:rsid w:val="00BA73BF"/>
    <w:rsid w:val="00BB2054"/>
    <w:rsid w:val="00BC4F6B"/>
    <w:rsid w:val="00BD25FE"/>
    <w:rsid w:val="00BD472F"/>
    <w:rsid w:val="00BD5E0D"/>
    <w:rsid w:val="00BD6535"/>
    <w:rsid w:val="00BE5284"/>
    <w:rsid w:val="00BE573C"/>
    <w:rsid w:val="00BE663B"/>
    <w:rsid w:val="00BF6344"/>
    <w:rsid w:val="00BF7B1C"/>
    <w:rsid w:val="00C01709"/>
    <w:rsid w:val="00C01912"/>
    <w:rsid w:val="00C02736"/>
    <w:rsid w:val="00C036AD"/>
    <w:rsid w:val="00C06EAB"/>
    <w:rsid w:val="00C10239"/>
    <w:rsid w:val="00C15E51"/>
    <w:rsid w:val="00C23BBC"/>
    <w:rsid w:val="00C25C89"/>
    <w:rsid w:val="00C27AAD"/>
    <w:rsid w:val="00C32615"/>
    <w:rsid w:val="00C33868"/>
    <w:rsid w:val="00C36E66"/>
    <w:rsid w:val="00C4473E"/>
    <w:rsid w:val="00C46C25"/>
    <w:rsid w:val="00C47155"/>
    <w:rsid w:val="00C47CAB"/>
    <w:rsid w:val="00C5169D"/>
    <w:rsid w:val="00C52467"/>
    <w:rsid w:val="00C56134"/>
    <w:rsid w:val="00C57707"/>
    <w:rsid w:val="00C630CD"/>
    <w:rsid w:val="00C63592"/>
    <w:rsid w:val="00C715A8"/>
    <w:rsid w:val="00C806DF"/>
    <w:rsid w:val="00C84AC2"/>
    <w:rsid w:val="00C84E34"/>
    <w:rsid w:val="00C8509C"/>
    <w:rsid w:val="00C85540"/>
    <w:rsid w:val="00C85626"/>
    <w:rsid w:val="00C878CD"/>
    <w:rsid w:val="00C91FF9"/>
    <w:rsid w:val="00C97820"/>
    <w:rsid w:val="00CA04B7"/>
    <w:rsid w:val="00CA1222"/>
    <w:rsid w:val="00CA3C31"/>
    <w:rsid w:val="00CB13DF"/>
    <w:rsid w:val="00CB1407"/>
    <w:rsid w:val="00CB2373"/>
    <w:rsid w:val="00CB5082"/>
    <w:rsid w:val="00CB5605"/>
    <w:rsid w:val="00CB67B0"/>
    <w:rsid w:val="00CB7AAD"/>
    <w:rsid w:val="00CC202D"/>
    <w:rsid w:val="00CC67C0"/>
    <w:rsid w:val="00CD49D7"/>
    <w:rsid w:val="00CD4E64"/>
    <w:rsid w:val="00CD6391"/>
    <w:rsid w:val="00CE1553"/>
    <w:rsid w:val="00CE7FEB"/>
    <w:rsid w:val="00CF1E90"/>
    <w:rsid w:val="00D14AD5"/>
    <w:rsid w:val="00D1703D"/>
    <w:rsid w:val="00D172DD"/>
    <w:rsid w:val="00D17827"/>
    <w:rsid w:val="00D24657"/>
    <w:rsid w:val="00D4055D"/>
    <w:rsid w:val="00D415CC"/>
    <w:rsid w:val="00D438B5"/>
    <w:rsid w:val="00D4397A"/>
    <w:rsid w:val="00D43CBC"/>
    <w:rsid w:val="00D46CB1"/>
    <w:rsid w:val="00D50FF7"/>
    <w:rsid w:val="00D552C3"/>
    <w:rsid w:val="00D56457"/>
    <w:rsid w:val="00D57BC7"/>
    <w:rsid w:val="00D60EB3"/>
    <w:rsid w:val="00D61DBA"/>
    <w:rsid w:val="00D6442E"/>
    <w:rsid w:val="00D73FBC"/>
    <w:rsid w:val="00D847A5"/>
    <w:rsid w:val="00D857A2"/>
    <w:rsid w:val="00D8707F"/>
    <w:rsid w:val="00D95439"/>
    <w:rsid w:val="00D97D0F"/>
    <w:rsid w:val="00DB04EE"/>
    <w:rsid w:val="00DB0E98"/>
    <w:rsid w:val="00DB2C77"/>
    <w:rsid w:val="00DC0A9E"/>
    <w:rsid w:val="00DC2DA2"/>
    <w:rsid w:val="00DC3206"/>
    <w:rsid w:val="00DC41C1"/>
    <w:rsid w:val="00DC7196"/>
    <w:rsid w:val="00DD1541"/>
    <w:rsid w:val="00DD63F8"/>
    <w:rsid w:val="00DE38E6"/>
    <w:rsid w:val="00DE7B66"/>
    <w:rsid w:val="00DF3EC4"/>
    <w:rsid w:val="00E0004A"/>
    <w:rsid w:val="00E06D1A"/>
    <w:rsid w:val="00E07D0A"/>
    <w:rsid w:val="00E13FB7"/>
    <w:rsid w:val="00E20541"/>
    <w:rsid w:val="00E24571"/>
    <w:rsid w:val="00E3120B"/>
    <w:rsid w:val="00E3142C"/>
    <w:rsid w:val="00E35D25"/>
    <w:rsid w:val="00E362A2"/>
    <w:rsid w:val="00E429F5"/>
    <w:rsid w:val="00E43F55"/>
    <w:rsid w:val="00E51321"/>
    <w:rsid w:val="00E513D4"/>
    <w:rsid w:val="00E52761"/>
    <w:rsid w:val="00E5333F"/>
    <w:rsid w:val="00E53D31"/>
    <w:rsid w:val="00E55E28"/>
    <w:rsid w:val="00E57433"/>
    <w:rsid w:val="00E57DCD"/>
    <w:rsid w:val="00E614FF"/>
    <w:rsid w:val="00E62559"/>
    <w:rsid w:val="00E6356D"/>
    <w:rsid w:val="00E70BA4"/>
    <w:rsid w:val="00E75B20"/>
    <w:rsid w:val="00E7616E"/>
    <w:rsid w:val="00E76E92"/>
    <w:rsid w:val="00E853FF"/>
    <w:rsid w:val="00E87EF4"/>
    <w:rsid w:val="00E95623"/>
    <w:rsid w:val="00E957CC"/>
    <w:rsid w:val="00E959BD"/>
    <w:rsid w:val="00E96ED6"/>
    <w:rsid w:val="00EA6D53"/>
    <w:rsid w:val="00EA7DA8"/>
    <w:rsid w:val="00EB70BE"/>
    <w:rsid w:val="00EC5EC7"/>
    <w:rsid w:val="00EC7DD8"/>
    <w:rsid w:val="00ED1684"/>
    <w:rsid w:val="00ED753A"/>
    <w:rsid w:val="00ED7E39"/>
    <w:rsid w:val="00EE0107"/>
    <w:rsid w:val="00EE4522"/>
    <w:rsid w:val="00EE65DA"/>
    <w:rsid w:val="00EF127E"/>
    <w:rsid w:val="00EF2BF8"/>
    <w:rsid w:val="00EF3140"/>
    <w:rsid w:val="00EF3B5C"/>
    <w:rsid w:val="00F00495"/>
    <w:rsid w:val="00F01009"/>
    <w:rsid w:val="00F035C8"/>
    <w:rsid w:val="00F051CD"/>
    <w:rsid w:val="00F10E82"/>
    <w:rsid w:val="00F21A18"/>
    <w:rsid w:val="00F2371F"/>
    <w:rsid w:val="00F23B3E"/>
    <w:rsid w:val="00F24654"/>
    <w:rsid w:val="00F24794"/>
    <w:rsid w:val="00F30C9C"/>
    <w:rsid w:val="00F325F9"/>
    <w:rsid w:val="00F335D2"/>
    <w:rsid w:val="00F360E2"/>
    <w:rsid w:val="00F36E2D"/>
    <w:rsid w:val="00F4166D"/>
    <w:rsid w:val="00F46CB9"/>
    <w:rsid w:val="00F4771C"/>
    <w:rsid w:val="00F6193E"/>
    <w:rsid w:val="00F628A4"/>
    <w:rsid w:val="00F6396C"/>
    <w:rsid w:val="00F649EE"/>
    <w:rsid w:val="00F65DC0"/>
    <w:rsid w:val="00F709A3"/>
    <w:rsid w:val="00F74A88"/>
    <w:rsid w:val="00F84A94"/>
    <w:rsid w:val="00F9041A"/>
    <w:rsid w:val="00F92A04"/>
    <w:rsid w:val="00F92A1C"/>
    <w:rsid w:val="00F956F5"/>
    <w:rsid w:val="00FA05D0"/>
    <w:rsid w:val="00FA566C"/>
    <w:rsid w:val="00FA7872"/>
    <w:rsid w:val="00FB6809"/>
    <w:rsid w:val="00FC161B"/>
    <w:rsid w:val="00FC34F6"/>
    <w:rsid w:val="00FE1B9F"/>
    <w:rsid w:val="00FE2D87"/>
    <w:rsid w:val="00FE55A2"/>
    <w:rsid w:val="00FE6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3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82E46"/>
    <w:rPr>
      <w:sz w:val="16"/>
      <w:szCs w:val="16"/>
    </w:rPr>
  </w:style>
  <w:style w:type="paragraph" w:styleId="CommentText">
    <w:name w:val="annotation text"/>
    <w:basedOn w:val="Normal"/>
    <w:link w:val="CommentTextChar"/>
    <w:uiPriority w:val="99"/>
    <w:rsid w:val="00382E46"/>
    <w:pPr>
      <w:spacing w:before="120" w:after="120" w:line="240" w:lineRule="auto"/>
    </w:pPr>
    <w:rPr>
      <w:rFonts w:ascii="Arial" w:eastAsia="Times New Roman" w:hAnsi="Arial" w:cs="Arial"/>
      <w:kern w:val="0"/>
      <w:sz w:val="20"/>
      <w:lang w:val="en-NZ"/>
      <w14:ligatures w14:val="none"/>
    </w:rPr>
  </w:style>
  <w:style w:type="character" w:customStyle="1" w:styleId="CommentTextChar">
    <w:name w:val="Comment Text Char"/>
    <w:basedOn w:val="DefaultParagraphFont"/>
    <w:link w:val="CommentText"/>
    <w:uiPriority w:val="99"/>
    <w:rsid w:val="00382E46"/>
    <w:rPr>
      <w:rFonts w:ascii="Arial" w:eastAsia="Times New Roman" w:hAnsi="Arial" w:cs="Arial"/>
      <w:kern w:val="0"/>
      <w:sz w:val="20"/>
      <w:lang w:val="en-NZ"/>
      <w14:ligatures w14:val="none"/>
    </w:rPr>
  </w:style>
  <w:style w:type="character" w:styleId="Strong">
    <w:name w:val="Strong"/>
    <w:basedOn w:val="DefaultParagraphFont"/>
    <w:uiPriority w:val="22"/>
    <w:qFormat/>
    <w:rsid w:val="00A62D72"/>
    <w:rPr>
      <w:b/>
      <w:bCs/>
      <w:color w:val="44546A" w:themeColor="text2"/>
    </w:rPr>
  </w:style>
  <w:style w:type="paragraph" w:customStyle="1" w:styleId="Bullet1">
    <w:name w:val="Bullet 1"/>
    <w:basedOn w:val="Normal"/>
    <w:qFormat/>
    <w:rsid w:val="00A62D72"/>
    <w:pPr>
      <w:numPr>
        <w:numId w:val="1"/>
      </w:numPr>
      <w:tabs>
        <w:tab w:val="left" w:pos="567"/>
      </w:tabs>
      <w:suppressAutoHyphens/>
      <w:spacing w:before="60" w:after="60" w:line="260" w:lineRule="atLeast"/>
    </w:pPr>
    <w:rPr>
      <w:color w:val="44546A" w:themeColor="text2"/>
      <w:kern w:val="0"/>
      <w:lang w:val="en-GB"/>
      <w14:ligatures w14:val="none"/>
    </w:rPr>
  </w:style>
  <w:style w:type="paragraph" w:customStyle="1" w:styleId="Bullet2">
    <w:name w:val="Bullet 2"/>
    <w:basedOn w:val="Bullet1"/>
    <w:qFormat/>
    <w:rsid w:val="00A62D72"/>
    <w:pPr>
      <w:numPr>
        <w:ilvl w:val="1"/>
      </w:numPr>
      <w:tabs>
        <w:tab w:val="clear" w:pos="568"/>
        <w:tab w:val="left" w:pos="851"/>
      </w:tabs>
    </w:pPr>
  </w:style>
  <w:style w:type="paragraph" w:customStyle="1" w:styleId="Bullet3">
    <w:name w:val="Bullet 3"/>
    <w:basedOn w:val="Bullet2"/>
    <w:qFormat/>
    <w:rsid w:val="00A62D72"/>
    <w:pPr>
      <w:numPr>
        <w:ilvl w:val="2"/>
      </w:numPr>
      <w:tabs>
        <w:tab w:val="clear" w:pos="852"/>
        <w:tab w:val="left" w:pos="1134"/>
      </w:tabs>
    </w:pPr>
  </w:style>
  <w:style w:type="numbering" w:customStyle="1" w:styleId="BulletsList">
    <w:name w:val="Bullets List"/>
    <w:uiPriority w:val="99"/>
    <w:rsid w:val="00A62D72"/>
    <w:pPr>
      <w:numPr>
        <w:numId w:val="1"/>
      </w:numPr>
    </w:pPr>
  </w:style>
  <w:style w:type="paragraph" w:styleId="CommentSubject">
    <w:name w:val="annotation subject"/>
    <w:basedOn w:val="CommentText"/>
    <w:next w:val="CommentText"/>
    <w:link w:val="CommentSubjectChar"/>
    <w:uiPriority w:val="99"/>
    <w:semiHidden/>
    <w:unhideWhenUsed/>
    <w:rsid w:val="008A5590"/>
    <w:pPr>
      <w:spacing w:before="0" w:after="160"/>
    </w:pPr>
    <w:rPr>
      <w:rFonts w:asciiTheme="minorHAnsi" w:eastAsiaTheme="minorHAnsi" w:hAnsiTheme="minorHAnsi" w:cstheme="minorBidi"/>
      <w:b/>
      <w:bCs/>
      <w:kern w:val="2"/>
      <w:szCs w:val="20"/>
      <w:lang w:val="en-AU"/>
      <w14:ligatures w14:val="standardContextual"/>
    </w:rPr>
  </w:style>
  <w:style w:type="character" w:customStyle="1" w:styleId="CommentSubjectChar">
    <w:name w:val="Comment Subject Char"/>
    <w:basedOn w:val="CommentTextChar"/>
    <w:link w:val="CommentSubject"/>
    <w:uiPriority w:val="99"/>
    <w:semiHidden/>
    <w:rsid w:val="008A5590"/>
    <w:rPr>
      <w:rFonts w:ascii="Arial" w:eastAsia="Times New Roman" w:hAnsi="Arial" w:cs="Arial"/>
      <w:b/>
      <w:bCs/>
      <w:kern w:val="0"/>
      <w:sz w:val="20"/>
      <w:szCs w:val="20"/>
      <w:lang w:val="en-NZ"/>
      <w14:ligatures w14:val="none"/>
    </w:rPr>
  </w:style>
  <w:style w:type="paragraph" w:styleId="Header">
    <w:name w:val="header"/>
    <w:basedOn w:val="Normal"/>
    <w:link w:val="HeaderChar"/>
    <w:uiPriority w:val="99"/>
    <w:unhideWhenUsed/>
    <w:rsid w:val="00D43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8B5"/>
  </w:style>
  <w:style w:type="paragraph" w:styleId="Footer">
    <w:name w:val="footer"/>
    <w:basedOn w:val="Normal"/>
    <w:link w:val="FooterChar"/>
    <w:uiPriority w:val="99"/>
    <w:unhideWhenUsed/>
    <w:rsid w:val="00D43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8B5"/>
  </w:style>
  <w:style w:type="table" w:styleId="GridTable5Dark-Accent5">
    <w:name w:val="Grid Table 5 Dark Accent 5"/>
    <w:basedOn w:val="TableNormal"/>
    <w:uiPriority w:val="50"/>
    <w:rsid w:val="003B27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on">
    <w:name w:val="Revision"/>
    <w:hidden/>
    <w:uiPriority w:val="99"/>
    <w:semiHidden/>
    <w:rsid w:val="001307F5"/>
    <w:pPr>
      <w:spacing w:after="0" w:line="240" w:lineRule="auto"/>
    </w:pPr>
  </w:style>
  <w:style w:type="paragraph" w:styleId="ListParagraph">
    <w:name w:val="List Paragraph"/>
    <w:basedOn w:val="Normal"/>
    <w:uiPriority w:val="34"/>
    <w:qFormat/>
    <w:rsid w:val="006442D6"/>
    <w:pPr>
      <w:ind w:left="720"/>
      <w:contextualSpacing/>
    </w:pPr>
  </w:style>
  <w:style w:type="character" w:customStyle="1" w:styleId="Heading1Char">
    <w:name w:val="Heading 1 Char"/>
    <w:basedOn w:val="DefaultParagraphFont"/>
    <w:link w:val="Heading1"/>
    <w:uiPriority w:val="9"/>
    <w:rsid w:val="00B256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5618"/>
    <w:rPr>
      <w:rFonts w:asciiTheme="majorHAnsi" w:eastAsiaTheme="majorEastAsia" w:hAnsiTheme="majorHAnsi" w:cstheme="majorBidi"/>
      <w:color w:val="2F5496" w:themeColor="accent1" w:themeShade="BF"/>
      <w:sz w:val="26"/>
      <w:szCs w:val="26"/>
    </w:rPr>
  </w:style>
  <w:style w:type="table" w:styleId="GridTable5Dark-Accent1">
    <w:name w:val="Grid Table 5 Dark Accent 1"/>
    <w:basedOn w:val="TableNormal"/>
    <w:uiPriority w:val="50"/>
    <w:rsid w:val="00751F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07E7-DA5A-4473-8EE0-23446DD5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2471</Words>
  <Characters>14020</Characters>
  <Application>Microsoft Office Word</Application>
  <DocSecurity>0</DocSecurity>
  <Lines>552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 -DFAT Management Response: Mid-Term Review of the Vanuatu Australia Policing and Justice Program</dc:title>
  <dc:subject/>
  <dc:creator/>
  <cp:keywords>[SEC=OFFICIAL]</cp:keywords>
  <dc:description/>
  <cp:lastModifiedBy/>
  <cp:revision>1</cp:revision>
  <dcterms:created xsi:type="dcterms:W3CDTF">2024-06-27T22:20:00Z</dcterms:created>
  <dcterms:modified xsi:type="dcterms:W3CDTF">2024-06-27T22:25:00Z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v=2022.1;a=SHA256;h=DF898EC4E3EAC33FA5FB32DCEED42244C35597EB44F4FC660A09618543AD914A</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2024-02-02T04:58:44Z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03204B69AFCF4B1DA04C6354258BB666</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D5156736560F102CBDFA668BDA5DD35B</vt:lpwstr>
  </property>
  <property fmtid="{D5CDD505-2E9C-101B-9397-08002B2CF9AE}" pid="24" name="PM_Hash_Salt">
    <vt:lpwstr>5B4EADF1A7068D5D5A98CE30DA4CF5E0</vt:lpwstr>
  </property>
  <property fmtid="{D5CDD505-2E9C-101B-9397-08002B2CF9AE}" pid="25" name="PM_Hash_SHA1">
    <vt:lpwstr>833B3345B341F8D3E84218354A6789E7587D6B5E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