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38" w:rsidRPr="00011725" w:rsidRDefault="00CA7A38" w:rsidP="00E70031">
      <w:pPr>
        <w:pStyle w:val="Title"/>
        <w:jc w:val="center"/>
        <w:rPr>
          <w:rFonts w:asciiTheme="minorHAnsi" w:hAnsiTheme="minorHAnsi"/>
        </w:rPr>
      </w:pPr>
    </w:p>
    <w:p w:rsidR="00CA7A38" w:rsidRPr="00011725" w:rsidRDefault="00CA7A38" w:rsidP="00E70031">
      <w:pPr>
        <w:pStyle w:val="Title"/>
        <w:rPr>
          <w:rFonts w:asciiTheme="minorHAnsi" w:hAnsiTheme="minorHAnsi"/>
        </w:rPr>
      </w:pPr>
    </w:p>
    <w:p w:rsidR="00CA7A38" w:rsidRPr="00011725" w:rsidRDefault="00CA7A38" w:rsidP="00E70031">
      <w:pPr>
        <w:pStyle w:val="Title"/>
        <w:jc w:val="center"/>
        <w:rPr>
          <w:rFonts w:asciiTheme="minorHAnsi" w:hAnsiTheme="minorHAnsi"/>
        </w:rPr>
      </w:pPr>
    </w:p>
    <w:p w:rsidR="00CA7A38" w:rsidRPr="00011725" w:rsidRDefault="00CA7A38" w:rsidP="00E70031">
      <w:pPr>
        <w:pStyle w:val="Title"/>
        <w:jc w:val="center"/>
        <w:rPr>
          <w:rFonts w:asciiTheme="minorHAnsi" w:hAnsiTheme="minorHAnsi"/>
        </w:rPr>
      </w:pPr>
    </w:p>
    <w:p w:rsidR="00CA7A38" w:rsidRPr="00011725" w:rsidRDefault="00CA7A38" w:rsidP="00E70031">
      <w:pPr>
        <w:pStyle w:val="Title"/>
        <w:rPr>
          <w:rFonts w:asciiTheme="minorHAnsi" w:hAnsiTheme="minorHAnsi"/>
        </w:rPr>
      </w:pPr>
    </w:p>
    <w:p w:rsidR="00CA7A38" w:rsidRPr="00011725" w:rsidRDefault="00CA7A38" w:rsidP="00E70031">
      <w:pPr>
        <w:pStyle w:val="Title"/>
        <w:jc w:val="center"/>
        <w:rPr>
          <w:rFonts w:asciiTheme="minorHAnsi" w:hAnsiTheme="minorHAnsi"/>
        </w:rPr>
      </w:pPr>
      <w:proofErr w:type="spellStart"/>
      <w:r>
        <w:rPr>
          <w:rFonts w:asciiTheme="minorHAnsi" w:hAnsiTheme="minorHAnsi"/>
        </w:rPr>
        <w:t>Stretem</w:t>
      </w:r>
      <w:proofErr w:type="spellEnd"/>
      <w:r>
        <w:rPr>
          <w:rFonts w:asciiTheme="minorHAnsi" w:hAnsiTheme="minorHAnsi"/>
        </w:rPr>
        <w:t xml:space="preserve"> Rod </w:t>
      </w:r>
      <w:proofErr w:type="spellStart"/>
      <w:r>
        <w:rPr>
          <w:rFonts w:asciiTheme="minorHAnsi" w:hAnsiTheme="minorHAnsi"/>
        </w:rPr>
        <w:t>blong</w:t>
      </w:r>
      <w:proofErr w:type="spellEnd"/>
      <w:r>
        <w:rPr>
          <w:rFonts w:asciiTheme="minorHAnsi" w:hAnsiTheme="minorHAnsi"/>
        </w:rPr>
        <w:t xml:space="preserve"> </w:t>
      </w:r>
      <w:proofErr w:type="spellStart"/>
      <w:r>
        <w:rPr>
          <w:rFonts w:asciiTheme="minorHAnsi" w:hAnsiTheme="minorHAnsi"/>
        </w:rPr>
        <w:t>Jastis</w:t>
      </w:r>
      <w:proofErr w:type="spellEnd"/>
      <w:r>
        <w:rPr>
          <w:rFonts w:asciiTheme="minorHAnsi" w:hAnsiTheme="minorHAnsi"/>
        </w:rPr>
        <w:t xml:space="preserve"> </w:t>
      </w:r>
      <w:proofErr w:type="spellStart"/>
      <w:r>
        <w:rPr>
          <w:rFonts w:asciiTheme="minorHAnsi" w:hAnsiTheme="minorHAnsi"/>
        </w:rPr>
        <w:t>mo</w:t>
      </w:r>
      <w:proofErr w:type="spellEnd"/>
      <w:r>
        <w:rPr>
          <w:rFonts w:asciiTheme="minorHAnsi" w:hAnsiTheme="minorHAnsi"/>
        </w:rPr>
        <w:t xml:space="preserve"> </w:t>
      </w:r>
      <w:proofErr w:type="spellStart"/>
      <w:r>
        <w:rPr>
          <w:rFonts w:asciiTheme="minorHAnsi" w:hAnsiTheme="minorHAnsi"/>
        </w:rPr>
        <w:t>Sefti</w:t>
      </w:r>
      <w:proofErr w:type="spellEnd"/>
      <w:r>
        <w:rPr>
          <w:rFonts w:asciiTheme="minorHAnsi" w:hAnsiTheme="minorHAnsi"/>
        </w:rPr>
        <w:t xml:space="preserve"> (SRBJS)</w:t>
      </w:r>
    </w:p>
    <w:p w:rsidR="00CA7A38" w:rsidRPr="00011725" w:rsidRDefault="00CA7A38" w:rsidP="00E70031">
      <w:pPr>
        <w:pStyle w:val="Title"/>
        <w:jc w:val="center"/>
        <w:rPr>
          <w:rFonts w:asciiTheme="minorHAnsi" w:hAnsiTheme="minorHAnsi"/>
          <w:sz w:val="40"/>
          <w:szCs w:val="40"/>
        </w:rPr>
      </w:pPr>
      <w:r w:rsidRPr="00011725">
        <w:rPr>
          <w:rFonts w:asciiTheme="minorHAnsi" w:hAnsiTheme="minorHAnsi"/>
          <w:sz w:val="40"/>
          <w:szCs w:val="40"/>
        </w:rPr>
        <w:t xml:space="preserve">Vanuatu-Australia </w:t>
      </w:r>
      <w:r>
        <w:rPr>
          <w:rFonts w:asciiTheme="minorHAnsi" w:hAnsiTheme="minorHAnsi"/>
          <w:sz w:val="40"/>
          <w:szCs w:val="40"/>
        </w:rPr>
        <w:t>Policing and</w:t>
      </w:r>
      <w:r w:rsidRPr="00011725">
        <w:rPr>
          <w:rFonts w:asciiTheme="minorHAnsi" w:hAnsiTheme="minorHAnsi"/>
          <w:sz w:val="40"/>
          <w:szCs w:val="40"/>
        </w:rPr>
        <w:t xml:space="preserve"> Justice</w:t>
      </w:r>
      <w:r>
        <w:rPr>
          <w:rFonts w:asciiTheme="minorHAnsi" w:hAnsiTheme="minorHAnsi"/>
          <w:sz w:val="40"/>
          <w:szCs w:val="40"/>
        </w:rPr>
        <w:t xml:space="preserve"> </w:t>
      </w:r>
      <w:r w:rsidRPr="00011725">
        <w:rPr>
          <w:rFonts w:asciiTheme="minorHAnsi" w:hAnsiTheme="minorHAnsi"/>
          <w:sz w:val="40"/>
          <w:szCs w:val="40"/>
        </w:rPr>
        <w:t>Program</w:t>
      </w:r>
    </w:p>
    <w:p w:rsidR="00CA7A38" w:rsidRPr="00011725" w:rsidRDefault="00CA7A38" w:rsidP="00E70031">
      <w:pPr>
        <w:pStyle w:val="Title"/>
        <w:jc w:val="center"/>
        <w:rPr>
          <w:rFonts w:asciiTheme="minorHAnsi" w:hAnsiTheme="minorHAnsi"/>
          <w:sz w:val="40"/>
          <w:szCs w:val="40"/>
        </w:rPr>
      </w:pPr>
      <w:r w:rsidRPr="00011725">
        <w:rPr>
          <w:rFonts w:asciiTheme="minorHAnsi" w:hAnsiTheme="minorHAnsi"/>
          <w:sz w:val="40"/>
          <w:szCs w:val="40"/>
        </w:rPr>
        <w:t>2017-2020</w:t>
      </w:r>
    </w:p>
    <w:p w:rsidR="00CA7A38" w:rsidRPr="00011725" w:rsidRDefault="00CA7A38" w:rsidP="00E70031">
      <w:pPr>
        <w:pStyle w:val="Title"/>
        <w:jc w:val="center"/>
        <w:rPr>
          <w:rFonts w:asciiTheme="minorHAnsi" w:hAnsiTheme="minorHAnsi"/>
          <w:sz w:val="40"/>
          <w:szCs w:val="40"/>
        </w:rPr>
      </w:pPr>
      <w:r w:rsidRPr="00011725">
        <w:rPr>
          <w:rFonts w:asciiTheme="minorHAnsi" w:hAnsiTheme="minorHAnsi"/>
          <w:sz w:val="40"/>
          <w:szCs w:val="40"/>
        </w:rPr>
        <w:t>Program Design Document</w:t>
      </w:r>
    </w:p>
    <w:p w:rsidR="00CA7A38" w:rsidRPr="00011725" w:rsidRDefault="003D647C" w:rsidP="00E70031">
      <w:pPr>
        <w:jc w:val="center"/>
        <w:rPr>
          <w:color w:val="44546A" w:themeColor="text2"/>
          <w:sz w:val="36"/>
          <w:szCs w:val="36"/>
        </w:rPr>
      </w:pPr>
      <w:r>
        <w:rPr>
          <w:color w:val="44546A" w:themeColor="text2"/>
          <w:sz w:val="36"/>
          <w:szCs w:val="36"/>
        </w:rPr>
        <w:t xml:space="preserve">September </w:t>
      </w:r>
      <w:bookmarkStart w:id="0" w:name="_GoBack"/>
      <w:bookmarkEnd w:id="0"/>
      <w:r w:rsidR="00CA7A38" w:rsidRPr="00011725">
        <w:rPr>
          <w:color w:val="44546A" w:themeColor="text2"/>
          <w:sz w:val="36"/>
          <w:szCs w:val="36"/>
        </w:rPr>
        <w:t>2016</w:t>
      </w:r>
    </w:p>
    <w:p w:rsidR="00CA7A38" w:rsidRPr="00011725" w:rsidRDefault="00CA7A38" w:rsidP="00E70031">
      <w:pPr>
        <w:jc w:val="center"/>
        <w:rPr>
          <w:color w:val="44546A" w:themeColor="text2"/>
          <w:sz w:val="36"/>
          <w:szCs w:val="36"/>
        </w:rPr>
      </w:pPr>
    </w:p>
    <w:p w:rsidR="00CA7A38" w:rsidRPr="00011725" w:rsidRDefault="00CA7A38" w:rsidP="00E70031">
      <w:pPr>
        <w:jc w:val="center"/>
        <w:rPr>
          <w:color w:val="44546A" w:themeColor="text2"/>
          <w:sz w:val="36"/>
          <w:szCs w:val="36"/>
        </w:rPr>
      </w:pPr>
    </w:p>
    <w:p w:rsidR="00CA7A38" w:rsidRPr="00011725" w:rsidRDefault="00CA7A38" w:rsidP="00E70031">
      <w:pPr>
        <w:rPr>
          <w:b/>
          <w:sz w:val="28"/>
          <w:szCs w:val="28"/>
        </w:rPr>
      </w:pPr>
      <w:r w:rsidRPr="00011725">
        <w:rPr>
          <w:b/>
          <w:sz w:val="28"/>
          <w:szCs w:val="28"/>
        </w:rPr>
        <w:br w:type="page"/>
      </w:r>
    </w:p>
    <w:p w:rsidR="00CC0273" w:rsidRDefault="00CA7A38">
      <w:pPr>
        <w:pStyle w:val="TOC1"/>
        <w:tabs>
          <w:tab w:val="right" w:pos="9016"/>
        </w:tabs>
        <w:rPr>
          <w:rFonts w:eastAsiaTheme="minorEastAsia"/>
          <w:noProof/>
          <w:lang w:eastAsia="en-AU"/>
        </w:rPr>
      </w:pPr>
      <w:r w:rsidRPr="00011725">
        <w:rPr>
          <w:b/>
          <w:sz w:val="28"/>
          <w:szCs w:val="28"/>
        </w:rPr>
        <w:lastRenderedPageBreak/>
        <w:fldChar w:fldCharType="begin"/>
      </w:r>
      <w:r w:rsidRPr="00011725">
        <w:rPr>
          <w:b/>
          <w:sz w:val="28"/>
          <w:szCs w:val="28"/>
        </w:rPr>
        <w:instrText xml:space="preserve"> TOC \o "1-2" \h \z \u </w:instrText>
      </w:r>
      <w:r w:rsidRPr="00011725">
        <w:rPr>
          <w:b/>
          <w:sz w:val="28"/>
          <w:szCs w:val="28"/>
        </w:rPr>
        <w:fldChar w:fldCharType="separate"/>
      </w:r>
      <w:hyperlink w:anchor="_Toc458698405" w:history="1">
        <w:r w:rsidR="00CC0273" w:rsidRPr="00696AD6">
          <w:rPr>
            <w:rStyle w:val="Hyperlink"/>
            <w:b/>
            <w:noProof/>
          </w:rPr>
          <w:t>EXECUTIVE SUMMARY</w:t>
        </w:r>
        <w:r w:rsidR="00CC0273">
          <w:rPr>
            <w:noProof/>
            <w:webHidden/>
          </w:rPr>
          <w:tab/>
        </w:r>
        <w:r w:rsidR="00CC0273">
          <w:rPr>
            <w:noProof/>
            <w:webHidden/>
          </w:rPr>
          <w:fldChar w:fldCharType="begin"/>
        </w:r>
        <w:r w:rsidR="00CC0273">
          <w:rPr>
            <w:noProof/>
            <w:webHidden/>
          </w:rPr>
          <w:instrText xml:space="preserve"> PAGEREF _Toc458698405 \h </w:instrText>
        </w:r>
        <w:r w:rsidR="00CC0273">
          <w:rPr>
            <w:noProof/>
            <w:webHidden/>
          </w:rPr>
        </w:r>
        <w:r w:rsidR="00CC0273">
          <w:rPr>
            <w:noProof/>
            <w:webHidden/>
          </w:rPr>
          <w:fldChar w:fldCharType="separate"/>
        </w:r>
        <w:r w:rsidR="00E54420">
          <w:rPr>
            <w:noProof/>
            <w:webHidden/>
          </w:rPr>
          <w:t>1</w:t>
        </w:r>
        <w:r w:rsidR="00CC0273">
          <w:rPr>
            <w:noProof/>
            <w:webHidden/>
          </w:rPr>
          <w:fldChar w:fldCharType="end"/>
        </w:r>
      </w:hyperlink>
    </w:p>
    <w:p w:rsidR="00CC0273" w:rsidRDefault="00DC3551">
      <w:pPr>
        <w:pStyle w:val="TOC1"/>
        <w:tabs>
          <w:tab w:val="right" w:pos="9016"/>
        </w:tabs>
        <w:rPr>
          <w:rFonts w:eastAsiaTheme="minorEastAsia"/>
          <w:noProof/>
          <w:lang w:eastAsia="en-AU"/>
        </w:rPr>
      </w:pPr>
      <w:hyperlink w:anchor="_Toc458698406" w:history="1">
        <w:r w:rsidR="00CC0273" w:rsidRPr="00696AD6">
          <w:rPr>
            <w:rStyle w:val="Hyperlink"/>
            <w:b/>
            <w:noProof/>
          </w:rPr>
          <w:t>ACRONYMS</w:t>
        </w:r>
        <w:r w:rsidR="00CC0273">
          <w:rPr>
            <w:noProof/>
            <w:webHidden/>
          </w:rPr>
          <w:tab/>
        </w:r>
        <w:r w:rsidR="00CC0273">
          <w:rPr>
            <w:noProof/>
            <w:webHidden/>
          </w:rPr>
          <w:fldChar w:fldCharType="begin"/>
        </w:r>
        <w:r w:rsidR="00CC0273">
          <w:rPr>
            <w:noProof/>
            <w:webHidden/>
          </w:rPr>
          <w:instrText xml:space="preserve"> PAGEREF _Toc458698406 \h </w:instrText>
        </w:r>
        <w:r w:rsidR="00CC0273">
          <w:rPr>
            <w:noProof/>
            <w:webHidden/>
          </w:rPr>
        </w:r>
        <w:r w:rsidR="00CC0273">
          <w:rPr>
            <w:noProof/>
            <w:webHidden/>
          </w:rPr>
          <w:fldChar w:fldCharType="separate"/>
        </w:r>
        <w:r w:rsidR="00E54420">
          <w:rPr>
            <w:noProof/>
            <w:webHidden/>
          </w:rPr>
          <w:t>3</w:t>
        </w:r>
        <w:r w:rsidR="00CC0273">
          <w:rPr>
            <w:noProof/>
            <w:webHidden/>
          </w:rPr>
          <w:fldChar w:fldCharType="end"/>
        </w:r>
      </w:hyperlink>
    </w:p>
    <w:p w:rsidR="00CC0273" w:rsidRDefault="00DC3551">
      <w:pPr>
        <w:pStyle w:val="TOC1"/>
        <w:tabs>
          <w:tab w:val="left" w:pos="440"/>
          <w:tab w:val="right" w:pos="9016"/>
        </w:tabs>
        <w:rPr>
          <w:rFonts w:eastAsiaTheme="minorEastAsia"/>
          <w:noProof/>
          <w:lang w:eastAsia="en-AU"/>
        </w:rPr>
      </w:pPr>
      <w:hyperlink w:anchor="_Toc458698407" w:history="1">
        <w:r w:rsidR="00CC0273" w:rsidRPr="00696AD6">
          <w:rPr>
            <w:rStyle w:val="Hyperlink"/>
            <w:b/>
            <w:noProof/>
          </w:rPr>
          <w:t>1.</w:t>
        </w:r>
        <w:r w:rsidR="00CC0273">
          <w:rPr>
            <w:rFonts w:eastAsiaTheme="minorEastAsia"/>
            <w:noProof/>
            <w:lang w:eastAsia="en-AU"/>
          </w:rPr>
          <w:tab/>
        </w:r>
        <w:r w:rsidR="00CC0273" w:rsidRPr="00696AD6">
          <w:rPr>
            <w:rStyle w:val="Hyperlink"/>
            <w:b/>
            <w:noProof/>
          </w:rPr>
          <w:t>ABOUT THIS DOCUMENT</w:t>
        </w:r>
        <w:r w:rsidR="00CC0273">
          <w:rPr>
            <w:noProof/>
            <w:webHidden/>
          </w:rPr>
          <w:tab/>
        </w:r>
        <w:r w:rsidR="00CC0273">
          <w:rPr>
            <w:noProof/>
            <w:webHidden/>
          </w:rPr>
          <w:fldChar w:fldCharType="begin"/>
        </w:r>
        <w:r w:rsidR="00CC0273">
          <w:rPr>
            <w:noProof/>
            <w:webHidden/>
          </w:rPr>
          <w:instrText xml:space="preserve"> PAGEREF _Toc458698407 \h </w:instrText>
        </w:r>
        <w:r w:rsidR="00CC0273">
          <w:rPr>
            <w:noProof/>
            <w:webHidden/>
          </w:rPr>
        </w:r>
        <w:r w:rsidR="00CC0273">
          <w:rPr>
            <w:noProof/>
            <w:webHidden/>
          </w:rPr>
          <w:fldChar w:fldCharType="separate"/>
        </w:r>
        <w:r w:rsidR="00E54420">
          <w:rPr>
            <w:noProof/>
            <w:webHidden/>
          </w:rPr>
          <w:t>5</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08" w:history="1">
        <w:r w:rsidR="00CC0273" w:rsidRPr="00696AD6">
          <w:rPr>
            <w:rStyle w:val="Hyperlink"/>
            <w:noProof/>
          </w:rPr>
          <w:t>1.1</w:t>
        </w:r>
        <w:r w:rsidR="00CC0273">
          <w:rPr>
            <w:rFonts w:eastAsiaTheme="minorEastAsia"/>
            <w:noProof/>
            <w:lang w:eastAsia="en-AU"/>
          </w:rPr>
          <w:tab/>
        </w:r>
        <w:r w:rsidR="00CC0273" w:rsidRPr="00696AD6">
          <w:rPr>
            <w:rStyle w:val="Hyperlink"/>
            <w:noProof/>
          </w:rPr>
          <w:t>Contents and Structure</w:t>
        </w:r>
        <w:r w:rsidR="00CC0273">
          <w:rPr>
            <w:noProof/>
            <w:webHidden/>
          </w:rPr>
          <w:tab/>
        </w:r>
        <w:r w:rsidR="00CC0273">
          <w:rPr>
            <w:noProof/>
            <w:webHidden/>
          </w:rPr>
          <w:fldChar w:fldCharType="begin"/>
        </w:r>
        <w:r w:rsidR="00CC0273">
          <w:rPr>
            <w:noProof/>
            <w:webHidden/>
          </w:rPr>
          <w:instrText xml:space="preserve"> PAGEREF _Toc458698408 \h </w:instrText>
        </w:r>
        <w:r w:rsidR="00CC0273">
          <w:rPr>
            <w:noProof/>
            <w:webHidden/>
          </w:rPr>
        </w:r>
        <w:r w:rsidR="00CC0273">
          <w:rPr>
            <w:noProof/>
            <w:webHidden/>
          </w:rPr>
          <w:fldChar w:fldCharType="separate"/>
        </w:r>
        <w:r w:rsidR="00E54420">
          <w:rPr>
            <w:noProof/>
            <w:webHidden/>
          </w:rPr>
          <w:t>5</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09" w:history="1">
        <w:r w:rsidR="00CC0273" w:rsidRPr="00696AD6">
          <w:rPr>
            <w:rStyle w:val="Hyperlink"/>
            <w:noProof/>
          </w:rPr>
          <w:t>1.2</w:t>
        </w:r>
        <w:r w:rsidR="00CC0273">
          <w:rPr>
            <w:rFonts w:eastAsiaTheme="minorEastAsia"/>
            <w:noProof/>
            <w:lang w:eastAsia="en-AU"/>
          </w:rPr>
          <w:tab/>
        </w:r>
        <w:r w:rsidR="00CC0273" w:rsidRPr="00696AD6">
          <w:rPr>
            <w:rStyle w:val="Hyperlink"/>
            <w:noProof/>
          </w:rPr>
          <w:t>Design Preparation Methodology</w:t>
        </w:r>
        <w:r w:rsidR="00CC0273">
          <w:rPr>
            <w:noProof/>
            <w:webHidden/>
          </w:rPr>
          <w:tab/>
        </w:r>
        <w:r w:rsidR="00CC0273">
          <w:rPr>
            <w:noProof/>
            <w:webHidden/>
          </w:rPr>
          <w:fldChar w:fldCharType="begin"/>
        </w:r>
        <w:r w:rsidR="00CC0273">
          <w:rPr>
            <w:noProof/>
            <w:webHidden/>
          </w:rPr>
          <w:instrText xml:space="preserve"> PAGEREF _Toc458698409 \h </w:instrText>
        </w:r>
        <w:r w:rsidR="00CC0273">
          <w:rPr>
            <w:noProof/>
            <w:webHidden/>
          </w:rPr>
        </w:r>
        <w:r w:rsidR="00CC0273">
          <w:rPr>
            <w:noProof/>
            <w:webHidden/>
          </w:rPr>
          <w:fldChar w:fldCharType="separate"/>
        </w:r>
        <w:r w:rsidR="00E54420">
          <w:rPr>
            <w:noProof/>
            <w:webHidden/>
          </w:rPr>
          <w:t>6</w:t>
        </w:r>
        <w:r w:rsidR="00CC0273">
          <w:rPr>
            <w:noProof/>
            <w:webHidden/>
          </w:rPr>
          <w:fldChar w:fldCharType="end"/>
        </w:r>
      </w:hyperlink>
    </w:p>
    <w:p w:rsidR="00CC0273" w:rsidRDefault="00DC3551">
      <w:pPr>
        <w:pStyle w:val="TOC1"/>
        <w:tabs>
          <w:tab w:val="left" w:pos="440"/>
          <w:tab w:val="right" w:pos="9016"/>
        </w:tabs>
        <w:rPr>
          <w:rFonts w:eastAsiaTheme="minorEastAsia"/>
          <w:noProof/>
          <w:lang w:eastAsia="en-AU"/>
        </w:rPr>
      </w:pPr>
      <w:hyperlink w:anchor="_Toc458698410" w:history="1">
        <w:r w:rsidR="00CC0273" w:rsidRPr="00696AD6">
          <w:rPr>
            <w:rStyle w:val="Hyperlink"/>
            <w:b/>
            <w:noProof/>
          </w:rPr>
          <w:t>2.</w:t>
        </w:r>
        <w:r w:rsidR="00CC0273">
          <w:rPr>
            <w:rFonts w:eastAsiaTheme="minorEastAsia"/>
            <w:noProof/>
            <w:lang w:eastAsia="en-AU"/>
          </w:rPr>
          <w:tab/>
        </w:r>
        <w:r w:rsidR="00CC0273" w:rsidRPr="00696AD6">
          <w:rPr>
            <w:rStyle w:val="Hyperlink"/>
            <w:b/>
            <w:noProof/>
          </w:rPr>
          <w:t>STRATEGIC CONTEXT AND RATIONALE FOR AUSTRALIAN SUPPORT</w:t>
        </w:r>
        <w:r w:rsidR="00CC0273">
          <w:rPr>
            <w:noProof/>
            <w:webHidden/>
          </w:rPr>
          <w:tab/>
        </w:r>
        <w:r w:rsidR="00CC0273">
          <w:rPr>
            <w:noProof/>
            <w:webHidden/>
          </w:rPr>
          <w:fldChar w:fldCharType="begin"/>
        </w:r>
        <w:r w:rsidR="00CC0273">
          <w:rPr>
            <w:noProof/>
            <w:webHidden/>
          </w:rPr>
          <w:instrText xml:space="preserve"> PAGEREF _Toc458698410 \h </w:instrText>
        </w:r>
        <w:r w:rsidR="00CC0273">
          <w:rPr>
            <w:noProof/>
            <w:webHidden/>
          </w:rPr>
        </w:r>
        <w:r w:rsidR="00CC0273">
          <w:rPr>
            <w:noProof/>
            <w:webHidden/>
          </w:rPr>
          <w:fldChar w:fldCharType="separate"/>
        </w:r>
        <w:r w:rsidR="00E54420">
          <w:rPr>
            <w:noProof/>
            <w:webHidden/>
          </w:rPr>
          <w:t>7</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11" w:history="1">
        <w:r w:rsidR="00CC0273" w:rsidRPr="00696AD6">
          <w:rPr>
            <w:rStyle w:val="Hyperlink"/>
            <w:noProof/>
          </w:rPr>
          <w:t>2.1</w:t>
        </w:r>
        <w:r w:rsidR="00CC0273">
          <w:rPr>
            <w:rFonts w:eastAsiaTheme="minorEastAsia"/>
            <w:noProof/>
            <w:lang w:eastAsia="en-AU"/>
          </w:rPr>
          <w:tab/>
        </w:r>
        <w:r w:rsidR="00CC0273" w:rsidRPr="00696AD6">
          <w:rPr>
            <w:rStyle w:val="Hyperlink"/>
            <w:noProof/>
          </w:rPr>
          <w:t>Policy Context</w:t>
        </w:r>
        <w:r w:rsidR="00CC0273">
          <w:rPr>
            <w:noProof/>
            <w:webHidden/>
          </w:rPr>
          <w:tab/>
        </w:r>
        <w:r w:rsidR="00CC0273">
          <w:rPr>
            <w:noProof/>
            <w:webHidden/>
          </w:rPr>
          <w:fldChar w:fldCharType="begin"/>
        </w:r>
        <w:r w:rsidR="00CC0273">
          <w:rPr>
            <w:noProof/>
            <w:webHidden/>
          </w:rPr>
          <w:instrText xml:space="preserve"> PAGEREF _Toc458698411 \h </w:instrText>
        </w:r>
        <w:r w:rsidR="00CC0273">
          <w:rPr>
            <w:noProof/>
            <w:webHidden/>
          </w:rPr>
        </w:r>
        <w:r w:rsidR="00CC0273">
          <w:rPr>
            <w:noProof/>
            <w:webHidden/>
          </w:rPr>
          <w:fldChar w:fldCharType="separate"/>
        </w:r>
        <w:r w:rsidR="00E54420">
          <w:rPr>
            <w:noProof/>
            <w:webHidden/>
          </w:rPr>
          <w:t>7</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12" w:history="1">
        <w:r w:rsidR="00CC0273" w:rsidRPr="00696AD6">
          <w:rPr>
            <w:rStyle w:val="Hyperlink"/>
            <w:noProof/>
          </w:rPr>
          <w:t>2.2</w:t>
        </w:r>
        <w:r w:rsidR="00CC0273">
          <w:rPr>
            <w:rFonts w:eastAsiaTheme="minorEastAsia"/>
            <w:noProof/>
            <w:lang w:eastAsia="en-AU"/>
          </w:rPr>
          <w:tab/>
        </w:r>
        <w:r w:rsidR="00CC0273" w:rsidRPr="00696AD6">
          <w:rPr>
            <w:rStyle w:val="Hyperlink"/>
            <w:noProof/>
          </w:rPr>
          <w:t>Australian Assistance to Date</w:t>
        </w:r>
        <w:r w:rsidR="00CC0273">
          <w:rPr>
            <w:noProof/>
            <w:webHidden/>
          </w:rPr>
          <w:tab/>
        </w:r>
        <w:r w:rsidR="00CC0273">
          <w:rPr>
            <w:noProof/>
            <w:webHidden/>
          </w:rPr>
          <w:fldChar w:fldCharType="begin"/>
        </w:r>
        <w:r w:rsidR="00CC0273">
          <w:rPr>
            <w:noProof/>
            <w:webHidden/>
          </w:rPr>
          <w:instrText xml:space="preserve"> PAGEREF _Toc458698412 \h </w:instrText>
        </w:r>
        <w:r w:rsidR="00CC0273">
          <w:rPr>
            <w:noProof/>
            <w:webHidden/>
          </w:rPr>
        </w:r>
        <w:r w:rsidR="00CC0273">
          <w:rPr>
            <w:noProof/>
            <w:webHidden/>
          </w:rPr>
          <w:fldChar w:fldCharType="separate"/>
        </w:r>
        <w:r w:rsidR="00E54420">
          <w:rPr>
            <w:noProof/>
            <w:webHidden/>
          </w:rPr>
          <w:t>8</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13" w:history="1">
        <w:r w:rsidR="00CC0273" w:rsidRPr="00696AD6">
          <w:rPr>
            <w:rStyle w:val="Hyperlink"/>
            <w:noProof/>
          </w:rPr>
          <w:t>2.3</w:t>
        </w:r>
        <w:r w:rsidR="00CC0273">
          <w:rPr>
            <w:rFonts w:eastAsiaTheme="minorEastAsia"/>
            <w:noProof/>
            <w:lang w:eastAsia="en-AU"/>
          </w:rPr>
          <w:tab/>
        </w:r>
        <w:r w:rsidR="00CC0273" w:rsidRPr="00696AD6">
          <w:rPr>
            <w:rStyle w:val="Hyperlink"/>
            <w:noProof/>
          </w:rPr>
          <w:t>Sector Description and Analysis</w:t>
        </w:r>
        <w:r w:rsidR="00CC0273">
          <w:rPr>
            <w:noProof/>
            <w:webHidden/>
          </w:rPr>
          <w:tab/>
        </w:r>
        <w:r w:rsidR="00CC0273">
          <w:rPr>
            <w:noProof/>
            <w:webHidden/>
          </w:rPr>
          <w:fldChar w:fldCharType="begin"/>
        </w:r>
        <w:r w:rsidR="00CC0273">
          <w:rPr>
            <w:noProof/>
            <w:webHidden/>
          </w:rPr>
          <w:instrText xml:space="preserve"> PAGEREF _Toc458698413 \h </w:instrText>
        </w:r>
        <w:r w:rsidR="00CC0273">
          <w:rPr>
            <w:noProof/>
            <w:webHidden/>
          </w:rPr>
        </w:r>
        <w:r w:rsidR="00CC0273">
          <w:rPr>
            <w:noProof/>
            <w:webHidden/>
          </w:rPr>
          <w:fldChar w:fldCharType="separate"/>
        </w:r>
        <w:r w:rsidR="00E54420">
          <w:rPr>
            <w:noProof/>
            <w:webHidden/>
          </w:rPr>
          <w:t>9</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14" w:history="1">
        <w:r w:rsidR="00CC0273" w:rsidRPr="00696AD6">
          <w:rPr>
            <w:rStyle w:val="Hyperlink"/>
            <w:noProof/>
          </w:rPr>
          <w:t>2.4</w:t>
        </w:r>
        <w:r w:rsidR="00CC0273">
          <w:rPr>
            <w:rFonts w:eastAsiaTheme="minorEastAsia"/>
            <w:noProof/>
            <w:lang w:eastAsia="en-AU"/>
          </w:rPr>
          <w:tab/>
        </w:r>
        <w:r w:rsidR="00CC0273" w:rsidRPr="00696AD6">
          <w:rPr>
            <w:rStyle w:val="Hyperlink"/>
            <w:noProof/>
          </w:rPr>
          <w:t>Lessons Learned from Australian Assistance</w:t>
        </w:r>
        <w:r w:rsidR="00CC0273">
          <w:rPr>
            <w:noProof/>
            <w:webHidden/>
          </w:rPr>
          <w:tab/>
        </w:r>
        <w:r w:rsidR="00CC0273">
          <w:rPr>
            <w:noProof/>
            <w:webHidden/>
          </w:rPr>
          <w:fldChar w:fldCharType="begin"/>
        </w:r>
        <w:r w:rsidR="00CC0273">
          <w:rPr>
            <w:noProof/>
            <w:webHidden/>
          </w:rPr>
          <w:instrText xml:space="preserve"> PAGEREF _Toc458698414 \h </w:instrText>
        </w:r>
        <w:r w:rsidR="00CC0273">
          <w:rPr>
            <w:noProof/>
            <w:webHidden/>
          </w:rPr>
        </w:r>
        <w:r w:rsidR="00CC0273">
          <w:rPr>
            <w:noProof/>
            <w:webHidden/>
          </w:rPr>
          <w:fldChar w:fldCharType="separate"/>
        </w:r>
        <w:r w:rsidR="00E54420">
          <w:rPr>
            <w:noProof/>
            <w:webHidden/>
          </w:rPr>
          <w:t>14</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15" w:history="1">
        <w:r w:rsidR="00CC0273" w:rsidRPr="00696AD6">
          <w:rPr>
            <w:rStyle w:val="Hyperlink"/>
            <w:noProof/>
          </w:rPr>
          <w:t>2.5</w:t>
        </w:r>
        <w:r w:rsidR="00CC0273">
          <w:rPr>
            <w:rFonts w:eastAsiaTheme="minorEastAsia"/>
            <w:noProof/>
            <w:lang w:eastAsia="en-AU"/>
          </w:rPr>
          <w:tab/>
        </w:r>
        <w:r w:rsidR="00CC0273" w:rsidRPr="00696AD6">
          <w:rPr>
            <w:rStyle w:val="Hyperlink"/>
            <w:noProof/>
          </w:rPr>
          <w:t>Australia’s National Interest</w:t>
        </w:r>
        <w:r w:rsidR="00CC0273">
          <w:rPr>
            <w:noProof/>
            <w:webHidden/>
          </w:rPr>
          <w:tab/>
        </w:r>
        <w:r w:rsidR="00CC0273">
          <w:rPr>
            <w:noProof/>
            <w:webHidden/>
          </w:rPr>
          <w:fldChar w:fldCharType="begin"/>
        </w:r>
        <w:r w:rsidR="00CC0273">
          <w:rPr>
            <w:noProof/>
            <w:webHidden/>
          </w:rPr>
          <w:instrText xml:space="preserve"> PAGEREF _Toc458698415 \h </w:instrText>
        </w:r>
        <w:r w:rsidR="00CC0273">
          <w:rPr>
            <w:noProof/>
            <w:webHidden/>
          </w:rPr>
        </w:r>
        <w:r w:rsidR="00CC0273">
          <w:rPr>
            <w:noProof/>
            <w:webHidden/>
          </w:rPr>
          <w:fldChar w:fldCharType="separate"/>
        </w:r>
        <w:r w:rsidR="00E54420">
          <w:rPr>
            <w:noProof/>
            <w:webHidden/>
          </w:rPr>
          <w:t>16</w:t>
        </w:r>
        <w:r w:rsidR="00CC0273">
          <w:rPr>
            <w:noProof/>
            <w:webHidden/>
          </w:rPr>
          <w:fldChar w:fldCharType="end"/>
        </w:r>
      </w:hyperlink>
    </w:p>
    <w:p w:rsidR="00CC0273" w:rsidRDefault="00DC3551">
      <w:pPr>
        <w:pStyle w:val="TOC1"/>
        <w:tabs>
          <w:tab w:val="left" w:pos="440"/>
          <w:tab w:val="right" w:pos="9016"/>
        </w:tabs>
        <w:rPr>
          <w:rFonts w:eastAsiaTheme="minorEastAsia"/>
          <w:noProof/>
          <w:lang w:eastAsia="en-AU"/>
        </w:rPr>
      </w:pPr>
      <w:hyperlink w:anchor="_Toc458698416" w:history="1">
        <w:r w:rsidR="00CC0273" w:rsidRPr="00696AD6">
          <w:rPr>
            <w:rStyle w:val="Hyperlink"/>
            <w:b/>
            <w:noProof/>
          </w:rPr>
          <w:t>3.</w:t>
        </w:r>
        <w:r w:rsidR="00CC0273">
          <w:rPr>
            <w:rFonts w:eastAsiaTheme="minorEastAsia"/>
            <w:noProof/>
            <w:lang w:eastAsia="en-AU"/>
          </w:rPr>
          <w:tab/>
        </w:r>
        <w:r w:rsidR="00CC0273" w:rsidRPr="00696AD6">
          <w:rPr>
            <w:rStyle w:val="Hyperlink"/>
            <w:b/>
            <w:noProof/>
          </w:rPr>
          <w:t>PROGRAM DESCRIPTION</w:t>
        </w:r>
        <w:r w:rsidR="00CC0273">
          <w:rPr>
            <w:noProof/>
            <w:webHidden/>
          </w:rPr>
          <w:tab/>
        </w:r>
        <w:r w:rsidR="00CC0273">
          <w:rPr>
            <w:noProof/>
            <w:webHidden/>
          </w:rPr>
          <w:fldChar w:fldCharType="begin"/>
        </w:r>
        <w:r w:rsidR="00CC0273">
          <w:rPr>
            <w:noProof/>
            <w:webHidden/>
          </w:rPr>
          <w:instrText xml:space="preserve"> PAGEREF _Toc458698416 \h </w:instrText>
        </w:r>
        <w:r w:rsidR="00CC0273">
          <w:rPr>
            <w:noProof/>
            <w:webHidden/>
          </w:rPr>
        </w:r>
        <w:r w:rsidR="00CC0273">
          <w:rPr>
            <w:noProof/>
            <w:webHidden/>
          </w:rPr>
          <w:fldChar w:fldCharType="separate"/>
        </w:r>
        <w:r w:rsidR="00E54420">
          <w:rPr>
            <w:noProof/>
            <w:webHidden/>
          </w:rPr>
          <w:t>16</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17" w:history="1">
        <w:r w:rsidR="00CC0273" w:rsidRPr="00696AD6">
          <w:rPr>
            <w:rStyle w:val="Hyperlink"/>
            <w:noProof/>
          </w:rPr>
          <w:t>3.1</w:t>
        </w:r>
        <w:r w:rsidR="00CC0273">
          <w:rPr>
            <w:rFonts w:eastAsiaTheme="minorEastAsia"/>
            <w:noProof/>
            <w:lang w:eastAsia="en-AU"/>
          </w:rPr>
          <w:tab/>
        </w:r>
        <w:r w:rsidR="00CC0273" w:rsidRPr="00696AD6">
          <w:rPr>
            <w:rStyle w:val="Hyperlink"/>
            <w:noProof/>
          </w:rPr>
          <w:t>Program Scope and Overview</w:t>
        </w:r>
        <w:r w:rsidR="00CC0273">
          <w:rPr>
            <w:noProof/>
            <w:webHidden/>
          </w:rPr>
          <w:tab/>
        </w:r>
        <w:r w:rsidR="00CC0273">
          <w:rPr>
            <w:noProof/>
            <w:webHidden/>
          </w:rPr>
          <w:fldChar w:fldCharType="begin"/>
        </w:r>
        <w:r w:rsidR="00CC0273">
          <w:rPr>
            <w:noProof/>
            <w:webHidden/>
          </w:rPr>
          <w:instrText xml:space="preserve"> PAGEREF _Toc458698417 \h </w:instrText>
        </w:r>
        <w:r w:rsidR="00CC0273">
          <w:rPr>
            <w:noProof/>
            <w:webHidden/>
          </w:rPr>
        </w:r>
        <w:r w:rsidR="00CC0273">
          <w:rPr>
            <w:noProof/>
            <w:webHidden/>
          </w:rPr>
          <w:fldChar w:fldCharType="separate"/>
        </w:r>
        <w:r w:rsidR="00E54420">
          <w:rPr>
            <w:noProof/>
            <w:webHidden/>
          </w:rPr>
          <w:t>16</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18" w:history="1">
        <w:r w:rsidR="00CC0273" w:rsidRPr="00696AD6">
          <w:rPr>
            <w:rStyle w:val="Hyperlink"/>
            <w:noProof/>
          </w:rPr>
          <w:t>3.2</w:t>
        </w:r>
        <w:r w:rsidR="00CC0273">
          <w:rPr>
            <w:rFonts w:eastAsiaTheme="minorEastAsia"/>
            <w:noProof/>
            <w:lang w:eastAsia="en-AU"/>
          </w:rPr>
          <w:tab/>
        </w:r>
        <w:r w:rsidR="00CC0273" w:rsidRPr="00696AD6">
          <w:rPr>
            <w:rStyle w:val="Hyperlink"/>
            <w:noProof/>
          </w:rPr>
          <w:t>Program Logic</w:t>
        </w:r>
        <w:r w:rsidR="00CC0273">
          <w:rPr>
            <w:noProof/>
            <w:webHidden/>
          </w:rPr>
          <w:tab/>
        </w:r>
        <w:r w:rsidR="00CC0273">
          <w:rPr>
            <w:noProof/>
            <w:webHidden/>
          </w:rPr>
          <w:fldChar w:fldCharType="begin"/>
        </w:r>
        <w:r w:rsidR="00CC0273">
          <w:rPr>
            <w:noProof/>
            <w:webHidden/>
          </w:rPr>
          <w:instrText xml:space="preserve"> PAGEREF _Toc458698418 \h </w:instrText>
        </w:r>
        <w:r w:rsidR="00CC0273">
          <w:rPr>
            <w:noProof/>
            <w:webHidden/>
          </w:rPr>
        </w:r>
        <w:r w:rsidR="00CC0273">
          <w:rPr>
            <w:noProof/>
            <w:webHidden/>
          </w:rPr>
          <w:fldChar w:fldCharType="separate"/>
        </w:r>
        <w:r w:rsidR="00E54420">
          <w:rPr>
            <w:noProof/>
            <w:webHidden/>
          </w:rPr>
          <w:t>23</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19" w:history="1">
        <w:r w:rsidR="00CC0273" w:rsidRPr="00696AD6">
          <w:rPr>
            <w:rStyle w:val="Hyperlink"/>
            <w:noProof/>
          </w:rPr>
          <w:t>3.3</w:t>
        </w:r>
        <w:r w:rsidR="00CC0273">
          <w:rPr>
            <w:rFonts w:eastAsiaTheme="minorEastAsia"/>
            <w:noProof/>
            <w:lang w:eastAsia="en-AU"/>
          </w:rPr>
          <w:tab/>
        </w:r>
        <w:r w:rsidR="00CC0273" w:rsidRPr="00696AD6">
          <w:rPr>
            <w:rStyle w:val="Hyperlink"/>
            <w:noProof/>
          </w:rPr>
          <w:t>Program Goal, Objective and Expected End of Program Outcomes</w:t>
        </w:r>
        <w:r w:rsidR="00CC0273">
          <w:rPr>
            <w:noProof/>
            <w:webHidden/>
          </w:rPr>
          <w:tab/>
        </w:r>
        <w:r w:rsidR="00CC0273">
          <w:rPr>
            <w:noProof/>
            <w:webHidden/>
          </w:rPr>
          <w:fldChar w:fldCharType="begin"/>
        </w:r>
        <w:r w:rsidR="00CC0273">
          <w:rPr>
            <w:noProof/>
            <w:webHidden/>
          </w:rPr>
          <w:instrText xml:space="preserve"> PAGEREF _Toc458698419 \h </w:instrText>
        </w:r>
        <w:r w:rsidR="00CC0273">
          <w:rPr>
            <w:noProof/>
            <w:webHidden/>
          </w:rPr>
        </w:r>
        <w:r w:rsidR="00CC0273">
          <w:rPr>
            <w:noProof/>
            <w:webHidden/>
          </w:rPr>
          <w:fldChar w:fldCharType="separate"/>
        </w:r>
        <w:r w:rsidR="00E54420">
          <w:rPr>
            <w:noProof/>
            <w:webHidden/>
          </w:rPr>
          <w:t>24</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20" w:history="1">
        <w:r w:rsidR="00CC0273" w:rsidRPr="00696AD6">
          <w:rPr>
            <w:rStyle w:val="Hyperlink"/>
            <w:noProof/>
          </w:rPr>
          <w:t>3.4</w:t>
        </w:r>
        <w:r w:rsidR="00CC0273">
          <w:rPr>
            <w:rFonts w:eastAsiaTheme="minorEastAsia"/>
            <w:noProof/>
            <w:lang w:eastAsia="en-AU"/>
          </w:rPr>
          <w:tab/>
        </w:r>
        <w:r w:rsidR="00CC0273" w:rsidRPr="00696AD6">
          <w:rPr>
            <w:rStyle w:val="Hyperlink"/>
            <w:noProof/>
          </w:rPr>
          <w:t>Expected Intermediate Outcomes and Indicative Outputs</w:t>
        </w:r>
        <w:r w:rsidR="00CC0273">
          <w:rPr>
            <w:noProof/>
            <w:webHidden/>
          </w:rPr>
          <w:tab/>
        </w:r>
        <w:r w:rsidR="00CC0273">
          <w:rPr>
            <w:noProof/>
            <w:webHidden/>
          </w:rPr>
          <w:fldChar w:fldCharType="begin"/>
        </w:r>
        <w:r w:rsidR="00CC0273">
          <w:rPr>
            <w:noProof/>
            <w:webHidden/>
          </w:rPr>
          <w:instrText xml:space="preserve"> PAGEREF _Toc458698420 \h </w:instrText>
        </w:r>
        <w:r w:rsidR="00CC0273">
          <w:rPr>
            <w:noProof/>
            <w:webHidden/>
          </w:rPr>
        </w:r>
        <w:r w:rsidR="00CC0273">
          <w:rPr>
            <w:noProof/>
            <w:webHidden/>
          </w:rPr>
          <w:fldChar w:fldCharType="separate"/>
        </w:r>
        <w:r w:rsidR="00E54420">
          <w:rPr>
            <w:noProof/>
            <w:webHidden/>
          </w:rPr>
          <w:t>26</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21" w:history="1">
        <w:r w:rsidR="00CC0273" w:rsidRPr="00696AD6">
          <w:rPr>
            <w:rStyle w:val="Hyperlink"/>
            <w:noProof/>
          </w:rPr>
          <w:t>3.5</w:t>
        </w:r>
        <w:r w:rsidR="00CC0273">
          <w:rPr>
            <w:rFonts w:eastAsiaTheme="minorEastAsia"/>
            <w:noProof/>
            <w:lang w:eastAsia="en-AU"/>
          </w:rPr>
          <w:tab/>
        </w:r>
        <w:r w:rsidR="00CC0273" w:rsidRPr="00696AD6">
          <w:rPr>
            <w:rStyle w:val="Hyperlink"/>
            <w:noProof/>
          </w:rPr>
          <w:t>Operating Principles</w:t>
        </w:r>
        <w:r w:rsidR="00CC0273">
          <w:rPr>
            <w:noProof/>
            <w:webHidden/>
          </w:rPr>
          <w:tab/>
        </w:r>
        <w:r w:rsidR="00CC0273">
          <w:rPr>
            <w:noProof/>
            <w:webHidden/>
          </w:rPr>
          <w:fldChar w:fldCharType="begin"/>
        </w:r>
        <w:r w:rsidR="00CC0273">
          <w:rPr>
            <w:noProof/>
            <w:webHidden/>
          </w:rPr>
          <w:instrText xml:space="preserve"> PAGEREF _Toc458698421 \h </w:instrText>
        </w:r>
        <w:r w:rsidR="00CC0273">
          <w:rPr>
            <w:noProof/>
            <w:webHidden/>
          </w:rPr>
        </w:r>
        <w:r w:rsidR="00CC0273">
          <w:rPr>
            <w:noProof/>
            <w:webHidden/>
          </w:rPr>
          <w:fldChar w:fldCharType="separate"/>
        </w:r>
        <w:r w:rsidR="00E54420">
          <w:rPr>
            <w:noProof/>
            <w:webHidden/>
          </w:rPr>
          <w:t>38</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22" w:history="1">
        <w:r w:rsidR="00CC0273" w:rsidRPr="00696AD6">
          <w:rPr>
            <w:rStyle w:val="Hyperlink"/>
            <w:noProof/>
          </w:rPr>
          <w:t>3.6</w:t>
        </w:r>
        <w:r w:rsidR="00CC0273">
          <w:rPr>
            <w:rFonts w:eastAsiaTheme="minorEastAsia"/>
            <w:noProof/>
            <w:lang w:eastAsia="en-AU"/>
          </w:rPr>
          <w:tab/>
        </w:r>
        <w:r w:rsidR="00CC0273" w:rsidRPr="00696AD6">
          <w:rPr>
            <w:rStyle w:val="Hyperlink"/>
            <w:noProof/>
          </w:rPr>
          <w:t>Form of Aid</w:t>
        </w:r>
        <w:r w:rsidR="00CC0273">
          <w:rPr>
            <w:noProof/>
            <w:webHidden/>
          </w:rPr>
          <w:tab/>
        </w:r>
        <w:r w:rsidR="00CC0273">
          <w:rPr>
            <w:noProof/>
            <w:webHidden/>
          </w:rPr>
          <w:fldChar w:fldCharType="begin"/>
        </w:r>
        <w:r w:rsidR="00CC0273">
          <w:rPr>
            <w:noProof/>
            <w:webHidden/>
          </w:rPr>
          <w:instrText xml:space="preserve"> PAGEREF _Toc458698422 \h </w:instrText>
        </w:r>
        <w:r w:rsidR="00CC0273">
          <w:rPr>
            <w:noProof/>
            <w:webHidden/>
          </w:rPr>
        </w:r>
        <w:r w:rsidR="00CC0273">
          <w:rPr>
            <w:noProof/>
            <w:webHidden/>
          </w:rPr>
          <w:fldChar w:fldCharType="separate"/>
        </w:r>
        <w:r w:rsidR="00E54420">
          <w:rPr>
            <w:noProof/>
            <w:webHidden/>
          </w:rPr>
          <w:t>41</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23" w:history="1">
        <w:r w:rsidR="00CC0273" w:rsidRPr="00696AD6">
          <w:rPr>
            <w:rStyle w:val="Hyperlink"/>
            <w:noProof/>
          </w:rPr>
          <w:t>3.7</w:t>
        </w:r>
        <w:r w:rsidR="00CC0273">
          <w:rPr>
            <w:rFonts w:eastAsiaTheme="minorEastAsia"/>
            <w:noProof/>
            <w:lang w:eastAsia="en-AU"/>
          </w:rPr>
          <w:tab/>
        </w:r>
        <w:r w:rsidR="00CC0273" w:rsidRPr="00696AD6">
          <w:rPr>
            <w:rStyle w:val="Hyperlink"/>
            <w:noProof/>
          </w:rPr>
          <w:t>Delivery Mechanisms</w:t>
        </w:r>
        <w:r w:rsidR="00CC0273">
          <w:rPr>
            <w:noProof/>
            <w:webHidden/>
          </w:rPr>
          <w:tab/>
        </w:r>
        <w:r w:rsidR="00CC0273">
          <w:rPr>
            <w:noProof/>
            <w:webHidden/>
          </w:rPr>
          <w:fldChar w:fldCharType="begin"/>
        </w:r>
        <w:r w:rsidR="00CC0273">
          <w:rPr>
            <w:noProof/>
            <w:webHidden/>
          </w:rPr>
          <w:instrText xml:space="preserve"> PAGEREF _Toc458698423 \h </w:instrText>
        </w:r>
        <w:r w:rsidR="00CC0273">
          <w:rPr>
            <w:noProof/>
            <w:webHidden/>
          </w:rPr>
        </w:r>
        <w:r w:rsidR="00CC0273">
          <w:rPr>
            <w:noProof/>
            <w:webHidden/>
          </w:rPr>
          <w:fldChar w:fldCharType="separate"/>
        </w:r>
        <w:r w:rsidR="00E54420">
          <w:rPr>
            <w:noProof/>
            <w:webHidden/>
          </w:rPr>
          <w:t>42</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24" w:history="1">
        <w:r w:rsidR="00CC0273" w:rsidRPr="00696AD6">
          <w:rPr>
            <w:rStyle w:val="Hyperlink"/>
            <w:noProof/>
          </w:rPr>
          <w:t>3.8</w:t>
        </w:r>
        <w:r w:rsidR="00CC0273">
          <w:rPr>
            <w:rFonts w:eastAsiaTheme="minorEastAsia"/>
            <w:noProof/>
            <w:lang w:eastAsia="en-AU"/>
          </w:rPr>
          <w:tab/>
        </w:r>
        <w:r w:rsidR="00CC0273" w:rsidRPr="00696AD6">
          <w:rPr>
            <w:rStyle w:val="Hyperlink"/>
            <w:noProof/>
          </w:rPr>
          <w:t>Links to other Development Programs and Initiatives</w:t>
        </w:r>
        <w:r w:rsidR="00CC0273">
          <w:rPr>
            <w:noProof/>
            <w:webHidden/>
          </w:rPr>
          <w:tab/>
        </w:r>
        <w:r w:rsidR="00CC0273">
          <w:rPr>
            <w:noProof/>
            <w:webHidden/>
          </w:rPr>
          <w:fldChar w:fldCharType="begin"/>
        </w:r>
        <w:r w:rsidR="00CC0273">
          <w:rPr>
            <w:noProof/>
            <w:webHidden/>
          </w:rPr>
          <w:instrText xml:space="preserve"> PAGEREF _Toc458698424 \h </w:instrText>
        </w:r>
        <w:r w:rsidR="00CC0273">
          <w:rPr>
            <w:noProof/>
            <w:webHidden/>
          </w:rPr>
        </w:r>
        <w:r w:rsidR="00CC0273">
          <w:rPr>
            <w:noProof/>
            <w:webHidden/>
          </w:rPr>
          <w:fldChar w:fldCharType="separate"/>
        </w:r>
        <w:r w:rsidR="00E54420">
          <w:rPr>
            <w:noProof/>
            <w:webHidden/>
          </w:rPr>
          <w:t>45</w:t>
        </w:r>
        <w:r w:rsidR="00CC0273">
          <w:rPr>
            <w:noProof/>
            <w:webHidden/>
          </w:rPr>
          <w:fldChar w:fldCharType="end"/>
        </w:r>
      </w:hyperlink>
    </w:p>
    <w:p w:rsidR="00CC0273" w:rsidRDefault="00DC3551">
      <w:pPr>
        <w:pStyle w:val="TOC1"/>
        <w:tabs>
          <w:tab w:val="left" w:pos="440"/>
          <w:tab w:val="right" w:pos="9016"/>
        </w:tabs>
        <w:rPr>
          <w:rFonts w:eastAsiaTheme="minorEastAsia"/>
          <w:noProof/>
          <w:lang w:eastAsia="en-AU"/>
        </w:rPr>
      </w:pPr>
      <w:hyperlink w:anchor="_Toc458698425" w:history="1">
        <w:r w:rsidR="00CC0273" w:rsidRPr="00696AD6">
          <w:rPr>
            <w:rStyle w:val="Hyperlink"/>
            <w:b/>
            <w:noProof/>
          </w:rPr>
          <w:t>4.</w:t>
        </w:r>
        <w:r w:rsidR="00CC0273">
          <w:rPr>
            <w:rFonts w:eastAsiaTheme="minorEastAsia"/>
            <w:noProof/>
            <w:lang w:eastAsia="en-AU"/>
          </w:rPr>
          <w:tab/>
        </w:r>
        <w:r w:rsidR="00CC0273" w:rsidRPr="00696AD6">
          <w:rPr>
            <w:rStyle w:val="Hyperlink"/>
            <w:b/>
            <w:noProof/>
          </w:rPr>
          <w:t>IMPLEMENTATION ARRANGEMENTS</w:t>
        </w:r>
        <w:r w:rsidR="00CC0273">
          <w:rPr>
            <w:noProof/>
            <w:webHidden/>
          </w:rPr>
          <w:tab/>
        </w:r>
        <w:r w:rsidR="00CC0273">
          <w:rPr>
            <w:noProof/>
            <w:webHidden/>
          </w:rPr>
          <w:fldChar w:fldCharType="begin"/>
        </w:r>
        <w:r w:rsidR="00CC0273">
          <w:rPr>
            <w:noProof/>
            <w:webHidden/>
          </w:rPr>
          <w:instrText xml:space="preserve"> PAGEREF _Toc458698425 \h </w:instrText>
        </w:r>
        <w:r w:rsidR="00CC0273">
          <w:rPr>
            <w:noProof/>
            <w:webHidden/>
          </w:rPr>
        </w:r>
        <w:r w:rsidR="00CC0273">
          <w:rPr>
            <w:noProof/>
            <w:webHidden/>
          </w:rPr>
          <w:fldChar w:fldCharType="separate"/>
        </w:r>
        <w:r w:rsidR="00E54420">
          <w:rPr>
            <w:noProof/>
            <w:webHidden/>
          </w:rPr>
          <w:t>49</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26" w:history="1">
        <w:r w:rsidR="00CC0273" w:rsidRPr="00696AD6">
          <w:rPr>
            <w:rStyle w:val="Hyperlink"/>
            <w:noProof/>
          </w:rPr>
          <w:t>4.1</w:t>
        </w:r>
        <w:r w:rsidR="00CC0273">
          <w:rPr>
            <w:rFonts w:eastAsiaTheme="minorEastAsia"/>
            <w:noProof/>
            <w:lang w:eastAsia="en-AU"/>
          </w:rPr>
          <w:tab/>
        </w:r>
        <w:r w:rsidR="00CC0273" w:rsidRPr="00696AD6">
          <w:rPr>
            <w:rStyle w:val="Hyperlink"/>
            <w:noProof/>
          </w:rPr>
          <w:t>Program Governance and Management Arrangements</w:t>
        </w:r>
        <w:r w:rsidR="00CC0273">
          <w:rPr>
            <w:noProof/>
            <w:webHidden/>
          </w:rPr>
          <w:tab/>
        </w:r>
        <w:r w:rsidR="00CC0273">
          <w:rPr>
            <w:noProof/>
            <w:webHidden/>
          </w:rPr>
          <w:fldChar w:fldCharType="begin"/>
        </w:r>
        <w:r w:rsidR="00CC0273">
          <w:rPr>
            <w:noProof/>
            <w:webHidden/>
          </w:rPr>
          <w:instrText xml:space="preserve"> PAGEREF _Toc458698426 \h </w:instrText>
        </w:r>
        <w:r w:rsidR="00CC0273">
          <w:rPr>
            <w:noProof/>
            <w:webHidden/>
          </w:rPr>
        </w:r>
        <w:r w:rsidR="00CC0273">
          <w:rPr>
            <w:noProof/>
            <w:webHidden/>
          </w:rPr>
          <w:fldChar w:fldCharType="separate"/>
        </w:r>
        <w:r w:rsidR="00E54420">
          <w:rPr>
            <w:noProof/>
            <w:webHidden/>
          </w:rPr>
          <w:t>49</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27" w:history="1">
        <w:r w:rsidR="00CC0273" w:rsidRPr="00696AD6">
          <w:rPr>
            <w:rStyle w:val="Hyperlink"/>
            <w:noProof/>
          </w:rPr>
          <w:t>4.2</w:t>
        </w:r>
        <w:r w:rsidR="00CC0273">
          <w:rPr>
            <w:rFonts w:eastAsiaTheme="minorEastAsia"/>
            <w:noProof/>
            <w:lang w:eastAsia="en-AU"/>
          </w:rPr>
          <w:tab/>
        </w:r>
        <w:r w:rsidR="00CC0273" w:rsidRPr="00696AD6">
          <w:rPr>
            <w:rStyle w:val="Hyperlink"/>
            <w:noProof/>
          </w:rPr>
          <w:t>Resourcing</w:t>
        </w:r>
        <w:r w:rsidR="00CC0273">
          <w:rPr>
            <w:noProof/>
            <w:webHidden/>
          </w:rPr>
          <w:tab/>
        </w:r>
        <w:r w:rsidR="00CC0273">
          <w:rPr>
            <w:noProof/>
            <w:webHidden/>
          </w:rPr>
          <w:fldChar w:fldCharType="begin"/>
        </w:r>
        <w:r w:rsidR="00CC0273">
          <w:rPr>
            <w:noProof/>
            <w:webHidden/>
          </w:rPr>
          <w:instrText xml:space="preserve"> PAGEREF _Toc458698427 \h </w:instrText>
        </w:r>
        <w:r w:rsidR="00CC0273">
          <w:rPr>
            <w:noProof/>
            <w:webHidden/>
          </w:rPr>
        </w:r>
        <w:r w:rsidR="00CC0273">
          <w:rPr>
            <w:noProof/>
            <w:webHidden/>
          </w:rPr>
          <w:fldChar w:fldCharType="separate"/>
        </w:r>
        <w:r w:rsidR="00E54420">
          <w:rPr>
            <w:noProof/>
            <w:webHidden/>
          </w:rPr>
          <w:t>52</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28" w:history="1">
        <w:r w:rsidR="00CC0273" w:rsidRPr="00696AD6">
          <w:rPr>
            <w:rStyle w:val="Hyperlink"/>
            <w:noProof/>
          </w:rPr>
          <w:t>4.3</w:t>
        </w:r>
        <w:r w:rsidR="00CC0273">
          <w:rPr>
            <w:rFonts w:eastAsiaTheme="minorEastAsia"/>
            <w:noProof/>
            <w:lang w:eastAsia="en-AU"/>
          </w:rPr>
          <w:tab/>
        </w:r>
        <w:r w:rsidR="00CC0273" w:rsidRPr="00696AD6">
          <w:rPr>
            <w:rStyle w:val="Hyperlink"/>
            <w:noProof/>
          </w:rPr>
          <w:t>Monitoring and Evaluation</w:t>
        </w:r>
        <w:r w:rsidR="00CC0273">
          <w:rPr>
            <w:noProof/>
            <w:webHidden/>
          </w:rPr>
          <w:tab/>
        </w:r>
        <w:r w:rsidR="00CC0273">
          <w:rPr>
            <w:noProof/>
            <w:webHidden/>
          </w:rPr>
          <w:fldChar w:fldCharType="begin"/>
        </w:r>
        <w:r w:rsidR="00CC0273">
          <w:rPr>
            <w:noProof/>
            <w:webHidden/>
          </w:rPr>
          <w:instrText xml:space="preserve"> PAGEREF _Toc458698428 \h </w:instrText>
        </w:r>
        <w:r w:rsidR="00CC0273">
          <w:rPr>
            <w:noProof/>
            <w:webHidden/>
          </w:rPr>
        </w:r>
        <w:r w:rsidR="00CC0273">
          <w:rPr>
            <w:noProof/>
            <w:webHidden/>
          </w:rPr>
          <w:fldChar w:fldCharType="separate"/>
        </w:r>
        <w:r w:rsidR="00E54420">
          <w:rPr>
            <w:noProof/>
            <w:webHidden/>
          </w:rPr>
          <w:t>56</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29" w:history="1">
        <w:r w:rsidR="00CC0273" w:rsidRPr="00696AD6">
          <w:rPr>
            <w:rStyle w:val="Hyperlink"/>
            <w:noProof/>
          </w:rPr>
          <w:t>4.4</w:t>
        </w:r>
        <w:r w:rsidR="00CC0273">
          <w:rPr>
            <w:rFonts w:eastAsiaTheme="minorEastAsia"/>
            <w:noProof/>
            <w:lang w:eastAsia="en-AU"/>
          </w:rPr>
          <w:tab/>
        </w:r>
        <w:r w:rsidR="00CC0273" w:rsidRPr="00696AD6">
          <w:rPr>
            <w:rStyle w:val="Hyperlink"/>
            <w:noProof/>
          </w:rPr>
          <w:t>Critical Risks and Risk Management</w:t>
        </w:r>
        <w:r w:rsidR="00CC0273">
          <w:rPr>
            <w:noProof/>
            <w:webHidden/>
          </w:rPr>
          <w:tab/>
        </w:r>
        <w:r w:rsidR="00CC0273">
          <w:rPr>
            <w:noProof/>
            <w:webHidden/>
          </w:rPr>
          <w:fldChar w:fldCharType="begin"/>
        </w:r>
        <w:r w:rsidR="00CC0273">
          <w:rPr>
            <w:noProof/>
            <w:webHidden/>
          </w:rPr>
          <w:instrText xml:space="preserve"> PAGEREF _Toc458698429 \h </w:instrText>
        </w:r>
        <w:r w:rsidR="00CC0273">
          <w:rPr>
            <w:noProof/>
            <w:webHidden/>
          </w:rPr>
        </w:r>
        <w:r w:rsidR="00CC0273">
          <w:rPr>
            <w:noProof/>
            <w:webHidden/>
          </w:rPr>
          <w:fldChar w:fldCharType="separate"/>
        </w:r>
        <w:r w:rsidR="00E54420">
          <w:rPr>
            <w:noProof/>
            <w:webHidden/>
          </w:rPr>
          <w:t>62</w:t>
        </w:r>
        <w:r w:rsidR="00CC0273">
          <w:rPr>
            <w:noProof/>
            <w:webHidden/>
          </w:rPr>
          <w:fldChar w:fldCharType="end"/>
        </w:r>
      </w:hyperlink>
    </w:p>
    <w:p w:rsidR="00CC0273" w:rsidRDefault="00DC3551">
      <w:pPr>
        <w:pStyle w:val="TOC2"/>
        <w:tabs>
          <w:tab w:val="left" w:pos="880"/>
          <w:tab w:val="right" w:pos="9016"/>
        </w:tabs>
        <w:rPr>
          <w:rFonts w:eastAsiaTheme="minorEastAsia"/>
          <w:noProof/>
          <w:lang w:eastAsia="en-AU"/>
        </w:rPr>
      </w:pPr>
      <w:hyperlink w:anchor="_Toc458698430" w:history="1">
        <w:r w:rsidR="00CC0273" w:rsidRPr="00696AD6">
          <w:rPr>
            <w:rStyle w:val="Hyperlink"/>
            <w:noProof/>
          </w:rPr>
          <w:t>4.5</w:t>
        </w:r>
        <w:r w:rsidR="00CC0273">
          <w:rPr>
            <w:rFonts w:eastAsiaTheme="minorEastAsia"/>
            <w:noProof/>
            <w:lang w:eastAsia="en-AU"/>
          </w:rPr>
          <w:tab/>
        </w:r>
        <w:r w:rsidR="00CC0273" w:rsidRPr="00696AD6">
          <w:rPr>
            <w:rStyle w:val="Hyperlink"/>
            <w:noProof/>
          </w:rPr>
          <w:t>Indicative Implementation Plan</w:t>
        </w:r>
        <w:r w:rsidR="00CC0273">
          <w:rPr>
            <w:noProof/>
            <w:webHidden/>
          </w:rPr>
          <w:tab/>
        </w:r>
        <w:r w:rsidR="00CC0273">
          <w:rPr>
            <w:noProof/>
            <w:webHidden/>
          </w:rPr>
          <w:fldChar w:fldCharType="begin"/>
        </w:r>
        <w:r w:rsidR="00CC0273">
          <w:rPr>
            <w:noProof/>
            <w:webHidden/>
          </w:rPr>
          <w:instrText xml:space="preserve"> PAGEREF _Toc458698430 \h </w:instrText>
        </w:r>
        <w:r w:rsidR="00CC0273">
          <w:rPr>
            <w:noProof/>
            <w:webHidden/>
          </w:rPr>
        </w:r>
        <w:r w:rsidR="00CC0273">
          <w:rPr>
            <w:noProof/>
            <w:webHidden/>
          </w:rPr>
          <w:fldChar w:fldCharType="separate"/>
        </w:r>
        <w:r w:rsidR="00E54420">
          <w:rPr>
            <w:noProof/>
            <w:webHidden/>
          </w:rPr>
          <w:t>67</w:t>
        </w:r>
        <w:r w:rsidR="00CC0273">
          <w:rPr>
            <w:noProof/>
            <w:webHidden/>
          </w:rPr>
          <w:fldChar w:fldCharType="end"/>
        </w:r>
      </w:hyperlink>
    </w:p>
    <w:p w:rsidR="00CC0273" w:rsidRDefault="00DC3551">
      <w:pPr>
        <w:pStyle w:val="TOC1"/>
        <w:tabs>
          <w:tab w:val="right" w:pos="9016"/>
        </w:tabs>
        <w:rPr>
          <w:rFonts w:eastAsiaTheme="minorEastAsia"/>
          <w:noProof/>
          <w:lang w:eastAsia="en-AU"/>
        </w:rPr>
      </w:pPr>
      <w:hyperlink w:anchor="_Toc458698431" w:history="1">
        <w:r w:rsidR="00CC0273" w:rsidRPr="00696AD6">
          <w:rPr>
            <w:rStyle w:val="Hyperlink"/>
            <w:b/>
            <w:noProof/>
          </w:rPr>
          <w:t>Annexes</w:t>
        </w:r>
        <w:r w:rsidR="00CC0273">
          <w:rPr>
            <w:noProof/>
            <w:webHidden/>
          </w:rPr>
          <w:tab/>
        </w:r>
        <w:r w:rsidR="00CC0273">
          <w:rPr>
            <w:noProof/>
            <w:webHidden/>
          </w:rPr>
          <w:fldChar w:fldCharType="begin"/>
        </w:r>
        <w:r w:rsidR="00CC0273">
          <w:rPr>
            <w:noProof/>
            <w:webHidden/>
          </w:rPr>
          <w:instrText xml:space="preserve"> PAGEREF _Toc458698431 \h </w:instrText>
        </w:r>
        <w:r w:rsidR="00CC0273">
          <w:rPr>
            <w:noProof/>
            <w:webHidden/>
          </w:rPr>
        </w:r>
        <w:r w:rsidR="00CC0273">
          <w:rPr>
            <w:noProof/>
            <w:webHidden/>
          </w:rPr>
          <w:fldChar w:fldCharType="separate"/>
        </w:r>
        <w:r w:rsidR="00E54420">
          <w:rPr>
            <w:noProof/>
            <w:webHidden/>
          </w:rPr>
          <w:t>67</w:t>
        </w:r>
        <w:r w:rsidR="00CC0273">
          <w:rPr>
            <w:noProof/>
            <w:webHidden/>
          </w:rPr>
          <w:fldChar w:fldCharType="end"/>
        </w:r>
      </w:hyperlink>
    </w:p>
    <w:p w:rsidR="00CC0273" w:rsidRDefault="00DC3551">
      <w:pPr>
        <w:pStyle w:val="TOC2"/>
        <w:tabs>
          <w:tab w:val="right" w:pos="9016"/>
        </w:tabs>
        <w:rPr>
          <w:rFonts w:eastAsiaTheme="minorEastAsia"/>
          <w:noProof/>
          <w:lang w:eastAsia="en-AU"/>
        </w:rPr>
      </w:pPr>
      <w:hyperlink w:anchor="_Toc458698432" w:history="1">
        <w:r w:rsidR="00CC0273" w:rsidRPr="00696AD6">
          <w:rPr>
            <w:rStyle w:val="Hyperlink"/>
            <w:noProof/>
          </w:rPr>
          <w:t>Annex 1: Indicative Implementation Plan</w:t>
        </w:r>
        <w:r w:rsidR="00CC0273">
          <w:rPr>
            <w:noProof/>
            <w:webHidden/>
          </w:rPr>
          <w:tab/>
        </w:r>
        <w:r w:rsidR="00CC0273">
          <w:rPr>
            <w:noProof/>
            <w:webHidden/>
          </w:rPr>
          <w:fldChar w:fldCharType="begin"/>
        </w:r>
        <w:r w:rsidR="00CC0273">
          <w:rPr>
            <w:noProof/>
            <w:webHidden/>
          </w:rPr>
          <w:instrText xml:space="preserve"> PAGEREF _Toc458698432 \h </w:instrText>
        </w:r>
        <w:r w:rsidR="00CC0273">
          <w:rPr>
            <w:noProof/>
            <w:webHidden/>
          </w:rPr>
        </w:r>
        <w:r w:rsidR="00CC0273">
          <w:rPr>
            <w:noProof/>
            <w:webHidden/>
          </w:rPr>
          <w:fldChar w:fldCharType="separate"/>
        </w:r>
        <w:r w:rsidR="00E54420">
          <w:rPr>
            <w:noProof/>
            <w:webHidden/>
          </w:rPr>
          <w:t>67</w:t>
        </w:r>
        <w:r w:rsidR="00CC0273">
          <w:rPr>
            <w:noProof/>
            <w:webHidden/>
          </w:rPr>
          <w:fldChar w:fldCharType="end"/>
        </w:r>
      </w:hyperlink>
    </w:p>
    <w:p w:rsidR="00CC0273" w:rsidRDefault="00DC3551">
      <w:pPr>
        <w:pStyle w:val="TOC2"/>
        <w:tabs>
          <w:tab w:val="right" w:pos="9016"/>
        </w:tabs>
        <w:rPr>
          <w:rFonts w:eastAsiaTheme="minorEastAsia"/>
          <w:noProof/>
          <w:lang w:eastAsia="en-AU"/>
        </w:rPr>
      </w:pPr>
      <w:hyperlink w:anchor="_Toc458698433" w:history="1">
        <w:r w:rsidR="00CC0273" w:rsidRPr="00696AD6">
          <w:rPr>
            <w:rStyle w:val="Hyperlink"/>
            <w:noProof/>
          </w:rPr>
          <w:t>Annex 2: SRBJS Organigram</w:t>
        </w:r>
        <w:r w:rsidR="00CC0273">
          <w:rPr>
            <w:noProof/>
            <w:webHidden/>
          </w:rPr>
          <w:tab/>
        </w:r>
        <w:r w:rsidR="00CC0273">
          <w:rPr>
            <w:noProof/>
            <w:webHidden/>
          </w:rPr>
          <w:fldChar w:fldCharType="begin"/>
        </w:r>
        <w:r w:rsidR="00CC0273">
          <w:rPr>
            <w:noProof/>
            <w:webHidden/>
          </w:rPr>
          <w:instrText xml:space="preserve"> PAGEREF _Toc458698433 \h </w:instrText>
        </w:r>
        <w:r w:rsidR="00CC0273">
          <w:rPr>
            <w:noProof/>
            <w:webHidden/>
          </w:rPr>
        </w:r>
        <w:r w:rsidR="00CC0273">
          <w:rPr>
            <w:noProof/>
            <w:webHidden/>
          </w:rPr>
          <w:fldChar w:fldCharType="separate"/>
        </w:r>
        <w:r w:rsidR="00E54420">
          <w:rPr>
            <w:noProof/>
            <w:webHidden/>
          </w:rPr>
          <w:t>67</w:t>
        </w:r>
        <w:r w:rsidR="00CC0273">
          <w:rPr>
            <w:noProof/>
            <w:webHidden/>
          </w:rPr>
          <w:fldChar w:fldCharType="end"/>
        </w:r>
      </w:hyperlink>
    </w:p>
    <w:p w:rsidR="00CC0273" w:rsidRDefault="00DC3551">
      <w:pPr>
        <w:pStyle w:val="TOC2"/>
        <w:tabs>
          <w:tab w:val="right" w:pos="9016"/>
        </w:tabs>
        <w:rPr>
          <w:rFonts w:eastAsiaTheme="minorEastAsia"/>
          <w:noProof/>
          <w:lang w:eastAsia="en-AU"/>
        </w:rPr>
      </w:pPr>
      <w:hyperlink w:anchor="_Toc458698434" w:history="1">
        <w:r w:rsidR="00CC0273" w:rsidRPr="00696AD6">
          <w:rPr>
            <w:rStyle w:val="Hyperlink"/>
            <w:noProof/>
          </w:rPr>
          <w:t>Annex 3: Disability Analysis Annex</w:t>
        </w:r>
        <w:r w:rsidR="00CC0273">
          <w:rPr>
            <w:noProof/>
            <w:webHidden/>
          </w:rPr>
          <w:tab/>
        </w:r>
        <w:r w:rsidR="00CC0273">
          <w:rPr>
            <w:noProof/>
            <w:webHidden/>
          </w:rPr>
          <w:fldChar w:fldCharType="begin"/>
        </w:r>
        <w:r w:rsidR="00CC0273">
          <w:rPr>
            <w:noProof/>
            <w:webHidden/>
          </w:rPr>
          <w:instrText xml:space="preserve"> PAGEREF _Toc458698434 \h </w:instrText>
        </w:r>
        <w:r w:rsidR="00CC0273">
          <w:rPr>
            <w:noProof/>
            <w:webHidden/>
          </w:rPr>
        </w:r>
        <w:r w:rsidR="00CC0273">
          <w:rPr>
            <w:noProof/>
            <w:webHidden/>
          </w:rPr>
          <w:fldChar w:fldCharType="separate"/>
        </w:r>
        <w:r w:rsidR="00E54420">
          <w:rPr>
            <w:noProof/>
            <w:webHidden/>
          </w:rPr>
          <w:t>67</w:t>
        </w:r>
        <w:r w:rsidR="00CC0273">
          <w:rPr>
            <w:noProof/>
            <w:webHidden/>
          </w:rPr>
          <w:fldChar w:fldCharType="end"/>
        </w:r>
      </w:hyperlink>
    </w:p>
    <w:p w:rsidR="00CC0273" w:rsidRDefault="00DC3551">
      <w:pPr>
        <w:pStyle w:val="TOC2"/>
        <w:tabs>
          <w:tab w:val="right" w:pos="9016"/>
        </w:tabs>
        <w:rPr>
          <w:rFonts w:eastAsiaTheme="minorEastAsia"/>
          <w:noProof/>
          <w:lang w:eastAsia="en-AU"/>
        </w:rPr>
      </w:pPr>
      <w:hyperlink w:anchor="_Toc458698435" w:history="1">
        <w:r w:rsidR="00CC0273" w:rsidRPr="00696AD6">
          <w:rPr>
            <w:rStyle w:val="Hyperlink"/>
            <w:noProof/>
          </w:rPr>
          <w:t>Annex 4: Position Descriptions for Personnel</w:t>
        </w:r>
        <w:r w:rsidR="00CC0273">
          <w:rPr>
            <w:noProof/>
            <w:webHidden/>
          </w:rPr>
          <w:tab/>
        </w:r>
        <w:r w:rsidR="00CC0273">
          <w:rPr>
            <w:noProof/>
            <w:webHidden/>
          </w:rPr>
          <w:fldChar w:fldCharType="begin"/>
        </w:r>
        <w:r w:rsidR="00CC0273">
          <w:rPr>
            <w:noProof/>
            <w:webHidden/>
          </w:rPr>
          <w:instrText xml:space="preserve"> PAGEREF _Toc458698435 \h </w:instrText>
        </w:r>
        <w:r w:rsidR="00CC0273">
          <w:rPr>
            <w:noProof/>
            <w:webHidden/>
          </w:rPr>
        </w:r>
        <w:r w:rsidR="00CC0273">
          <w:rPr>
            <w:noProof/>
            <w:webHidden/>
          </w:rPr>
          <w:fldChar w:fldCharType="separate"/>
        </w:r>
        <w:r w:rsidR="00E54420">
          <w:rPr>
            <w:noProof/>
            <w:webHidden/>
          </w:rPr>
          <w:t>67</w:t>
        </w:r>
        <w:r w:rsidR="00CC0273">
          <w:rPr>
            <w:noProof/>
            <w:webHidden/>
          </w:rPr>
          <w:fldChar w:fldCharType="end"/>
        </w:r>
      </w:hyperlink>
    </w:p>
    <w:p w:rsidR="00CA7A38" w:rsidRPr="00011725" w:rsidRDefault="00CA7A38" w:rsidP="00E70031">
      <w:pPr>
        <w:spacing w:after="0"/>
        <w:jc w:val="center"/>
        <w:rPr>
          <w:b/>
          <w:sz w:val="28"/>
          <w:szCs w:val="28"/>
        </w:rPr>
      </w:pPr>
      <w:r w:rsidRPr="00011725">
        <w:rPr>
          <w:b/>
          <w:sz w:val="28"/>
          <w:szCs w:val="28"/>
        </w:rPr>
        <w:fldChar w:fldCharType="end"/>
      </w:r>
    </w:p>
    <w:p w:rsidR="00CA7A38" w:rsidRPr="00011725" w:rsidRDefault="00CA7A38" w:rsidP="00E70031">
      <w:pPr>
        <w:rPr>
          <w:b/>
          <w:sz w:val="28"/>
          <w:szCs w:val="28"/>
        </w:rPr>
        <w:sectPr w:rsidR="00CA7A38" w:rsidRPr="00011725" w:rsidSect="00E70031">
          <w:footerReference w:type="default" r:id="rId9"/>
          <w:pgSz w:w="11906" w:h="16838"/>
          <w:pgMar w:top="1440" w:right="1440" w:bottom="1440" w:left="1440" w:header="708" w:footer="708" w:gutter="0"/>
          <w:cols w:space="708"/>
          <w:docGrid w:linePitch="360"/>
        </w:sectPr>
      </w:pPr>
    </w:p>
    <w:p w:rsidR="00CA7A38" w:rsidRPr="00836BD9" w:rsidRDefault="00CA7A38" w:rsidP="00E70031">
      <w:pPr>
        <w:pStyle w:val="Heading1"/>
        <w:spacing w:after="240"/>
        <w:jc w:val="both"/>
        <w:rPr>
          <w:rFonts w:asciiTheme="minorHAnsi" w:hAnsiTheme="minorHAnsi"/>
          <w:b/>
          <w:color w:val="auto"/>
          <w:sz w:val="22"/>
          <w:szCs w:val="22"/>
        </w:rPr>
      </w:pPr>
      <w:bookmarkStart w:id="1" w:name="_Toc458698405"/>
      <w:r w:rsidRPr="00917386">
        <w:rPr>
          <w:rFonts w:asciiTheme="minorHAnsi" w:hAnsiTheme="minorHAnsi"/>
          <w:b/>
          <w:color w:val="auto"/>
          <w:sz w:val="22"/>
          <w:szCs w:val="22"/>
        </w:rPr>
        <w:lastRenderedPageBreak/>
        <w:t>EXECUTIVE SUMMARY</w:t>
      </w:r>
      <w:bookmarkEnd w:id="1"/>
    </w:p>
    <w:p w:rsidR="00CA7A38" w:rsidRDefault="00CA7A38" w:rsidP="00E70031">
      <w:pPr>
        <w:spacing w:line="276" w:lineRule="auto"/>
        <w:jc w:val="both"/>
      </w:pPr>
      <w:r w:rsidRPr="00D90EF9">
        <w:t>This</w:t>
      </w:r>
      <w:r>
        <w:t xml:space="preserve"> document describes the design of </w:t>
      </w:r>
      <w:proofErr w:type="spellStart"/>
      <w:r>
        <w:t>Stretem</w:t>
      </w:r>
      <w:proofErr w:type="spellEnd"/>
      <w:r>
        <w:t xml:space="preserve"> Rod </w:t>
      </w:r>
      <w:proofErr w:type="spellStart"/>
      <w:r>
        <w:t>blong</w:t>
      </w:r>
      <w:proofErr w:type="spellEnd"/>
      <w:r>
        <w:t xml:space="preserve"> </w:t>
      </w:r>
      <w:proofErr w:type="spellStart"/>
      <w:r>
        <w:t>Jastis</w:t>
      </w:r>
      <w:proofErr w:type="spellEnd"/>
      <w:r>
        <w:t xml:space="preserve"> </w:t>
      </w:r>
      <w:proofErr w:type="spellStart"/>
      <w:r>
        <w:t>mo</w:t>
      </w:r>
      <w:proofErr w:type="spellEnd"/>
      <w:r>
        <w:t xml:space="preserve"> </w:t>
      </w:r>
      <w:proofErr w:type="spellStart"/>
      <w:r>
        <w:t>Sefti</w:t>
      </w:r>
      <w:proofErr w:type="spellEnd"/>
      <w:r>
        <w:t xml:space="preserve"> (SRBJS), which is proposed to run for four years, from 1 January 2017 until 31 December 2020.  Through SRBJS, or Vanuatu-Australia Policing and Justice Program (as the program is called in English), the Government of Australia (</w:t>
      </w:r>
      <w:proofErr w:type="spellStart"/>
      <w:r>
        <w:t>GoA</w:t>
      </w:r>
      <w:proofErr w:type="spellEnd"/>
      <w:r>
        <w:t xml:space="preserve">) will provide support for improved policing, justice and community services in Vanuatu.  The design of SRBJS continues and builds on an existing </w:t>
      </w:r>
      <w:proofErr w:type="spellStart"/>
      <w:r>
        <w:t>GoA</w:t>
      </w:r>
      <w:proofErr w:type="spellEnd"/>
      <w:r>
        <w:t xml:space="preserve"> investment — the Policing and Justice Support Program Vanuatu (PJSPV) which is scheduled to finish on 31 December 2016.  PJSPV resulted from an extensive design process in 2014 and has been found to be progressing well in almost all aspects of the program.  As such, this design does not substantially change the current shape or form of PJSPV.  </w:t>
      </w:r>
    </w:p>
    <w:p w:rsidR="00CA7A38" w:rsidRDefault="00CA7A38" w:rsidP="00E70031">
      <w:pPr>
        <w:spacing w:line="276" w:lineRule="auto"/>
        <w:jc w:val="both"/>
      </w:pPr>
      <w:r>
        <w:t>PJSPV, which commenced on 1 July 2014, is a blend of justice, community services and policing support working principally at the agency level on a set of practical service delivery issues, primarily related to women, children and youth.  T</w:t>
      </w:r>
      <w:r w:rsidRPr="00917386">
        <w:t xml:space="preserve">he program </w:t>
      </w:r>
      <w:r>
        <w:t>is implemented</w:t>
      </w:r>
      <w:r w:rsidR="000C0B46">
        <w:t xml:space="preserve"> jointly</w:t>
      </w:r>
      <w:r>
        <w:t xml:space="preserve"> by the Australian Federal Police (AFP), providing expert policing advice to the Vanuatu Police Force (VPF), and a managing contractor.  In addition to having joint responsibility for technical inputs, the managing contractor is responsible for whole of program administration.  The program works closely and collaboratively under the direction and oversight of Australia’s Department of Foreign Affairs and Trade (DFAT).  This arrangement will continue in SRBJS.</w:t>
      </w:r>
    </w:p>
    <w:p w:rsidR="00CA7A38" w:rsidRDefault="00CA7A38" w:rsidP="00E70031">
      <w:pPr>
        <w:spacing w:line="276" w:lineRule="auto"/>
        <w:jc w:val="both"/>
      </w:pPr>
      <w:r w:rsidRPr="009A3BFE">
        <w:t xml:space="preserve">The </w:t>
      </w:r>
      <w:r>
        <w:t xml:space="preserve">SRBJS </w:t>
      </w:r>
      <w:r w:rsidRPr="009A3BFE">
        <w:t xml:space="preserve">design is aligned </w:t>
      </w:r>
      <w:r w:rsidRPr="009A3BFE">
        <w:rPr>
          <w:rFonts w:cstheme="minorHAnsi"/>
        </w:rPr>
        <w:t>with the Government of Vanuatu's (GoV) planning and reform agenda, as articulated through the Priority Action Agenda 2006–2015 (PAA)</w:t>
      </w:r>
      <w:r w:rsidRPr="00CD2F62">
        <w:rPr>
          <w:rFonts w:cstheme="minorHAnsi"/>
        </w:rPr>
        <w:t xml:space="preserve"> </w:t>
      </w:r>
      <w:r>
        <w:rPr>
          <w:rFonts w:cstheme="minorHAnsi"/>
        </w:rPr>
        <w:t xml:space="preserve">(to be replaced by the </w:t>
      </w:r>
      <w:r>
        <w:t>National Sustainable Development Plan (NSDP), currently being developed)</w:t>
      </w:r>
      <w:r w:rsidRPr="009A3BFE">
        <w:rPr>
          <w:rFonts w:cstheme="minorHAnsi"/>
        </w:rPr>
        <w:t>, Planning Long Acting Short 2013–2016 (PLAS),</w:t>
      </w:r>
      <w:r>
        <w:rPr>
          <w:rFonts w:cstheme="minorHAnsi"/>
        </w:rPr>
        <w:t xml:space="preserve"> </w:t>
      </w:r>
      <w:r w:rsidRPr="009A3BFE">
        <w:rPr>
          <w:rFonts w:cstheme="minorHAnsi"/>
        </w:rPr>
        <w:t>the Justice and Community Services Sector Strategy (JCSSS)</w:t>
      </w:r>
      <w:r>
        <w:rPr>
          <w:rFonts w:cstheme="minorHAnsi"/>
        </w:rPr>
        <w:t>,</w:t>
      </w:r>
      <w:r w:rsidRPr="009A3BFE">
        <w:rPr>
          <w:rFonts w:cstheme="minorHAnsi"/>
        </w:rPr>
        <w:t xml:space="preserve"> and Vanuatu Police Force Strategic Plan</w:t>
      </w:r>
      <w:r>
        <w:rPr>
          <w:rFonts w:cstheme="minorHAnsi"/>
        </w:rPr>
        <w:t>.</w:t>
      </w:r>
      <w:r>
        <w:t xml:space="preserve">  </w:t>
      </w:r>
      <w:r>
        <w:rPr>
          <w:rFonts w:cstheme="minorHAnsi"/>
        </w:rPr>
        <w:t>Through an emphasis on service delivery, the program aligns Australian assistance with Vanuatu’s own priorities and resources.</w:t>
      </w:r>
      <w:r>
        <w:t xml:space="preserve">  </w:t>
      </w:r>
    </w:p>
    <w:p w:rsidR="00CA7A38" w:rsidRDefault="00CA7A38" w:rsidP="00E70031">
      <w:pPr>
        <w:spacing w:line="276" w:lineRule="auto"/>
        <w:jc w:val="both"/>
      </w:pPr>
      <w:r>
        <w:t xml:space="preserve">The </w:t>
      </w:r>
      <w:r w:rsidRPr="00827B04">
        <w:t xml:space="preserve">goal of the program is </w:t>
      </w:r>
      <w:proofErr w:type="spellStart"/>
      <w:r>
        <w:rPr>
          <w:i/>
        </w:rPr>
        <w:t>Stretem</w:t>
      </w:r>
      <w:proofErr w:type="spellEnd"/>
      <w:r>
        <w:rPr>
          <w:i/>
        </w:rPr>
        <w:t xml:space="preserve"> rod </w:t>
      </w:r>
      <w:proofErr w:type="spellStart"/>
      <w:r>
        <w:rPr>
          <w:i/>
        </w:rPr>
        <w:t>blong</w:t>
      </w:r>
      <w:proofErr w:type="spellEnd"/>
      <w:r w:rsidRPr="00827B04">
        <w:rPr>
          <w:i/>
        </w:rPr>
        <w:t xml:space="preserve"> </w:t>
      </w:r>
      <w:proofErr w:type="spellStart"/>
      <w:r w:rsidRPr="00827B04">
        <w:rPr>
          <w:i/>
        </w:rPr>
        <w:t>jastis</w:t>
      </w:r>
      <w:proofErr w:type="spellEnd"/>
      <w:r w:rsidRPr="00827B04">
        <w:rPr>
          <w:i/>
        </w:rPr>
        <w:t xml:space="preserve"> </w:t>
      </w:r>
      <w:proofErr w:type="spellStart"/>
      <w:r w:rsidRPr="00827B04">
        <w:rPr>
          <w:i/>
        </w:rPr>
        <w:t>mo</w:t>
      </w:r>
      <w:proofErr w:type="spellEnd"/>
      <w:r w:rsidRPr="00827B04">
        <w:rPr>
          <w:i/>
        </w:rPr>
        <w:t xml:space="preserve"> </w:t>
      </w:r>
      <w:proofErr w:type="spellStart"/>
      <w:r w:rsidRPr="00827B04">
        <w:rPr>
          <w:i/>
        </w:rPr>
        <w:t>sefti</w:t>
      </w:r>
      <w:proofErr w:type="spellEnd"/>
      <w:r w:rsidRPr="00827B04">
        <w:rPr>
          <w:i/>
        </w:rPr>
        <w:t xml:space="preserve"> long Vanuatu.  </w:t>
      </w:r>
      <w:r w:rsidRPr="00827B04">
        <w:t>In English, this</w:t>
      </w:r>
      <w:r>
        <w:t xml:space="preserve"> very loosely</w:t>
      </w:r>
      <w:r w:rsidRPr="00827B04">
        <w:t xml:space="preserve"> translates to improved policing, justice and </w:t>
      </w:r>
      <w:r>
        <w:t>community services in Vanuatu.</w:t>
      </w:r>
      <w:r>
        <w:rPr>
          <w:rStyle w:val="FootnoteReference"/>
        </w:rPr>
        <w:footnoteReference w:id="1"/>
      </w:r>
      <w:r>
        <w:t xml:space="preserve">  The </w:t>
      </w:r>
      <w:r w:rsidRPr="00827B04">
        <w:t xml:space="preserve">goal is adapted </w:t>
      </w:r>
      <w:r>
        <w:t xml:space="preserve">from the vision for the sector as </w:t>
      </w:r>
      <w:r w:rsidRPr="00827B04">
        <w:t xml:space="preserve">set out in the JCSSS: </w:t>
      </w:r>
      <w:proofErr w:type="spellStart"/>
      <w:r w:rsidRPr="00827B04">
        <w:rPr>
          <w:rFonts w:cstheme="minorHAnsi"/>
          <w:i/>
        </w:rPr>
        <w:t>Jastis</w:t>
      </w:r>
      <w:proofErr w:type="spellEnd"/>
      <w:r w:rsidRPr="00827B04">
        <w:rPr>
          <w:rFonts w:cstheme="minorHAnsi"/>
          <w:i/>
        </w:rPr>
        <w:t xml:space="preserve">, </w:t>
      </w:r>
      <w:proofErr w:type="spellStart"/>
      <w:r w:rsidRPr="00827B04">
        <w:rPr>
          <w:rFonts w:cstheme="minorHAnsi"/>
          <w:i/>
        </w:rPr>
        <w:t>sefti</w:t>
      </w:r>
      <w:proofErr w:type="spellEnd"/>
      <w:r w:rsidRPr="00827B04">
        <w:rPr>
          <w:rFonts w:cstheme="minorHAnsi"/>
          <w:i/>
        </w:rPr>
        <w:t xml:space="preserve">, </w:t>
      </w:r>
      <w:proofErr w:type="spellStart"/>
      <w:r w:rsidRPr="00827B04">
        <w:rPr>
          <w:rFonts w:cstheme="minorHAnsi"/>
          <w:i/>
        </w:rPr>
        <w:t>digniti</w:t>
      </w:r>
      <w:proofErr w:type="spellEnd"/>
      <w:r w:rsidRPr="00827B04">
        <w:rPr>
          <w:rFonts w:cstheme="minorHAnsi"/>
          <w:i/>
        </w:rPr>
        <w:t xml:space="preserve">, </w:t>
      </w:r>
      <w:proofErr w:type="spellStart"/>
      <w:r w:rsidRPr="00827B04">
        <w:rPr>
          <w:rFonts w:cstheme="minorHAnsi"/>
          <w:i/>
        </w:rPr>
        <w:t>r</w:t>
      </w:r>
      <w:r>
        <w:rPr>
          <w:rFonts w:cstheme="minorHAnsi"/>
          <w:i/>
        </w:rPr>
        <w:t>ispek</w:t>
      </w:r>
      <w:proofErr w:type="spellEnd"/>
      <w:r>
        <w:rPr>
          <w:rFonts w:cstheme="minorHAnsi"/>
          <w:i/>
        </w:rPr>
        <w:t xml:space="preserve"> </w:t>
      </w:r>
      <w:proofErr w:type="spellStart"/>
      <w:r>
        <w:rPr>
          <w:rFonts w:cstheme="minorHAnsi"/>
          <w:i/>
        </w:rPr>
        <w:t>mo</w:t>
      </w:r>
      <w:proofErr w:type="spellEnd"/>
      <w:r>
        <w:rPr>
          <w:rFonts w:cstheme="minorHAnsi"/>
          <w:i/>
        </w:rPr>
        <w:t xml:space="preserve"> </w:t>
      </w:r>
      <w:proofErr w:type="spellStart"/>
      <w:r>
        <w:rPr>
          <w:rFonts w:cstheme="minorHAnsi"/>
          <w:i/>
        </w:rPr>
        <w:t>gud</w:t>
      </w:r>
      <w:proofErr w:type="spellEnd"/>
      <w:r>
        <w:rPr>
          <w:rFonts w:cstheme="minorHAnsi"/>
          <w:i/>
        </w:rPr>
        <w:t xml:space="preserve"> </w:t>
      </w:r>
      <w:proofErr w:type="spellStart"/>
      <w:r>
        <w:rPr>
          <w:rFonts w:cstheme="minorHAnsi"/>
          <w:i/>
        </w:rPr>
        <w:t>fasin</w:t>
      </w:r>
      <w:proofErr w:type="spellEnd"/>
      <w:r>
        <w:rPr>
          <w:rFonts w:cstheme="minorHAnsi"/>
          <w:i/>
        </w:rPr>
        <w:t xml:space="preserve"> </w:t>
      </w:r>
      <w:proofErr w:type="spellStart"/>
      <w:r>
        <w:rPr>
          <w:rFonts w:cstheme="minorHAnsi"/>
          <w:i/>
        </w:rPr>
        <w:t>blong</w:t>
      </w:r>
      <w:proofErr w:type="spellEnd"/>
      <w:r>
        <w:rPr>
          <w:rFonts w:cstheme="minorHAnsi"/>
          <w:i/>
        </w:rPr>
        <w:t xml:space="preserve"> </w:t>
      </w:r>
      <w:proofErr w:type="spellStart"/>
      <w:r>
        <w:rPr>
          <w:rFonts w:cstheme="minorHAnsi"/>
          <w:i/>
        </w:rPr>
        <w:t>evriwan</w:t>
      </w:r>
      <w:proofErr w:type="spellEnd"/>
      <w:r>
        <w:rPr>
          <w:rFonts w:cstheme="minorHAnsi"/>
        </w:rPr>
        <w:t>.</w:t>
      </w:r>
      <w:r>
        <w:rPr>
          <w:rStyle w:val="FootnoteReference"/>
          <w:rFonts w:cstheme="minorHAnsi"/>
        </w:rPr>
        <w:footnoteReference w:id="2"/>
      </w:r>
      <w:r>
        <w:rPr>
          <w:rFonts w:cstheme="minorHAnsi"/>
          <w:i/>
        </w:rPr>
        <w:t xml:space="preserve">  </w:t>
      </w:r>
      <w:r>
        <w:t>The work of SRBJS will contribute to the goal in modest but concrete ways.</w:t>
      </w:r>
    </w:p>
    <w:p w:rsidR="00CA7A38" w:rsidRDefault="00CA7A38" w:rsidP="00E70031">
      <w:pPr>
        <w:spacing w:before="240" w:line="276" w:lineRule="auto"/>
        <w:jc w:val="both"/>
        <w:rPr>
          <w:rFonts w:cstheme="minorHAnsi"/>
        </w:rPr>
      </w:pPr>
      <w:r>
        <w:rPr>
          <w:rFonts w:cstheme="minorHAnsi"/>
        </w:rPr>
        <w:t xml:space="preserve">SRBJS will work to help Vanuatu achieve this goal by focusing on the following areas for support: </w:t>
      </w:r>
    </w:p>
    <w:p w:rsidR="00CA7A38" w:rsidRDefault="00CA7A38" w:rsidP="00E70031">
      <w:pPr>
        <w:pStyle w:val="ListParagraph"/>
        <w:numPr>
          <w:ilvl w:val="0"/>
          <w:numId w:val="5"/>
        </w:numPr>
        <w:spacing w:after="0" w:line="276" w:lineRule="auto"/>
        <w:jc w:val="both"/>
      </w:pPr>
      <w:r>
        <w:t>strengthening the service delivery capacity of policing, justice and community services institutions (for improved service delivery to women, children and youth);</w:t>
      </w:r>
    </w:p>
    <w:p w:rsidR="00CA7A38" w:rsidRDefault="00CA7A38" w:rsidP="00E70031">
      <w:pPr>
        <w:pStyle w:val="ListParagraph"/>
        <w:numPr>
          <w:ilvl w:val="0"/>
          <w:numId w:val="5"/>
        </w:numPr>
        <w:spacing w:after="0" w:line="276" w:lineRule="auto"/>
        <w:ind w:left="714" w:hanging="357"/>
        <w:contextualSpacing w:val="0"/>
        <w:jc w:val="both"/>
      </w:pPr>
      <w:r>
        <w:t xml:space="preserve">improving people’s access to justice, with an emphasis on access to justice for survivors of violence against women and children; and </w:t>
      </w:r>
    </w:p>
    <w:p w:rsidR="00CA7A38" w:rsidRPr="006735AF" w:rsidRDefault="00CA7A38" w:rsidP="00E70031">
      <w:pPr>
        <w:pStyle w:val="ListParagraph"/>
        <w:numPr>
          <w:ilvl w:val="0"/>
          <w:numId w:val="5"/>
        </w:numPr>
        <w:spacing w:after="0" w:line="276" w:lineRule="auto"/>
        <w:ind w:left="714" w:hanging="357"/>
        <w:contextualSpacing w:val="0"/>
        <w:jc w:val="both"/>
      </w:pPr>
      <w:proofErr w:type="gramStart"/>
      <w:r>
        <w:t>enhancing</w:t>
      </w:r>
      <w:proofErr w:type="gramEnd"/>
      <w:r>
        <w:t xml:space="preserve"> service delivery for vulnerable and at risk-groups</w:t>
      </w:r>
      <w:r w:rsidRPr="006735AF">
        <w:rPr>
          <w:b/>
          <w:bCs/>
        </w:rPr>
        <w:t xml:space="preserve">, </w:t>
      </w:r>
      <w:r w:rsidRPr="006735AF">
        <w:rPr>
          <w:bCs/>
        </w:rPr>
        <w:t>particularly women and children survivors of violence</w:t>
      </w:r>
      <w:r>
        <w:rPr>
          <w:bCs/>
        </w:rPr>
        <w:t xml:space="preserve"> and neglect</w:t>
      </w:r>
      <w:r w:rsidRPr="006735AF">
        <w:rPr>
          <w:bCs/>
        </w:rPr>
        <w:t xml:space="preserve">, youth in conflict with the law, and </w:t>
      </w:r>
      <w:r>
        <w:rPr>
          <w:bCs/>
        </w:rPr>
        <w:t>persons</w:t>
      </w:r>
      <w:r w:rsidRPr="006735AF">
        <w:rPr>
          <w:bCs/>
        </w:rPr>
        <w:t xml:space="preserve"> with disabilities</w:t>
      </w:r>
      <w:r>
        <w:rPr>
          <w:bCs/>
        </w:rPr>
        <w:t>.</w:t>
      </w:r>
    </w:p>
    <w:p w:rsidR="00CA7A38" w:rsidRDefault="00CA7A38" w:rsidP="00E70031">
      <w:pPr>
        <w:spacing w:before="240" w:line="276" w:lineRule="auto"/>
        <w:jc w:val="both"/>
      </w:pPr>
      <w:r w:rsidRPr="00D80B26">
        <w:t>The context to which the program responds is complex and multifaceted, covering a number of diverse actors including state policing, justice and community services agencies as well as non-state actors (for example, churches and chiefly structures), civil society organisations, and the people of Vanuatu (as end</w:t>
      </w:r>
      <w:r>
        <w:t>-</w:t>
      </w:r>
      <w:r w:rsidRPr="00D80B26">
        <w:t>users or service recipients).</w:t>
      </w:r>
      <w:r>
        <w:t xml:space="preserve">  SRBJS seeks to respond to development challenges facing the sector including</w:t>
      </w:r>
      <w:r w:rsidRPr="00D80B26">
        <w:t xml:space="preserve"> </w:t>
      </w:r>
      <w:r>
        <w:t xml:space="preserve">limited access to justice, </w:t>
      </w:r>
      <w:r w:rsidRPr="00D8029B">
        <w:t xml:space="preserve">particularly for women, children and youth in remote and </w:t>
      </w:r>
      <w:r>
        <w:t xml:space="preserve">peri-urban </w:t>
      </w:r>
      <w:r w:rsidRPr="00D8029B">
        <w:lastRenderedPageBreak/>
        <w:t>ar</w:t>
      </w:r>
      <w:r>
        <w:t xml:space="preserve">eas; high levels of violence against women and children; limited </w:t>
      </w:r>
      <w:r w:rsidRPr="00D8029B">
        <w:t>community confidence in the effectiveness of just</w:t>
      </w:r>
      <w:r>
        <w:t>ice institutions and the police; and i</w:t>
      </w:r>
      <w:r w:rsidRPr="00D8029B">
        <w:t>ncreasing numbers of youth coming into conflict with the law</w:t>
      </w:r>
      <w:r>
        <w:t>.</w:t>
      </w:r>
    </w:p>
    <w:p w:rsidR="00CA7A38" w:rsidRPr="00A9788D" w:rsidRDefault="00CA7A38" w:rsidP="00E70031">
      <w:pPr>
        <w:spacing w:before="240" w:line="276" w:lineRule="auto"/>
        <w:jc w:val="both"/>
      </w:pPr>
      <w:r>
        <w:t xml:space="preserve">These </w:t>
      </w:r>
      <w:r w:rsidRPr="001C335C">
        <w:t>challenges</w:t>
      </w:r>
      <w:r>
        <w:t xml:space="preserve"> </w:t>
      </w:r>
      <w:r w:rsidRPr="001C335C">
        <w:t xml:space="preserve">cannot be addressed </w:t>
      </w:r>
      <w:r>
        <w:t>by focusing only</w:t>
      </w:r>
      <w:r w:rsidRPr="001C335C">
        <w:t xml:space="preserve"> on building </w:t>
      </w:r>
      <w:r>
        <w:t>institutional capacity.  They require</w:t>
      </w:r>
      <w:r w:rsidRPr="001C335C">
        <w:t xml:space="preserve"> thinking creatively about how t</w:t>
      </w:r>
      <w:r>
        <w:t xml:space="preserve">o promote change so that the </w:t>
      </w:r>
      <w:r w:rsidRPr="001C335C">
        <w:t>users of these institutions</w:t>
      </w:r>
      <w:r>
        <w:t xml:space="preserve"> — the community of Vanuatu — experience </w:t>
      </w:r>
      <w:r w:rsidRPr="001C335C">
        <w:t xml:space="preserve">a </w:t>
      </w:r>
      <w:r>
        <w:t xml:space="preserve">real </w:t>
      </w:r>
      <w:r w:rsidRPr="001C335C">
        <w:t>difference in how these institutions operate.</w:t>
      </w:r>
      <w:r>
        <w:t xml:space="preserve">  So SRBJS will involve a stronger focus on working across the interface between the state </w:t>
      </w:r>
      <w:r>
        <w:rPr>
          <w:rFonts w:eastAsiaTheme="minorEastAsia" w:cstheme="minorHAnsi"/>
        </w:rPr>
        <w:t xml:space="preserve">policing, justice and community services sector and the non-state justice system.  The program will put more emphasis on what happens at the community level, including the impact on and experiences of end-users of both the state and non-state systems.  </w:t>
      </w:r>
    </w:p>
    <w:p w:rsidR="00CA7A38" w:rsidRDefault="00CA7A38" w:rsidP="00E70031">
      <w:pPr>
        <w:spacing w:before="240" w:line="276" w:lineRule="auto"/>
        <w:jc w:val="both"/>
        <w:rPr>
          <w:rFonts w:cstheme="minorHAnsi"/>
        </w:rPr>
      </w:pPr>
      <w:r>
        <w:rPr>
          <w:rFonts w:eastAsiaTheme="minorEastAsia" w:cstheme="minorHAnsi"/>
        </w:rPr>
        <w:t xml:space="preserve">The main </w:t>
      </w:r>
      <w:r w:rsidRPr="001D618C">
        <w:rPr>
          <w:rFonts w:eastAsia="Times New Roman" w:cs="Arial"/>
          <w:color w:val="222222"/>
          <w:lang w:eastAsia="en-AU"/>
        </w:rPr>
        <w:t>ways</w:t>
      </w:r>
      <w:r>
        <w:rPr>
          <w:rFonts w:eastAsia="Times New Roman" w:cs="Arial"/>
          <w:color w:val="222222"/>
          <w:lang w:eastAsia="en-AU"/>
        </w:rPr>
        <w:t xml:space="preserve"> in which SRBJS refines PJSPV include an increased focus on service delivery to targeted provincial centres; increased support for more effective </w:t>
      </w:r>
      <w:r w:rsidRPr="00846842">
        <w:rPr>
          <w:rFonts w:eastAsia="Times New Roman" w:cs="Arial"/>
          <w:color w:val="222222"/>
          <w:lang w:eastAsia="en-AU"/>
        </w:rPr>
        <w:t xml:space="preserve">handling of cases involving violence against women and children; planned </w:t>
      </w:r>
      <w:r w:rsidRPr="00846842">
        <w:rPr>
          <w:rFonts w:cstheme="minorHAnsi"/>
        </w:rPr>
        <w:t>support for legal awareness and outreach activities; increased support for the Judiciary in consultation with the Chief Justice;</w:t>
      </w:r>
      <w:r>
        <w:rPr>
          <w:rFonts w:cstheme="minorHAnsi"/>
          <w:b/>
        </w:rPr>
        <w:t xml:space="preserve"> </w:t>
      </w:r>
      <w:r>
        <w:rPr>
          <w:rFonts w:cstheme="minorHAnsi"/>
        </w:rPr>
        <w:t>and planned support for law reform.</w:t>
      </w:r>
    </w:p>
    <w:p w:rsidR="00CA7A38" w:rsidRDefault="00CA7A38" w:rsidP="00E70031">
      <w:pPr>
        <w:spacing w:line="276" w:lineRule="auto"/>
        <w:jc w:val="both"/>
      </w:pPr>
    </w:p>
    <w:p w:rsidR="00CA7A38" w:rsidRPr="00917386" w:rsidRDefault="00CA7A38" w:rsidP="00E70031">
      <w:pPr>
        <w:spacing w:line="276" w:lineRule="auto"/>
        <w:jc w:val="both"/>
      </w:pPr>
    </w:p>
    <w:p w:rsidR="00CA7A38" w:rsidRPr="00917386" w:rsidRDefault="00CA7A38" w:rsidP="00E70031">
      <w:pPr>
        <w:spacing w:line="276" w:lineRule="auto"/>
        <w:jc w:val="both"/>
        <w:rPr>
          <w:rFonts w:eastAsiaTheme="majorEastAsia" w:cstheme="majorBidi"/>
        </w:rPr>
      </w:pPr>
      <w:r w:rsidRPr="00917386">
        <w:br w:type="page"/>
      </w:r>
    </w:p>
    <w:p w:rsidR="00CA7A38" w:rsidRPr="00917386" w:rsidRDefault="00CA7A38" w:rsidP="00E70031">
      <w:pPr>
        <w:pStyle w:val="Heading1"/>
        <w:jc w:val="both"/>
        <w:rPr>
          <w:rFonts w:asciiTheme="minorHAnsi" w:hAnsiTheme="minorHAnsi"/>
          <w:b/>
          <w:color w:val="auto"/>
          <w:sz w:val="22"/>
          <w:szCs w:val="22"/>
        </w:rPr>
      </w:pPr>
      <w:bookmarkStart w:id="2" w:name="_Toc458698406"/>
      <w:r w:rsidRPr="00917386">
        <w:rPr>
          <w:rFonts w:asciiTheme="minorHAnsi" w:hAnsiTheme="minorHAnsi"/>
          <w:b/>
          <w:color w:val="auto"/>
          <w:sz w:val="22"/>
          <w:szCs w:val="22"/>
        </w:rPr>
        <w:lastRenderedPageBreak/>
        <w:t>ACRONYMS</w:t>
      </w:r>
      <w:bookmarkEnd w:id="2"/>
      <w:r w:rsidRPr="00917386">
        <w:rPr>
          <w:rFonts w:asciiTheme="minorHAnsi" w:hAnsiTheme="minorHAnsi"/>
          <w:b/>
          <w:color w:val="auto"/>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74"/>
      </w:tblGrid>
      <w:tr w:rsidR="00CA7A38" w:rsidRPr="00917386" w:rsidTr="00E70031">
        <w:trPr>
          <w:trHeight w:hRule="exact" w:val="340"/>
        </w:trPr>
        <w:tc>
          <w:tcPr>
            <w:tcW w:w="1668" w:type="dxa"/>
          </w:tcPr>
          <w:p w:rsidR="00CA7A38" w:rsidRPr="00917386" w:rsidRDefault="00CA7A38" w:rsidP="00E70031">
            <w:pPr>
              <w:rPr>
                <w:b/>
              </w:rPr>
            </w:pPr>
            <w:r w:rsidRPr="00917386">
              <w:rPr>
                <w:b/>
              </w:rPr>
              <w:t>AAP</w:t>
            </w:r>
          </w:p>
        </w:tc>
        <w:tc>
          <w:tcPr>
            <w:tcW w:w="7574" w:type="dxa"/>
          </w:tcPr>
          <w:p w:rsidR="00CA7A38" w:rsidRPr="00917386" w:rsidRDefault="00CA7A38" w:rsidP="00E70031">
            <w:r w:rsidRPr="00917386">
              <w:t>Australian Aid Program, Department of Foreign Affairs and Trade</w:t>
            </w:r>
          </w:p>
        </w:tc>
      </w:tr>
      <w:tr w:rsidR="00CA7A38" w:rsidRPr="00917386" w:rsidTr="00E70031">
        <w:trPr>
          <w:trHeight w:hRule="exact" w:val="340"/>
        </w:trPr>
        <w:tc>
          <w:tcPr>
            <w:tcW w:w="1668" w:type="dxa"/>
          </w:tcPr>
          <w:p w:rsidR="00CA7A38" w:rsidRPr="00917386" w:rsidRDefault="00CA7A38" w:rsidP="00E70031">
            <w:pPr>
              <w:rPr>
                <w:b/>
              </w:rPr>
            </w:pPr>
            <w:r w:rsidRPr="00917386">
              <w:rPr>
                <w:b/>
              </w:rPr>
              <w:t>AFP</w:t>
            </w:r>
          </w:p>
        </w:tc>
        <w:tc>
          <w:tcPr>
            <w:tcW w:w="7574" w:type="dxa"/>
          </w:tcPr>
          <w:p w:rsidR="00CA7A38" w:rsidRPr="00917386" w:rsidRDefault="00CA7A38" w:rsidP="00E70031">
            <w:r w:rsidRPr="00917386">
              <w:t>Australian Federal Police</w:t>
            </w:r>
          </w:p>
        </w:tc>
      </w:tr>
      <w:tr w:rsidR="00CA7A38" w:rsidRPr="00917386" w:rsidTr="00E70031">
        <w:trPr>
          <w:trHeight w:hRule="exact" w:val="340"/>
        </w:trPr>
        <w:tc>
          <w:tcPr>
            <w:tcW w:w="1668" w:type="dxa"/>
          </w:tcPr>
          <w:p w:rsidR="00CA7A38" w:rsidRPr="00917386" w:rsidRDefault="00CA7A38" w:rsidP="00E70031">
            <w:pPr>
              <w:rPr>
                <w:b/>
              </w:rPr>
            </w:pPr>
            <w:r w:rsidRPr="00917386">
              <w:rPr>
                <w:b/>
              </w:rPr>
              <w:t>ARF</w:t>
            </w:r>
          </w:p>
        </w:tc>
        <w:tc>
          <w:tcPr>
            <w:tcW w:w="7574" w:type="dxa"/>
          </w:tcPr>
          <w:p w:rsidR="00CA7A38" w:rsidRPr="00917386" w:rsidRDefault="00CA7A38" w:rsidP="00E70031">
            <w:r w:rsidRPr="00917386">
              <w:t>Adviser Remuneration Framework</w:t>
            </w:r>
          </w:p>
        </w:tc>
      </w:tr>
      <w:tr w:rsidR="00CA7A38" w:rsidRPr="00917386" w:rsidTr="00E70031">
        <w:trPr>
          <w:trHeight w:hRule="exact" w:val="340"/>
        </w:trPr>
        <w:tc>
          <w:tcPr>
            <w:tcW w:w="1668" w:type="dxa"/>
          </w:tcPr>
          <w:p w:rsidR="00CA7A38" w:rsidRPr="00917386" w:rsidRDefault="00CA7A38" w:rsidP="00E70031">
            <w:pPr>
              <w:rPr>
                <w:b/>
              </w:rPr>
            </w:pPr>
            <w:r w:rsidRPr="00917386">
              <w:rPr>
                <w:b/>
              </w:rPr>
              <w:t>CAVAW</w:t>
            </w:r>
          </w:p>
        </w:tc>
        <w:tc>
          <w:tcPr>
            <w:tcW w:w="7574" w:type="dxa"/>
          </w:tcPr>
          <w:p w:rsidR="00CA7A38" w:rsidRPr="00917386" w:rsidRDefault="00CA7A38" w:rsidP="00E70031">
            <w:r w:rsidRPr="00917386">
              <w:t>Committee Against Violence Against Women</w:t>
            </w:r>
          </w:p>
        </w:tc>
      </w:tr>
      <w:tr w:rsidR="00CA7A38" w:rsidRPr="00917386" w:rsidTr="00E70031">
        <w:trPr>
          <w:trHeight w:hRule="exact" w:val="340"/>
        </w:trPr>
        <w:tc>
          <w:tcPr>
            <w:tcW w:w="1668" w:type="dxa"/>
          </w:tcPr>
          <w:p w:rsidR="00CA7A38" w:rsidRPr="00917386" w:rsidRDefault="00CA7A38" w:rsidP="00E70031">
            <w:pPr>
              <w:rPr>
                <w:b/>
              </w:rPr>
            </w:pPr>
            <w:r w:rsidRPr="00917386">
              <w:rPr>
                <w:b/>
              </w:rPr>
              <w:t>CD&amp;L</w:t>
            </w:r>
            <w:r>
              <w:rPr>
                <w:b/>
              </w:rPr>
              <w:t>A</w:t>
            </w:r>
          </w:p>
        </w:tc>
        <w:tc>
          <w:tcPr>
            <w:tcW w:w="7574" w:type="dxa"/>
          </w:tcPr>
          <w:p w:rsidR="00CA7A38" w:rsidRPr="00917386" w:rsidRDefault="00CA7A38" w:rsidP="00E70031">
            <w:r w:rsidRPr="00917386">
              <w:t>Capacity Development and Leadership</w:t>
            </w:r>
            <w:r>
              <w:t xml:space="preserve"> Adviser</w:t>
            </w:r>
          </w:p>
        </w:tc>
      </w:tr>
      <w:tr w:rsidR="00CA7A38" w:rsidRPr="00917386" w:rsidTr="00E70031">
        <w:trPr>
          <w:trHeight w:hRule="exact" w:val="340"/>
        </w:trPr>
        <w:tc>
          <w:tcPr>
            <w:tcW w:w="1668" w:type="dxa"/>
          </w:tcPr>
          <w:p w:rsidR="00CA7A38" w:rsidRPr="00917386" w:rsidRDefault="00CA7A38" w:rsidP="00E70031">
            <w:pPr>
              <w:rPr>
                <w:b/>
              </w:rPr>
            </w:pPr>
            <w:r w:rsidRPr="00917386">
              <w:rPr>
                <w:b/>
              </w:rPr>
              <w:t>CSO</w:t>
            </w:r>
          </w:p>
        </w:tc>
        <w:tc>
          <w:tcPr>
            <w:tcW w:w="7574" w:type="dxa"/>
          </w:tcPr>
          <w:p w:rsidR="00CA7A38" w:rsidRPr="00917386" w:rsidRDefault="00CA7A38" w:rsidP="00E70031">
            <w:r w:rsidRPr="00917386">
              <w:t>Civil Society Organisation</w:t>
            </w:r>
          </w:p>
        </w:tc>
      </w:tr>
      <w:tr w:rsidR="00CA7A38" w:rsidRPr="00917386" w:rsidTr="00E70031">
        <w:trPr>
          <w:trHeight w:hRule="exact" w:val="340"/>
        </w:trPr>
        <w:tc>
          <w:tcPr>
            <w:tcW w:w="1668" w:type="dxa"/>
          </w:tcPr>
          <w:p w:rsidR="00CA7A38" w:rsidRPr="00917386" w:rsidRDefault="00CA7A38" w:rsidP="00E70031">
            <w:pPr>
              <w:rPr>
                <w:b/>
              </w:rPr>
            </w:pPr>
            <w:r>
              <w:rPr>
                <w:b/>
              </w:rPr>
              <w:t>CLMO</w:t>
            </w:r>
          </w:p>
        </w:tc>
        <w:tc>
          <w:tcPr>
            <w:tcW w:w="7574" w:type="dxa"/>
          </w:tcPr>
          <w:p w:rsidR="00CA7A38" w:rsidRPr="00917386" w:rsidRDefault="00CA7A38" w:rsidP="00E70031">
            <w:r>
              <w:t>Customary Land Management Office</w:t>
            </w:r>
          </w:p>
        </w:tc>
      </w:tr>
      <w:tr w:rsidR="00CA7A38" w:rsidRPr="00917386" w:rsidTr="00E70031">
        <w:trPr>
          <w:trHeight w:hRule="exact" w:val="340"/>
        </w:trPr>
        <w:tc>
          <w:tcPr>
            <w:tcW w:w="1668" w:type="dxa"/>
          </w:tcPr>
          <w:p w:rsidR="00CA7A38" w:rsidRPr="00917386" w:rsidRDefault="00CA7A38" w:rsidP="00E70031">
            <w:pPr>
              <w:rPr>
                <w:b/>
              </w:rPr>
            </w:pPr>
            <w:r w:rsidRPr="00917386">
              <w:rPr>
                <w:b/>
              </w:rPr>
              <w:t>CSU</w:t>
            </w:r>
          </w:p>
        </w:tc>
        <w:tc>
          <w:tcPr>
            <w:tcW w:w="7574" w:type="dxa"/>
          </w:tcPr>
          <w:p w:rsidR="00CA7A38" w:rsidRPr="00917386" w:rsidRDefault="00CA7A38" w:rsidP="00E70031">
            <w:r w:rsidRPr="00917386">
              <w:t>Corporate Services Unit, Vanuatu Police Force</w:t>
            </w:r>
          </w:p>
        </w:tc>
      </w:tr>
      <w:tr w:rsidR="00CA7A38" w:rsidRPr="00917386" w:rsidTr="00E70031">
        <w:trPr>
          <w:trHeight w:hRule="exact" w:val="340"/>
        </w:trPr>
        <w:tc>
          <w:tcPr>
            <w:tcW w:w="1668" w:type="dxa"/>
          </w:tcPr>
          <w:p w:rsidR="00CA7A38" w:rsidRPr="00917386" w:rsidRDefault="00CA7A38" w:rsidP="00E70031">
            <w:pPr>
              <w:rPr>
                <w:b/>
              </w:rPr>
            </w:pPr>
            <w:r w:rsidRPr="00917386">
              <w:rPr>
                <w:b/>
              </w:rPr>
              <w:t>DAC</w:t>
            </w:r>
          </w:p>
        </w:tc>
        <w:tc>
          <w:tcPr>
            <w:tcW w:w="7574" w:type="dxa"/>
          </w:tcPr>
          <w:p w:rsidR="00CA7A38" w:rsidRPr="00917386" w:rsidRDefault="00CA7A38" w:rsidP="00E70031">
            <w:r w:rsidRPr="00917386">
              <w:t>Development Assistance Committee</w:t>
            </w:r>
          </w:p>
        </w:tc>
      </w:tr>
      <w:tr w:rsidR="00CA7A38" w:rsidRPr="00917386" w:rsidTr="00E70031">
        <w:trPr>
          <w:trHeight w:hRule="exact" w:val="340"/>
        </w:trPr>
        <w:tc>
          <w:tcPr>
            <w:tcW w:w="1668" w:type="dxa"/>
          </w:tcPr>
          <w:p w:rsidR="00CA7A38" w:rsidRPr="00917386" w:rsidRDefault="00CA7A38" w:rsidP="00E70031">
            <w:pPr>
              <w:rPr>
                <w:b/>
              </w:rPr>
            </w:pPr>
            <w:r w:rsidRPr="00917386">
              <w:rPr>
                <w:b/>
              </w:rPr>
              <w:t>DCS</w:t>
            </w:r>
          </w:p>
        </w:tc>
        <w:tc>
          <w:tcPr>
            <w:tcW w:w="7574" w:type="dxa"/>
          </w:tcPr>
          <w:p w:rsidR="00CA7A38" w:rsidRPr="00917386" w:rsidRDefault="00CA7A38" w:rsidP="00E70031">
            <w:r w:rsidRPr="00917386">
              <w:t>Department of Correctional Services</w:t>
            </w:r>
          </w:p>
        </w:tc>
      </w:tr>
      <w:tr w:rsidR="00CA7A38" w:rsidRPr="00917386" w:rsidTr="00E70031">
        <w:trPr>
          <w:trHeight w:hRule="exact" w:val="340"/>
        </w:trPr>
        <w:tc>
          <w:tcPr>
            <w:tcW w:w="1668" w:type="dxa"/>
          </w:tcPr>
          <w:p w:rsidR="00CA7A38" w:rsidRPr="00917386" w:rsidRDefault="00CA7A38" w:rsidP="00E70031">
            <w:pPr>
              <w:rPr>
                <w:b/>
              </w:rPr>
            </w:pPr>
            <w:r w:rsidRPr="00917386">
              <w:rPr>
                <w:b/>
              </w:rPr>
              <w:t>DFAT</w:t>
            </w:r>
          </w:p>
        </w:tc>
        <w:tc>
          <w:tcPr>
            <w:tcW w:w="7574" w:type="dxa"/>
          </w:tcPr>
          <w:p w:rsidR="00CA7A38" w:rsidRPr="00917386" w:rsidRDefault="00CA7A38" w:rsidP="00E70031">
            <w:r w:rsidRPr="00917386">
              <w:t>Australian Department of Foreign Affairs and Trade</w:t>
            </w:r>
          </w:p>
        </w:tc>
      </w:tr>
      <w:tr w:rsidR="00CA7A38" w:rsidRPr="00917386" w:rsidTr="00E70031">
        <w:trPr>
          <w:trHeight w:hRule="exact" w:val="340"/>
        </w:trPr>
        <w:tc>
          <w:tcPr>
            <w:tcW w:w="1668" w:type="dxa"/>
          </w:tcPr>
          <w:p w:rsidR="00CA7A38" w:rsidRPr="00917386" w:rsidRDefault="00CA7A38" w:rsidP="00E70031">
            <w:pPr>
              <w:rPr>
                <w:b/>
              </w:rPr>
            </w:pPr>
            <w:r w:rsidRPr="00917386">
              <w:rPr>
                <w:b/>
              </w:rPr>
              <w:t>DWA</w:t>
            </w:r>
          </w:p>
        </w:tc>
        <w:tc>
          <w:tcPr>
            <w:tcW w:w="7574" w:type="dxa"/>
          </w:tcPr>
          <w:p w:rsidR="00CA7A38" w:rsidRPr="00917386" w:rsidRDefault="00CA7A38" w:rsidP="00E70031">
            <w:r w:rsidRPr="00917386">
              <w:t>Department of Women’s Affairs</w:t>
            </w:r>
          </w:p>
        </w:tc>
      </w:tr>
      <w:tr w:rsidR="00CA7A38" w:rsidRPr="00917386" w:rsidTr="00E70031">
        <w:trPr>
          <w:trHeight w:hRule="exact" w:val="340"/>
        </w:trPr>
        <w:tc>
          <w:tcPr>
            <w:tcW w:w="1668" w:type="dxa"/>
          </w:tcPr>
          <w:p w:rsidR="00CA7A38" w:rsidRPr="00917386" w:rsidRDefault="00CA7A38" w:rsidP="00E70031">
            <w:pPr>
              <w:rPr>
                <w:b/>
              </w:rPr>
            </w:pPr>
            <w:r w:rsidRPr="00917386">
              <w:rPr>
                <w:b/>
              </w:rPr>
              <w:t>EOPO</w:t>
            </w:r>
          </w:p>
        </w:tc>
        <w:tc>
          <w:tcPr>
            <w:tcW w:w="7574" w:type="dxa"/>
          </w:tcPr>
          <w:p w:rsidR="00CA7A38" w:rsidRPr="00917386" w:rsidRDefault="00CA7A38" w:rsidP="00E70031">
            <w:r>
              <w:t>End of Program Outcome</w:t>
            </w:r>
          </w:p>
        </w:tc>
      </w:tr>
      <w:tr w:rsidR="00CA7A38" w:rsidRPr="00917386" w:rsidTr="00E70031">
        <w:trPr>
          <w:trHeight w:hRule="exact" w:val="340"/>
        </w:trPr>
        <w:tc>
          <w:tcPr>
            <w:tcW w:w="1668" w:type="dxa"/>
          </w:tcPr>
          <w:p w:rsidR="00CA7A38" w:rsidRPr="00917386" w:rsidRDefault="00CA7A38" w:rsidP="00E70031">
            <w:pPr>
              <w:rPr>
                <w:b/>
              </w:rPr>
            </w:pPr>
            <w:r w:rsidRPr="00917386">
              <w:rPr>
                <w:b/>
              </w:rPr>
              <w:t>FPA</w:t>
            </w:r>
          </w:p>
        </w:tc>
        <w:tc>
          <w:tcPr>
            <w:tcW w:w="7574" w:type="dxa"/>
          </w:tcPr>
          <w:p w:rsidR="00CA7A38" w:rsidRPr="00917386" w:rsidRDefault="00CA7A38" w:rsidP="00E70031">
            <w:r w:rsidRPr="00917386">
              <w:t>Family Protection Act</w:t>
            </w:r>
          </w:p>
        </w:tc>
      </w:tr>
      <w:tr w:rsidR="00CA7A38" w:rsidRPr="00917386" w:rsidTr="00E70031">
        <w:trPr>
          <w:trHeight w:hRule="exact" w:val="340"/>
        </w:trPr>
        <w:tc>
          <w:tcPr>
            <w:tcW w:w="1668" w:type="dxa"/>
          </w:tcPr>
          <w:p w:rsidR="00CA7A38" w:rsidRPr="00917386" w:rsidRDefault="00CA7A38" w:rsidP="00E70031">
            <w:pPr>
              <w:rPr>
                <w:b/>
              </w:rPr>
            </w:pPr>
            <w:r w:rsidRPr="00917386">
              <w:rPr>
                <w:b/>
              </w:rPr>
              <w:t>FPU</w:t>
            </w:r>
          </w:p>
        </w:tc>
        <w:tc>
          <w:tcPr>
            <w:tcW w:w="7574" w:type="dxa"/>
          </w:tcPr>
          <w:p w:rsidR="00CA7A38" w:rsidRPr="00917386" w:rsidRDefault="00CA7A38" w:rsidP="00E70031">
            <w:r w:rsidRPr="00917386">
              <w:t>Family Protection Unit</w:t>
            </w:r>
          </w:p>
        </w:tc>
      </w:tr>
      <w:tr w:rsidR="00CA7A38" w:rsidRPr="00917386" w:rsidTr="00E70031">
        <w:trPr>
          <w:trHeight w:hRule="exact" w:val="340"/>
        </w:trPr>
        <w:tc>
          <w:tcPr>
            <w:tcW w:w="1668" w:type="dxa"/>
          </w:tcPr>
          <w:p w:rsidR="00CA7A38" w:rsidRPr="00917386" w:rsidRDefault="00CA7A38" w:rsidP="00E70031">
            <w:pPr>
              <w:rPr>
                <w:b/>
              </w:rPr>
            </w:pPr>
            <w:proofErr w:type="spellStart"/>
            <w:r w:rsidRPr="00917386">
              <w:rPr>
                <w:b/>
              </w:rPr>
              <w:t>GoA</w:t>
            </w:r>
            <w:proofErr w:type="spellEnd"/>
          </w:p>
        </w:tc>
        <w:tc>
          <w:tcPr>
            <w:tcW w:w="7574" w:type="dxa"/>
          </w:tcPr>
          <w:p w:rsidR="00CA7A38" w:rsidRPr="00917386" w:rsidRDefault="00CA7A38" w:rsidP="00E70031">
            <w:r w:rsidRPr="00917386">
              <w:t>Government of Australia</w:t>
            </w:r>
          </w:p>
        </w:tc>
      </w:tr>
      <w:tr w:rsidR="00CA7A38" w:rsidRPr="00917386" w:rsidTr="00E70031">
        <w:trPr>
          <w:trHeight w:hRule="exact" w:val="340"/>
        </w:trPr>
        <w:tc>
          <w:tcPr>
            <w:tcW w:w="1668" w:type="dxa"/>
          </w:tcPr>
          <w:p w:rsidR="00CA7A38" w:rsidRPr="00917386" w:rsidRDefault="00CA7A38" w:rsidP="00E70031">
            <w:pPr>
              <w:rPr>
                <w:b/>
              </w:rPr>
            </w:pPr>
            <w:proofErr w:type="spellStart"/>
            <w:r w:rsidRPr="00917386">
              <w:rPr>
                <w:b/>
              </w:rPr>
              <w:t>GoNZ</w:t>
            </w:r>
            <w:proofErr w:type="spellEnd"/>
          </w:p>
        </w:tc>
        <w:tc>
          <w:tcPr>
            <w:tcW w:w="7574" w:type="dxa"/>
          </w:tcPr>
          <w:p w:rsidR="00CA7A38" w:rsidRPr="00917386" w:rsidRDefault="00CA7A38" w:rsidP="00E70031">
            <w:r w:rsidRPr="00917386">
              <w:t>Government of New Zealand</w:t>
            </w:r>
          </w:p>
        </w:tc>
      </w:tr>
      <w:tr w:rsidR="00CA7A38" w:rsidRPr="00917386" w:rsidTr="00E70031">
        <w:trPr>
          <w:trHeight w:hRule="exact" w:val="340"/>
        </w:trPr>
        <w:tc>
          <w:tcPr>
            <w:tcW w:w="1668" w:type="dxa"/>
          </w:tcPr>
          <w:p w:rsidR="00CA7A38" w:rsidRPr="00917386" w:rsidRDefault="00CA7A38" w:rsidP="00E70031">
            <w:pPr>
              <w:rPr>
                <w:b/>
              </w:rPr>
            </w:pPr>
            <w:r w:rsidRPr="00917386">
              <w:rPr>
                <w:b/>
              </w:rPr>
              <w:t>GoV</w:t>
            </w:r>
          </w:p>
        </w:tc>
        <w:tc>
          <w:tcPr>
            <w:tcW w:w="7574" w:type="dxa"/>
          </w:tcPr>
          <w:p w:rsidR="00CA7A38" w:rsidRPr="00917386" w:rsidRDefault="00CA7A38" w:rsidP="00E70031">
            <w:r w:rsidRPr="00917386">
              <w:t>Government of Vanuatu</w:t>
            </w:r>
          </w:p>
        </w:tc>
      </w:tr>
      <w:tr w:rsidR="00CA7A38" w:rsidRPr="00917386" w:rsidTr="00E70031">
        <w:trPr>
          <w:trHeight w:hRule="exact" w:val="340"/>
        </w:trPr>
        <w:tc>
          <w:tcPr>
            <w:tcW w:w="1668" w:type="dxa"/>
          </w:tcPr>
          <w:p w:rsidR="00CA7A38" w:rsidRPr="00917386" w:rsidRDefault="00CA7A38" w:rsidP="00E70031">
            <w:pPr>
              <w:rPr>
                <w:b/>
              </w:rPr>
            </w:pPr>
            <w:r w:rsidRPr="00917386">
              <w:rPr>
                <w:b/>
              </w:rPr>
              <w:t>HOAG</w:t>
            </w:r>
          </w:p>
        </w:tc>
        <w:tc>
          <w:tcPr>
            <w:tcW w:w="7574" w:type="dxa"/>
          </w:tcPr>
          <w:p w:rsidR="00CA7A38" w:rsidRPr="00917386" w:rsidRDefault="00CA7A38" w:rsidP="00E70031">
            <w:r w:rsidRPr="00917386">
              <w:t>Heads of Agency Group</w:t>
            </w:r>
          </w:p>
        </w:tc>
      </w:tr>
      <w:tr w:rsidR="00CA7A38" w:rsidRPr="00917386" w:rsidTr="00E70031">
        <w:trPr>
          <w:trHeight w:hRule="exact" w:val="340"/>
        </w:trPr>
        <w:tc>
          <w:tcPr>
            <w:tcW w:w="1668" w:type="dxa"/>
          </w:tcPr>
          <w:p w:rsidR="00CA7A38" w:rsidRPr="00917386" w:rsidRDefault="00CA7A38" w:rsidP="00E70031">
            <w:pPr>
              <w:rPr>
                <w:b/>
              </w:rPr>
            </w:pPr>
            <w:r>
              <w:rPr>
                <w:b/>
              </w:rPr>
              <w:t>HRM</w:t>
            </w:r>
          </w:p>
        </w:tc>
        <w:tc>
          <w:tcPr>
            <w:tcW w:w="7574" w:type="dxa"/>
          </w:tcPr>
          <w:p w:rsidR="00CA7A38" w:rsidRPr="00917386" w:rsidRDefault="00CA7A38" w:rsidP="00E70031">
            <w:r>
              <w:t xml:space="preserve">Human Resource Management </w:t>
            </w:r>
          </w:p>
        </w:tc>
      </w:tr>
      <w:tr w:rsidR="00CA7A38" w:rsidRPr="00917386" w:rsidTr="00E70031">
        <w:trPr>
          <w:trHeight w:hRule="exact" w:val="340"/>
        </w:trPr>
        <w:tc>
          <w:tcPr>
            <w:tcW w:w="1668" w:type="dxa"/>
          </w:tcPr>
          <w:p w:rsidR="00CA7A38" w:rsidRPr="00917386" w:rsidRDefault="00CA7A38" w:rsidP="00E70031">
            <w:pPr>
              <w:rPr>
                <w:b/>
              </w:rPr>
            </w:pPr>
            <w:r w:rsidRPr="00917386">
              <w:rPr>
                <w:b/>
              </w:rPr>
              <w:t>ICES</w:t>
            </w:r>
          </w:p>
        </w:tc>
        <w:tc>
          <w:tcPr>
            <w:tcW w:w="7574" w:type="dxa"/>
          </w:tcPr>
          <w:p w:rsidR="00CA7A38" w:rsidRPr="00917386" w:rsidRDefault="00CA7A38" w:rsidP="00E70031">
            <w:r w:rsidRPr="00917386">
              <w:t>Investigations, Community Engagement, and Systems &amp; Processes</w:t>
            </w:r>
          </w:p>
        </w:tc>
      </w:tr>
      <w:tr w:rsidR="00CA7A38" w:rsidRPr="00917386" w:rsidTr="00E70031">
        <w:trPr>
          <w:trHeight w:hRule="exact" w:val="340"/>
        </w:trPr>
        <w:tc>
          <w:tcPr>
            <w:tcW w:w="1668" w:type="dxa"/>
          </w:tcPr>
          <w:p w:rsidR="00CA7A38" w:rsidRPr="00917386" w:rsidRDefault="00CA7A38" w:rsidP="00E70031">
            <w:pPr>
              <w:rPr>
                <w:b/>
              </w:rPr>
            </w:pPr>
            <w:r w:rsidRPr="00917386">
              <w:rPr>
                <w:b/>
              </w:rPr>
              <w:t>ICT</w:t>
            </w:r>
          </w:p>
        </w:tc>
        <w:tc>
          <w:tcPr>
            <w:tcW w:w="7574" w:type="dxa"/>
          </w:tcPr>
          <w:p w:rsidR="00CA7A38" w:rsidRPr="00917386" w:rsidRDefault="00CA7A38" w:rsidP="00E70031">
            <w:r w:rsidRPr="00917386">
              <w:t>Information and communication technology</w:t>
            </w:r>
          </w:p>
        </w:tc>
      </w:tr>
      <w:tr w:rsidR="00CA7A38" w:rsidRPr="00917386" w:rsidTr="00E70031">
        <w:trPr>
          <w:trHeight w:hRule="exact" w:val="340"/>
        </w:trPr>
        <w:tc>
          <w:tcPr>
            <w:tcW w:w="1668" w:type="dxa"/>
          </w:tcPr>
          <w:p w:rsidR="00CA7A38" w:rsidRPr="00917386" w:rsidRDefault="00CA7A38" w:rsidP="00E70031">
            <w:pPr>
              <w:rPr>
                <w:b/>
              </w:rPr>
            </w:pPr>
            <w:r w:rsidRPr="00917386">
              <w:rPr>
                <w:b/>
              </w:rPr>
              <w:t>IDG</w:t>
            </w:r>
          </w:p>
        </w:tc>
        <w:tc>
          <w:tcPr>
            <w:tcW w:w="7574" w:type="dxa"/>
          </w:tcPr>
          <w:p w:rsidR="00CA7A38" w:rsidRPr="00917386" w:rsidRDefault="00CA7A38" w:rsidP="00E70031">
            <w:r w:rsidRPr="00917386">
              <w:t>International Deployment Group, Australian Federal Police</w:t>
            </w:r>
          </w:p>
        </w:tc>
      </w:tr>
      <w:tr w:rsidR="00CA7A38" w:rsidRPr="00917386" w:rsidTr="00E70031">
        <w:trPr>
          <w:trHeight w:hRule="exact" w:val="340"/>
        </w:trPr>
        <w:tc>
          <w:tcPr>
            <w:tcW w:w="1668" w:type="dxa"/>
          </w:tcPr>
          <w:p w:rsidR="00CA7A38" w:rsidRPr="00917386" w:rsidRDefault="00CA7A38" w:rsidP="00E70031">
            <w:pPr>
              <w:rPr>
                <w:b/>
              </w:rPr>
            </w:pPr>
            <w:r>
              <w:rPr>
                <w:b/>
              </w:rPr>
              <w:t>IO</w:t>
            </w:r>
          </w:p>
        </w:tc>
        <w:tc>
          <w:tcPr>
            <w:tcW w:w="7574" w:type="dxa"/>
          </w:tcPr>
          <w:p w:rsidR="00CA7A38" w:rsidRPr="00917386" w:rsidRDefault="00CA7A38" w:rsidP="00E70031">
            <w:r>
              <w:t>Intermediate outcome</w:t>
            </w:r>
          </w:p>
        </w:tc>
      </w:tr>
      <w:tr w:rsidR="00CA7A38" w:rsidRPr="00917386" w:rsidTr="00E70031">
        <w:trPr>
          <w:trHeight w:hRule="exact" w:val="340"/>
        </w:trPr>
        <w:tc>
          <w:tcPr>
            <w:tcW w:w="1668" w:type="dxa"/>
          </w:tcPr>
          <w:p w:rsidR="00CA7A38" w:rsidRPr="00917386" w:rsidRDefault="00CA7A38" w:rsidP="00E70031">
            <w:pPr>
              <w:rPr>
                <w:b/>
              </w:rPr>
            </w:pPr>
            <w:r w:rsidRPr="00917386">
              <w:rPr>
                <w:b/>
              </w:rPr>
              <w:t>JCSSS</w:t>
            </w:r>
          </w:p>
        </w:tc>
        <w:tc>
          <w:tcPr>
            <w:tcW w:w="7574" w:type="dxa"/>
          </w:tcPr>
          <w:p w:rsidR="00CA7A38" w:rsidRPr="00917386" w:rsidRDefault="00CA7A38" w:rsidP="00E70031">
            <w:r w:rsidRPr="00917386">
              <w:t>Justice and Community Services Sector Strategy</w:t>
            </w:r>
          </w:p>
        </w:tc>
      </w:tr>
      <w:tr w:rsidR="00CA7A38" w:rsidRPr="00917386" w:rsidTr="00E70031">
        <w:trPr>
          <w:trHeight w:hRule="exact" w:val="340"/>
        </w:trPr>
        <w:tc>
          <w:tcPr>
            <w:tcW w:w="1668" w:type="dxa"/>
          </w:tcPr>
          <w:p w:rsidR="00CA7A38" w:rsidRPr="00917386" w:rsidRDefault="00CA7A38" w:rsidP="00E70031">
            <w:pPr>
              <w:rPr>
                <w:b/>
              </w:rPr>
            </w:pPr>
            <w:r w:rsidRPr="00917386">
              <w:rPr>
                <w:b/>
              </w:rPr>
              <w:t>JSC</w:t>
            </w:r>
          </w:p>
        </w:tc>
        <w:tc>
          <w:tcPr>
            <w:tcW w:w="7574" w:type="dxa"/>
          </w:tcPr>
          <w:p w:rsidR="00CA7A38" w:rsidRPr="00917386" w:rsidRDefault="00CA7A38" w:rsidP="00E70031">
            <w:r w:rsidRPr="00917386">
              <w:t>Judicial Services Commission</w:t>
            </w:r>
          </w:p>
        </w:tc>
      </w:tr>
      <w:tr w:rsidR="00CA7A38" w:rsidRPr="00917386" w:rsidTr="00E70031">
        <w:trPr>
          <w:trHeight w:hRule="exact" w:val="340"/>
        </w:trPr>
        <w:tc>
          <w:tcPr>
            <w:tcW w:w="1668" w:type="dxa"/>
          </w:tcPr>
          <w:p w:rsidR="00CA7A38" w:rsidRPr="00917386" w:rsidRDefault="00CA7A38" w:rsidP="00E70031">
            <w:pPr>
              <w:rPr>
                <w:b/>
              </w:rPr>
            </w:pPr>
            <w:r w:rsidRPr="00917386">
              <w:rPr>
                <w:b/>
              </w:rPr>
              <w:t>M&amp;E</w:t>
            </w:r>
          </w:p>
        </w:tc>
        <w:tc>
          <w:tcPr>
            <w:tcW w:w="7574" w:type="dxa"/>
          </w:tcPr>
          <w:p w:rsidR="00CA7A38" w:rsidRPr="00917386" w:rsidRDefault="00CA7A38" w:rsidP="00E70031">
            <w:pPr>
              <w:ind w:left="-108"/>
            </w:pPr>
            <w:r w:rsidRPr="00917386">
              <w:t xml:space="preserve">  Monitoring and Evaluation</w:t>
            </w:r>
          </w:p>
        </w:tc>
      </w:tr>
      <w:tr w:rsidR="00CA7A38" w:rsidRPr="00917386" w:rsidTr="00E70031">
        <w:trPr>
          <w:trHeight w:hRule="exact" w:val="340"/>
        </w:trPr>
        <w:tc>
          <w:tcPr>
            <w:tcW w:w="1668" w:type="dxa"/>
          </w:tcPr>
          <w:p w:rsidR="00CA7A38" w:rsidRPr="00917386" w:rsidRDefault="00CA7A38" w:rsidP="00E70031">
            <w:pPr>
              <w:rPr>
                <w:b/>
              </w:rPr>
            </w:pPr>
            <w:r w:rsidRPr="00917386">
              <w:rPr>
                <w:b/>
              </w:rPr>
              <w:t>MFEM</w:t>
            </w:r>
          </w:p>
        </w:tc>
        <w:tc>
          <w:tcPr>
            <w:tcW w:w="7574" w:type="dxa"/>
          </w:tcPr>
          <w:p w:rsidR="00CA7A38" w:rsidRPr="00917386" w:rsidRDefault="00CA7A38" w:rsidP="00E70031">
            <w:r w:rsidRPr="00917386">
              <w:t>Ministry of Finance and Economic Management</w:t>
            </w:r>
          </w:p>
        </w:tc>
      </w:tr>
      <w:tr w:rsidR="00CA7A38" w:rsidRPr="00917386" w:rsidTr="00E70031">
        <w:trPr>
          <w:trHeight w:hRule="exact" w:val="340"/>
        </w:trPr>
        <w:tc>
          <w:tcPr>
            <w:tcW w:w="1668" w:type="dxa"/>
          </w:tcPr>
          <w:p w:rsidR="00CA7A38" w:rsidRPr="00917386" w:rsidRDefault="00CA7A38" w:rsidP="00E70031">
            <w:pPr>
              <w:rPr>
                <w:b/>
              </w:rPr>
            </w:pPr>
            <w:r w:rsidRPr="00917386">
              <w:rPr>
                <w:b/>
              </w:rPr>
              <w:t>MJCS</w:t>
            </w:r>
          </w:p>
        </w:tc>
        <w:tc>
          <w:tcPr>
            <w:tcW w:w="7574" w:type="dxa"/>
          </w:tcPr>
          <w:p w:rsidR="00CA7A38" w:rsidRPr="00917386" w:rsidRDefault="00CA7A38" w:rsidP="00E70031">
            <w:r w:rsidRPr="00917386">
              <w:t>Ministry of Justice and Community Services</w:t>
            </w:r>
          </w:p>
        </w:tc>
      </w:tr>
      <w:tr w:rsidR="00CA7A38" w:rsidRPr="00917386" w:rsidTr="00E70031">
        <w:trPr>
          <w:trHeight w:hRule="exact" w:val="340"/>
        </w:trPr>
        <w:tc>
          <w:tcPr>
            <w:tcW w:w="1668" w:type="dxa"/>
          </w:tcPr>
          <w:p w:rsidR="00CA7A38" w:rsidRPr="00917386" w:rsidRDefault="00CA7A38" w:rsidP="00E70031">
            <w:pPr>
              <w:rPr>
                <w:b/>
              </w:rPr>
            </w:pPr>
            <w:r w:rsidRPr="00917386">
              <w:rPr>
                <w:b/>
              </w:rPr>
              <w:t>MNCC</w:t>
            </w:r>
          </w:p>
        </w:tc>
        <w:tc>
          <w:tcPr>
            <w:tcW w:w="7574" w:type="dxa"/>
          </w:tcPr>
          <w:p w:rsidR="00CA7A38" w:rsidRPr="00917386" w:rsidRDefault="00CA7A38" w:rsidP="00E70031">
            <w:proofErr w:type="spellStart"/>
            <w:r w:rsidRPr="00917386">
              <w:rPr>
                <w:i/>
              </w:rPr>
              <w:t>Malvatumauri</w:t>
            </w:r>
            <w:proofErr w:type="spellEnd"/>
            <w:r w:rsidRPr="00917386">
              <w:t xml:space="preserve"> National Council of Chiefs</w:t>
            </w:r>
          </w:p>
        </w:tc>
      </w:tr>
      <w:tr w:rsidR="00CA7A38" w:rsidRPr="00917386" w:rsidTr="00E70031">
        <w:trPr>
          <w:trHeight w:hRule="exact" w:val="340"/>
        </w:trPr>
        <w:tc>
          <w:tcPr>
            <w:tcW w:w="1668" w:type="dxa"/>
          </w:tcPr>
          <w:p w:rsidR="00CA7A38" w:rsidRPr="00917386" w:rsidRDefault="00CA7A38" w:rsidP="00E70031">
            <w:pPr>
              <w:rPr>
                <w:b/>
              </w:rPr>
            </w:pPr>
            <w:proofErr w:type="spellStart"/>
            <w:r w:rsidRPr="00917386">
              <w:rPr>
                <w:b/>
              </w:rPr>
              <w:t>MoIA</w:t>
            </w:r>
            <w:proofErr w:type="spellEnd"/>
          </w:p>
        </w:tc>
        <w:tc>
          <w:tcPr>
            <w:tcW w:w="7574" w:type="dxa"/>
          </w:tcPr>
          <w:p w:rsidR="00CA7A38" w:rsidRPr="00917386" w:rsidRDefault="00CA7A38" w:rsidP="00E70031">
            <w:r w:rsidRPr="00917386">
              <w:t>Ministry of Internal Affairs</w:t>
            </w:r>
          </w:p>
        </w:tc>
      </w:tr>
      <w:tr w:rsidR="00CA7A38" w:rsidRPr="00917386" w:rsidTr="00E70031">
        <w:trPr>
          <w:trHeight w:hRule="exact" w:val="340"/>
        </w:trPr>
        <w:tc>
          <w:tcPr>
            <w:tcW w:w="1668" w:type="dxa"/>
          </w:tcPr>
          <w:p w:rsidR="00CA7A38" w:rsidRPr="00917386" w:rsidRDefault="00CA7A38" w:rsidP="00E70031">
            <w:pPr>
              <w:rPr>
                <w:b/>
              </w:rPr>
            </w:pPr>
            <w:r w:rsidRPr="00917386">
              <w:rPr>
                <w:b/>
              </w:rPr>
              <w:t>NGO</w:t>
            </w:r>
          </w:p>
        </w:tc>
        <w:tc>
          <w:tcPr>
            <w:tcW w:w="7574" w:type="dxa"/>
          </w:tcPr>
          <w:p w:rsidR="00CA7A38" w:rsidRPr="00917386" w:rsidRDefault="00CA7A38" w:rsidP="00E70031">
            <w:r w:rsidRPr="00917386">
              <w:t>Non–Government Organisations</w:t>
            </w:r>
          </w:p>
        </w:tc>
      </w:tr>
      <w:tr w:rsidR="00CA7A38" w:rsidRPr="00917386" w:rsidTr="00E70031">
        <w:trPr>
          <w:trHeight w:hRule="exact" w:val="340"/>
        </w:trPr>
        <w:tc>
          <w:tcPr>
            <w:tcW w:w="1668" w:type="dxa"/>
          </w:tcPr>
          <w:p w:rsidR="00CA7A38" w:rsidRPr="00917386" w:rsidRDefault="00CA7A38" w:rsidP="00E70031">
            <w:pPr>
              <w:rPr>
                <w:b/>
              </w:rPr>
            </w:pPr>
            <w:r>
              <w:rPr>
                <w:b/>
              </w:rPr>
              <w:t>NSDP</w:t>
            </w:r>
          </w:p>
        </w:tc>
        <w:tc>
          <w:tcPr>
            <w:tcW w:w="7574" w:type="dxa"/>
          </w:tcPr>
          <w:p w:rsidR="00CA7A38" w:rsidRPr="00917386" w:rsidRDefault="00CA7A38" w:rsidP="00E70031">
            <w:r>
              <w:t>National Sustainable Development Plan</w:t>
            </w:r>
          </w:p>
        </w:tc>
      </w:tr>
      <w:tr w:rsidR="00CA7A38" w:rsidRPr="00917386" w:rsidTr="00E70031">
        <w:trPr>
          <w:trHeight w:hRule="exact" w:val="340"/>
        </w:trPr>
        <w:tc>
          <w:tcPr>
            <w:tcW w:w="1668" w:type="dxa"/>
          </w:tcPr>
          <w:p w:rsidR="00CA7A38" w:rsidRPr="00917386" w:rsidRDefault="00CA7A38" w:rsidP="00E70031">
            <w:pPr>
              <w:rPr>
                <w:b/>
              </w:rPr>
            </w:pPr>
            <w:r w:rsidRPr="00917386">
              <w:rPr>
                <w:b/>
              </w:rPr>
              <w:t>NZ3P</w:t>
            </w:r>
          </w:p>
        </w:tc>
        <w:tc>
          <w:tcPr>
            <w:tcW w:w="7574" w:type="dxa"/>
          </w:tcPr>
          <w:p w:rsidR="00CA7A38" w:rsidRPr="00917386" w:rsidRDefault="00CA7A38" w:rsidP="00E70031">
            <w:r w:rsidRPr="00917386">
              <w:t>NZ Partnership for Pacific Policing Programme</w:t>
            </w:r>
          </w:p>
        </w:tc>
      </w:tr>
      <w:tr w:rsidR="00CA7A38" w:rsidRPr="00917386" w:rsidTr="00E70031">
        <w:trPr>
          <w:trHeight w:hRule="exact" w:val="340"/>
        </w:trPr>
        <w:tc>
          <w:tcPr>
            <w:tcW w:w="1668" w:type="dxa"/>
          </w:tcPr>
          <w:p w:rsidR="00CA7A38" w:rsidRPr="00917386" w:rsidRDefault="00CA7A38" w:rsidP="00E70031">
            <w:pPr>
              <w:rPr>
                <w:b/>
              </w:rPr>
            </w:pPr>
            <w:r w:rsidRPr="00917386">
              <w:rPr>
                <w:b/>
              </w:rPr>
              <w:t>NZ MFAT</w:t>
            </w:r>
          </w:p>
        </w:tc>
        <w:tc>
          <w:tcPr>
            <w:tcW w:w="7574" w:type="dxa"/>
          </w:tcPr>
          <w:p w:rsidR="00CA7A38" w:rsidRPr="00917386" w:rsidRDefault="00CA7A38" w:rsidP="00E70031">
            <w:r w:rsidRPr="00917386">
              <w:t>New Zealand Ministry of Foreign Affairs and Trade</w:t>
            </w:r>
          </w:p>
        </w:tc>
      </w:tr>
      <w:tr w:rsidR="00CA7A38" w:rsidRPr="00917386" w:rsidTr="00E70031">
        <w:trPr>
          <w:trHeight w:hRule="exact" w:val="340"/>
        </w:trPr>
        <w:tc>
          <w:tcPr>
            <w:tcW w:w="1668" w:type="dxa"/>
          </w:tcPr>
          <w:p w:rsidR="00CA7A38" w:rsidRPr="00917386" w:rsidRDefault="00CA7A38" w:rsidP="00E70031">
            <w:pPr>
              <w:rPr>
                <w:b/>
              </w:rPr>
            </w:pPr>
            <w:r w:rsidRPr="00917386">
              <w:rPr>
                <w:b/>
              </w:rPr>
              <w:t>OECD</w:t>
            </w:r>
          </w:p>
        </w:tc>
        <w:tc>
          <w:tcPr>
            <w:tcW w:w="7574" w:type="dxa"/>
          </w:tcPr>
          <w:p w:rsidR="00CA7A38" w:rsidRDefault="00CA7A38" w:rsidP="00E70031">
            <w:r w:rsidRPr="00917386">
              <w:t xml:space="preserve">Organisation </w:t>
            </w:r>
            <w:r>
              <w:t>for</w:t>
            </w:r>
            <w:r w:rsidRPr="00917386">
              <w:t xml:space="preserve"> Economic Co–operation and Development</w:t>
            </w:r>
          </w:p>
          <w:p w:rsidR="00CA7A38" w:rsidRPr="00917386" w:rsidRDefault="00CA7A38" w:rsidP="00E70031"/>
        </w:tc>
      </w:tr>
      <w:tr w:rsidR="00CA7A38" w:rsidRPr="00917386" w:rsidTr="00E70031">
        <w:trPr>
          <w:trHeight w:hRule="exact" w:val="340"/>
        </w:trPr>
        <w:tc>
          <w:tcPr>
            <w:tcW w:w="1668" w:type="dxa"/>
          </w:tcPr>
          <w:p w:rsidR="00CA7A38" w:rsidRPr="00917386" w:rsidRDefault="00CA7A38" w:rsidP="00E70031">
            <w:pPr>
              <w:rPr>
                <w:b/>
              </w:rPr>
            </w:pPr>
            <w:r>
              <w:rPr>
                <w:b/>
              </w:rPr>
              <w:t>OPP</w:t>
            </w:r>
          </w:p>
        </w:tc>
        <w:tc>
          <w:tcPr>
            <w:tcW w:w="7574" w:type="dxa"/>
          </w:tcPr>
          <w:p w:rsidR="00CA7A38" w:rsidRPr="00917386" w:rsidRDefault="00CA7A38" w:rsidP="00E70031">
            <w:r>
              <w:t xml:space="preserve">Office of the </w:t>
            </w:r>
            <w:r w:rsidRPr="00917386">
              <w:t>Public Prosecutor</w:t>
            </w:r>
          </w:p>
        </w:tc>
      </w:tr>
      <w:tr w:rsidR="00CA7A38" w:rsidRPr="00917386" w:rsidTr="00E70031">
        <w:trPr>
          <w:trHeight w:hRule="exact" w:val="340"/>
        </w:trPr>
        <w:tc>
          <w:tcPr>
            <w:tcW w:w="1668" w:type="dxa"/>
          </w:tcPr>
          <w:p w:rsidR="00CA7A38" w:rsidRPr="00917386" w:rsidRDefault="00CA7A38" w:rsidP="00E70031">
            <w:pPr>
              <w:rPr>
                <w:b/>
              </w:rPr>
            </w:pPr>
            <w:r w:rsidRPr="00917386">
              <w:rPr>
                <w:b/>
              </w:rPr>
              <w:t>PAA</w:t>
            </w:r>
          </w:p>
        </w:tc>
        <w:tc>
          <w:tcPr>
            <w:tcW w:w="7574" w:type="dxa"/>
          </w:tcPr>
          <w:p w:rsidR="00CA7A38" w:rsidRPr="00917386" w:rsidRDefault="00CA7A38" w:rsidP="00E70031">
            <w:r w:rsidRPr="00917386">
              <w:t>Priority Action Agenda</w:t>
            </w:r>
          </w:p>
        </w:tc>
      </w:tr>
      <w:tr w:rsidR="00CA7A38" w:rsidRPr="00917386" w:rsidTr="00E70031">
        <w:trPr>
          <w:trHeight w:hRule="exact" w:val="340"/>
        </w:trPr>
        <w:tc>
          <w:tcPr>
            <w:tcW w:w="1668" w:type="dxa"/>
          </w:tcPr>
          <w:p w:rsidR="00CA7A38" w:rsidRPr="00917386" w:rsidRDefault="00CA7A38" w:rsidP="00E70031">
            <w:pPr>
              <w:rPr>
                <w:b/>
              </w:rPr>
            </w:pPr>
            <w:r w:rsidRPr="00917386">
              <w:rPr>
                <w:b/>
              </w:rPr>
              <w:t>PFM</w:t>
            </w:r>
          </w:p>
        </w:tc>
        <w:tc>
          <w:tcPr>
            <w:tcW w:w="7574" w:type="dxa"/>
          </w:tcPr>
          <w:p w:rsidR="00CA7A38" w:rsidRPr="00917386" w:rsidRDefault="00CA7A38" w:rsidP="00E70031">
            <w:r w:rsidRPr="00917386">
              <w:t>Public Financial Management</w:t>
            </w:r>
          </w:p>
        </w:tc>
      </w:tr>
      <w:tr w:rsidR="00CA7A38" w:rsidRPr="00917386" w:rsidTr="00E70031">
        <w:trPr>
          <w:trHeight w:hRule="exact" w:val="340"/>
        </w:trPr>
        <w:tc>
          <w:tcPr>
            <w:tcW w:w="1668" w:type="dxa"/>
          </w:tcPr>
          <w:p w:rsidR="00CA7A38" w:rsidRPr="00917386" w:rsidRDefault="00CA7A38" w:rsidP="00E70031">
            <w:pPr>
              <w:rPr>
                <w:b/>
              </w:rPr>
            </w:pPr>
            <w:r w:rsidRPr="00917386">
              <w:rPr>
                <w:b/>
              </w:rPr>
              <w:t>PICP</w:t>
            </w:r>
          </w:p>
        </w:tc>
        <w:tc>
          <w:tcPr>
            <w:tcW w:w="7574" w:type="dxa"/>
          </w:tcPr>
          <w:p w:rsidR="00CA7A38" w:rsidRPr="00917386" w:rsidRDefault="00CA7A38" w:rsidP="00E70031">
            <w:r w:rsidRPr="00917386">
              <w:t>Pacific Islands Chiefs of Police</w:t>
            </w:r>
          </w:p>
        </w:tc>
      </w:tr>
      <w:tr w:rsidR="00CA7A38" w:rsidRPr="00917386" w:rsidTr="00E70031">
        <w:trPr>
          <w:trHeight w:hRule="exact" w:val="340"/>
        </w:trPr>
        <w:tc>
          <w:tcPr>
            <w:tcW w:w="1668" w:type="dxa"/>
          </w:tcPr>
          <w:p w:rsidR="00CA7A38" w:rsidRPr="00917386" w:rsidRDefault="00CA7A38" w:rsidP="00E70031">
            <w:pPr>
              <w:rPr>
                <w:b/>
              </w:rPr>
            </w:pPr>
            <w:r>
              <w:rPr>
                <w:b/>
              </w:rPr>
              <w:t>PIMS</w:t>
            </w:r>
          </w:p>
        </w:tc>
        <w:tc>
          <w:tcPr>
            <w:tcW w:w="7574" w:type="dxa"/>
          </w:tcPr>
          <w:p w:rsidR="00CA7A38" w:rsidRDefault="00CA7A38" w:rsidP="00E70031">
            <w:r>
              <w:t>Police Information Management System</w:t>
            </w:r>
          </w:p>
          <w:p w:rsidR="00CA7A38" w:rsidRPr="00917386" w:rsidRDefault="00CA7A38" w:rsidP="00E70031"/>
        </w:tc>
      </w:tr>
      <w:tr w:rsidR="00CA7A38" w:rsidRPr="00917386" w:rsidTr="00E70031">
        <w:trPr>
          <w:trHeight w:hRule="exact" w:val="340"/>
        </w:trPr>
        <w:tc>
          <w:tcPr>
            <w:tcW w:w="1668" w:type="dxa"/>
          </w:tcPr>
          <w:p w:rsidR="00CA7A38" w:rsidRDefault="00CA7A38" w:rsidP="00E70031">
            <w:pPr>
              <w:rPr>
                <w:b/>
              </w:rPr>
            </w:pPr>
          </w:p>
        </w:tc>
        <w:tc>
          <w:tcPr>
            <w:tcW w:w="7574" w:type="dxa"/>
          </w:tcPr>
          <w:p w:rsidR="00CA7A38" w:rsidRDefault="00CA7A38" w:rsidP="00E70031"/>
        </w:tc>
      </w:tr>
      <w:tr w:rsidR="00CA7A38" w:rsidRPr="00917386" w:rsidTr="00E70031">
        <w:trPr>
          <w:trHeight w:hRule="exact" w:val="340"/>
        </w:trPr>
        <w:tc>
          <w:tcPr>
            <w:tcW w:w="1668" w:type="dxa"/>
          </w:tcPr>
          <w:p w:rsidR="00CA7A38" w:rsidRPr="00917386" w:rsidRDefault="00CA7A38" w:rsidP="00E70031">
            <w:pPr>
              <w:rPr>
                <w:b/>
              </w:rPr>
            </w:pPr>
            <w:r>
              <w:rPr>
                <w:b/>
              </w:rPr>
              <w:lastRenderedPageBreak/>
              <w:t>PJSPV</w:t>
            </w:r>
          </w:p>
        </w:tc>
        <w:tc>
          <w:tcPr>
            <w:tcW w:w="7574" w:type="dxa"/>
          </w:tcPr>
          <w:p w:rsidR="00CA7A38" w:rsidRPr="00917386" w:rsidRDefault="00CA7A38" w:rsidP="00E70031">
            <w:r>
              <w:t>Policing and Justice Support Program (Vanuatu)</w:t>
            </w:r>
          </w:p>
        </w:tc>
      </w:tr>
      <w:tr w:rsidR="00CA7A38" w:rsidRPr="00917386" w:rsidTr="00E70031">
        <w:trPr>
          <w:trHeight w:hRule="exact" w:val="340"/>
        </w:trPr>
        <w:tc>
          <w:tcPr>
            <w:tcW w:w="1668" w:type="dxa"/>
          </w:tcPr>
          <w:p w:rsidR="00CA7A38" w:rsidRPr="00917386" w:rsidRDefault="00CA7A38" w:rsidP="00E70031">
            <w:pPr>
              <w:rPr>
                <w:b/>
              </w:rPr>
            </w:pPr>
            <w:r w:rsidRPr="00917386">
              <w:rPr>
                <w:b/>
              </w:rPr>
              <w:t>PLAS</w:t>
            </w:r>
          </w:p>
        </w:tc>
        <w:tc>
          <w:tcPr>
            <w:tcW w:w="7574" w:type="dxa"/>
          </w:tcPr>
          <w:p w:rsidR="00CA7A38" w:rsidRPr="00917386" w:rsidRDefault="00CA7A38" w:rsidP="00E70031">
            <w:r w:rsidRPr="00917386">
              <w:t>Planning Long Acting Short</w:t>
            </w:r>
          </w:p>
        </w:tc>
      </w:tr>
      <w:tr w:rsidR="00CA7A38" w:rsidRPr="00917386" w:rsidTr="00E70031">
        <w:trPr>
          <w:trHeight w:hRule="exact" w:val="340"/>
        </w:trPr>
        <w:tc>
          <w:tcPr>
            <w:tcW w:w="1668" w:type="dxa"/>
          </w:tcPr>
          <w:p w:rsidR="00CA7A38" w:rsidRPr="00917386" w:rsidRDefault="00CA7A38" w:rsidP="00E70031">
            <w:pPr>
              <w:rPr>
                <w:b/>
              </w:rPr>
            </w:pPr>
            <w:r w:rsidRPr="00917386">
              <w:rPr>
                <w:b/>
              </w:rPr>
              <w:t>PLP</w:t>
            </w:r>
          </w:p>
        </w:tc>
        <w:tc>
          <w:tcPr>
            <w:tcW w:w="7574" w:type="dxa"/>
          </w:tcPr>
          <w:p w:rsidR="00CA7A38" w:rsidRPr="00917386" w:rsidRDefault="00CA7A38" w:rsidP="00E70031">
            <w:r w:rsidRPr="00917386">
              <w:t>Pacific Leadership Program</w:t>
            </w:r>
          </w:p>
        </w:tc>
      </w:tr>
      <w:tr w:rsidR="00CA7A38" w:rsidRPr="00917386" w:rsidTr="00E70031">
        <w:trPr>
          <w:trHeight w:hRule="exact" w:val="340"/>
        </w:trPr>
        <w:tc>
          <w:tcPr>
            <w:tcW w:w="1668" w:type="dxa"/>
          </w:tcPr>
          <w:p w:rsidR="00CA7A38" w:rsidRPr="00917386" w:rsidRDefault="00CA7A38" w:rsidP="00E70031">
            <w:pPr>
              <w:rPr>
                <w:b/>
              </w:rPr>
            </w:pPr>
            <w:r w:rsidRPr="00917386">
              <w:rPr>
                <w:b/>
              </w:rPr>
              <w:t>PMG</w:t>
            </w:r>
          </w:p>
        </w:tc>
        <w:tc>
          <w:tcPr>
            <w:tcW w:w="7574" w:type="dxa"/>
          </w:tcPr>
          <w:p w:rsidR="00CA7A38" w:rsidRPr="00917386" w:rsidRDefault="00CA7A38" w:rsidP="00E70031">
            <w:r w:rsidRPr="00917386">
              <w:t>Partnership Management Group</w:t>
            </w:r>
          </w:p>
        </w:tc>
      </w:tr>
      <w:tr w:rsidR="00CA7A38" w:rsidRPr="00917386" w:rsidTr="00E70031">
        <w:trPr>
          <w:trHeight w:hRule="exact" w:val="340"/>
        </w:trPr>
        <w:tc>
          <w:tcPr>
            <w:tcW w:w="1668" w:type="dxa"/>
          </w:tcPr>
          <w:p w:rsidR="00CA7A38" w:rsidRPr="00917386" w:rsidRDefault="00CA7A38" w:rsidP="00E70031">
            <w:pPr>
              <w:rPr>
                <w:b/>
              </w:rPr>
            </w:pPr>
            <w:r w:rsidRPr="00917386">
              <w:rPr>
                <w:b/>
              </w:rPr>
              <w:t>PMO</w:t>
            </w:r>
          </w:p>
        </w:tc>
        <w:tc>
          <w:tcPr>
            <w:tcW w:w="7574" w:type="dxa"/>
          </w:tcPr>
          <w:p w:rsidR="00CA7A38" w:rsidRPr="00917386" w:rsidRDefault="00CA7A38" w:rsidP="00E70031">
            <w:r w:rsidRPr="00917386">
              <w:t>Prime Minister’s Office</w:t>
            </w:r>
          </w:p>
        </w:tc>
      </w:tr>
      <w:tr w:rsidR="00CA7A38" w:rsidRPr="00917386" w:rsidTr="00E70031">
        <w:trPr>
          <w:trHeight w:hRule="exact" w:val="340"/>
        </w:trPr>
        <w:tc>
          <w:tcPr>
            <w:tcW w:w="1668" w:type="dxa"/>
          </w:tcPr>
          <w:p w:rsidR="00CA7A38" w:rsidRPr="00917386" w:rsidRDefault="00CA7A38" w:rsidP="00E70031">
            <w:pPr>
              <w:rPr>
                <w:b/>
              </w:rPr>
            </w:pPr>
            <w:r w:rsidRPr="00917386">
              <w:rPr>
                <w:b/>
              </w:rPr>
              <w:t>PPDVP</w:t>
            </w:r>
          </w:p>
        </w:tc>
        <w:tc>
          <w:tcPr>
            <w:tcW w:w="7574" w:type="dxa"/>
          </w:tcPr>
          <w:p w:rsidR="00CA7A38" w:rsidRPr="00917386" w:rsidRDefault="00CA7A38" w:rsidP="00E70031">
            <w:r w:rsidRPr="00917386">
              <w:t>Pacific Prevention of Domestic Violence Programme</w:t>
            </w:r>
          </w:p>
        </w:tc>
      </w:tr>
      <w:tr w:rsidR="00CA7A38" w:rsidRPr="00917386" w:rsidTr="00E70031">
        <w:trPr>
          <w:trHeight w:hRule="exact" w:val="340"/>
        </w:trPr>
        <w:tc>
          <w:tcPr>
            <w:tcW w:w="1668" w:type="dxa"/>
          </w:tcPr>
          <w:p w:rsidR="00CA7A38" w:rsidRPr="00917386" w:rsidRDefault="00CA7A38" w:rsidP="00E70031">
            <w:pPr>
              <w:rPr>
                <w:b/>
              </w:rPr>
            </w:pPr>
            <w:r w:rsidRPr="00917386">
              <w:rPr>
                <w:b/>
              </w:rPr>
              <w:t>PPP/3P</w:t>
            </w:r>
          </w:p>
        </w:tc>
        <w:tc>
          <w:tcPr>
            <w:tcW w:w="7574" w:type="dxa"/>
          </w:tcPr>
          <w:p w:rsidR="00CA7A38" w:rsidRPr="00917386" w:rsidRDefault="00CA7A38" w:rsidP="00E70031">
            <w:r w:rsidRPr="00917386">
              <w:t>Pacific Policing Program</w:t>
            </w:r>
          </w:p>
        </w:tc>
      </w:tr>
      <w:tr w:rsidR="00CA7A38" w:rsidRPr="00917386" w:rsidTr="00E70031">
        <w:trPr>
          <w:trHeight w:hRule="exact" w:val="340"/>
        </w:trPr>
        <w:tc>
          <w:tcPr>
            <w:tcW w:w="1668" w:type="dxa"/>
          </w:tcPr>
          <w:p w:rsidR="00CA7A38" w:rsidRPr="00917386" w:rsidRDefault="00CA7A38" w:rsidP="00E70031">
            <w:pPr>
              <w:rPr>
                <w:b/>
              </w:rPr>
            </w:pPr>
            <w:r w:rsidRPr="00917386">
              <w:rPr>
                <w:b/>
              </w:rPr>
              <w:t>PSO</w:t>
            </w:r>
          </w:p>
        </w:tc>
        <w:tc>
          <w:tcPr>
            <w:tcW w:w="7574" w:type="dxa"/>
          </w:tcPr>
          <w:p w:rsidR="00CA7A38" w:rsidRPr="00917386" w:rsidRDefault="00CA7A38" w:rsidP="00E70031">
            <w:r w:rsidRPr="00917386">
              <w:t>Public Solicitor’s Office</w:t>
            </w:r>
          </w:p>
        </w:tc>
      </w:tr>
      <w:tr w:rsidR="00CA7A38" w:rsidRPr="00917386" w:rsidTr="00E70031">
        <w:trPr>
          <w:trHeight w:hRule="exact" w:val="340"/>
        </w:trPr>
        <w:tc>
          <w:tcPr>
            <w:tcW w:w="1668" w:type="dxa"/>
          </w:tcPr>
          <w:p w:rsidR="00CA7A38" w:rsidRPr="00917386" w:rsidRDefault="00CA7A38" w:rsidP="00E70031">
            <w:pPr>
              <w:rPr>
                <w:b/>
              </w:rPr>
            </w:pPr>
            <w:r w:rsidRPr="00917386">
              <w:rPr>
                <w:b/>
              </w:rPr>
              <w:t>PSU</w:t>
            </w:r>
          </w:p>
        </w:tc>
        <w:tc>
          <w:tcPr>
            <w:tcW w:w="7574" w:type="dxa"/>
          </w:tcPr>
          <w:p w:rsidR="00CA7A38" w:rsidRPr="00917386" w:rsidRDefault="00CA7A38" w:rsidP="00E70031">
            <w:r w:rsidRPr="00917386">
              <w:t>Professional Standards Unit</w:t>
            </w:r>
          </w:p>
        </w:tc>
      </w:tr>
      <w:tr w:rsidR="00CA7A38" w:rsidRPr="00917386" w:rsidTr="00E70031">
        <w:trPr>
          <w:trHeight w:hRule="exact" w:val="340"/>
        </w:trPr>
        <w:tc>
          <w:tcPr>
            <w:tcW w:w="1668" w:type="dxa"/>
          </w:tcPr>
          <w:p w:rsidR="00CA7A38" w:rsidRPr="00917386" w:rsidRDefault="00CA7A38" w:rsidP="00E70031">
            <w:pPr>
              <w:rPr>
                <w:b/>
              </w:rPr>
            </w:pPr>
            <w:r>
              <w:rPr>
                <w:b/>
              </w:rPr>
              <w:t>RR</w:t>
            </w:r>
            <w:r w:rsidRPr="00917386">
              <w:rPr>
                <w:b/>
              </w:rPr>
              <w:t>RT</w:t>
            </w:r>
          </w:p>
        </w:tc>
        <w:tc>
          <w:tcPr>
            <w:tcW w:w="7574" w:type="dxa"/>
          </w:tcPr>
          <w:p w:rsidR="00CA7A38" w:rsidRPr="00917386" w:rsidRDefault="00CA7A38" w:rsidP="00E70031">
            <w:r w:rsidRPr="00917386">
              <w:t>Regional Rights Resource Team</w:t>
            </w:r>
          </w:p>
        </w:tc>
      </w:tr>
      <w:tr w:rsidR="00CA7A38" w:rsidRPr="00917386" w:rsidTr="00E70031">
        <w:trPr>
          <w:trHeight w:hRule="exact" w:val="340"/>
        </w:trPr>
        <w:tc>
          <w:tcPr>
            <w:tcW w:w="1668" w:type="dxa"/>
          </w:tcPr>
          <w:p w:rsidR="00CA7A38" w:rsidRPr="00917386" w:rsidRDefault="00CA7A38" w:rsidP="00E70031">
            <w:pPr>
              <w:rPr>
                <w:b/>
              </w:rPr>
            </w:pPr>
            <w:r w:rsidRPr="00917386">
              <w:rPr>
                <w:b/>
              </w:rPr>
              <w:t>SLO</w:t>
            </w:r>
          </w:p>
        </w:tc>
        <w:tc>
          <w:tcPr>
            <w:tcW w:w="7574" w:type="dxa"/>
          </w:tcPr>
          <w:p w:rsidR="00CA7A38" w:rsidRPr="00917386" w:rsidRDefault="00CA7A38" w:rsidP="00E70031">
            <w:r w:rsidRPr="00917386">
              <w:t>State Law Office</w:t>
            </w:r>
          </w:p>
        </w:tc>
      </w:tr>
      <w:tr w:rsidR="00CA7A38" w:rsidRPr="00917386" w:rsidTr="00E70031">
        <w:trPr>
          <w:trHeight w:hRule="exact" w:val="340"/>
        </w:trPr>
        <w:tc>
          <w:tcPr>
            <w:tcW w:w="1668" w:type="dxa"/>
            <w:shd w:val="clear" w:color="auto" w:fill="auto"/>
          </w:tcPr>
          <w:p w:rsidR="00CA7A38" w:rsidRPr="00917386" w:rsidRDefault="00CA7A38" w:rsidP="00E70031">
            <w:pPr>
              <w:rPr>
                <w:b/>
              </w:rPr>
            </w:pPr>
            <w:r w:rsidRPr="00917386">
              <w:rPr>
                <w:b/>
              </w:rPr>
              <w:t>SPD</w:t>
            </w:r>
          </w:p>
        </w:tc>
        <w:tc>
          <w:tcPr>
            <w:tcW w:w="7574" w:type="dxa"/>
          </w:tcPr>
          <w:p w:rsidR="00CA7A38" w:rsidRPr="00917386" w:rsidRDefault="00CA7A38" w:rsidP="00E70031">
            <w:r w:rsidRPr="00917386">
              <w:t>State Prosecutions Department</w:t>
            </w:r>
          </w:p>
        </w:tc>
      </w:tr>
      <w:tr w:rsidR="00CA7A38" w:rsidRPr="00917386" w:rsidTr="00E70031">
        <w:trPr>
          <w:trHeight w:hRule="exact" w:val="340"/>
        </w:trPr>
        <w:tc>
          <w:tcPr>
            <w:tcW w:w="1668" w:type="dxa"/>
            <w:shd w:val="clear" w:color="auto" w:fill="auto"/>
          </w:tcPr>
          <w:p w:rsidR="00CA7A38" w:rsidRPr="00917386" w:rsidRDefault="00CA7A38" w:rsidP="00E70031">
            <w:pPr>
              <w:rPr>
                <w:b/>
              </w:rPr>
            </w:pPr>
            <w:r w:rsidRPr="00917386">
              <w:rPr>
                <w:b/>
              </w:rPr>
              <w:t>SRBJ</w:t>
            </w:r>
          </w:p>
        </w:tc>
        <w:tc>
          <w:tcPr>
            <w:tcW w:w="7574" w:type="dxa"/>
          </w:tcPr>
          <w:p w:rsidR="00CA7A38" w:rsidRPr="00917386" w:rsidRDefault="00CA7A38" w:rsidP="00E70031">
            <w:proofErr w:type="spellStart"/>
            <w:r w:rsidRPr="00917386">
              <w:t>Stretem</w:t>
            </w:r>
            <w:proofErr w:type="spellEnd"/>
            <w:r w:rsidRPr="00917386">
              <w:t xml:space="preserve"> Rod </w:t>
            </w:r>
            <w:proofErr w:type="spellStart"/>
            <w:r w:rsidRPr="00917386">
              <w:t>Blong</w:t>
            </w:r>
            <w:proofErr w:type="spellEnd"/>
            <w:r w:rsidRPr="00917386">
              <w:t xml:space="preserve"> </w:t>
            </w:r>
            <w:proofErr w:type="spellStart"/>
            <w:r w:rsidRPr="00917386">
              <w:t>Jastis</w:t>
            </w:r>
            <w:proofErr w:type="spellEnd"/>
            <w:r w:rsidRPr="00917386">
              <w:t xml:space="preserve"> Program</w:t>
            </w:r>
          </w:p>
        </w:tc>
      </w:tr>
      <w:tr w:rsidR="00CA7A38" w:rsidRPr="00917386" w:rsidTr="00E70031">
        <w:trPr>
          <w:trHeight w:hRule="exact" w:val="340"/>
        </w:trPr>
        <w:tc>
          <w:tcPr>
            <w:tcW w:w="1668" w:type="dxa"/>
          </w:tcPr>
          <w:p w:rsidR="00CA7A38" w:rsidRPr="00917386" w:rsidRDefault="00CA7A38" w:rsidP="00E70031">
            <w:pPr>
              <w:rPr>
                <w:b/>
              </w:rPr>
            </w:pPr>
            <w:r w:rsidRPr="00917386">
              <w:rPr>
                <w:b/>
              </w:rPr>
              <w:t>UIB</w:t>
            </w:r>
          </w:p>
        </w:tc>
        <w:tc>
          <w:tcPr>
            <w:tcW w:w="7574" w:type="dxa"/>
          </w:tcPr>
          <w:p w:rsidR="00CA7A38" w:rsidRPr="00917386" w:rsidRDefault="00CA7A38" w:rsidP="00E70031">
            <w:r w:rsidRPr="00917386">
              <w:t>Uniform Investigations Branch, Vanuatu Police Force</w:t>
            </w:r>
          </w:p>
        </w:tc>
      </w:tr>
      <w:tr w:rsidR="00CA7A38" w:rsidRPr="00917386" w:rsidTr="00E70031">
        <w:trPr>
          <w:trHeight w:hRule="exact" w:val="340"/>
        </w:trPr>
        <w:tc>
          <w:tcPr>
            <w:tcW w:w="1668" w:type="dxa"/>
          </w:tcPr>
          <w:p w:rsidR="00CA7A38" w:rsidRPr="00917386" w:rsidRDefault="00CA7A38" w:rsidP="00E70031">
            <w:pPr>
              <w:rPr>
                <w:b/>
              </w:rPr>
            </w:pPr>
            <w:r w:rsidRPr="00917386">
              <w:rPr>
                <w:b/>
              </w:rPr>
              <w:t>UNICEF</w:t>
            </w:r>
          </w:p>
        </w:tc>
        <w:tc>
          <w:tcPr>
            <w:tcW w:w="7574" w:type="dxa"/>
          </w:tcPr>
          <w:p w:rsidR="00CA7A38" w:rsidRPr="00917386" w:rsidRDefault="00CA7A38" w:rsidP="00E70031">
            <w:r w:rsidRPr="00917386">
              <w:t>United Nations Children’s Fund</w:t>
            </w:r>
          </w:p>
        </w:tc>
      </w:tr>
      <w:tr w:rsidR="00CA7A38" w:rsidRPr="00917386" w:rsidTr="00E70031">
        <w:tc>
          <w:tcPr>
            <w:tcW w:w="1668" w:type="dxa"/>
          </w:tcPr>
          <w:p w:rsidR="00CA7A38" w:rsidRPr="00917386" w:rsidRDefault="00CA7A38" w:rsidP="00E70031">
            <w:pPr>
              <w:rPr>
                <w:b/>
              </w:rPr>
            </w:pPr>
            <w:proofErr w:type="spellStart"/>
            <w:r w:rsidRPr="00917386">
              <w:rPr>
                <w:b/>
              </w:rPr>
              <w:t>UNWomen</w:t>
            </w:r>
            <w:proofErr w:type="spellEnd"/>
          </w:p>
        </w:tc>
        <w:tc>
          <w:tcPr>
            <w:tcW w:w="7574" w:type="dxa"/>
          </w:tcPr>
          <w:p w:rsidR="00CA7A38" w:rsidRPr="00917386" w:rsidRDefault="00CA7A38" w:rsidP="00E70031">
            <w:r w:rsidRPr="00917386">
              <w:rPr>
                <w:lang w:val="en-AU"/>
              </w:rPr>
              <w:t>United Nations Entity for Gender Equality and the Empowerment of Women</w:t>
            </w:r>
          </w:p>
        </w:tc>
      </w:tr>
      <w:tr w:rsidR="00CA7A38" w:rsidRPr="00917386" w:rsidTr="00E70031">
        <w:trPr>
          <w:trHeight w:hRule="exact" w:val="340"/>
        </w:trPr>
        <w:tc>
          <w:tcPr>
            <w:tcW w:w="1668" w:type="dxa"/>
          </w:tcPr>
          <w:p w:rsidR="00CA7A38" w:rsidRPr="00917386" w:rsidRDefault="00CA7A38" w:rsidP="00E70031">
            <w:pPr>
              <w:rPr>
                <w:b/>
              </w:rPr>
            </w:pPr>
            <w:r w:rsidRPr="00917386">
              <w:rPr>
                <w:b/>
              </w:rPr>
              <w:t>USP</w:t>
            </w:r>
          </w:p>
        </w:tc>
        <w:tc>
          <w:tcPr>
            <w:tcW w:w="7574" w:type="dxa"/>
          </w:tcPr>
          <w:p w:rsidR="00CA7A38" w:rsidRPr="00917386" w:rsidRDefault="00CA7A38" w:rsidP="00E70031">
            <w:r w:rsidRPr="00917386">
              <w:t>University of the South Pacific</w:t>
            </w:r>
          </w:p>
        </w:tc>
      </w:tr>
      <w:tr w:rsidR="00CA7A38" w:rsidRPr="00917386" w:rsidTr="00E70031">
        <w:trPr>
          <w:trHeight w:hRule="exact" w:val="340"/>
        </w:trPr>
        <w:tc>
          <w:tcPr>
            <w:tcW w:w="1668" w:type="dxa"/>
          </w:tcPr>
          <w:p w:rsidR="00CA7A38" w:rsidRPr="00917386" w:rsidRDefault="00CA7A38" w:rsidP="00E70031">
            <w:pPr>
              <w:rPr>
                <w:b/>
              </w:rPr>
            </w:pPr>
            <w:r w:rsidRPr="00917386">
              <w:rPr>
                <w:b/>
              </w:rPr>
              <w:t>VAPP</w:t>
            </w:r>
          </w:p>
        </w:tc>
        <w:tc>
          <w:tcPr>
            <w:tcW w:w="7574" w:type="dxa"/>
          </w:tcPr>
          <w:p w:rsidR="00CA7A38" w:rsidRPr="00917386" w:rsidRDefault="00CA7A38" w:rsidP="00E70031">
            <w:r w:rsidRPr="00917386">
              <w:t>Vanuatu Australia Police Project</w:t>
            </w:r>
          </w:p>
        </w:tc>
      </w:tr>
      <w:tr w:rsidR="00CA7A38" w:rsidRPr="00917386" w:rsidTr="00E70031">
        <w:trPr>
          <w:trHeight w:hRule="exact" w:val="364"/>
        </w:trPr>
        <w:tc>
          <w:tcPr>
            <w:tcW w:w="1668" w:type="dxa"/>
          </w:tcPr>
          <w:p w:rsidR="00CA7A38" w:rsidRPr="00917386" w:rsidRDefault="00CA7A38" w:rsidP="00E70031">
            <w:pPr>
              <w:rPr>
                <w:b/>
              </w:rPr>
            </w:pPr>
            <w:r w:rsidRPr="00917386">
              <w:rPr>
                <w:b/>
              </w:rPr>
              <w:t>VLC</w:t>
            </w:r>
          </w:p>
        </w:tc>
        <w:tc>
          <w:tcPr>
            <w:tcW w:w="7574" w:type="dxa"/>
          </w:tcPr>
          <w:p w:rsidR="00CA7A38" w:rsidRPr="00917386" w:rsidRDefault="00CA7A38" w:rsidP="00E70031">
            <w:r w:rsidRPr="00917386">
              <w:t>Vanuatu Law Commission</w:t>
            </w:r>
          </w:p>
        </w:tc>
      </w:tr>
      <w:tr w:rsidR="00CA7A38" w:rsidRPr="00917386" w:rsidTr="00E70031">
        <w:trPr>
          <w:trHeight w:hRule="exact" w:val="364"/>
        </w:trPr>
        <w:tc>
          <w:tcPr>
            <w:tcW w:w="1668" w:type="dxa"/>
          </w:tcPr>
          <w:p w:rsidR="00CA7A38" w:rsidRPr="00917386" w:rsidRDefault="00CA7A38" w:rsidP="00E70031">
            <w:pPr>
              <w:rPr>
                <w:b/>
              </w:rPr>
            </w:pPr>
            <w:r w:rsidRPr="00917386">
              <w:rPr>
                <w:b/>
              </w:rPr>
              <w:t>VLJP</w:t>
            </w:r>
          </w:p>
        </w:tc>
        <w:tc>
          <w:tcPr>
            <w:tcW w:w="7574" w:type="dxa"/>
          </w:tcPr>
          <w:p w:rsidR="00CA7A38" w:rsidRPr="00917386" w:rsidRDefault="00CA7A38" w:rsidP="00E70031">
            <w:r w:rsidRPr="00917386">
              <w:t>Vanuatu Law and Justice Partnership</w:t>
            </w:r>
          </w:p>
        </w:tc>
      </w:tr>
      <w:tr w:rsidR="00CA7A38" w:rsidRPr="00917386" w:rsidTr="00E70031">
        <w:trPr>
          <w:trHeight w:hRule="exact" w:val="364"/>
        </w:trPr>
        <w:tc>
          <w:tcPr>
            <w:tcW w:w="1668" w:type="dxa"/>
          </w:tcPr>
          <w:p w:rsidR="00CA7A38" w:rsidRPr="00917386" w:rsidRDefault="00CA7A38" w:rsidP="00E70031">
            <w:pPr>
              <w:rPr>
                <w:b/>
              </w:rPr>
            </w:pPr>
            <w:r w:rsidRPr="00917386">
              <w:rPr>
                <w:b/>
              </w:rPr>
              <w:t>VLSSP</w:t>
            </w:r>
          </w:p>
        </w:tc>
        <w:tc>
          <w:tcPr>
            <w:tcW w:w="7574" w:type="dxa"/>
          </w:tcPr>
          <w:p w:rsidR="00CA7A38" w:rsidRPr="00917386" w:rsidRDefault="00CA7A38" w:rsidP="00E70031">
            <w:r w:rsidRPr="00917386">
              <w:t>Vanuatu Legal Sector Strengthening Program</w:t>
            </w:r>
          </w:p>
        </w:tc>
      </w:tr>
      <w:tr w:rsidR="00CA7A38" w:rsidRPr="00917386" w:rsidTr="00E70031">
        <w:trPr>
          <w:trHeight w:hRule="exact" w:val="364"/>
        </w:trPr>
        <w:tc>
          <w:tcPr>
            <w:tcW w:w="1668" w:type="dxa"/>
          </w:tcPr>
          <w:p w:rsidR="00CA7A38" w:rsidRPr="00917386" w:rsidRDefault="00CA7A38" w:rsidP="00E70031">
            <w:pPr>
              <w:rPr>
                <w:b/>
              </w:rPr>
            </w:pPr>
            <w:r w:rsidRPr="00917386">
              <w:rPr>
                <w:b/>
              </w:rPr>
              <w:t>VPF</w:t>
            </w:r>
          </w:p>
          <w:p w:rsidR="00CA7A38" w:rsidRPr="00917386" w:rsidRDefault="00CA7A38" w:rsidP="00E70031">
            <w:pPr>
              <w:rPr>
                <w:b/>
              </w:rPr>
            </w:pPr>
          </w:p>
        </w:tc>
        <w:tc>
          <w:tcPr>
            <w:tcW w:w="7574" w:type="dxa"/>
          </w:tcPr>
          <w:p w:rsidR="00CA7A38" w:rsidRPr="00917386" w:rsidRDefault="00CA7A38" w:rsidP="00E70031">
            <w:r w:rsidRPr="00917386">
              <w:t>Vanuatu Police Force</w:t>
            </w:r>
          </w:p>
          <w:p w:rsidR="00CA7A38" w:rsidRPr="00917386" w:rsidRDefault="00CA7A38" w:rsidP="00E70031"/>
        </w:tc>
      </w:tr>
      <w:tr w:rsidR="00CA7A38" w:rsidRPr="00917386" w:rsidTr="00E70031">
        <w:trPr>
          <w:trHeight w:hRule="exact" w:val="364"/>
        </w:trPr>
        <w:tc>
          <w:tcPr>
            <w:tcW w:w="1668" w:type="dxa"/>
          </w:tcPr>
          <w:p w:rsidR="00CA7A38" w:rsidRPr="00917386" w:rsidRDefault="00CA7A38" w:rsidP="00E70031">
            <w:pPr>
              <w:rPr>
                <w:b/>
              </w:rPr>
            </w:pPr>
            <w:r w:rsidRPr="00917386">
              <w:rPr>
                <w:b/>
              </w:rPr>
              <w:t>VWC</w:t>
            </w:r>
          </w:p>
          <w:p w:rsidR="00CA7A38" w:rsidRPr="00917386" w:rsidRDefault="00CA7A38" w:rsidP="00E70031">
            <w:pPr>
              <w:rPr>
                <w:b/>
              </w:rPr>
            </w:pPr>
          </w:p>
        </w:tc>
        <w:tc>
          <w:tcPr>
            <w:tcW w:w="7574" w:type="dxa"/>
          </w:tcPr>
          <w:p w:rsidR="00CA7A38" w:rsidRPr="00917386" w:rsidRDefault="00CA7A38" w:rsidP="00E70031">
            <w:r w:rsidRPr="00917386">
              <w:t>Vanuatu Women’s Centre</w:t>
            </w:r>
          </w:p>
          <w:p w:rsidR="00CA7A38" w:rsidRPr="00917386" w:rsidRDefault="00CA7A38" w:rsidP="00E70031"/>
        </w:tc>
      </w:tr>
      <w:tr w:rsidR="00CA7A38" w:rsidRPr="00917386" w:rsidTr="00E70031">
        <w:trPr>
          <w:trHeight w:hRule="exact" w:val="364"/>
        </w:trPr>
        <w:tc>
          <w:tcPr>
            <w:tcW w:w="1668" w:type="dxa"/>
          </w:tcPr>
          <w:p w:rsidR="00CA7A38" w:rsidRPr="00917386" w:rsidRDefault="00CA7A38" w:rsidP="00E70031">
            <w:pPr>
              <w:rPr>
                <w:b/>
              </w:rPr>
            </w:pPr>
            <w:r w:rsidRPr="00917386">
              <w:rPr>
                <w:b/>
              </w:rPr>
              <w:t>WSB</w:t>
            </w:r>
          </w:p>
          <w:p w:rsidR="00CA7A38" w:rsidRPr="00917386" w:rsidRDefault="00CA7A38" w:rsidP="00E70031">
            <w:pPr>
              <w:rPr>
                <w:b/>
              </w:rPr>
            </w:pPr>
          </w:p>
        </w:tc>
        <w:tc>
          <w:tcPr>
            <w:tcW w:w="7574" w:type="dxa"/>
          </w:tcPr>
          <w:p w:rsidR="00CA7A38" w:rsidRPr="00917386" w:rsidRDefault="00CA7A38" w:rsidP="00E70031">
            <w:r w:rsidRPr="00917386">
              <w:t xml:space="preserve">Wan </w:t>
            </w:r>
            <w:proofErr w:type="spellStart"/>
            <w:r w:rsidRPr="00917386">
              <w:t>Smolbag</w:t>
            </w:r>
            <w:proofErr w:type="spellEnd"/>
          </w:p>
          <w:p w:rsidR="00CA7A38" w:rsidRPr="00917386" w:rsidRDefault="00CA7A38" w:rsidP="00E70031"/>
        </w:tc>
      </w:tr>
    </w:tbl>
    <w:p w:rsidR="00CA7A38" w:rsidRPr="00917386" w:rsidRDefault="00CA7A38" w:rsidP="00E70031">
      <w:pPr>
        <w:spacing w:after="0"/>
        <w:rPr>
          <w:b/>
        </w:rPr>
        <w:sectPr w:rsidR="00CA7A38" w:rsidRPr="00917386" w:rsidSect="00E70031">
          <w:footerReference w:type="default" r:id="rId10"/>
          <w:pgSz w:w="11906" w:h="16838"/>
          <w:pgMar w:top="1080" w:right="1247" w:bottom="1080" w:left="1247" w:header="709" w:footer="709" w:gutter="0"/>
          <w:pgNumType w:start="1"/>
          <w:cols w:space="708"/>
          <w:docGrid w:linePitch="360"/>
        </w:sectPr>
      </w:pPr>
    </w:p>
    <w:p w:rsidR="00CA7A38" w:rsidRPr="00917386" w:rsidRDefault="00CA7A38" w:rsidP="00E70031">
      <w:pPr>
        <w:sectPr w:rsidR="00CA7A38" w:rsidRPr="00917386" w:rsidSect="00E70031">
          <w:type w:val="continuous"/>
          <w:pgSz w:w="11906" w:h="16838"/>
          <w:pgMar w:top="1080" w:right="1247" w:bottom="1080" w:left="1247" w:header="709" w:footer="709" w:gutter="0"/>
          <w:cols w:space="708"/>
          <w:docGrid w:linePitch="360"/>
        </w:sectPr>
      </w:pPr>
    </w:p>
    <w:p w:rsidR="00CA7A38" w:rsidRPr="00917386" w:rsidRDefault="00CA7A38" w:rsidP="00E70031">
      <w:pPr>
        <w:sectPr w:rsidR="00CA7A38" w:rsidRPr="00917386" w:rsidSect="00E70031">
          <w:type w:val="continuous"/>
          <w:pgSz w:w="11906" w:h="16838"/>
          <w:pgMar w:top="1080" w:right="1247" w:bottom="1080" w:left="1247" w:header="709" w:footer="709" w:gutter="0"/>
          <w:cols w:space="708"/>
          <w:docGrid w:linePitch="360"/>
        </w:sectPr>
      </w:pPr>
    </w:p>
    <w:p w:rsidR="00CA7A38" w:rsidRPr="00B7108C" w:rsidRDefault="00CA7A38" w:rsidP="00E70031">
      <w:pPr>
        <w:pStyle w:val="Heading1"/>
        <w:numPr>
          <w:ilvl w:val="0"/>
          <w:numId w:val="1"/>
        </w:numPr>
        <w:spacing w:after="240" w:line="276" w:lineRule="auto"/>
        <w:jc w:val="both"/>
        <w:rPr>
          <w:rFonts w:asciiTheme="minorHAnsi" w:hAnsiTheme="minorHAnsi"/>
          <w:b/>
          <w:color w:val="auto"/>
          <w:sz w:val="22"/>
          <w:szCs w:val="22"/>
        </w:rPr>
      </w:pPr>
      <w:bookmarkStart w:id="3" w:name="_Toc458698407"/>
      <w:r w:rsidRPr="00B7108C">
        <w:rPr>
          <w:rFonts w:asciiTheme="minorHAnsi" w:hAnsiTheme="minorHAnsi"/>
          <w:b/>
          <w:color w:val="auto"/>
          <w:sz w:val="22"/>
          <w:szCs w:val="22"/>
        </w:rPr>
        <w:lastRenderedPageBreak/>
        <w:t>ABOUT THIS DOCUMENT</w:t>
      </w:r>
      <w:bookmarkEnd w:id="3"/>
    </w:p>
    <w:p w:rsidR="00CA7A38" w:rsidRPr="005D4C78" w:rsidRDefault="00CA7A38" w:rsidP="00E70031">
      <w:pPr>
        <w:pStyle w:val="Heading2"/>
        <w:numPr>
          <w:ilvl w:val="1"/>
          <w:numId w:val="1"/>
        </w:numPr>
        <w:spacing w:before="0" w:line="276" w:lineRule="auto"/>
        <w:jc w:val="both"/>
        <w:rPr>
          <w:rFonts w:asciiTheme="minorHAnsi" w:hAnsiTheme="minorHAnsi"/>
          <w:color w:val="auto"/>
          <w:sz w:val="22"/>
          <w:szCs w:val="22"/>
        </w:rPr>
      </w:pPr>
      <w:bookmarkStart w:id="4" w:name="_Toc458698408"/>
      <w:r w:rsidRPr="005D4C78">
        <w:rPr>
          <w:rFonts w:asciiTheme="minorHAnsi" w:hAnsiTheme="minorHAnsi"/>
          <w:color w:val="auto"/>
          <w:sz w:val="22"/>
          <w:szCs w:val="22"/>
        </w:rPr>
        <w:t>Contents and Structure</w:t>
      </w:r>
      <w:bookmarkEnd w:id="4"/>
    </w:p>
    <w:p w:rsidR="00CA7A38" w:rsidRDefault="00CA7A38" w:rsidP="00E70031">
      <w:pPr>
        <w:spacing w:before="240" w:line="276" w:lineRule="auto"/>
        <w:jc w:val="both"/>
      </w:pPr>
      <w:r w:rsidRPr="00D90EF9">
        <w:t>This</w:t>
      </w:r>
      <w:r>
        <w:t xml:space="preserve"> document describes the design of </w:t>
      </w:r>
      <w:proofErr w:type="spellStart"/>
      <w:r>
        <w:t>Stretem</w:t>
      </w:r>
      <w:proofErr w:type="spellEnd"/>
      <w:r>
        <w:t xml:space="preserve"> Rod </w:t>
      </w:r>
      <w:proofErr w:type="spellStart"/>
      <w:r>
        <w:t>blong</w:t>
      </w:r>
      <w:proofErr w:type="spellEnd"/>
      <w:r>
        <w:t xml:space="preserve"> </w:t>
      </w:r>
      <w:proofErr w:type="spellStart"/>
      <w:r>
        <w:t>Jastis</w:t>
      </w:r>
      <w:proofErr w:type="spellEnd"/>
      <w:r>
        <w:t xml:space="preserve"> </w:t>
      </w:r>
      <w:proofErr w:type="spellStart"/>
      <w:r>
        <w:t>mo</w:t>
      </w:r>
      <w:proofErr w:type="spellEnd"/>
      <w:r>
        <w:t xml:space="preserve"> </w:t>
      </w:r>
      <w:proofErr w:type="spellStart"/>
      <w:r>
        <w:t>Sefti</w:t>
      </w:r>
      <w:proofErr w:type="spellEnd"/>
      <w:r>
        <w:t xml:space="preserve"> (SRBJS), which is proposed to run for four years, from 1 January 2017 until 31 December 2020, with the possibility of a further four years subject to the outcome of a review.  Through SRBJS, or Vanuatu-Australia Policing and Justice Program (as the program is called in English), the Government of Australia (</w:t>
      </w:r>
      <w:proofErr w:type="spellStart"/>
      <w:r>
        <w:t>GoA</w:t>
      </w:r>
      <w:proofErr w:type="spellEnd"/>
      <w:r>
        <w:t xml:space="preserve">) will provide support for improved policing, justice and community services in Vanuatu.  The SRBJS design continues and builds on an existing </w:t>
      </w:r>
      <w:proofErr w:type="spellStart"/>
      <w:r>
        <w:t>GoA</w:t>
      </w:r>
      <w:proofErr w:type="spellEnd"/>
      <w:r>
        <w:t xml:space="preserve"> investment — the Policing and Justice Support Program Vanuatu (PJSPV) which is scheduled to finish on 31 December 2016.  PJSPV resulted from an extensive design process in 2014 and has been found to be progressing well in almost all aspects of the program.</w:t>
      </w:r>
      <w:r>
        <w:rPr>
          <w:rStyle w:val="FootnoteReference"/>
        </w:rPr>
        <w:footnoteReference w:id="3"/>
      </w:r>
      <w:r>
        <w:t xml:space="preserve">  As such, this design does not substantially change the current shape or form of PJSPV.  This document, therefore, should be read in conjunction with the PJSPV design document (2014</w:t>
      </w:r>
      <w:r w:rsidR="000C0B46">
        <w:t xml:space="preserve"> - 2016</w:t>
      </w:r>
      <w:r>
        <w:t>).</w:t>
      </w:r>
      <w:r>
        <w:rPr>
          <w:rStyle w:val="FootnoteReference"/>
        </w:rPr>
        <w:footnoteReference w:id="4"/>
      </w:r>
      <w:r>
        <w:t xml:space="preserve">  </w:t>
      </w:r>
    </w:p>
    <w:p w:rsidR="00CA7A38" w:rsidRDefault="00CA7A38" w:rsidP="00E70031">
      <w:pPr>
        <w:spacing w:before="240" w:line="276" w:lineRule="auto"/>
        <w:jc w:val="both"/>
      </w:pPr>
      <w:r>
        <w:t>PJSPV, which commenced on 1 July 2014, is a blend of justice, community services and policing support working principally at the agency level on practical service delivery issues, primarily related to women, children and youth.  T</w:t>
      </w:r>
      <w:r w:rsidRPr="00917386">
        <w:t xml:space="preserve">he program </w:t>
      </w:r>
      <w:r>
        <w:t>is implemented jointly by the Australian Federal Police (AFP), providing expert policing advice to the Vanuatu Police Force (VPF), and a managing contractor.  In addition to having joint responsibility for technical inputs, the managing contractor is responsible for whole of program administration.  The program works closely and collaboratively under the direction and oversight of Australia’s Department of Foreign Affairs and Trade (DFAT).  This arrangement will continue in SRBJS.</w:t>
      </w:r>
    </w:p>
    <w:p w:rsidR="00CA7A38" w:rsidRDefault="00CA7A38" w:rsidP="00E70031">
      <w:pPr>
        <w:spacing w:before="240" w:line="276" w:lineRule="auto"/>
        <w:jc w:val="both"/>
      </w:pPr>
      <w:r>
        <w:t xml:space="preserve">The SRBJS </w:t>
      </w:r>
      <w:r w:rsidRPr="009A3BFE">
        <w:t xml:space="preserve">design is aligned </w:t>
      </w:r>
      <w:r w:rsidRPr="009A3BFE">
        <w:rPr>
          <w:rFonts w:cstheme="minorHAnsi"/>
        </w:rPr>
        <w:t>with the Government of Vanuatu's (GoV) planning and reform agenda, as articulated through the Priority Action Agenda 2006–2015 (PAA</w:t>
      </w:r>
      <w:r>
        <w:rPr>
          <w:rFonts w:cstheme="minorHAnsi"/>
        </w:rPr>
        <w:t>)</w:t>
      </w:r>
      <w:r w:rsidRPr="006A0435">
        <w:rPr>
          <w:rFonts w:cstheme="minorHAnsi"/>
        </w:rPr>
        <w:t xml:space="preserve"> </w:t>
      </w:r>
      <w:r>
        <w:rPr>
          <w:rFonts w:cstheme="minorHAnsi"/>
        </w:rPr>
        <w:t xml:space="preserve">(to be replaced by the </w:t>
      </w:r>
      <w:r>
        <w:t>National Sustainable Development Plan (NSDP), currently being developed)</w:t>
      </w:r>
      <w:r w:rsidRPr="009A3BFE">
        <w:rPr>
          <w:rFonts w:cstheme="minorHAnsi"/>
        </w:rPr>
        <w:t>, Planning Long</w:t>
      </w:r>
      <w:r>
        <w:rPr>
          <w:rFonts w:cstheme="minorHAnsi"/>
        </w:rPr>
        <w:t xml:space="preserve"> Acting Short 2013–2016 (PLAS)</w:t>
      </w:r>
      <w:r>
        <w:t xml:space="preserve">, </w:t>
      </w:r>
      <w:r w:rsidRPr="009A3BFE">
        <w:rPr>
          <w:rFonts w:cstheme="minorHAnsi"/>
        </w:rPr>
        <w:t>the Justice and Community Services Sector Strategy (JCSSS)</w:t>
      </w:r>
      <w:r>
        <w:rPr>
          <w:rFonts w:cstheme="minorHAnsi"/>
        </w:rPr>
        <w:t>,</w:t>
      </w:r>
      <w:r w:rsidRPr="009A3BFE">
        <w:rPr>
          <w:rFonts w:cstheme="minorHAnsi"/>
        </w:rPr>
        <w:t xml:space="preserve"> and Vanuatu Police Force</w:t>
      </w:r>
      <w:r>
        <w:rPr>
          <w:rFonts w:cstheme="minorHAnsi"/>
        </w:rPr>
        <w:t xml:space="preserve"> (VPF)</w:t>
      </w:r>
      <w:r w:rsidRPr="009A3BFE">
        <w:rPr>
          <w:rFonts w:cstheme="minorHAnsi"/>
        </w:rPr>
        <w:t xml:space="preserve"> Strategic Plan</w:t>
      </w:r>
      <w:r>
        <w:rPr>
          <w:rFonts w:cstheme="minorHAnsi"/>
        </w:rPr>
        <w:t>.</w:t>
      </w:r>
      <w:r>
        <w:rPr>
          <w:rStyle w:val="FootnoteReference"/>
          <w:rFonts w:cstheme="minorHAnsi"/>
        </w:rPr>
        <w:footnoteReference w:id="5"/>
      </w:r>
      <w:r>
        <w:rPr>
          <w:rFonts w:cstheme="minorHAnsi"/>
        </w:rPr>
        <w:t xml:space="preserve">  </w:t>
      </w:r>
      <w:r w:rsidRPr="00B21058">
        <w:t xml:space="preserve">This </w:t>
      </w:r>
      <w:r>
        <w:t xml:space="preserve">document </w:t>
      </w:r>
      <w:r w:rsidRPr="00B21058">
        <w:t>describes the ways in which Australia</w:t>
      </w:r>
      <w:r>
        <w:t>n assistance</w:t>
      </w:r>
      <w:r w:rsidRPr="00B21058">
        <w:t xml:space="preserve"> </w:t>
      </w:r>
      <w:r>
        <w:t>aims to support Vanuatu’s</w:t>
      </w:r>
      <w:r w:rsidRPr="00B21058">
        <w:t xml:space="preserve"> </w:t>
      </w:r>
      <w:r>
        <w:rPr>
          <w:rFonts w:cstheme="minorHAnsi"/>
        </w:rPr>
        <w:t>stated priorities</w:t>
      </w:r>
      <w:r>
        <w:t>.</w:t>
      </w:r>
    </w:p>
    <w:p w:rsidR="00CA7A38" w:rsidRPr="001E7CE1" w:rsidRDefault="00CA7A38" w:rsidP="00E70031">
      <w:pPr>
        <w:spacing w:line="276" w:lineRule="auto"/>
        <w:jc w:val="both"/>
        <w:rPr>
          <w:rFonts w:cstheme="minorHAnsi"/>
        </w:rPr>
      </w:pPr>
      <w:r>
        <w:t>This design promotes flexibility and responsiveness in Australian assistance.  T</w:t>
      </w:r>
      <w:r w:rsidRPr="00D80B26">
        <w:rPr>
          <w:rFonts w:cstheme="minorHAnsi"/>
        </w:rPr>
        <w:t xml:space="preserve">he </w:t>
      </w:r>
      <w:r>
        <w:rPr>
          <w:rFonts w:cstheme="minorHAnsi"/>
        </w:rPr>
        <w:t>SRBJS</w:t>
      </w:r>
      <w:r w:rsidRPr="00D80B26">
        <w:rPr>
          <w:rFonts w:cstheme="minorHAnsi"/>
        </w:rPr>
        <w:t xml:space="preserve"> approach is incremental </w:t>
      </w:r>
      <w:r>
        <w:rPr>
          <w:rFonts w:cstheme="minorHAnsi"/>
        </w:rPr>
        <w:t>and iterative rather than comprehensive,</w:t>
      </w:r>
      <w:r w:rsidRPr="00D80B26">
        <w:rPr>
          <w:rFonts w:cstheme="minorHAnsi"/>
        </w:rPr>
        <w:t xml:space="preserve"> adopting flexible</w:t>
      </w:r>
      <w:r>
        <w:rPr>
          <w:rFonts w:cstheme="minorHAnsi"/>
        </w:rPr>
        <w:t xml:space="preserve"> and locally</w:t>
      </w:r>
      <w:r w:rsidRPr="00D80B26">
        <w:rPr>
          <w:rFonts w:cstheme="minorHAnsi"/>
        </w:rPr>
        <w:t xml:space="preserve"> appropria</w:t>
      </w:r>
      <w:r>
        <w:rPr>
          <w:rFonts w:cstheme="minorHAnsi"/>
        </w:rPr>
        <w:t xml:space="preserve">te solutions, while maintaining clear programmatic outcomes.  </w:t>
      </w:r>
      <w:r w:rsidRPr="00D80B26">
        <w:rPr>
          <w:rFonts w:cstheme="minorHAnsi"/>
        </w:rPr>
        <w:t xml:space="preserve">Focusing on issues for which there are local constituencies for change, </w:t>
      </w:r>
      <w:r>
        <w:rPr>
          <w:rFonts w:cstheme="minorHAnsi"/>
        </w:rPr>
        <w:t>the program</w:t>
      </w:r>
      <w:r w:rsidRPr="00D80B26">
        <w:rPr>
          <w:rFonts w:cstheme="minorHAnsi"/>
        </w:rPr>
        <w:t xml:space="preserve"> will </w:t>
      </w:r>
      <w:r>
        <w:rPr>
          <w:rFonts w:cstheme="minorHAnsi"/>
        </w:rPr>
        <w:t>remain</w:t>
      </w:r>
      <w:r w:rsidRPr="00D80B26">
        <w:rPr>
          <w:rFonts w:cstheme="minorHAnsi"/>
        </w:rPr>
        <w:t xml:space="preserve"> responsive and support relationships and activities wher</w:t>
      </w:r>
      <w:r>
        <w:rPr>
          <w:rFonts w:cstheme="minorHAnsi"/>
        </w:rPr>
        <w:t>e traction for doing so exists.  This document has been written to reflect this approach.</w:t>
      </w:r>
    </w:p>
    <w:p w:rsidR="00CA7A38" w:rsidRDefault="00CA7A38" w:rsidP="00E70031">
      <w:pPr>
        <w:spacing w:line="276" w:lineRule="auto"/>
        <w:jc w:val="both"/>
      </w:pPr>
      <w:r w:rsidRPr="00B21058">
        <w:lastRenderedPageBreak/>
        <w:t xml:space="preserve">The document is divided into </w:t>
      </w:r>
      <w:r>
        <w:t xml:space="preserve">four substantive sections.  Following this introductory section, section 2 sets out </w:t>
      </w:r>
      <w:r w:rsidRPr="00B21058">
        <w:t xml:space="preserve">the background and context </w:t>
      </w:r>
      <w:r>
        <w:t>for</w:t>
      </w:r>
      <w:r w:rsidRPr="00B21058">
        <w:t xml:space="preserve"> </w:t>
      </w:r>
      <w:r>
        <w:t>SRBJS — it provides a rationale for Australian assistance.  S</w:t>
      </w:r>
      <w:r w:rsidRPr="00B21058">
        <w:t xml:space="preserve">ection </w:t>
      </w:r>
      <w:r>
        <w:t xml:space="preserve">3 </w:t>
      </w:r>
      <w:r w:rsidRPr="00B21058">
        <w:t>d</w:t>
      </w:r>
      <w:r>
        <w:t>escribe</w:t>
      </w:r>
      <w:r w:rsidRPr="00B21058">
        <w:t xml:space="preserve">s </w:t>
      </w:r>
      <w:r>
        <w:t xml:space="preserve">SRBJS, </w:t>
      </w:r>
      <w:r w:rsidRPr="00B21058">
        <w:t xml:space="preserve">what </w:t>
      </w:r>
      <w:r>
        <w:t>it seeks to</w:t>
      </w:r>
      <w:r w:rsidRPr="00B21058">
        <w:t xml:space="preserve"> accomplish</w:t>
      </w:r>
      <w:r>
        <w:t xml:space="preserve">, and how it will do so.  Section 4 explains the </w:t>
      </w:r>
      <w:r w:rsidRPr="00B21058">
        <w:t>implementation arrangements</w:t>
      </w:r>
      <w:r>
        <w:t xml:space="preserve"> for the program</w:t>
      </w:r>
      <w:r w:rsidRPr="00B21058">
        <w:t xml:space="preserve">, </w:t>
      </w:r>
      <w:r>
        <w:t>including resource allocation</w:t>
      </w:r>
      <w:r w:rsidRPr="00B21058">
        <w:t xml:space="preserve"> and</w:t>
      </w:r>
      <w:r>
        <w:t xml:space="preserve"> measurement of progress.  The a</w:t>
      </w:r>
      <w:r w:rsidRPr="00B21058">
        <w:t xml:space="preserve">nnexes </w:t>
      </w:r>
      <w:r>
        <w:t>provide detail for the body of the document.</w:t>
      </w:r>
    </w:p>
    <w:p w:rsidR="00CA7A38" w:rsidRDefault="00CA7A38" w:rsidP="00E70031">
      <w:pPr>
        <w:spacing w:line="276" w:lineRule="auto"/>
        <w:jc w:val="both"/>
      </w:pPr>
    </w:p>
    <w:p w:rsidR="00CA7A38" w:rsidRPr="005D4C78" w:rsidRDefault="00CA7A38" w:rsidP="00E70031">
      <w:pPr>
        <w:pStyle w:val="Heading2"/>
        <w:numPr>
          <w:ilvl w:val="1"/>
          <w:numId w:val="1"/>
        </w:numPr>
        <w:spacing w:line="276" w:lineRule="auto"/>
        <w:jc w:val="both"/>
        <w:rPr>
          <w:rFonts w:asciiTheme="minorHAnsi" w:hAnsiTheme="minorHAnsi"/>
          <w:color w:val="auto"/>
          <w:sz w:val="22"/>
          <w:szCs w:val="22"/>
        </w:rPr>
      </w:pPr>
      <w:bookmarkStart w:id="5" w:name="_Toc458698409"/>
      <w:r w:rsidRPr="005D4C78">
        <w:rPr>
          <w:rFonts w:asciiTheme="minorHAnsi" w:hAnsiTheme="minorHAnsi"/>
          <w:color w:val="auto"/>
          <w:sz w:val="22"/>
          <w:szCs w:val="22"/>
        </w:rPr>
        <w:t>Design Preparation Methodology</w:t>
      </w:r>
      <w:bookmarkEnd w:id="5"/>
    </w:p>
    <w:p w:rsidR="00CA7A38" w:rsidRDefault="00CA7A38" w:rsidP="00E70031">
      <w:pPr>
        <w:spacing w:before="240" w:line="276" w:lineRule="auto"/>
        <w:jc w:val="both"/>
      </w:pPr>
      <w:r>
        <w:t xml:space="preserve">Prior to the design process commencing, DFAT, AFP and GoV representatives agreed that an extensive re-design of the program would not be required (given the extensive design process in 2014 and program performance).  Instead, DFAT, AFP and GoV opted to refine the existing PJPSV design.  A design team was engaged for this purpose consisting of DFAT and AFP representatives and an independent consultant.  The design methodology included a review of program documents, evaluations and research reports; an in-country mission to collect, analyse and verify information through consultations in Vanuatu; and preparation of the design document, in line with DFAT design requirements, as the basis of the program.  </w:t>
      </w:r>
    </w:p>
    <w:p w:rsidR="00CA7A38" w:rsidRPr="00641730" w:rsidRDefault="00CA7A38" w:rsidP="00E70031">
      <w:pPr>
        <w:spacing w:before="240" w:line="276" w:lineRule="auto"/>
        <w:jc w:val="both"/>
      </w:pPr>
      <w:r>
        <w:t>The in-country mission involved interviews, facilitated discussions, collecting data and making observations.  Consultations were held with PJSPV partners: GoV o</w:t>
      </w:r>
      <w:r w:rsidRPr="00630564">
        <w:t xml:space="preserve">fficials, </w:t>
      </w:r>
      <w:r>
        <w:t xml:space="preserve">the VPF, Judiciary, sector agencies, statutory and constitutional bodies including Ministry </w:t>
      </w:r>
      <w:r w:rsidRPr="00630564">
        <w:t xml:space="preserve">of Justice </w:t>
      </w:r>
      <w:r>
        <w:t xml:space="preserve">and Community Services (MJCS) and Ministry of </w:t>
      </w:r>
      <w:r w:rsidRPr="00630564">
        <w:t>Internal Affairs</w:t>
      </w:r>
      <w:r>
        <w:t xml:space="preserve"> (</w:t>
      </w:r>
      <w:proofErr w:type="spellStart"/>
      <w:r>
        <w:t>MoIA</w:t>
      </w:r>
      <w:proofErr w:type="spellEnd"/>
      <w:r>
        <w:t>)</w:t>
      </w:r>
      <w:r w:rsidRPr="00630564">
        <w:t xml:space="preserve">, together with DFAT, AFP, </w:t>
      </w:r>
      <w:r>
        <w:t>the managing contractor, PJSPV advisers, civil society, and other donors working in the sector.</w:t>
      </w:r>
    </w:p>
    <w:p w:rsidR="00CA7A38" w:rsidRDefault="00CA7A38" w:rsidP="00E70031">
      <w:pPr>
        <w:spacing w:before="240" w:line="276" w:lineRule="auto"/>
        <w:jc w:val="both"/>
      </w:pPr>
      <w:r>
        <w:t>The design refinement followed a DFAT-commissioned independent review of the program such that the recommendations from that review have been considered and incorporated in the new design.</w:t>
      </w:r>
      <w:r>
        <w:rPr>
          <w:rStyle w:val="FootnoteReference"/>
        </w:rPr>
        <w:footnoteReference w:id="6"/>
      </w:r>
      <w:r>
        <w:t xml:space="preserve"> Also, the design team was asked to refine the design to reflect program and sector progress, and increase the program’s focus on </w:t>
      </w:r>
      <w:r w:rsidRPr="0061781B">
        <w:t>deliver</w:t>
      </w:r>
      <w:r>
        <w:t>ing</w:t>
      </w:r>
      <w:r w:rsidRPr="0061781B">
        <w:t xml:space="preserve"> better services to women, children and youth</w:t>
      </w:r>
      <w:r>
        <w:t>, including in targeted provincial locations.</w:t>
      </w:r>
    </w:p>
    <w:p w:rsidR="00CA7A38" w:rsidRDefault="00CA7A38" w:rsidP="00E70031">
      <w:pPr>
        <w:pStyle w:val="FootnoteText"/>
        <w:spacing w:line="276" w:lineRule="auto"/>
        <w:contextualSpacing/>
        <w:jc w:val="both"/>
        <w:rPr>
          <w:sz w:val="22"/>
          <w:szCs w:val="22"/>
        </w:rPr>
      </w:pPr>
      <w:r w:rsidRPr="00FB0260">
        <w:rPr>
          <w:sz w:val="22"/>
          <w:szCs w:val="22"/>
        </w:rPr>
        <w:t xml:space="preserve">The </w:t>
      </w:r>
      <w:r>
        <w:rPr>
          <w:sz w:val="22"/>
          <w:szCs w:val="22"/>
        </w:rPr>
        <w:t xml:space="preserve">scope of the </w:t>
      </w:r>
      <w:r w:rsidRPr="00FB0260">
        <w:rPr>
          <w:sz w:val="22"/>
          <w:szCs w:val="22"/>
        </w:rPr>
        <w:t xml:space="preserve">design included updating the rationale for Australian assistance; rearticulating end of program outcomes; seeking improvements to the modality </w:t>
      </w:r>
      <w:r>
        <w:rPr>
          <w:sz w:val="22"/>
          <w:szCs w:val="22"/>
        </w:rPr>
        <w:t>(</w:t>
      </w:r>
      <w:r w:rsidRPr="00FB0260">
        <w:rPr>
          <w:sz w:val="22"/>
          <w:szCs w:val="22"/>
        </w:rPr>
        <w:t>administration, reporting and financing</w:t>
      </w:r>
      <w:r>
        <w:rPr>
          <w:sz w:val="22"/>
          <w:szCs w:val="22"/>
        </w:rPr>
        <w:t>)</w:t>
      </w:r>
      <w:r w:rsidRPr="00FB0260">
        <w:rPr>
          <w:sz w:val="22"/>
          <w:szCs w:val="22"/>
        </w:rPr>
        <w:t>; recommending how and where the program could increas</w:t>
      </w:r>
      <w:r>
        <w:rPr>
          <w:sz w:val="22"/>
          <w:szCs w:val="22"/>
        </w:rPr>
        <w:t>e its focus on service delivery</w:t>
      </w:r>
      <w:r w:rsidRPr="00FB0260">
        <w:rPr>
          <w:sz w:val="22"/>
          <w:szCs w:val="22"/>
        </w:rPr>
        <w:t xml:space="preserve">; analysis and integration of policy issues including  gender equality, anti-corruption, child protection and in particular, disability-inclusive development; updating the risk management strategy; and </w:t>
      </w:r>
      <w:r>
        <w:rPr>
          <w:sz w:val="22"/>
          <w:szCs w:val="22"/>
        </w:rPr>
        <w:t xml:space="preserve">recommending </w:t>
      </w:r>
      <w:r w:rsidRPr="00FB0260">
        <w:rPr>
          <w:sz w:val="22"/>
          <w:szCs w:val="22"/>
        </w:rPr>
        <w:t xml:space="preserve">indicative personnel and other inputs.  </w:t>
      </w:r>
    </w:p>
    <w:p w:rsidR="00CA7A38" w:rsidRDefault="00CA7A38" w:rsidP="00E70031">
      <w:pPr>
        <w:pStyle w:val="FootnoteText"/>
        <w:spacing w:line="276" w:lineRule="auto"/>
        <w:contextualSpacing/>
        <w:jc w:val="both"/>
        <w:rPr>
          <w:sz w:val="22"/>
          <w:szCs w:val="22"/>
        </w:rPr>
      </w:pPr>
    </w:p>
    <w:p w:rsidR="00CA7A38" w:rsidRPr="00E7545B" w:rsidRDefault="00CA7A38" w:rsidP="00E70031">
      <w:pPr>
        <w:pStyle w:val="Heading1"/>
        <w:numPr>
          <w:ilvl w:val="0"/>
          <w:numId w:val="1"/>
        </w:numPr>
        <w:spacing w:after="240"/>
        <w:rPr>
          <w:rFonts w:asciiTheme="minorHAnsi" w:hAnsiTheme="minorHAnsi"/>
          <w:b/>
          <w:color w:val="000000" w:themeColor="text1"/>
          <w:sz w:val="22"/>
          <w:szCs w:val="22"/>
        </w:rPr>
      </w:pPr>
      <w:bookmarkStart w:id="6" w:name="_Toc458698410"/>
      <w:r w:rsidRPr="00E7545B">
        <w:rPr>
          <w:rFonts w:asciiTheme="minorHAnsi" w:hAnsiTheme="minorHAnsi"/>
          <w:b/>
          <w:color w:val="000000" w:themeColor="text1"/>
          <w:sz w:val="22"/>
          <w:szCs w:val="22"/>
        </w:rPr>
        <w:lastRenderedPageBreak/>
        <w:t>STRATEGIC CONTEXT AND RATIONALE FOR AUSTRALIAN SUPPORT</w:t>
      </w:r>
      <w:bookmarkEnd w:id="6"/>
    </w:p>
    <w:p w:rsidR="00CA7A38" w:rsidRDefault="00CA7A38" w:rsidP="00E70031">
      <w:pPr>
        <w:pStyle w:val="Heading2"/>
        <w:numPr>
          <w:ilvl w:val="1"/>
          <w:numId w:val="1"/>
        </w:numPr>
        <w:spacing w:before="0" w:after="240" w:line="276" w:lineRule="auto"/>
        <w:jc w:val="both"/>
        <w:rPr>
          <w:rFonts w:asciiTheme="minorHAnsi" w:hAnsiTheme="minorHAnsi"/>
          <w:color w:val="auto"/>
          <w:sz w:val="22"/>
          <w:szCs w:val="22"/>
        </w:rPr>
      </w:pPr>
      <w:bookmarkStart w:id="7" w:name="_Toc458698411"/>
      <w:r>
        <w:rPr>
          <w:rFonts w:asciiTheme="minorHAnsi" w:hAnsiTheme="minorHAnsi"/>
          <w:color w:val="auto"/>
          <w:sz w:val="22"/>
          <w:szCs w:val="22"/>
        </w:rPr>
        <w:t>Policy Context</w:t>
      </w:r>
      <w:bookmarkEnd w:id="7"/>
    </w:p>
    <w:p w:rsidR="00CA7A38" w:rsidRPr="00AC27A5" w:rsidRDefault="00CA7A38" w:rsidP="00E70031">
      <w:pPr>
        <w:pStyle w:val="Heading3"/>
        <w:numPr>
          <w:ilvl w:val="0"/>
          <w:numId w:val="45"/>
        </w:numPr>
        <w:spacing w:after="240" w:line="276" w:lineRule="auto"/>
        <w:jc w:val="both"/>
        <w:rPr>
          <w:rFonts w:asciiTheme="minorHAnsi" w:hAnsiTheme="minorHAnsi"/>
          <w:color w:val="auto"/>
          <w:sz w:val="22"/>
          <w:szCs w:val="22"/>
        </w:rPr>
      </w:pPr>
      <w:r w:rsidRPr="00AC27A5">
        <w:rPr>
          <w:rFonts w:asciiTheme="minorHAnsi" w:hAnsiTheme="minorHAnsi"/>
          <w:color w:val="auto"/>
          <w:sz w:val="22"/>
          <w:szCs w:val="22"/>
        </w:rPr>
        <w:t>Vanuatu Policy Context</w:t>
      </w:r>
    </w:p>
    <w:p w:rsidR="00CA7A38" w:rsidRDefault="00CA7A38" w:rsidP="00E70031">
      <w:pPr>
        <w:spacing w:after="120" w:line="276" w:lineRule="auto"/>
        <w:jc w:val="both"/>
      </w:pPr>
      <w:r>
        <w:t>GoV</w:t>
      </w:r>
      <w:r w:rsidRPr="00391C78">
        <w:t xml:space="preserve"> has articulated its goal for the Justice and Community Services </w:t>
      </w:r>
      <w:r>
        <w:t>S</w:t>
      </w:r>
      <w:r w:rsidRPr="00391C78">
        <w:t>ector</w:t>
      </w:r>
      <w:r>
        <w:t xml:space="preserve"> (JCSS)</w:t>
      </w:r>
      <w:r w:rsidRPr="00391C78">
        <w:t xml:space="preserve"> as </w:t>
      </w:r>
      <w:proofErr w:type="spellStart"/>
      <w:r w:rsidRPr="00391C78">
        <w:rPr>
          <w:i/>
          <w:iCs/>
        </w:rPr>
        <w:t>jastis</w:t>
      </w:r>
      <w:proofErr w:type="spellEnd"/>
      <w:r w:rsidRPr="00391C78">
        <w:rPr>
          <w:i/>
          <w:iCs/>
        </w:rPr>
        <w:t xml:space="preserve">, </w:t>
      </w:r>
      <w:proofErr w:type="spellStart"/>
      <w:r w:rsidRPr="00391C78">
        <w:rPr>
          <w:i/>
          <w:iCs/>
        </w:rPr>
        <w:t>sefti</w:t>
      </w:r>
      <w:proofErr w:type="spellEnd"/>
      <w:r w:rsidRPr="00391C78">
        <w:rPr>
          <w:i/>
          <w:iCs/>
        </w:rPr>
        <w:t xml:space="preserve">, </w:t>
      </w:r>
      <w:proofErr w:type="spellStart"/>
      <w:r w:rsidRPr="00391C78">
        <w:rPr>
          <w:i/>
          <w:iCs/>
        </w:rPr>
        <w:t>digniti</w:t>
      </w:r>
      <w:proofErr w:type="spellEnd"/>
      <w:r w:rsidRPr="00391C78">
        <w:rPr>
          <w:i/>
          <w:iCs/>
        </w:rPr>
        <w:t xml:space="preserve">, </w:t>
      </w:r>
      <w:proofErr w:type="spellStart"/>
      <w:r w:rsidRPr="00391C78">
        <w:rPr>
          <w:i/>
          <w:iCs/>
        </w:rPr>
        <w:t>ris</w:t>
      </w:r>
      <w:r>
        <w:rPr>
          <w:i/>
          <w:iCs/>
        </w:rPr>
        <w:t>pek</w:t>
      </w:r>
      <w:proofErr w:type="spellEnd"/>
      <w:r>
        <w:rPr>
          <w:i/>
          <w:iCs/>
        </w:rPr>
        <w:t xml:space="preserve"> </w:t>
      </w:r>
      <w:proofErr w:type="spellStart"/>
      <w:r>
        <w:rPr>
          <w:i/>
          <w:iCs/>
        </w:rPr>
        <w:t>mo</w:t>
      </w:r>
      <w:proofErr w:type="spellEnd"/>
      <w:r>
        <w:rPr>
          <w:i/>
          <w:iCs/>
        </w:rPr>
        <w:t xml:space="preserve"> </w:t>
      </w:r>
      <w:proofErr w:type="spellStart"/>
      <w:r>
        <w:rPr>
          <w:i/>
          <w:iCs/>
        </w:rPr>
        <w:t>gud</w:t>
      </w:r>
      <w:proofErr w:type="spellEnd"/>
      <w:r>
        <w:rPr>
          <w:i/>
          <w:iCs/>
        </w:rPr>
        <w:t xml:space="preserve"> </w:t>
      </w:r>
      <w:proofErr w:type="spellStart"/>
      <w:r>
        <w:rPr>
          <w:i/>
          <w:iCs/>
        </w:rPr>
        <w:t>fasin</w:t>
      </w:r>
      <w:proofErr w:type="spellEnd"/>
      <w:r>
        <w:rPr>
          <w:i/>
          <w:iCs/>
        </w:rPr>
        <w:t xml:space="preserve"> </w:t>
      </w:r>
      <w:proofErr w:type="spellStart"/>
      <w:r>
        <w:rPr>
          <w:i/>
          <w:iCs/>
        </w:rPr>
        <w:t>blong</w:t>
      </w:r>
      <w:proofErr w:type="spellEnd"/>
      <w:r>
        <w:rPr>
          <w:i/>
          <w:iCs/>
        </w:rPr>
        <w:t xml:space="preserve"> </w:t>
      </w:r>
      <w:proofErr w:type="spellStart"/>
      <w:r>
        <w:rPr>
          <w:i/>
          <w:iCs/>
        </w:rPr>
        <w:t>evriwan</w:t>
      </w:r>
      <w:proofErr w:type="spellEnd"/>
      <w:r>
        <w:rPr>
          <w:i/>
          <w:iCs/>
        </w:rPr>
        <w:t>.</w:t>
      </w:r>
      <w:r w:rsidRPr="00FB0260">
        <w:rPr>
          <w:rStyle w:val="FootnoteReference"/>
          <w:iCs/>
        </w:rPr>
        <w:footnoteReference w:id="7"/>
      </w:r>
      <w:r>
        <w:rPr>
          <w:i/>
          <w:iCs/>
        </w:rPr>
        <w:t xml:space="preserve">  </w:t>
      </w:r>
      <w:r w:rsidRPr="00391C78">
        <w:rPr>
          <w:iCs/>
        </w:rPr>
        <w:t xml:space="preserve">The </w:t>
      </w:r>
      <w:r w:rsidRPr="00391C78">
        <w:t xml:space="preserve">JCSSS </w:t>
      </w:r>
      <w:r>
        <w:t xml:space="preserve">directs sector agencies to </w:t>
      </w:r>
      <w:r w:rsidRPr="00FB0260">
        <w:t>work together</w:t>
      </w:r>
      <w:r>
        <w:t xml:space="preserve"> </w:t>
      </w:r>
      <w:r w:rsidRPr="00683E51">
        <w:t xml:space="preserve">on </w:t>
      </w:r>
      <w:r>
        <w:t>eight cross-cutting, priority</w:t>
      </w:r>
      <w:r w:rsidRPr="00683E51">
        <w:t xml:space="preserve"> issues</w:t>
      </w:r>
      <w:r>
        <w:t>, all of which are reflected in the design.</w:t>
      </w:r>
      <w:r>
        <w:rPr>
          <w:rStyle w:val="FootnoteReference"/>
        </w:rPr>
        <w:footnoteReference w:id="8"/>
      </w:r>
      <w:r>
        <w:t xml:space="preserve">  These issues are: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4"/>
        <w:gridCol w:w="2127"/>
        <w:gridCol w:w="2145"/>
      </w:tblGrid>
      <w:tr w:rsidR="00CA7A38" w:rsidTr="00E70031">
        <w:tc>
          <w:tcPr>
            <w:tcW w:w="2268" w:type="dxa"/>
          </w:tcPr>
          <w:p w:rsidR="00CA7A38" w:rsidRDefault="00CA7A38" w:rsidP="00E70031">
            <w:pPr>
              <w:pStyle w:val="ListParagraph"/>
              <w:numPr>
                <w:ilvl w:val="0"/>
                <w:numId w:val="43"/>
              </w:numPr>
              <w:spacing w:line="276" w:lineRule="auto"/>
              <w:ind w:left="266" w:hanging="266"/>
              <w:jc w:val="both"/>
            </w:pPr>
            <w:r>
              <w:t>Customary disputes</w:t>
            </w:r>
          </w:p>
          <w:p w:rsidR="00CA7A38" w:rsidRDefault="00CA7A38" w:rsidP="00E70031">
            <w:pPr>
              <w:pStyle w:val="ListParagraph"/>
              <w:numPr>
                <w:ilvl w:val="0"/>
                <w:numId w:val="43"/>
              </w:numPr>
              <w:spacing w:line="276" w:lineRule="auto"/>
              <w:ind w:left="266" w:hanging="266"/>
              <w:jc w:val="both"/>
            </w:pPr>
            <w:r>
              <w:t>Juvenile Justice</w:t>
            </w:r>
          </w:p>
        </w:tc>
        <w:tc>
          <w:tcPr>
            <w:tcW w:w="1984" w:type="dxa"/>
          </w:tcPr>
          <w:p w:rsidR="00CA7A38" w:rsidRDefault="00CA7A38" w:rsidP="00E70031">
            <w:pPr>
              <w:pStyle w:val="ListParagraph"/>
              <w:numPr>
                <w:ilvl w:val="0"/>
                <w:numId w:val="43"/>
              </w:numPr>
              <w:spacing w:line="276" w:lineRule="auto"/>
              <w:ind w:left="266" w:hanging="266"/>
              <w:jc w:val="both"/>
            </w:pPr>
            <w:r>
              <w:t>Infrastructure</w:t>
            </w:r>
          </w:p>
          <w:p w:rsidR="00CA7A38" w:rsidRDefault="00CA7A38" w:rsidP="00E70031">
            <w:pPr>
              <w:pStyle w:val="ListParagraph"/>
              <w:numPr>
                <w:ilvl w:val="0"/>
                <w:numId w:val="43"/>
              </w:numPr>
              <w:spacing w:line="276" w:lineRule="auto"/>
              <w:ind w:left="266" w:hanging="266"/>
              <w:jc w:val="both"/>
            </w:pPr>
            <w:r>
              <w:t>Human Rights</w:t>
            </w:r>
          </w:p>
        </w:tc>
        <w:tc>
          <w:tcPr>
            <w:tcW w:w="2127" w:type="dxa"/>
          </w:tcPr>
          <w:p w:rsidR="00CA7A38" w:rsidRDefault="00CA7A38" w:rsidP="00E70031">
            <w:pPr>
              <w:pStyle w:val="ListParagraph"/>
              <w:numPr>
                <w:ilvl w:val="0"/>
                <w:numId w:val="43"/>
              </w:numPr>
              <w:spacing w:line="276" w:lineRule="auto"/>
              <w:ind w:left="266" w:hanging="266"/>
              <w:jc w:val="both"/>
            </w:pPr>
            <w:r>
              <w:t>Victim Support</w:t>
            </w:r>
          </w:p>
          <w:p w:rsidR="00CA7A38" w:rsidRDefault="00CA7A38" w:rsidP="00E70031">
            <w:pPr>
              <w:pStyle w:val="ListParagraph"/>
              <w:numPr>
                <w:ilvl w:val="0"/>
                <w:numId w:val="43"/>
              </w:numPr>
              <w:spacing w:line="276" w:lineRule="auto"/>
              <w:ind w:left="266" w:hanging="266"/>
              <w:jc w:val="both"/>
            </w:pPr>
            <w:r>
              <w:t>Victim Support</w:t>
            </w:r>
          </w:p>
        </w:tc>
        <w:tc>
          <w:tcPr>
            <w:tcW w:w="2145" w:type="dxa"/>
          </w:tcPr>
          <w:p w:rsidR="00CA7A38" w:rsidRDefault="00CA7A38" w:rsidP="00E70031">
            <w:pPr>
              <w:pStyle w:val="ListParagraph"/>
              <w:numPr>
                <w:ilvl w:val="0"/>
                <w:numId w:val="43"/>
              </w:numPr>
              <w:spacing w:line="276" w:lineRule="auto"/>
              <w:ind w:left="266" w:hanging="266"/>
              <w:jc w:val="both"/>
            </w:pPr>
            <w:r>
              <w:t>Case Progression</w:t>
            </w:r>
          </w:p>
          <w:p w:rsidR="00CA7A38" w:rsidRDefault="00CA7A38" w:rsidP="00E70031">
            <w:pPr>
              <w:pStyle w:val="ListParagraph"/>
              <w:numPr>
                <w:ilvl w:val="0"/>
                <w:numId w:val="43"/>
              </w:numPr>
              <w:spacing w:line="276" w:lineRule="auto"/>
              <w:ind w:left="266" w:hanging="266"/>
              <w:jc w:val="both"/>
            </w:pPr>
            <w:r>
              <w:t>Access to Justice</w:t>
            </w:r>
          </w:p>
        </w:tc>
      </w:tr>
    </w:tbl>
    <w:p w:rsidR="00CA7A38" w:rsidRPr="00391C78" w:rsidRDefault="00CA7A38" w:rsidP="00E70031">
      <w:pPr>
        <w:spacing w:before="240" w:line="276" w:lineRule="auto"/>
        <w:jc w:val="both"/>
      </w:pPr>
      <w:r w:rsidRPr="00391C78">
        <w:t>At a macro level</w:t>
      </w:r>
      <w:r>
        <w:t xml:space="preserve">, </w:t>
      </w:r>
      <w:proofErr w:type="spellStart"/>
      <w:r>
        <w:t>Go</w:t>
      </w:r>
      <w:r w:rsidRPr="00391C78">
        <w:t>V’s</w:t>
      </w:r>
      <w:proofErr w:type="spellEnd"/>
      <w:r w:rsidRPr="00391C78">
        <w:t xml:space="preserve"> Priority Act</w:t>
      </w:r>
      <w:r>
        <w:t>ion Agenda includes a focus on ‘</w:t>
      </w:r>
      <w:r w:rsidRPr="00391C78">
        <w:t>providing stable institutions including a strengthened legal sector, judicia</w:t>
      </w:r>
      <w:r>
        <w:t xml:space="preserve">ry, law enforcement… </w:t>
      </w:r>
      <w:r w:rsidRPr="00391C78">
        <w:t>a strengthened formal welfare system and linkages with traditional social protection especially for women, children and people living with a disabilit</w:t>
      </w:r>
      <w:r>
        <w:t>y; and promoting gender equality’.</w:t>
      </w:r>
      <w:r>
        <w:rPr>
          <w:rStyle w:val="FootnoteReference"/>
        </w:rPr>
        <w:footnoteReference w:id="9"/>
      </w:r>
      <w:r>
        <w:t xml:space="preserve">  SRBJS assistance aligns closely with this focus.  Once finalised, the program will also work to ensure alignment with the NSDP.</w:t>
      </w:r>
    </w:p>
    <w:p w:rsidR="00CA7A38" w:rsidRDefault="00CA7A38" w:rsidP="00E70031">
      <w:pPr>
        <w:spacing w:line="276" w:lineRule="auto"/>
        <w:jc w:val="both"/>
      </w:pPr>
      <w:r>
        <w:t>SRBJS assistance to the VPF has been designed to align with</w:t>
      </w:r>
      <w:r w:rsidRPr="00391C78">
        <w:t xml:space="preserve"> the VPF Strategic Plan 2016-2020</w:t>
      </w:r>
      <w:r>
        <w:t>.  T</w:t>
      </w:r>
      <w:r w:rsidRPr="00391C78">
        <w:t xml:space="preserve">he three themes </w:t>
      </w:r>
      <w:r>
        <w:t xml:space="preserve">of </w:t>
      </w:r>
      <w:r w:rsidRPr="00391C78">
        <w:t xml:space="preserve">Governance, Safety and Security, and Partnerships </w:t>
      </w:r>
      <w:r>
        <w:t xml:space="preserve">will guide program support.  </w:t>
      </w:r>
      <w:r w:rsidRPr="00391C78">
        <w:t>Goal</w:t>
      </w:r>
      <w:r>
        <w:t>s</w:t>
      </w:r>
      <w:r w:rsidRPr="00391C78">
        <w:t xml:space="preserve"> 1.5 and 2.1.4 </w:t>
      </w:r>
      <w:r>
        <w:t>have particular relevance for SRBJS’s emphasis on gender equality and support for vulnerable groups: Goal 1.5 relates to enhanced professional participation of women in the VPF; Goal 2.1.4 seeks to strengthen the focus of the VPF on gender-based and domestic violence, and protection of vulnerable groups.  Vanuatu’s Na</w:t>
      </w:r>
      <w:r w:rsidRPr="00391C78">
        <w:t xml:space="preserve">tional Gender Equality Policy 2015-2019 </w:t>
      </w:r>
      <w:r>
        <w:t>also prioritises reducing domestic and gender-based violence and promoting women’s l</w:t>
      </w:r>
      <w:r w:rsidRPr="00391C78">
        <w:t xml:space="preserve">eadership. </w:t>
      </w:r>
    </w:p>
    <w:p w:rsidR="00CA7A38" w:rsidRPr="00391C78" w:rsidRDefault="00CA7A38" w:rsidP="00E70031">
      <w:pPr>
        <w:spacing w:line="276" w:lineRule="auto"/>
        <w:jc w:val="both"/>
      </w:pPr>
    </w:p>
    <w:p w:rsidR="00CA7A38" w:rsidRPr="0054735A" w:rsidRDefault="00CA7A38" w:rsidP="00E70031">
      <w:pPr>
        <w:pStyle w:val="Heading3"/>
        <w:numPr>
          <w:ilvl w:val="0"/>
          <w:numId w:val="45"/>
        </w:numPr>
        <w:spacing w:after="240" w:line="276" w:lineRule="auto"/>
        <w:jc w:val="both"/>
        <w:rPr>
          <w:rFonts w:asciiTheme="minorHAnsi" w:hAnsiTheme="minorHAnsi"/>
          <w:color w:val="auto"/>
          <w:sz w:val="22"/>
          <w:szCs w:val="22"/>
        </w:rPr>
      </w:pPr>
      <w:r w:rsidRPr="0054735A">
        <w:rPr>
          <w:rFonts w:asciiTheme="minorHAnsi" w:hAnsiTheme="minorHAnsi"/>
          <w:color w:val="auto"/>
          <w:sz w:val="22"/>
          <w:szCs w:val="22"/>
        </w:rPr>
        <w:t>Australia Policy Context</w:t>
      </w:r>
    </w:p>
    <w:p w:rsidR="00CA7A38" w:rsidRDefault="00CA7A38" w:rsidP="00E70031">
      <w:pPr>
        <w:spacing w:line="276" w:lineRule="auto"/>
        <w:jc w:val="both"/>
        <w:rPr>
          <w:rFonts w:ascii="Calibri" w:hAnsi="Calibri"/>
        </w:rPr>
      </w:pPr>
      <w:r>
        <w:t xml:space="preserve">This design takes place within the context of a number of </w:t>
      </w:r>
      <w:proofErr w:type="spellStart"/>
      <w:r>
        <w:t>GoA</w:t>
      </w:r>
      <w:proofErr w:type="spellEnd"/>
      <w:r>
        <w:t xml:space="preserve"> policy documents.</w:t>
      </w:r>
    </w:p>
    <w:p w:rsidR="00CA7A38" w:rsidRDefault="00CA7A38" w:rsidP="00E70031">
      <w:pPr>
        <w:pStyle w:val="ListParagraph"/>
        <w:numPr>
          <w:ilvl w:val="0"/>
          <w:numId w:val="44"/>
        </w:numPr>
        <w:spacing w:after="0" w:line="276" w:lineRule="auto"/>
        <w:jc w:val="both"/>
      </w:pPr>
      <w:r>
        <w:t xml:space="preserve">The Australian Government development policy, </w:t>
      </w:r>
      <w:r w:rsidRPr="00322595">
        <w:rPr>
          <w:i/>
          <w:iCs/>
        </w:rPr>
        <w:t>Australian Aid: Promoting Prosperity, Reducing Poverty, Enhancing Stability</w:t>
      </w:r>
      <w:r>
        <w:t>.</w:t>
      </w:r>
      <w:r>
        <w:rPr>
          <w:rStyle w:val="FootnoteReference"/>
        </w:rPr>
        <w:footnoteReference w:id="10"/>
      </w:r>
      <w:r>
        <w:t xml:space="preserve">  This proposes</w:t>
      </w:r>
      <w:r w:rsidRPr="00322595">
        <w:rPr>
          <w:i/>
          <w:iCs/>
        </w:rPr>
        <w:t xml:space="preserve"> </w:t>
      </w:r>
      <w:r>
        <w:t xml:space="preserve">that Australia should leverage and catalyse positive changes in developing countries through support for sustainable economic growth and development of human resources.  The policy includes two priority areas central to this design: </w:t>
      </w:r>
    </w:p>
    <w:p w:rsidR="00CA7A38" w:rsidRPr="00322595" w:rsidRDefault="00CA7A38" w:rsidP="00E70031">
      <w:pPr>
        <w:pStyle w:val="ListParagraph"/>
        <w:numPr>
          <w:ilvl w:val="0"/>
          <w:numId w:val="52"/>
        </w:numPr>
        <w:spacing w:after="0" w:line="276" w:lineRule="auto"/>
        <w:jc w:val="both"/>
        <w:rPr>
          <w:rFonts w:ascii="Verdana" w:hAnsi="Verdana"/>
          <w:sz w:val="20"/>
          <w:szCs w:val="20"/>
        </w:rPr>
      </w:pPr>
      <w:r>
        <w:t>Effective Governance recognising the fundamental role of law and order and access to justice in achieving development outcomes</w:t>
      </w:r>
    </w:p>
    <w:p w:rsidR="00CA7A38" w:rsidRPr="00322595" w:rsidRDefault="00CA7A38" w:rsidP="00E70031">
      <w:pPr>
        <w:pStyle w:val="ListParagraph"/>
        <w:numPr>
          <w:ilvl w:val="0"/>
          <w:numId w:val="52"/>
        </w:numPr>
        <w:spacing w:after="0" w:line="276" w:lineRule="auto"/>
        <w:jc w:val="both"/>
        <w:rPr>
          <w:rFonts w:ascii="Verdana" w:hAnsi="Verdana"/>
          <w:sz w:val="20"/>
          <w:szCs w:val="20"/>
        </w:rPr>
      </w:pPr>
      <w:r>
        <w:t>Gender equality and empowering women and girls  </w:t>
      </w:r>
    </w:p>
    <w:p w:rsidR="00CA7A38" w:rsidRDefault="00CA7A38" w:rsidP="00E70031">
      <w:pPr>
        <w:pStyle w:val="ListParagraph"/>
        <w:numPr>
          <w:ilvl w:val="0"/>
          <w:numId w:val="44"/>
        </w:numPr>
        <w:spacing w:after="0" w:line="276" w:lineRule="auto"/>
        <w:jc w:val="both"/>
        <w:rPr>
          <w:rFonts w:ascii="Calibri" w:hAnsi="Calibri"/>
        </w:rPr>
      </w:pPr>
      <w:r>
        <w:lastRenderedPageBreak/>
        <w:t>Australia’s</w:t>
      </w:r>
      <w:r w:rsidRPr="00322595">
        <w:rPr>
          <w:rFonts w:ascii="Verdana" w:hAnsi="Verdana"/>
          <w:sz w:val="20"/>
          <w:szCs w:val="20"/>
        </w:rPr>
        <w:t xml:space="preserve"> </w:t>
      </w:r>
      <w:r w:rsidRPr="0054735A">
        <w:rPr>
          <w:rFonts w:ascii="Calibri" w:hAnsi="Calibri"/>
          <w:i/>
        </w:rPr>
        <w:t>Aid Investment Plan for Vanuatu</w:t>
      </w:r>
      <w:r w:rsidRPr="00322595">
        <w:rPr>
          <w:rFonts w:ascii="Calibri" w:hAnsi="Calibri"/>
        </w:rPr>
        <w:t xml:space="preserve"> which outlines four strategic objectives</w:t>
      </w:r>
      <w:r>
        <w:rPr>
          <w:rFonts w:ascii="Calibri" w:hAnsi="Calibri"/>
        </w:rPr>
        <w:t>.</w:t>
      </w:r>
      <w:r>
        <w:rPr>
          <w:rStyle w:val="FootnoteReference"/>
          <w:rFonts w:ascii="Calibri" w:hAnsi="Calibri"/>
        </w:rPr>
        <w:footnoteReference w:id="11"/>
      </w:r>
      <w:r>
        <w:rPr>
          <w:rFonts w:ascii="Calibri" w:hAnsi="Calibri"/>
        </w:rPr>
        <w:t xml:space="preserve">  </w:t>
      </w:r>
      <w:r w:rsidRPr="00322595">
        <w:rPr>
          <w:rFonts w:ascii="Calibri" w:hAnsi="Calibri"/>
        </w:rPr>
        <w:t>Objective three focuses on improving community safety and re</w:t>
      </w:r>
      <w:r>
        <w:rPr>
          <w:rFonts w:ascii="Calibri" w:hAnsi="Calibri"/>
        </w:rPr>
        <w:t xml:space="preserve">silience through a focus on </w:t>
      </w:r>
      <w:r w:rsidRPr="00322595">
        <w:rPr>
          <w:rFonts w:ascii="Calibri" w:hAnsi="Calibri"/>
        </w:rPr>
        <w:t>legal and justice institutions with emphasis on justic</w:t>
      </w:r>
      <w:r>
        <w:rPr>
          <w:rFonts w:ascii="Calibri" w:hAnsi="Calibri"/>
        </w:rPr>
        <w:t>e for women, children and youth</w:t>
      </w:r>
    </w:p>
    <w:p w:rsidR="00CA7A38" w:rsidRDefault="00CA7A38">
      <w:pPr>
        <w:pStyle w:val="ListParagraph"/>
        <w:numPr>
          <w:ilvl w:val="0"/>
          <w:numId w:val="44"/>
        </w:numPr>
        <w:spacing w:after="0" w:line="276" w:lineRule="auto"/>
        <w:jc w:val="both"/>
        <w:rPr>
          <w:rFonts w:ascii="Calibri" w:hAnsi="Calibri"/>
        </w:rPr>
      </w:pPr>
      <w:r w:rsidRPr="00322595">
        <w:rPr>
          <w:rFonts w:ascii="Calibri" w:hAnsi="Calibri"/>
        </w:rPr>
        <w:t xml:space="preserve">DFAT’s </w:t>
      </w:r>
      <w:r w:rsidRPr="0054735A">
        <w:rPr>
          <w:rFonts w:ascii="Calibri" w:hAnsi="Calibri"/>
          <w:i/>
        </w:rPr>
        <w:t>Gender Equality and Women’s Empowerment Strategy</w:t>
      </w:r>
      <w:r w:rsidRPr="00322595">
        <w:rPr>
          <w:rFonts w:ascii="Calibri" w:hAnsi="Calibri"/>
        </w:rPr>
        <w:t xml:space="preserve"> which contains a focus on violence against women and enhancing women’s voice in decision-making</w:t>
      </w:r>
      <w:r>
        <w:rPr>
          <w:rFonts w:ascii="Calibri" w:hAnsi="Calibri"/>
        </w:rPr>
        <w:t>, leadership and peace-building</w:t>
      </w:r>
      <w:r>
        <w:rPr>
          <w:rStyle w:val="FootnoteReference"/>
          <w:rFonts w:ascii="Calibri" w:hAnsi="Calibri"/>
        </w:rPr>
        <w:footnoteReference w:id="12"/>
      </w:r>
    </w:p>
    <w:p w:rsidR="00CA7A38" w:rsidRDefault="00CA7A38">
      <w:pPr>
        <w:pStyle w:val="ListParagraph"/>
        <w:numPr>
          <w:ilvl w:val="0"/>
          <w:numId w:val="44"/>
        </w:numPr>
        <w:spacing w:after="0" w:line="276" w:lineRule="auto"/>
        <w:jc w:val="both"/>
        <w:rPr>
          <w:rFonts w:ascii="Calibri" w:hAnsi="Calibri"/>
        </w:rPr>
      </w:pPr>
      <w:r w:rsidRPr="00322595">
        <w:rPr>
          <w:rFonts w:ascii="Calibri" w:hAnsi="Calibri"/>
        </w:rPr>
        <w:t xml:space="preserve">DFAT’s </w:t>
      </w:r>
      <w:r w:rsidRPr="0054735A">
        <w:rPr>
          <w:rFonts w:ascii="Calibri" w:hAnsi="Calibri"/>
          <w:i/>
        </w:rPr>
        <w:t>Effective Governance Strategy</w:t>
      </w:r>
      <w:r w:rsidRPr="00322595">
        <w:rPr>
          <w:rFonts w:ascii="Calibri" w:hAnsi="Calibri"/>
        </w:rPr>
        <w:t xml:space="preserve"> which</w:t>
      </w:r>
      <w:r>
        <w:rPr>
          <w:rFonts w:ascii="Calibri" w:hAnsi="Calibri"/>
        </w:rPr>
        <w:t xml:space="preserve"> provides a framework for Australia’s assistance in justice and</w:t>
      </w:r>
      <w:r w:rsidRPr="00322595">
        <w:rPr>
          <w:rFonts w:ascii="Calibri" w:hAnsi="Calibri"/>
        </w:rPr>
        <w:t xml:space="preserve"> anti-corruption</w:t>
      </w:r>
      <w:r>
        <w:rPr>
          <w:rStyle w:val="FootnoteReference"/>
          <w:rFonts w:ascii="Calibri" w:hAnsi="Calibri"/>
        </w:rPr>
        <w:footnoteReference w:id="13"/>
      </w:r>
    </w:p>
    <w:p w:rsidR="00CA7A38" w:rsidRDefault="00CA7A38">
      <w:pPr>
        <w:pStyle w:val="ListParagraph"/>
        <w:numPr>
          <w:ilvl w:val="0"/>
          <w:numId w:val="44"/>
        </w:numPr>
        <w:spacing w:after="0" w:line="276" w:lineRule="auto"/>
        <w:jc w:val="both"/>
        <w:rPr>
          <w:rFonts w:ascii="Calibri" w:hAnsi="Calibri"/>
        </w:rPr>
      </w:pPr>
      <w:r w:rsidRPr="00322595">
        <w:rPr>
          <w:rFonts w:ascii="Calibri" w:hAnsi="Calibri"/>
        </w:rPr>
        <w:t xml:space="preserve">The </w:t>
      </w:r>
      <w:r>
        <w:t>AFP</w:t>
      </w:r>
      <w:r w:rsidRPr="00322595">
        <w:rPr>
          <w:rFonts w:ascii="Calibri" w:hAnsi="Calibri"/>
        </w:rPr>
        <w:t xml:space="preserve"> Pacific Strategy which positions AFP capacity development support as a key </w:t>
      </w:r>
      <w:r>
        <w:rPr>
          <w:rFonts w:ascii="Calibri" w:hAnsi="Calibri"/>
        </w:rPr>
        <w:t>focus of AFP work in the Pacific</w:t>
      </w:r>
    </w:p>
    <w:p w:rsidR="00CA7A38" w:rsidRPr="00132953" w:rsidRDefault="00CA7A38">
      <w:pPr>
        <w:pStyle w:val="ListParagraph"/>
        <w:numPr>
          <w:ilvl w:val="0"/>
          <w:numId w:val="44"/>
        </w:numPr>
        <w:spacing w:line="276" w:lineRule="auto"/>
        <w:jc w:val="both"/>
        <w:rPr>
          <w:rStyle w:val="Emphasis"/>
          <w:rFonts w:ascii="Calibri" w:hAnsi="Calibri"/>
          <w:i w:val="0"/>
          <w:iCs w:val="0"/>
        </w:rPr>
      </w:pPr>
      <w:r w:rsidRPr="00322595">
        <w:rPr>
          <w:rFonts w:ascii="Calibri" w:hAnsi="Calibri"/>
        </w:rPr>
        <w:t xml:space="preserve">DFAT’s </w:t>
      </w:r>
      <w:r w:rsidRPr="00322595">
        <w:rPr>
          <w:rStyle w:val="Emphasis"/>
          <w:lang w:val="en-US"/>
        </w:rPr>
        <w:t>Development for All 2015-2020: Strategy for strengthening disability-inclusive development in Australia’s aid program</w:t>
      </w:r>
      <w:r>
        <w:rPr>
          <w:rStyle w:val="Emphasis"/>
          <w:lang w:val="en-US"/>
        </w:rPr>
        <w:t xml:space="preserve"> which promotes disability-inclusive development</w:t>
      </w:r>
      <w:r w:rsidRPr="001063EB">
        <w:rPr>
          <w:rStyle w:val="FootnoteReference"/>
          <w:iCs/>
          <w:lang w:val="en-US"/>
        </w:rPr>
        <w:footnoteReference w:id="14"/>
      </w:r>
    </w:p>
    <w:p w:rsidR="00CA7A38" w:rsidRPr="00132953" w:rsidRDefault="00CA7A38" w:rsidP="00E70031">
      <w:pPr>
        <w:pStyle w:val="ListParagraph"/>
        <w:spacing w:line="276" w:lineRule="auto"/>
        <w:jc w:val="both"/>
        <w:rPr>
          <w:rFonts w:ascii="Calibri" w:hAnsi="Calibri"/>
        </w:rPr>
      </w:pPr>
    </w:p>
    <w:p w:rsidR="00CA7A38" w:rsidRPr="00322595" w:rsidRDefault="00CA7A38" w:rsidP="00E70031">
      <w:pPr>
        <w:pStyle w:val="Heading2"/>
        <w:numPr>
          <w:ilvl w:val="1"/>
          <w:numId w:val="1"/>
        </w:numPr>
        <w:spacing w:after="240" w:line="276" w:lineRule="auto"/>
        <w:rPr>
          <w:rFonts w:asciiTheme="minorHAnsi" w:hAnsiTheme="minorHAnsi"/>
          <w:color w:val="auto"/>
          <w:sz w:val="22"/>
          <w:szCs w:val="22"/>
        </w:rPr>
      </w:pPr>
      <w:bookmarkStart w:id="8" w:name="_Toc458698412"/>
      <w:r>
        <w:rPr>
          <w:rFonts w:asciiTheme="minorHAnsi" w:hAnsiTheme="minorHAnsi"/>
          <w:color w:val="auto"/>
          <w:sz w:val="22"/>
          <w:szCs w:val="22"/>
        </w:rPr>
        <w:t>Australian Assistance to Date</w:t>
      </w:r>
      <w:bookmarkEnd w:id="8"/>
    </w:p>
    <w:p w:rsidR="00CA7A38" w:rsidRPr="00322595" w:rsidRDefault="00CA7A38" w:rsidP="00E70031">
      <w:pPr>
        <w:spacing w:line="276" w:lineRule="auto"/>
        <w:jc w:val="both"/>
        <w:rPr>
          <w:lang w:eastAsia="en-AU"/>
        </w:rPr>
      </w:pPr>
      <w:proofErr w:type="spellStart"/>
      <w:r>
        <w:rPr>
          <w:lang w:eastAsia="en-AU"/>
        </w:rPr>
        <w:t>GoA</w:t>
      </w:r>
      <w:proofErr w:type="spellEnd"/>
      <w:r w:rsidRPr="00322595">
        <w:rPr>
          <w:lang w:eastAsia="en-AU"/>
        </w:rPr>
        <w:t xml:space="preserve"> has been providing support to </w:t>
      </w:r>
      <w:r>
        <w:rPr>
          <w:lang w:eastAsia="en-AU"/>
        </w:rPr>
        <w:t>Vanuatu’s</w:t>
      </w:r>
      <w:r w:rsidRPr="00322595">
        <w:rPr>
          <w:lang w:eastAsia="en-AU"/>
        </w:rPr>
        <w:t xml:space="preserve"> </w:t>
      </w:r>
      <w:r>
        <w:rPr>
          <w:lang w:eastAsia="en-AU"/>
        </w:rPr>
        <w:t xml:space="preserve">law and justice sector since 2000.  </w:t>
      </w:r>
      <w:r w:rsidRPr="00322595">
        <w:rPr>
          <w:lang w:eastAsia="en-AU"/>
        </w:rPr>
        <w:t xml:space="preserve">In the past this has been through separate programs of support to the </w:t>
      </w:r>
      <w:r>
        <w:rPr>
          <w:lang w:eastAsia="en-AU"/>
        </w:rPr>
        <w:t>VPF,</w:t>
      </w:r>
      <w:r w:rsidRPr="00322595">
        <w:rPr>
          <w:lang w:eastAsia="en-AU"/>
        </w:rPr>
        <w:t xml:space="preserve"> </w:t>
      </w:r>
      <w:r>
        <w:rPr>
          <w:lang w:eastAsia="en-AU"/>
        </w:rPr>
        <w:t>MJCS and public law</w:t>
      </w:r>
      <w:r w:rsidRPr="00322595">
        <w:rPr>
          <w:lang w:eastAsia="en-AU"/>
        </w:rPr>
        <w:t xml:space="preserve"> offices.</w:t>
      </w:r>
      <w:r>
        <w:rPr>
          <w:lang w:eastAsia="en-AU"/>
        </w:rPr>
        <w:t xml:space="preserve">  </w:t>
      </w:r>
      <w:r>
        <w:t xml:space="preserve">In 2012, </w:t>
      </w:r>
      <w:proofErr w:type="spellStart"/>
      <w:r>
        <w:t>GoA</w:t>
      </w:r>
      <w:proofErr w:type="spellEnd"/>
      <w:r>
        <w:t xml:space="preserve"> funded two programs in the Vanuatu law and justice sector: the </w:t>
      </w:r>
      <w:r w:rsidRPr="0061781B">
        <w:t>Vanuatu Australia Police Pro</w:t>
      </w:r>
      <w:r>
        <w:t>ject</w:t>
      </w:r>
      <w:r w:rsidRPr="0061781B">
        <w:t xml:space="preserve"> (VAPP)</w:t>
      </w:r>
      <w:r>
        <w:t>,</w:t>
      </w:r>
      <w:r w:rsidRPr="0061781B">
        <w:t xml:space="preserve"> </w:t>
      </w:r>
      <w:r>
        <w:t xml:space="preserve">implemented by the Australian Federal Police (AFP), </w:t>
      </w:r>
      <w:r w:rsidRPr="0061781B">
        <w:t xml:space="preserve">and </w:t>
      </w:r>
      <w:r>
        <w:t xml:space="preserve">the </w:t>
      </w:r>
      <w:r w:rsidRPr="0061781B">
        <w:t>Vanuatu Law and Justice Partnership Program</w:t>
      </w:r>
      <w:r>
        <w:t>,</w:t>
      </w:r>
      <w:r w:rsidRPr="0061781B">
        <w:t xml:space="preserve"> </w:t>
      </w:r>
      <w:r>
        <w:t xml:space="preserve">also known as </w:t>
      </w:r>
      <w:proofErr w:type="spellStart"/>
      <w:r w:rsidRPr="00630564">
        <w:rPr>
          <w:i/>
        </w:rPr>
        <w:t>Stretem</w:t>
      </w:r>
      <w:proofErr w:type="spellEnd"/>
      <w:r w:rsidRPr="00630564">
        <w:rPr>
          <w:i/>
        </w:rPr>
        <w:t xml:space="preserve"> Rod </w:t>
      </w:r>
      <w:proofErr w:type="spellStart"/>
      <w:r w:rsidRPr="00630564">
        <w:rPr>
          <w:i/>
        </w:rPr>
        <w:t>Blong</w:t>
      </w:r>
      <w:proofErr w:type="spellEnd"/>
      <w:r w:rsidRPr="00630564">
        <w:rPr>
          <w:i/>
        </w:rPr>
        <w:t xml:space="preserve"> </w:t>
      </w:r>
      <w:proofErr w:type="spellStart"/>
      <w:r w:rsidRPr="00630564">
        <w:rPr>
          <w:i/>
        </w:rPr>
        <w:t>Jastis</w:t>
      </w:r>
      <w:proofErr w:type="spellEnd"/>
      <w:r>
        <w:t xml:space="preserve"> </w:t>
      </w:r>
      <w:r w:rsidRPr="0061781B">
        <w:t>(</w:t>
      </w:r>
      <w:r>
        <w:t>SRBJ</w:t>
      </w:r>
      <w:r w:rsidRPr="0061781B">
        <w:t>)</w:t>
      </w:r>
      <w:r>
        <w:t>, implemented by a managing contractor.  Both programs were working to separate program</w:t>
      </w:r>
      <w:r w:rsidR="0006730F">
        <w:t xml:space="preserve"> outcomes and there was minimal </w:t>
      </w:r>
      <w:r>
        <w:t xml:space="preserve">collaboration between the two.  </w:t>
      </w:r>
      <w:r>
        <w:rPr>
          <w:lang w:eastAsia="en-AU"/>
        </w:rPr>
        <w:t xml:space="preserve">The PJSPV design of </w:t>
      </w:r>
      <w:r w:rsidRPr="00322595">
        <w:rPr>
          <w:lang w:eastAsia="en-AU"/>
        </w:rPr>
        <w:t>2014 combined</w:t>
      </w:r>
      <w:r>
        <w:rPr>
          <w:lang w:eastAsia="en-AU"/>
        </w:rPr>
        <w:t xml:space="preserve"> VAPP and SRBJ.  </w:t>
      </w:r>
      <w:r w:rsidRPr="00322595">
        <w:rPr>
          <w:lang w:eastAsia="en-AU"/>
        </w:rPr>
        <w:t>This was done to create efficiencies and ensure Australian support to the sector had shared outcomes.</w:t>
      </w:r>
      <w:r>
        <w:rPr>
          <w:lang w:eastAsia="en-AU"/>
        </w:rPr>
        <w:t xml:space="preserve">  </w:t>
      </w:r>
      <w:r w:rsidRPr="00322595">
        <w:rPr>
          <w:lang w:eastAsia="en-AU"/>
        </w:rPr>
        <w:t xml:space="preserve"> </w:t>
      </w:r>
    </w:p>
    <w:p w:rsidR="00CA7A38" w:rsidRPr="00457D7F" w:rsidRDefault="00CA7A38" w:rsidP="00E70031">
      <w:pPr>
        <w:spacing w:after="120" w:line="276" w:lineRule="auto"/>
        <w:jc w:val="both"/>
      </w:pPr>
      <w:r w:rsidRPr="00457D7F">
        <w:t>PJSPV</w:t>
      </w:r>
      <w:r>
        <w:t xml:space="preserve"> </w:t>
      </w:r>
      <w:r w:rsidRPr="00457D7F">
        <w:t>aimed to provide:</w:t>
      </w:r>
    </w:p>
    <w:p w:rsidR="00CA7A38" w:rsidRPr="00457D7F" w:rsidRDefault="00CA7A38" w:rsidP="00E70031">
      <w:pPr>
        <w:pStyle w:val="ListParagraph"/>
        <w:numPr>
          <w:ilvl w:val="0"/>
          <w:numId w:val="42"/>
        </w:numPr>
        <w:spacing w:after="0" w:line="276" w:lineRule="auto"/>
        <w:contextualSpacing w:val="0"/>
        <w:jc w:val="both"/>
      </w:pPr>
      <w:r w:rsidRPr="00457D7F">
        <w:t>Support for greater coordination, collaboration and communication across the l</w:t>
      </w:r>
      <w:r>
        <w:t>aw, justice and policing sector</w:t>
      </w:r>
    </w:p>
    <w:p w:rsidR="00CA7A38" w:rsidRPr="00457D7F" w:rsidRDefault="00CA7A38" w:rsidP="00E70031">
      <w:pPr>
        <w:pStyle w:val="ListParagraph"/>
        <w:numPr>
          <w:ilvl w:val="0"/>
          <w:numId w:val="42"/>
        </w:numPr>
        <w:spacing w:after="0" w:line="276" w:lineRule="auto"/>
        <w:contextualSpacing w:val="0"/>
        <w:jc w:val="both"/>
      </w:pPr>
      <w:r w:rsidRPr="00457D7F">
        <w:t>Organisational and capacity developme</w:t>
      </w:r>
      <w:r>
        <w:t>nt for the whole of sector</w:t>
      </w:r>
    </w:p>
    <w:p w:rsidR="00CA7A38" w:rsidRPr="00457D7F" w:rsidRDefault="00CA7A38" w:rsidP="00E70031">
      <w:pPr>
        <w:pStyle w:val="ListParagraph"/>
        <w:numPr>
          <w:ilvl w:val="0"/>
          <w:numId w:val="42"/>
        </w:numPr>
        <w:spacing w:after="120" w:line="276" w:lineRule="auto"/>
        <w:ind w:left="771" w:hanging="357"/>
        <w:contextualSpacing w:val="0"/>
        <w:jc w:val="both"/>
      </w:pPr>
      <w:r w:rsidRPr="00457D7F">
        <w:t>A series of inclusive, community based pilots, focussing on protecting children, women experiencing violence and youth</w:t>
      </w:r>
      <w:r>
        <w:t xml:space="preserve"> in conflict with the law</w:t>
      </w:r>
    </w:p>
    <w:p w:rsidR="00CA7A38" w:rsidRPr="00AC27A5" w:rsidRDefault="00CA7A38" w:rsidP="00E70031">
      <w:pPr>
        <w:spacing w:line="276" w:lineRule="auto"/>
        <w:jc w:val="both"/>
      </w:pPr>
      <w:r w:rsidRPr="00457D7F">
        <w:t xml:space="preserve">There has been progress in each of these areas.  </w:t>
      </w:r>
    </w:p>
    <w:p w:rsidR="00CA7A38" w:rsidRDefault="00CA7A38" w:rsidP="00E70031">
      <w:pPr>
        <w:pStyle w:val="Heading2"/>
        <w:numPr>
          <w:ilvl w:val="1"/>
          <w:numId w:val="1"/>
        </w:numPr>
        <w:spacing w:after="240" w:line="276" w:lineRule="auto"/>
        <w:jc w:val="both"/>
        <w:rPr>
          <w:rFonts w:asciiTheme="minorHAnsi" w:hAnsiTheme="minorHAnsi"/>
          <w:color w:val="auto"/>
          <w:sz w:val="22"/>
          <w:szCs w:val="22"/>
        </w:rPr>
      </w:pPr>
      <w:bookmarkStart w:id="9" w:name="_Toc458698413"/>
      <w:r>
        <w:rPr>
          <w:rFonts w:asciiTheme="minorHAnsi" w:hAnsiTheme="minorHAnsi"/>
          <w:color w:val="auto"/>
          <w:sz w:val="22"/>
          <w:szCs w:val="22"/>
        </w:rPr>
        <w:t>Sector Description and Analysis</w:t>
      </w:r>
      <w:bookmarkEnd w:id="9"/>
    </w:p>
    <w:p w:rsidR="00CA7A38" w:rsidRPr="00AC27A5" w:rsidRDefault="00CA7A38" w:rsidP="00E70031">
      <w:pPr>
        <w:pStyle w:val="Heading3"/>
        <w:numPr>
          <w:ilvl w:val="0"/>
          <w:numId w:val="46"/>
        </w:numPr>
        <w:spacing w:line="276" w:lineRule="auto"/>
        <w:jc w:val="both"/>
        <w:rPr>
          <w:rFonts w:asciiTheme="minorHAnsi" w:hAnsiTheme="minorHAnsi"/>
          <w:color w:val="auto"/>
          <w:sz w:val="22"/>
          <w:szCs w:val="22"/>
        </w:rPr>
      </w:pPr>
      <w:r w:rsidRPr="00AC27A5">
        <w:rPr>
          <w:rFonts w:asciiTheme="minorHAnsi" w:hAnsiTheme="minorHAnsi"/>
          <w:color w:val="auto"/>
          <w:sz w:val="22"/>
          <w:szCs w:val="22"/>
        </w:rPr>
        <w:t>Description of the Sector</w:t>
      </w:r>
    </w:p>
    <w:p w:rsidR="00CA7A38" w:rsidRDefault="00CA7A38" w:rsidP="00E70031">
      <w:pPr>
        <w:spacing w:before="240" w:line="276" w:lineRule="auto"/>
        <w:jc w:val="both"/>
      </w:pPr>
      <w:r w:rsidRPr="004B5406">
        <w:t>The policing, justice and community service sector is characterised by diversity.</w:t>
      </w:r>
      <w:r>
        <w:t xml:space="preserve">  In Vanuatu, n</w:t>
      </w:r>
      <w:r w:rsidRPr="004B5406">
        <w:t>o sector has such a wide scope of related service delivery areas, nor such a complex g</w:t>
      </w:r>
      <w:r>
        <w:t>rouping of independent arms of g</w:t>
      </w:r>
      <w:r w:rsidRPr="004B5406">
        <w:t xml:space="preserve">overnment, constitutional, statutory, line agencies and non-government </w:t>
      </w:r>
      <w:r w:rsidRPr="004B5406">
        <w:lastRenderedPageBreak/>
        <w:t>bodies, some of wh</w:t>
      </w:r>
      <w:r>
        <w:t>ich report to either different m</w:t>
      </w:r>
      <w:r w:rsidRPr="004B5406">
        <w:t>inistries for line management or budgetary purposes.</w:t>
      </w:r>
      <w:r w:rsidRPr="004B5406">
        <w:rPr>
          <w:rStyle w:val="FootnoteReference"/>
        </w:rPr>
        <w:footnoteReference w:id="15"/>
      </w:r>
      <w:r>
        <w:t xml:space="preserve">  The sector is comprised of the following institutions:</w:t>
      </w:r>
    </w:p>
    <w:tbl>
      <w:tblPr>
        <w:tblStyle w:val="PlainTable11"/>
        <w:tblW w:w="0" w:type="auto"/>
        <w:tblLook w:val="04A0" w:firstRow="1" w:lastRow="0" w:firstColumn="1" w:lastColumn="0" w:noHBand="0" w:noVBand="1"/>
      </w:tblPr>
      <w:tblGrid>
        <w:gridCol w:w="4707"/>
      </w:tblGrid>
      <w:tr w:rsidR="00CA7A38" w:rsidTr="00E70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5B9BD5" w:themeFill="accent1"/>
          </w:tcPr>
          <w:p w:rsidR="00CA7A38" w:rsidRPr="00BF1A1C" w:rsidRDefault="00CA7A38" w:rsidP="00E70031">
            <w:pPr>
              <w:spacing w:line="276" w:lineRule="auto"/>
              <w:jc w:val="both"/>
              <w:rPr>
                <w:sz w:val="20"/>
                <w:szCs w:val="20"/>
              </w:rPr>
            </w:pPr>
            <w:r w:rsidRPr="00BF1A1C">
              <w:rPr>
                <w:sz w:val="20"/>
                <w:szCs w:val="20"/>
              </w:rPr>
              <w:t>MAIN DELIVERY ARMS</w:t>
            </w:r>
          </w:p>
        </w:tc>
      </w:tr>
      <w:tr w:rsidR="00CA7A38"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BF1A1C" w:rsidRDefault="00CA7A38" w:rsidP="00E70031">
            <w:pPr>
              <w:spacing w:line="276" w:lineRule="auto"/>
              <w:jc w:val="both"/>
              <w:rPr>
                <w:sz w:val="20"/>
                <w:szCs w:val="20"/>
              </w:rPr>
            </w:pPr>
            <w:r w:rsidRPr="00BF1A1C">
              <w:rPr>
                <w:sz w:val="20"/>
                <w:szCs w:val="20"/>
              </w:rPr>
              <w:t>Vanuatu Police Force (VPF)</w:t>
            </w:r>
            <w:r>
              <w:rPr>
                <w:sz w:val="20"/>
                <w:szCs w:val="20"/>
              </w:rPr>
              <w:t xml:space="preserve"> </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A7A38" w:rsidRPr="00BF1A1C" w:rsidRDefault="00CA7A38" w:rsidP="00E70031">
            <w:pPr>
              <w:spacing w:line="276" w:lineRule="auto"/>
              <w:jc w:val="both"/>
              <w:rPr>
                <w:sz w:val="20"/>
                <w:szCs w:val="20"/>
              </w:rPr>
            </w:pPr>
            <w:r>
              <w:rPr>
                <w:sz w:val="20"/>
                <w:szCs w:val="20"/>
              </w:rPr>
              <w:t>Ministry of Internal Affairs (</w:t>
            </w:r>
            <w:proofErr w:type="spellStart"/>
            <w:r>
              <w:rPr>
                <w:sz w:val="20"/>
                <w:szCs w:val="20"/>
              </w:rPr>
              <w:t>MoIA</w:t>
            </w:r>
            <w:proofErr w:type="spellEnd"/>
            <w:r>
              <w:rPr>
                <w:sz w:val="20"/>
                <w:szCs w:val="20"/>
              </w:rPr>
              <w:t>)</w:t>
            </w:r>
          </w:p>
        </w:tc>
      </w:tr>
      <w:tr w:rsidR="00CA7A38"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BF1A1C" w:rsidRDefault="00CA7A38" w:rsidP="00E70031">
            <w:pPr>
              <w:spacing w:line="276" w:lineRule="auto"/>
              <w:jc w:val="both"/>
              <w:rPr>
                <w:sz w:val="20"/>
                <w:szCs w:val="20"/>
              </w:rPr>
            </w:pPr>
            <w:r>
              <w:rPr>
                <w:sz w:val="20"/>
                <w:szCs w:val="20"/>
              </w:rPr>
              <w:t>Ministerial Portfolio (Justice and Community Services)</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A7A38" w:rsidRPr="00BF1A1C" w:rsidRDefault="00CA7A38" w:rsidP="00E70031">
            <w:pPr>
              <w:spacing w:line="276" w:lineRule="auto"/>
              <w:jc w:val="both"/>
              <w:rPr>
                <w:sz w:val="20"/>
                <w:szCs w:val="20"/>
              </w:rPr>
            </w:pPr>
            <w:r>
              <w:rPr>
                <w:sz w:val="20"/>
                <w:szCs w:val="20"/>
              </w:rPr>
              <w:t>Ministry of Justice and Community Services (MJCS)</w:t>
            </w:r>
          </w:p>
        </w:tc>
      </w:tr>
      <w:tr w:rsidR="00CA7A38"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BF1A1C" w:rsidRDefault="00CA7A38" w:rsidP="00E70031">
            <w:pPr>
              <w:spacing w:line="276" w:lineRule="auto"/>
              <w:jc w:val="both"/>
              <w:rPr>
                <w:sz w:val="20"/>
                <w:szCs w:val="20"/>
              </w:rPr>
            </w:pPr>
            <w:r>
              <w:rPr>
                <w:sz w:val="20"/>
                <w:szCs w:val="20"/>
              </w:rPr>
              <w:t>Department of Correctional Services (DCS)</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A7A38" w:rsidRPr="00BF1A1C" w:rsidRDefault="00CA7A38" w:rsidP="00E70031">
            <w:pPr>
              <w:spacing w:line="276" w:lineRule="auto"/>
              <w:jc w:val="both"/>
              <w:rPr>
                <w:sz w:val="20"/>
                <w:szCs w:val="20"/>
              </w:rPr>
            </w:pPr>
            <w:r>
              <w:rPr>
                <w:sz w:val="20"/>
                <w:szCs w:val="20"/>
              </w:rPr>
              <w:t>Department of Women’s Affairs (DWA)</w:t>
            </w:r>
          </w:p>
        </w:tc>
      </w:tr>
      <w:tr w:rsidR="00CA7A38"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BF1A1C" w:rsidRDefault="00CA7A38" w:rsidP="00E70031">
            <w:pPr>
              <w:spacing w:line="276" w:lineRule="auto"/>
              <w:jc w:val="both"/>
              <w:rPr>
                <w:sz w:val="20"/>
                <w:szCs w:val="20"/>
              </w:rPr>
            </w:pPr>
            <w:r>
              <w:rPr>
                <w:sz w:val="20"/>
                <w:szCs w:val="20"/>
              </w:rPr>
              <w:t>Child Desk</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A7A38" w:rsidRDefault="00CA7A38" w:rsidP="00E70031">
            <w:pPr>
              <w:spacing w:line="276" w:lineRule="auto"/>
              <w:jc w:val="both"/>
              <w:rPr>
                <w:sz w:val="20"/>
                <w:szCs w:val="20"/>
              </w:rPr>
            </w:pPr>
            <w:r>
              <w:rPr>
                <w:sz w:val="20"/>
                <w:szCs w:val="20"/>
              </w:rPr>
              <w:t>Disability Desk</w:t>
            </w:r>
          </w:p>
        </w:tc>
      </w:tr>
      <w:tr w:rsidR="00CA7A38"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5B9BD5" w:themeFill="accent1"/>
          </w:tcPr>
          <w:p w:rsidR="00CA7A38" w:rsidRDefault="00CA7A38" w:rsidP="00E70031">
            <w:pPr>
              <w:spacing w:line="276" w:lineRule="auto"/>
              <w:jc w:val="both"/>
              <w:rPr>
                <w:sz w:val="20"/>
                <w:szCs w:val="20"/>
              </w:rPr>
            </w:pPr>
            <w:r>
              <w:rPr>
                <w:sz w:val="20"/>
                <w:szCs w:val="20"/>
              </w:rPr>
              <w:t>CONSTITUTIONAL BODIES</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C77C82" w:rsidRDefault="00CA7A38" w:rsidP="00E70031">
            <w:pPr>
              <w:spacing w:line="276" w:lineRule="auto"/>
              <w:jc w:val="both"/>
              <w:rPr>
                <w:sz w:val="20"/>
                <w:szCs w:val="20"/>
              </w:rPr>
            </w:pPr>
            <w:r w:rsidRPr="00C77C82">
              <w:rPr>
                <w:sz w:val="20"/>
                <w:szCs w:val="20"/>
              </w:rPr>
              <w:t xml:space="preserve">Judiciary </w:t>
            </w:r>
          </w:p>
        </w:tc>
      </w:tr>
      <w:tr w:rsidR="00CA7A38"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A7A38" w:rsidRPr="00C77C82" w:rsidRDefault="00CA7A38" w:rsidP="00E70031">
            <w:pPr>
              <w:spacing w:line="276" w:lineRule="auto"/>
              <w:jc w:val="both"/>
              <w:rPr>
                <w:sz w:val="20"/>
                <w:szCs w:val="20"/>
              </w:rPr>
            </w:pPr>
            <w:r>
              <w:rPr>
                <w:sz w:val="20"/>
                <w:szCs w:val="20"/>
              </w:rPr>
              <w:t xml:space="preserve">Office of the </w:t>
            </w:r>
            <w:r w:rsidRPr="00C77C82">
              <w:rPr>
                <w:sz w:val="20"/>
                <w:szCs w:val="20"/>
              </w:rPr>
              <w:t>Public Prosecutor</w:t>
            </w:r>
            <w:r>
              <w:rPr>
                <w:sz w:val="20"/>
                <w:szCs w:val="20"/>
              </w:rPr>
              <w:t xml:space="preserve"> (OPP)</w:t>
            </w:r>
            <w:r w:rsidRPr="00C77C82">
              <w:rPr>
                <w:sz w:val="20"/>
                <w:szCs w:val="20"/>
              </w:rPr>
              <w:t xml:space="preserve"> </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C77C82" w:rsidRDefault="00CA7A38" w:rsidP="00E70031">
            <w:pPr>
              <w:spacing w:line="276" w:lineRule="auto"/>
              <w:jc w:val="both"/>
              <w:rPr>
                <w:sz w:val="20"/>
                <w:szCs w:val="20"/>
              </w:rPr>
            </w:pPr>
            <w:r w:rsidRPr="00C77C82">
              <w:rPr>
                <w:sz w:val="20"/>
                <w:szCs w:val="20"/>
              </w:rPr>
              <w:t xml:space="preserve">Public Solicitor’s Office </w:t>
            </w:r>
            <w:r>
              <w:rPr>
                <w:sz w:val="20"/>
                <w:szCs w:val="20"/>
              </w:rPr>
              <w:t>(PSO)</w:t>
            </w:r>
          </w:p>
        </w:tc>
      </w:tr>
      <w:tr w:rsidR="00CA7A38"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A7A38" w:rsidRPr="00C77C82" w:rsidRDefault="00CA7A38" w:rsidP="00E70031">
            <w:pPr>
              <w:spacing w:line="276" w:lineRule="auto"/>
              <w:jc w:val="both"/>
              <w:rPr>
                <w:sz w:val="20"/>
                <w:szCs w:val="20"/>
              </w:rPr>
            </w:pPr>
            <w:proofErr w:type="spellStart"/>
            <w:r w:rsidRPr="00C77C82">
              <w:rPr>
                <w:sz w:val="20"/>
                <w:szCs w:val="20"/>
              </w:rPr>
              <w:t>Malvatumauri</w:t>
            </w:r>
            <w:proofErr w:type="spellEnd"/>
            <w:r w:rsidRPr="00C77C82">
              <w:rPr>
                <w:sz w:val="20"/>
                <w:szCs w:val="20"/>
              </w:rPr>
              <w:t xml:space="preserve"> National Council of Chiefs </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shd w:val="clear" w:color="auto" w:fill="5B9BD5" w:themeFill="accent1"/>
          </w:tcPr>
          <w:p w:rsidR="00CA7A38" w:rsidRPr="00C77C82" w:rsidRDefault="00CA7A38" w:rsidP="00E70031">
            <w:pPr>
              <w:spacing w:line="276" w:lineRule="auto"/>
              <w:jc w:val="both"/>
              <w:rPr>
                <w:sz w:val="20"/>
                <w:szCs w:val="20"/>
              </w:rPr>
            </w:pPr>
            <w:r>
              <w:rPr>
                <w:sz w:val="20"/>
                <w:szCs w:val="20"/>
              </w:rPr>
              <w:t>STATUTORY BODIES</w:t>
            </w:r>
          </w:p>
        </w:tc>
      </w:tr>
      <w:tr w:rsidR="00CA7A38"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C77C82" w:rsidRDefault="00CA7A38" w:rsidP="00E70031">
            <w:pPr>
              <w:spacing w:line="276" w:lineRule="auto"/>
              <w:jc w:val="both"/>
              <w:rPr>
                <w:sz w:val="20"/>
                <w:szCs w:val="20"/>
              </w:rPr>
            </w:pPr>
            <w:r w:rsidRPr="00C77C82">
              <w:rPr>
                <w:sz w:val="20"/>
                <w:szCs w:val="20"/>
              </w:rPr>
              <w:t xml:space="preserve">Vanuatu Law Commission </w:t>
            </w:r>
            <w:r>
              <w:rPr>
                <w:sz w:val="20"/>
                <w:szCs w:val="20"/>
              </w:rPr>
              <w:t>(VLC)</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A7A38" w:rsidRPr="00C77C82" w:rsidRDefault="00CA7A38" w:rsidP="00E70031">
            <w:pPr>
              <w:spacing w:line="276" w:lineRule="auto"/>
              <w:jc w:val="both"/>
              <w:rPr>
                <w:sz w:val="20"/>
                <w:szCs w:val="20"/>
              </w:rPr>
            </w:pPr>
            <w:r w:rsidRPr="00C77C82">
              <w:rPr>
                <w:sz w:val="20"/>
                <w:szCs w:val="20"/>
              </w:rPr>
              <w:t xml:space="preserve">Customary Land Management Office </w:t>
            </w:r>
            <w:r>
              <w:rPr>
                <w:sz w:val="20"/>
                <w:szCs w:val="20"/>
              </w:rPr>
              <w:t>(CLMO)</w:t>
            </w:r>
          </w:p>
        </w:tc>
      </w:tr>
      <w:tr w:rsidR="00CA7A38"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C77C82" w:rsidRDefault="00CA7A38" w:rsidP="00E70031">
            <w:pPr>
              <w:spacing w:line="276" w:lineRule="auto"/>
              <w:jc w:val="both"/>
              <w:rPr>
                <w:sz w:val="20"/>
                <w:szCs w:val="20"/>
              </w:rPr>
            </w:pPr>
            <w:r w:rsidRPr="00C77C82">
              <w:rPr>
                <w:sz w:val="20"/>
                <w:szCs w:val="20"/>
              </w:rPr>
              <w:t xml:space="preserve">Office of the Land Ombudsman </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shd w:val="clear" w:color="auto" w:fill="5B9BD5" w:themeFill="accent1"/>
          </w:tcPr>
          <w:p w:rsidR="00CA7A38" w:rsidRPr="00C77C82" w:rsidRDefault="00CA7A38" w:rsidP="00E70031">
            <w:pPr>
              <w:spacing w:line="276" w:lineRule="auto"/>
              <w:jc w:val="both"/>
              <w:rPr>
                <w:sz w:val="20"/>
                <w:szCs w:val="20"/>
              </w:rPr>
            </w:pPr>
            <w:r>
              <w:rPr>
                <w:sz w:val="20"/>
                <w:szCs w:val="20"/>
              </w:rPr>
              <w:t>OTHER SECTOR INSTITUTIONS</w:t>
            </w:r>
          </w:p>
        </w:tc>
      </w:tr>
      <w:tr w:rsidR="00CA7A38"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A7A38" w:rsidRPr="00C77C82" w:rsidRDefault="00CA7A38" w:rsidP="00E70031">
            <w:pPr>
              <w:spacing w:line="276" w:lineRule="auto"/>
              <w:jc w:val="both"/>
              <w:rPr>
                <w:sz w:val="20"/>
                <w:szCs w:val="20"/>
              </w:rPr>
            </w:pPr>
            <w:r>
              <w:rPr>
                <w:sz w:val="20"/>
                <w:szCs w:val="20"/>
              </w:rPr>
              <w:t>State Law Office (SLO)</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Default="00CA7A38" w:rsidP="00E70031">
            <w:pPr>
              <w:spacing w:line="276" w:lineRule="auto"/>
              <w:jc w:val="both"/>
              <w:rPr>
                <w:sz w:val="20"/>
                <w:szCs w:val="20"/>
              </w:rPr>
            </w:pPr>
            <w:r>
              <w:rPr>
                <w:sz w:val="20"/>
                <w:szCs w:val="20"/>
              </w:rPr>
              <w:t>State Prosecution’s Department (SPD)</w:t>
            </w:r>
          </w:p>
        </w:tc>
      </w:tr>
    </w:tbl>
    <w:p w:rsidR="00CA7A38" w:rsidRDefault="00CA7A38" w:rsidP="00E70031">
      <w:pPr>
        <w:spacing w:before="240" w:line="276" w:lineRule="auto"/>
        <w:jc w:val="both"/>
      </w:pPr>
      <w:r w:rsidRPr="00C77C82">
        <w:t>In addition to the state policing, justice and community services sector agencies, non-governmental organisations play an important role in delivering services.</w:t>
      </w:r>
      <w:r>
        <w:t xml:space="preserve">  There are also </w:t>
      </w:r>
      <w:r w:rsidRPr="00D80B26">
        <w:t>non-state actors</w:t>
      </w:r>
      <w:r>
        <w:t xml:space="preserve">, </w:t>
      </w:r>
      <w:r w:rsidRPr="00D80B26">
        <w:t xml:space="preserve">for example, </w:t>
      </w:r>
      <w:r>
        <w:t xml:space="preserve">chiefs and religious leaders that play a significant role in delivering justice (in the broad sense of the term) locally.  </w:t>
      </w:r>
    </w:p>
    <w:p w:rsidR="00CA7A38" w:rsidRDefault="00CA7A38" w:rsidP="00E70031">
      <w:pPr>
        <w:spacing w:before="240" w:line="276" w:lineRule="auto"/>
        <w:jc w:val="both"/>
      </w:pPr>
      <w:r>
        <w:t>*A note on terminology: in this document the word ‘state’, rather than ‘formal’, is used to describe government agencies and institutions.  While the terms could be used interchangeably, ‘state’ is used throughout the document for consistency.  Likewise, ‘non-state’ is used instead of ‘informal’ to describe actors such as chiefs, churches, religious leaders and other community structures.  This terminology is preferred also because the language of ‘formal’ and ‘informal’ evokes a kind of hierarchy and suggests a lack of organisation, or structure, of non-state institutions and actors, which is not reflective of the reality.</w:t>
      </w:r>
      <w:r>
        <w:rPr>
          <w:rStyle w:val="FootnoteReference"/>
        </w:rPr>
        <w:footnoteReference w:id="16"/>
      </w:r>
      <w:r>
        <w:t xml:space="preserve"> </w:t>
      </w:r>
    </w:p>
    <w:p w:rsidR="00CA7A38" w:rsidRDefault="00CA7A38" w:rsidP="00E70031">
      <w:pPr>
        <w:spacing w:before="240" w:line="276" w:lineRule="auto"/>
        <w:jc w:val="both"/>
      </w:pPr>
    </w:p>
    <w:p w:rsidR="00CA7A38" w:rsidRPr="00C2191B" w:rsidRDefault="00CA7A38" w:rsidP="00E70031">
      <w:pPr>
        <w:pStyle w:val="Heading3"/>
        <w:numPr>
          <w:ilvl w:val="0"/>
          <w:numId w:val="46"/>
        </w:numPr>
        <w:spacing w:line="276" w:lineRule="auto"/>
        <w:jc w:val="both"/>
        <w:rPr>
          <w:rFonts w:asciiTheme="minorHAnsi" w:hAnsiTheme="minorHAnsi"/>
          <w:color w:val="auto"/>
          <w:sz w:val="22"/>
          <w:szCs w:val="22"/>
        </w:rPr>
      </w:pPr>
      <w:r w:rsidRPr="00C2191B">
        <w:rPr>
          <w:rFonts w:asciiTheme="minorHAnsi" w:hAnsiTheme="minorHAnsi"/>
          <w:color w:val="auto"/>
          <w:sz w:val="22"/>
          <w:szCs w:val="22"/>
        </w:rPr>
        <w:t xml:space="preserve">Sector </w:t>
      </w:r>
      <w:r>
        <w:rPr>
          <w:rFonts w:asciiTheme="minorHAnsi" w:hAnsiTheme="minorHAnsi"/>
          <w:color w:val="auto"/>
          <w:sz w:val="22"/>
          <w:szCs w:val="22"/>
        </w:rPr>
        <w:t xml:space="preserve">and Context </w:t>
      </w:r>
      <w:r w:rsidRPr="00C2191B">
        <w:rPr>
          <w:rFonts w:asciiTheme="minorHAnsi" w:hAnsiTheme="minorHAnsi"/>
          <w:color w:val="auto"/>
          <w:sz w:val="22"/>
          <w:szCs w:val="22"/>
        </w:rPr>
        <w:t xml:space="preserve">Analysis </w:t>
      </w:r>
    </w:p>
    <w:p w:rsidR="00CA7A38" w:rsidRPr="00D8029B" w:rsidRDefault="00CA7A38" w:rsidP="00E70031">
      <w:pPr>
        <w:spacing w:before="240" w:line="276" w:lineRule="auto"/>
        <w:jc w:val="both"/>
      </w:pPr>
      <w:r w:rsidRPr="00D8029B">
        <w:t xml:space="preserve">Key development challenges identified </w:t>
      </w:r>
      <w:r>
        <w:t>for</w:t>
      </w:r>
      <w:r w:rsidRPr="00D8029B">
        <w:t xml:space="preserve"> the </w:t>
      </w:r>
      <w:r>
        <w:t>s</w:t>
      </w:r>
      <w:r w:rsidRPr="00D8029B">
        <w:t>ector include:</w:t>
      </w:r>
    </w:p>
    <w:p w:rsidR="00CA7A38" w:rsidRDefault="00CA7A38" w:rsidP="00E70031">
      <w:pPr>
        <w:pStyle w:val="ListParagraph"/>
        <w:numPr>
          <w:ilvl w:val="0"/>
          <w:numId w:val="49"/>
        </w:numPr>
        <w:spacing w:before="240" w:line="276" w:lineRule="auto"/>
        <w:jc w:val="both"/>
      </w:pPr>
      <w:r w:rsidRPr="00D8029B">
        <w:lastRenderedPageBreak/>
        <w:t xml:space="preserve">Limited access to justice for many </w:t>
      </w:r>
      <w:r>
        <w:t xml:space="preserve">people, particularly for </w:t>
      </w:r>
      <w:r w:rsidRPr="00D8029B">
        <w:t xml:space="preserve">women, children and youth in remote and </w:t>
      </w:r>
      <w:r>
        <w:t>peri-</w:t>
      </w:r>
      <w:r w:rsidRPr="00D8029B">
        <w:t>urban ar</w:t>
      </w:r>
      <w:r>
        <w:t>eas</w:t>
      </w:r>
    </w:p>
    <w:p w:rsidR="00CA7A38" w:rsidRDefault="00CA7A38" w:rsidP="00E70031">
      <w:pPr>
        <w:pStyle w:val="ListParagraph"/>
        <w:numPr>
          <w:ilvl w:val="0"/>
          <w:numId w:val="49"/>
        </w:numPr>
        <w:spacing w:before="240" w:line="276" w:lineRule="auto"/>
        <w:jc w:val="both"/>
      </w:pPr>
      <w:r>
        <w:t>High levels of violence against women and children and non-responsiveness of the policing and justice system</w:t>
      </w:r>
    </w:p>
    <w:p w:rsidR="00CA7A38" w:rsidRDefault="00CA7A38" w:rsidP="00E70031">
      <w:pPr>
        <w:pStyle w:val="ListParagraph"/>
        <w:numPr>
          <w:ilvl w:val="0"/>
          <w:numId w:val="49"/>
        </w:numPr>
        <w:spacing w:before="240" w:line="276" w:lineRule="auto"/>
        <w:jc w:val="both"/>
      </w:pPr>
      <w:r>
        <w:t>High levels of abuse and neglect of children</w:t>
      </w:r>
    </w:p>
    <w:p w:rsidR="00CA7A38" w:rsidRDefault="00CA7A38">
      <w:pPr>
        <w:pStyle w:val="ListParagraph"/>
        <w:numPr>
          <w:ilvl w:val="0"/>
          <w:numId w:val="49"/>
        </w:numPr>
        <w:spacing w:before="240" w:line="276" w:lineRule="auto"/>
        <w:jc w:val="both"/>
      </w:pPr>
      <w:r w:rsidRPr="00D8029B">
        <w:t xml:space="preserve">Increasing numbers of youth coming into conflict with the law </w:t>
      </w:r>
      <w:r>
        <w:t>who are often responded to in inconsistent and/or unregulated ways a</w:t>
      </w:r>
      <w:r w:rsidRPr="00D8029B">
        <w:t>s well as the impact of weak diversionary a</w:t>
      </w:r>
      <w:r>
        <w:t>nd rehabilitative opportunities</w:t>
      </w:r>
    </w:p>
    <w:p w:rsidR="00CA7A38" w:rsidRDefault="00CA7A38">
      <w:pPr>
        <w:pStyle w:val="ListParagraph"/>
        <w:numPr>
          <w:ilvl w:val="0"/>
          <w:numId w:val="49"/>
        </w:numPr>
        <w:spacing w:before="240" w:line="276" w:lineRule="auto"/>
        <w:jc w:val="both"/>
      </w:pPr>
      <w:r w:rsidRPr="00D8029B">
        <w:t xml:space="preserve">Limited community confidence in the effectiveness of </w:t>
      </w:r>
      <w:r>
        <w:t xml:space="preserve">the VPF and </w:t>
      </w:r>
      <w:r w:rsidRPr="00D8029B">
        <w:t>just</w:t>
      </w:r>
      <w:r>
        <w:t>ice institutions</w:t>
      </w:r>
    </w:p>
    <w:p w:rsidR="00CA7A38" w:rsidRDefault="00CA7A38">
      <w:pPr>
        <w:pStyle w:val="ListParagraph"/>
        <w:numPr>
          <w:ilvl w:val="0"/>
          <w:numId w:val="49"/>
        </w:numPr>
        <w:spacing w:before="240" w:line="276" w:lineRule="auto"/>
        <w:jc w:val="both"/>
      </w:pPr>
      <w:r>
        <w:t>There is currently no law society to fulfil the role of regulating the legal profession or providing continuing legal education</w:t>
      </w:r>
    </w:p>
    <w:p w:rsidR="00CA7A38" w:rsidRPr="00D8029B" w:rsidRDefault="00CA7A38" w:rsidP="00E70031">
      <w:pPr>
        <w:pStyle w:val="ListParagraph"/>
        <w:numPr>
          <w:ilvl w:val="0"/>
          <w:numId w:val="49"/>
        </w:numPr>
        <w:spacing w:before="240" w:line="276" w:lineRule="auto"/>
        <w:jc w:val="both"/>
      </w:pPr>
      <w:r w:rsidRPr="00D8029B">
        <w:t>Limited and ad hoc collaboration between stakeholders within the sector, both government and non-government, which has an impact on service delivery in a resource constrained en</w:t>
      </w:r>
      <w:r>
        <w:t>vironment</w:t>
      </w:r>
    </w:p>
    <w:p w:rsidR="00CA7A38" w:rsidRPr="00D8029B" w:rsidRDefault="00CA7A38" w:rsidP="00E70031">
      <w:pPr>
        <w:pStyle w:val="ListParagraph"/>
        <w:numPr>
          <w:ilvl w:val="0"/>
          <w:numId w:val="49"/>
        </w:numPr>
        <w:spacing w:before="240" w:line="276" w:lineRule="auto"/>
        <w:jc w:val="both"/>
      </w:pPr>
      <w:r w:rsidRPr="00D8029B">
        <w:t>Limited use of evidence to inform policy development, management, planning, financial planning and resour</w:t>
      </w:r>
      <w:r>
        <w:t>ce allocation within the sector</w:t>
      </w:r>
    </w:p>
    <w:p w:rsidR="00CA7A38" w:rsidRDefault="00CA7A38" w:rsidP="00E70031">
      <w:pPr>
        <w:pStyle w:val="ListParagraph"/>
        <w:numPr>
          <w:ilvl w:val="0"/>
          <w:numId w:val="49"/>
        </w:numPr>
        <w:spacing w:before="240" w:line="276" w:lineRule="auto"/>
        <w:jc w:val="both"/>
      </w:pPr>
      <w:r w:rsidRPr="00D8029B">
        <w:t xml:space="preserve">GoV budget allocations to the sector are insufficient to meet needs, reflecting a competitive resource environment, limited GoV base revenue available for allocation to the sector, and </w:t>
      </w:r>
      <w:r>
        <w:t xml:space="preserve">the relative </w:t>
      </w:r>
      <w:r w:rsidRPr="00D8029B">
        <w:t>position of the secto</w:t>
      </w:r>
      <w:r>
        <w:t>r in GoV development priorities</w:t>
      </w:r>
    </w:p>
    <w:p w:rsidR="00CA7A38" w:rsidRDefault="00CA7A38" w:rsidP="00E70031">
      <w:pPr>
        <w:pStyle w:val="ListParagraph"/>
        <w:numPr>
          <w:ilvl w:val="0"/>
          <w:numId w:val="49"/>
        </w:numPr>
        <w:spacing w:before="240" w:line="276" w:lineRule="auto"/>
        <w:jc w:val="both"/>
      </w:pPr>
      <w:r>
        <w:t>High-level (political) corruption that impacts on access to justice</w:t>
      </w:r>
      <w:r>
        <w:rPr>
          <w:rStyle w:val="FootnoteReference"/>
        </w:rPr>
        <w:footnoteReference w:id="17"/>
      </w:r>
    </w:p>
    <w:p w:rsidR="00CA7A38" w:rsidRDefault="00CA7A38" w:rsidP="00E70031">
      <w:pPr>
        <w:spacing w:before="240" w:line="276" w:lineRule="auto"/>
        <w:jc w:val="both"/>
      </w:pPr>
      <w:r w:rsidRPr="00D8029B">
        <w:t>The following an</w:t>
      </w:r>
      <w:r>
        <w:t>alysis expands on some of these points and also introduces some additional challenges as well as opportunities for the sector:</w:t>
      </w:r>
    </w:p>
    <w:p w:rsidR="00CA7A38" w:rsidRDefault="00CA7A38" w:rsidP="00E70031">
      <w:pPr>
        <w:spacing w:before="240" w:line="276" w:lineRule="auto"/>
        <w:jc w:val="both"/>
      </w:pPr>
      <w:r>
        <w:rPr>
          <w:b/>
        </w:rPr>
        <w:t>Service delivery capacity of sector institutions requires strengthening</w:t>
      </w:r>
      <w:r w:rsidRPr="00C2191B">
        <w:rPr>
          <w:b/>
        </w:rPr>
        <w:t>:</w:t>
      </w:r>
      <w:r w:rsidRPr="00C2191B">
        <w:t xml:space="preserve"> </w:t>
      </w:r>
      <w:r w:rsidRPr="00A90876">
        <w:t xml:space="preserve">Capacity limitations </w:t>
      </w:r>
      <w:r>
        <w:t xml:space="preserve">hinder </w:t>
      </w:r>
      <w:r w:rsidRPr="00A90876">
        <w:t xml:space="preserve">the effective functioning of </w:t>
      </w:r>
      <w:r>
        <w:t>the sector</w:t>
      </w:r>
      <w:r w:rsidRPr="00B76F89">
        <w:t xml:space="preserve">.  Certainly technical legal and policing skills </w:t>
      </w:r>
      <w:r>
        <w:t>are improving,</w:t>
      </w:r>
      <w:r w:rsidRPr="00B76F89">
        <w:t xml:space="preserve"> for example, in PSO the overall quality of leg</w:t>
      </w:r>
      <w:r>
        <w:t xml:space="preserve">al representation </w:t>
      </w:r>
      <w:r w:rsidRPr="00B76F89">
        <w:t xml:space="preserve">has improved </w:t>
      </w:r>
      <w:r>
        <w:t xml:space="preserve">due to </w:t>
      </w:r>
      <w:r w:rsidRPr="00B76F89">
        <w:t>enhanced skills of PSO lawyers.</w:t>
      </w:r>
      <w:r w:rsidRPr="00B76F89">
        <w:rPr>
          <w:rStyle w:val="FootnoteReference"/>
        </w:rPr>
        <w:footnoteReference w:id="18"/>
      </w:r>
      <w:r w:rsidRPr="00B76F89">
        <w:t xml:space="preserve">  This is demonstrated by the following: from January to early December 2015, the office represented 253 criminal </w:t>
      </w:r>
      <w:r w:rsidRPr="009F7A47">
        <w:t xml:space="preserve">clients and provided advice and representation to 513 civil clients.  One third of civil clients were female.  By comparison, in 2014, the office represented 221 criminal clients and 466 civil clients.  Only one quarter of civil clients in 2014 </w:t>
      </w:r>
      <w:proofErr w:type="gramStart"/>
      <w:r w:rsidRPr="009F7A47">
        <w:t>were</w:t>
      </w:r>
      <w:proofErr w:type="gramEnd"/>
      <w:r w:rsidRPr="009F7A47">
        <w:t xml:space="preserve"> female.  This shows that in 2015 the PSO improved service delivery by helping more needy people and more women.</w:t>
      </w:r>
      <w:r w:rsidRPr="009F7A47">
        <w:rPr>
          <w:rStyle w:val="FootnoteReference"/>
        </w:rPr>
        <w:footnoteReference w:id="19"/>
      </w:r>
    </w:p>
    <w:p w:rsidR="00CA7A38" w:rsidRDefault="00CA7A38" w:rsidP="00E70031">
      <w:pPr>
        <w:spacing w:before="240" w:line="276" w:lineRule="auto"/>
        <w:jc w:val="both"/>
      </w:pPr>
      <w:r w:rsidRPr="009F7A47">
        <w:t xml:space="preserve">However, the pool of expertise across the sector remains shallow.  In particular, the limited ability of the public sector to retain lawyers undermines capacity development gains.  </w:t>
      </w:r>
      <w:r>
        <w:t>Also,</w:t>
      </w:r>
      <w:r w:rsidRPr="009F7A47">
        <w:t xml:space="preserve"> m</w:t>
      </w:r>
      <w:r>
        <w:t xml:space="preserve">ost </w:t>
      </w:r>
      <w:r w:rsidRPr="009F7A47">
        <w:t>magistrates are new graduates and so being relatively inexperienced have gaps in their legal knowledge.  Yet the judiciary should consist of the best lawyers in Vanuatu, those with superior and proven judgment skills and many years of professional experience.</w:t>
      </w:r>
      <w:r>
        <w:t xml:space="preserve">  </w:t>
      </w:r>
    </w:p>
    <w:p w:rsidR="00CA7A38" w:rsidRDefault="00CA7A38" w:rsidP="00E70031">
      <w:pPr>
        <w:spacing w:before="240" w:line="276" w:lineRule="auto"/>
        <w:jc w:val="both"/>
      </w:pPr>
      <w:r>
        <w:lastRenderedPageBreak/>
        <w:t>Further, t</w:t>
      </w:r>
      <w:r w:rsidRPr="009F7A47">
        <w:t>here is generally weak financial and human resource mana</w:t>
      </w:r>
      <w:r>
        <w:t xml:space="preserve">gement capacity, though this is </w:t>
      </w:r>
      <w:r w:rsidRPr="009F7A47">
        <w:t>improving</w:t>
      </w:r>
      <w:r>
        <w:t xml:space="preserve"> in some agencies</w:t>
      </w:r>
      <w:r w:rsidRPr="009F7A47">
        <w:t>.  Also, despite recent gains, coordinated case and data management remains in need of continued support.  In sum, the service delivery capacity of sector agencies requires further strengthening.  Weak capacity for service delivery risks resulting in low community confidence in the sector, an issue the VPF highlighted in the Strategic Plan: only 26% of adults have confidence in the VPF, while 40% are dissatisfied and 17% very dissatisfied.</w:t>
      </w:r>
      <w:r w:rsidRPr="009F7A47">
        <w:rPr>
          <w:rStyle w:val="FootnoteReference"/>
        </w:rPr>
        <w:footnoteReference w:id="20"/>
      </w:r>
    </w:p>
    <w:p w:rsidR="00CA7A38" w:rsidRDefault="00CA7A38" w:rsidP="00E70031">
      <w:pPr>
        <w:spacing w:before="240" w:line="276" w:lineRule="auto"/>
        <w:jc w:val="both"/>
      </w:pPr>
      <w:r w:rsidRPr="009F7A47">
        <w:rPr>
          <w:b/>
          <w:lang w:val="en-US"/>
        </w:rPr>
        <w:t xml:space="preserve">Fluid and highly fragmented political system: </w:t>
      </w:r>
      <w:r w:rsidRPr="009F7A47">
        <w:rPr>
          <w:lang w:val="en-US"/>
        </w:rPr>
        <w:t xml:space="preserve">Vanuatu politics is marked by loose, fragile and shifting coalitions, which has led to frequent changes of government (22 since independence in 1980).  There have been frequent changes in leadership across the sector, with </w:t>
      </w:r>
      <w:r w:rsidRPr="009F7A47">
        <w:t xml:space="preserve">14 Ministers of Justice and Community Services and eight changes in Police Commissioner/Acting Police Commissioner since 2012.   This </w:t>
      </w:r>
      <w:r>
        <w:t xml:space="preserve">instability </w:t>
      </w:r>
      <w:r w:rsidRPr="009F7A47">
        <w:t xml:space="preserve">impacts on the sector through a lack of sustained leadership and vision. </w:t>
      </w:r>
    </w:p>
    <w:p w:rsidR="00CA7A38" w:rsidRDefault="00CA7A38" w:rsidP="00E70031">
      <w:pPr>
        <w:spacing w:before="240" w:line="276" w:lineRule="auto"/>
        <w:jc w:val="both"/>
      </w:pPr>
      <w:r w:rsidRPr="009F7A47">
        <w:rPr>
          <w:b/>
        </w:rPr>
        <w:t xml:space="preserve">Widely dispersed population, limited reach of the state outside the capital: </w:t>
      </w:r>
      <w:r w:rsidRPr="009F7A47">
        <w:t xml:space="preserve">70% of Vanuatu’s population lives in rural areas across 65 of the country’s more than 80 islands.  An </w:t>
      </w:r>
      <w:proofErr w:type="spellStart"/>
      <w:r w:rsidRPr="009F7A47">
        <w:t>AusAID</w:t>
      </w:r>
      <w:proofErr w:type="spellEnd"/>
      <w:r w:rsidRPr="009F7A47">
        <w:t>-commissioned study found that:</w:t>
      </w:r>
    </w:p>
    <w:p w:rsidR="00CA7A38" w:rsidRDefault="00CA7A38" w:rsidP="00E70031">
      <w:pPr>
        <w:autoSpaceDE w:val="0"/>
        <w:autoSpaceDN w:val="0"/>
        <w:adjustRightInd w:val="0"/>
        <w:spacing w:line="240" w:lineRule="auto"/>
        <w:ind w:left="720"/>
        <w:jc w:val="both"/>
        <w:rPr>
          <w:rFonts w:cs="Scala"/>
          <w:sz w:val="20"/>
          <w:szCs w:val="20"/>
        </w:rPr>
      </w:pPr>
      <w:r w:rsidRPr="009F7A47">
        <w:rPr>
          <w:rFonts w:cs="Scala"/>
          <w:sz w:val="20"/>
          <w:szCs w:val="20"/>
        </w:rPr>
        <w:t xml:space="preserve">The most obvious unfinished element of the </w:t>
      </w:r>
      <w:proofErr w:type="spellStart"/>
      <w:r w:rsidRPr="009F7A47">
        <w:rPr>
          <w:rFonts w:cs="Scala"/>
          <w:sz w:val="20"/>
          <w:szCs w:val="20"/>
        </w:rPr>
        <w:t>statebuilding</w:t>
      </w:r>
      <w:proofErr w:type="spellEnd"/>
      <w:r w:rsidRPr="009F7A47">
        <w:rPr>
          <w:rFonts w:cs="Scala"/>
          <w:sz w:val="20"/>
          <w:szCs w:val="20"/>
        </w:rPr>
        <w:t xml:space="preserve"> project in Vanuatu is the limited reach of the state outside the capital.  Apart from primary schools and first aid posts, most </w:t>
      </w:r>
      <w:proofErr w:type="spellStart"/>
      <w:r w:rsidRPr="009F7A47">
        <w:rPr>
          <w:rFonts w:cs="Scala"/>
          <w:sz w:val="20"/>
          <w:szCs w:val="20"/>
        </w:rPr>
        <w:t>ni</w:t>
      </w:r>
      <w:proofErr w:type="spellEnd"/>
      <w:r w:rsidRPr="009F7A47">
        <w:rPr>
          <w:rFonts w:cs="Scala"/>
          <w:sz w:val="20"/>
          <w:szCs w:val="20"/>
        </w:rPr>
        <w:t xml:space="preserve">-Vanuatu </w:t>
      </w:r>
      <w:proofErr w:type="gramStart"/>
      <w:r w:rsidRPr="009F7A47">
        <w:rPr>
          <w:rFonts w:cs="Scala"/>
          <w:sz w:val="20"/>
          <w:szCs w:val="20"/>
        </w:rPr>
        <w:t>have</w:t>
      </w:r>
      <w:proofErr w:type="gramEnd"/>
      <w:r w:rsidRPr="009F7A47">
        <w:rPr>
          <w:rFonts w:cs="Scala"/>
          <w:sz w:val="20"/>
          <w:szCs w:val="20"/>
        </w:rPr>
        <w:t xml:space="preserve"> little contact with the state.  The six provincial governments are under-resourced and largely unable to deliver services outside the provincial headquarters.  There is little coordination between the provincial administrations and central government departments.  The 63 Area Councils, the lowest formal level of government, have only a single employee each, and are active mainly in tax collection.  The provincial structure is commonly seen as artificial and ineffective.</w:t>
      </w:r>
      <w:r w:rsidRPr="009F7A47">
        <w:rPr>
          <w:rStyle w:val="FootnoteReference"/>
          <w:rFonts w:cs="Scala"/>
          <w:sz w:val="20"/>
          <w:szCs w:val="20"/>
        </w:rPr>
        <w:footnoteReference w:id="21"/>
      </w:r>
    </w:p>
    <w:p w:rsidR="00CA7A38" w:rsidRDefault="00CA7A38" w:rsidP="00E70031">
      <w:pPr>
        <w:spacing w:before="240" w:line="276" w:lineRule="auto"/>
        <w:jc w:val="both"/>
      </w:pPr>
      <w:r w:rsidRPr="009F7A47">
        <w:t xml:space="preserve">This reality poses a particular challenge for the delivery of policing, justice and community services.  There have, however, been some small but significant advances in how GoV provides resources and support to provincial offices.  For example, </w:t>
      </w:r>
      <w:proofErr w:type="spellStart"/>
      <w:r w:rsidRPr="009F7A47">
        <w:t>GoV’s</w:t>
      </w:r>
      <w:proofErr w:type="spellEnd"/>
      <w:r w:rsidRPr="009F7A47">
        <w:t xml:space="preserve"> Financial Service Bureaus provide an avenue for distribution of funds to provincial locations.  They could be an enabler for improved delivery of policing, justice and community services to provincial locations if they were used by sector agencies.</w:t>
      </w:r>
    </w:p>
    <w:p w:rsidR="00CA7A38" w:rsidRDefault="00CA7A38" w:rsidP="00E70031">
      <w:pPr>
        <w:spacing w:before="240" w:line="276" w:lineRule="auto"/>
        <w:jc w:val="both"/>
      </w:pPr>
      <w:r w:rsidRPr="009F7A47">
        <w:rPr>
          <w:b/>
        </w:rPr>
        <w:t xml:space="preserve">Limited access to justice: </w:t>
      </w:r>
      <w:r w:rsidRPr="009F7A47">
        <w:t xml:space="preserve">Access to state policing and justice services is limited in all provincial locations, and particularly for vulnerable groups.  Geographic remoteness, the high cost of service delivery combined with low levels of funding to sector agencies, and weak service delivery capacity of sector agencies impact on the effectiveness and efficiency of service delivery.  This is not to say that no services are provided: despite these challenges, many individuals are finding creative ways to deliver services.  For example, in </w:t>
      </w:r>
      <w:proofErr w:type="spellStart"/>
      <w:r w:rsidRPr="009F7A47">
        <w:t>Tanna</w:t>
      </w:r>
      <w:proofErr w:type="spellEnd"/>
      <w:r w:rsidRPr="009F7A47">
        <w:t xml:space="preserve"> a VPF Family Protection Unit officer works out of the Vanuatu Women’s Centre (VWC) after Cyclone Pam damaged police facilities; in </w:t>
      </w:r>
      <w:proofErr w:type="spellStart"/>
      <w:r w:rsidRPr="009F7A47">
        <w:t>Malekula</w:t>
      </w:r>
      <w:proofErr w:type="spellEnd"/>
      <w:r w:rsidRPr="009F7A47">
        <w:t xml:space="preserve"> a VPF officer is using trusted non-state networks to deliver summonses to isolated areas; and in Santo VPF Crime Prevention officers are partnering with civil society organisations, other donor funded programs and GoV departments to deliver community awareness sessions to outer islands.</w:t>
      </w:r>
    </w:p>
    <w:p w:rsidR="00CA7A38" w:rsidRDefault="00CA7A38" w:rsidP="00E70031">
      <w:pPr>
        <w:spacing w:before="240" w:line="276" w:lineRule="auto"/>
        <w:jc w:val="both"/>
      </w:pPr>
      <w:r>
        <w:t>W</w:t>
      </w:r>
      <w:r w:rsidRPr="009F7A47">
        <w:t xml:space="preserve">omen face additional barriers to accessing justice.  Lack of knowledge of their rights or of the justice system, dependence on male relatives for resources, and the threat of sanction or stigma are </w:t>
      </w:r>
      <w:r w:rsidRPr="009F7A47">
        <w:lastRenderedPageBreak/>
        <w:t xml:space="preserve">some of the social barriers that women face in accessing justice.  </w:t>
      </w:r>
      <w:r w:rsidRPr="009F7A47">
        <w:rPr>
          <w:rFonts w:cstheme="minorHAnsi"/>
          <w:color w:val="000000"/>
        </w:rPr>
        <w:t>A proxy indicator of this is the formally reported incidence of rape and gender based violence (thought to be as little as 2%),</w:t>
      </w:r>
      <w:r w:rsidRPr="009F7A47">
        <w:rPr>
          <w:rStyle w:val="FootnoteReference"/>
        </w:rPr>
        <w:footnoteReference w:id="22"/>
      </w:r>
      <w:r w:rsidRPr="009F7A47">
        <w:rPr>
          <w:rFonts w:cstheme="minorHAnsi"/>
          <w:color w:val="000000"/>
        </w:rPr>
        <w:t xml:space="preserve"> compared with the reported incidence in the National Survey conducted by VWC and the National Statistics Office (NSO).  This Survey found that 60% of women have experienced sexual or physical violence at the hands of male partners or husbands.</w:t>
      </w:r>
      <w:r w:rsidRPr="009F7A47">
        <w:rPr>
          <w:rStyle w:val="FootnoteReference"/>
          <w:rFonts w:cstheme="minorHAnsi"/>
          <w:color w:val="000000"/>
        </w:rPr>
        <w:footnoteReference w:id="23"/>
      </w:r>
      <w:r w:rsidRPr="009F7A47">
        <w:rPr>
          <w:rFonts w:cstheme="minorHAnsi"/>
          <w:color w:val="000000"/>
        </w:rPr>
        <w:t xml:space="preserve">  </w:t>
      </w:r>
    </w:p>
    <w:p w:rsidR="00CA7A38" w:rsidRDefault="00CA7A38" w:rsidP="00E70031">
      <w:pPr>
        <w:spacing w:before="240" w:line="276" w:lineRule="auto"/>
        <w:jc w:val="both"/>
      </w:pPr>
      <w:r w:rsidRPr="009F7A47">
        <w:rPr>
          <w:b/>
        </w:rPr>
        <w:t xml:space="preserve">High levels of violence against women and children (including sexual violence) and limited implementation of the </w:t>
      </w:r>
      <w:r w:rsidRPr="00BA1D75">
        <w:rPr>
          <w:b/>
          <w:i/>
        </w:rPr>
        <w:t>Family Protection Act</w:t>
      </w:r>
      <w:r>
        <w:rPr>
          <w:b/>
        </w:rPr>
        <w:t xml:space="preserve"> </w:t>
      </w:r>
      <w:r w:rsidRPr="00BA1D75">
        <w:rPr>
          <w:b/>
          <w:i/>
        </w:rPr>
        <w:t>2008</w:t>
      </w:r>
      <w:r w:rsidRPr="009F7A47">
        <w:rPr>
          <w:b/>
        </w:rPr>
        <w:t xml:space="preserve">: </w:t>
      </w:r>
      <w:r w:rsidRPr="009F7A47">
        <w:t>The above-mentioned National Survey found that close to 30% of women have been sexua</w:t>
      </w:r>
      <w:r>
        <w:t>lly abused before the age of 15 —</w:t>
      </w:r>
      <w:r w:rsidRPr="009F7A47">
        <w:t xml:space="preserve"> the majority of perpetrators male family members and boyfriends.</w:t>
      </w:r>
      <w:r w:rsidRPr="009F7A47">
        <w:rPr>
          <w:rStyle w:val="FootnoteReference"/>
        </w:rPr>
        <w:footnoteReference w:id="24"/>
      </w:r>
      <w:r w:rsidRPr="009F7A47">
        <w:t xml:space="preserve">  Also, an </w:t>
      </w:r>
      <w:proofErr w:type="spellStart"/>
      <w:r w:rsidRPr="009F7A47">
        <w:t>AusAID</w:t>
      </w:r>
      <w:proofErr w:type="spellEnd"/>
      <w:r w:rsidRPr="009F7A47">
        <w:t xml:space="preserve"> study found that ‘violence against women is severe and pervasive in Melanesia’ and a ‘major barrier to development’.</w:t>
      </w:r>
      <w:r w:rsidRPr="009F7A47">
        <w:rPr>
          <w:rStyle w:val="FootnoteReference"/>
        </w:rPr>
        <w:footnoteReference w:id="25"/>
      </w:r>
      <w:r w:rsidRPr="009F7A47">
        <w:t xml:space="preserve"> </w:t>
      </w:r>
    </w:p>
    <w:p w:rsidR="00CA7A38" w:rsidRDefault="00CA7A38" w:rsidP="00E70031">
      <w:pPr>
        <w:spacing w:before="240" w:line="276" w:lineRule="auto"/>
        <w:jc w:val="both"/>
      </w:pPr>
      <w:r w:rsidRPr="009F7A47">
        <w:t xml:space="preserve">Rural women experience more of every type of violence than urban women in Vanuatu.  The above-mentioned VWC study identified </w:t>
      </w:r>
      <w:proofErr w:type="spellStart"/>
      <w:r w:rsidRPr="009F7A47">
        <w:t>Malampa</w:t>
      </w:r>
      <w:proofErr w:type="spellEnd"/>
      <w:r w:rsidRPr="009F7A47">
        <w:t xml:space="preserve"> and </w:t>
      </w:r>
      <w:proofErr w:type="spellStart"/>
      <w:r w:rsidRPr="009F7A47">
        <w:t>Sanma</w:t>
      </w:r>
      <w:proofErr w:type="spellEnd"/>
      <w:r w:rsidRPr="009F7A47">
        <w:t xml:space="preserve"> as the two provinces with the highest prevalence of violence.  In </w:t>
      </w:r>
      <w:proofErr w:type="spellStart"/>
      <w:r w:rsidRPr="009F7A47">
        <w:t>Malampa</w:t>
      </w:r>
      <w:proofErr w:type="spellEnd"/>
      <w:r w:rsidRPr="009F7A47">
        <w:t>, as many as 75% of women experience physical and/or sexual violence and 80% experience emotional violence.  Of this percentage figure, 90% of women experienced severe violence (being punched, kicked, dragged or beaten repeatedly, choked, burned or hit with a weapon such as a piece of wood, iron bar, knife or axe).</w:t>
      </w:r>
      <w:r w:rsidRPr="009F7A47">
        <w:rPr>
          <w:rStyle w:val="FootnoteReference"/>
        </w:rPr>
        <w:footnoteReference w:id="26"/>
      </w:r>
      <w:r w:rsidRPr="009F7A47">
        <w:t xml:space="preserve">  In 2011, DCS identified that 70% of offences in Vanuatu are of a serious sexual nature, with 70% of these offences committed against victims aged between 11 and 16.</w:t>
      </w:r>
      <w:r w:rsidRPr="009F7A47">
        <w:rPr>
          <w:rStyle w:val="FootnoteReference"/>
        </w:rPr>
        <w:footnoteReference w:id="27"/>
      </w:r>
    </w:p>
    <w:p w:rsidR="00CA7A38" w:rsidRDefault="00CA7A38" w:rsidP="00E70031">
      <w:pPr>
        <w:spacing w:before="240" w:line="276" w:lineRule="auto"/>
        <w:jc w:val="both"/>
      </w:pPr>
      <w:r w:rsidRPr="009F7A47">
        <w:t xml:space="preserve">While Vanuatu led the Pacific in introducing stand-alone legislation on family violence through the </w:t>
      </w:r>
      <w:r w:rsidRPr="009F7A47">
        <w:rPr>
          <w:i/>
        </w:rPr>
        <w:t>Family Protection Act 2008</w:t>
      </w:r>
      <w:r>
        <w:rPr>
          <w:i/>
        </w:rPr>
        <w:t xml:space="preserve"> </w:t>
      </w:r>
      <w:r>
        <w:t>(FPA)</w:t>
      </w:r>
      <w:r w:rsidRPr="009F7A47">
        <w:t xml:space="preserve">, </w:t>
      </w:r>
      <w:r>
        <w:t>it</w:t>
      </w:r>
      <w:r w:rsidRPr="009F7A47">
        <w:t xml:space="preserve"> has not been adequately implemented or enforced.  Despite </w:t>
      </w:r>
      <w:r>
        <w:t xml:space="preserve">the </w:t>
      </w:r>
      <w:r w:rsidRPr="009F7A47">
        <w:t xml:space="preserve">existence of legislation that criminalises domestic </w:t>
      </w:r>
      <w:proofErr w:type="gramStart"/>
      <w:r w:rsidRPr="009F7A47">
        <w:t>violence,</w:t>
      </w:r>
      <w:proofErr w:type="gramEnd"/>
      <w:r w:rsidRPr="009F7A47">
        <w:t xml:space="preserve"> most cases of domestic </w:t>
      </w:r>
      <w:r>
        <w:t xml:space="preserve">violence are </w:t>
      </w:r>
      <w:r w:rsidRPr="009F7A47">
        <w:t xml:space="preserve">addressed through </w:t>
      </w:r>
      <w:proofErr w:type="spellStart"/>
      <w:r w:rsidRPr="009F7A47">
        <w:t>kastom</w:t>
      </w:r>
      <w:proofErr w:type="spellEnd"/>
      <w:r w:rsidRPr="009F7A47">
        <w:t xml:space="preserve"> at the community level, if at all.  Empirical research has found that very few cases of violence against women are brought through the state justice system.</w:t>
      </w:r>
      <w:r w:rsidRPr="009F7A47">
        <w:rPr>
          <w:rStyle w:val="FootnoteReference"/>
        </w:rPr>
        <w:footnoteReference w:id="28"/>
      </w:r>
      <w:r w:rsidRPr="009F7A47">
        <w:t xml:space="preserve">  </w:t>
      </w:r>
    </w:p>
    <w:p w:rsidR="00CA7A38" w:rsidRDefault="00CA7A38" w:rsidP="00E70031">
      <w:pPr>
        <w:spacing w:before="240" w:line="276" w:lineRule="auto"/>
        <w:jc w:val="both"/>
      </w:pPr>
      <w:proofErr w:type="spellStart"/>
      <w:r w:rsidRPr="009F7A47">
        <w:rPr>
          <w:rFonts w:ascii="Calibri" w:hAnsi="Calibri" w:cs="Calibri"/>
          <w:b/>
          <w:bCs/>
          <w:i/>
          <w:iCs/>
          <w:color w:val="000000"/>
        </w:rPr>
        <w:t>Kastom</w:t>
      </w:r>
      <w:proofErr w:type="spellEnd"/>
      <w:r w:rsidRPr="009F7A47">
        <w:rPr>
          <w:rFonts w:ascii="Calibri" w:hAnsi="Calibri" w:cs="Calibri"/>
          <w:b/>
          <w:bCs/>
          <w:iCs/>
          <w:color w:val="000000"/>
        </w:rPr>
        <w:t xml:space="preserve"> is the first resort legal system for most people in Vanuatu: </w:t>
      </w:r>
      <w:proofErr w:type="spellStart"/>
      <w:r w:rsidRPr="009F7A47">
        <w:rPr>
          <w:rFonts w:ascii="Calibri" w:hAnsi="Calibri" w:cs="Calibri"/>
          <w:i/>
          <w:iCs/>
          <w:color w:val="000000"/>
        </w:rPr>
        <w:t>Kastom</w:t>
      </w:r>
      <w:proofErr w:type="spellEnd"/>
      <w:r w:rsidRPr="009F7A47">
        <w:rPr>
          <w:rFonts w:ascii="Calibri" w:hAnsi="Calibri" w:cs="Calibri"/>
          <w:i/>
          <w:iCs/>
          <w:color w:val="000000"/>
        </w:rPr>
        <w:t xml:space="preserve"> </w:t>
      </w:r>
      <w:r w:rsidRPr="009F7A47">
        <w:rPr>
          <w:rFonts w:ascii="Calibri" w:hAnsi="Calibri" w:cs="Calibri"/>
          <w:iCs/>
          <w:color w:val="000000"/>
        </w:rPr>
        <w:t xml:space="preserve">and chiefs </w:t>
      </w:r>
      <w:r w:rsidRPr="009F7A47">
        <w:rPr>
          <w:rFonts w:ascii="Calibri" w:hAnsi="Calibri" w:cs="Calibri"/>
          <w:color w:val="000000"/>
        </w:rPr>
        <w:t xml:space="preserve">have a major role in community governance and dispute resolution, and in the delivery of justice for most people.  While improvements in state policing and justice are evident and ongoing, the reach of the state </w:t>
      </w:r>
      <w:r>
        <w:rPr>
          <w:rFonts w:ascii="Calibri" w:hAnsi="Calibri" w:cs="Calibri"/>
          <w:color w:val="000000"/>
        </w:rPr>
        <w:t>is limited.  And e</w:t>
      </w:r>
      <w:r w:rsidRPr="009F7A47">
        <w:rPr>
          <w:rFonts w:ascii="Calibri" w:hAnsi="Calibri" w:cs="Calibri"/>
          <w:color w:val="000000"/>
        </w:rPr>
        <w:t xml:space="preserve">ven where the state system is available, in many cases and particularly outside of urban centres, people choose </w:t>
      </w:r>
      <w:proofErr w:type="spellStart"/>
      <w:r w:rsidRPr="009F7A47">
        <w:rPr>
          <w:rFonts w:ascii="Calibri" w:hAnsi="Calibri" w:cs="Calibri"/>
          <w:i/>
          <w:iCs/>
          <w:color w:val="000000"/>
        </w:rPr>
        <w:t>kastom</w:t>
      </w:r>
      <w:proofErr w:type="spellEnd"/>
      <w:r w:rsidRPr="009F7A47">
        <w:rPr>
          <w:rFonts w:ascii="Calibri" w:hAnsi="Calibri" w:cs="Calibri"/>
          <w:i/>
          <w:iCs/>
          <w:color w:val="000000"/>
        </w:rPr>
        <w:t xml:space="preserve"> </w:t>
      </w:r>
      <w:r w:rsidRPr="009F7A47">
        <w:rPr>
          <w:rFonts w:ascii="Calibri" w:hAnsi="Calibri" w:cs="Calibri"/>
          <w:color w:val="000000"/>
        </w:rPr>
        <w:t>as their first point of access to justice.</w:t>
      </w:r>
      <w:r w:rsidRPr="009F7A47">
        <w:rPr>
          <w:rStyle w:val="FootnoteReference"/>
          <w:rFonts w:ascii="Calibri" w:hAnsi="Calibri" w:cs="Calibri"/>
          <w:color w:val="000000"/>
        </w:rPr>
        <w:footnoteReference w:id="29"/>
      </w:r>
      <w:r w:rsidRPr="009F7A47">
        <w:rPr>
          <w:rFonts w:ascii="Calibri" w:hAnsi="Calibri" w:cs="Calibri"/>
          <w:color w:val="000000"/>
        </w:rPr>
        <w:t xml:space="preserve">  Yet </w:t>
      </w:r>
      <w:proofErr w:type="spellStart"/>
      <w:r w:rsidRPr="009F7A47">
        <w:rPr>
          <w:rFonts w:ascii="Calibri" w:hAnsi="Calibri" w:cs="Calibri"/>
          <w:i/>
          <w:color w:val="000000"/>
        </w:rPr>
        <w:t>kastom</w:t>
      </w:r>
      <w:proofErr w:type="spellEnd"/>
      <w:r w:rsidRPr="009F7A47">
        <w:rPr>
          <w:rFonts w:ascii="Calibri" w:hAnsi="Calibri" w:cs="Calibri"/>
          <w:i/>
          <w:color w:val="000000"/>
        </w:rPr>
        <w:t>,</w:t>
      </w:r>
      <w:r w:rsidRPr="009F7A47">
        <w:rPr>
          <w:rFonts w:ascii="Calibri" w:hAnsi="Calibri" w:cs="Calibri"/>
          <w:color w:val="000000"/>
        </w:rPr>
        <w:t xml:space="preserve"> especially in its response to domestic violence, can be at odds with the law and human rights.</w:t>
      </w:r>
      <w:r w:rsidRPr="009F7A47">
        <w:rPr>
          <w:rStyle w:val="FootnoteReference"/>
          <w:rFonts w:ascii="Calibri" w:hAnsi="Calibri" w:cs="Calibri"/>
          <w:bCs/>
          <w:iCs/>
          <w:color w:val="000000"/>
        </w:rPr>
        <w:footnoteReference w:id="30"/>
      </w:r>
      <w:r w:rsidRPr="009F7A47">
        <w:rPr>
          <w:rFonts w:ascii="Calibri" w:hAnsi="Calibri" w:cs="Calibri"/>
          <w:color w:val="000000"/>
        </w:rPr>
        <w:t xml:space="preserve">  </w:t>
      </w:r>
    </w:p>
    <w:p w:rsidR="00CA7A38" w:rsidRDefault="00CA7A38" w:rsidP="00E70031">
      <w:pPr>
        <w:spacing w:before="240" w:line="276" w:lineRule="auto"/>
        <w:jc w:val="both"/>
        <w:rPr>
          <w:rFonts w:ascii="Calibri" w:hAnsi="Calibri" w:cs="Calibri"/>
          <w:color w:val="000000"/>
        </w:rPr>
      </w:pPr>
      <w:r>
        <w:rPr>
          <w:rFonts w:ascii="Calibri" w:hAnsi="Calibri" w:cs="Calibri"/>
          <w:color w:val="000000"/>
        </w:rPr>
        <w:lastRenderedPageBreak/>
        <w:t>S</w:t>
      </w:r>
      <w:r w:rsidRPr="009F7A47">
        <w:rPr>
          <w:rFonts w:ascii="Calibri" w:hAnsi="Calibri" w:cs="Calibri"/>
          <w:color w:val="000000"/>
        </w:rPr>
        <w:t>trengths, wea</w:t>
      </w:r>
      <w:r>
        <w:rPr>
          <w:rFonts w:ascii="Calibri" w:hAnsi="Calibri" w:cs="Calibri"/>
          <w:color w:val="000000"/>
        </w:rPr>
        <w:t xml:space="preserve">knesses and interactions of the </w:t>
      </w:r>
      <w:r w:rsidRPr="009F7A47">
        <w:rPr>
          <w:rFonts w:ascii="Calibri" w:hAnsi="Calibri" w:cs="Calibri"/>
          <w:color w:val="000000"/>
        </w:rPr>
        <w:t xml:space="preserve">state and non-state </w:t>
      </w:r>
      <w:r>
        <w:rPr>
          <w:rFonts w:ascii="Calibri" w:hAnsi="Calibri" w:cs="Calibri"/>
          <w:color w:val="000000"/>
        </w:rPr>
        <w:t xml:space="preserve">justice </w:t>
      </w:r>
      <w:r w:rsidRPr="009F7A47">
        <w:rPr>
          <w:rFonts w:ascii="Calibri" w:hAnsi="Calibri" w:cs="Calibri"/>
          <w:color w:val="000000"/>
        </w:rPr>
        <w:t xml:space="preserve">systems </w:t>
      </w:r>
      <w:r>
        <w:rPr>
          <w:rFonts w:ascii="Calibri" w:hAnsi="Calibri" w:cs="Calibri"/>
          <w:color w:val="000000"/>
        </w:rPr>
        <w:t xml:space="preserve">have been described </w:t>
      </w:r>
      <w:r w:rsidRPr="009F7A47">
        <w:rPr>
          <w:rFonts w:ascii="Calibri" w:hAnsi="Calibri" w:cs="Calibri"/>
          <w:color w:val="000000"/>
        </w:rPr>
        <w:t xml:space="preserve">as follows: </w:t>
      </w:r>
    </w:p>
    <w:p w:rsidR="00CA7A38" w:rsidRPr="009F7A47" w:rsidRDefault="00CA7A38" w:rsidP="00E70031">
      <w:pPr>
        <w:pStyle w:val="ListParagraph"/>
        <w:numPr>
          <w:ilvl w:val="0"/>
          <w:numId w:val="48"/>
        </w:numPr>
        <w:autoSpaceDE w:val="0"/>
        <w:autoSpaceDN w:val="0"/>
        <w:adjustRightInd w:val="0"/>
        <w:spacing w:after="116" w:line="276" w:lineRule="auto"/>
        <w:jc w:val="both"/>
        <w:rPr>
          <w:rFonts w:ascii="Calibri" w:hAnsi="Calibri" w:cs="Calibri"/>
          <w:color w:val="000000"/>
        </w:rPr>
      </w:pPr>
      <w:r w:rsidRPr="009F7A47">
        <w:rPr>
          <w:rFonts w:ascii="Calibri" w:hAnsi="Calibri" w:cs="Calibri"/>
          <w:color w:val="000000"/>
        </w:rPr>
        <w:t xml:space="preserve">The </w:t>
      </w:r>
      <w:proofErr w:type="spellStart"/>
      <w:r w:rsidRPr="009F7A47">
        <w:rPr>
          <w:rFonts w:ascii="Calibri" w:hAnsi="Calibri" w:cs="Calibri"/>
          <w:i/>
          <w:iCs/>
          <w:color w:val="000000"/>
        </w:rPr>
        <w:t>kastom</w:t>
      </w:r>
      <w:proofErr w:type="spellEnd"/>
      <w:r w:rsidRPr="009F7A47">
        <w:rPr>
          <w:rFonts w:ascii="Calibri" w:hAnsi="Calibri" w:cs="Calibri"/>
          <w:i/>
          <w:iCs/>
          <w:color w:val="000000"/>
        </w:rPr>
        <w:t xml:space="preserve"> </w:t>
      </w:r>
      <w:r w:rsidRPr="009F7A47">
        <w:rPr>
          <w:rFonts w:ascii="Calibri" w:hAnsi="Calibri" w:cs="Calibri"/>
          <w:color w:val="000000"/>
        </w:rPr>
        <w:t xml:space="preserve">system </w:t>
      </w:r>
      <w:r>
        <w:rPr>
          <w:rFonts w:ascii="Calibri" w:hAnsi="Calibri" w:cs="Calibri"/>
          <w:color w:val="000000"/>
        </w:rPr>
        <w:t>manages</w:t>
      </w:r>
      <w:r w:rsidRPr="009F7A47">
        <w:rPr>
          <w:rFonts w:ascii="Calibri" w:hAnsi="Calibri" w:cs="Calibri"/>
          <w:color w:val="000000"/>
        </w:rPr>
        <w:t xml:space="preserve"> a large </w:t>
      </w:r>
      <w:r>
        <w:rPr>
          <w:rFonts w:ascii="Calibri" w:hAnsi="Calibri" w:cs="Calibri"/>
          <w:color w:val="000000"/>
        </w:rPr>
        <w:t xml:space="preserve">proportion </w:t>
      </w:r>
      <w:r w:rsidRPr="009F7A47">
        <w:rPr>
          <w:rFonts w:ascii="Calibri" w:hAnsi="Calibri" w:cs="Calibri"/>
          <w:color w:val="000000"/>
        </w:rPr>
        <w:t xml:space="preserve">of disputes </w:t>
      </w:r>
    </w:p>
    <w:p w:rsidR="00CA7A38" w:rsidRPr="009F7A47" w:rsidRDefault="00CA7A38" w:rsidP="00E70031">
      <w:pPr>
        <w:pStyle w:val="ListParagraph"/>
        <w:numPr>
          <w:ilvl w:val="0"/>
          <w:numId w:val="48"/>
        </w:numPr>
        <w:autoSpaceDE w:val="0"/>
        <w:autoSpaceDN w:val="0"/>
        <w:adjustRightInd w:val="0"/>
        <w:spacing w:after="116" w:line="276" w:lineRule="auto"/>
        <w:jc w:val="both"/>
        <w:rPr>
          <w:rFonts w:ascii="Calibri" w:hAnsi="Calibri" w:cs="Calibri"/>
          <w:color w:val="000000"/>
        </w:rPr>
      </w:pPr>
      <w:r w:rsidRPr="009F7A47">
        <w:rPr>
          <w:rFonts w:ascii="Calibri" w:hAnsi="Calibri" w:cs="Calibri"/>
          <w:color w:val="000000"/>
        </w:rPr>
        <w:t xml:space="preserve">There is community support for the </w:t>
      </w:r>
      <w:proofErr w:type="spellStart"/>
      <w:r w:rsidRPr="009F7A47">
        <w:rPr>
          <w:rFonts w:ascii="Calibri" w:hAnsi="Calibri" w:cs="Calibri"/>
          <w:i/>
          <w:iCs/>
          <w:color w:val="000000"/>
        </w:rPr>
        <w:t>kastom</w:t>
      </w:r>
      <w:proofErr w:type="spellEnd"/>
      <w:r w:rsidRPr="009F7A47">
        <w:rPr>
          <w:rFonts w:ascii="Calibri" w:hAnsi="Calibri" w:cs="Calibri"/>
          <w:i/>
          <w:iCs/>
          <w:color w:val="000000"/>
        </w:rPr>
        <w:t xml:space="preserve"> </w:t>
      </w:r>
      <w:r w:rsidRPr="009F7A47">
        <w:rPr>
          <w:rFonts w:ascii="Calibri" w:hAnsi="Calibri" w:cs="Calibri"/>
          <w:color w:val="000000"/>
        </w:rPr>
        <w:t>system</w:t>
      </w:r>
      <w:r>
        <w:rPr>
          <w:rFonts w:ascii="Calibri" w:hAnsi="Calibri" w:cs="Calibri"/>
          <w:color w:val="000000"/>
        </w:rPr>
        <w:t>,</w:t>
      </w:r>
      <w:r>
        <w:rPr>
          <w:rStyle w:val="FootnoteReference"/>
          <w:rFonts w:ascii="Calibri" w:hAnsi="Calibri" w:cs="Calibri"/>
          <w:color w:val="000000"/>
        </w:rPr>
        <w:footnoteReference w:id="31"/>
      </w:r>
      <w:r>
        <w:rPr>
          <w:rFonts w:ascii="Calibri" w:hAnsi="Calibri" w:cs="Calibri"/>
          <w:color w:val="000000"/>
        </w:rPr>
        <w:t xml:space="preserve"> though if state justice were available it would be used more and in some instances is believed to be more appropriate than </w:t>
      </w:r>
      <w:proofErr w:type="spellStart"/>
      <w:r>
        <w:rPr>
          <w:rFonts w:ascii="Calibri" w:hAnsi="Calibri" w:cs="Calibri"/>
          <w:i/>
          <w:color w:val="000000"/>
        </w:rPr>
        <w:t>kastom</w:t>
      </w:r>
      <w:proofErr w:type="spellEnd"/>
      <w:r>
        <w:rPr>
          <w:rFonts w:ascii="Calibri" w:hAnsi="Calibri" w:cs="Calibri"/>
          <w:i/>
          <w:color w:val="000000"/>
        </w:rPr>
        <w:t xml:space="preserve">, </w:t>
      </w:r>
      <w:r>
        <w:rPr>
          <w:rFonts w:ascii="Calibri" w:hAnsi="Calibri" w:cs="Calibri"/>
          <w:color w:val="000000"/>
        </w:rPr>
        <w:t>for example, in land matters and for rape and incest</w:t>
      </w:r>
      <w:r>
        <w:rPr>
          <w:rStyle w:val="FootnoteReference"/>
          <w:rFonts w:ascii="Calibri" w:hAnsi="Calibri" w:cs="Calibri"/>
          <w:color w:val="000000"/>
        </w:rPr>
        <w:footnoteReference w:id="32"/>
      </w:r>
    </w:p>
    <w:p w:rsidR="00CA7A38" w:rsidRPr="009F7A47" w:rsidRDefault="00CA7A38" w:rsidP="00E70031">
      <w:pPr>
        <w:pStyle w:val="ListParagraph"/>
        <w:numPr>
          <w:ilvl w:val="0"/>
          <w:numId w:val="48"/>
        </w:numPr>
        <w:autoSpaceDE w:val="0"/>
        <w:autoSpaceDN w:val="0"/>
        <w:adjustRightInd w:val="0"/>
        <w:spacing w:after="116" w:line="276" w:lineRule="auto"/>
        <w:jc w:val="both"/>
        <w:rPr>
          <w:rFonts w:ascii="Calibri" w:hAnsi="Calibri" w:cs="Calibri"/>
          <w:color w:val="000000"/>
        </w:rPr>
      </w:pPr>
      <w:r w:rsidRPr="009F7A47">
        <w:rPr>
          <w:rFonts w:ascii="Calibri" w:hAnsi="Calibri" w:cs="Calibri"/>
          <w:color w:val="000000"/>
        </w:rPr>
        <w:t xml:space="preserve">The </w:t>
      </w:r>
      <w:proofErr w:type="spellStart"/>
      <w:r w:rsidRPr="009F7A47">
        <w:rPr>
          <w:rFonts w:ascii="Calibri" w:hAnsi="Calibri" w:cs="Calibri"/>
          <w:i/>
          <w:iCs/>
          <w:color w:val="000000"/>
        </w:rPr>
        <w:t>kastom</w:t>
      </w:r>
      <w:proofErr w:type="spellEnd"/>
      <w:r w:rsidRPr="009F7A47">
        <w:rPr>
          <w:rFonts w:ascii="Calibri" w:hAnsi="Calibri" w:cs="Calibri"/>
          <w:i/>
          <w:iCs/>
          <w:color w:val="000000"/>
        </w:rPr>
        <w:t xml:space="preserve"> </w:t>
      </w:r>
      <w:r w:rsidRPr="009F7A47">
        <w:rPr>
          <w:rFonts w:ascii="Calibri" w:hAnsi="Calibri" w:cs="Calibri"/>
          <w:color w:val="000000"/>
        </w:rPr>
        <w:t xml:space="preserve">system </w:t>
      </w:r>
      <w:r>
        <w:rPr>
          <w:rFonts w:ascii="Calibri" w:hAnsi="Calibri" w:cs="Calibri"/>
          <w:color w:val="000000"/>
        </w:rPr>
        <w:t xml:space="preserve">(like the state system) </w:t>
      </w:r>
      <w:r w:rsidRPr="009F7A47">
        <w:rPr>
          <w:rFonts w:ascii="Calibri" w:hAnsi="Calibri" w:cs="Calibri"/>
          <w:color w:val="000000"/>
        </w:rPr>
        <w:t xml:space="preserve">faces significant challenges in enforcing decisions </w:t>
      </w:r>
    </w:p>
    <w:p w:rsidR="00CA7A38" w:rsidRPr="009F7A47" w:rsidRDefault="00CA7A38" w:rsidP="00E70031">
      <w:pPr>
        <w:pStyle w:val="ListParagraph"/>
        <w:numPr>
          <w:ilvl w:val="0"/>
          <w:numId w:val="48"/>
        </w:numPr>
        <w:autoSpaceDE w:val="0"/>
        <w:autoSpaceDN w:val="0"/>
        <w:adjustRightInd w:val="0"/>
        <w:spacing w:after="116" w:line="276" w:lineRule="auto"/>
        <w:jc w:val="both"/>
        <w:rPr>
          <w:rFonts w:ascii="Calibri" w:hAnsi="Calibri" w:cs="Calibri"/>
          <w:color w:val="000000"/>
        </w:rPr>
      </w:pPr>
      <w:r>
        <w:rPr>
          <w:rFonts w:ascii="Calibri" w:hAnsi="Calibri" w:cs="Calibri"/>
          <w:color w:val="000000"/>
        </w:rPr>
        <w:t xml:space="preserve">The </w:t>
      </w:r>
      <w:proofErr w:type="spellStart"/>
      <w:r>
        <w:rPr>
          <w:rFonts w:ascii="Calibri" w:hAnsi="Calibri" w:cs="Calibri"/>
          <w:i/>
          <w:color w:val="000000"/>
        </w:rPr>
        <w:t>kastom</w:t>
      </w:r>
      <w:proofErr w:type="spellEnd"/>
      <w:r>
        <w:rPr>
          <w:rFonts w:ascii="Calibri" w:hAnsi="Calibri" w:cs="Calibri"/>
          <w:i/>
          <w:color w:val="000000"/>
        </w:rPr>
        <w:t xml:space="preserve"> </w:t>
      </w:r>
      <w:r>
        <w:rPr>
          <w:rFonts w:ascii="Calibri" w:hAnsi="Calibri" w:cs="Calibri"/>
          <w:color w:val="000000"/>
        </w:rPr>
        <w:t>system focus on ‘achieving community peace and harmony’ can result in the rights of victims being neglected and accordingly, is inappropriate for particular cases</w:t>
      </w:r>
      <w:r>
        <w:rPr>
          <w:rStyle w:val="FootnoteReference"/>
          <w:rFonts w:ascii="Calibri" w:hAnsi="Calibri" w:cs="Calibri"/>
          <w:color w:val="000000"/>
        </w:rPr>
        <w:footnoteReference w:id="33"/>
      </w:r>
    </w:p>
    <w:p w:rsidR="00CA7A38" w:rsidRPr="009F7A47" w:rsidRDefault="00CA7A38" w:rsidP="00E70031">
      <w:pPr>
        <w:pStyle w:val="ListParagraph"/>
        <w:numPr>
          <w:ilvl w:val="0"/>
          <w:numId w:val="48"/>
        </w:numPr>
        <w:autoSpaceDE w:val="0"/>
        <w:autoSpaceDN w:val="0"/>
        <w:adjustRightInd w:val="0"/>
        <w:spacing w:after="116" w:line="276" w:lineRule="auto"/>
        <w:jc w:val="both"/>
        <w:rPr>
          <w:rFonts w:ascii="Calibri" w:hAnsi="Calibri" w:cs="Calibri"/>
          <w:color w:val="000000"/>
        </w:rPr>
      </w:pPr>
      <w:r w:rsidRPr="009F7A47">
        <w:rPr>
          <w:rFonts w:ascii="Calibri" w:hAnsi="Calibri" w:cs="Calibri"/>
          <w:color w:val="000000"/>
        </w:rPr>
        <w:t xml:space="preserve">The </w:t>
      </w:r>
      <w:proofErr w:type="spellStart"/>
      <w:r w:rsidRPr="009F7A47">
        <w:rPr>
          <w:rFonts w:ascii="Calibri" w:hAnsi="Calibri" w:cs="Calibri"/>
          <w:i/>
          <w:iCs/>
          <w:color w:val="000000"/>
        </w:rPr>
        <w:t>kastom</w:t>
      </w:r>
      <w:proofErr w:type="spellEnd"/>
      <w:r w:rsidRPr="009F7A47">
        <w:rPr>
          <w:rFonts w:ascii="Calibri" w:hAnsi="Calibri" w:cs="Calibri"/>
          <w:i/>
          <w:iCs/>
          <w:color w:val="000000"/>
        </w:rPr>
        <w:t xml:space="preserve"> </w:t>
      </w:r>
      <w:r w:rsidRPr="009F7A47">
        <w:rPr>
          <w:rFonts w:ascii="Calibri" w:hAnsi="Calibri" w:cs="Calibri"/>
          <w:color w:val="000000"/>
        </w:rPr>
        <w:t>system has problems of chiefly bias, unenergetic chiefs, discrimination against women and children</w:t>
      </w:r>
      <w:r>
        <w:rPr>
          <w:rFonts w:ascii="Calibri" w:hAnsi="Calibri" w:cs="Calibri"/>
          <w:color w:val="000000"/>
        </w:rPr>
        <w:t xml:space="preserve">, and chiefly disputes.  These challenges </w:t>
      </w:r>
      <w:r w:rsidRPr="009F7A47">
        <w:rPr>
          <w:rFonts w:ascii="Calibri" w:hAnsi="Calibri" w:cs="Calibri"/>
          <w:color w:val="000000"/>
        </w:rPr>
        <w:t xml:space="preserve">affect the quality of justice </w:t>
      </w:r>
    </w:p>
    <w:p w:rsidR="00CA7A38" w:rsidRPr="009F7A47" w:rsidRDefault="00CA7A38" w:rsidP="00E70031">
      <w:pPr>
        <w:pStyle w:val="ListParagraph"/>
        <w:numPr>
          <w:ilvl w:val="0"/>
          <w:numId w:val="48"/>
        </w:numPr>
        <w:autoSpaceDE w:val="0"/>
        <w:autoSpaceDN w:val="0"/>
        <w:adjustRightInd w:val="0"/>
        <w:spacing w:after="116" w:line="276" w:lineRule="auto"/>
        <w:jc w:val="both"/>
        <w:rPr>
          <w:rFonts w:ascii="Calibri" w:hAnsi="Calibri" w:cs="Calibri"/>
          <w:color w:val="000000"/>
        </w:rPr>
      </w:pPr>
      <w:r w:rsidRPr="009F7A47">
        <w:rPr>
          <w:rFonts w:ascii="Calibri" w:hAnsi="Calibri" w:cs="Calibri"/>
          <w:color w:val="000000"/>
        </w:rPr>
        <w:t>Some chiefs are becoming increasingly frustrated by the demands the state places on them regarding maintenance of law and order in their communities and the denia</w:t>
      </w:r>
      <w:r>
        <w:rPr>
          <w:rFonts w:ascii="Calibri" w:hAnsi="Calibri" w:cs="Calibri"/>
          <w:color w:val="000000"/>
        </w:rPr>
        <w:t xml:space="preserve">l of any sort of state power to </w:t>
      </w:r>
      <w:r w:rsidRPr="009F7A47">
        <w:rPr>
          <w:rFonts w:ascii="Calibri" w:hAnsi="Calibri" w:cs="Calibri"/>
          <w:color w:val="000000"/>
        </w:rPr>
        <w:t xml:space="preserve">aid </w:t>
      </w:r>
      <w:r>
        <w:rPr>
          <w:rFonts w:ascii="Calibri" w:hAnsi="Calibri" w:cs="Calibri"/>
          <w:color w:val="000000"/>
        </w:rPr>
        <w:t xml:space="preserve">or </w:t>
      </w:r>
      <w:r w:rsidRPr="009F7A47">
        <w:rPr>
          <w:rFonts w:ascii="Calibri" w:hAnsi="Calibri" w:cs="Calibri"/>
          <w:color w:val="000000"/>
        </w:rPr>
        <w:t>assist them in carrying out their functions</w:t>
      </w:r>
      <w:r w:rsidRPr="009F7A47">
        <w:rPr>
          <w:rStyle w:val="FootnoteReference"/>
          <w:rFonts w:ascii="Calibri" w:hAnsi="Calibri" w:cs="Calibri"/>
          <w:color w:val="000000"/>
        </w:rPr>
        <w:footnoteReference w:id="34"/>
      </w:r>
      <w:r w:rsidRPr="009F7A47">
        <w:rPr>
          <w:rFonts w:ascii="Calibri" w:hAnsi="Calibri" w:cs="Calibri"/>
          <w:color w:val="000000"/>
        </w:rPr>
        <w:t xml:space="preserve"> </w:t>
      </w:r>
    </w:p>
    <w:p w:rsidR="00CA7A38" w:rsidRPr="009F7A47" w:rsidRDefault="00CA7A38" w:rsidP="00E70031">
      <w:pPr>
        <w:pStyle w:val="ListParagraph"/>
        <w:numPr>
          <w:ilvl w:val="0"/>
          <w:numId w:val="48"/>
        </w:numPr>
        <w:autoSpaceDE w:val="0"/>
        <w:autoSpaceDN w:val="0"/>
        <w:adjustRightInd w:val="0"/>
        <w:spacing w:after="116" w:line="276" w:lineRule="auto"/>
        <w:jc w:val="both"/>
        <w:rPr>
          <w:rFonts w:ascii="Calibri" w:hAnsi="Calibri" w:cs="Calibri"/>
          <w:color w:val="000000"/>
        </w:rPr>
      </w:pPr>
      <w:r w:rsidRPr="009F7A47">
        <w:rPr>
          <w:rFonts w:ascii="Calibri" w:hAnsi="Calibri" w:cs="Calibri"/>
          <w:color w:val="000000"/>
        </w:rPr>
        <w:t>There is support and strong demand for the state system and recognition of its legitimacy and that it has an important role to play, but frustration at its inadequacies</w:t>
      </w:r>
      <w:r w:rsidRPr="009F7A47">
        <w:rPr>
          <w:rStyle w:val="FootnoteReference"/>
          <w:rFonts w:ascii="Calibri" w:hAnsi="Calibri" w:cs="Calibri"/>
          <w:color w:val="000000"/>
        </w:rPr>
        <w:footnoteReference w:id="35"/>
      </w:r>
    </w:p>
    <w:p w:rsidR="00CA7A38" w:rsidRPr="00EB6B63" w:rsidRDefault="00CA7A38" w:rsidP="00E70031">
      <w:pPr>
        <w:pStyle w:val="ListParagraph"/>
        <w:numPr>
          <w:ilvl w:val="0"/>
          <w:numId w:val="48"/>
        </w:numPr>
        <w:autoSpaceDE w:val="0"/>
        <w:autoSpaceDN w:val="0"/>
        <w:adjustRightInd w:val="0"/>
        <w:spacing w:after="0" w:line="276" w:lineRule="auto"/>
        <w:jc w:val="both"/>
        <w:rPr>
          <w:rFonts w:ascii="Calibri" w:hAnsi="Calibri" w:cs="Calibri"/>
          <w:color w:val="000000"/>
        </w:rPr>
      </w:pPr>
      <w:r w:rsidRPr="009F7A47">
        <w:rPr>
          <w:rFonts w:ascii="Calibri" w:hAnsi="Calibri" w:cs="Calibri"/>
          <w:color w:val="000000"/>
        </w:rPr>
        <w:t>There is a need and demand for sector agencies to provide guidance and assistance to non-state justice actors in communities</w:t>
      </w:r>
      <w:r w:rsidRPr="009F7A47">
        <w:rPr>
          <w:rStyle w:val="FootnoteReference"/>
          <w:rFonts w:ascii="Calibri" w:hAnsi="Calibri" w:cs="Calibri"/>
          <w:color w:val="000000"/>
        </w:rPr>
        <w:footnoteReference w:id="36"/>
      </w:r>
      <w:r w:rsidRPr="009F7A47">
        <w:rPr>
          <w:rFonts w:ascii="Calibri" w:hAnsi="Calibri" w:cs="Calibri"/>
          <w:color w:val="000000"/>
        </w:rPr>
        <w:t xml:space="preserve"> </w:t>
      </w:r>
    </w:p>
    <w:p w:rsidR="00CA7A38" w:rsidRDefault="00CA7A38" w:rsidP="00E70031">
      <w:pPr>
        <w:spacing w:before="240" w:line="276" w:lineRule="auto"/>
        <w:jc w:val="both"/>
        <w:rPr>
          <w:rFonts w:ascii="Calibri" w:hAnsi="Calibri" w:cs="Calibri"/>
          <w:color w:val="000000"/>
        </w:rPr>
      </w:pPr>
      <w:r w:rsidRPr="00EB6B63">
        <w:rPr>
          <w:rFonts w:ascii="Calibri" w:hAnsi="Calibri" w:cs="Calibri"/>
          <w:color w:val="000000"/>
        </w:rPr>
        <w:t>This analysis is instructive for Australian assistance and serves as a rationale for SRBJS support.  In particular, evidence of community support and demand for increased access to the state policing and justice system provides a hook for program support to expand its reach to targeted locations.</w:t>
      </w:r>
    </w:p>
    <w:p w:rsidR="00CA7A38" w:rsidRDefault="00CA7A38" w:rsidP="00E70031">
      <w:pPr>
        <w:spacing w:before="240" w:line="276" w:lineRule="auto"/>
        <w:jc w:val="both"/>
        <w:rPr>
          <w:rFonts w:ascii="Calibri" w:hAnsi="Calibri" w:cs="Calibri"/>
          <w:color w:val="000000"/>
        </w:rPr>
      </w:pPr>
      <w:r w:rsidRPr="009F7A47">
        <w:rPr>
          <w:rFonts w:cstheme="minorHAnsi"/>
          <w:b/>
          <w:color w:val="000000"/>
        </w:rPr>
        <w:t xml:space="preserve">Women remain under-represented in policing and justice professions and there are substantial barriers to their professional participation: </w:t>
      </w:r>
      <w:r w:rsidRPr="009F7A47">
        <w:rPr>
          <w:bCs/>
        </w:rPr>
        <w:t>There are a number of barriers to women’s professional participation</w:t>
      </w:r>
      <w:r>
        <w:rPr>
          <w:bCs/>
        </w:rPr>
        <w:t xml:space="preserve"> at all levels</w:t>
      </w:r>
      <w:r w:rsidRPr="009F7A47">
        <w:rPr>
          <w:bCs/>
        </w:rPr>
        <w:t xml:space="preserve"> in the sector.  An independent evaluation of PJSPV’s support for enhanced professional participation of women in the VPF </w:t>
      </w:r>
      <w:r>
        <w:rPr>
          <w:bCs/>
        </w:rPr>
        <w:t xml:space="preserve">highlighted perceptions of significant, systemic </w:t>
      </w:r>
      <w:r w:rsidRPr="009F7A47">
        <w:rPr>
          <w:bCs/>
        </w:rPr>
        <w:t xml:space="preserve">obstacles: </w:t>
      </w:r>
      <w:r>
        <w:rPr>
          <w:bCs/>
        </w:rPr>
        <w:t xml:space="preserve">few </w:t>
      </w:r>
      <w:r w:rsidRPr="009F7A47">
        <w:rPr>
          <w:bCs/>
        </w:rPr>
        <w:t xml:space="preserve">promotions, minimal </w:t>
      </w:r>
      <w:r>
        <w:rPr>
          <w:bCs/>
        </w:rPr>
        <w:t>leadership or decision-</w:t>
      </w:r>
      <w:r w:rsidRPr="009F7A47">
        <w:rPr>
          <w:bCs/>
        </w:rPr>
        <w:t>making</w:t>
      </w:r>
      <w:r>
        <w:rPr>
          <w:bCs/>
        </w:rPr>
        <w:t xml:space="preserve"> roles</w:t>
      </w:r>
      <w:r w:rsidRPr="009F7A47">
        <w:rPr>
          <w:bCs/>
        </w:rPr>
        <w:t xml:space="preserve">, unequal access to training, </w:t>
      </w:r>
      <w:proofErr w:type="spellStart"/>
      <w:r w:rsidRPr="009F7A47">
        <w:rPr>
          <w:bCs/>
        </w:rPr>
        <w:t>kastom</w:t>
      </w:r>
      <w:proofErr w:type="spellEnd"/>
      <w:r w:rsidRPr="009F7A47">
        <w:rPr>
          <w:bCs/>
        </w:rPr>
        <w:t>/culture, the discriminatory mentality of some male counterparts, harassment, and low confidence.</w:t>
      </w:r>
      <w:r w:rsidRPr="009F7A47">
        <w:rPr>
          <w:rStyle w:val="FootnoteReference"/>
          <w:bCs/>
        </w:rPr>
        <w:footnoteReference w:id="37"/>
      </w:r>
      <w:r w:rsidRPr="009F7A47">
        <w:rPr>
          <w:bCs/>
        </w:rPr>
        <w:t xml:space="preserve">  </w:t>
      </w:r>
    </w:p>
    <w:p w:rsidR="00CA7A38" w:rsidRDefault="00CA7A38" w:rsidP="00E70031">
      <w:pPr>
        <w:spacing w:before="240" w:line="276" w:lineRule="auto"/>
        <w:jc w:val="both"/>
        <w:rPr>
          <w:rFonts w:ascii="Calibri" w:hAnsi="Calibri" w:cs="Calibri"/>
          <w:color w:val="000000"/>
        </w:rPr>
      </w:pPr>
      <w:r w:rsidRPr="009F7A47">
        <w:rPr>
          <w:b/>
        </w:rPr>
        <w:t>Substantial challenges facing the VPF relating to management and administration:</w:t>
      </w:r>
      <w:r w:rsidRPr="009F7A47">
        <w:t xml:space="preserve"> The VPF Strategic Plan 2016-2020 provides a frank assessment of</w:t>
      </w:r>
      <w:r>
        <w:t xml:space="preserve"> administrative</w:t>
      </w:r>
      <w:r w:rsidRPr="009F7A47">
        <w:t xml:space="preserve"> </w:t>
      </w:r>
      <w:r>
        <w:t xml:space="preserve">challenges </w:t>
      </w:r>
      <w:r w:rsidRPr="009F7A47">
        <w:t xml:space="preserve">facing the VPF including inadequate budget (even to pay for </w:t>
      </w:r>
      <w:r>
        <w:t>essential</w:t>
      </w:r>
      <w:r w:rsidRPr="009F7A47">
        <w:t xml:space="preserve"> operations)</w:t>
      </w:r>
      <w:r>
        <w:t xml:space="preserve"> and poor financial and human resource management (including workforce planning).  (These are in addition to some of the operational challenges such as addressing </w:t>
      </w:r>
      <w:r w:rsidRPr="009F7A47">
        <w:t>violence against women</w:t>
      </w:r>
      <w:r>
        <w:t xml:space="preserve"> and children</w:t>
      </w:r>
      <w:r w:rsidRPr="009F7A47">
        <w:t>.</w:t>
      </w:r>
      <w:r>
        <w:t xml:space="preserve">)  </w:t>
      </w:r>
    </w:p>
    <w:p w:rsidR="00CA7A38" w:rsidRPr="00EB6B63" w:rsidRDefault="00CA7A38" w:rsidP="00E70031">
      <w:pPr>
        <w:spacing w:before="240" w:line="276" w:lineRule="auto"/>
        <w:jc w:val="both"/>
        <w:rPr>
          <w:rFonts w:ascii="Calibri" w:hAnsi="Calibri" w:cs="Calibri"/>
          <w:color w:val="000000"/>
        </w:rPr>
      </w:pPr>
      <w:r w:rsidRPr="009F7A47">
        <w:lastRenderedPageBreak/>
        <w:t xml:space="preserve">The VPF Corporate Services Unit (CSU) is weak and requires </w:t>
      </w:r>
      <w:r w:rsidRPr="009F7A47">
        <w:rPr>
          <w:bCs/>
        </w:rPr>
        <w:t>o</w:t>
      </w:r>
      <w:r>
        <w:rPr>
          <w:bCs/>
        </w:rPr>
        <w:t xml:space="preserve">ngoing support.  </w:t>
      </w:r>
      <w:r w:rsidRPr="009F7A47">
        <w:rPr>
          <w:bCs/>
        </w:rPr>
        <w:t xml:space="preserve">CSU </w:t>
      </w:r>
      <w:r>
        <w:rPr>
          <w:bCs/>
        </w:rPr>
        <w:t>should</w:t>
      </w:r>
      <w:r w:rsidRPr="009F7A47">
        <w:rPr>
          <w:bCs/>
        </w:rPr>
        <w:t xml:space="preserve"> function as the financial and administrative heart of the VPF — it is the engine room for service delivery.  An ineffective CSU impinges upon the ability of the VPF to fulfil its </w:t>
      </w:r>
      <w:r>
        <w:rPr>
          <w:bCs/>
        </w:rPr>
        <w:t>mandate</w:t>
      </w:r>
      <w:r w:rsidRPr="009F7A47">
        <w:rPr>
          <w:bCs/>
        </w:rPr>
        <w:t>.</w:t>
      </w:r>
      <w:r>
        <w:rPr>
          <w:bCs/>
        </w:rPr>
        <w:t xml:space="preserve">  </w:t>
      </w:r>
      <w:r w:rsidRPr="00982BA2">
        <w:rPr>
          <w:bCs/>
        </w:rPr>
        <w:t>The VPF</w:t>
      </w:r>
      <w:r>
        <w:rPr>
          <w:bCs/>
        </w:rPr>
        <w:t>/CSU</w:t>
      </w:r>
      <w:r w:rsidRPr="00982BA2">
        <w:rPr>
          <w:bCs/>
        </w:rPr>
        <w:t xml:space="preserve"> has made progress in a number of areas, particularly in relation to financial and human resource </w:t>
      </w:r>
      <w:r>
        <w:rPr>
          <w:bCs/>
        </w:rPr>
        <w:t>management,</w:t>
      </w:r>
      <w:r w:rsidRPr="00982BA2">
        <w:rPr>
          <w:bCs/>
        </w:rPr>
        <w:t xml:space="preserve"> however progress has been slow and often impeded by a number of fact</w:t>
      </w:r>
      <w:r>
        <w:rPr>
          <w:bCs/>
        </w:rPr>
        <w:t xml:space="preserve">ors.  </w:t>
      </w:r>
      <w:r w:rsidRPr="00982BA2">
        <w:rPr>
          <w:bCs/>
        </w:rPr>
        <w:t>Key challenges for the CSU going forward include: financial management (</w:t>
      </w:r>
      <w:r>
        <w:rPr>
          <w:bCs/>
        </w:rPr>
        <w:t xml:space="preserve">for example, </w:t>
      </w:r>
      <w:r w:rsidRPr="00982BA2">
        <w:rPr>
          <w:bCs/>
        </w:rPr>
        <w:t>ensuring funding is available at provincial levels</w:t>
      </w:r>
      <w:r>
        <w:rPr>
          <w:bCs/>
        </w:rPr>
        <w:t xml:space="preserve"> and following </w:t>
      </w:r>
      <w:r w:rsidRPr="00982BA2">
        <w:rPr>
          <w:bCs/>
        </w:rPr>
        <w:t>VPF budgetary processes to seek appropriate funding from GoV), human resource management (particularly workforce planning)</w:t>
      </w:r>
      <w:r>
        <w:rPr>
          <w:bCs/>
        </w:rPr>
        <w:t>,</w:t>
      </w:r>
      <w:r w:rsidRPr="00982BA2">
        <w:rPr>
          <w:bCs/>
        </w:rPr>
        <w:t xml:space="preserve"> and strengthening and using VPF policies and processes (including governance)</w:t>
      </w:r>
      <w:r>
        <w:rPr>
          <w:bCs/>
        </w:rPr>
        <w:t xml:space="preserve">.  Program </w:t>
      </w:r>
      <w:r w:rsidRPr="00982BA2">
        <w:rPr>
          <w:bCs/>
        </w:rPr>
        <w:t xml:space="preserve">support to the CSU, including </w:t>
      </w:r>
      <w:r>
        <w:rPr>
          <w:bCs/>
        </w:rPr>
        <w:t xml:space="preserve">through a dedicated full-time CSU adviser, </w:t>
      </w:r>
      <w:r w:rsidRPr="00982BA2">
        <w:rPr>
          <w:bCs/>
        </w:rPr>
        <w:t>has the potential to catalyse significant change in the VPF.</w:t>
      </w:r>
    </w:p>
    <w:p w:rsidR="00CA7A38" w:rsidRPr="00D85E75" w:rsidRDefault="00CA7A38" w:rsidP="00E70031">
      <w:pPr>
        <w:autoSpaceDE w:val="0"/>
        <w:autoSpaceDN w:val="0"/>
        <w:adjustRightInd w:val="0"/>
        <w:spacing w:line="276" w:lineRule="auto"/>
        <w:jc w:val="both"/>
        <w:rPr>
          <w:rFonts w:ascii="Calibri" w:hAnsi="Calibri" w:cs="Calibri"/>
          <w:color w:val="000000"/>
        </w:rPr>
      </w:pPr>
    </w:p>
    <w:p w:rsidR="00CA7A38" w:rsidRPr="00322595" w:rsidRDefault="00CA7A38" w:rsidP="00E70031">
      <w:pPr>
        <w:pStyle w:val="Heading2"/>
        <w:numPr>
          <w:ilvl w:val="1"/>
          <w:numId w:val="1"/>
        </w:numPr>
        <w:rPr>
          <w:rFonts w:asciiTheme="minorHAnsi" w:hAnsiTheme="minorHAnsi"/>
          <w:color w:val="auto"/>
          <w:sz w:val="22"/>
          <w:szCs w:val="22"/>
        </w:rPr>
      </w:pPr>
      <w:bookmarkStart w:id="10" w:name="_Toc458698414"/>
      <w:r w:rsidRPr="00322595">
        <w:rPr>
          <w:rFonts w:asciiTheme="minorHAnsi" w:hAnsiTheme="minorHAnsi"/>
          <w:color w:val="auto"/>
          <w:sz w:val="22"/>
          <w:szCs w:val="22"/>
        </w:rPr>
        <w:t>Lessons Learned</w:t>
      </w:r>
      <w:r>
        <w:rPr>
          <w:rFonts w:asciiTheme="minorHAnsi" w:hAnsiTheme="minorHAnsi"/>
          <w:color w:val="auto"/>
          <w:sz w:val="22"/>
          <w:szCs w:val="22"/>
        </w:rPr>
        <w:t xml:space="preserve"> from Australian Assistance</w:t>
      </w:r>
      <w:bookmarkEnd w:id="10"/>
      <w:r>
        <w:rPr>
          <w:rFonts w:asciiTheme="minorHAnsi" w:hAnsiTheme="minorHAnsi"/>
          <w:color w:val="auto"/>
          <w:sz w:val="22"/>
          <w:szCs w:val="22"/>
        </w:rPr>
        <w:t xml:space="preserve"> </w:t>
      </w:r>
    </w:p>
    <w:p w:rsidR="00CA7A38" w:rsidRPr="00C474F0" w:rsidRDefault="00CA7A38" w:rsidP="00E70031">
      <w:pPr>
        <w:spacing w:before="240" w:after="120" w:line="276" w:lineRule="auto"/>
        <w:jc w:val="both"/>
        <w:rPr>
          <w:rFonts w:cs="Arial"/>
        </w:rPr>
      </w:pPr>
      <w:r>
        <w:t xml:space="preserve">Australian assistance to the sector over some fifteen years offers lessons for future support.  </w:t>
      </w:r>
      <w:r>
        <w:rPr>
          <w:rFonts w:cs="Arial"/>
        </w:rPr>
        <w:t>These lessons have been incorporated into this design</w:t>
      </w:r>
      <w:r>
        <w:t>:</w:t>
      </w:r>
    </w:p>
    <w:p w:rsidR="00CA7A38" w:rsidRDefault="00CA7A38" w:rsidP="00E70031">
      <w:pPr>
        <w:spacing w:before="240" w:after="0" w:line="276" w:lineRule="auto"/>
        <w:jc w:val="both"/>
      </w:pPr>
      <w:r w:rsidRPr="004B01D9">
        <w:rPr>
          <w:b/>
        </w:rPr>
        <w:t xml:space="preserve">Collaboration across the sector </w:t>
      </w:r>
      <w:r>
        <w:rPr>
          <w:b/>
        </w:rPr>
        <w:t xml:space="preserve">is critical for improved service </w:t>
      </w:r>
      <w:r w:rsidRPr="009D6836">
        <w:rPr>
          <w:b/>
        </w:rPr>
        <w:t>delivery</w:t>
      </w:r>
      <w:r>
        <w:rPr>
          <w:b/>
        </w:rPr>
        <w:t>:</w:t>
      </w:r>
      <w:r>
        <w:t xml:space="preserve"> Program support </w:t>
      </w:r>
      <w:r w:rsidRPr="00B04928">
        <w:t>has created an appetite for increased collaboration</w:t>
      </w:r>
      <w:r>
        <w:t xml:space="preserve">.  However, </w:t>
      </w:r>
      <w:r w:rsidRPr="00B04928">
        <w:t xml:space="preserve">experience </w:t>
      </w:r>
      <w:r>
        <w:t xml:space="preserve">shows this will only work where there is effective leadership for collaboration and it is based </w:t>
      </w:r>
      <w:r w:rsidRPr="001C7805">
        <w:rPr>
          <w:rFonts w:cs="Arial"/>
        </w:rPr>
        <w:t>on specific, substantive issues</w:t>
      </w:r>
      <w:r>
        <w:rPr>
          <w:rFonts w:cs="Arial"/>
        </w:rPr>
        <w:t xml:space="preserve"> under the guidance of strategy,</w:t>
      </w:r>
      <w:r w:rsidRPr="001C7805">
        <w:rPr>
          <w:rFonts w:cs="Arial"/>
        </w:rPr>
        <w:t xml:space="preserve"> rather than on aid management</w:t>
      </w:r>
      <w:r w:rsidRPr="00B04928">
        <w:t xml:space="preserve"> </w:t>
      </w:r>
      <w:r>
        <w:t>and coordination alone.</w:t>
      </w:r>
      <w:r>
        <w:rPr>
          <w:rStyle w:val="FootnoteReference"/>
        </w:rPr>
        <w:footnoteReference w:id="38"/>
      </w:r>
    </w:p>
    <w:p w:rsidR="00CA7A38" w:rsidRDefault="00CA7A38" w:rsidP="00E70031">
      <w:pPr>
        <w:spacing w:before="240" w:after="0" w:line="276" w:lineRule="auto"/>
        <w:jc w:val="both"/>
      </w:pPr>
      <w:r w:rsidRPr="008B7DF4">
        <w:rPr>
          <w:rFonts w:cs="Arial"/>
          <w:b/>
        </w:rPr>
        <w:t xml:space="preserve">There is minimal evidence that an </w:t>
      </w:r>
      <w:r>
        <w:rPr>
          <w:rFonts w:cs="Arial"/>
          <w:b/>
        </w:rPr>
        <w:t>‘organisational capacity development</w:t>
      </w:r>
      <w:r w:rsidRPr="008B7DF4">
        <w:rPr>
          <w:rFonts w:cs="Arial"/>
          <w:b/>
        </w:rPr>
        <w:t xml:space="preserve"> approach</w:t>
      </w:r>
      <w:r>
        <w:rPr>
          <w:rFonts w:cs="Arial"/>
          <w:b/>
        </w:rPr>
        <w:t xml:space="preserve">’, implemented in isolation, </w:t>
      </w:r>
      <w:r w:rsidRPr="008B7DF4">
        <w:rPr>
          <w:rFonts w:cs="Arial"/>
          <w:b/>
        </w:rPr>
        <w:t>leads to improved pol</w:t>
      </w:r>
      <w:r>
        <w:rPr>
          <w:rFonts w:cs="Arial"/>
          <w:b/>
        </w:rPr>
        <w:t xml:space="preserve">icing, law and justice services: </w:t>
      </w:r>
      <w:r>
        <w:t xml:space="preserve">There is limited evidence globally that institutional strengthening </w:t>
      </w:r>
      <w:r w:rsidRPr="00FD0D01">
        <w:t xml:space="preserve">and </w:t>
      </w:r>
      <w:r>
        <w:t xml:space="preserve">support for whole-of-sector </w:t>
      </w:r>
      <w:r w:rsidRPr="00FD0D01">
        <w:t>collaboration</w:t>
      </w:r>
      <w:r>
        <w:t xml:space="preserve"> </w:t>
      </w:r>
      <w:r w:rsidRPr="001E21B1">
        <w:rPr>
          <w:i/>
        </w:rPr>
        <w:t>alone</w:t>
      </w:r>
      <w:r>
        <w:t xml:space="preserve"> brings lasting results.  A capacity development</w:t>
      </w:r>
      <w:r w:rsidRPr="00416869">
        <w:t xml:space="preserve"> approach</w:t>
      </w:r>
      <w:r>
        <w:t xml:space="preserve"> that</w:t>
      </w:r>
      <w:r w:rsidRPr="00416869">
        <w:t xml:space="preserve"> is focussed on individual organisations in isolation </w:t>
      </w:r>
      <w:r>
        <w:t>is</w:t>
      </w:r>
      <w:r w:rsidRPr="00416869">
        <w:t xml:space="preserve"> less effective in yielding change that affects the broader system</w:t>
      </w:r>
      <w:r>
        <w:t xml:space="preserve">.  Evidence suggests that so-called ‘organisational capacity development approaches’ must be paired with other strategies — for example, problem solving, a thematic focus and/or a service delivery focus — to bring about change for users of the system.  Also, </w:t>
      </w:r>
      <w:r>
        <w:rPr>
          <w:rFonts w:cs="Arial"/>
        </w:rPr>
        <w:t>c</w:t>
      </w:r>
      <w:r w:rsidRPr="00394000">
        <w:rPr>
          <w:rFonts w:cs="Arial"/>
        </w:rPr>
        <w:t xml:space="preserve">apacity development activities will have most </w:t>
      </w:r>
      <w:r>
        <w:rPr>
          <w:rFonts w:cs="Arial"/>
        </w:rPr>
        <w:t>impact</w:t>
      </w:r>
      <w:r w:rsidRPr="00394000">
        <w:rPr>
          <w:rFonts w:cs="Arial"/>
        </w:rPr>
        <w:t xml:space="preserve"> if </w:t>
      </w:r>
      <w:r>
        <w:rPr>
          <w:rFonts w:cs="Arial"/>
        </w:rPr>
        <w:t xml:space="preserve">extended </w:t>
      </w:r>
      <w:r w:rsidRPr="00394000">
        <w:rPr>
          <w:rFonts w:cs="Arial"/>
        </w:rPr>
        <w:t xml:space="preserve">beyond </w:t>
      </w:r>
      <w:r>
        <w:rPr>
          <w:rFonts w:cs="Arial"/>
        </w:rPr>
        <w:t xml:space="preserve">sector </w:t>
      </w:r>
      <w:r w:rsidRPr="00394000">
        <w:rPr>
          <w:rFonts w:cs="Arial"/>
        </w:rPr>
        <w:t>institutions and include support to both</w:t>
      </w:r>
      <w:r>
        <w:rPr>
          <w:rFonts w:cs="Arial"/>
        </w:rPr>
        <w:t xml:space="preserve"> government and NGO initiatives.</w:t>
      </w:r>
      <w:r>
        <w:rPr>
          <w:rStyle w:val="FootnoteReference"/>
        </w:rPr>
        <w:footnoteReference w:id="39"/>
      </w:r>
      <w:r w:rsidRPr="00782DF6">
        <w:rPr>
          <w:lang w:eastAsia="en-AU"/>
        </w:rPr>
        <w:t xml:space="preserve"> </w:t>
      </w:r>
    </w:p>
    <w:p w:rsidR="00CA7A38" w:rsidRDefault="00CA7A38" w:rsidP="00E70031">
      <w:pPr>
        <w:spacing w:before="240" w:after="0" w:line="276" w:lineRule="auto"/>
        <w:jc w:val="both"/>
      </w:pPr>
      <w:r w:rsidRPr="00782DF6">
        <w:rPr>
          <w:b/>
          <w:lang w:eastAsia="en-AU"/>
        </w:rPr>
        <w:t xml:space="preserve">Engagement of internationally-recruited personnel </w:t>
      </w:r>
      <w:r>
        <w:rPr>
          <w:b/>
          <w:lang w:eastAsia="en-AU"/>
        </w:rPr>
        <w:t>in in-line positions can have</w:t>
      </w:r>
      <w:r w:rsidRPr="00782DF6">
        <w:rPr>
          <w:b/>
          <w:lang w:eastAsia="en-AU"/>
        </w:rPr>
        <w:t xml:space="preserve"> merits</w:t>
      </w:r>
      <w:r>
        <w:rPr>
          <w:b/>
          <w:lang w:eastAsia="en-AU"/>
        </w:rPr>
        <w:t xml:space="preserve"> as well as significant risks: </w:t>
      </w:r>
      <w:r w:rsidRPr="00394000">
        <w:rPr>
          <w:lang w:eastAsia="en-AU"/>
        </w:rPr>
        <w:t>This approach</w:t>
      </w:r>
      <w:r>
        <w:rPr>
          <w:lang w:eastAsia="en-AU"/>
        </w:rPr>
        <w:t>,</w:t>
      </w:r>
      <w:r w:rsidRPr="00394000">
        <w:rPr>
          <w:lang w:eastAsia="en-AU"/>
        </w:rPr>
        <w:t xml:space="preserve"> as a capacity</w:t>
      </w:r>
      <w:r>
        <w:rPr>
          <w:b/>
          <w:lang w:eastAsia="en-AU"/>
        </w:rPr>
        <w:t xml:space="preserve"> </w:t>
      </w:r>
      <w:r w:rsidRPr="00DC2ACD">
        <w:rPr>
          <w:lang w:eastAsia="en-AU"/>
        </w:rPr>
        <w:t xml:space="preserve">development </w:t>
      </w:r>
      <w:r>
        <w:rPr>
          <w:lang w:eastAsia="en-AU"/>
        </w:rPr>
        <w:t xml:space="preserve">and reform </w:t>
      </w:r>
      <w:r w:rsidRPr="00DC2ACD">
        <w:rPr>
          <w:lang w:eastAsia="en-AU"/>
        </w:rPr>
        <w:t>strategy</w:t>
      </w:r>
      <w:r>
        <w:rPr>
          <w:lang w:eastAsia="en-AU"/>
        </w:rPr>
        <w:t>, has demonstrated results both internationally and in Vanuatu and could be explored with GoV through the new design cognisant of the risks and the appetite of the GoV for such support.</w:t>
      </w:r>
    </w:p>
    <w:p w:rsidR="00CA7A38" w:rsidRDefault="00CA7A38" w:rsidP="00E70031">
      <w:pPr>
        <w:spacing w:before="240" w:after="0" w:line="276" w:lineRule="auto"/>
        <w:jc w:val="both"/>
        <w:rPr>
          <w:rFonts w:cs="Arial"/>
        </w:rPr>
      </w:pPr>
      <w:r>
        <w:rPr>
          <w:rFonts w:cs="Arial"/>
        </w:rPr>
        <w:t xml:space="preserve">Ensure support is provided that enables </w:t>
      </w:r>
      <w:r w:rsidRPr="00394000">
        <w:rPr>
          <w:rFonts w:cs="Arial"/>
          <w:b/>
        </w:rPr>
        <w:t>direct service delivery</w:t>
      </w:r>
      <w:r>
        <w:rPr>
          <w:rFonts w:cs="Arial"/>
        </w:rPr>
        <w:t xml:space="preserve"> through grants or direct budget support that improves access, stimulates demand and provides direct feedback loops.  This is an appropriate complement to an organisational capacity development approach.  </w:t>
      </w:r>
    </w:p>
    <w:p w:rsidR="00CA7A38" w:rsidRDefault="00CA7A38" w:rsidP="00E70031">
      <w:pPr>
        <w:spacing w:before="240" w:after="0" w:line="276" w:lineRule="auto"/>
        <w:jc w:val="both"/>
        <w:rPr>
          <w:lang w:eastAsia="en-AU"/>
        </w:rPr>
      </w:pPr>
      <w:r>
        <w:rPr>
          <w:rFonts w:cs="Arial"/>
        </w:rPr>
        <w:lastRenderedPageBreak/>
        <w:t>Also,</w:t>
      </w:r>
      <w:r>
        <w:t xml:space="preserve"> a 2016 DFAT-commissioned independent review of PJSPV distilled lessons from Australian assistance and made recommendations for improved support</w:t>
      </w:r>
      <w:r>
        <w:rPr>
          <w:rStyle w:val="FootnoteReference"/>
        </w:rPr>
        <w:footnoteReference w:id="40"/>
      </w:r>
      <w:r>
        <w:t xml:space="preserve">  — these are reflected throughout this design document.  For example, the review confirmed the appropriateness of the program modality in terms of amalgamated policing and justice support.  The review highlighted advantages flowing from this modality including program management and delivery efficiencies for Australia.  It also considered the impact in terms of diplomatic and institutional relationships between </w:t>
      </w:r>
      <w:r w:rsidRPr="00EF0495">
        <w:rPr>
          <w:lang w:eastAsia="en-AU"/>
        </w:rPr>
        <w:t>Vanuatu and Australia,</w:t>
      </w:r>
      <w:r>
        <w:rPr>
          <w:lang w:eastAsia="en-AU"/>
        </w:rPr>
        <w:t xml:space="preserve"> finding that the combined approach </w:t>
      </w:r>
      <w:r w:rsidRPr="00EF0495">
        <w:rPr>
          <w:lang w:eastAsia="en-AU"/>
        </w:rPr>
        <w:t xml:space="preserve">provides an opportunity </w:t>
      </w:r>
      <w:r>
        <w:rPr>
          <w:lang w:eastAsia="en-AU"/>
        </w:rPr>
        <w:t xml:space="preserve">for one informed voice from </w:t>
      </w:r>
      <w:proofErr w:type="spellStart"/>
      <w:r w:rsidRPr="00EF0495">
        <w:rPr>
          <w:lang w:eastAsia="en-AU"/>
        </w:rPr>
        <w:t>GoA</w:t>
      </w:r>
      <w:proofErr w:type="spellEnd"/>
      <w:r w:rsidRPr="00EF0495">
        <w:rPr>
          <w:lang w:eastAsia="en-AU"/>
        </w:rPr>
        <w:t xml:space="preserve"> on </w:t>
      </w:r>
      <w:r>
        <w:rPr>
          <w:lang w:eastAsia="en-AU"/>
        </w:rPr>
        <w:t>law and justice</w:t>
      </w:r>
      <w:r w:rsidRPr="00EF0495">
        <w:rPr>
          <w:lang w:eastAsia="en-AU"/>
        </w:rPr>
        <w:t xml:space="preserve"> iss</w:t>
      </w:r>
      <w:r>
        <w:rPr>
          <w:lang w:eastAsia="en-AU"/>
        </w:rPr>
        <w:t>ues.  Also, the review highlighted the modality affords Australia an evidence-based sector-wide perspective on policing and justice issues in Vanuatu.  This is useful in dialogue with the GoV in support of justice agencies’</w:t>
      </w:r>
      <w:r w:rsidRPr="00EF0495">
        <w:rPr>
          <w:lang w:eastAsia="en-AU"/>
        </w:rPr>
        <w:t xml:space="preserve"> efforts to secure the necessary GoV operational</w:t>
      </w:r>
      <w:r>
        <w:rPr>
          <w:lang w:eastAsia="en-AU"/>
        </w:rPr>
        <w:t xml:space="preserve"> / </w:t>
      </w:r>
      <w:r w:rsidRPr="00EF0495">
        <w:rPr>
          <w:lang w:eastAsia="en-AU"/>
        </w:rPr>
        <w:t>service delivery budge</w:t>
      </w:r>
      <w:r>
        <w:rPr>
          <w:lang w:eastAsia="en-AU"/>
        </w:rPr>
        <w:t>ts</w:t>
      </w:r>
      <w:r w:rsidRPr="00EF0495">
        <w:rPr>
          <w:lang w:eastAsia="en-AU"/>
        </w:rPr>
        <w:t>.</w:t>
      </w:r>
      <w:r>
        <w:rPr>
          <w:rStyle w:val="FootnoteReference"/>
          <w:lang w:eastAsia="en-AU"/>
        </w:rPr>
        <w:footnoteReference w:id="41"/>
      </w:r>
      <w:r>
        <w:rPr>
          <w:lang w:eastAsia="en-AU"/>
        </w:rPr>
        <w:t xml:space="preserve">  </w:t>
      </w:r>
    </w:p>
    <w:p w:rsidR="00CA7A38" w:rsidRDefault="00CA7A38" w:rsidP="00E70031">
      <w:pPr>
        <w:spacing w:before="240" w:after="0" w:line="276" w:lineRule="auto"/>
        <w:jc w:val="both"/>
        <w:rPr>
          <w:lang w:eastAsia="en-AU"/>
        </w:rPr>
      </w:pPr>
      <w:r>
        <w:rPr>
          <w:lang w:eastAsia="en-AU"/>
        </w:rPr>
        <w:t>Further, the review highlighted examples of program effectiveness in terms of areas where program activities have had a positive impact.  Examples identified include working on leadership mentoring, strengthening financial management and budget preparation processes, improving monitoring and evaluation and annual reporting, training in technical areas (including investigations), improving data quality and management, supporting cross-sector initiatives, conducting of research and pilots, revising Standard Operating Procedures for investigations involving children, internal investigations at the VPF, strengthening human resources management, achieving efficiencies, including through less expensive options, such as bicycles, stimulating the introduction of the time efficient Rapid Charge System, providing stable advice to VPF executive in a period of institutional and political turmoil, and promoting the VPF’s community engagement.  Many of these initiatives are continued, or built on, in this SRBJ design.  The review also made a number of findings and recommendations with respect to program governance — these have greatly informed the program governance and management arrangements described in section 4.</w:t>
      </w:r>
    </w:p>
    <w:p w:rsidR="0072397E" w:rsidRPr="007E4B59" w:rsidRDefault="0072397E" w:rsidP="00E70031">
      <w:pPr>
        <w:spacing w:before="240" w:after="0" w:line="276" w:lineRule="auto"/>
        <w:jc w:val="both"/>
        <w:rPr>
          <w:lang w:eastAsia="en-AU"/>
        </w:rPr>
      </w:pPr>
    </w:p>
    <w:p w:rsidR="00CA7A38" w:rsidRPr="00322595" w:rsidRDefault="00CA7A38" w:rsidP="00E70031">
      <w:pPr>
        <w:pStyle w:val="Heading2"/>
        <w:numPr>
          <w:ilvl w:val="1"/>
          <w:numId w:val="1"/>
        </w:numPr>
        <w:rPr>
          <w:rFonts w:asciiTheme="minorHAnsi" w:hAnsiTheme="minorHAnsi"/>
          <w:color w:val="auto"/>
          <w:sz w:val="22"/>
          <w:szCs w:val="22"/>
        </w:rPr>
      </w:pPr>
      <w:bookmarkStart w:id="11" w:name="_Toc458698415"/>
      <w:r>
        <w:rPr>
          <w:rFonts w:asciiTheme="minorHAnsi" w:hAnsiTheme="minorHAnsi"/>
          <w:color w:val="auto"/>
          <w:sz w:val="22"/>
          <w:szCs w:val="22"/>
        </w:rPr>
        <w:t xml:space="preserve">Australia’s </w:t>
      </w:r>
      <w:r w:rsidRPr="00322595">
        <w:rPr>
          <w:rFonts w:asciiTheme="minorHAnsi" w:hAnsiTheme="minorHAnsi"/>
          <w:color w:val="auto"/>
          <w:sz w:val="22"/>
          <w:szCs w:val="22"/>
        </w:rPr>
        <w:t>National Interest</w:t>
      </w:r>
      <w:bookmarkEnd w:id="11"/>
    </w:p>
    <w:p w:rsidR="00CA7A38" w:rsidRPr="00322595" w:rsidRDefault="00CA7A38" w:rsidP="00E70031">
      <w:pPr>
        <w:pStyle w:val="Default"/>
        <w:spacing w:before="240" w:line="276" w:lineRule="auto"/>
        <w:jc w:val="both"/>
        <w:rPr>
          <w:sz w:val="22"/>
          <w:szCs w:val="22"/>
        </w:rPr>
      </w:pPr>
      <w:r w:rsidRPr="00322595">
        <w:rPr>
          <w:sz w:val="22"/>
          <w:szCs w:val="22"/>
        </w:rPr>
        <w:t>Australia's national interest is well supported by investment in policing, justice and community services programming in Vanuatu</w:t>
      </w:r>
      <w:r>
        <w:rPr>
          <w:sz w:val="22"/>
          <w:szCs w:val="22"/>
        </w:rPr>
        <w:t>,</w:t>
      </w:r>
      <w:r w:rsidRPr="00322595">
        <w:rPr>
          <w:sz w:val="22"/>
          <w:szCs w:val="22"/>
        </w:rPr>
        <w:t xml:space="preserve"> including through the promotion of democratic values, human rights </w:t>
      </w:r>
      <w:r>
        <w:rPr>
          <w:sz w:val="22"/>
          <w:szCs w:val="22"/>
        </w:rPr>
        <w:t xml:space="preserve">and the rule of law.  </w:t>
      </w:r>
      <w:r w:rsidRPr="00322595">
        <w:rPr>
          <w:sz w:val="22"/>
          <w:szCs w:val="22"/>
        </w:rPr>
        <w:t xml:space="preserve">Through </w:t>
      </w:r>
      <w:r>
        <w:rPr>
          <w:sz w:val="22"/>
          <w:szCs w:val="22"/>
        </w:rPr>
        <w:t>support for</w:t>
      </w:r>
      <w:r w:rsidRPr="00322595">
        <w:rPr>
          <w:sz w:val="22"/>
          <w:szCs w:val="22"/>
        </w:rPr>
        <w:t xml:space="preserve"> the identified needs of women, children and youth</w:t>
      </w:r>
      <w:r>
        <w:rPr>
          <w:sz w:val="22"/>
          <w:szCs w:val="22"/>
        </w:rPr>
        <w:t>,</w:t>
      </w:r>
      <w:r w:rsidRPr="00322595">
        <w:rPr>
          <w:sz w:val="22"/>
          <w:szCs w:val="22"/>
        </w:rPr>
        <w:t xml:space="preserve"> the investment promotes stability by reducing vulnerabil</w:t>
      </w:r>
      <w:r>
        <w:rPr>
          <w:sz w:val="22"/>
          <w:szCs w:val="22"/>
        </w:rPr>
        <w:t xml:space="preserve">ity, poverty and risk.  </w:t>
      </w:r>
      <w:proofErr w:type="gramStart"/>
      <w:r>
        <w:rPr>
          <w:sz w:val="22"/>
          <w:szCs w:val="22"/>
        </w:rPr>
        <w:t>By</w:t>
      </w:r>
      <w:r w:rsidRPr="00322595">
        <w:rPr>
          <w:sz w:val="22"/>
          <w:szCs w:val="22"/>
        </w:rPr>
        <w:t xml:space="preserve"> providing a more effective and accountabl</w:t>
      </w:r>
      <w:r>
        <w:rPr>
          <w:sz w:val="22"/>
          <w:szCs w:val="22"/>
        </w:rPr>
        <w:t>e policing and justice system, support</w:t>
      </w:r>
      <w:r w:rsidRPr="00322595">
        <w:rPr>
          <w:sz w:val="22"/>
          <w:szCs w:val="22"/>
        </w:rPr>
        <w:t xml:space="preserve"> </w:t>
      </w:r>
      <w:r>
        <w:rPr>
          <w:sz w:val="22"/>
          <w:szCs w:val="22"/>
        </w:rPr>
        <w:t xml:space="preserve">helps to establish </w:t>
      </w:r>
      <w:r w:rsidRPr="00322595">
        <w:rPr>
          <w:sz w:val="22"/>
          <w:szCs w:val="22"/>
        </w:rPr>
        <w:t>an improved environment for investment and economic growth.</w:t>
      </w:r>
      <w:proofErr w:type="gramEnd"/>
    </w:p>
    <w:p w:rsidR="00CA7A38" w:rsidRDefault="00CA7A38" w:rsidP="00E70031">
      <w:pPr>
        <w:pStyle w:val="Default"/>
        <w:spacing w:before="240" w:after="240" w:line="276" w:lineRule="auto"/>
        <w:jc w:val="both"/>
        <w:rPr>
          <w:sz w:val="22"/>
          <w:szCs w:val="22"/>
        </w:rPr>
      </w:pPr>
      <w:r w:rsidRPr="00322595">
        <w:rPr>
          <w:sz w:val="22"/>
          <w:szCs w:val="22"/>
        </w:rPr>
        <w:t>The design supports the regional and develo</w:t>
      </w:r>
      <w:r>
        <w:rPr>
          <w:sz w:val="22"/>
          <w:szCs w:val="22"/>
        </w:rPr>
        <w:t xml:space="preserve">pment priorities of the </w:t>
      </w:r>
      <w:proofErr w:type="spellStart"/>
      <w:r>
        <w:rPr>
          <w:sz w:val="22"/>
          <w:szCs w:val="22"/>
        </w:rPr>
        <w:t>GoA</w:t>
      </w:r>
      <w:proofErr w:type="spellEnd"/>
      <w:r>
        <w:rPr>
          <w:sz w:val="22"/>
          <w:szCs w:val="22"/>
        </w:rPr>
        <w:t xml:space="preserve"> as articulated in the Australian Government’s development policy: </w:t>
      </w:r>
    </w:p>
    <w:p w:rsidR="00CA7A38" w:rsidRPr="00322595" w:rsidRDefault="00CA7A38" w:rsidP="00E70031">
      <w:pPr>
        <w:pStyle w:val="Default"/>
        <w:spacing w:before="240" w:after="240"/>
        <w:ind w:left="720"/>
        <w:jc w:val="both"/>
        <w:rPr>
          <w:sz w:val="22"/>
          <w:szCs w:val="22"/>
        </w:rPr>
      </w:pPr>
      <w:r>
        <w:rPr>
          <w:sz w:val="22"/>
          <w:szCs w:val="22"/>
        </w:rPr>
        <w:t xml:space="preserve">[To] </w:t>
      </w:r>
      <w:r w:rsidRPr="00322595">
        <w:rPr>
          <w:sz w:val="22"/>
          <w:szCs w:val="22"/>
        </w:rPr>
        <w:t>build effective law and justice systems, drawing on the Australian Federal Police and Attorney-General’s Department, to strengthen policing, increase the safety and security of communities and improve people’s access to justice and</w:t>
      </w:r>
      <w:r>
        <w:rPr>
          <w:sz w:val="22"/>
          <w:szCs w:val="22"/>
        </w:rPr>
        <w:t xml:space="preserve"> address violence against women</w:t>
      </w:r>
      <w:r w:rsidRPr="00322595">
        <w:rPr>
          <w:sz w:val="22"/>
          <w:szCs w:val="22"/>
        </w:rPr>
        <w:t>.</w:t>
      </w:r>
      <w:r>
        <w:rPr>
          <w:rStyle w:val="FootnoteReference"/>
          <w:sz w:val="22"/>
          <w:szCs w:val="22"/>
        </w:rPr>
        <w:footnoteReference w:id="42"/>
      </w:r>
    </w:p>
    <w:p w:rsidR="00CA7A38" w:rsidRDefault="00CA7A38" w:rsidP="00E70031">
      <w:pPr>
        <w:pStyle w:val="Default"/>
        <w:spacing w:line="276" w:lineRule="auto"/>
        <w:jc w:val="both"/>
        <w:rPr>
          <w:sz w:val="22"/>
          <w:szCs w:val="22"/>
        </w:rPr>
      </w:pPr>
      <w:r>
        <w:rPr>
          <w:sz w:val="22"/>
          <w:szCs w:val="22"/>
        </w:rPr>
        <w:lastRenderedPageBreak/>
        <w:t>AFP advisers also deliver direct support to Australia’s national interest in ways additional to those of contracted advisors.  This includes close association at a police-to-police level within the highest echelons of the VPF.  This invokes positive outcomes including awareness of institutional and national policy; members who have high level relationships and local awareness in cases requiring Australian support (such as humanitarian assistance); and building of long–term police-to-police relationships which facilitate productive transnational, serious and organised crime cooperation.</w:t>
      </w:r>
      <w:r>
        <w:rPr>
          <w:rStyle w:val="FootnoteReference"/>
          <w:sz w:val="22"/>
          <w:szCs w:val="22"/>
        </w:rPr>
        <w:footnoteReference w:id="43"/>
      </w:r>
      <w:r>
        <w:rPr>
          <w:sz w:val="22"/>
          <w:szCs w:val="22"/>
        </w:rPr>
        <w:t xml:space="preserve">  Also, Australia’s national interest is served through partnerships with the Commonwealth Ombudsman and Federal Court of Australia.  These partnerships support strengthening of ombudsman-to-ombudsman and court-to-court relationships between Vanuatu and Australia.</w:t>
      </w:r>
    </w:p>
    <w:p w:rsidR="00CA7A38" w:rsidRPr="00FB0260" w:rsidRDefault="00CA7A38" w:rsidP="00E70031">
      <w:pPr>
        <w:pStyle w:val="Default"/>
        <w:spacing w:line="276" w:lineRule="auto"/>
        <w:jc w:val="both"/>
        <w:rPr>
          <w:sz w:val="22"/>
          <w:szCs w:val="22"/>
        </w:rPr>
      </w:pPr>
    </w:p>
    <w:p w:rsidR="00CA7A38" w:rsidRPr="00D80B26" w:rsidRDefault="00CA7A38" w:rsidP="00E70031">
      <w:pPr>
        <w:pStyle w:val="Heading1"/>
        <w:numPr>
          <w:ilvl w:val="0"/>
          <w:numId w:val="1"/>
        </w:numPr>
        <w:spacing w:after="240" w:line="276" w:lineRule="auto"/>
        <w:jc w:val="both"/>
        <w:rPr>
          <w:rFonts w:asciiTheme="minorHAnsi" w:hAnsiTheme="minorHAnsi"/>
          <w:b/>
          <w:color w:val="auto"/>
          <w:sz w:val="22"/>
          <w:szCs w:val="22"/>
        </w:rPr>
      </w:pPr>
      <w:bookmarkStart w:id="12" w:name="_Toc458698416"/>
      <w:r w:rsidRPr="00D80B26">
        <w:rPr>
          <w:rFonts w:asciiTheme="minorHAnsi" w:hAnsiTheme="minorHAnsi"/>
          <w:b/>
          <w:color w:val="auto"/>
          <w:sz w:val="22"/>
          <w:szCs w:val="22"/>
        </w:rPr>
        <w:t>PROGRAM DESCRIPTION</w:t>
      </w:r>
      <w:bookmarkEnd w:id="12"/>
    </w:p>
    <w:p w:rsidR="00CA7A38" w:rsidRPr="00D80B26" w:rsidRDefault="00CA7A38" w:rsidP="00E70031">
      <w:pPr>
        <w:pStyle w:val="Heading2"/>
        <w:numPr>
          <w:ilvl w:val="1"/>
          <w:numId w:val="1"/>
        </w:numPr>
        <w:spacing w:after="240" w:line="276" w:lineRule="auto"/>
        <w:jc w:val="both"/>
        <w:rPr>
          <w:rFonts w:asciiTheme="minorHAnsi" w:hAnsiTheme="minorHAnsi"/>
          <w:color w:val="auto"/>
          <w:sz w:val="22"/>
          <w:szCs w:val="22"/>
        </w:rPr>
      </w:pPr>
      <w:bookmarkStart w:id="13" w:name="_Toc458698417"/>
      <w:r w:rsidRPr="00D80B26">
        <w:rPr>
          <w:rFonts w:asciiTheme="minorHAnsi" w:hAnsiTheme="minorHAnsi"/>
          <w:color w:val="auto"/>
          <w:sz w:val="22"/>
          <w:szCs w:val="22"/>
        </w:rPr>
        <w:t>Program Scope and Overview</w:t>
      </w:r>
      <w:bookmarkEnd w:id="13"/>
    </w:p>
    <w:p w:rsidR="00CA7A38" w:rsidRPr="005F0927" w:rsidRDefault="00CA7A38" w:rsidP="00E70031">
      <w:pPr>
        <w:pStyle w:val="Heading3"/>
        <w:numPr>
          <w:ilvl w:val="0"/>
          <w:numId w:val="40"/>
        </w:numPr>
        <w:jc w:val="both"/>
        <w:rPr>
          <w:rFonts w:asciiTheme="minorHAnsi" w:hAnsiTheme="minorHAnsi"/>
          <w:color w:val="auto"/>
          <w:sz w:val="22"/>
          <w:szCs w:val="22"/>
        </w:rPr>
      </w:pPr>
      <w:r>
        <w:rPr>
          <w:rFonts w:asciiTheme="minorHAnsi" w:hAnsiTheme="minorHAnsi"/>
          <w:color w:val="auto"/>
          <w:sz w:val="22"/>
          <w:szCs w:val="22"/>
        </w:rPr>
        <w:t>Overview of the SRBJS Investment</w:t>
      </w:r>
    </w:p>
    <w:p w:rsidR="00CA7A38" w:rsidRDefault="00CA7A38" w:rsidP="00E70031">
      <w:pPr>
        <w:spacing w:before="240" w:line="276" w:lineRule="auto"/>
        <w:jc w:val="both"/>
      </w:pPr>
      <w:r>
        <w:t xml:space="preserve">SRBJS will seek to contribute to the goal of improved policing, justice and community services in Vanuatu.  The program will do so through an emphasis on: </w:t>
      </w:r>
    </w:p>
    <w:p w:rsidR="00CA7A38" w:rsidRDefault="00CA7A38" w:rsidP="00E70031">
      <w:pPr>
        <w:pStyle w:val="ListParagraph"/>
        <w:numPr>
          <w:ilvl w:val="0"/>
          <w:numId w:val="5"/>
        </w:numPr>
        <w:spacing w:before="240" w:line="276" w:lineRule="auto"/>
        <w:ind w:left="714" w:hanging="357"/>
        <w:jc w:val="both"/>
      </w:pPr>
      <w:r>
        <w:t>strengthening the capacity of state policing, justice and community services institutions for improved service delivery to women, children and youth;</w:t>
      </w:r>
    </w:p>
    <w:p w:rsidR="00CA7A38" w:rsidRDefault="00CA7A38" w:rsidP="00E70031">
      <w:pPr>
        <w:pStyle w:val="ListParagraph"/>
        <w:numPr>
          <w:ilvl w:val="0"/>
          <w:numId w:val="5"/>
        </w:numPr>
        <w:spacing w:before="240" w:line="276" w:lineRule="auto"/>
        <w:ind w:left="714" w:hanging="357"/>
        <w:jc w:val="both"/>
      </w:pPr>
      <w:r>
        <w:t>improving people’s access to justice, with an emphasis on access to justice for survivors of violence against women and children; and</w:t>
      </w:r>
    </w:p>
    <w:p w:rsidR="00CA7A38" w:rsidRDefault="00CA7A38" w:rsidP="00E70031">
      <w:pPr>
        <w:pStyle w:val="ListParagraph"/>
        <w:numPr>
          <w:ilvl w:val="0"/>
          <w:numId w:val="5"/>
        </w:numPr>
        <w:spacing w:before="240" w:line="276" w:lineRule="auto"/>
        <w:ind w:left="714" w:hanging="357"/>
        <w:jc w:val="both"/>
      </w:pPr>
      <w:r>
        <w:t>enhancing service delivery for vulnerable and at risk-groups</w:t>
      </w:r>
      <w:r>
        <w:rPr>
          <w:b/>
          <w:bCs/>
        </w:rPr>
        <w:t xml:space="preserve">, </w:t>
      </w:r>
      <w:r>
        <w:rPr>
          <w:bCs/>
        </w:rPr>
        <w:t>particularly women and children survivors of violence, youth in conflict with the law, and persons with disabilities</w:t>
      </w:r>
    </w:p>
    <w:p w:rsidR="00CA7A38" w:rsidRDefault="00CA7A38" w:rsidP="00E70031">
      <w:pPr>
        <w:spacing w:before="240" w:line="276" w:lineRule="auto"/>
        <w:jc w:val="both"/>
      </w:pPr>
      <w:r>
        <w:t>T</w:t>
      </w:r>
      <w:r w:rsidRPr="00917386">
        <w:t>he program</w:t>
      </w:r>
      <w:r>
        <w:t xml:space="preserve"> will work across the policing, justice and community services sector.  SRBJS</w:t>
      </w:r>
      <w:r w:rsidRPr="00B87192">
        <w:t xml:space="preserve"> will</w:t>
      </w:r>
      <w:r>
        <w:t xml:space="preserve"> be a </w:t>
      </w:r>
      <w:r w:rsidRPr="0061781B">
        <w:t xml:space="preserve">blend of </w:t>
      </w:r>
      <w:r>
        <w:t>justice, community services and policing support working principally at the agency level to help improve service delivery, particularly to women, children and youth.  P</w:t>
      </w:r>
      <w:r w:rsidRPr="0061781B">
        <w:t xml:space="preserve">artners </w:t>
      </w:r>
      <w:r>
        <w:t>for SRBJS will be the VPF, the</w:t>
      </w:r>
      <w:r w:rsidRPr="0061781B">
        <w:t xml:space="preserve"> agencies,</w:t>
      </w:r>
      <w:r>
        <w:t xml:space="preserve"> departments,</w:t>
      </w:r>
      <w:r w:rsidRPr="0061781B">
        <w:t xml:space="preserve"> statutory and constitutional bodies that make up the </w:t>
      </w:r>
      <w:r>
        <w:t>Justice and Community Services Sector (JCSS) including MJCS, the Judiciary,</w:t>
      </w:r>
      <w:r w:rsidRPr="0061781B">
        <w:t xml:space="preserve"> </w:t>
      </w:r>
      <w:proofErr w:type="spellStart"/>
      <w:r>
        <w:t>MoIA</w:t>
      </w:r>
      <w:proofErr w:type="spellEnd"/>
      <w:r>
        <w:t xml:space="preserve">, the </w:t>
      </w:r>
      <w:r w:rsidRPr="00630564">
        <w:t>Prime Minister’s Office</w:t>
      </w:r>
      <w:r>
        <w:t xml:space="preserve"> (PMO) (Aid Coordination), and select civil society organisations such as </w:t>
      </w:r>
      <w:r w:rsidRPr="0061781B">
        <w:t xml:space="preserve">the Vanuatu Women's Centre </w:t>
      </w:r>
      <w:r>
        <w:t>(VWC) and Vanuatu Society for People with Disability (VSDP)</w:t>
      </w:r>
      <w:r w:rsidRPr="0061781B">
        <w:t>.</w:t>
      </w:r>
      <w:r>
        <w:t xml:space="preserve">  </w:t>
      </w:r>
    </w:p>
    <w:p w:rsidR="00CA7A38" w:rsidRPr="007C3176" w:rsidRDefault="00CA7A38" w:rsidP="00E70031">
      <w:pPr>
        <w:spacing w:before="240" w:line="276" w:lineRule="auto"/>
        <w:jc w:val="both"/>
      </w:pPr>
      <w:r>
        <w:t xml:space="preserve">The kinds of </w:t>
      </w:r>
      <w:r w:rsidRPr="001C335C">
        <w:t>challenges</w:t>
      </w:r>
      <w:r>
        <w:t xml:space="preserve"> facing the sector, described in section two, </w:t>
      </w:r>
      <w:r w:rsidRPr="001C335C">
        <w:t>cannot be addressed</w:t>
      </w:r>
      <w:r>
        <w:t xml:space="preserve"> by</w:t>
      </w:r>
      <w:r w:rsidRPr="001C335C">
        <w:t xml:space="preserve"> focuss</w:t>
      </w:r>
      <w:r>
        <w:t xml:space="preserve">ing </w:t>
      </w:r>
      <w:r w:rsidRPr="001C335C">
        <w:t xml:space="preserve">on </w:t>
      </w:r>
      <w:r>
        <w:t xml:space="preserve">institutional capacity development alone.  </w:t>
      </w:r>
      <w:r w:rsidRPr="001C335C">
        <w:t>It requires thinking creatively about how to promote change so that the end</w:t>
      </w:r>
      <w:r>
        <w:t>-</w:t>
      </w:r>
      <w:r w:rsidRPr="001C335C">
        <w:t>users of these institutions</w:t>
      </w:r>
      <w:r>
        <w:t xml:space="preserve"> — the community of Vanuatu — experience </w:t>
      </w:r>
      <w:r w:rsidRPr="001C335C">
        <w:t>a measurable difference in how these institutions operate.</w:t>
      </w:r>
      <w:r>
        <w:t xml:space="preserve">  So SRBJS will involve a stronger focus (than did PJSPV) on working across the interface between the state </w:t>
      </w:r>
      <w:r>
        <w:rPr>
          <w:rFonts w:eastAsiaTheme="minorEastAsia" w:cstheme="minorHAnsi"/>
        </w:rPr>
        <w:t xml:space="preserve">policing, justice and community services sector and the non-state justice system (for example, churches and chiefly structures).  The program will put more emphasis and attention on what happens at the community level, including the impact on and experiences of end-users of both the state and non-state systems.  </w:t>
      </w:r>
    </w:p>
    <w:p w:rsidR="00CA7A38" w:rsidRDefault="00CA7A38" w:rsidP="00E70031">
      <w:pPr>
        <w:spacing w:before="240" w:line="276" w:lineRule="auto"/>
        <w:jc w:val="both"/>
        <w:rPr>
          <w:rFonts w:eastAsiaTheme="minorEastAsia" w:cstheme="minorHAnsi"/>
        </w:rPr>
      </w:pPr>
      <w:r>
        <w:rPr>
          <w:rFonts w:eastAsiaTheme="minorEastAsia" w:cstheme="minorHAnsi"/>
        </w:rPr>
        <w:lastRenderedPageBreak/>
        <w:t>This approach builds on two large research pieces completed under PJSPV which investigated conflict management at the community level and its interface with the formal, or state, policing and justice agencies.  In one location (</w:t>
      </w:r>
      <w:proofErr w:type="spellStart"/>
      <w:r>
        <w:rPr>
          <w:rFonts w:eastAsiaTheme="minorEastAsia" w:cstheme="minorHAnsi"/>
        </w:rPr>
        <w:t>Malekula</w:t>
      </w:r>
      <w:proofErr w:type="spellEnd"/>
      <w:r>
        <w:rPr>
          <w:rFonts w:eastAsiaTheme="minorEastAsia" w:cstheme="minorHAnsi"/>
        </w:rPr>
        <w:t>), the research focused on conflict management and access to justice in rural Vanuatu, with a particular interest on how this impacted on women victims of gender-based violence.  In the other location (</w:t>
      </w:r>
      <w:proofErr w:type="spellStart"/>
      <w:r>
        <w:rPr>
          <w:rFonts w:eastAsiaTheme="minorEastAsia" w:cstheme="minorHAnsi"/>
        </w:rPr>
        <w:t>Blacksands</w:t>
      </w:r>
      <w:proofErr w:type="spellEnd"/>
      <w:r>
        <w:rPr>
          <w:rFonts w:eastAsiaTheme="minorEastAsia" w:cstheme="minorHAnsi"/>
        </w:rPr>
        <w:t xml:space="preserve">), using the same methodology, the research focused on youth in conflict with the law in a peri-urban location.  </w:t>
      </w:r>
    </w:p>
    <w:p w:rsidR="00CA7A38" w:rsidRPr="00BB1CBF" w:rsidRDefault="00CA7A38" w:rsidP="00E70031">
      <w:pPr>
        <w:spacing w:before="240" w:line="276" w:lineRule="auto"/>
        <w:jc w:val="both"/>
      </w:pPr>
      <w:r>
        <w:rPr>
          <w:rFonts w:eastAsiaTheme="minorEastAsia" w:cstheme="minorHAnsi"/>
        </w:rPr>
        <w:t xml:space="preserve">The research findings provide a robust foundation for sound, evidence-based development programming.  The research makes recommendations for tailored pilot initiatives in </w:t>
      </w:r>
      <w:proofErr w:type="spellStart"/>
      <w:r>
        <w:rPr>
          <w:rFonts w:eastAsiaTheme="minorEastAsia" w:cstheme="minorHAnsi"/>
        </w:rPr>
        <w:t>Malekula</w:t>
      </w:r>
      <w:proofErr w:type="spellEnd"/>
      <w:r>
        <w:rPr>
          <w:rFonts w:eastAsiaTheme="minorEastAsia" w:cstheme="minorHAnsi"/>
        </w:rPr>
        <w:t xml:space="preserve"> and </w:t>
      </w:r>
      <w:proofErr w:type="spellStart"/>
      <w:r>
        <w:rPr>
          <w:rFonts w:eastAsiaTheme="minorEastAsia" w:cstheme="minorHAnsi"/>
        </w:rPr>
        <w:t>Blacksands</w:t>
      </w:r>
      <w:proofErr w:type="spellEnd"/>
      <w:r>
        <w:rPr>
          <w:rFonts w:eastAsiaTheme="minorEastAsia" w:cstheme="minorHAnsi"/>
        </w:rPr>
        <w:t xml:space="preserve"> for implementation, in a careful way, during SRBJS.  This design is not prescriptive about the pilot initiatives so as to allow for maximum flexibility as approaches are explored and tested.  The research refers to “community conflict managers” — these are the targeted non-state actors to which this program design document refers.  The label, or grouping, of “community conflict managers” includes chiefs, religious leaders and families.</w:t>
      </w:r>
    </w:p>
    <w:p w:rsidR="00CA7A38" w:rsidRDefault="00CA7A38" w:rsidP="00E70031">
      <w:pPr>
        <w:spacing w:before="240" w:line="276" w:lineRule="auto"/>
        <w:jc w:val="both"/>
      </w:pPr>
      <w:r>
        <w:t xml:space="preserve">Like PJSPV, in SRBJS support to policing will involve AFP personnel providing expert policing advice to the VPF.  The support to justice and community services will similarly involve advisers providing expert law and justice as well as corporate services advice.  The managing contractor will implement the support on justice and community services (and will be responsible for whole of program administration as per section 4.1 below).  Also, a number of SRBJS advisers will continue to work across policing, justice and community services on the following issues: prosecutions, public financial management, human resource management, case and data management, and monitoring and evaluation.  Capacity development advisory assistance will be provided to the program, tailored as required.  The main focus of the Capacity Development Adviser role will be on justice and community </w:t>
      </w:r>
      <w:proofErr w:type="gramStart"/>
      <w:r>
        <w:t>services,</w:t>
      </w:r>
      <w:proofErr w:type="gramEnd"/>
      <w:r>
        <w:t xml:space="preserve"> though will be available to provide targeted support on policing as appropriate and under the direction of the Program Coordinator (Policing).  </w:t>
      </w:r>
    </w:p>
    <w:p w:rsidR="00CA7A38" w:rsidRDefault="00CA7A38" w:rsidP="00E70031">
      <w:pPr>
        <w:spacing w:before="240" w:line="276" w:lineRule="auto"/>
        <w:jc w:val="both"/>
      </w:pPr>
      <w:r>
        <w:t xml:space="preserve">The program is a unique design model for DFAT and AFP and has been a trial in terms of the modality, governance arrangements and programming.  This implementation model has worked well in PJSPV and has delivered results — the modality is the right approach in the context so will continue.  </w:t>
      </w:r>
      <w:r w:rsidRPr="009F66BD" w:rsidDel="00FD655E">
        <w:t>Responsibility for safety, security and access to justice involves a range of people and institutions working together.</w:t>
      </w:r>
      <w:r w:rsidRPr="009F66BD">
        <w:t xml:space="preserve">  This DFAT-AFP</w:t>
      </w:r>
      <w:r>
        <w:t>-managing contractor</w:t>
      </w:r>
      <w:r w:rsidRPr="009F66BD">
        <w:t xml:space="preserve"> </w:t>
      </w:r>
      <w:r>
        <w:t xml:space="preserve">modality </w:t>
      </w:r>
      <w:r w:rsidRPr="009F66BD">
        <w:t>recognises that many of the initiatives proposed can only proceed with active involvement from multiple agencies across the policing, justice and community services sector.</w:t>
      </w:r>
      <w:r>
        <w:t xml:space="preserve">  And so it makes sense for </w:t>
      </w:r>
      <w:proofErr w:type="spellStart"/>
      <w:r>
        <w:t>GoA</w:t>
      </w:r>
      <w:proofErr w:type="spellEnd"/>
      <w:r>
        <w:t xml:space="preserve"> to continue to provide assistance in an integrated way that reflects this.  </w:t>
      </w:r>
      <w:r w:rsidRPr="009F66BD">
        <w:t>This design aims to</w:t>
      </w:r>
      <w:r>
        <w:t xml:space="preserve"> build on the collaborative approach between policing and justice support that has characterised PJSPV.  </w:t>
      </w:r>
    </w:p>
    <w:p w:rsidR="008E166E" w:rsidRDefault="008E166E" w:rsidP="00E70031">
      <w:pPr>
        <w:spacing w:before="240" w:line="276" w:lineRule="auto"/>
        <w:jc w:val="both"/>
      </w:pPr>
      <w:r>
        <w:t xml:space="preserve">The program design will be implemented jointly by the AFP and the managing contractor, and will </w:t>
      </w:r>
      <w:r w:rsidRPr="00123993">
        <w:rPr>
          <w:szCs w:val="24"/>
        </w:rPr>
        <w:t>work closely and collaboratively under the direction and oversight of DFAT</w:t>
      </w:r>
      <w:r>
        <w:rPr>
          <w:szCs w:val="24"/>
        </w:rPr>
        <w:t xml:space="preserve">. The AFP will be responsible for the </w:t>
      </w:r>
      <w:r w:rsidRPr="00123993">
        <w:t xml:space="preserve">technical implementation and strategic direction of the </w:t>
      </w:r>
      <w:r>
        <w:t xml:space="preserve">policing aspects of the program. The managing contractor will </w:t>
      </w:r>
      <w:r>
        <w:rPr>
          <w:szCs w:val="24"/>
        </w:rPr>
        <w:t xml:space="preserve">be responsible for the </w:t>
      </w:r>
      <w:r w:rsidRPr="00123993">
        <w:t xml:space="preserve">technical implementation and strategic direction of the </w:t>
      </w:r>
      <w:r>
        <w:t xml:space="preserve">justice aspects of the program, and overall program administration. The managing contractor will also have responsibility for </w:t>
      </w:r>
      <w:proofErr w:type="spellStart"/>
      <w:r>
        <w:t>manging</w:t>
      </w:r>
      <w:proofErr w:type="spellEnd"/>
      <w:r>
        <w:t xml:space="preserve"> the in-country AFP-designate policing adviser support costs. </w:t>
      </w:r>
      <w:r>
        <w:rPr>
          <w:snapToGrid w:val="0"/>
        </w:rPr>
        <w:t>The AFP will work with DFAT through a separate agreement under DFAT’s Record of Understanding (ROU) with the AFP to provide three specialist policing advisers for the program.</w:t>
      </w:r>
    </w:p>
    <w:p w:rsidR="00CA7A38" w:rsidRDefault="00CA7A38" w:rsidP="00E70031">
      <w:pPr>
        <w:spacing w:line="276" w:lineRule="auto"/>
        <w:jc w:val="both"/>
      </w:pPr>
      <w:r>
        <w:lastRenderedPageBreak/>
        <w:t>Some examples of the value of joining assistance for policing and justice in one program include: prosecutors can</w:t>
      </w:r>
      <w:r w:rsidRPr="00392385">
        <w:t xml:space="preserve"> be more effective </w:t>
      </w:r>
      <w:r>
        <w:t xml:space="preserve">by </w:t>
      </w:r>
      <w:r w:rsidRPr="00392385">
        <w:t>working with VPF</w:t>
      </w:r>
      <w:r>
        <w:t xml:space="preserve"> investigators</w:t>
      </w:r>
      <w:r w:rsidRPr="00392385">
        <w:t xml:space="preserve"> to</w:t>
      </w:r>
      <w:r>
        <w:t xml:space="preserve"> improve the quality of briefs.  </w:t>
      </w:r>
      <w:r w:rsidRPr="00392385">
        <w:t xml:space="preserve">Tracking criminal cases through the system is </w:t>
      </w:r>
      <w:r>
        <w:t xml:space="preserve">more effective </w:t>
      </w:r>
      <w:r w:rsidRPr="00392385">
        <w:t xml:space="preserve">if </w:t>
      </w:r>
      <w:r>
        <w:t xml:space="preserve">each agency, including the police as the entry point, </w:t>
      </w:r>
      <w:r w:rsidRPr="00392385">
        <w:t xml:space="preserve">record </w:t>
      </w:r>
      <w:r>
        <w:t xml:space="preserve">information and cases </w:t>
      </w:r>
      <w:r w:rsidRPr="00392385">
        <w:t>accurately</w:t>
      </w:r>
      <w:r>
        <w:t xml:space="preserve">.  </w:t>
      </w:r>
      <w:r w:rsidRPr="00392385">
        <w:t>Work on addressing gender</w:t>
      </w:r>
      <w:r>
        <w:t>-</w:t>
      </w:r>
      <w:r w:rsidRPr="00392385">
        <w:t xml:space="preserve">based violence will be </w:t>
      </w:r>
      <w:r>
        <w:t xml:space="preserve">more </w:t>
      </w:r>
      <w:r w:rsidRPr="00392385">
        <w:t xml:space="preserve">robust if it </w:t>
      </w:r>
      <w:r>
        <w:t xml:space="preserve">actively includes and involves the police and justice institutions.  </w:t>
      </w:r>
      <w:r w:rsidRPr="00392385">
        <w:t>While it is possible to improve various aspects of the criminal just</w:t>
      </w:r>
      <w:r>
        <w:t xml:space="preserve">ice chain at individual and agency levels, engaging with the sector as a whole ensures all </w:t>
      </w:r>
      <w:r w:rsidRPr="00392385">
        <w:t>piece</w:t>
      </w:r>
      <w:r>
        <w:t>s</w:t>
      </w:r>
      <w:r w:rsidRPr="00392385">
        <w:t xml:space="preserve"> of the jigsaw </w:t>
      </w:r>
      <w:r>
        <w:t>are accounted for</w:t>
      </w:r>
      <w:r w:rsidRPr="00392385">
        <w:t>.</w:t>
      </w:r>
      <w:r>
        <w:t xml:space="preserve">  These examples make clear why SRBJS supports a whole-of-sector strengthening approach.</w:t>
      </w:r>
      <w:r>
        <w:rPr>
          <w:rStyle w:val="FootnoteReference"/>
        </w:rPr>
        <w:footnoteReference w:id="44"/>
      </w:r>
      <w:r>
        <w:t xml:space="preserve">  </w:t>
      </w:r>
    </w:p>
    <w:p w:rsidR="00CA7A38" w:rsidRDefault="00CA7A38" w:rsidP="00E70031">
      <w:pPr>
        <w:spacing w:line="276" w:lineRule="auto"/>
        <w:jc w:val="both"/>
      </w:pPr>
      <w:r>
        <w:t>SRBJS will continue to provide support for institutional strengthening, or organisational capacity development, recognising that this is necessary to drive the program but alone is unlikely to deliver results to the target beneficiaries.  This form of support has the ability to absorb infinite resources but has been shown, over an extended period of law and justice development assistance, to be of limited benefit to improving human wellbeing.  So the SRBJS approach resists a simple top-down, supply driven approach but works both from a top-down and bottom-up, demand driven direction, at times targeting both simultaneously to magnify results.  The approach features interventions that focus on both state and non-state actors within the sector and that work to strengthen supply and demand.  This builds on international good practice and recommendations of an evaluation of Australian law and justice assistance providing that Australia should avoid a singular focus on state institutions and instead take a multi-dimensional approach to capacity development.</w:t>
      </w:r>
      <w:r>
        <w:rPr>
          <w:rStyle w:val="FootnoteReference"/>
        </w:rPr>
        <w:footnoteReference w:id="45"/>
      </w:r>
      <w:r>
        <w:t xml:space="preserve">     </w:t>
      </w:r>
    </w:p>
    <w:p w:rsidR="00CA7A38" w:rsidRDefault="00CA7A38" w:rsidP="00E70031">
      <w:pPr>
        <w:spacing w:line="276" w:lineRule="auto"/>
        <w:jc w:val="both"/>
      </w:pPr>
      <w:r>
        <w:t>The strategic vision of the design is to drive the benefits of the interventions to the target beneficiaries through the enabling support to the sector, while implementing concurrent activities more directly at the level at which change is sought for the target beneficiaries (children, women and youth).  The approach recognises that the two systems of state and non-state justice (otherwise termed formal and customary justice) do not function in complete isolation or in parallel from each other, but rather as interwoven in many, sometimes invisible, ways.</w:t>
      </w:r>
      <w:r>
        <w:rPr>
          <w:rStyle w:val="FootnoteReference"/>
        </w:rPr>
        <w:footnoteReference w:id="46"/>
      </w:r>
    </w:p>
    <w:p w:rsidR="00CA7A38" w:rsidRDefault="00CA7A38" w:rsidP="00E70031">
      <w:pPr>
        <w:spacing w:line="276" w:lineRule="auto"/>
        <w:jc w:val="both"/>
        <w:rPr>
          <w:rFonts w:cstheme="minorHAnsi"/>
        </w:rPr>
      </w:pPr>
      <w:r>
        <w:rPr>
          <w:rFonts w:cstheme="minorHAnsi"/>
        </w:rPr>
        <w:t xml:space="preserve">SRBJS </w:t>
      </w:r>
      <w:r w:rsidRPr="00917386">
        <w:rPr>
          <w:rFonts w:cstheme="minorHAnsi"/>
        </w:rPr>
        <w:t>features a mixture of delivery mechanisms: provision of experts and other technical assistance, financial contributions t</w:t>
      </w:r>
      <w:r>
        <w:rPr>
          <w:rFonts w:cstheme="minorHAnsi"/>
        </w:rPr>
        <w:t>o core sector agencies, infrastructure and information systems support</w:t>
      </w:r>
      <w:r w:rsidRPr="00917386">
        <w:rPr>
          <w:rFonts w:cstheme="minorHAnsi"/>
        </w:rPr>
        <w:t>, provision of</w:t>
      </w:r>
      <w:r>
        <w:rPr>
          <w:rFonts w:cstheme="minorHAnsi"/>
        </w:rPr>
        <w:t xml:space="preserve"> grants, </w:t>
      </w:r>
      <w:r w:rsidRPr="00917386">
        <w:rPr>
          <w:rFonts w:cstheme="minorHAnsi"/>
        </w:rPr>
        <w:t>and support for participation in select</w:t>
      </w:r>
      <w:r>
        <w:rPr>
          <w:rFonts w:cstheme="minorHAnsi"/>
        </w:rPr>
        <w:t xml:space="preserve"> and (program) relevant</w:t>
      </w:r>
      <w:r w:rsidRPr="00917386">
        <w:rPr>
          <w:rFonts w:cstheme="minorHAnsi"/>
        </w:rPr>
        <w:t xml:space="preserve"> regional networks.</w:t>
      </w:r>
    </w:p>
    <w:p w:rsidR="00CA7A38" w:rsidRDefault="00CA7A38" w:rsidP="00E70031">
      <w:pPr>
        <w:spacing w:line="276" w:lineRule="auto"/>
        <w:jc w:val="both"/>
        <w:rPr>
          <w:rFonts w:cstheme="minorHAnsi"/>
        </w:rPr>
      </w:pPr>
      <w:r>
        <w:rPr>
          <w:rFonts w:cstheme="minorHAnsi"/>
        </w:rPr>
        <w:t xml:space="preserve">With respect to program scope, SRBJS will not be able to involve itself in matters related substantively to land management/dispute resolution.  As the Customary Land Management Office (CLMO) is under the Ministry of Justice and Community Services and the </w:t>
      </w:r>
      <w:proofErr w:type="spellStart"/>
      <w:r>
        <w:rPr>
          <w:rFonts w:cstheme="minorHAnsi"/>
        </w:rPr>
        <w:t>Malvatumauri</w:t>
      </w:r>
      <w:proofErr w:type="spellEnd"/>
      <w:r>
        <w:rPr>
          <w:rFonts w:cstheme="minorHAnsi"/>
        </w:rPr>
        <w:t xml:space="preserve"> National Council of Chiefs (MCC) is part of the sector, the program may assist CLMO and MCC with institutional strengthening as requested.  It will not, however, be able to engage on substantive land justice issues.  </w:t>
      </w:r>
    </w:p>
    <w:p w:rsidR="00CA7A38" w:rsidRDefault="00CA7A38" w:rsidP="00E70031">
      <w:pPr>
        <w:spacing w:line="276" w:lineRule="auto"/>
        <w:jc w:val="both"/>
      </w:pPr>
      <w:r>
        <w:rPr>
          <w:rFonts w:cstheme="minorHAnsi"/>
        </w:rPr>
        <w:lastRenderedPageBreak/>
        <w:t>SRBJS will work collaboratively with all other sector development programs and initiatives.  SRBJS will work to ensure ongoing and effective coordination with other donors and harmonisation with other activities in the sector.  This is detailed in section 3.8 below.</w:t>
      </w:r>
    </w:p>
    <w:p w:rsidR="00CA7A38" w:rsidRPr="00AA443E" w:rsidRDefault="00CA7A38" w:rsidP="00E70031">
      <w:pPr>
        <w:spacing w:line="276" w:lineRule="auto"/>
        <w:jc w:val="both"/>
      </w:pPr>
    </w:p>
    <w:p w:rsidR="00CA7A38" w:rsidRDefault="00CA7A38" w:rsidP="00E70031">
      <w:pPr>
        <w:pStyle w:val="Heading3"/>
        <w:numPr>
          <w:ilvl w:val="0"/>
          <w:numId w:val="40"/>
        </w:numPr>
        <w:spacing w:line="276" w:lineRule="auto"/>
        <w:jc w:val="both"/>
        <w:rPr>
          <w:rFonts w:asciiTheme="minorHAnsi" w:hAnsiTheme="minorHAnsi"/>
          <w:color w:val="auto"/>
          <w:sz w:val="22"/>
          <w:szCs w:val="22"/>
        </w:rPr>
      </w:pPr>
      <w:r w:rsidRPr="00F07816">
        <w:rPr>
          <w:rFonts w:asciiTheme="minorHAnsi" w:hAnsiTheme="minorHAnsi"/>
          <w:color w:val="auto"/>
          <w:sz w:val="22"/>
          <w:szCs w:val="22"/>
        </w:rPr>
        <w:t xml:space="preserve">Overview of </w:t>
      </w:r>
      <w:r>
        <w:rPr>
          <w:rFonts w:asciiTheme="minorHAnsi" w:hAnsiTheme="minorHAnsi"/>
          <w:color w:val="auto"/>
          <w:sz w:val="22"/>
          <w:szCs w:val="22"/>
        </w:rPr>
        <w:t>Program Support for P</w:t>
      </w:r>
      <w:r w:rsidRPr="00F07816">
        <w:rPr>
          <w:rFonts w:asciiTheme="minorHAnsi" w:hAnsiTheme="minorHAnsi"/>
          <w:color w:val="auto"/>
          <w:sz w:val="22"/>
          <w:szCs w:val="22"/>
        </w:rPr>
        <w:t xml:space="preserve">olicing </w:t>
      </w:r>
    </w:p>
    <w:p w:rsidR="00CA7A38" w:rsidRDefault="00CA7A38" w:rsidP="00E70031">
      <w:pPr>
        <w:spacing w:before="240" w:line="276" w:lineRule="auto"/>
        <w:jc w:val="both"/>
      </w:pPr>
      <w:r>
        <w:t>In response to GoV requests for assistance, program support to policing will consist of AFP advisers providing expert policing advice to the VPF.  This will be complemented by civilian advisers providing expert advice to the VPF in a range of other areas including public financial management, human resource management, case and data management, monitoring and evaluation and planning and reporting.  Targeted capacity development advisory support related to women’s professional participation and leadership in the VPF may also be provided.  Program support to policing also involves support for use of a new police information management system (PIMS) and continued financial support for non-salaried operational and maintenance activities.  This financial support is provided through the VPF Operational Fund, described in more detail below.</w:t>
      </w:r>
    </w:p>
    <w:p w:rsidR="00CA7A38" w:rsidRDefault="00CA7A38" w:rsidP="00E70031">
      <w:pPr>
        <w:spacing w:before="240" w:line="276" w:lineRule="auto"/>
        <w:jc w:val="both"/>
      </w:pPr>
      <w:r>
        <w:t xml:space="preserve">The Program Coordinator (Policing) will provide </w:t>
      </w:r>
      <w:r w:rsidRPr="004B309C">
        <w:t>high</w:t>
      </w:r>
      <w:r>
        <w:t>-</w:t>
      </w:r>
      <w:r w:rsidRPr="004B309C">
        <w:t>level strategic advice to the Commissioner of Police and the VPF Executive.</w:t>
      </w:r>
      <w:r>
        <w:t xml:space="preserve">  </w:t>
      </w:r>
      <w:r w:rsidRPr="004B309C">
        <w:t xml:space="preserve">While </w:t>
      </w:r>
      <w:r>
        <w:t>this</w:t>
      </w:r>
      <w:r w:rsidRPr="004B309C">
        <w:t xml:space="preserve"> will</w:t>
      </w:r>
      <w:r>
        <w:t>, in part, involve</w:t>
      </w:r>
      <w:r w:rsidRPr="004B309C">
        <w:t xml:space="preserve"> provision of responsive advice on an </w:t>
      </w:r>
      <w:r w:rsidRPr="004B309C">
        <w:rPr>
          <w:i/>
        </w:rPr>
        <w:t>ad hoc</w:t>
      </w:r>
      <w:r w:rsidRPr="004B309C">
        <w:t xml:space="preserve"> basis, the position will have a clear responsibility to advance strategic engagement </w:t>
      </w:r>
      <w:r>
        <w:t>defined in the first instance by what the VPF have envisioned in their strategic plan.  This will include, inter alia, enhancing</w:t>
      </w:r>
      <w:r w:rsidRPr="004B309C">
        <w:t xml:space="preserve"> women's profes</w:t>
      </w:r>
      <w:r>
        <w:t>sional participation in the VPF,</w:t>
      </w:r>
      <w:r>
        <w:rPr>
          <w:rStyle w:val="FootnoteReference"/>
        </w:rPr>
        <w:footnoteReference w:id="47"/>
      </w:r>
      <w:r>
        <w:t xml:space="preserve"> </w:t>
      </w:r>
      <w:r w:rsidRPr="00BF48C1">
        <w:t>police responses to family and gender based violence</w:t>
      </w:r>
      <w:r>
        <w:t>, strengthening the CSU, issues of police discipline and accountability, the progressive roll-out of PIMS, tailored pilot</w:t>
      </w:r>
      <w:r w:rsidRPr="00BF48C1">
        <w:t xml:space="preserve"> initiatives in targeted locations</w:t>
      </w:r>
      <w:r>
        <w:t>, and</w:t>
      </w:r>
      <w:r w:rsidRPr="00BF48C1">
        <w:t xml:space="preserve"> increasing servi</w:t>
      </w:r>
      <w:r>
        <w:t>ce delivery in provincial areas.</w:t>
      </w:r>
    </w:p>
    <w:p w:rsidR="00CA7A38" w:rsidRDefault="00CA7A38" w:rsidP="00E70031">
      <w:pPr>
        <w:spacing w:line="276" w:lineRule="auto"/>
        <w:jc w:val="both"/>
      </w:pPr>
      <w:r>
        <w:t xml:space="preserve">Ongoing </w:t>
      </w:r>
      <w:r w:rsidRPr="004B309C">
        <w:t>f</w:t>
      </w:r>
      <w:r>
        <w:t xml:space="preserve">inancial </w:t>
      </w:r>
      <w:r w:rsidRPr="004B309C">
        <w:t>support</w:t>
      </w:r>
      <w:r>
        <w:t xml:space="preserve"> to the</w:t>
      </w:r>
      <w:r w:rsidRPr="004B309C">
        <w:t xml:space="preserve"> VPF</w:t>
      </w:r>
      <w:r>
        <w:t>, through the Operational Fund, should continue but</w:t>
      </w:r>
      <w:r w:rsidRPr="004B309C">
        <w:t xml:space="preserve"> needs to be </w:t>
      </w:r>
      <w:r>
        <w:t>complemented</w:t>
      </w:r>
      <w:r w:rsidRPr="004B309C">
        <w:t xml:space="preserve"> with parallel ste</w:t>
      </w:r>
      <w:r>
        <w:t xml:space="preserve">ps to improve the VPF’s abilities to manage their own resources and aid dependency.  This includes ongoing public financial management and human resource management (includes workforce planning) advisory assistance, outlined above.  Working with the VPF, SRBJS will explore options to fund and support a dedicated, full-time adviser to the VPF CSU to support the effective management and functioning of the CSU (this advisory support will be in addition to cross-sector program advisers providing support to CSU).  This strategy has the potential to greatly strengthen the CSU as well as the VPF’s service delivery capacity more broadly.  </w:t>
      </w:r>
    </w:p>
    <w:p w:rsidR="00CA7A38" w:rsidRDefault="00CA7A38" w:rsidP="00E70031">
      <w:pPr>
        <w:spacing w:line="276" w:lineRule="auto"/>
        <w:jc w:val="both"/>
        <w:rPr>
          <w:rFonts w:cstheme="minorHAnsi"/>
        </w:rPr>
      </w:pPr>
      <w:r>
        <w:t xml:space="preserve">AFP personnel will continue to provide support for </w:t>
      </w:r>
      <w:r w:rsidRPr="00594DE6">
        <w:rPr>
          <w:rFonts w:cstheme="minorHAnsi"/>
        </w:rPr>
        <w:t>VPF investigations,</w:t>
      </w:r>
      <w:r>
        <w:rPr>
          <w:rFonts w:cstheme="minorHAnsi"/>
        </w:rPr>
        <w:t xml:space="preserve"> police</w:t>
      </w:r>
      <w:r w:rsidRPr="00594DE6">
        <w:rPr>
          <w:rFonts w:cstheme="minorHAnsi"/>
        </w:rPr>
        <w:t xml:space="preserve"> prosecutions, professional standards and the police training college</w:t>
      </w:r>
      <w:r>
        <w:rPr>
          <w:rFonts w:cstheme="minorHAnsi"/>
        </w:rPr>
        <w:t xml:space="preserve"> functions.  </w:t>
      </w:r>
      <w:r>
        <w:t xml:space="preserve">Also, this design creates a new adviser position to support the VPF to </w:t>
      </w:r>
      <w:r w:rsidRPr="009B57CE">
        <w:rPr>
          <w:rFonts w:cstheme="minorHAnsi"/>
        </w:rPr>
        <w:t>improve handling of domes</w:t>
      </w:r>
      <w:r>
        <w:rPr>
          <w:rFonts w:cstheme="minorHAnsi"/>
        </w:rPr>
        <w:t>tic violence offences; the position</w:t>
      </w:r>
      <w:r w:rsidRPr="009B57CE">
        <w:rPr>
          <w:rFonts w:cstheme="minorHAnsi"/>
        </w:rPr>
        <w:t xml:space="preserve"> includes support to the Family Protection Unit</w:t>
      </w:r>
      <w:r>
        <w:rPr>
          <w:rFonts w:cstheme="minorHAnsi"/>
        </w:rPr>
        <w:t xml:space="preserve"> as well as crime prevention and community engagement functions.</w:t>
      </w:r>
      <w:r>
        <w:rPr>
          <w:rStyle w:val="FootnoteReference"/>
          <w:rFonts w:cstheme="minorHAnsi"/>
        </w:rPr>
        <w:footnoteReference w:id="48"/>
      </w:r>
      <w:r>
        <w:rPr>
          <w:rFonts w:cstheme="minorHAnsi"/>
        </w:rPr>
        <w:t xml:space="preserve">  Advisers will</w:t>
      </w:r>
      <w:r w:rsidRPr="00594DE6">
        <w:rPr>
          <w:rFonts w:cstheme="minorHAnsi"/>
        </w:rPr>
        <w:t xml:space="preserve"> support in-house skills development</w:t>
      </w:r>
      <w:r>
        <w:rPr>
          <w:rFonts w:cstheme="minorHAnsi"/>
        </w:rPr>
        <w:t xml:space="preserve">, workplace efficiency and effectiveness, </w:t>
      </w:r>
      <w:r w:rsidRPr="00594DE6">
        <w:rPr>
          <w:rFonts w:cstheme="minorHAnsi"/>
        </w:rPr>
        <w:t>and provide technical one-on-one ‘real-time’ advice</w:t>
      </w:r>
      <w:r>
        <w:rPr>
          <w:rFonts w:cstheme="minorHAnsi"/>
        </w:rPr>
        <w:t xml:space="preserve">.  </w:t>
      </w:r>
    </w:p>
    <w:p w:rsidR="00CA7A38" w:rsidRDefault="00CA7A38" w:rsidP="00E70031">
      <w:pPr>
        <w:spacing w:line="276" w:lineRule="auto"/>
        <w:jc w:val="both"/>
        <w:rPr>
          <w:rFonts w:cstheme="minorHAnsi"/>
        </w:rPr>
      </w:pPr>
      <w:r>
        <w:rPr>
          <w:rFonts w:cstheme="minorHAnsi"/>
        </w:rPr>
        <w:lastRenderedPageBreak/>
        <w:t>All advisers supporting the VPF will:</w:t>
      </w:r>
    </w:p>
    <w:p w:rsidR="00453310" w:rsidRPr="00453310" w:rsidRDefault="00453310" w:rsidP="00E70031">
      <w:pPr>
        <w:pStyle w:val="ListParagraph"/>
        <w:numPr>
          <w:ilvl w:val="0"/>
          <w:numId w:val="53"/>
        </w:numPr>
        <w:spacing w:line="276" w:lineRule="auto"/>
        <w:jc w:val="both"/>
      </w:pPr>
      <w:r>
        <w:t>Ensure that all activities and programming is working towards meeting the program’s end of program outcomes;</w:t>
      </w:r>
    </w:p>
    <w:p w:rsidR="00CA7A38" w:rsidRPr="006032CE" w:rsidRDefault="00CA7A38" w:rsidP="00E70031">
      <w:pPr>
        <w:pStyle w:val="ListParagraph"/>
        <w:numPr>
          <w:ilvl w:val="0"/>
          <w:numId w:val="53"/>
        </w:numPr>
        <w:spacing w:line="276" w:lineRule="auto"/>
        <w:jc w:val="both"/>
      </w:pPr>
      <w:r>
        <w:rPr>
          <w:rFonts w:cstheme="minorHAnsi"/>
        </w:rPr>
        <w:t>A</w:t>
      </w:r>
      <w:r w:rsidRPr="00F61214">
        <w:rPr>
          <w:rFonts w:cstheme="minorHAnsi"/>
        </w:rPr>
        <w:t>ssist</w:t>
      </w:r>
      <w:r w:rsidRPr="001B3F1A">
        <w:rPr>
          <w:rFonts w:cstheme="minorHAnsi"/>
        </w:rPr>
        <w:t xml:space="preserve"> to strengthen a</w:t>
      </w:r>
      <w:r w:rsidRPr="006032CE">
        <w:rPr>
          <w:rFonts w:cstheme="minorHAnsi"/>
        </w:rPr>
        <w:t>nd</w:t>
      </w:r>
      <w:r>
        <w:rPr>
          <w:rFonts w:cstheme="minorHAnsi"/>
        </w:rPr>
        <w:t>/or</w:t>
      </w:r>
      <w:r w:rsidRPr="006032CE">
        <w:rPr>
          <w:rFonts w:cstheme="minorHAnsi"/>
        </w:rPr>
        <w:t xml:space="preserve"> implement endorsed VPF policies, processes and governance frameworks</w:t>
      </w:r>
      <w:r>
        <w:rPr>
          <w:rFonts w:cstheme="minorHAnsi"/>
        </w:rPr>
        <w:t>, including the VPF Strategic Plan;</w:t>
      </w:r>
    </w:p>
    <w:p w:rsidR="00CA7A38" w:rsidRPr="006032CE" w:rsidRDefault="00CA7A38" w:rsidP="00E70031">
      <w:pPr>
        <w:pStyle w:val="ListParagraph"/>
        <w:numPr>
          <w:ilvl w:val="0"/>
          <w:numId w:val="53"/>
        </w:numPr>
        <w:spacing w:line="276" w:lineRule="auto"/>
        <w:jc w:val="both"/>
      </w:pPr>
      <w:r>
        <w:t xml:space="preserve">Support the VPF to implement recommendations from the </w:t>
      </w:r>
      <w:r w:rsidRPr="000C2D3F">
        <w:rPr>
          <w:i/>
        </w:rPr>
        <w:t xml:space="preserve">Evaluation of Women’s </w:t>
      </w:r>
      <w:r w:rsidRPr="0029783E">
        <w:rPr>
          <w:i/>
        </w:rPr>
        <w:t>Participation</w:t>
      </w:r>
      <w:r w:rsidRPr="000C2D3F">
        <w:rPr>
          <w:i/>
        </w:rPr>
        <w:t xml:space="preserve"> in the VPF</w:t>
      </w:r>
      <w:r>
        <w:rPr>
          <w:i/>
        </w:rPr>
        <w:t xml:space="preserve"> </w:t>
      </w:r>
      <w:r>
        <w:t xml:space="preserve">and advocate more generally for gender equality </w:t>
      </w:r>
    </w:p>
    <w:p w:rsidR="00CA7A38" w:rsidRPr="00F61214" w:rsidRDefault="00CA7A38" w:rsidP="00E70031">
      <w:pPr>
        <w:pStyle w:val="ListParagraph"/>
        <w:numPr>
          <w:ilvl w:val="0"/>
          <w:numId w:val="53"/>
        </w:numPr>
        <w:spacing w:line="276" w:lineRule="auto"/>
        <w:jc w:val="both"/>
      </w:pPr>
      <w:r>
        <w:rPr>
          <w:rFonts w:cstheme="minorHAnsi"/>
        </w:rPr>
        <w:t>F</w:t>
      </w:r>
      <w:r w:rsidRPr="00F61214">
        <w:rPr>
          <w:rFonts w:cstheme="minorHAnsi"/>
        </w:rPr>
        <w:t>acilitate</w:t>
      </w:r>
      <w:r>
        <w:rPr>
          <w:rFonts w:cstheme="minorHAnsi"/>
        </w:rPr>
        <w:t xml:space="preserve"> link</w:t>
      </w:r>
      <w:r w:rsidRPr="00F61214">
        <w:rPr>
          <w:rFonts w:cstheme="minorHAnsi"/>
        </w:rPr>
        <w:t xml:space="preserve">s </w:t>
      </w:r>
      <w:r>
        <w:rPr>
          <w:rFonts w:cstheme="minorHAnsi"/>
        </w:rPr>
        <w:t>between functional VPF areas and t</w:t>
      </w:r>
      <w:r w:rsidRPr="00F61214">
        <w:rPr>
          <w:rFonts w:cstheme="minorHAnsi"/>
        </w:rPr>
        <w:t>he</w:t>
      </w:r>
      <w:r w:rsidRPr="001B3F1A">
        <w:rPr>
          <w:rFonts w:cstheme="minorHAnsi"/>
        </w:rPr>
        <w:t xml:space="preserve"> media engagement</w:t>
      </w:r>
      <w:r>
        <w:rPr>
          <w:rFonts w:cstheme="minorHAnsi"/>
        </w:rPr>
        <w:t xml:space="preserve"> and crime prevention units; and</w:t>
      </w:r>
    </w:p>
    <w:p w:rsidR="00CA7A38" w:rsidRPr="00F61214" w:rsidRDefault="00CA7A38" w:rsidP="00E70031">
      <w:pPr>
        <w:pStyle w:val="ListParagraph"/>
        <w:numPr>
          <w:ilvl w:val="0"/>
          <w:numId w:val="53"/>
        </w:numPr>
        <w:spacing w:line="276" w:lineRule="auto"/>
        <w:jc w:val="both"/>
      </w:pPr>
      <w:r>
        <w:rPr>
          <w:rFonts w:cstheme="minorHAnsi"/>
        </w:rPr>
        <w:t xml:space="preserve">Actively </w:t>
      </w:r>
      <w:r w:rsidRPr="008A0E61">
        <w:rPr>
          <w:rFonts w:cstheme="minorHAnsi"/>
        </w:rPr>
        <w:t>ensur</w:t>
      </w:r>
      <w:r>
        <w:rPr>
          <w:rFonts w:cstheme="minorHAnsi"/>
        </w:rPr>
        <w:t>e</w:t>
      </w:r>
      <w:r w:rsidRPr="008A0E61">
        <w:rPr>
          <w:rFonts w:cstheme="minorHAnsi"/>
        </w:rPr>
        <w:t xml:space="preserve"> their day-to-day work supports positive changes in how the VPF del</w:t>
      </w:r>
      <w:r>
        <w:rPr>
          <w:rFonts w:cstheme="minorHAnsi"/>
        </w:rPr>
        <w:t>ivers services to the community</w:t>
      </w:r>
      <w:r w:rsidRPr="008A0E61">
        <w:rPr>
          <w:rFonts w:cstheme="minorHAnsi"/>
        </w:rPr>
        <w:t xml:space="preserve"> particularly women, children and youth</w:t>
      </w:r>
      <w:r>
        <w:rPr>
          <w:rFonts w:cstheme="minorHAnsi"/>
        </w:rPr>
        <w:t>.</w:t>
      </w:r>
    </w:p>
    <w:p w:rsidR="00CA7A38" w:rsidRDefault="00CA7A38" w:rsidP="00E70031">
      <w:pPr>
        <w:spacing w:line="276" w:lineRule="auto"/>
        <w:jc w:val="both"/>
        <w:rPr>
          <w:rFonts w:cstheme="minorHAnsi"/>
        </w:rPr>
      </w:pPr>
      <w:r w:rsidRPr="001B3F1A">
        <w:rPr>
          <w:rFonts w:cstheme="minorHAnsi"/>
        </w:rPr>
        <w:t>These approaches</w:t>
      </w:r>
      <w:r w:rsidRPr="006032CE">
        <w:rPr>
          <w:rFonts w:cstheme="minorHAnsi"/>
        </w:rPr>
        <w:t xml:space="preserve"> aim to ensure </w:t>
      </w:r>
      <w:r>
        <w:rPr>
          <w:rFonts w:cstheme="minorHAnsi"/>
        </w:rPr>
        <w:t xml:space="preserve">SRBJS </w:t>
      </w:r>
      <w:r w:rsidRPr="00F61214">
        <w:rPr>
          <w:rFonts w:cstheme="minorHAnsi"/>
        </w:rPr>
        <w:t>assistance is</w:t>
      </w:r>
      <w:r>
        <w:rPr>
          <w:rFonts w:cstheme="minorHAnsi"/>
        </w:rPr>
        <w:t>:</w:t>
      </w:r>
      <w:r w:rsidRPr="00F61214">
        <w:rPr>
          <w:rFonts w:cstheme="minorHAnsi"/>
        </w:rPr>
        <w:t xml:space="preserve"> sustainable</w:t>
      </w:r>
      <w:r>
        <w:rPr>
          <w:rFonts w:cstheme="minorHAnsi"/>
        </w:rPr>
        <w:t xml:space="preserve"> and owned by the VPF, contributing to increased </w:t>
      </w:r>
      <w:r w:rsidRPr="00F61214">
        <w:rPr>
          <w:rFonts w:cstheme="minorHAnsi"/>
        </w:rPr>
        <w:t>communit</w:t>
      </w:r>
      <w:r w:rsidRPr="001B3F1A">
        <w:rPr>
          <w:rFonts w:cstheme="minorHAnsi"/>
        </w:rPr>
        <w:t xml:space="preserve">y awareness of police functions </w:t>
      </w:r>
      <w:r>
        <w:rPr>
          <w:rFonts w:cstheme="minorHAnsi"/>
        </w:rPr>
        <w:t>(</w:t>
      </w:r>
      <w:r w:rsidRPr="00F61214">
        <w:rPr>
          <w:rFonts w:cstheme="minorHAnsi"/>
        </w:rPr>
        <w:t xml:space="preserve">and </w:t>
      </w:r>
      <w:r>
        <w:rPr>
          <w:rFonts w:cstheme="minorHAnsi"/>
        </w:rPr>
        <w:t>therefore creating and building demand), and focussed on end-users.</w:t>
      </w:r>
    </w:p>
    <w:p w:rsidR="00CA7A38" w:rsidRDefault="00CA7A38" w:rsidP="00E70031">
      <w:pPr>
        <w:spacing w:line="276" w:lineRule="auto"/>
        <w:jc w:val="both"/>
        <w:rPr>
          <w:rFonts w:cstheme="minorHAnsi"/>
        </w:rPr>
      </w:pPr>
    </w:p>
    <w:p w:rsidR="00CA7A38" w:rsidRDefault="00CA7A38" w:rsidP="00E70031">
      <w:pPr>
        <w:pStyle w:val="Heading3"/>
        <w:numPr>
          <w:ilvl w:val="0"/>
          <w:numId w:val="40"/>
        </w:numPr>
        <w:rPr>
          <w:rFonts w:asciiTheme="minorHAnsi" w:hAnsiTheme="minorHAnsi"/>
          <w:color w:val="auto"/>
          <w:sz w:val="22"/>
          <w:szCs w:val="22"/>
        </w:rPr>
      </w:pPr>
      <w:r>
        <w:rPr>
          <w:rFonts w:asciiTheme="minorHAnsi" w:hAnsiTheme="minorHAnsi"/>
          <w:color w:val="auto"/>
          <w:sz w:val="22"/>
          <w:szCs w:val="22"/>
        </w:rPr>
        <w:t>Overview of Program Support for Justice and C</w:t>
      </w:r>
      <w:r w:rsidRPr="00F07816">
        <w:rPr>
          <w:rFonts w:asciiTheme="minorHAnsi" w:hAnsiTheme="minorHAnsi"/>
          <w:color w:val="auto"/>
          <w:sz w:val="22"/>
          <w:szCs w:val="22"/>
        </w:rPr>
        <w:t xml:space="preserve">ommunity Services </w:t>
      </w:r>
    </w:p>
    <w:p w:rsidR="00CA7A38" w:rsidRDefault="00CA7A38" w:rsidP="00E70031">
      <w:pPr>
        <w:spacing w:before="240" w:line="276" w:lineRule="auto"/>
        <w:jc w:val="both"/>
      </w:pPr>
      <w:r>
        <w:t>SRBJS support for justice and community services consists of advisers providing expert law and justice assistance and advice to justice sector institutions including the Judiciary, MJSC, PSO, PPO, SLO, VLC and the Office of the Ombudsman.  This includes on-the-job training and mentoring, legal and policy advice, as well as provision of technical legal capacity development activities such as seminars and workshops.  There will also be support for law reform, particularly where reform could improve justice outcomes for vulnerable and at risk groups.</w:t>
      </w:r>
    </w:p>
    <w:p w:rsidR="00CA7A38" w:rsidRDefault="00CA7A38" w:rsidP="00E70031">
      <w:pPr>
        <w:spacing w:before="240" w:line="276" w:lineRule="auto"/>
        <w:jc w:val="both"/>
      </w:pPr>
      <w:r>
        <w:t>This support is complemented by technical assistance in a range of other areas including public financial management, human resource management, case and data management, research, monitoring, evaluation, planning and reporting, and capacity development and leadership activities.    Program support to justice and community services will also involve provision of grants to sector agencies and non-governmental organisations, described in more detail in section 3.7.</w:t>
      </w:r>
    </w:p>
    <w:p w:rsidR="00CA7A38" w:rsidRDefault="00CA7A38" w:rsidP="00E70031">
      <w:pPr>
        <w:spacing w:before="240" w:line="276" w:lineRule="auto"/>
        <w:jc w:val="both"/>
      </w:pPr>
      <w:r>
        <w:t xml:space="preserve">Further, the program will </w:t>
      </w:r>
      <w:r w:rsidRPr="00FD0D01">
        <w:rPr>
          <w:rFonts w:cstheme="minorHAnsi"/>
        </w:rPr>
        <w:t xml:space="preserve">support </w:t>
      </w:r>
      <w:r>
        <w:rPr>
          <w:rFonts w:cstheme="minorHAnsi"/>
        </w:rPr>
        <w:t>the sector to implement the JCSSS.  It will also work to strengthen</w:t>
      </w:r>
      <w:r w:rsidRPr="00FD0D01">
        <w:rPr>
          <w:rFonts w:cstheme="minorHAnsi"/>
        </w:rPr>
        <w:t xml:space="preserve"> the capacity of the MJCS to provide corporate services to the sector (for example, </w:t>
      </w:r>
      <w:r>
        <w:rPr>
          <w:rFonts w:cstheme="minorHAnsi"/>
        </w:rPr>
        <w:t xml:space="preserve">public </w:t>
      </w:r>
      <w:r w:rsidRPr="00FD0D01">
        <w:rPr>
          <w:rFonts w:cstheme="minorHAnsi"/>
        </w:rPr>
        <w:t>financial management, human resource management</w:t>
      </w:r>
      <w:r>
        <w:rPr>
          <w:rFonts w:cstheme="minorHAnsi"/>
        </w:rPr>
        <w:t>, capacity development opportunities, and monitoring and evaluation</w:t>
      </w:r>
      <w:r w:rsidRPr="00FD0D01">
        <w:rPr>
          <w:rFonts w:cstheme="minorHAnsi"/>
        </w:rPr>
        <w:t>).</w:t>
      </w:r>
      <w:r>
        <w:rPr>
          <w:rFonts w:cstheme="minorHAnsi"/>
        </w:rPr>
        <w:t xml:space="preserve">  Also, as </w:t>
      </w:r>
      <w:r>
        <w:t xml:space="preserve">MJCS sees itself as having the mandate to support consensus-based sector coordination and collaboration to strengthen service delivery, the program will support this function of MJCS.  In addition, the program will continue support for case and data management and information systems, building on the significant program investment during PJSPV.  This case and data management support will require partner agencies to demonstrate efficiency gains and ownership each step of the way as a mutually reinforcing mechanism for phased investment over time.  </w:t>
      </w:r>
    </w:p>
    <w:p w:rsidR="00CA7A38" w:rsidRDefault="00CA7A38" w:rsidP="00E70031">
      <w:pPr>
        <w:spacing w:before="240" w:line="276" w:lineRule="auto"/>
        <w:jc w:val="both"/>
        <w:rPr>
          <w:rFonts w:ascii="Calibri" w:eastAsia="Times New Roman" w:hAnsi="Calibri" w:cs="Arial"/>
          <w:lang w:eastAsia="en-AU"/>
        </w:rPr>
      </w:pPr>
      <w:r>
        <w:lastRenderedPageBreak/>
        <w:t xml:space="preserve">While the program is principally a policing and justice program, like PJSPV, SRBJS will provide some support for community services.  In PJSPV, the program engaged with the Department of Women’s Affairs (DWA), Child Desk, and Disability Desk as well as NGOs working in the community services space (e.g. VWC) — SRBJS will continue this approach.  </w:t>
      </w:r>
      <w:r>
        <w:rPr>
          <w:rFonts w:ascii="Calibri" w:eastAsia="Times New Roman" w:hAnsi="Calibri" w:cs="Arial"/>
          <w:lang w:eastAsia="en-AU"/>
        </w:rPr>
        <w:t>SRBJS</w:t>
      </w:r>
      <w:r w:rsidRPr="00FA633D">
        <w:rPr>
          <w:rFonts w:ascii="Calibri" w:eastAsia="Times New Roman" w:hAnsi="Calibri" w:cs="Arial"/>
          <w:lang w:eastAsia="en-AU"/>
        </w:rPr>
        <w:t xml:space="preserve"> will try</w:t>
      </w:r>
      <w:r w:rsidRPr="002C51D1">
        <w:rPr>
          <w:rFonts w:ascii="Calibri" w:eastAsia="Times New Roman" w:hAnsi="Calibri" w:cs="Arial"/>
          <w:lang w:eastAsia="en-AU"/>
        </w:rPr>
        <w:t xml:space="preserve"> to support </w:t>
      </w:r>
      <w:r w:rsidRPr="00FA633D">
        <w:rPr>
          <w:rFonts w:ascii="Calibri" w:eastAsia="Times New Roman" w:hAnsi="Calibri" w:cs="Arial"/>
          <w:lang w:eastAsia="en-AU"/>
        </w:rPr>
        <w:t>GoV</w:t>
      </w:r>
      <w:r>
        <w:rPr>
          <w:rFonts w:ascii="Calibri" w:eastAsia="Times New Roman" w:hAnsi="Calibri" w:cs="Arial"/>
          <w:lang w:eastAsia="en-AU"/>
        </w:rPr>
        <w:t xml:space="preserve"> to </w:t>
      </w:r>
      <w:r w:rsidRPr="002C51D1">
        <w:rPr>
          <w:rFonts w:ascii="Calibri" w:eastAsia="Times New Roman" w:hAnsi="Calibri" w:cs="Arial"/>
          <w:lang w:eastAsia="en-AU"/>
        </w:rPr>
        <w:t>establish a regulatory environment which promotes gender</w:t>
      </w:r>
      <w:r w:rsidRPr="00FA633D">
        <w:rPr>
          <w:rFonts w:ascii="Calibri" w:eastAsia="Times New Roman" w:hAnsi="Calibri" w:cs="Arial"/>
          <w:lang w:eastAsia="en-AU"/>
        </w:rPr>
        <w:t xml:space="preserve"> equality</w:t>
      </w:r>
      <w:r w:rsidRPr="002C51D1">
        <w:rPr>
          <w:rFonts w:ascii="Calibri" w:eastAsia="Times New Roman" w:hAnsi="Calibri" w:cs="Arial"/>
          <w:lang w:eastAsia="en-AU"/>
        </w:rPr>
        <w:t>, sensitive approaches to dealing with young people</w:t>
      </w:r>
      <w:r w:rsidRPr="00FA633D">
        <w:rPr>
          <w:rFonts w:ascii="Calibri" w:eastAsia="Times New Roman" w:hAnsi="Calibri" w:cs="Arial"/>
          <w:lang w:eastAsia="en-AU"/>
        </w:rPr>
        <w:t>,</w:t>
      </w:r>
      <w:r w:rsidRPr="002C51D1">
        <w:rPr>
          <w:rFonts w:ascii="Calibri" w:eastAsia="Times New Roman" w:hAnsi="Calibri" w:cs="Arial"/>
          <w:lang w:eastAsia="en-AU"/>
        </w:rPr>
        <w:t xml:space="preserve"> and establishes fair treatment and de-stigmatisation of </w:t>
      </w:r>
      <w:r w:rsidRPr="00FA633D">
        <w:rPr>
          <w:rFonts w:ascii="Calibri" w:eastAsia="Times New Roman" w:hAnsi="Calibri" w:cs="Arial"/>
          <w:lang w:eastAsia="en-AU"/>
        </w:rPr>
        <w:t xml:space="preserve">persons with disabilities.  </w:t>
      </w:r>
      <w:r>
        <w:rPr>
          <w:rFonts w:ascii="Calibri" w:eastAsia="Times New Roman" w:hAnsi="Calibri" w:cs="Arial"/>
          <w:lang w:eastAsia="en-AU"/>
        </w:rPr>
        <w:t>Also</w:t>
      </w:r>
      <w:r w:rsidRPr="002C51D1">
        <w:rPr>
          <w:rFonts w:ascii="Calibri" w:eastAsia="Times New Roman" w:hAnsi="Calibri" w:cs="Arial"/>
          <w:lang w:eastAsia="en-AU"/>
        </w:rPr>
        <w:t xml:space="preserve">, </w:t>
      </w:r>
      <w:r>
        <w:rPr>
          <w:rFonts w:ascii="Calibri" w:eastAsia="Times New Roman" w:hAnsi="Calibri" w:cs="Arial"/>
          <w:lang w:eastAsia="en-AU"/>
        </w:rPr>
        <w:t>as service delivery outcomes are weak against these themes (and under-resourced by GoV), SRBJS</w:t>
      </w:r>
      <w:r w:rsidRPr="00FA633D">
        <w:rPr>
          <w:rFonts w:ascii="Calibri" w:eastAsia="Times New Roman" w:hAnsi="Calibri" w:cs="Arial"/>
          <w:lang w:eastAsia="en-AU"/>
        </w:rPr>
        <w:t xml:space="preserve"> will </w:t>
      </w:r>
      <w:r>
        <w:rPr>
          <w:rFonts w:ascii="Calibri" w:eastAsia="Times New Roman" w:hAnsi="Calibri" w:cs="Arial"/>
          <w:lang w:eastAsia="en-AU"/>
        </w:rPr>
        <w:t xml:space="preserve">support, as it pertains to access to justice, a modest amount of direct service delivery to vulnerable and at-risk groups.  </w:t>
      </w:r>
    </w:p>
    <w:p w:rsidR="00CA7A38" w:rsidRDefault="00CA7A38" w:rsidP="00E70031">
      <w:pPr>
        <w:spacing w:before="240" w:line="276" w:lineRule="auto"/>
        <w:jc w:val="both"/>
        <w:rPr>
          <w:rFonts w:ascii="Calibri" w:eastAsia="Times New Roman" w:hAnsi="Calibri" w:cs="Arial"/>
          <w:lang w:eastAsia="en-AU"/>
        </w:rPr>
      </w:pPr>
      <w:r>
        <w:t xml:space="preserve">The community services portfolio falls under the mandate of MJCS.  While that is not, in and of itself, a justification for its inclusion in SRBJS, the approach </w:t>
      </w:r>
      <w:r w:rsidRPr="00D17366">
        <w:t>fits with the program’s focus on women, children and youth as the core beneficiaries</w:t>
      </w:r>
      <w:r>
        <w:t xml:space="preserve">.  It provides </w:t>
      </w:r>
      <w:r w:rsidRPr="00D17366">
        <w:t>a</w:t>
      </w:r>
      <w:r>
        <w:t xml:space="preserve"> holistic</w:t>
      </w:r>
      <w:r w:rsidRPr="00D17366">
        <w:t xml:space="preserve"> way to further their rights, including to access services</w:t>
      </w:r>
      <w:r>
        <w:t xml:space="preserve">, and allows the program to confront development challenges in both preventative and responsive ways.  Further, the lack of </w:t>
      </w:r>
      <w:r w:rsidRPr="002C51D1">
        <w:rPr>
          <w:rFonts w:ascii="Calibri" w:eastAsia="Times New Roman" w:hAnsi="Calibri" w:cs="Arial"/>
          <w:lang w:eastAsia="en-AU"/>
        </w:rPr>
        <w:t xml:space="preserve">impact in service delivery to these beneficiaries is a major reason why </w:t>
      </w:r>
      <w:r>
        <w:rPr>
          <w:rFonts w:ascii="Calibri" w:eastAsia="Times New Roman" w:hAnsi="Calibri" w:cs="Arial"/>
          <w:lang w:eastAsia="en-AU"/>
        </w:rPr>
        <w:t>SRBJS</w:t>
      </w:r>
      <w:r w:rsidRPr="00D17366">
        <w:rPr>
          <w:rFonts w:ascii="Calibri" w:eastAsia="Times New Roman" w:hAnsi="Calibri" w:cs="Arial"/>
          <w:lang w:eastAsia="en-AU"/>
        </w:rPr>
        <w:t xml:space="preserve"> will continue </w:t>
      </w:r>
      <w:r w:rsidRPr="002C51D1">
        <w:rPr>
          <w:rFonts w:ascii="Calibri" w:eastAsia="Times New Roman" w:hAnsi="Calibri" w:cs="Arial"/>
          <w:lang w:eastAsia="en-AU"/>
        </w:rPr>
        <w:t>to engage</w:t>
      </w:r>
      <w:r w:rsidRPr="00D17366">
        <w:rPr>
          <w:rFonts w:ascii="Calibri" w:eastAsia="Times New Roman" w:hAnsi="Calibri" w:cs="Arial"/>
          <w:lang w:eastAsia="en-AU"/>
        </w:rPr>
        <w:t xml:space="preserve"> on community services</w:t>
      </w:r>
      <w:r w:rsidRPr="002C51D1">
        <w:rPr>
          <w:rFonts w:ascii="Calibri" w:eastAsia="Times New Roman" w:hAnsi="Calibri" w:cs="Arial"/>
          <w:lang w:eastAsia="en-AU"/>
        </w:rPr>
        <w:t xml:space="preserve">. </w:t>
      </w:r>
    </w:p>
    <w:p w:rsidR="00CA7A38" w:rsidRPr="00505D9C" w:rsidRDefault="00CA7A38" w:rsidP="00E70031">
      <w:pPr>
        <w:spacing w:before="240" w:line="276" w:lineRule="auto"/>
        <w:jc w:val="both"/>
        <w:rPr>
          <w:rFonts w:ascii="Calibri" w:eastAsia="Times New Roman" w:hAnsi="Calibri" w:cs="Arial"/>
          <w:lang w:eastAsia="en-AU"/>
        </w:rPr>
      </w:pPr>
    </w:p>
    <w:p w:rsidR="00CA7A38" w:rsidRPr="005F0927" w:rsidRDefault="00CA7A38" w:rsidP="00E70031">
      <w:pPr>
        <w:pStyle w:val="Heading3"/>
        <w:numPr>
          <w:ilvl w:val="0"/>
          <w:numId w:val="40"/>
        </w:numPr>
        <w:rPr>
          <w:rFonts w:asciiTheme="minorHAnsi" w:hAnsiTheme="minorHAnsi"/>
          <w:color w:val="auto"/>
          <w:sz w:val="22"/>
          <w:szCs w:val="22"/>
        </w:rPr>
      </w:pPr>
      <w:r>
        <w:rPr>
          <w:rFonts w:asciiTheme="minorHAnsi" w:hAnsiTheme="minorHAnsi"/>
          <w:color w:val="auto"/>
          <w:sz w:val="22"/>
          <w:szCs w:val="22"/>
        </w:rPr>
        <w:t>Summary of the Changes to the Program</w:t>
      </w:r>
    </w:p>
    <w:p w:rsidR="00CA7A38" w:rsidRDefault="00CA7A38" w:rsidP="00E70031">
      <w:pPr>
        <w:shd w:val="clear" w:color="auto" w:fill="FFFFFF"/>
        <w:spacing w:before="100" w:beforeAutospacing="1" w:after="100" w:afterAutospacing="1" w:line="240" w:lineRule="auto"/>
        <w:jc w:val="both"/>
        <w:rPr>
          <w:rFonts w:eastAsia="Times New Roman" w:cs="Arial"/>
          <w:color w:val="222222"/>
          <w:lang w:eastAsia="en-AU"/>
        </w:rPr>
      </w:pPr>
      <w:r>
        <w:rPr>
          <w:rFonts w:eastAsia="Times New Roman" w:cs="Arial"/>
          <w:color w:val="222222"/>
          <w:lang w:eastAsia="en-AU"/>
        </w:rPr>
        <w:t>T</w:t>
      </w:r>
      <w:r w:rsidRPr="001D618C">
        <w:rPr>
          <w:rFonts w:eastAsia="Times New Roman" w:cs="Arial"/>
          <w:color w:val="222222"/>
          <w:lang w:eastAsia="en-AU"/>
        </w:rPr>
        <w:t>he main ways</w:t>
      </w:r>
      <w:r>
        <w:rPr>
          <w:rFonts w:eastAsia="Times New Roman" w:cs="Arial"/>
          <w:color w:val="222222"/>
          <w:lang w:eastAsia="en-AU"/>
        </w:rPr>
        <w:t xml:space="preserve"> in which the program has been refined through the design process are as follows:</w:t>
      </w:r>
    </w:p>
    <w:p w:rsidR="00CA7A38" w:rsidRPr="00565307" w:rsidRDefault="00CA7A38" w:rsidP="00E70031">
      <w:pPr>
        <w:pStyle w:val="ListParagraph"/>
        <w:numPr>
          <w:ilvl w:val="0"/>
          <w:numId w:val="41"/>
        </w:numPr>
        <w:shd w:val="clear" w:color="auto" w:fill="FFFFFF"/>
        <w:spacing w:before="100" w:beforeAutospacing="1" w:after="100" w:afterAutospacing="1" w:line="276" w:lineRule="auto"/>
        <w:ind w:left="714" w:hanging="357"/>
        <w:contextualSpacing w:val="0"/>
        <w:jc w:val="both"/>
        <w:rPr>
          <w:rFonts w:eastAsia="Times New Roman" w:cs="Arial"/>
          <w:color w:val="222222"/>
          <w:lang w:eastAsia="en-AU"/>
        </w:rPr>
      </w:pPr>
      <w:r>
        <w:rPr>
          <w:rFonts w:eastAsia="Times New Roman" w:cs="Arial"/>
          <w:b/>
          <w:color w:val="222222"/>
          <w:lang w:eastAsia="en-AU"/>
        </w:rPr>
        <w:t xml:space="preserve">Increased focus on targeted provincial centres: </w:t>
      </w:r>
      <w:r w:rsidRPr="00565307">
        <w:rPr>
          <w:rFonts w:eastAsia="Times New Roman" w:cs="Arial"/>
          <w:color w:val="222222"/>
          <w:lang w:eastAsia="en-AU"/>
        </w:rPr>
        <w:t xml:space="preserve">There </w:t>
      </w:r>
      <w:r w:rsidRPr="00565307">
        <w:rPr>
          <w:rFonts w:cs="Segoe UI"/>
          <w:color w:val="333333"/>
        </w:rPr>
        <w:t>is a need and it is timely to increase the</w:t>
      </w:r>
      <w:r>
        <w:rPr>
          <w:rFonts w:cs="Segoe UI"/>
          <w:color w:val="333333"/>
        </w:rPr>
        <w:t xml:space="preserve"> program’s</w:t>
      </w:r>
      <w:r w:rsidRPr="00565307">
        <w:rPr>
          <w:rFonts w:cs="Segoe UI"/>
          <w:color w:val="333333"/>
        </w:rPr>
        <w:t xml:space="preserve"> focus on </w:t>
      </w:r>
      <w:r>
        <w:rPr>
          <w:rFonts w:cs="Segoe UI"/>
          <w:color w:val="333333"/>
        </w:rPr>
        <w:t xml:space="preserve">expanding </w:t>
      </w:r>
      <w:r w:rsidRPr="00565307">
        <w:rPr>
          <w:rFonts w:cs="Segoe UI"/>
          <w:color w:val="333333"/>
        </w:rPr>
        <w:t xml:space="preserve">service delivery </w:t>
      </w:r>
      <w:r>
        <w:rPr>
          <w:rFonts w:cs="Segoe UI"/>
          <w:color w:val="333333"/>
        </w:rPr>
        <w:t>in targeted provincial locations, particularly for women, children and youth.  T</w:t>
      </w:r>
      <w:r w:rsidRPr="00565307">
        <w:rPr>
          <w:rFonts w:cs="Segoe UI"/>
          <w:color w:val="333333"/>
        </w:rPr>
        <w:t xml:space="preserve">his will target </w:t>
      </w:r>
      <w:proofErr w:type="spellStart"/>
      <w:r w:rsidRPr="00565307">
        <w:rPr>
          <w:rFonts w:cs="Segoe UI"/>
          <w:color w:val="333333"/>
        </w:rPr>
        <w:t>Malampa</w:t>
      </w:r>
      <w:proofErr w:type="spellEnd"/>
      <w:r w:rsidRPr="00565307">
        <w:rPr>
          <w:rFonts w:cs="Segoe UI"/>
          <w:color w:val="333333"/>
        </w:rPr>
        <w:t xml:space="preserve">, </w:t>
      </w:r>
      <w:proofErr w:type="spellStart"/>
      <w:r w:rsidRPr="00565307">
        <w:rPr>
          <w:rFonts w:cs="Segoe UI"/>
          <w:color w:val="333333"/>
        </w:rPr>
        <w:t>Sanma</w:t>
      </w:r>
      <w:proofErr w:type="spellEnd"/>
      <w:r w:rsidRPr="00565307">
        <w:rPr>
          <w:rFonts w:cs="Segoe UI"/>
          <w:color w:val="333333"/>
        </w:rPr>
        <w:t xml:space="preserve"> a</w:t>
      </w:r>
      <w:r>
        <w:rPr>
          <w:rFonts w:cs="Segoe UI"/>
          <w:color w:val="333333"/>
        </w:rPr>
        <w:t xml:space="preserve">nd </w:t>
      </w:r>
      <w:proofErr w:type="spellStart"/>
      <w:r>
        <w:rPr>
          <w:rFonts w:cs="Segoe UI"/>
          <w:color w:val="333333"/>
        </w:rPr>
        <w:t>Tafea</w:t>
      </w:r>
      <w:proofErr w:type="spellEnd"/>
      <w:r>
        <w:rPr>
          <w:rFonts w:cs="Segoe UI"/>
          <w:color w:val="333333"/>
        </w:rPr>
        <w:t xml:space="preserve"> Provinces, though cross-</w:t>
      </w:r>
      <w:r w:rsidRPr="00565307">
        <w:rPr>
          <w:rFonts w:cs="Segoe UI"/>
          <w:color w:val="333333"/>
        </w:rPr>
        <w:t>sector activities will seek to include stakeholders from other provinces where possible</w:t>
      </w:r>
      <w:r>
        <w:rPr>
          <w:rFonts w:cs="Segoe UI"/>
          <w:color w:val="333333"/>
        </w:rPr>
        <w:t>.  Advisers will provide increased support to offices in these targeted provincial locations, including increased travel to these area where budget permits</w:t>
      </w:r>
    </w:p>
    <w:p w:rsidR="00CA7A38" w:rsidRPr="000452B7" w:rsidRDefault="00CA7A38" w:rsidP="00E70031">
      <w:pPr>
        <w:pStyle w:val="ListParagraph"/>
        <w:numPr>
          <w:ilvl w:val="0"/>
          <w:numId w:val="39"/>
        </w:numPr>
        <w:shd w:val="clear" w:color="auto" w:fill="FFFFFF"/>
        <w:spacing w:before="100" w:beforeAutospacing="1" w:after="100" w:afterAutospacing="1" w:line="276" w:lineRule="auto"/>
        <w:ind w:left="714" w:hanging="357"/>
        <w:contextualSpacing w:val="0"/>
        <w:jc w:val="both"/>
        <w:rPr>
          <w:rFonts w:eastAsia="Times New Roman" w:cs="Arial"/>
          <w:b/>
          <w:color w:val="222222"/>
          <w:lang w:eastAsia="en-AU"/>
        </w:rPr>
      </w:pPr>
      <w:r>
        <w:rPr>
          <w:rFonts w:eastAsia="Times New Roman" w:cs="Arial"/>
          <w:b/>
          <w:color w:val="222222"/>
          <w:lang w:eastAsia="en-AU"/>
        </w:rPr>
        <w:t xml:space="preserve">Increased support for more effective handling of cases involving violence against women and children:  </w:t>
      </w:r>
      <w:r>
        <w:rPr>
          <w:rFonts w:eastAsia="Times New Roman" w:cs="Arial"/>
          <w:color w:val="222222"/>
          <w:lang w:eastAsia="en-AU"/>
        </w:rPr>
        <w:t>SRBJS will involve a stronger focus on developing the capacities of sector agencies as well as targeted non-state actors (chiefs and religious leaders) to respond more effectively to cases involving violence against women and children, including through pilot initiatives and technical advisory support on police responses to family and gender-based violence cases</w:t>
      </w:r>
    </w:p>
    <w:p w:rsidR="00CA7A38" w:rsidRDefault="00CA7A38" w:rsidP="00E70031">
      <w:pPr>
        <w:pStyle w:val="ListParagraph"/>
        <w:numPr>
          <w:ilvl w:val="0"/>
          <w:numId w:val="39"/>
        </w:numPr>
        <w:spacing w:before="240" w:after="200" w:line="276" w:lineRule="auto"/>
        <w:contextualSpacing w:val="0"/>
        <w:jc w:val="both"/>
        <w:rPr>
          <w:rFonts w:cstheme="minorHAnsi"/>
        </w:rPr>
      </w:pPr>
      <w:r>
        <w:rPr>
          <w:rFonts w:cstheme="minorHAnsi"/>
          <w:b/>
        </w:rPr>
        <w:t>Support for legal education and outreach activities</w:t>
      </w:r>
      <w:r w:rsidRPr="006D5D15">
        <w:rPr>
          <w:rFonts w:cstheme="minorHAnsi"/>
        </w:rPr>
        <w:t xml:space="preserve">: </w:t>
      </w:r>
      <w:r>
        <w:rPr>
          <w:rFonts w:cstheme="minorHAnsi"/>
        </w:rPr>
        <w:t>Limited legal awareness at the community level remains a substantial barrier to access to justice.  SRBJS will provide support for initiatives aimed at enhancing community understanding of the law, human rights and available policing and justice services, including how to access these services</w:t>
      </w:r>
    </w:p>
    <w:p w:rsidR="00CA7A38" w:rsidRPr="00FA52B9" w:rsidRDefault="00CA7A38" w:rsidP="00E70031">
      <w:pPr>
        <w:pStyle w:val="ListParagraph"/>
        <w:numPr>
          <w:ilvl w:val="0"/>
          <w:numId w:val="39"/>
        </w:numPr>
        <w:spacing w:before="240" w:after="200" w:line="276" w:lineRule="auto"/>
        <w:contextualSpacing w:val="0"/>
        <w:jc w:val="both"/>
        <w:rPr>
          <w:rFonts w:cs="Segoe UI"/>
          <w:color w:val="333333"/>
        </w:rPr>
      </w:pPr>
      <w:r>
        <w:rPr>
          <w:rFonts w:cstheme="minorHAnsi"/>
          <w:b/>
        </w:rPr>
        <w:t>Increased support for the Judiciary</w:t>
      </w:r>
      <w:r w:rsidRPr="002918B3">
        <w:rPr>
          <w:rFonts w:cstheme="minorHAnsi"/>
          <w:b/>
        </w:rPr>
        <w:t xml:space="preserve">: </w:t>
      </w:r>
      <w:r w:rsidRPr="002918B3">
        <w:rPr>
          <w:rFonts w:cs="Segoe UI"/>
          <w:color w:val="333333"/>
        </w:rPr>
        <w:t>Improvement in court performance has the potential to improve justice services for women</w:t>
      </w:r>
      <w:r>
        <w:rPr>
          <w:rFonts w:cs="Segoe UI"/>
          <w:color w:val="333333"/>
        </w:rPr>
        <w:t xml:space="preserve"> and children</w:t>
      </w:r>
      <w:r w:rsidRPr="002918B3">
        <w:rPr>
          <w:rFonts w:cs="Segoe UI"/>
          <w:color w:val="333333"/>
        </w:rPr>
        <w:t xml:space="preserve">.  This is because a great number of the cases heard by the Magistrate’s Court relate to </w:t>
      </w:r>
      <w:r>
        <w:rPr>
          <w:rFonts w:cs="Segoe UI"/>
          <w:color w:val="333333"/>
        </w:rPr>
        <w:t xml:space="preserve">family and </w:t>
      </w:r>
      <w:r w:rsidRPr="002918B3">
        <w:rPr>
          <w:rFonts w:cs="Segoe UI"/>
          <w:color w:val="333333"/>
        </w:rPr>
        <w:t>gender-based violence.  Also, strengthening the</w:t>
      </w:r>
      <w:r>
        <w:rPr>
          <w:rFonts w:cs="Segoe UI"/>
          <w:color w:val="333333"/>
        </w:rPr>
        <w:t xml:space="preserve"> Magistrate’s Court and</w:t>
      </w:r>
      <w:r w:rsidRPr="002918B3">
        <w:rPr>
          <w:rFonts w:cs="Segoe UI"/>
          <w:color w:val="333333"/>
        </w:rPr>
        <w:t xml:space="preserve"> Island Courts </w:t>
      </w:r>
      <w:r>
        <w:rPr>
          <w:rFonts w:cs="Segoe UI"/>
          <w:color w:val="333333"/>
        </w:rPr>
        <w:t xml:space="preserve">and increasing the frequency of court tours could </w:t>
      </w:r>
      <w:r w:rsidRPr="00FA52B9">
        <w:rPr>
          <w:rFonts w:cs="Segoe UI"/>
          <w:color w:val="333333"/>
        </w:rPr>
        <w:t>significantly enhance access to</w:t>
      </w:r>
      <w:r>
        <w:rPr>
          <w:rFonts w:cs="Segoe UI"/>
          <w:color w:val="333333"/>
        </w:rPr>
        <w:t xml:space="preserve"> better quality</w:t>
      </w:r>
      <w:r w:rsidRPr="00FA52B9">
        <w:rPr>
          <w:rFonts w:cs="Segoe UI"/>
          <w:color w:val="333333"/>
        </w:rPr>
        <w:t xml:space="preserve"> justice</w:t>
      </w:r>
      <w:r>
        <w:rPr>
          <w:rFonts w:cs="Segoe UI"/>
          <w:color w:val="333333"/>
        </w:rPr>
        <w:t xml:space="preserve"> services.  </w:t>
      </w:r>
      <w:r w:rsidRPr="00FA52B9">
        <w:rPr>
          <w:rFonts w:cs="Segoe UI"/>
          <w:color w:val="333333"/>
        </w:rPr>
        <w:t xml:space="preserve">In </w:t>
      </w:r>
      <w:r w:rsidRPr="00FA52B9">
        <w:rPr>
          <w:rFonts w:cs="Segoe UI"/>
          <w:color w:val="333333"/>
        </w:rPr>
        <w:lastRenderedPageBreak/>
        <w:t xml:space="preserve">consultation with the Chief Justice, </w:t>
      </w:r>
      <w:r>
        <w:rPr>
          <w:rFonts w:cs="Segoe UI"/>
          <w:color w:val="333333"/>
        </w:rPr>
        <w:t>SRBJS</w:t>
      </w:r>
      <w:r w:rsidRPr="00FA52B9">
        <w:rPr>
          <w:rFonts w:cs="Segoe UI"/>
          <w:color w:val="333333"/>
        </w:rPr>
        <w:t xml:space="preserve"> will include specific measures to support the strengthening of the Magistrate’s Court and Island Courts.  It is anticipated that one mechanism for this support will be a partnership with the Federal Court of Australia </w:t>
      </w:r>
    </w:p>
    <w:p w:rsidR="00CA7A38" w:rsidRPr="002918B3" w:rsidRDefault="00CA7A38" w:rsidP="00E70031">
      <w:pPr>
        <w:pStyle w:val="ListParagraph"/>
        <w:numPr>
          <w:ilvl w:val="0"/>
          <w:numId w:val="39"/>
        </w:numPr>
        <w:shd w:val="clear" w:color="auto" w:fill="FFFFFF"/>
        <w:spacing w:after="0" w:line="276" w:lineRule="auto"/>
        <w:contextualSpacing w:val="0"/>
        <w:jc w:val="both"/>
        <w:rPr>
          <w:rFonts w:eastAsia="Times New Roman" w:cs="Arial"/>
          <w:color w:val="222222"/>
          <w:lang w:eastAsia="en-AU"/>
        </w:rPr>
      </w:pPr>
      <w:r w:rsidRPr="002918B3">
        <w:rPr>
          <w:rFonts w:cs="Arial"/>
          <w:b/>
          <w:color w:val="333333"/>
        </w:rPr>
        <w:t xml:space="preserve">Support for </w:t>
      </w:r>
      <w:r>
        <w:rPr>
          <w:rFonts w:cs="Arial"/>
          <w:b/>
          <w:color w:val="333333"/>
        </w:rPr>
        <w:t>law</w:t>
      </w:r>
      <w:r w:rsidRPr="002918B3">
        <w:rPr>
          <w:rFonts w:cs="Arial"/>
          <w:b/>
          <w:color w:val="333333"/>
        </w:rPr>
        <w:t xml:space="preserve"> reform</w:t>
      </w:r>
      <w:r w:rsidRPr="002918B3">
        <w:rPr>
          <w:rFonts w:cs="Arial"/>
          <w:color w:val="333333"/>
        </w:rPr>
        <w:t xml:space="preserve">: </w:t>
      </w:r>
      <w:r>
        <w:rPr>
          <w:rFonts w:cs="Arial"/>
          <w:color w:val="333333"/>
        </w:rPr>
        <w:t xml:space="preserve">Law </w:t>
      </w:r>
      <w:r w:rsidRPr="002918B3">
        <w:rPr>
          <w:rFonts w:cs="Segoe UI"/>
          <w:color w:val="333333"/>
        </w:rPr>
        <w:t xml:space="preserve">reform is desired across the sector and supports program outcomes.  Where there is GoV appetite, </w:t>
      </w:r>
      <w:r>
        <w:rPr>
          <w:rFonts w:cs="Segoe UI"/>
          <w:color w:val="333333"/>
        </w:rPr>
        <w:t>SRBJS</w:t>
      </w:r>
      <w:r w:rsidRPr="002918B3">
        <w:rPr>
          <w:rFonts w:cs="Segoe UI"/>
          <w:color w:val="333333"/>
        </w:rPr>
        <w:t xml:space="preserve"> </w:t>
      </w:r>
      <w:r>
        <w:t xml:space="preserve">will support law reform, particularly where reform could improve justice outcomes for vulnerable and at risk groups (for example, legislative provisions relating to adoption, child maintenance, family protection, the rights of persons with disabilities, and alcohol sale and consumption).  Where appropriate, and where there is agreement and approval by GoV to do so, SRBJS will engage with the Australian Attorney General’s Department regarding opportunities to provide </w:t>
      </w:r>
      <w:proofErr w:type="spellStart"/>
      <w:r>
        <w:t>GoA</w:t>
      </w:r>
      <w:proofErr w:type="spellEnd"/>
      <w:r>
        <w:t xml:space="preserve"> assistance in this area </w:t>
      </w:r>
    </w:p>
    <w:p w:rsidR="00CA7A38" w:rsidRDefault="00CA7A38" w:rsidP="00E70031">
      <w:pPr>
        <w:pStyle w:val="ListParagraph"/>
        <w:numPr>
          <w:ilvl w:val="0"/>
          <w:numId w:val="39"/>
        </w:numPr>
        <w:spacing w:before="240" w:after="200" w:line="276" w:lineRule="auto"/>
        <w:contextualSpacing w:val="0"/>
        <w:jc w:val="both"/>
        <w:rPr>
          <w:rFonts w:cs="Segoe UI"/>
          <w:color w:val="333333"/>
        </w:rPr>
      </w:pPr>
      <w:r>
        <w:rPr>
          <w:rFonts w:cs="Segoe UI"/>
          <w:b/>
          <w:color w:val="333333"/>
        </w:rPr>
        <w:t>Technical legal a</w:t>
      </w:r>
      <w:r w:rsidRPr="00C660DD">
        <w:rPr>
          <w:rFonts w:cs="Segoe UI"/>
          <w:b/>
          <w:color w:val="333333"/>
        </w:rPr>
        <w:t>dvisory support for the</w:t>
      </w:r>
      <w:r>
        <w:rPr>
          <w:rFonts w:cs="Segoe UI"/>
          <w:b/>
          <w:color w:val="333333"/>
        </w:rPr>
        <w:t xml:space="preserve"> Office of the</w:t>
      </w:r>
      <w:r w:rsidRPr="00C660DD">
        <w:rPr>
          <w:rFonts w:cs="Segoe UI"/>
          <w:b/>
          <w:color w:val="333333"/>
        </w:rPr>
        <w:t xml:space="preserve"> Public Prosecutor</w:t>
      </w:r>
      <w:r>
        <w:rPr>
          <w:rFonts w:cs="Segoe UI"/>
          <w:color w:val="333333"/>
        </w:rPr>
        <w:t xml:space="preserve">:  </w:t>
      </w:r>
      <w:r w:rsidRPr="00C660DD">
        <w:rPr>
          <w:rFonts w:cs="Segoe UI"/>
          <w:color w:val="333333"/>
        </w:rPr>
        <w:t>Inc</w:t>
      </w:r>
      <w:r>
        <w:rPr>
          <w:rFonts w:cs="Segoe UI"/>
          <w:color w:val="333333"/>
        </w:rPr>
        <w:t xml:space="preserve">reased technical assistance and </w:t>
      </w:r>
      <w:r w:rsidRPr="00C660DD">
        <w:rPr>
          <w:rFonts w:cs="Segoe UI"/>
          <w:color w:val="333333"/>
        </w:rPr>
        <w:t>targ</w:t>
      </w:r>
      <w:r>
        <w:rPr>
          <w:rFonts w:cs="Segoe UI"/>
          <w:color w:val="333333"/>
        </w:rPr>
        <w:t xml:space="preserve">eted legal training is needed.  SRBJS will provide this support, emphasising capacity development for prosecuting cases involving violence against women and children </w:t>
      </w:r>
    </w:p>
    <w:p w:rsidR="00CA7A38" w:rsidRDefault="00CA7A38" w:rsidP="00E70031">
      <w:pPr>
        <w:pStyle w:val="ListParagraph"/>
        <w:numPr>
          <w:ilvl w:val="0"/>
          <w:numId w:val="39"/>
        </w:numPr>
        <w:spacing w:before="240" w:after="200" w:line="276" w:lineRule="auto"/>
        <w:contextualSpacing w:val="0"/>
        <w:jc w:val="both"/>
        <w:rPr>
          <w:rFonts w:cs="Segoe UI"/>
          <w:color w:val="333333"/>
        </w:rPr>
      </w:pPr>
      <w:r>
        <w:rPr>
          <w:rFonts w:cs="Segoe UI"/>
          <w:b/>
          <w:color w:val="333333"/>
        </w:rPr>
        <w:t>Increased support for strengthening the administrative capacity of the VPF and JCSS</w:t>
      </w:r>
      <w:r w:rsidRPr="00947A82">
        <w:rPr>
          <w:rFonts w:cs="Segoe UI"/>
          <w:color w:val="333333"/>
        </w:rPr>
        <w:t>:</w:t>
      </w:r>
      <w:r>
        <w:rPr>
          <w:rFonts w:cs="Segoe UI"/>
          <w:color w:val="333333"/>
        </w:rPr>
        <w:t xml:space="preserve"> Improved financial and human resource management across the policing, justice and community services sector is an important aspect of strengthening the service delivery capacity of sector institutions.  It is also key to protecting Australia’s investment in the sector and supports a possible gradual move towards using partner financial systems </w:t>
      </w:r>
    </w:p>
    <w:p w:rsidR="00CA7A38" w:rsidRPr="00843F51" w:rsidRDefault="00CA7A38" w:rsidP="00E70031">
      <w:pPr>
        <w:rPr>
          <w:rFonts w:cs="Segoe UI"/>
          <w:color w:val="333333"/>
        </w:rPr>
        <w:sectPr w:rsidR="00CA7A38" w:rsidRPr="00843F51" w:rsidSect="00E70031">
          <w:footerReference w:type="default" r:id="rId11"/>
          <w:pgSz w:w="11906" w:h="16838"/>
          <w:pgMar w:top="1440" w:right="1440" w:bottom="1440" w:left="1440" w:header="708" w:footer="708" w:gutter="0"/>
          <w:cols w:space="708"/>
          <w:docGrid w:linePitch="360"/>
        </w:sectPr>
      </w:pPr>
      <w:r>
        <w:rPr>
          <w:rFonts w:cs="Segoe UI"/>
          <w:color w:val="333333"/>
        </w:rPr>
        <w:br w:type="page"/>
      </w:r>
    </w:p>
    <w:p w:rsidR="00CA7A38" w:rsidRPr="00843F51" w:rsidRDefault="00CA7A38" w:rsidP="00E70031">
      <w:pPr>
        <w:pStyle w:val="Heading2"/>
        <w:numPr>
          <w:ilvl w:val="1"/>
          <w:numId w:val="1"/>
        </w:numPr>
        <w:rPr>
          <w:rFonts w:asciiTheme="minorHAnsi" w:hAnsiTheme="minorHAnsi"/>
          <w:color w:val="auto"/>
          <w:sz w:val="22"/>
          <w:szCs w:val="22"/>
        </w:rPr>
      </w:pPr>
      <w:bookmarkStart w:id="14" w:name="_Toc458698418"/>
      <w:r w:rsidRPr="00843F51">
        <w:rPr>
          <w:rFonts w:asciiTheme="minorHAnsi" w:hAnsiTheme="minorHAnsi"/>
          <w:color w:val="auto"/>
          <w:sz w:val="22"/>
          <w:szCs w:val="22"/>
        </w:rPr>
        <w:lastRenderedPageBreak/>
        <w:t>Program Logic</w:t>
      </w:r>
      <w:bookmarkEnd w:id="14"/>
    </w:p>
    <w:p w:rsidR="00CA7A38" w:rsidRPr="00765772" w:rsidRDefault="00CA7A38" w:rsidP="00E70031">
      <w:pPr>
        <w:spacing w:after="0" w:line="276" w:lineRule="auto"/>
        <w:jc w:val="both"/>
      </w:pPr>
      <w:r>
        <w:br/>
        <w:t>The diagram below visually represents that which SRBJS will seek to achieve over four years.  The program logic is explained in detail directly below.</w:t>
      </w:r>
    </w:p>
    <w:p w:rsidR="00CA7A38" w:rsidRPr="00AC5838" w:rsidRDefault="00CA7A38" w:rsidP="00E70031">
      <w:pPr>
        <w:sectPr w:rsidR="00CA7A38" w:rsidRPr="00AC5838" w:rsidSect="00E70031">
          <w:pgSz w:w="16838" w:h="11906" w:orient="landscape"/>
          <w:pgMar w:top="1440" w:right="1440" w:bottom="1440" w:left="1440" w:header="709" w:footer="709" w:gutter="0"/>
          <w:cols w:space="708"/>
          <w:docGrid w:linePitch="360"/>
        </w:sectPr>
      </w:pPr>
      <w:r w:rsidRPr="00572B32">
        <w:rPr>
          <w:noProof/>
          <w:lang w:eastAsia="en-AU"/>
        </w:rPr>
        <w:drawing>
          <wp:inline distT="0" distB="0" distL="0" distR="0" wp14:anchorId="427CA51B" wp14:editId="0D07A381">
            <wp:extent cx="8863330" cy="4985623"/>
            <wp:effectExtent l="0" t="0" r="0" b="5715"/>
            <wp:docPr id="2" name="Picture 2" descr="C:\Users\Nicole\Desktop\PJSPV program logic 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Desktop\PJSPV program logic v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4985623"/>
                    </a:xfrm>
                    <a:prstGeom prst="rect">
                      <a:avLst/>
                    </a:prstGeom>
                    <a:noFill/>
                    <a:ln>
                      <a:noFill/>
                    </a:ln>
                  </pic:spPr>
                </pic:pic>
              </a:graphicData>
            </a:graphic>
          </wp:inline>
        </w:drawing>
      </w:r>
    </w:p>
    <w:p w:rsidR="00CA7A38" w:rsidRDefault="00CA7A38" w:rsidP="00E70031">
      <w:pPr>
        <w:pStyle w:val="Heading2"/>
        <w:numPr>
          <w:ilvl w:val="1"/>
          <w:numId w:val="1"/>
        </w:numPr>
        <w:spacing w:line="276" w:lineRule="auto"/>
        <w:jc w:val="both"/>
        <w:rPr>
          <w:rFonts w:asciiTheme="minorHAnsi" w:hAnsiTheme="minorHAnsi"/>
          <w:color w:val="auto"/>
          <w:sz w:val="22"/>
          <w:szCs w:val="22"/>
        </w:rPr>
      </w:pPr>
      <w:bookmarkStart w:id="15" w:name="_Toc458698419"/>
      <w:r w:rsidRPr="00917386">
        <w:rPr>
          <w:rFonts w:asciiTheme="minorHAnsi" w:hAnsiTheme="minorHAnsi"/>
          <w:color w:val="auto"/>
          <w:sz w:val="22"/>
          <w:szCs w:val="22"/>
        </w:rPr>
        <w:lastRenderedPageBreak/>
        <w:t>Program Goal, Objective and Expected End of Program Outcomes</w:t>
      </w:r>
      <w:bookmarkEnd w:id="15"/>
      <w:r w:rsidRPr="00917386">
        <w:rPr>
          <w:rFonts w:asciiTheme="minorHAnsi" w:hAnsiTheme="minorHAnsi"/>
          <w:color w:val="auto"/>
          <w:sz w:val="22"/>
          <w:szCs w:val="22"/>
        </w:rPr>
        <w:t xml:space="preserve"> </w:t>
      </w:r>
    </w:p>
    <w:p w:rsidR="00CA7A38" w:rsidRDefault="00CA7A38" w:rsidP="00E70031">
      <w:pPr>
        <w:spacing w:before="240" w:line="276" w:lineRule="auto"/>
        <w:jc w:val="both"/>
        <w:rPr>
          <w:rFonts w:cstheme="minorHAnsi"/>
        </w:rPr>
      </w:pPr>
      <w:r>
        <w:rPr>
          <w:rFonts w:cstheme="minorHAnsi"/>
        </w:rPr>
        <w:t>SRBJS</w:t>
      </w:r>
      <w:r w:rsidRPr="00D13FE5">
        <w:rPr>
          <w:rFonts w:cstheme="minorHAnsi"/>
        </w:rPr>
        <w:t xml:space="preserve"> seeks to contribute to the vision and mission of the</w:t>
      </w:r>
      <w:r>
        <w:rPr>
          <w:rFonts w:cstheme="minorHAnsi"/>
        </w:rPr>
        <w:t xml:space="preserve"> policing, justice and community services sector as articulated in the JCSSS and VPF Strategic Plan.  Through an emphasis on service delivery, the program aligns Australian assistance with Vanuatu’s own priorities and resources.</w:t>
      </w:r>
    </w:p>
    <w:p w:rsidR="00CA7A38" w:rsidRPr="00827B04" w:rsidRDefault="00CA7A38" w:rsidP="00E70031">
      <w:pPr>
        <w:pStyle w:val="Heading3"/>
        <w:spacing w:line="276" w:lineRule="auto"/>
        <w:jc w:val="both"/>
        <w:rPr>
          <w:rFonts w:asciiTheme="minorHAnsi" w:hAnsiTheme="minorHAnsi"/>
          <w:b/>
          <w:i/>
          <w:color w:val="auto"/>
          <w:sz w:val="22"/>
          <w:szCs w:val="22"/>
        </w:rPr>
      </w:pPr>
      <w:r w:rsidRPr="00827B04">
        <w:rPr>
          <w:rFonts w:asciiTheme="minorHAnsi" w:hAnsiTheme="minorHAnsi"/>
          <w:b/>
          <w:i/>
          <w:color w:val="auto"/>
          <w:sz w:val="22"/>
          <w:szCs w:val="22"/>
        </w:rPr>
        <w:t>Goal</w:t>
      </w:r>
    </w:p>
    <w:p w:rsidR="00CA7A38" w:rsidRPr="00491874" w:rsidRDefault="00CA7A38" w:rsidP="00E70031">
      <w:pPr>
        <w:tabs>
          <w:tab w:val="left" w:pos="2410"/>
        </w:tabs>
        <w:spacing w:before="240" w:line="276" w:lineRule="auto"/>
        <w:jc w:val="both"/>
        <w:rPr>
          <w:i/>
        </w:rPr>
      </w:pPr>
      <w:r w:rsidRPr="00827B04">
        <w:t xml:space="preserve">The high level goal of the program is </w:t>
      </w:r>
      <w:proofErr w:type="spellStart"/>
      <w:r>
        <w:rPr>
          <w:i/>
        </w:rPr>
        <w:t>Stretem</w:t>
      </w:r>
      <w:proofErr w:type="spellEnd"/>
      <w:r>
        <w:rPr>
          <w:i/>
        </w:rPr>
        <w:t xml:space="preserve"> rod </w:t>
      </w:r>
      <w:proofErr w:type="spellStart"/>
      <w:r>
        <w:rPr>
          <w:i/>
        </w:rPr>
        <w:t>blong</w:t>
      </w:r>
      <w:proofErr w:type="spellEnd"/>
      <w:r>
        <w:rPr>
          <w:i/>
        </w:rPr>
        <w:t xml:space="preserve"> </w:t>
      </w:r>
      <w:proofErr w:type="spellStart"/>
      <w:r>
        <w:rPr>
          <w:i/>
        </w:rPr>
        <w:t>jastis</w:t>
      </w:r>
      <w:proofErr w:type="spellEnd"/>
      <w:r>
        <w:rPr>
          <w:i/>
        </w:rPr>
        <w:t xml:space="preserve"> </w:t>
      </w:r>
      <w:proofErr w:type="spellStart"/>
      <w:r>
        <w:rPr>
          <w:i/>
        </w:rPr>
        <w:t>mo</w:t>
      </w:r>
      <w:proofErr w:type="spellEnd"/>
      <w:r>
        <w:rPr>
          <w:i/>
        </w:rPr>
        <w:t xml:space="preserve"> </w:t>
      </w:r>
      <w:proofErr w:type="spellStart"/>
      <w:r>
        <w:rPr>
          <w:i/>
        </w:rPr>
        <w:t>sefti</w:t>
      </w:r>
      <w:proofErr w:type="spellEnd"/>
      <w:r>
        <w:rPr>
          <w:i/>
        </w:rPr>
        <w:t xml:space="preserve"> long Vanuatu.  </w:t>
      </w:r>
      <w:r>
        <w:t xml:space="preserve">In English, the literal translation is a straight road to justice and safety in Vanuatu.  We might think of this as a kind of journey towards improved policing, </w:t>
      </w:r>
      <w:r w:rsidRPr="00827B04">
        <w:t xml:space="preserve">justice and </w:t>
      </w:r>
      <w:r>
        <w:t xml:space="preserve">community services.  So the English articulation of the program goal is </w:t>
      </w:r>
      <w:proofErr w:type="gramStart"/>
      <w:r>
        <w:rPr>
          <w:i/>
        </w:rPr>
        <w:t>Improved</w:t>
      </w:r>
      <w:proofErr w:type="gramEnd"/>
      <w:r>
        <w:rPr>
          <w:i/>
        </w:rPr>
        <w:t xml:space="preserve"> policing, justice and community services in Vanuatu.  </w:t>
      </w:r>
      <w:r>
        <w:t>Justice is understood in its broadest sense, accounting for local, contextualised conceptions of the term.</w:t>
      </w:r>
      <w:r>
        <w:rPr>
          <w:rStyle w:val="FootnoteReference"/>
        </w:rPr>
        <w:footnoteReference w:id="49"/>
      </w:r>
      <w:r>
        <w:t xml:space="preserve">  The </w:t>
      </w:r>
      <w:r w:rsidRPr="00827B04">
        <w:t xml:space="preserve">goal is adapted </w:t>
      </w:r>
      <w:r>
        <w:t xml:space="preserve">from the vision for the sector as </w:t>
      </w:r>
      <w:r w:rsidRPr="00827B04">
        <w:t xml:space="preserve">set out in the JCSSS: </w:t>
      </w:r>
      <w:proofErr w:type="spellStart"/>
      <w:r w:rsidRPr="00827B04">
        <w:rPr>
          <w:rFonts w:cstheme="minorHAnsi"/>
          <w:i/>
        </w:rPr>
        <w:t>Jastis</w:t>
      </w:r>
      <w:proofErr w:type="spellEnd"/>
      <w:r w:rsidRPr="00827B04">
        <w:rPr>
          <w:rFonts w:cstheme="minorHAnsi"/>
          <w:i/>
        </w:rPr>
        <w:t xml:space="preserve">, </w:t>
      </w:r>
      <w:proofErr w:type="spellStart"/>
      <w:r w:rsidRPr="00827B04">
        <w:rPr>
          <w:rFonts w:cstheme="minorHAnsi"/>
          <w:i/>
        </w:rPr>
        <w:t>sefti</w:t>
      </w:r>
      <w:proofErr w:type="spellEnd"/>
      <w:r w:rsidRPr="00827B04">
        <w:rPr>
          <w:rFonts w:cstheme="minorHAnsi"/>
          <w:i/>
        </w:rPr>
        <w:t xml:space="preserve">, </w:t>
      </w:r>
      <w:proofErr w:type="spellStart"/>
      <w:r w:rsidRPr="00827B04">
        <w:rPr>
          <w:rFonts w:cstheme="minorHAnsi"/>
          <w:i/>
        </w:rPr>
        <w:t>digniti</w:t>
      </w:r>
      <w:proofErr w:type="spellEnd"/>
      <w:r w:rsidRPr="00827B04">
        <w:rPr>
          <w:rFonts w:cstheme="minorHAnsi"/>
          <w:i/>
        </w:rPr>
        <w:t xml:space="preserve">, </w:t>
      </w:r>
      <w:proofErr w:type="spellStart"/>
      <w:r w:rsidRPr="00827B04">
        <w:rPr>
          <w:rFonts w:cstheme="minorHAnsi"/>
          <w:i/>
        </w:rPr>
        <w:t>rispek</w:t>
      </w:r>
      <w:proofErr w:type="spellEnd"/>
      <w:r w:rsidRPr="00827B04">
        <w:rPr>
          <w:rFonts w:cstheme="minorHAnsi"/>
          <w:i/>
        </w:rPr>
        <w:t xml:space="preserve"> </w:t>
      </w:r>
      <w:proofErr w:type="spellStart"/>
      <w:r w:rsidRPr="00827B04">
        <w:rPr>
          <w:rFonts w:cstheme="minorHAnsi"/>
          <w:i/>
        </w:rPr>
        <w:t>mo</w:t>
      </w:r>
      <w:proofErr w:type="spellEnd"/>
      <w:r w:rsidRPr="00827B04">
        <w:rPr>
          <w:rFonts w:cstheme="minorHAnsi"/>
          <w:i/>
        </w:rPr>
        <w:t xml:space="preserve"> </w:t>
      </w:r>
      <w:proofErr w:type="spellStart"/>
      <w:r w:rsidRPr="00827B04">
        <w:rPr>
          <w:rFonts w:cstheme="minorHAnsi"/>
          <w:i/>
        </w:rPr>
        <w:t>gud</w:t>
      </w:r>
      <w:proofErr w:type="spellEnd"/>
      <w:r w:rsidRPr="00827B04">
        <w:rPr>
          <w:rFonts w:cstheme="minorHAnsi"/>
          <w:i/>
        </w:rPr>
        <w:t xml:space="preserve"> </w:t>
      </w:r>
      <w:proofErr w:type="spellStart"/>
      <w:r w:rsidRPr="00827B04">
        <w:rPr>
          <w:rFonts w:cstheme="minorHAnsi"/>
          <w:i/>
        </w:rPr>
        <w:t>fasin</w:t>
      </w:r>
      <w:proofErr w:type="spellEnd"/>
      <w:r w:rsidRPr="00827B04">
        <w:rPr>
          <w:rFonts w:cstheme="minorHAnsi"/>
          <w:i/>
        </w:rPr>
        <w:t xml:space="preserve"> </w:t>
      </w:r>
      <w:proofErr w:type="spellStart"/>
      <w:r w:rsidRPr="00827B04">
        <w:rPr>
          <w:rFonts w:cstheme="minorHAnsi"/>
          <w:i/>
        </w:rPr>
        <w:t>blong</w:t>
      </w:r>
      <w:proofErr w:type="spellEnd"/>
      <w:r w:rsidRPr="00827B04">
        <w:rPr>
          <w:rFonts w:cstheme="minorHAnsi"/>
          <w:i/>
        </w:rPr>
        <w:t xml:space="preserve"> </w:t>
      </w:r>
      <w:proofErr w:type="spellStart"/>
      <w:r w:rsidRPr="00827B04">
        <w:rPr>
          <w:rFonts w:cstheme="minorHAnsi"/>
          <w:i/>
        </w:rPr>
        <w:t>evriwan</w:t>
      </w:r>
      <w:proofErr w:type="spellEnd"/>
      <w:r>
        <w:rPr>
          <w:rFonts w:cstheme="minorHAnsi"/>
          <w:i/>
        </w:rPr>
        <w:t>.</w:t>
      </w:r>
      <w:r w:rsidRPr="00827B04">
        <w:rPr>
          <w:rStyle w:val="FootnoteReference"/>
          <w:rFonts w:cstheme="minorHAnsi"/>
        </w:rPr>
        <w:footnoteReference w:id="50"/>
      </w:r>
      <w:r>
        <w:rPr>
          <w:rFonts w:cstheme="minorHAnsi"/>
          <w:i/>
        </w:rPr>
        <w:t xml:space="preserve">  </w:t>
      </w:r>
      <w:r>
        <w:t>SRBJS will contribute to the goal in modest but concrete ways.</w:t>
      </w:r>
      <w:r>
        <w:rPr>
          <w:rStyle w:val="FootnoteReference"/>
        </w:rPr>
        <w:footnoteReference w:id="51"/>
      </w:r>
    </w:p>
    <w:p w:rsidR="00CA7A38" w:rsidRPr="007B5B91" w:rsidRDefault="00CA7A38" w:rsidP="00E70031">
      <w:pPr>
        <w:pStyle w:val="Heading3"/>
        <w:spacing w:line="276" w:lineRule="auto"/>
        <w:jc w:val="both"/>
        <w:rPr>
          <w:rFonts w:asciiTheme="minorHAnsi" w:hAnsiTheme="minorHAnsi"/>
          <w:b/>
          <w:i/>
          <w:color w:val="auto"/>
          <w:sz w:val="22"/>
          <w:szCs w:val="22"/>
        </w:rPr>
      </w:pPr>
      <w:r>
        <w:rPr>
          <w:rFonts w:asciiTheme="minorHAnsi" w:hAnsiTheme="minorHAnsi"/>
          <w:b/>
          <w:i/>
          <w:color w:val="auto"/>
          <w:sz w:val="22"/>
          <w:szCs w:val="22"/>
        </w:rPr>
        <w:t>Objective</w:t>
      </w:r>
    </w:p>
    <w:p w:rsidR="00CA7A38" w:rsidRDefault="00CA7A38" w:rsidP="00E70031">
      <w:pPr>
        <w:spacing w:before="240" w:line="276" w:lineRule="auto"/>
        <w:jc w:val="both"/>
        <w:rPr>
          <w:rFonts w:cstheme="minorHAnsi"/>
        </w:rPr>
      </w:pPr>
      <w:r>
        <w:rPr>
          <w:rFonts w:cstheme="minorHAnsi"/>
        </w:rPr>
        <w:t xml:space="preserve">The objective of the program is that </w:t>
      </w:r>
      <w:r w:rsidRPr="007B5B91">
        <w:rPr>
          <w:rFonts w:cstheme="minorHAnsi"/>
        </w:rPr>
        <w:t>VPF, justice and community services agencies and targeted non-state actors provide fair, equitable and quality services that meet the needs of the community</w:t>
      </w:r>
      <w:r>
        <w:rPr>
          <w:rFonts w:cstheme="minorHAnsi"/>
        </w:rPr>
        <w:t xml:space="preserve">.  </w:t>
      </w:r>
    </w:p>
    <w:p w:rsidR="00CA7A38" w:rsidRPr="00E47583" w:rsidRDefault="00CA7A38" w:rsidP="00E70031">
      <w:pPr>
        <w:spacing w:before="240" w:line="276" w:lineRule="auto"/>
        <w:jc w:val="both"/>
        <w:rPr>
          <w:rFonts w:ascii="Times New Roman" w:hAnsi="Times New Roman"/>
          <w:color w:val="000000"/>
          <w:sz w:val="24"/>
          <w:szCs w:val="24"/>
        </w:rPr>
      </w:pPr>
      <w:r>
        <w:rPr>
          <w:rFonts w:cstheme="minorHAnsi"/>
        </w:rPr>
        <w:t xml:space="preserve">This objective for Australian support complements and is derived from the mission of the sector: </w:t>
      </w:r>
      <w:r>
        <w:rPr>
          <w:rFonts w:cstheme="minorHAnsi"/>
          <w:i/>
        </w:rPr>
        <w:t>F</w:t>
      </w:r>
      <w:r w:rsidRPr="00FD0D01">
        <w:rPr>
          <w:rFonts w:cstheme="minorHAnsi"/>
          <w:i/>
        </w:rPr>
        <w:t>or all justice services to promote justice and provide fair and equitable services to meet the needs of the community, the rule of law and protection of human rights.</w:t>
      </w:r>
      <w:r w:rsidRPr="007B5B91">
        <w:rPr>
          <w:rStyle w:val="FootnoteReference"/>
          <w:rFonts w:cstheme="minorHAnsi"/>
        </w:rPr>
        <w:footnoteReference w:id="52"/>
      </w:r>
      <w:r>
        <w:rPr>
          <w:rFonts w:cstheme="minorHAnsi"/>
          <w:i/>
        </w:rPr>
        <w:t xml:space="preserve">  </w:t>
      </w:r>
      <w:r>
        <w:rPr>
          <w:rFonts w:cstheme="minorHAnsi"/>
        </w:rPr>
        <w:t xml:space="preserve">The objective also supports VPF’s vision as set out in the VPF Strategic Plan: </w:t>
      </w:r>
      <w:r>
        <w:rPr>
          <w:rFonts w:cstheme="minorHAnsi"/>
          <w:i/>
        </w:rPr>
        <w:t xml:space="preserve">A modern and professional Police Force united in delivering an effective policing service, in partnership with our communities for a safe and </w:t>
      </w:r>
      <w:proofErr w:type="gramStart"/>
      <w:r>
        <w:rPr>
          <w:rFonts w:cstheme="minorHAnsi"/>
          <w:i/>
        </w:rPr>
        <w:t>secure</w:t>
      </w:r>
      <w:proofErr w:type="gramEnd"/>
      <w:r>
        <w:rPr>
          <w:rFonts w:cstheme="minorHAnsi"/>
          <w:i/>
        </w:rPr>
        <w:t xml:space="preserve"> Vanuatu.</w:t>
      </w:r>
      <w:r w:rsidRPr="00E47583">
        <w:rPr>
          <w:rStyle w:val="FootnoteReference"/>
          <w:rFonts w:cstheme="minorHAnsi"/>
        </w:rPr>
        <w:footnoteReference w:id="53"/>
      </w:r>
      <w:r w:rsidRPr="00E47583">
        <w:rPr>
          <w:rFonts w:ascii="Times New Roman" w:hAnsi="Times New Roman"/>
          <w:color w:val="000000"/>
          <w:sz w:val="24"/>
          <w:szCs w:val="24"/>
        </w:rPr>
        <w:t xml:space="preserve"> </w:t>
      </w:r>
    </w:p>
    <w:p w:rsidR="00CA7A38" w:rsidRPr="00BC21D8" w:rsidRDefault="00CA7A38" w:rsidP="00E70031">
      <w:pPr>
        <w:pStyle w:val="Heading3"/>
        <w:spacing w:line="276" w:lineRule="auto"/>
        <w:jc w:val="both"/>
        <w:rPr>
          <w:rFonts w:asciiTheme="minorHAnsi" w:hAnsiTheme="minorHAnsi"/>
          <w:b/>
          <w:i/>
          <w:color w:val="auto"/>
          <w:sz w:val="22"/>
          <w:szCs w:val="22"/>
        </w:rPr>
      </w:pPr>
      <w:r>
        <w:rPr>
          <w:rFonts w:asciiTheme="minorHAnsi" w:hAnsiTheme="minorHAnsi"/>
          <w:b/>
          <w:i/>
          <w:color w:val="auto"/>
          <w:sz w:val="22"/>
          <w:szCs w:val="22"/>
        </w:rPr>
        <w:t>End of Program Outcomes</w:t>
      </w:r>
    </w:p>
    <w:p w:rsidR="00CA7A38" w:rsidRDefault="00CA7A38" w:rsidP="00E70031">
      <w:pPr>
        <w:spacing w:before="240" w:line="276" w:lineRule="auto"/>
        <w:jc w:val="both"/>
        <w:rPr>
          <w:rFonts w:cstheme="minorHAnsi"/>
        </w:rPr>
      </w:pPr>
      <w:r>
        <w:rPr>
          <w:rFonts w:cstheme="minorHAnsi"/>
        </w:rPr>
        <w:t xml:space="preserve">SRBJS is designed to contribute to the goal and objective by focusing on three </w:t>
      </w:r>
      <w:proofErr w:type="gramStart"/>
      <w:r>
        <w:rPr>
          <w:rFonts w:cstheme="minorHAnsi"/>
        </w:rPr>
        <w:t>end</w:t>
      </w:r>
      <w:proofErr w:type="gramEnd"/>
      <w:r>
        <w:rPr>
          <w:rFonts w:cstheme="minorHAnsi"/>
        </w:rPr>
        <w:t xml:space="preserve"> of program outcomes (EOPOs).  The EOPOs are statements of the results that are expected to flow directly from Australian assistance.  SRBJS will focus on helping Vanuatu to achieve the following three EOPOs:</w:t>
      </w:r>
    </w:p>
    <w:p w:rsidR="00CA7A38" w:rsidRPr="00BC21D8" w:rsidRDefault="00CA7A38" w:rsidP="00E70031">
      <w:pPr>
        <w:numPr>
          <w:ilvl w:val="0"/>
          <w:numId w:val="24"/>
        </w:numPr>
        <w:spacing w:before="240" w:line="276" w:lineRule="auto"/>
        <w:ind w:left="714" w:hanging="357"/>
        <w:contextualSpacing/>
        <w:jc w:val="both"/>
        <w:rPr>
          <w:rFonts w:cstheme="minorHAnsi"/>
        </w:rPr>
      </w:pPr>
      <w:r w:rsidRPr="00BC21D8">
        <w:rPr>
          <w:rFonts w:cstheme="minorHAnsi"/>
        </w:rPr>
        <w:t xml:space="preserve">VPF, justice and community services agencies and targeted non-state actors demonstrate strengthened </w:t>
      </w:r>
      <w:r w:rsidRPr="00BC21D8">
        <w:rPr>
          <w:rFonts w:cstheme="minorHAnsi"/>
          <w:b/>
          <w:bCs/>
        </w:rPr>
        <w:t xml:space="preserve">service delivery capacity, </w:t>
      </w:r>
      <w:r w:rsidRPr="00BC21D8">
        <w:rPr>
          <w:rFonts w:cstheme="minorHAnsi"/>
        </w:rPr>
        <w:t>particularly in their handling of cases involving women, children and youth</w:t>
      </w:r>
    </w:p>
    <w:p w:rsidR="00CA7A38" w:rsidRPr="00BC21D8" w:rsidRDefault="00CA7A38" w:rsidP="00E70031">
      <w:pPr>
        <w:numPr>
          <w:ilvl w:val="0"/>
          <w:numId w:val="25"/>
        </w:numPr>
        <w:spacing w:before="240" w:line="276" w:lineRule="auto"/>
        <w:ind w:left="714" w:hanging="357"/>
        <w:contextualSpacing/>
        <w:jc w:val="both"/>
        <w:rPr>
          <w:rFonts w:cstheme="minorHAnsi"/>
        </w:rPr>
      </w:pPr>
      <w:r w:rsidRPr="00BC21D8">
        <w:rPr>
          <w:rFonts w:cstheme="minorHAnsi"/>
        </w:rPr>
        <w:t xml:space="preserve">Women, children and youth are increasingly able to </w:t>
      </w:r>
      <w:r w:rsidRPr="00BC21D8">
        <w:rPr>
          <w:rFonts w:cstheme="minorHAnsi"/>
          <w:b/>
          <w:bCs/>
        </w:rPr>
        <w:t xml:space="preserve">access </w:t>
      </w:r>
      <w:r w:rsidRPr="00BC21D8">
        <w:rPr>
          <w:rFonts w:cstheme="minorHAnsi"/>
        </w:rPr>
        <w:t>state policing, justice and community services in targeted locations</w:t>
      </w:r>
    </w:p>
    <w:p w:rsidR="00CA7A38" w:rsidRPr="00BC21D8" w:rsidRDefault="00CA7A38" w:rsidP="00E70031">
      <w:pPr>
        <w:numPr>
          <w:ilvl w:val="0"/>
          <w:numId w:val="26"/>
        </w:numPr>
        <w:spacing w:before="240" w:line="276" w:lineRule="auto"/>
        <w:ind w:left="714" w:hanging="357"/>
        <w:contextualSpacing/>
        <w:jc w:val="both"/>
        <w:rPr>
          <w:rFonts w:cstheme="minorHAnsi"/>
        </w:rPr>
      </w:pPr>
      <w:r w:rsidRPr="00BC21D8">
        <w:rPr>
          <w:rFonts w:cstheme="minorHAnsi"/>
        </w:rPr>
        <w:t xml:space="preserve">VPF, justice and community services agencies and targeted non-state actors demonstrate improved </w:t>
      </w:r>
      <w:r w:rsidRPr="00BC21D8">
        <w:rPr>
          <w:rFonts w:cstheme="minorHAnsi"/>
          <w:b/>
          <w:bCs/>
        </w:rPr>
        <w:t xml:space="preserve">quality </w:t>
      </w:r>
      <w:r w:rsidRPr="00BC21D8">
        <w:rPr>
          <w:rFonts w:cstheme="minorHAnsi"/>
        </w:rPr>
        <w:t>of service delivery to women children and youth in targeted locations</w:t>
      </w:r>
    </w:p>
    <w:p w:rsidR="00CA7A38" w:rsidRDefault="00CA7A38" w:rsidP="00E70031">
      <w:pPr>
        <w:snapToGrid w:val="0"/>
        <w:spacing w:before="240" w:after="0" w:line="276" w:lineRule="auto"/>
        <w:jc w:val="both"/>
        <w:rPr>
          <w:rFonts w:cstheme="minorHAnsi"/>
        </w:rPr>
      </w:pPr>
      <w:r w:rsidRPr="00BE7E85">
        <w:rPr>
          <w:rFonts w:cstheme="minorHAnsi"/>
        </w:rPr>
        <w:lastRenderedPageBreak/>
        <w:t xml:space="preserve">All </w:t>
      </w:r>
      <w:r>
        <w:rPr>
          <w:rFonts w:cstheme="minorHAnsi"/>
        </w:rPr>
        <w:t xml:space="preserve">support provided under SRBJS </w:t>
      </w:r>
      <w:r w:rsidRPr="00BE7E85">
        <w:rPr>
          <w:rFonts w:cstheme="minorHAnsi"/>
        </w:rPr>
        <w:t xml:space="preserve">will contribute to one or more of these three </w:t>
      </w:r>
      <w:r>
        <w:rPr>
          <w:rFonts w:cstheme="minorHAnsi"/>
        </w:rPr>
        <w:t xml:space="preserve">EOPOs.  </w:t>
      </w:r>
    </w:p>
    <w:p w:rsidR="00CA7A38" w:rsidRDefault="00CA7A38" w:rsidP="00E70031">
      <w:pPr>
        <w:snapToGrid w:val="0"/>
        <w:spacing w:before="240" w:line="276" w:lineRule="auto"/>
        <w:jc w:val="both"/>
        <w:rPr>
          <w:rFonts w:cstheme="minorHAnsi"/>
        </w:rPr>
      </w:pPr>
      <w:r>
        <w:rPr>
          <w:rFonts w:cstheme="minorHAnsi"/>
        </w:rPr>
        <w:t>SRBJS will be structured around three Pillars:</w:t>
      </w:r>
    </w:p>
    <w:p w:rsidR="00CA7A38" w:rsidRPr="00BE56B8" w:rsidRDefault="00CA7A38" w:rsidP="00E70031">
      <w:pPr>
        <w:pStyle w:val="ListParagraph"/>
        <w:numPr>
          <w:ilvl w:val="0"/>
          <w:numId w:val="27"/>
        </w:numPr>
        <w:snapToGrid w:val="0"/>
        <w:spacing w:after="0" w:line="276" w:lineRule="auto"/>
        <w:ind w:left="714" w:hanging="357"/>
        <w:contextualSpacing w:val="0"/>
        <w:jc w:val="both"/>
        <w:rPr>
          <w:rFonts w:cstheme="minorHAnsi"/>
        </w:rPr>
      </w:pPr>
      <w:r w:rsidRPr="00BE56B8">
        <w:rPr>
          <w:rFonts w:cstheme="minorHAnsi"/>
          <w:bCs/>
        </w:rPr>
        <w:t>Strengthening policing, justice and community services institutions</w:t>
      </w:r>
    </w:p>
    <w:p w:rsidR="00CA7A38" w:rsidRPr="00BE56B8" w:rsidRDefault="00CA7A38" w:rsidP="00E70031">
      <w:pPr>
        <w:pStyle w:val="ListParagraph"/>
        <w:numPr>
          <w:ilvl w:val="0"/>
          <w:numId w:val="27"/>
        </w:numPr>
        <w:snapToGrid w:val="0"/>
        <w:spacing w:after="0" w:line="276" w:lineRule="auto"/>
        <w:ind w:left="714" w:hanging="357"/>
        <w:contextualSpacing w:val="0"/>
        <w:jc w:val="both"/>
        <w:rPr>
          <w:rFonts w:cstheme="minorHAnsi"/>
        </w:rPr>
      </w:pPr>
      <w:r w:rsidRPr="00BE56B8">
        <w:rPr>
          <w:rFonts w:cstheme="minorHAnsi"/>
          <w:bCs/>
        </w:rPr>
        <w:t xml:space="preserve">Improving people’s access to justice </w:t>
      </w:r>
      <w:r>
        <w:rPr>
          <w:rFonts w:cstheme="minorHAnsi"/>
          <w:bCs/>
        </w:rPr>
        <w:t xml:space="preserve">(with an </w:t>
      </w:r>
      <w:r w:rsidRPr="00BE56B8">
        <w:rPr>
          <w:rFonts w:cstheme="minorHAnsi"/>
          <w:iCs/>
        </w:rPr>
        <w:t>emphasis on access to justice for survivors of violence against wom</w:t>
      </w:r>
      <w:r>
        <w:rPr>
          <w:rFonts w:cstheme="minorHAnsi"/>
          <w:iCs/>
        </w:rPr>
        <w:t>en and</w:t>
      </w:r>
      <w:r w:rsidRPr="00BE56B8">
        <w:rPr>
          <w:rFonts w:cstheme="minorHAnsi"/>
          <w:iCs/>
        </w:rPr>
        <w:t xml:space="preserve"> children</w:t>
      </w:r>
      <w:r>
        <w:rPr>
          <w:rFonts w:cstheme="minorHAnsi"/>
          <w:iCs/>
        </w:rPr>
        <w:t>)</w:t>
      </w:r>
    </w:p>
    <w:p w:rsidR="00CA7A38" w:rsidRPr="00BE56B8" w:rsidRDefault="00CA7A38" w:rsidP="00E70031">
      <w:pPr>
        <w:pStyle w:val="ListParagraph"/>
        <w:numPr>
          <w:ilvl w:val="0"/>
          <w:numId w:val="27"/>
        </w:numPr>
        <w:snapToGrid w:val="0"/>
        <w:spacing w:after="0" w:line="276" w:lineRule="auto"/>
        <w:ind w:left="714" w:hanging="357"/>
        <w:contextualSpacing w:val="0"/>
        <w:jc w:val="both"/>
        <w:rPr>
          <w:rFonts w:cstheme="minorHAnsi"/>
        </w:rPr>
      </w:pPr>
      <w:r>
        <w:rPr>
          <w:rFonts w:cstheme="minorHAnsi"/>
          <w:bCs/>
        </w:rPr>
        <w:t xml:space="preserve">Support to </w:t>
      </w:r>
      <w:r w:rsidRPr="00BE56B8">
        <w:rPr>
          <w:rFonts w:cstheme="minorHAnsi"/>
          <w:bCs/>
        </w:rPr>
        <w:t>vulnerable and at-risk groups</w:t>
      </w:r>
    </w:p>
    <w:p w:rsidR="00CA7A38" w:rsidRDefault="00CA7A38" w:rsidP="00E70031">
      <w:pPr>
        <w:snapToGrid w:val="0"/>
        <w:spacing w:before="240" w:after="0" w:line="276" w:lineRule="auto"/>
        <w:jc w:val="both"/>
        <w:rPr>
          <w:rFonts w:eastAsiaTheme="minorEastAsia" w:cstheme="minorHAnsi"/>
        </w:rPr>
      </w:pPr>
      <w:r>
        <w:rPr>
          <w:rFonts w:cstheme="minorHAnsi"/>
        </w:rPr>
        <w:t xml:space="preserve">Each of the Pillars </w:t>
      </w:r>
      <w:proofErr w:type="gramStart"/>
      <w:r>
        <w:rPr>
          <w:rFonts w:cstheme="minorHAnsi"/>
        </w:rPr>
        <w:t>contribute</w:t>
      </w:r>
      <w:proofErr w:type="gramEnd"/>
      <w:r>
        <w:rPr>
          <w:rFonts w:cstheme="minorHAnsi"/>
        </w:rPr>
        <w:t xml:space="preserve"> to the three EOPOs in a highly integrated, mutually reinforcing way.  </w:t>
      </w:r>
      <w:r w:rsidRPr="00BE7E85">
        <w:rPr>
          <w:rFonts w:cstheme="minorHAnsi"/>
        </w:rPr>
        <w:t xml:space="preserve">These </w:t>
      </w:r>
      <w:r>
        <w:rPr>
          <w:rFonts w:cstheme="minorHAnsi"/>
        </w:rPr>
        <w:t xml:space="preserve">EOPOs and Pillars have been selected because they are essential to achieving the overarching goal and objective; they represent areas of mutual interest and shared concern for Vanuatu and Australia; and analysis points </w:t>
      </w:r>
      <w:r w:rsidRPr="00890E88">
        <w:rPr>
          <w:rFonts w:eastAsiaTheme="minorEastAsia" w:cstheme="minorHAnsi"/>
        </w:rPr>
        <w:t>to the capacity of Australian funding, expertise and relationships to make a tangible difference in these areas over the course of the investment</w:t>
      </w:r>
      <w:r>
        <w:rPr>
          <w:rFonts w:eastAsiaTheme="minorEastAsia" w:cstheme="minorHAnsi"/>
        </w:rPr>
        <w:t xml:space="preserve"> — this is to be measured at the level of the end-users of the policing, justice and community services</w:t>
      </w:r>
      <w:r w:rsidRPr="00890E88">
        <w:rPr>
          <w:rFonts w:eastAsiaTheme="minorEastAsia" w:cstheme="minorHAnsi"/>
        </w:rPr>
        <w:t>.</w:t>
      </w:r>
      <w:r>
        <w:rPr>
          <w:rFonts w:eastAsiaTheme="minorEastAsia" w:cstheme="minorHAnsi"/>
        </w:rPr>
        <w:t xml:space="preserve">  </w:t>
      </w:r>
    </w:p>
    <w:p w:rsidR="00CA7A38" w:rsidRDefault="00CA7A38" w:rsidP="00E70031">
      <w:pPr>
        <w:snapToGrid w:val="0"/>
        <w:spacing w:before="240" w:after="0" w:line="276" w:lineRule="auto"/>
        <w:jc w:val="both"/>
        <w:rPr>
          <w:rFonts w:eastAsiaTheme="minorEastAsia" w:cstheme="minorHAnsi"/>
        </w:rPr>
      </w:pPr>
      <w:r>
        <w:rPr>
          <w:rFonts w:eastAsiaTheme="minorEastAsia" w:cstheme="minorHAnsi"/>
        </w:rPr>
        <w:t>The introduction of these three Pillars represents a departure from the three Components used in PJSPV and in the first stage of SRBJ.  (</w:t>
      </w:r>
      <w:r w:rsidRPr="009840D0">
        <w:t>Component 1: Support for multilevel sectoral coordinator, collaboration and communication; Component 2: Capacity development; Component 3: Protecting children &amp; justice pathways for women and youth.</w:t>
      </w:r>
      <w:r>
        <w:t>)  This change is intended to reflect</w:t>
      </w:r>
      <w:r>
        <w:rPr>
          <w:rFonts w:eastAsiaTheme="minorEastAsia" w:cstheme="minorHAnsi"/>
        </w:rPr>
        <w:t xml:space="preserve"> sector and program progress and the stronger focus on improving service delivery that will characterise SRBJS.  </w:t>
      </w:r>
    </w:p>
    <w:p w:rsidR="00CA7A38" w:rsidRDefault="00CA7A38" w:rsidP="00E70031">
      <w:pPr>
        <w:snapToGrid w:val="0"/>
        <w:spacing w:before="240" w:line="276" w:lineRule="auto"/>
        <w:jc w:val="both"/>
        <w:rPr>
          <w:rFonts w:eastAsiaTheme="minorEastAsia" w:cstheme="minorHAnsi"/>
        </w:rPr>
      </w:pPr>
      <w:r>
        <w:rPr>
          <w:rFonts w:eastAsiaTheme="minorEastAsia" w:cstheme="minorHAnsi"/>
        </w:rPr>
        <w:t xml:space="preserve">The focus on improving service delivery was overt in PJSPV, but the move towards increasing the focus on service delivery to users of the system across </w:t>
      </w:r>
      <w:r w:rsidRPr="00FB59B1">
        <w:rPr>
          <w:rFonts w:eastAsiaTheme="minorEastAsia" w:cstheme="minorHAnsi"/>
          <w:i/>
        </w:rPr>
        <w:t>all</w:t>
      </w:r>
      <w:r>
        <w:rPr>
          <w:rFonts w:eastAsiaTheme="minorEastAsia" w:cstheme="minorHAnsi"/>
        </w:rPr>
        <w:t xml:space="preserve"> aspects of the program reflects a maturation of the program and its partnership with the </w:t>
      </w:r>
      <w:proofErr w:type="spellStart"/>
      <w:r>
        <w:rPr>
          <w:rFonts w:eastAsiaTheme="minorEastAsia" w:cstheme="minorHAnsi"/>
        </w:rPr>
        <w:t>GoV.</w:t>
      </w:r>
      <w:proofErr w:type="spellEnd"/>
      <w:r>
        <w:rPr>
          <w:rFonts w:eastAsiaTheme="minorEastAsia" w:cstheme="minorHAnsi"/>
        </w:rPr>
        <w:t xml:space="preserve">  At the conclusion of PJSPV, the </w:t>
      </w:r>
      <w:proofErr w:type="spellStart"/>
      <w:r>
        <w:rPr>
          <w:rFonts w:eastAsiaTheme="minorEastAsia" w:cstheme="minorHAnsi"/>
        </w:rPr>
        <w:t>GoA</w:t>
      </w:r>
      <w:proofErr w:type="spellEnd"/>
      <w:r>
        <w:rPr>
          <w:rFonts w:eastAsiaTheme="minorEastAsia" w:cstheme="minorHAnsi"/>
        </w:rPr>
        <w:t xml:space="preserve"> will have provided assistance to policing and justice in Vanuatu for more than 16 years.  Over that time, assistance has progressed from advisory support to select state institutions to become a sector-wide program incorporating an integrated whole-of-sector strengthening approach.  For the program to be understood, accepted, owned and supported by GoV partners across this broad sector, these programmatic changes need to occur in a way that is understood and appreciated by partners.  The pace of change in the way Australia provides support — at times leading, at other times supporting change — must occur in a way that is complementary to sector progress.  The overt program focus on service delivery outcomes for users of the system is likely to be acceptable to GoV given the maturity of the </w:t>
      </w:r>
      <w:proofErr w:type="spellStart"/>
      <w:r>
        <w:rPr>
          <w:rFonts w:eastAsiaTheme="minorEastAsia" w:cstheme="minorHAnsi"/>
        </w:rPr>
        <w:t>GoA</w:t>
      </w:r>
      <w:proofErr w:type="spellEnd"/>
      <w:r>
        <w:rPr>
          <w:rFonts w:eastAsiaTheme="minorEastAsia" w:cstheme="minorHAnsi"/>
        </w:rPr>
        <w:t xml:space="preserve"> and </w:t>
      </w:r>
      <w:proofErr w:type="spellStart"/>
      <w:r>
        <w:rPr>
          <w:rFonts w:eastAsiaTheme="minorEastAsia" w:cstheme="minorHAnsi"/>
        </w:rPr>
        <w:t>GoV</w:t>
      </w:r>
      <w:proofErr w:type="spellEnd"/>
      <w:r>
        <w:rPr>
          <w:rFonts w:eastAsiaTheme="minorEastAsia" w:cstheme="minorHAnsi"/>
        </w:rPr>
        <w:t xml:space="preserve"> partnership in this sector.  The focus also reflects language in the draft National Sustainable Development Plan, currently being developed by PMO. </w:t>
      </w:r>
    </w:p>
    <w:p w:rsidR="00CA7A38" w:rsidRDefault="00CA7A38" w:rsidP="00E70031">
      <w:pPr>
        <w:snapToGrid w:val="0"/>
        <w:spacing w:before="240" w:line="276" w:lineRule="auto"/>
        <w:jc w:val="both"/>
        <w:rPr>
          <w:rFonts w:eastAsiaTheme="minorEastAsia" w:cstheme="minorHAnsi"/>
        </w:rPr>
      </w:pPr>
      <w:r>
        <w:rPr>
          <w:rFonts w:eastAsiaTheme="minorEastAsia" w:cstheme="minorHAnsi"/>
        </w:rPr>
        <w:t>The Pillar structure also shows how SRBJS will work across the interface between the state policing, justice and community services sector and non-state actors and end-users of the system.  It illustrates a graduation from support focused almost entirely on state law and justice institutions to a stronger focus on justice at the community level, including the experiences of users of the system.  (This shift is in addition to and not instead of support to sector institutions.)  Also, as the program logic depicts (and as discussed below at section 3.4 (</w:t>
      </w:r>
      <w:proofErr w:type="gramStart"/>
      <w:r>
        <w:rPr>
          <w:rFonts w:eastAsiaTheme="minorEastAsia" w:cstheme="minorHAnsi"/>
        </w:rPr>
        <w:t>iv</w:t>
      </w:r>
      <w:proofErr w:type="gramEnd"/>
      <w:r>
        <w:rPr>
          <w:rFonts w:eastAsiaTheme="minorEastAsia" w:cstheme="minorHAnsi"/>
        </w:rPr>
        <w:t>)), capacity development is not captured through any Pillar.  Instead, it is represented as an underlying approach for strengthening service delivery capacity that cuts across the three Pillars.</w:t>
      </w:r>
    </w:p>
    <w:p w:rsidR="00CA7A38" w:rsidRDefault="00CA7A38" w:rsidP="00E70031">
      <w:pPr>
        <w:snapToGrid w:val="0"/>
        <w:spacing w:before="240" w:line="276" w:lineRule="auto"/>
        <w:jc w:val="both"/>
        <w:rPr>
          <w:rFonts w:eastAsiaTheme="minorEastAsia" w:cstheme="minorHAnsi"/>
        </w:rPr>
      </w:pPr>
      <w:r>
        <w:rPr>
          <w:rFonts w:eastAsiaTheme="minorEastAsia" w:cstheme="minorHAnsi"/>
        </w:rPr>
        <w:t xml:space="preserve">While the Components have shifted to Pillars, much of the program’s work and support will continue and be deepened in a way that: </w:t>
      </w:r>
    </w:p>
    <w:p w:rsidR="00CA7A38" w:rsidRDefault="00CA7A38" w:rsidP="00E70031">
      <w:pPr>
        <w:pStyle w:val="ListParagraph"/>
        <w:numPr>
          <w:ilvl w:val="0"/>
          <w:numId w:val="23"/>
        </w:numPr>
        <w:spacing w:after="200" w:line="276" w:lineRule="auto"/>
        <w:ind w:left="360"/>
        <w:jc w:val="both"/>
        <w:rPr>
          <w:rFonts w:cstheme="minorHAnsi"/>
        </w:rPr>
      </w:pPr>
      <w:r w:rsidRPr="00FD0D01">
        <w:rPr>
          <w:rFonts w:cstheme="minorHAnsi"/>
        </w:rPr>
        <w:lastRenderedPageBreak/>
        <w:t>Builds on the engagement and relationshi</w:t>
      </w:r>
      <w:r>
        <w:rPr>
          <w:rFonts w:cstheme="minorHAnsi"/>
        </w:rPr>
        <w:t>ps developed in previous iterations of the program</w:t>
      </w:r>
      <w:r w:rsidRPr="00FD0D01">
        <w:rPr>
          <w:rFonts w:cstheme="minorHAnsi"/>
        </w:rPr>
        <w:t xml:space="preserve"> </w:t>
      </w:r>
    </w:p>
    <w:p w:rsidR="00CA7A38" w:rsidRDefault="00CA7A38" w:rsidP="00E70031">
      <w:pPr>
        <w:pStyle w:val="ListParagraph"/>
        <w:numPr>
          <w:ilvl w:val="0"/>
          <w:numId w:val="23"/>
        </w:numPr>
        <w:spacing w:after="200" w:line="276" w:lineRule="auto"/>
        <w:ind w:left="360"/>
        <w:jc w:val="both"/>
        <w:rPr>
          <w:rFonts w:cstheme="minorHAnsi"/>
        </w:rPr>
      </w:pPr>
      <w:r>
        <w:rPr>
          <w:rFonts w:cstheme="minorHAnsi"/>
        </w:rPr>
        <w:t>Prioritises capacity development, applying the five-level capacity development framework already in use in PJSPV</w:t>
      </w:r>
    </w:p>
    <w:p w:rsidR="00CA7A38" w:rsidRDefault="00CA7A38" w:rsidP="00E70031">
      <w:pPr>
        <w:pStyle w:val="ListParagraph"/>
        <w:numPr>
          <w:ilvl w:val="0"/>
          <w:numId w:val="23"/>
        </w:numPr>
        <w:spacing w:after="200" w:line="276" w:lineRule="auto"/>
        <w:ind w:left="360"/>
        <w:jc w:val="both"/>
        <w:rPr>
          <w:rFonts w:cstheme="minorHAnsi"/>
        </w:rPr>
      </w:pPr>
      <w:r w:rsidRPr="00FD0D01">
        <w:rPr>
          <w:rFonts w:cstheme="minorHAnsi"/>
        </w:rPr>
        <w:t xml:space="preserve">Strengthens collaboration </w:t>
      </w:r>
      <w:r>
        <w:rPr>
          <w:rFonts w:cstheme="minorHAnsi"/>
        </w:rPr>
        <w:t>between sector agencies where it supports service delivery</w:t>
      </w:r>
    </w:p>
    <w:p w:rsidR="00CA7A38" w:rsidRPr="00FD0D01" w:rsidRDefault="00CA7A38" w:rsidP="00E70031">
      <w:pPr>
        <w:pStyle w:val="ListParagraph"/>
        <w:numPr>
          <w:ilvl w:val="0"/>
          <w:numId w:val="23"/>
        </w:numPr>
        <w:spacing w:after="200" w:line="276" w:lineRule="auto"/>
        <w:ind w:left="360"/>
        <w:jc w:val="both"/>
        <w:rPr>
          <w:rFonts w:cstheme="minorHAnsi"/>
        </w:rPr>
      </w:pPr>
      <w:r>
        <w:rPr>
          <w:rFonts w:cstheme="minorHAnsi"/>
        </w:rPr>
        <w:t>Promotes gender equality and women’s empowerment through support for enhanced access to justice for women and girls as well as greater professional participation of women in the sector</w:t>
      </w:r>
    </w:p>
    <w:p w:rsidR="00CA7A38" w:rsidRPr="00FD0D01" w:rsidRDefault="00CA7A38" w:rsidP="00E70031">
      <w:pPr>
        <w:pStyle w:val="ListParagraph"/>
        <w:numPr>
          <w:ilvl w:val="0"/>
          <w:numId w:val="23"/>
        </w:numPr>
        <w:spacing w:after="200" w:line="276" w:lineRule="auto"/>
        <w:ind w:left="360"/>
        <w:jc w:val="both"/>
        <w:rPr>
          <w:rFonts w:cstheme="minorHAnsi"/>
        </w:rPr>
      </w:pPr>
      <w:r w:rsidRPr="00FD0D01">
        <w:rPr>
          <w:rFonts w:cstheme="minorHAnsi"/>
        </w:rPr>
        <w:t xml:space="preserve">Builds on </w:t>
      </w:r>
      <w:r>
        <w:rPr>
          <w:rFonts w:cstheme="minorHAnsi"/>
        </w:rPr>
        <w:t xml:space="preserve">sector strategies and plans </w:t>
      </w:r>
      <w:r w:rsidRPr="00FD0D01">
        <w:rPr>
          <w:rFonts w:cstheme="minorHAnsi"/>
        </w:rPr>
        <w:t>that identify t</w:t>
      </w:r>
      <w:r>
        <w:rPr>
          <w:rFonts w:cstheme="minorHAnsi"/>
        </w:rPr>
        <w:t>he key priorities of the sector</w:t>
      </w:r>
      <w:r w:rsidRPr="00FD0D01">
        <w:rPr>
          <w:rFonts w:cstheme="minorHAnsi"/>
        </w:rPr>
        <w:t xml:space="preserve"> </w:t>
      </w:r>
    </w:p>
    <w:p w:rsidR="00CA7A38" w:rsidRDefault="00CA7A38" w:rsidP="00E70031">
      <w:pPr>
        <w:pStyle w:val="ListParagraph"/>
        <w:numPr>
          <w:ilvl w:val="0"/>
          <w:numId w:val="23"/>
        </w:numPr>
        <w:spacing w:after="200" w:line="276" w:lineRule="auto"/>
        <w:ind w:left="360"/>
        <w:jc w:val="both"/>
        <w:rPr>
          <w:rFonts w:cstheme="minorHAnsi"/>
        </w:rPr>
      </w:pPr>
      <w:r w:rsidRPr="00FD0D01">
        <w:rPr>
          <w:rFonts w:cstheme="minorHAnsi"/>
        </w:rPr>
        <w:t>Recognises the strengths a</w:t>
      </w:r>
      <w:r>
        <w:rPr>
          <w:rFonts w:cstheme="minorHAnsi"/>
        </w:rPr>
        <w:t>nd challenges within the sector</w:t>
      </w:r>
      <w:r w:rsidRPr="00FD0D01">
        <w:rPr>
          <w:rStyle w:val="FootnoteReference"/>
          <w:rFonts w:cstheme="minorHAnsi"/>
        </w:rPr>
        <w:footnoteReference w:id="54"/>
      </w:r>
      <w:r w:rsidRPr="00FD0D01">
        <w:rPr>
          <w:rFonts w:cstheme="minorHAnsi"/>
        </w:rPr>
        <w:t xml:space="preserve"> </w:t>
      </w:r>
    </w:p>
    <w:p w:rsidR="00CA7A38" w:rsidRPr="00185A65" w:rsidRDefault="00CA7A38" w:rsidP="00E70031">
      <w:pPr>
        <w:pStyle w:val="ListParagraph"/>
        <w:numPr>
          <w:ilvl w:val="0"/>
          <w:numId w:val="23"/>
        </w:numPr>
        <w:spacing w:after="200" w:line="276" w:lineRule="auto"/>
        <w:ind w:left="360"/>
        <w:jc w:val="both"/>
        <w:rPr>
          <w:rFonts w:cstheme="minorHAnsi"/>
        </w:rPr>
      </w:pPr>
      <w:r>
        <w:rPr>
          <w:rFonts w:cstheme="minorHAnsi"/>
        </w:rPr>
        <w:t>Prioritises information sharing and evidence-based decision making</w:t>
      </w:r>
    </w:p>
    <w:p w:rsidR="00CA7A38" w:rsidRDefault="00CA7A38" w:rsidP="00E70031">
      <w:pPr>
        <w:pStyle w:val="ListParagraph"/>
        <w:numPr>
          <w:ilvl w:val="0"/>
          <w:numId w:val="23"/>
        </w:numPr>
        <w:spacing w:after="200" w:line="276" w:lineRule="auto"/>
        <w:ind w:left="360"/>
        <w:jc w:val="both"/>
        <w:rPr>
          <w:rFonts w:cstheme="minorHAnsi"/>
        </w:rPr>
      </w:pPr>
      <w:r w:rsidRPr="00FD0D01">
        <w:rPr>
          <w:rFonts w:cstheme="minorHAnsi"/>
        </w:rPr>
        <w:t>Builds on</w:t>
      </w:r>
      <w:r>
        <w:rPr>
          <w:rFonts w:cstheme="minorHAnsi"/>
        </w:rPr>
        <w:t xml:space="preserve"> research undertaken by PJSPV on conflict management and access to justice in rural Vanuatu (</w:t>
      </w:r>
      <w:proofErr w:type="spellStart"/>
      <w:r>
        <w:rPr>
          <w:rFonts w:cstheme="minorHAnsi"/>
        </w:rPr>
        <w:t>Malekula</w:t>
      </w:r>
      <w:proofErr w:type="spellEnd"/>
      <w:r>
        <w:rPr>
          <w:rFonts w:cstheme="minorHAnsi"/>
        </w:rPr>
        <w:t>); and youth in conflict with the law in a peri-urban location (</w:t>
      </w:r>
      <w:proofErr w:type="spellStart"/>
      <w:r>
        <w:rPr>
          <w:rFonts w:cstheme="minorHAnsi"/>
        </w:rPr>
        <w:t>Blacksands</w:t>
      </w:r>
      <w:proofErr w:type="spellEnd"/>
      <w:r>
        <w:rPr>
          <w:rFonts w:cstheme="minorHAnsi"/>
        </w:rPr>
        <w:t>)</w:t>
      </w:r>
      <w:r>
        <w:rPr>
          <w:rStyle w:val="FootnoteReference"/>
          <w:rFonts w:cstheme="minorHAnsi"/>
        </w:rPr>
        <w:footnoteReference w:id="55"/>
      </w:r>
    </w:p>
    <w:p w:rsidR="00CA7A38" w:rsidRPr="00E12D88" w:rsidRDefault="00CA7A38" w:rsidP="00E70031">
      <w:pPr>
        <w:pStyle w:val="ListParagraph"/>
        <w:spacing w:after="200" w:line="276" w:lineRule="auto"/>
        <w:ind w:left="360"/>
        <w:jc w:val="both"/>
        <w:rPr>
          <w:rFonts w:cstheme="minorHAnsi"/>
        </w:rPr>
      </w:pPr>
    </w:p>
    <w:p w:rsidR="00CA7A38" w:rsidRDefault="00CA7A38" w:rsidP="00E70031">
      <w:pPr>
        <w:pStyle w:val="Heading2"/>
        <w:numPr>
          <w:ilvl w:val="1"/>
          <w:numId w:val="1"/>
        </w:numPr>
        <w:spacing w:after="240"/>
        <w:jc w:val="both"/>
        <w:rPr>
          <w:rFonts w:asciiTheme="minorHAnsi" w:hAnsiTheme="minorHAnsi"/>
          <w:color w:val="auto"/>
          <w:sz w:val="22"/>
          <w:szCs w:val="22"/>
        </w:rPr>
      </w:pPr>
      <w:bookmarkStart w:id="16" w:name="_Toc458698420"/>
      <w:r w:rsidRPr="00917386">
        <w:rPr>
          <w:rFonts w:asciiTheme="minorHAnsi" w:hAnsiTheme="minorHAnsi"/>
          <w:color w:val="auto"/>
          <w:sz w:val="22"/>
          <w:szCs w:val="22"/>
        </w:rPr>
        <w:t>Expected Intermediate Outcomes and Indicative Outputs</w:t>
      </w:r>
      <w:bookmarkEnd w:id="16"/>
    </w:p>
    <w:p w:rsidR="00CA7A38" w:rsidRDefault="00CA7A38" w:rsidP="00E70031">
      <w:pPr>
        <w:spacing w:line="276" w:lineRule="auto"/>
        <w:jc w:val="both"/>
      </w:pPr>
      <w:r>
        <w:t xml:space="preserve">The three Pillars feature intermediate outcomes (IOs) which are required to be fulfilled in order to achieve the EOPOs.  The IOs are expected to be achieved as program implementation proceeds, generally at the program mid-point.  </w:t>
      </w:r>
    </w:p>
    <w:p w:rsidR="00CA7A38" w:rsidRDefault="00CA7A38" w:rsidP="00E70031">
      <w:pPr>
        <w:spacing w:line="276" w:lineRule="auto"/>
        <w:jc w:val="both"/>
      </w:pPr>
      <w:r>
        <w:t>The IOs from across the three Pillars contribute to the EOPOs in an integrated way.  By way of example, fulfilment of EOPO 2 (increased accessibility of services) relies on the cumulative impact of work around a number of IOs across the three Pillars, and involves multiple actors and institutions.  This integrated program structure reflects the complex and multifaceted context to which SRBJS responds.  It also reflects the body of law and justice development literature that supports the view that end-users are much more likely to benefit from assistance where it occurs through a holistic approach.</w:t>
      </w:r>
      <w:r>
        <w:rPr>
          <w:rStyle w:val="FootnoteReference"/>
        </w:rPr>
        <w:footnoteReference w:id="56"/>
      </w:r>
      <w:r>
        <w:t xml:space="preserve">   </w:t>
      </w:r>
    </w:p>
    <w:p w:rsidR="00CA7A38" w:rsidRDefault="00CA7A38" w:rsidP="00E70031">
      <w:pPr>
        <w:spacing w:line="276" w:lineRule="auto"/>
        <w:jc w:val="both"/>
      </w:pPr>
      <w:r>
        <w:t>This section provides examples of possible outputs that SRBJS will deliver to meet the IOs, dependant on consultation with and support from relevant GoV agencies and cognisant of changes in the context.  Outputs are the results of program activities; the direct products or deliverables of program activities.  Some outputs relate to more than one IO so there is some overlap between IOs and pillars.</w:t>
      </w:r>
    </w:p>
    <w:p w:rsidR="00CA7A38" w:rsidRDefault="00CA7A38" w:rsidP="00E70031">
      <w:pPr>
        <w:spacing w:line="276" w:lineRule="auto"/>
        <w:jc w:val="both"/>
      </w:pPr>
    </w:p>
    <w:p w:rsidR="00CA7A38" w:rsidRPr="00C81E2A" w:rsidRDefault="00CA7A38" w:rsidP="00E70031">
      <w:pPr>
        <w:pStyle w:val="Heading3"/>
        <w:numPr>
          <w:ilvl w:val="0"/>
          <w:numId w:val="28"/>
        </w:numPr>
        <w:spacing w:after="240"/>
        <w:rPr>
          <w:rFonts w:asciiTheme="minorHAnsi" w:hAnsiTheme="minorHAnsi"/>
          <w:color w:val="auto"/>
          <w:sz w:val="22"/>
          <w:szCs w:val="22"/>
        </w:rPr>
      </w:pPr>
      <w:r w:rsidRPr="00C81E2A">
        <w:rPr>
          <w:rFonts w:asciiTheme="minorHAnsi" w:hAnsiTheme="minorHAnsi"/>
          <w:color w:val="auto"/>
          <w:sz w:val="22"/>
          <w:szCs w:val="22"/>
        </w:rPr>
        <w:lastRenderedPageBreak/>
        <w:t>Pillar 1: Strengthening Policing, Justice and Community Services Institutions</w:t>
      </w:r>
    </w:p>
    <w:p w:rsidR="00CA7A38" w:rsidRPr="00C81E2A" w:rsidRDefault="00CA7A38" w:rsidP="00E70031">
      <w:pPr>
        <w:pStyle w:val="Heading4"/>
        <w:spacing w:line="276" w:lineRule="auto"/>
        <w:jc w:val="both"/>
        <w:rPr>
          <w:rFonts w:asciiTheme="minorHAnsi" w:hAnsiTheme="minorHAnsi"/>
          <w:b/>
          <w:color w:val="auto"/>
        </w:rPr>
      </w:pPr>
      <w:r w:rsidRPr="00C81E2A">
        <w:rPr>
          <w:rFonts w:asciiTheme="minorHAnsi" w:hAnsiTheme="minorHAnsi"/>
          <w:b/>
          <w:color w:val="auto"/>
        </w:rPr>
        <w:t>Pillar Overview</w:t>
      </w:r>
    </w:p>
    <w:p w:rsidR="00CA7A38" w:rsidRPr="00C81E2A" w:rsidRDefault="00CA7A38" w:rsidP="00E70031">
      <w:pPr>
        <w:spacing w:before="240" w:line="276" w:lineRule="auto"/>
        <w:jc w:val="both"/>
      </w:pPr>
      <w:r w:rsidRPr="00C81E2A">
        <w:t>The focus of Pillar 1 is on helping sector agencies/institutions improve their capacity to deliver quality services to the people of Vanuatu.  The Pillar involves a suite of support to the sector ranging from the provision of technical assistance and capacity development activities, funding for purchasing/upd</w:t>
      </w:r>
      <w:r>
        <w:t>ating of information systems combined with</w:t>
      </w:r>
      <w:r w:rsidRPr="00C81E2A">
        <w:rPr>
          <w:rFonts w:cstheme="minorHAnsi"/>
        </w:rPr>
        <w:t xml:space="preserve"> support using the systems for service delivery, to backing enhanced professional participation of women in the sector.  </w:t>
      </w:r>
    </w:p>
    <w:p w:rsidR="00CA7A38" w:rsidRPr="003D3357" w:rsidRDefault="00CA7A38" w:rsidP="00E70031">
      <w:pPr>
        <w:pStyle w:val="Heading4"/>
        <w:spacing w:line="276" w:lineRule="auto"/>
        <w:jc w:val="both"/>
        <w:rPr>
          <w:rFonts w:asciiTheme="minorHAnsi" w:hAnsiTheme="minorHAnsi"/>
          <w:b/>
          <w:color w:val="auto"/>
        </w:rPr>
      </w:pPr>
      <w:r w:rsidRPr="00C81E2A">
        <w:rPr>
          <w:rFonts w:asciiTheme="minorHAnsi" w:hAnsiTheme="minorHAnsi"/>
          <w:b/>
          <w:color w:val="auto"/>
        </w:rPr>
        <w:t xml:space="preserve">Intermediate outcomes and </w:t>
      </w:r>
      <w:r>
        <w:rPr>
          <w:rFonts w:asciiTheme="minorHAnsi" w:hAnsiTheme="minorHAnsi"/>
          <w:b/>
          <w:color w:val="auto"/>
        </w:rPr>
        <w:t xml:space="preserve">key </w:t>
      </w:r>
      <w:r w:rsidRPr="00C81E2A">
        <w:rPr>
          <w:rFonts w:asciiTheme="minorHAnsi" w:hAnsiTheme="minorHAnsi"/>
          <w:b/>
          <w:color w:val="auto"/>
        </w:rPr>
        <w:t>indicative outputs under Pillar 1</w:t>
      </w:r>
    </w:p>
    <w:p w:rsidR="00CA7A38" w:rsidRDefault="00CA7A38" w:rsidP="00E70031">
      <w:pPr>
        <w:spacing w:before="240" w:line="276" w:lineRule="auto"/>
        <w:jc w:val="both"/>
      </w:pPr>
      <w:r w:rsidRPr="00C81E2A">
        <w:rPr>
          <w:b/>
        </w:rPr>
        <w:t>Intermediate Outcome 1</w:t>
      </w:r>
      <w:r w:rsidRPr="00C81E2A">
        <w:t>: Individuals are participating in targeted skills development, and are applying this in their work, to contribute to strengthened service delivery</w:t>
      </w:r>
    </w:p>
    <w:p w:rsidR="00CA7A38" w:rsidRPr="00AC2FCB" w:rsidRDefault="00CA7A38" w:rsidP="00E70031">
      <w:pPr>
        <w:spacing w:line="276" w:lineRule="auto"/>
        <w:jc w:val="both"/>
      </w:pPr>
      <w:r>
        <w:t xml:space="preserve">This involves support to individuals across the sector to build their skills required to fulfil the requirements of their positions.  Support will be provided across a range of technical areas including legal, policing, public financial management, management and leadership skills and human resource management skills.  This will involve a strong focus on applying learning in the workplace.  It will also emphasise workplace learning, which is the kind of learning that is not just about applying what has been learnt in training, but instead is about responding to workplace issues as they emerge in ways that can be self-managed. </w:t>
      </w:r>
    </w:p>
    <w:p w:rsidR="00CA7A38" w:rsidRPr="00C81E2A" w:rsidRDefault="00CA7A38" w:rsidP="00E70031">
      <w:pPr>
        <w:pStyle w:val="Heading5"/>
        <w:spacing w:after="240" w:line="276" w:lineRule="auto"/>
        <w:jc w:val="both"/>
        <w:rPr>
          <w:rFonts w:asciiTheme="minorHAnsi" w:hAnsiTheme="minorHAnsi"/>
          <w:color w:val="auto"/>
        </w:rPr>
      </w:pPr>
      <w:r w:rsidRPr="00C81E2A">
        <w:rPr>
          <w:rFonts w:asciiTheme="minorHAnsi" w:hAnsiTheme="minorHAnsi"/>
          <w:color w:val="auto"/>
        </w:rPr>
        <w:t>Indicative Outputs</w:t>
      </w:r>
      <w:r>
        <w:rPr>
          <w:rFonts w:asciiTheme="minorHAnsi" w:hAnsiTheme="minorHAnsi"/>
          <w:color w:val="auto"/>
        </w:rPr>
        <w:t>:</w:t>
      </w:r>
    </w:p>
    <w:p w:rsidR="00CA7A38" w:rsidRPr="00C81E2A" w:rsidRDefault="00CA7A38" w:rsidP="00E70031">
      <w:pPr>
        <w:pStyle w:val="ListParagraph"/>
        <w:numPr>
          <w:ilvl w:val="0"/>
          <w:numId w:val="22"/>
        </w:numPr>
        <w:spacing w:after="0" w:line="276" w:lineRule="auto"/>
        <w:ind w:left="714" w:hanging="357"/>
        <w:contextualSpacing w:val="0"/>
        <w:jc w:val="both"/>
      </w:pPr>
      <w:r>
        <w:rPr>
          <w:rFonts w:ascii="Calibri" w:hAnsi="Calibri"/>
        </w:rPr>
        <w:t>VPF Commissioner and Executive are effectively advised on high-level strategic management and policing issues (see section 3.1 (ii) for a non-exhaustive list of issues for advice)</w:t>
      </w:r>
    </w:p>
    <w:p w:rsidR="00CA7A38" w:rsidRDefault="00CA7A38" w:rsidP="00E70031">
      <w:pPr>
        <w:pStyle w:val="ListParagraph"/>
        <w:numPr>
          <w:ilvl w:val="0"/>
          <w:numId w:val="30"/>
        </w:numPr>
        <w:autoSpaceDE w:val="0"/>
        <w:autoSpaceDN w:val="0"/>
        <w:adjustRightInd w:val="0"/>
        <w:spacing w:after="0" w:line="276" w:lineRule="auto"/>
        <w:jc w:val="both"/>
        <w:rPr>
          <w:rFonts w:ascii="Calibri" w:hAnsi="Calibri"/>
        </w:rPr>
      </w:pPr>
      <w:r>
        <w:rPr>
          <w:rFonts w:ascii="Calibri" w:hAnsi="Calibri"/>
        </w:rPr>
        <w:t xml:space="preserve">VPF officers are effectively trained and mentored in management and operational roles, for example investigations/investigative procedures, prosecutions, handling of domestic violence cases, lawful use of force, professional standards, </w:t>
      </w:r>
      <w:r w:rsidRPr="0081554E">
        <w:rPr>
          <w:rFonts w:ascii="Calibri" w:hAnsi="Calibri"/>
        </w:rPr>
        <w:t xml:space="preserve">development and production of </w:t>
      </w:r>
      <w:r>
        <w:rPr>
          <w:rFonts w:ascii="Calibri" w:hAnsi="Calibri"/>
        </w:rPr>
        <w:t>briefs, l</w:t>
      </w:r>
      <w:r w:rsidRPr="0081554E">
        <w:rPr>
          <w:rFonts w:ascii="Calibri" w:hAnsi="Calibri"/>
        </w:rPr>
        <w:t xml:space="preserve">egal </w:t>
      </w:r>
      <w:r>
        <w:rPr>
          <w:rFonts w:ascii="Calibri" w:hAnsi="Calibri"/>
        </w:rPr>
        <w:t xml:space="preserve">opinion's and research, </w:t>
      </w:r>
      <w:r w:rsidRPr="00266196">
        <w:rPr>
          <w:rFonts w:ascii="Calibri" w:hAnsi="Calibri"/>
        </w:rPr>
        <w:t>crime prevention and community engagement</w:t>
      </w:r>
    </w:p>
    <w:p w:rsidR="00CA7A38" w:rsidRDefault="00CA7A38" w:rsidP="00E70031">
      <w:pPr>
        <w:autoSpaceDE w:val="0"/>
        <w:autoSpaceDN w:val="0"/>
        <w:adjustRightInd w:val="0"/>
        <w:spacing w:after="0" w:line="276" w:lineRule="auto"/>
        <w:jc w:val="both"/>
        <w:rPr>
          <w:rFonts w:ascii="Calibri" w:hAnsi="Calibri"/>
        </w:rPr>
      </w:pPr>
    </w:p>
    <w:p w:rsidR="00CA7A38" w:rsidRDefault="00CA7A38" w:rsidP="00E70031">
      <w:pPr>
        <w:pStyle w:val="Heading5"/>
        <w:spacing w:after="240" w:line="276" w:lineRule="auto"/>
        <w:jc w:val="both"/>
        <w:rPr>
          <w:rFonts w:asciiTheme="minorHAnsi" w:hAnsiTheme="minorHAnsi"/>
          <w:color w:val="auto"/>
        </w:rPr>
      </w:pPr>
      <w:r w:rsidRPr="00C81E2A">
        <w:rPr>
          <w:rFonts w:asciiTheme="minorHAnsi" w:hAnsiTheme="minorHAnsi"/>
          <w:b/>
          <w:color w:val="auto"/>
        </w:rPr>
        <w:t>Intermediate Outcome 2</w:t>
      </w:r>
      <w:r w:rsidRPr="00C81E2A">
        <w:rPr>
          <w:rFonts w:asciiTheme="minorHAnsi" w:hAnsiTheme="minorHAnsi"/>
          <w:color w:val="auto"/>
        </w:rPr>
        <w:t>: Police prosecutors and public sector lawyers are providing more professional and timely representation</w:t>
      </w:r>
    </w:p>
    <w:p w:rsidR="00CA7A38" w:rsidRPr="00C81E2A" w:rsidRDefault="00CA7A38" w:rsidP="00E70031">
      <w:pPr>
        <w:spacing w:line="276" w:lineRule="auto"/>
        <w:jc w:val="both"/>
      </w:pPr>
      <w:r>
        <w:t xml:space="preserve">This involves support to SPD and lawyers within public law offices to improve the quality of their representation of clients.  This could also involve capacity development support (employing a variety of capacity development techniques) in areas including advocacy skills, knowledge of laws, and court practice. </w:t>
      </w:r>
    </w:p>
    <w:p w:rsidR="00CA7A38" w:rsidRPr="00C81E2A" w:rsidRDefault="00CA7A38" w:rsidP="00E70031">
      <w:pPr>
        <w:pStyle w:val="Heading5"/>
        <w:spacing w:after="240" w:line="276" w:lineRule="auto"/>
        <w:jc w:val="both"/>
        <w:rPr>
          <w:rFonts w:asciiTheme="minorHAnsi" w:hAnsiTheme="minorHAnsi"/>
          <w:color w:val="auto"/>
        </w:rPr>
      </w:pPr>
      <w:r>
        <w:rPr>
          <w:rFonts w:asciiTheme="minorHAnsi" w:hAnsiTheme="minorHAnsi"/>
          <w:color w:val="auto"/>
        </w:rPr>
        <w:t xml:space="preserve">Indicative </w:t>
      </w:r>
      <w:r w:rsidRPr="00C81E2A">
        <w:rPr>
          <w:rFonts w:asciiTheme="minorHAnsi" w:hAnsiTheme="minorHAnsi"/>
          <w:color w:val="auto"/>
        </w:rPr>
        <w:t>Outputs</w:t>
      </w:r>
      <w:r>
        <w:rPr>
          <w:rFonts w:asciiTheme="minorHAnsi" w:hAnsiTheme="minorHAnsi"/>
          <w:color w:val="auto"/>
        </w:rPr>
        <w:t>:</w:t>
      </w:r>
      <w:r w:rsidRPr="00C81E2A">
        <w:rPr>
          <w:rFonts w:asciiTheme="minorHAnsi" w:hAnsiTheme="minorHAnsi"/>
          <w:color w:val="auto"/>
        </w:rPr>
        <w:t xml:space="preserve"> </w:t>
      </w:r>
    </w:p>
    <w:p w:rsidR="00CA7A38" w:rsidRDefault="00CA7A38" w:rsidP="00E70031">
      <w:pPr>
        <w:pStyle w:val="ListParagraph"/>
        <w:numPr>
          <w:ilvl w:val="0"/>
          <w:numId w:val="22"/>
        </w:numPr>
        <w:spacing w:line="276" w:lineRule="auto"/>
        <w:jc w:val="both"/>
      </w:pPr>
      <w:r>
        <w:t xml:space="preserve">Police prosecutors and public sector lawyers are trained to provide quality representation and assistance, for example, through mentoring, coaching and access to training in a range of technical areas, for example, appearing in court, civil and criminal procedure, professional responsibility, file management, court tours, and specific areas of law such as domestic violence and restraining orders, child maintenance, adoption (as relevant to the functions of each office).  </w:t>
      </w:r>
    </w:p>
    <w:p w:rsidR="00CA7A38" w:rsidRDefault="00CA7A38" w:rsidP="00E70031">
      <w:pPr>
        <w:pStyle w:val="ListParagraph"/>
        <w:numPr>
          <w:ilvl w:val="0"/>
          <w:numId w:val="22"/>
        </w:numPr>
        <w:spacing w:line="276" w:lineRule="auto"/>
        <w:jc w:val="both"/>
      </w:pPr>
      <w:r>
        <w:lastRenderedPageBreak/>
        <w:t xml:space="preserve">Public sector lawyers are trained in legal advocacy, for example through SRBJS support for their attendance at Victoria Bar legal advocacy training </w:t>
      </w:r>
    </w:p>
    <w:p w:rsidR="00CA7A38" w:rsidRPr="00C81E2A" w:rsidRDefault="00CA7A38" w:rsidP="00E70031">
      <w:pPr>
        <w:pStyle w:val="Heading5"/>
        <w:spacing w:line="276" w:lineRule="auto"/>
        <w:jc w:val="both"/>
        <w:rPr>
          <w:rFonts w:asciiTheme="minorHAnsi" w:hAnsiTheme="minorHAnsi"/>
          <w:color w:val="auto"/>
        </w:rPr>
      </w:pPr>
      <w:r w:rsidRPr="00C81E2A">
        <w:rPr>
          <w:rFonts w:asciiTheme="minorHAnsi" w:hAnsiTheme="minorHAnsi"/>
          <w:b/>
          <w:color w:val="auto"/>
        </w:rPr>
        <w:t>Intermediate Outcome 3</w:t>
      </w:r>
      <w:r w:rsidRPr="00C81E2A">
        <w:rPr>
          <w:rFonts w:asciiTheme="minorHAnsi" w:hAnsiTheme="minorHAnsi"/>
          <w:color w:val="auto"/>
        </w:rPr>
        <w:t xml:space="preserve">: Sector agencies are better managing their human and financial resources </w:t>
      </w:r>
    </w:p>
    <w:p w:rsidR="00CA7A38" w:rsidRPr="00D95CC6" w:rsidRDefault="00CA7A38" w:rsidP="00E70031">
      <w:pPr>
        <w:spacing w:before="240" w:after="200" w:line="276" w:lineRule="auto"/>
        <w:jc w:val="both"/>
        <w:rPr>
          <w:bCs/>
        </w:rPr>
      </w:pPr>
      <w:r>
        <w:rPr>
          <w:bCs/>
        </w:rPr>
        <w:t xml:space="preserve">SRBJS will continue PJSVP’s sector support in the areas of financial and human resource management.  Improved public financial management is crucial for the efficient functioning of agencies and delivery of services, and also guards against fraud.  Sound human resource management matters for staff retention, morale and agency performance.  </w:t>
      </w:r>
      <w:r w:rsidRPr="00D95CC6">
        <w:rPr>
          <w:bCs/>
        </w:rPr>
        <w:t>Also,</w:t>
      </w:r>
      <w:r>
        <w:rPr>
          <w:b/>
          <w:bCs/>
        </w:rPr>
        <w:t xml:space="preserve"> </w:t>
      </w:r>
      <w:r>
        <w:rPr>
          <w:bCs/>
        </w:rPr>
        <w:t>a</w:t>
      </w:r>
      <w:r w:rsidRPr="00C81E2A">
        <w:rPr>
          <w:bCs/>
        </w:rPr>
        <w:t>s part of</w:t>
      </w:r>
      <w:r>
        <w:rPr>
          <w:bCs/>
        </w:rPr>
        <w:t xml:space="preserve"> the</w:t>
      </w:r>
      <w:r w:rsidRPr="00C81E2A">
        <w:rPr>
          <w:bCs/>
        </w:rPr>
        <w:t xml:space="preserve"> </w:t>
      </w:r>
      <w:r>
        <w:rPr>
          <w:bCs/>
        </w:rPr>
        <w:t xml:space="preserve">program </w:t>
      </w:r>
      <w:r w:rsidRPr="00C81E2A">
        <w:rPr>
          <w:bCs/>
        </w:rPr>
        <w:t>support for human resource management and workforce planning, the program has encouraged gradual development of leadership and professionalism</w:t>
      </w:r>
      <w:r>
        <w:rPr>
          <w:bCs/>
        </w:rPr>
        <w:t xml:space="preserve"> across the sector.  </w:t>
      </w:r>
      <w:r w:rsidRPr="00C81E2A">
        <w:rPr>
          <w:bCs/>
        </w:rPr>
        <w:t>Officers are demonstrating creative thinking for solving service delivery challenges within exis</w:t>
      </w:r>
      <w:r>
        <w:rPr>
          <w:bCs/>
        </w:rPr>
        <w:t xml:space="preserve">ting resources and parameters.  </w:t>
      </w:r>
      <w:r w:rsidRPr="00C81E2A">
        <w:rPr>
          <w:bCs/>
        </w:rPr>
        <w:t>Continued organisational and development support within the sector ha</w:t>
      </w:r>
      <w:r>
        <w:rPr>
          <w:bCs/>
        </w:rPr>
        <w:t xml:space="preserve">s the potential to drive change.  </w:t>
      </w:r>
    </w:p>
    <w:p w:rsidR="00CA7A38" w:rsidRPr="00C81E2A" w:rsidRDefault="00CA7A38" w:rsidP="00E70031">
      <w:pPr>
        <w:pStyle w:val="Heading5"/>
        <w:spacing w:after="240" w:line="276" w:lineRule="auto"/>
        <w:jc w:val="both"/>
        <w:rPr>
          <w:rFonts w:asciiTheme="minorHAnsi" w:hAnsiTheme="minorHAnsi"/>
          <w:color w:val="auto"/>
        </w:rPr>
      </w:pPr>
      <w:r>
        <w:rPr>
          <w:rFonts w:asciiTheme="minorHAnsi" w:hAnsiTheme="minorHAnsi"/>
          <w:color w:val="auto"/>
        </w:rPr>
        <w:t xml:space="preserve">Indicative </w:t>
      </w:r>
      <w:r w:rsidRPr="00C81E2A">
        <w:rPr>
          <w:rFonts w:asciiTheme="minorHAnsi" w:hAnsiTheme="minorHAnsi"/>
          <w:color w:val="auto"/>
        </w:rPr>
        <w:t>Outpu</w:t>
      </w:r>
      <w:r>
        <w:rPr>
          <w:rFonts w:asciiTheme="minorHAnsi" w:hAnsiTheme="minorHAnsi"/>
          <w:color w:val="auto"/>
        </w:rPr>
        <w:t>t</w:t>
      </w:r>
      <w:r w:rsidRPr="00C81E2A">
        <w:rPr>
          <w:rFonts w:asciiTheme="minorHAnsi" w:hAnsiTheme="minorHAnsi"/>
          <w:color w:val="auto"/>
        </w:rPr>
        <w:t>s</w:t>
      </w:r>
      <w:r>
        <w:rPr>
          <w:rFonts w:asciiTheme="minorHAnsi" w:hAnsiTheme="minorHAnsi"/>
          <w:color w:val="auto"/>
        </w:rPr>
        <w:t>:</w:t>
      </w:r>
      <w:r w:rsidRPr="00C81E2A">
        <w:rPr>
          <w:rFonts w:asciiTheme="minorHAnsi" w:hAnsiTheme="minorHAnsi"/>
          <w:color w:val="auto"/>
        </w:rPr>
        <w:t xml:space="preserve"> </w:t>
      </w:r>
    </w:p>
    <w:p w:rsidR="00CA7A38" w:rsidRDefault="00CA7A38" w:rsidP="00E70031">
      <w:pPr>
        <w:pStyle w:val="ListParagraph"/>
        <w:numPr>
          <w:ilvl w:val="0"/>
          <w:numId w:val="22"/>
        </w:numPr>
        <w:spacing w:before="240" w:line="276" w:lineRule="auto"/>
        <w:jc w:val="both"/>
      </w:pPr>
      <w:r>
        <w:t xml:space="preserve">Better financial and human resource management resulting, in part, from adviser support in these areas  </w:t>
      </w:r>
    </w:p>
    <w:p w:rsidR="00CA7A38" w:rsidRPr="0013083D" w:rsidRDefault="00CA7A38" w:rsidP="00E70031">
      <w:pPr>
        <w:pStyle w:val="ListParagraph"/>
        <w:numPr>
          <w:ilvl w:val="0"/>
          <w:numId w:val="22"/>
        </w:numPr>
        <w:autoSpaceDE w:val="0"/>
        <w:autoSpaceDN w:val="0"/>
        <w:spacing w:before="240" w:after="0" w:line="276" w:lineRule="auto"/>
        <w:jc w:val="both"/>
        <w:rPr>
          <w:rFonts w:ascii="Calibri" w:hAnsi="Calibri"/>
        </w:rPr>
      </w:pPr>
      <w:r w:rsidRPr="0013083D">
        <w:rPr>
          <w:rFonts w:ascii="Calibri" w:hAnsi="Calibri"/>
        </w:rPr>
        <w:t xml:space="preserve">Sector agencies are supported to channel funds through Financial Services Bureaus </w:t>
      </w:r>
      <w:r>
        <w:rPr>
          <w:rFonts w:ascii="Calibri" w:hAnsi="Calibri"/>
        </w:rPr>
        <w:t>(as an enabler for provincial service delivery)</w:t>
      </w:r>
    </w:p>
    <w:p w:rsidR="00CA7A38" w:rsidRPr="00027B2A" w:rsidRDefault="00CA7A38" w:rsidP="00E70031">
      <w:pPr>
        <w:pStyle w:val="ListParagraph"/>
        <w:numPr>
          <w:ilvl w:val="0"/>
          <w:numId w:val="22"/>
        </w:numPr>
        <w:spacing w:before="240" w:line="276" w:lineRule="auto"/>
        <w:jc w:val="both"/>
      </w:pPr>
      <w:r>
        <w:rPr>
          <w:rFonts w:ascii="Calibri" w:hAnsi="Calibri"/>
        </w:rPr>
        <w:t>A long term VPF financial and human resource management plan/framework (in line with the VPF Strategic Plan)  is developed</w:t>
      </w:r>
    </w:p>
    <w:p w:rsidR="00CA7A38" w:rsidRDefault="00CA7A38" w:rsidP="00E70031">
      <w:pPr>
        <w:pStyle w:val="Heading5"/>
        <w:spacing w:line="276" w:lineRule="auto"/>
        <w:jc w:val="both"/>
        <w:rPr>
          <w:rFonts w:asciiTheme="minorHAnsi" w:hAnsiTheme="minorHAnsi"/>
          <w:color w:val="auto"/>
        </w:rPr>
      </w:pPr>
      <w:r w:rsidRPr="00C81E2A">
        <w:rPr>
          <w:rFonts w:asciiTheme="minorHAnsi" w:hAnsiTheme="minorHAnsi"/>
          <w:b/>
          <w:color w:val="auto"/>
        </w:rPr>
        <w:t>Intermediate Outcome 4:</w:t>
      </w:r>
      <w:r w:rsidRPr="00C81E2A">
        <w:rPr>
          <w:rFonts w:asciiTheme="minorHAnsi" w:hAnsiTheme="minorHAnsi"/>
          <w:color w:val="auto"/>
        </w:rPr>
        <w:t xml:space="preserve"> Women’s professional participation in the sector is enhanced</w:t>
      </w:r>
    </w:p>
    <w:p w:rsidR="00CA7A38" w:rsidRPr="007E54CA" w:rsidRDefault="00CA7A38" w:rsidP="00E70031">
      <w:pPr>
        <w:spacing w:before="240"/>
        <w:jc w:val="both"/>
      </w:pPr>
      <w:r w:rsidRPr="007E54CA">
        <w:rPr>
          <w:rFonts w:cstheme="minorHAnsi"/>
          <w:color w:val="000000"/>
        </w:rPr>
        <w:t>Women remain under-represented in policing and justice professions and there are substantial barriers to their professional participation at all levels of the sector</w:t>
      </w:r>
      <w:r>
        <w:rPr>
          <w:rFonts w:cstheme="minorHAnsi"/>
          <w:color w:val="000000"/>
        </w:rPr>
        <w:t xml:space="preserve">.  </w:t>
      </w:r>
    </w:p>
    <w:p w:rsidR="00CA7A38" w:rsidRPr="00C81E2A" w:rsidRDefault="00CA7A38" w:rsidP="00E70031">
      <w:pPr>
        <w:pStyle w:val="Heading5"/>
        <w:spacing w:after="240" w:line="276" w:lineRule="auto"/>
        <w:jc w:val="both"/>
        <w:rPr>
          <w:rFonts w:asciiTheme="minorHAnsi" w:hAnsiTheme="minorHAnsi"/>
          <w:color w:val="auto"/>
        </w:rPr>
      </w:pPr>
      <w:r>
        <w:rPr>
          <w:rFonts w:asciiTheme="minorHAnsi" w:hAnsiTheme="minorHAnsi"/>
          <w:color w:val="auto"/>
        </w:rPr>
        <w:t xml:space="preserve">Key </w:t>
      </w:r>
      <w:r w:rsidRPr="00C81E2A">
        <w:rPr>
          <w:rFonts w:asciiTheme="minorHAnsi" w:hAnsiTheme="minorHAnsi"/>
          <w:color w:val="auto"/>
        </w:rPr>
        <w:t>Outputs</w:t>
      </w:r>
      <w:r>
        <w:rPr>
          <w:rFonts w:asciiTheme="minorHAnsi" w:hAnsiTheme="minorHAnsi"/>
          <w:color w:val="auto"/>
        </w:rPr>
        <w:t>:</w:t>
      </w:r>
      <w:r w:rsidRPr="00C81E2A">
        <w:rPr>
          <w:rFonts w:asciiTheme="minorHAnsi" w:hAnsiTheme="minorHAnsi"/>
          <w:color w:val="auto"/>
        </w:rPr>
        <w:t xml:space="preserve"> </w:t>
      </w:r>
    </w:p>
    <w:p w:rsidR="00CA7A38" w:rsidRPr="007E54CA" w:rsidRDefault="00CA7A38" w:rsidP="00E70031">
      <w:pPr>
        <w:pStyle w:val="ListParagraph"/>
        <w:numPr>
          <w:ilvl w:val="0"/>
          <w:numId w:val="22"/>
        </w:numPr>
        <w:jc w:val="both"/>
      </w:pPr>
      <w:r>
        <w:t xml:space="preserve">Enhanced participation of women in the sector.  LSJ support will include working with the VPF to </w:t>
      </w:r>
      <w:r>
        <w:rPr>
          <w:rFonts w:ascii="Calibri" w:hAnsi="Calibri"/>
        </w:rPr>
        <w:t>i</w:t>
      </w:r>
      <w:r w:rsidRPr="007E54CA">
        <w:rPr>
          <w:rFonts w:ascii="Calibri" w:hAnsi="Calibri"/>
        </w:rPr>
        <w:t xml:space="preserve">mplement recommendations from the </w:t>
      </w:r>
      <w:r w:rsidRPr="007E54CA">
        <w:rPr>
          <w:rFonts w:ascii="Calibri" w:hAnsi="Calibri"/>
          <w:i/>
        </w:rPr>
        <w:t>Evaluation of Women’s Participation in the VPF</w:t>
      </w:r>
    </w:p>
    <w:p w:rsidR="00CA7A38" w:rsidRPr="00C81E2A" w:rsidRDefault="00CA7A38" w:rsidP="00E70031">
      <w:pPr>
        <w:pStyle w:val="ListParagraph"/>
        <w:numPr>
          <w:ilvl w:val="0"/>
          <w:numId w:val="22"/>
        </w:numPr>
        <w:jc w:val="both"/>
      </w:pPr>
      <w:r>
        <w:t xml:space="preserve">Women from across the sector are </w:t>
      </w:r>
      <w:proofErr w:type="gramStart"/>
      <w:r>
        <w:t>mentored/equipped</w:t>
      </w:r>
      <w:proofErr w:type="gramEnd"/>
      <w:r>
        <w:t xml:space="preserve"> to participate, with confidence, in the sector.  Includes ensuring women have equitable access to training opportunities provided/supported by SRBJS and supported participation in the (ongoing) Women in Leadership mentoring program</w:t>
      </w:r>
    </w:p>
    <w:p w:rsidR="00CA7A38" w:rsidRDefault="00CA7A38" w:rsidP="00E70031">
      <w:pPr>
        <w:pStyle w:val="Heading5"/>
        <w:spacing w:line="276" w:lineRule="auto"/>
        <w:jc w:val="both"/>
        <w:rPr>
          <w:rFonts w:asciiTheme="minorHAnsi" w:hAnsiTheme="minorHAnsi"/>
          <w:color w:val="auto"/>
        </w:rPr>
      </w:pPr>
      <w:r w:rsidRPr="00C81E2A">
        <w:rPr>
          <w:rFonts w:asciiTheme="minorHAnsi" w:hAnsiTheme="minorHAnsi"/>
          <w:b/>
          <w:color w:val="auto"/>
        </w:rPr>
        <w:t>Intermediate Outcome 5</w:t>
      </w:r>
      <w:r w:rsidRPr="00C81E2A">
        <w:rPr>
          <w:rFonts w:asciiTheme="minorHAnsi" w:hAnsiTheme="minorHAnsi"/>
          <w:color w:val="auto"/>
        </w:rPr>
        <w:t>: Sector agencies are working together more effectively to achieve and sustain improvements in service delivery</w:t>
      </w:r>
    </w:p>
    <w:p w:rsidR="00CA7A38" w:rsidRPr="00D736CE" w:rsidRDefault="00CA7A38" w:rsidP="00E70031">
      <w:pPr>
        <w:spacing w:before="240" w:line="276" w:lineRule="auto"/>
        <w:jc w:val="both"/>
      </w:pPr>
      <w:r>
        <w:t xml:space="preserve">SRBJS will work </w:t>
      </w:r>
      <w:r w:rsidRPr="009C3B12">
        <w:t xml:space="preserve">to support effective </w:t>
      </w:r>
      <w:r w:rsidRPr="009C3B12">
        <w:rPr>
          <w:i/>
        </w:rPr>
        <w:t xml:space="preserve">collaboration </w:t>
      </w:r>
      <w:r w:rsidRPr="009C3B12">
        <w:t>between policing, justice and community servi</w:t>
      </w:r>
      <w:r>
        <w:t xml:space="preserve">ces agencies and institutions.  </w:t>
      </w:r>
      <w:r w:rsidRPr="009C3B12">
        <w:t>The reason for this support is that</w:t>
      </w:r>
      <w:r>
        <w:t xml:space="preserve"> </w:t>
      </w:r>
      <w:r w:rsidRPr="009C3B12">
        <w:t>strong</w:t>
      </w:r>
      <w:r>
        <w:t>er</w:t>
      </w:r>
      <w:r w:rsidRPr="009C3B12">
        <w:t xml:space="preserve"> sector collaboration contributes to improved delivery of services to the people of Vanuatu.</w:t>
      </w:r>
      <w:r>
        <w:t xml:space="preserve">  S</w:t>
      </w:r>
      <w:r>
        <w:rPr>
          <w:rFonts w:ascii="Calibri" w:hAnsi="Calibri" w:cs="Calibri"/>
        </w:rPr>
        <w:t xml:space="preserve">ector agencies share many common </w:t>
      </w:r>
      <w:proofErr w:type="gramStart"/>
      <w:r>
        <w:rPr>
          <w:rFonts w:ascii="Calibri" w:hAnsi="Calibri" w:cs="Calibri"/>
        </w:rPr>
        <w:t>priorities,</w:t>
      </w:r>
      <w:proofErr w:type="gramEnd"/>
      <w:r>
        <w:rPr>
          <w:rFonts w:ascii="Calibri" w:hAnsi="Calibri" w:cs="Calibri"/>
        </w:rPr>
        <w:t xml:space="preserve"> or cross-cutting issues — by working </w:t>
      </w:r>
      <w:r w:rsidRPr="00B448B4">
        <w:rPr>
          <w:rFonts w:ascii="Calibri" w:hAnsi="Calibri" w:cs="Calibri"/>
        </w:rPr>
        <w:t>collaboratively together</w:t>
      </w:r>
      <w:r>
        <w:rPr>
          <w:rFonts w:ascii="Calibri" w:hAnsi="Calibri" w:cs="Calibri"/>
        </w:rPr>
        <w:t xml:space="preserve"> there are many</w:t>
      </w:r>
      <w:r w:rsidRPr="00B448B4">
        <w:rPr>
          <w:rFonts w:ascii="Calibri" w:hAnsi="Calibri" w:cs="Calibri"/>
        </w:rPr>
        <w:t xml:space="preserve"> opportunities for progressing </w:t>
      </w:r>
      <w:r>
        <w:rPr>
          <w:rFonts w:ascii="Calibri" w:hAnsi="Calibri" w:cs="Calibri"/>
        </w:rPr>
        <w:t xml:space="preserve">these.  This can happen </w:t>
      </w:r>
      <w:r w:rsidRPr="00B448B4">
        <w:rPr>
          <w:rFonts w:ascii="Calibri" w:hAnsi="Calibri" w:cs="Calibri"/>
        </w:rPr>
        <w:t xml:space="preserve">through direct cooperation and </w:t>
      </w:r>
      <w:r>
        <w:rPr>
          <w:rFonts w:ascii="Calibri" w:hAnsi="Calibri" w:cs="Calibri"/>
        </w:rPr>
        <w:t xml:space="preserve">coordination, </w:t>
      </w:r>
      <w:r w:rsidRPr="00B448B4">
        <w:rPr>
          <w:rFonts w:ascii="Calibri" w:hAnsi="Calibri" w:cs="Calibri"/>
        </w:rPr>
        <w:t>including integrated planning that does not</w:t>
      </w:r>
      <w:r>
        <w:rPr>
          <w:rFonts w:ascii="Calibri" w:hAnsi="Calibri" w:cs="Calibri"/>
        </w:rPr>
        <w:t xml:space="preserve"> threaten </w:t>
      </w:r>
      <w:r w:rsidRPr="00B448B4">
        <w:rPr>
          <w:rFonts w:ascii="Calibri" w:hAnsi="Calibri" w:cs="Calibri"/>
        </w:rPr>
        <w:t>the substantive independence of relevant bodies.</w:t>
      </w:r>
    </w:p>
    <w:p w:rsidR="00CA7A38" w:rsidRPr="00C81E2A" w:rsidRDefault="00CA7A38" w:rsidP="00E70031">
      <w:pPr>
        <w:pStyle w:val="Heading5"/>
        <w:spacing w:after="240" w:line="276" w:lineRule="auto"/>
        <w:jc w:val="both"/>
        <w:rPr>
          <w:rFonts w:asciiTheme="minorHAnsi" w:hAnsiTheme="minorHAnsi"/>
          <w:color w:val="auto"/>
        </w:rPr>
      </w:pPr>
      <w:r>
        <w:rPr>
          <w:rFonts w:asciiTheme="minorHAnsi" w:hAnsiTheme="minorHAnsi"/>
          <w:color w:val="auto"/>
        </w:rPr>
        <w:lastRenderedPageBreak/>
        <w:t xml:space="preserve">Indicative </w:t>
      </w:r>
      <w:r w:rsidRPr="00C81E2A">
        <w:rPr>
          <w:rFonts w:asciiTheme="minorHAnsi" w:hAnsiTheme="minorHAnsi"/>
          <w:color w:val="auto"/>
        </w:rPr>
        <w:t>Outputs</w:t>
      </w:r>
      <w:r>
        <w:rPr>
          <w:rFonts w:asciiTheme="minorHAnsi" w:hAnsiTheme="minorHAnsi"/>
          <w:color w:val="auto"/>
        </w:rPr>
        <w:t>:</w:t>
      </w:r>
    </w:p>
    <w:p w:rsidR="00CA7A38" w:rsidRDefault="00CA7A38" w:rsidP="00E70031">
      <w:pPr>
        <w:pStyle w:val="ListParagraph"/>
        <w:numPr>
          <w:ilvl w:val="0"/>
          <w:numId w:val="51"/>
        </w:numPr>
        <w:spacing w:after="0" w:line="276" w:lineRule="auto"/>
        <w:jc w:val="both"/>
      </w:pPr>
      <w:r>
        <w:t>The Heads of Agencies Group (</w:t>
      </w:r>
      <w:r w:rsidRPr="00DE50ED">
        <w:t>HOAG</w:t>
      </w:r>
      <w:r>
        <w:t>) is strengthened as a governance mechanism.  Specific areas for strengthening include support for convening more action-oriented meetings, increased decision-making capability, and</w:t>
      </w:r>
      <w:r w:rsidRPr="00DE50ED">
        <w:t xml:space="preserve"> </w:t>
      </w:r>
      <w:r>
        <w:t>encouraging the</w:t>
      </w:r>
      <w:r w:rsidRPr="00DE50ED">
        <w:t xml:space="preserve"> filtering down of </w:t>
      </w:r>
      <w:r>
        <w:t xml:space="preserve">information and </w:t>
      </w:r>
      <w:r w:rsidRPr="00DE50ED">
        <w:t>messages to working-level staff in each agency</w:t>
      </w:r>
      <w:r>
        <w:t xml:space="preserve"> by relevant heads</w:t>
      </w:r>
    </w:p>
    <w:p w:rsidR="00CA7A38" w:rsidRDefault="00CA7A38" w:rsidP="00E70031">
      <w:pPr>
        <w:numPr>
          <w:ilvl w:val="0"/>
          <w:numId w:val="22"/>
        </w:numPr>
        <w:spacing w:after="0" w:line="276" w:lineRule="auto"/>
        <w:jc w:val="both"/>
      </w:pPr>
      <w:r>
        <w:rPr>
          <w:bCs/>
        </w:rPr>
        <w:t xml:space="preserve">Increased </w:t>
      </w:r>
      <w:r w:rsidRPr="006B51F0">
        <w:rPr>
          <w:bCs/>
        </w:rPr>
        <w:t>understanding</w:t>
      </w:r>
      <w:r>
        <w:rPr>
          <w:bCs/>
        </w:rPr>
        <w:t xml:space="preserve"> among sector actors</w:t>
      </w:r>
      <w:r w:rsidRPr="006B51F0">
        <w:rPr>
          <w:bCs/>
        </w:rPr>
        <w:t xml:space="preserve"> about the independence of agencies and institutions within </w:t>
      </w:r>
      <w:r>
        <w:rPr>
          <w:bCs/>
        </w:rPr>
        <w:t>the justice sector.  SRBJS could p</w:t>
      </w:r>
      <w:r w:rsidRPr="006B51F0">
        <w:rPr>
          <w:bCs/>
        </w:rPr>
        <w:t xml:space="preserve">rovide support for a better and deeper understanding of the independence of constitutional and statutory bodies within the sector as a means of protecting against the </w:t>
      </w:r>
      <w:r w:rsidRPr="006B51F0">
        <w:t xml:space="preserve">politicisation of and interference in justice as well as the appearance of interference. </w:t>
      </w:r>
      <w:r>
        <w:t xml:space="preserve">This could include provision of support </w:t>
      </w:r>
      <w:r w:rsidRPr="006B51F0">
        <w:t xml:space="preserve">for a </w:t>
      </w:r>
      <w:r>
        <w:t xml:space="preserve">more </w:t>
      </w:r>
      <w:r w:rsidRPr="006B51F0">
        <w:t>nuanced understanding of where collaboration is useful and appropriate and does not undermine independence.</w:t>
      </w:r>
      <w:r>
        <w:t xml:space="preserve">  Involves s</w:t>
      </w:r>
      <w:r w:rsidRPr="006B51F0">
        <w:t>upport</w:t>
      </w:r>
      <w:r>
        <w:t>ing</w:t>
      </w:r>
      <w:r w:rsidRPr="006B51F0">
        <w:t xml:space="preserve"> the agencies and heads of agency within the sector to a</w:t>
      </w:r>
      <w:r w:rsidRPr="006B51F0">
        <w:rPr>
          <w:bCs/>
        </w:rPr>
        <w:t xml:space="preserve">gree and clearly explain what information can and </w:t>
      </w:r>
      <w:r>
        <w:rPr>
          <w:bCs/>
        </w:rPr>
        <w:t xml:space="preserve">cannot be shared and with whom.  </w:t>
      </w:r>
      <w:r w:rsidRPr="006B51F0">
        <w:rPr>
          <w:bCs/>
        </w:rPr>
        <w:t>This m</w:t>
      </w:r>
      <w:r w:rsidRPr="006B51F0">
        <w:t xml:space="preserve">ay help people </w:t>
      </w:r>
      <w:r>
        <w:t xml:space="preserve">in the sector </w:t>
      </w:r>
      <w:r w:rsidRPr="006B51F0">
        <w:t xml:space="preserve">feel more comfortable sharing information and expertise when appropriate and in the knowledge of the boundaries </w:t>
      </w:r>
      <w:r>
        <w:t>to that sharing of information</w:t>
      </w:r>
      <w:r>
        <w:rPr>
          <w:rStyle w:val="FootnoteReference"/>
        </w:rPr>
        <w:footnoteReference w:id="57"/>
      </w:r>
    </w:p>
    <w:p w:rsidR="00CA7A38" w:rsidRDefault="00CA7A38" w:rsidP="00E70031">
      <w:pPr>
        <w:pStyle w:val="Heading5"/>
        <w:spacing w:line="276" w:lineRule="auto"/>
        <w:jc w:val="both"/>
        <w:rPr>
          <w:rFonts w:asciiTheme="minorHAnsi" w:hAnsiTheme="minorHAnsi"/>
          <w:b/>
          <w:color w:val="auto"/>
        </w:rPr>
      </w:pPr>
    </w:p>
    <w:p w:rsidR="00CA7A38" w:rsidRDefault="00CA7A38" w:rsidP="00E70031">
      <w:pPr>
        <w:pStyle w:val="Heading5"/>
        <w:spacing w:line="276" w:lineRule="auto"/>
        <w:jc w:val="both"/>
        <w:rPr>
          <w:rFonts w:asciiTheme="minorHAnsi" w:hAnsiTheme="minorHAnsi"/>
          <w:color w:val="auto"/>
        </w:rPr>
      </w:pPr>
      <w:r w:rsidRPr="00C81E2A">
        <w:rPr>
          <w:rFonts w:asciiTheme="minorHAnsi" w:hAnsiTheme="minorHAnsi"/>
          <w:b/>
          <w:color w:val="auto"/>
        </w:rPr>
        <w:t>Intermediate Outcome 6</w:t>
      </w:r>
      <w:r w:rsidRPr="00C81E2A">
        <w:rPr>
          <w:rFonts w:asciiTheme="minorHAnsi" w:hAnsiTheme="minorHAnsi"/>
          <w:color w:val="auto"/>
        </w:rPr>
        <w:t>: Sector agencies improve their evidence and knowledge base and are using this to inform decision-making about service delivery</w:t>
      </w:r>
    </w:p>
    <w:p w:rsidR="00CA7A38" w:rsidRPr="006B51F0" w:rsidRDefault="00CA7A38" w:rsidP="00E70031">
      <w:pPr>
        <w:spacing w:before="240"/>
        <w:jc w:val="both"/>
      </w:pPr>
      <w:r w:rsidRPr="00AF06C1">
        <w:t>This involves sector agencies making better use of information and evidence from research, monitoring and evaluation activities, and information systems for service delivery.</w:t>
      </w:r>
    </w:p>
    <w:p w:rsidR="00CA7A38" w:rsidRPr="00C81E2A" w:rsidRDefault="00CA7A38" w:rsidP="00E70031">
      <w:pPr>
        <w:pStyle w:val="Heading5"/>
        <w:spacing w:after="240"/>
        <w:rPr>
          <w:rFonts w:asciiTheme="minorHAnsi" w:hAnsiTheme="minorHAnsi"/>
          <w:color w:val="auto"/>
        </w:rPr>
      </w:pPr>
      <w:r w:rsidRPr="00C81E2A">
        <w:rPr>
          <w:rFonts w:asciiTheme="minorHAnsi" w:hAnsiTheme="minorHAnsi"/>
          <w:color w:val="auto"/>
        </w:rPr>
        <w:t>Indicative</w:t>
      </w:r>
      <w:r>
        <w:rPr>
          <w:rFonts w:asciiTheme="minorHAnsi" w:hAnsiTheme="minorHAnsi"/>
          <w:color w:val="auto"/>
        </w:rPr>
        <w:t xml:space="preserve"> Outputs:</w:t>
      </w:r>
    </w:p>
    <w:p w:rsidR="00CA7A38" w:rsidRDefault="00CA7A38" w:rsidP="00E70031">
      <w:pPr>
        <w:pStyle w:val="ListParagraph"/>
        <w:numPr>
          <w:ilvl w:val="0"/>
          <w:numId w:val="22"/>
        </w:numPr>
        <w:spacing w:after="200" w:line="276" w:lineRule="auto"/>
        <w:jc w:val="both"/>
        <w:rPr>
          <w:rFonts w:cstheme="minorHAnsi"/>
        </w:rPr>
      </w:pPr>
      <w:r>
        <w:rPr>
          <w:rFonts w:cstheme="minorHAnsi"/>
        </w:rPr>
        <w:t>Sector agencies are effectively trained and supported in M&amp;E</w:t>
      </w:r>
    </w:p>
    <w:p w:rsidR="00CA7A38" w:rsidRPr="00266196" w:rsidRDefault="00CA7A38" w:rsidP="00E70031">
      <w:pPr>
        <w:pStyle w:val="ListParagraph"/>
        <w:numPr>
          <w:ilvl w:val="0"/>
          <w:numId w:val="22"/>
        </w:numPr>
        <w:spacing w:after="200" w:line="276" w:lineRule="auto"/>
        <w:jc w:val="both"/>
        <w:rPr>
          <w:rFonts w:cstheme="minorHAnsi"/>
        </w:rPr>
      </w:pPr>
      <w:r>
        <w:rPr>
          <w:rFonts w:cstheme="minorHAnsi"/>
        </w:rPr>
        <w:t>Sector agencies are supported to assess and deliberate on management information derived from information systems, and use the information to make informed decisions</w:t>
      </w:r>
    </w:p>
    <w:p w:rsidR="00CA7A38" w:rsidRDefault="00CA7A38" w:rsidP="00E70031">
      <w:pPr>
        <w:pStyle w:val="ListParagraph"/>
        <w:numPr>
          <w:ilvl w:val="0"/>
          <w:numId w:val="22"/>
        </w:numPr>
        <w:spacing w:after="200" w:line="276" w:lineRule="auto"/>
        <w:jc w:val="both"/>
        <w:rPr>
          <w:rFonts w:cstheme="minorHAnsi"/>
        </w:rPr>
      </w:pPr>
      <w:r>
        <w:rPr>
          <w:rFonts w:cstheme="minorHAnsi"/>
        </w:rPr>
        <w:t>I</w:t>
      </w:r>
      <w:r w:rsidRPr="00794AEE">
        <w:rPr>
          <w:rFonts w:cstheme="minorHAnsi"/>
        </w:rPr>
        <w:t>ncremental progress</w:t>
      </w:r>
      <w:r>
        <w:rPr>
          <w:rFonts w:cstheme="minorHAnsi"/>
        </w:rPr>
        <w:t xml:space="preserve"> is made</w:t>
      </w:r>
      <w:r w:rsidRPr="00794AEE">
        <w:rPr>
          <w:rFonts w:cstheme="minorHAnsi"/>
        </w:rPr>
        <w:t xml:space="preserve"> towards an integrated case and data management system building on the advice of the Case &amp; Data Management Adviser, which will strengthen the capability for data collection and analysis</w:t>
      </w:r>
    </w:p>
    <w:p w:rsidR="00CA7A38" w:rsidRPr="00B55EDE" w:rsidRDefault="00CA7A38" w:rsidP="00E70031">
      <w:pPr>
        <w:pStyle w:val="ListParagraph"/>
        <w:numPr>
          <w:ilvl w:val="0"/>
          <w:numId w:val="22"/>
        </w:numPr>
        <w:spacing w:after="200" w:line="276" w:lineRule="auto"/>
        <w:jc w:val="both"/>
        <w:rPr>
          <w:rFonts w:cstheme="minorHAnsi"/>
        </w:rPr>
      </w:pPr>
      <w:r>
        <w:rPr>
          <w:rFonts w:cstheme="minorHAnsi"/>
        </w:rPr>
        <w:t xml:space="preserve">Sector agencies/SRBJS engage effectively with academic institutions such as the University of the South Pacific (USP) or Australian National University on policy dialogue and/or research </w:t>
      </w:r>
    </w:p>
    <w:p w:rsidR="00CA7A38" w:rsidRDefault="00CA7A38" w:rsidP="00E70031">
      <w:pPr>
        <w:pStyle w:val="Heading5"/>
        <w:spacing w:line="276" w:lineRule="auto"/>
        <w:jc w:val="both"/>
        <w:rPr>
          <w:rFonts w:asciiTheme="minorHAnsi" w:hAnsiTheme="minorHAnsi"/>
          <w:color w:val="auto"/>
        </w:rPr>
      </w:pPr>
      <w:r w:rsidRPr="00C81E2A">
        <w:rPr>
          <w:rFonts w:asciiTheme="minorHAnsi" w:hAnsiTheme="minorHAnsi"/>
          <w:b/>
          <w:color w:val="auto"/>
        </w:rPr>
        <w:t>Intermediate Outcome 7</w:t>
      </w:r>
      <w:r w:rsidRPr="00C81E2A">
        <w:rPr>
          <w:rFonts w:asciiTheme="minorHAnsi" w:hAnsiTheme="minorHAnsi"/>
          <w:color w:val="auto"/>
        </w:rPr>
        <w:t>: Sector agencies make coordinated reductions in delay in the state policing, justice and community services system</w:t>
      </w:r>
    </w:p>
    <w:p w:rsidR="00CA7A38" w:rsidRDefault="00CA7A38" w:rsidP="00E70031">
      <w:pPr>
        <w:spacing w:before="240" w:line="276" w:lineRule="auto"/>
        <w:jc w:val="both"/>
        <w:rPr>
          <w:rFonts w:cstheme="minorHAnsi"/>
        </w:rPr>
      </w:pPr>
      <w:r w:rsidRPr="00FD0D01">
        <w:rPr>
          <w:rFonts w:cstheme="minorHAnsi"/>
        </w:rPr>
        <w:t>For some time justice has been denied to citizens b</w:t>
      </w:r>
      <w:r>
        <w:rPr>
          <w:rFonts w:cstheme="minorHAnsi"/>
        </w:rPr>
        <w:t xml:space="preserve">ecause of delays in the system.  </w:t>
      </w:r>
      <w:r w:rsidRPr="00FD0D01">
        <w:rPr>
          <w:rFonts w:cstheme="minorHAnsi"/>
        </w:rPr>
        <w:t xml:space="preserve">Longstanding problems relate to the inefficiencies in many aspects of the justice system as its </w:t>
      </w:r>
      <w:r>
        <w:rPr>
          <w:rFonts w:cstheme="minorHAnsi"/>
        </w:rPr>
        <w:t xml:space="preserve">institutions </w:t>
      </w:r>
      <w:r w:rsidRPr="00FD0D01">
        <w:rPr>
          <w:rFonts w:cstheme="minorHAnsi"/>
        </w:rPr>
        <w:t>interface with each other.  One of the major sector strategies under the JCSSS is designed to address these problems to reduce delay</w:t>
      </w:r>
      <w:r>
        <w:rPr>
          <w:rFonts w:cstheme="minorHAnsi"/>
        </w:rPr>
        <w:t>, increase the transparency of case progression</w:t>
      </w:r>
      <w:r w:rsidRPr="00FD0D01">
        <w:rPr>
          <w:rFonts w:cstheme="minorHAnsi"/>
        </w:rPr>
        <w:t xml:space="preserve"> and build community confidence in the timely resolution of their cases.</w:t>
      </w:r>
      <w:r>
        <w:rPr>
          <w:rFonts w:cstheme="minorHAnsi"/>
        </w:rPr>
        <w:t xml:space="preserve"> </w:t>
      </w:r>
    </w:p>
    <w:p w:rsidR="00CA7A38" w:rsidRPr="006B51F0" w:rsidRDefault="00CA7A38" w:rsidP="00E70031">
      <w:pPr>
        <w:pStyle w:val="Heading5"/>
        <w:spacing w:after="240" w:line="276" w:lineRule="auto"/>
        <w:jc w:val="both"/>
        <w:rPr>
          <w:rFonts w:asciiTheme="minorHAnsi" w:hAnsiTheme="minorHAnsi"/>
          <w:color w:val="auto"/>
        </w:rPr>
      </w:pPr>
      <w:r w:rsidRPr="00C81E2A">
        <w:rPr>
          <w:rFonts w:asciiTheme="minorHAnsi" w:hAnsiTheme="minorHAnsi"/>
          <w:color w:val="auto"/>
        </w:rPr>
        <w:lastRenderedPageBreak/>
        <w:t>Indicative Outputs</w:t>
      </w:r>
      <w:r>
        <w:rPr>
          <w:rFonts w:asciiTheme="minorHAnsi" w:hAnsiTheme="minorHAnsi"/>
          <w:color w:val="auto"/>
        </w:rPr>
        <w:t>:</w:t>
      </w:r>
      <w:r w:rsidRPr="00C81E2A">
        <w:rPr>
          <w:rFonts w:asciiTheme="minorHAnsi" w:hAnsiTheme="minorHAnsi"/>
          <w:color w:val="auto"/>
        </w:rPr>
        <w:t xml:space="preserve"> </w:t>
      </w:r>
    </w:p>
    <w:p w:rsidR="00CA7A38" w:rsidRPr="00266196" w:rsidRDefault="00CA7A38" w:rsidP="00E70031">
      <w:pPr>
        <w:pStyle w:val="ListParagraph"/>
        <w:numPr>
          <w:ilvl w:val="0"/>
          <w:numId w:val="50"/>
        </w:numPr>
        <w:spacing w:after="200" w:line="276" w:lineRule="auto"/>
        <w:jc w:val="both"/>
        <w:rPr>
          <w:rFonts w:cstheme="minorHAnsi"/>
        </w:rPr>
      </w:pPr>
      <w:r>
        <w:rPr>
          <w:rFonts w:cstheme="minorHAnsi"/>
        </w:rPr>
        <w:t xml:space="preserve">Reduced delay in the justice system, for example through SRBJS support to the Magistrate’s Court to help clear some pending cases </w:t>
      </w:r>
    </w:p>
    <w:p w:rsidR="00CA7A38" w:rsidRDefault="00CA7A38" w:rsidP="00E70031">
      <w:pPr>
        <w:pStyle w:val="ListParagraph"/>
        <w:numPr>
          <w:ilvl w:val="0"/>
          <w:numId w:val="50"/>
        </w:numPr>
        <w:spacing w:after="200" w:line="276" w:lineRule="auto"/>
        <w:jc w:val="both"/>
        <w:rPr>
          <w:rFonts w:cstheme="minorHAnsi"/>
        </w:rPr>
      </w:pPr>
      <w:r>
        <w:rPr>
          <w:rFonts w:cstheme="minorHAnsi"/>
        </w:rPr>
        <w:t>A diagnostic study is supported by the program and sector looking</w:t>
      </w:r>
      <w:r w:rsidRPr="00FD0D01">
        <w:rPr>
          <w:rFonts w:cstheme="minorHAnsi"/>
        </w:rPr>
        <w:t xml:space="preserve"> into the immediate and systemic causes of delay across the justice system</w:t>
      </w:r>
      <w:r>
        <w:rPr>
          <w:rFonts w:cstheme="minorHAnsi"/>
        </w:rPr>
        <w:t>.  The study</w:t>
      </w:r>
      <w:r w:rsidRPr="00FD0D01">
        <w:rPr>
          <w:rFonts w:cstheme="minorHAnsi"/>
        </w:rPr>
        <w:t xml:space="preserve"> </w:t>
      </w:r>
      <w:r>
        <w:rPr>
          <w:rFonts w:cstheme="minorHAnsi"/>
        </w:rPr>
        <w:t>could</w:t>
      </w:r>
      <w:r w:rsidRPr="00FD0D01">
        <w:rPr>
          <w:rFonts w:cstheme="minorHAnsi"/>
        </w:rPr>
        <w:t xml:space="preserve"> indicate the location, cause and size of delays with reco</w:t>
      </w:r>
      <w:r>
        <w:rPr>
          <w:rFonts w:cstheme="minorHAnsi"/>
        </w:rPr>
        <w:t>mmendations for possible action for the targeting of delay</w:t>
      </w:r>
    </w:p>
    <w:p w:rsidR="00CA7A38" w:rsidRDefault="00CA7A38" w:rsidP="00E70031">
      <w:pPr>
        <w:pStyle w:val="Heading5"/>
        <w:jc w:val="both"/>
        <w:rPr>
          <w:rFonts w:asciiTheme="minorHAnsi" w:hAnsiTheme="minorHAnsi"/>
          <w:color w:val="auto"/>
        </w:rPr>
      </w:pPr>
      <w:r w:rsidRPr="00C81E2A">
        <w:rPr>
          <w:rFonts w:asciiTheme="minorHAnsi" w:hAnsiTheme="minorHAnsi"/>
          <w:b/>
          <w:color w:val="auto"/>
        </w:rPr>
        <w:t>Intermediate Outcome 8</w:t>
      </w:r>
      <w:r w:rsidRPr="00C81E2A">
        <w:rPr>
          <w:rFonts w:asciiTheme="minorHAnsi" w:hAnsiTheme="minorHAnsi"/>
          <w:color w:val="auto"/>
        </w:rPr>
        <w:t>: Targeted communities have greater trust and confidence in the VPF</w:t>
      </w:r>
    </w:p>
    <w:p w:rsidR="00CA7A38" w:rsidRPr="00933E15" w:rsidRDefault="00CA7A38" w:rsidP="00E70031">
      <w:pPr>
        <w:spacing w:before="240" w:line="276" w:lineRule="auto"/>
        <w:jc w:val="both"/>
      </w:pPr>
      <w:r>
        <w:t xml:space="preserve">Building and maintaining community confidence and trust is the basis of effective policing and law enforcement.  The VPF has made progress in this area by developing and implementing a police professional standards framework and increasing media/communication activities.  However, greater and sustained community confidence relies on organisation wide support and action, especially from VPF leaders.  Accordingly, SRBJS will continue to provide targeted support to VPF corporate, investigative and professional standards functions while increasing technical and financial resources to VPF areas responsible for community engagement and responding to family and gender-based violence. </w:t>
      </w:r>
    </w:p>
    <w:p w:rsidR="00CA7A38" w:rsidRPr="00635528" w:rsidRDefault="00CA7A38" w:rsidP="00E70031">
      <w:pPr>
        <w:pStyle w:val="Heading5"/>
        <w:spacing w:after="240"/>
        <w:jc w:val="both"/>
        <w:rPr>
          <w:rFonts w:asciiTheme="minorHAnsi" w:hAnsiTheme="minorHAnsi"/>
          <w:color w:val="auto"/>
        </w:rPr>
      </w:pPr>
      <w:r w:rsidRPr="00635528">
        <w:rPr>
          <w:rFonts w:asciiTheme="minorHAnsi" w:hAnsiTheme="minorHAnsi"/>
          <w:color w:val="auto"/>
        </w:rPr>
        <w:t>Indicative</w:t>
      </w:r>
      <w:r>
        <w:rPr>
          <w:rFonts w:asciiTheme="minorHAnsi" w:hAnsiTheme="minorHAnsi"/>
          <w:color w:val="auto"/>
        </w:rPr>
        <w:t xml:space="preserve"> </w:t>
      </w:r>
      <w:r w:rsidRPr="00635528">
        <w:rPr>
          <w:rFonts w:asciiTheme="minorHAnsi" w:hAnsiTheme="minorHAnsi"/>
          <w:color w:val="auto"/>
        </w:rPr>
        <w:t>Outputs:</w:t>
      </w:r>
    </w:p>
    <w:p w:rsidR="00CA7A38" w:rsidRDefault="00CA7A38" w:rsidP="00E70031">
      <w:pPr>
        <w:pStyle w:val="ListParagraph"/>
        <w:numPr>
          <w:ilvl w:val="0"/>
          <w:numId w:val="30"/>
        </w:numPr>
        <w:autoSpaceDE w:val="0"/>
        <w:autoSpaceDN w:val="0"/>
        <w:adjustRightInd w:val="0"/>
        <w:spacing w:after="0" w:line="276" w:lineRule="auto"/>
        <w:jc w:val="both"/>
      </w:pPr>
      <w:r>
        <w:t>Advisory support is provided for crime prevention activities</w:t>
      </w:r>
    </w:p>
    <w:p w:rsidR="00CA7A38" w:rsidRPr="00B15830" w:rsidRDefault="00CA7A38" w:rsidP="00E70031">
      <w:pPr>
        <w:pStyle w:val="ListParagraph"/>
        <w:numPr>
          <w:ilvl w:val="0"/>
          <w:numId w:val="30"/>
        </w:numPr>
        <w:autoSpaceDE w:val="0"/>
        <w:autoSpaceDN w:val="0"/>
        <w:adjustRightInd w:val="0"/>
        <w:spacing w:after="0" w:line="276" w:lineRule="auto"/>
        <w:jc w:val="both"/>
      </w:pPr>
      <w:r>
        <w:t xml:space="preserve">Ongoing </w:t>
      </w:r>
      <w:r w:rsidRPr="005805AB">
        <w:rPr>
          <w:rFonts w:ascii="Calibri" w:hAnsi="Calibri"/>
        </w:rPr>
        <w:t>adviser support</w:t>
      </w:r>
      <w:r>
        <w:rPr>
          <w:rFonts w:ascii="Calibri" w:hAnsi="Calibri"/>
        </w:rPr>
        <w:t xml:space="preserve"> is provided</w:t>
      </w:r>
      <w:r w:rsidRPr="005805AB">
        <w:rPr>
          <w:rFonts w:ascii="Calibri" w:hAnsi="Calibri"/>
        </w:rPr>
        <w:t xml:space="preserve"> </w:t>
      </w:r>
      <w:r>
        <w:rPr>
          <w:rFonts w:ascii="Calibri" w:hAnsi="Calibri"/>
        </w:rPr>
        <w:t>to PSU:</w:t>
      </w:r>
      <w:r w:rsidRPr="005805AB">
        <w:rPr>
          <w:rFonts w:ascii="Calibri" w:hAnsi="Calibri"/>
        </w:rPr>
        <w:t xml:space="preserve">  </w:t>
      </w:r>
      <w:r>
        <w:rPr>
          <w:bCs/>
        </w:rPr>
        <w:t>t</w:t>
      </w:r>
      <w:r w:rsidRPr="005805AB">
        <w:rPr>
          <w:bCs/>
        </w:rPr>
        <w:t>he PSU appears to have strengthened the external and internal oversight mechanisms for</w:t>
      </w:r>
      <w:r w:rsidRPr="005805AB">
        <w:rPr>
          <w:b/>
          <w:bCs/>
        </w:rPr>
        <w:t xml:space="preserve"> </w:t>
      </w:r>
      <w:r w:rsidRPr="005805AB">
        <w:rPr>
          <w:bCs/>
        </w:rPr>
        <w:t>discipline, standards and accountabi</w:t>
      </w:r>
      <w:r>
        <w:rPr>
          <w:bCs/>
        </w:rPr>
        <w:t xml:space="preserve">lity.  </w:t>
      </w:r>
      <w:r w:rsidRPr="005805AB">
        <w:rPr>
          <w:bCs/>
        </w:rPr>
        <w:t>Ongoing challenges include geographical reach (including resourcing), investigative procedure skills and processes, and</w:t>
      </w:r>
      <w:r>
        <w:rPr>
          <w:bCs/>
        </w:rPr>
        <w:t xml:space="preserve"> case management.  Program support for the VPF workplace ethics program, police open days and/or the Police Stations Visits Program (described in section 4.3 (</w:t>
      </w:r>
      <w:proofErr w:type="gramStart"/>
      <w:r>
        <w:rPr>
          <w:bCs/>
        </w:rPr>
        <w:t>iv</w:t>
      </w:r>
      <w:proofErr w:type="gramEnd"/>
      <w:r>
        <w:rPr>
          <w:bCs/>
        </w:rPr>
        <w:t>)) could help.</w:t>
      </w:r>
    </w:p>
    <w:p w:rsidR="00CA7A38" w:rsidRDefault="00CA7A38" w:rsidP="00E70031">
      <w:pPr>
        <w:pStyle w:val="ListParagraph"/>
        <w:autoSpaceDE w:val="0"/>
        <w:autoSpaceDN w:val="0"/>
        <w:adjustRightInd w:val="0"/>
        <w:spacing w:line="276" w:lineRule="auto"/>
        <w:jc w:val="both"/>
      </w:pPr>
    </w:p>
    <w:p w:rsidR="00CA7A38" w:rsidRPr="009F0636" w:rsidRDefault="00CA7A38" w:rsidP="00E70031">
      <w:pPr>
        <w:pStyle w:val="Heading3"/>
        <w:numPr>
          <w:ilvl w:val="0"/>
          <w:numId w:val="28"/>
        </w:numPr>
        <w:spacing w:after="240" w:line="276" w:lineRule="auto"/>
        <w:jc w:val="both"/>
        <w:rPr>
          <w:rFonts w:asciiTheme="minorHAnsi" w:hAnsiTheme="minorHAnsi"/>
          <w:color w:val="auto"/>
          <w:sz w:val="22"/>
          <w:szCs w:val="22"/>
        </w:rPr>
      </w:pPr>
      <w:r w:rsidRPr="00917386">
        <w:rPr>
          <w:rFonts w:asciiTheme="minorHAnsi" w:hAnsiTheme="minorHAnsi"/>
          <w:color w:val="auto"/>
          <w:sz w:val="22"/>
          <w:szCs w:val="22"/>
        </w:rPr>
        <w:t>Pillar 2: Improving People’s Access to Justice</w:t>
      </w:r>
    </w:p>
    <w:p w:rsidR="00CA7A38" w:rsidRPr="009F0636" w:rsidRDefault="00CA7A38" w:rsidP="00E70031">
      <w:pPr>
        <w:pStyle w:val="Heading4"/>
        <w:spacing w:line="276" w:lineRule="auto"/>
        <w:jc w:val="both"/>
        <w:rPr>
          <w:rFonts w:asciiTheme="minorHAnsi" w:hAnsiTheme="minorHAnsi"/>
          <w:b/>
          <w:color w:val="auto"/>
        </w:rPr>
      </w:pPr>
      <w:r w:rsidRPr="009F0636">
        <w:rPr>
          <w:rFonts w:asciiTheme="minorHAnsi" w:hAnsiTheme="minorHAnsi"/>
          <w:b/>
          <w:color w:val="auto"/>
        </w:rPr>
        <w:t>Pillar Overview</w:t>
      </w:r>
    </w:p>
    <w:p w:rsidR="00CA7A38" w:rsidRPr="00B20D20" w:rsidRDefault="00CA7A38" w:rsidP="00E70031">
      <w:pPr>
        <w:pStyle w:val="HeidiBody"/>
        <w:spacing w:before="100" w:after="100" w:line="276" w:lineRule="auto"/>
        <w:jc w:val="both"/>
        <w:rPr>
          <w:rFonts w:asciiTheme="minorHAnsi" w:hAnsiTheme="minorHAnsi"/>
          <w:iCs/>
          <w:szCs w:val="22"/>
          <w:lang w:val="en-AU"/>
        </w:rPr>
      </w:pPr>
      <w:r>
        <w:rPr>
          <w:rFonts w:asciiTheme="minorHAnsi" w:hAnsiTheme="minorHAnsi"/>
          <w:iCs/>
          <w:szCs w:val="22"/>
          <w:lang w:val="en-AU"/>
        </w:rPr>
        <w:t>This pillar is about helping sector agencies to deliver more services, including expanding the reach of services to targeted provincial locations.  Additionally, i</w:t>
      </w:r>
      <w:r w:rsidRPr="003916A9">
        <w:rPr>
          <w:rFonts w:asciiTheme="minorHAnsi" w:hAnsiTheme="minorHAnsi"/>
          <w:iCs/>
          <w:szCs w:val="22"/>
          <w:lang w:val="en-AU"/>
        </w:rPr>
        <w:t>n Vanuatu, access to justice is not only about service delivery in the face of geogr</w:t>
      </w:r>
      <w:r>
        <w:rPr>
          <w:rFonts w:asciiTheme="minorHAnsi" w:hAnsiTheme="minorHAnsi"/>
          <w:iCs/>
          <w:szCs w:val="22"/>
          <w:lang w:val="en-AU"/>
        </w:rPr>
        <w:t>aphic and resource challenges, though these are significant factors.  It is</w:t>
      </w:r>
      <w:r w:rsidRPr="003916A9">
        <w:rPr>
          <w:rFonts w:asciiTheme="minorHAnsi" w:hAnsiTheme="minorHAnsi"/>
          <w:iCs/>
          <w:szCs w:val="22"/>
          <w:lang w:val="en-AU"/>
        </w:rPr>
        <w:t xml:space="preserve"> also about</w:t>
      </w:r>
      <w:r>
        <w:rPr>
          <w:rFonts w:asciiTheme="minorHAnsi" w:hAnsiTheme="minorHAnsi"/>
          <w:iCs/>
          <w:szCs w:val="22"/>
          <w:lang w:val="en-AU"/>
        </w:rPr>
        <w:t xml:space="preserve"> the extent to which people are aware of, understand and are</w:t>
      </w:r>
      <w:r w:rsidRPr="003916A9">
        <w:rPr>
          <w:rFonts w:asciiTheme="minorHAnsi" w:hAnsiTheme="minorHAnsi"/>
          <w:iCs/>
          <w:szCs w:val="22"/>
          <w:lang w:val="en-AU"/>
        </w:rPr>
        <w:t xml:space="preserve"> empowered </w:t>
      </w:r>
      <w:r>
        <w:rPr>
          <w:rFonts w:asciiTheme="minorHAnsi" w:hAnsiTheme="minorHAnsi"/>
          <w:iCs/>
          <w:szCs w:val="22"/>
          <w:lang w:val="en-AU"/>
        </w:rPr>
        <w:t xml:space="preserve">to </w:t>
      </w:r>
      <w:r w:rsidRPr="003916A9">
        <w:rPr>
          <w:rFonts w:asciiTheme="minorHAnsi" w:hAnsiTheme="minorHAnsi"/>
          <w:iCs/>
          <w:szCs w:val="22"/>
          <w:lang w:val="en-AU"/>
        </w:rPr>
        <w:t xml:space="preserve">access </w:t>
      </w:r>
      <w:r>
        <w:rPr>
          <w:rFonts w:asciiTheme="minorHAnsi" w:hAnsiTheme="minorHAnsi"/>
          <w:iCs/>
          <w:szCs w:val="22"/>
          <w:lang w:val="en-AU"/>
        </w:rPr>
        <w:t xml:space="preserve">justice </w:t>
      </w:r>
      <w:r w:rsidRPr="003916A9">
        <w:rPr>
          <w:rFonts w:asciiTheme="minorHAnsi" w:hAnsiTheme="minorHAnsi"/>
          <w:iCs/>
          <w:szCs w:val="22"/>
          <w:lang w:val="en-AU"/>
        </w:rPr>
        <w:t xml:space="preserve">services, </w:t>
      </w:r>
      <w:r>
        <w:rPr>
          <w:rFonts w:asciiTheme="minorHAnsi" w:hAnsiTheme="minorHAnsi"/>
          <w:iCs/>
          <w:szCs w:val="22"/>
          <w:lang w:val="en-AU"/>
        </w:rPr>
        <w:t xml:space="preserve">and their experiences as users of the system.  It involves how members of the community — particularly more vulnerable and marginalised groups — </w:t>
      </w:r>
      <w:r w:rsidRPr="003916A9">
        <w:rPr>
          <w:rFonts w:asciiTheme="minorHAnsi" w:hAnsiTheme="minorHAnsi"/>
          <w:iCs/>
          <w:szCs w:val="22"/>
          <w:lang w:val="en-AU"/>
        </w:rPr>
        <w:t>are</w:t>
      </w:r>
      <w:r>
        <w:rPr>
          <w:rFonts w:asciiTheme="minorHAnsi" w:hAnsiTheme="minorHAnsi"/>
          <w:iCs/>
          <w:szCs w:val="22"/>
          <w:lang w:val="en-AU"/>
        </w:rPr>
        <w:t xml:space="preserve"> </w:t>
      </w:r>
      <w:r w:rsidRPr="003916A9">
        <w:rPr>
          <w:rFonts w:asciiTheme="minorHAnsi" w:hAnsiTheme="minorHAnsi"/>
          <w:iCs/>
          <w:szCs w:val="22"/>
          <w:lang w:val="en-AU"/>
        </w:rPr>
        <w:t>heard and treated in the processes available to them</w:t>
      </w:r>
      <w:r>
        <w:rPr>
          <w:rFonts w:asciiTheme="minorHAnsi" w:hAnsiTheme="minorHAnsi"/>
          <w:iCs/>
          <w:szCs w:val="22"/>
          <w:lang w:val="en-AU"/>
        </w:rPr>
        <w:t xml:space="preserve"> (whether state or non-state),</w:t>
      </w:r>
      <w:r w:rsidRPr="003916A9">
        <w:rPr>
          <w:rFonts w:asciiTheme="minorHAnsi" w:hAnsiTheme="minorHAnsi"/>
          <w:iCs/>
          <w:szCs w:val="22"/>
          <w:lang w:val="en-AU"/>
        </w:rPr>
        <w:t xml:space="preserve"> and how </w:t>
      </w:r>
      <w:r>
        <w:rPr>
          <w:rFonts w:asciiTheme="minorHAnsi" w:hAnsiTheme="minorHAnsi"/>
          <w:iCs/>
          <w:szCs w:val="22"/>
          <w:lang w:val="en-AU"/>
        </w:rPr>
        <w:t>conflicts are managed and resolved.  Program support under this pillar involves an emphasis on access to justice for survivors of violence against women and children.</w:t>
      </w:r>
      <w:r w:rsidRPr="003916A9">
        <w:rPr>
          <w:rFonts w:asciiTheme="minorHAnsi" w:hAnsiTheme="minorHAnsi"/>
          <w:iCs/>
          <w:szCs w:val="22"/>
          <w:lang w:val="en-AU"/>
        </w:rPr>
        <w:t xml:space="preserve"> </w:t>
      </w:r>
    </w:p>
    <w:p w:rsidR="00CA7A38" w:rsidRPr="00EC1004" w:rsidRDefault="00CA7A38" w:rsidP="00E70031">
      <w:pPr>
        <w:pStyle w:val="Heading4"/>
        <w:spacing w:after="240" w:line="276" w:lineRule="auto"/>
        <w:jc w:val="both"/>
        <w:rPr>
          <w:rFonts w:asciiTheme="minorHAnsi" w:hAnsiTheme="minorHAnsi"/>
          <w:b/>
          <w:color w:val="auto"/>
        </w:rPr>
      </w:pPr>
      <w:r w:rsidRPr="00EC1004">
        <w:rPr>
          <w:rFonts w:asciiTheme="minorHAnsi" w:hAnsiTheme="minorHAnsi"/>
          <w:b/>
          <w:color w:val="auto"/>
        </w:rPr>
        <w:lastRenderedPageBreak/>
        <w:t xml:space="preserve">Intermediate outcomes and </w:t>
      </w:r>
      <w:r>
        <w:rPr>
          <w:rFonts w:asciiTheme="minorHAnsi" w:hAnsiTheme="minorHAnsi"/>
          <w:b/>
          <w:color w:val="auto"/>
        </w:rPr>
        <w:t xml:space="preserve">key </w:t>
      </w:r>
      <w:r w:rsidRPr="00EC1004">
        <w:rPr>
          <w:rFonts w:asciiTheme="minorHAnsi" w:hAnsiTheme="minorHAnsi"/>
          <w:b/>
          <w:color w:val="auto"/>
        </w:rPr>
        <w:t>indicative outputs under Pillar 2</w:t>
      </w:r>
    </w:p>
    <w:p w:rsidR="00CA7A38" w:rsidRPr="00053DF2" w:rsidRDefault="00CA7A38" w:rsidP="00E70031">
      <w:pPr>
        <w:pStyle w:val="Heading5"/>
        <w:spacing w:line="276" w:lineRule="auto"/>
        <w:jc w:val="both"/>
        <w:rPr>
          <w:rFonts w:asciiTheme="minorHAnsi" w:hAnsiTheme="minorHAnsi"/>
          <w:color w:val="auto"/>
        </w:rPr>
      </w:pPr>
      <w:r w:rsidRPr="00FC689E">
        <w:rPr>
          <w:rFonts w:asciiTheme="minorHAnsi" w:hAnsiTheme="minorHAnsi"/>
          <w:b/>
          <w:color w:val="auto"/>
        </w:rPr>
        <w:t>Intermediate Outcome 9</w:t>
      </w:r>
      <w:r w:rsidRPr="00FC689E">
        <w:rPr>
          <w:rFonts w:asciiTheme="minorHAnsi" w:hAnsiTheme="minorHAnsi"/>
          <w:color w:val="auto"/>
        </w:rPr>
        <w:t>: Sector agencies are delivering more services</w:t>
      </w:r>
      <w:r>
        <w:rPr>
          <w:rFonts w:asciiTheme="minorHAnsi" w:hAnsiTheme="minorHAnsi"/>
          <w:color w:val="auto"/>
        </w:rPr>
        <w:t xml:space="preserve">, including expanding the reach </w:t>
      </w:r>
      <w:r w:rsidRPr="00FC689E">
        <w:rPr>
          <w:rFonts w:asciiTheme="minorHAnsi" w:hAnsiTheme="minorHAnsi"/>
          <w:color w:val="auto"/>
        </w:rPr>
        <w:t xml:space="preserve">of services to targeted provincial locations </w:t>
      </w:r>
    </w:p>
    <w:p w:rsidR="00CA7A38" w:rsidRPr="00915C8F" w:rsidRDefault="00CA7A38" w:rsidP="00E70031">
      <w:pPr>
        <w:autoSpaceDE w:val="0"/>
        <w:autoSpaceDN w:val="0"/>
        <w:spacing w:before="240" w:line="276" w:lineRule="auto"/>
        <w:jc w:val="both"/>
      </w:pPr>
      <w:r>
        <w:t>The reach of state services outside of Port Vila and Santo is limited.  Program support for increased delivery of state policing, justice and community services will help improve access to justice.  The program will also implement tailored pilot initiatives in targeted locations, also intended to help improve access to justice.</w:t>
      </w:r>
    </w:p>
    <w:p w:rsidR="00CA7A38" w:rsidRPr="00635528" w:rsidRDefault="00CA7A38" w:rsidP="00E70031">
      <w:pPr>
        <w:pStyle w:val="Heading5"/>
        <w:spacing w:after="240" w:line="276" w:lineRule="auto"/>
        <w:jc w:val="both"/>
        <w:rPr>
          <w:rFonts w:asciiTheme="minorHAnsi" w:hAnsiTheme="minorHAnsi"/>
          <w:color w:val="auto"/>
        </w:rPr>
      </w:pPr>
      <w:r w:rsidRPr="00635528">
        <w:rPr>
          <w:rFonts w:asciiTheme="minorHAnsi" w:hAnsiTheme="minorHAnsi"/>
          <w:color w:val="auto"/>
        </w:rPr>
        <w:t>Indicative</w:t>
      </w:r>
      <w:r>
        <w:rPr>
          <w:rFonts w:asciiTheme="minorHAnsi" w:hAnsiTheme="minorHAnsi"/>
          <w:color w:val="auto"/>
        </w:rPr>
        <w:t xml:space="preserve"> </w:t>
      </w:r>
      <w:r w:rsidRPr="00635528">
        <w:rPr>
          <w:rFonts w:asciiTheme="minorHAnsi" w:hAnsiTheme="minorHAnsi"/>
          <w:color w:val="auto"/>
        </w:rPr>
        <w:t>Outputs</w:t>
      </w:r>
      <w:r>
        <w:rPr>
          <w:rFonts w:asciiTheme="minorHAnsi" w:hAnsiTheme="minorHAnsi"/>
          <w:color w:val="auto"/>
        </w:rPr>
        <w:t>:</w:t>
      </w:r>
    </w:p>
    <w:p w:rsidR="00CA7A38" w:rsidRPr="005918E5" w:rsidRDefault="00CA7A38" w:rsidP="00E70031">
      <w:pPr>
        <w:pStyle w:val="ListParagraph"/>
        <w:numPr>
          <w:ilvl w:val="0"/>
          <w:numId w:val="29"/>
        </w:numPr>
        <w:autoSpaceDE w:val="0"/>
        <w:autoSpaceDN w:val="0"/>
        <w:spacing w:after="0" w:line="276" w:lineRule="auto"/>
        <w:jc w:val="both"/>
        <w:rPr>
          <w:rFonts w:ascii="Calibri" w:hAnsi="Calibri"/>
        </w:rPr>
      </w:pPr>
      <w:r>
        <w:rPr>
          <w:rFonts w:ascii="Calibri" w:hAnsi="Calibri"/>
        </w:rPr>
        <w:t xml:space="preserve">Increased access to justice services, for example through the provision of program funds to </w:t>
      </w:r>
      <w:r w:rsidRPr="00C27599">
        <w:rPr>
          <w:rFonts w:ascii="Calibri" w:hAnsi="Calibri"/>
        </w:rPr>
        <w:t xml:space="preserve">sector </w:t>
      </w:r>
      <w:r>
        <w:rPr>
          <w:rFonts w:ascii="Calibri" w:hAnsi="Calibri"/>
        </w:rPr>
        <w:t>agencies</w:t>
      </w:r>
      <w:r w:rsidRPr="00C27599">
        <w:rPr>
          <w:rFonts w:ascii="Calibri" w:hAnsi="Calibri"/>
        </w:rPr>
        <w:t xml:space="preserve"> </w:t>
      </w:r>
      <w:r>
        <w:rPr>
          <w:rFonts w:ascii="Calibri" w:hAnsi="Calibri"/>
        </w:rPr>
        <w:t xml:space="preserve">to deliver more services, including in targeted provincial locations (through the </w:t>
      </w:r>
      <w:r w:rsidRPr="001520A6">
        <w:rPr>
          <w:rFonts w:ascii="Calibri" w:hAnsi="Calibri"/>
        </w:rPr>
        <w:t>VPF Operational Fund</w:t>
      </w:r>
      <w:r>
        <w:rPr>
          <w:rFonts w:ascii="Calibri" w:hAnsi="Calibri"/>
        </w:rPr>
        <w:t xml:space="preserve"> and Grants Facility, discussed in section 3.8).  SRBJS should support VPF to </w:t>
      </w:r>
      <w:r w:rsidRPr="005918E5">
        <w:rPr>
          <w:rFonts w:ascii="Calibri" w:hAnsi="Calibri"/>
        </w:rPr>
        <w:t>conduct more patrols and respond to more incidents in targeted locations</w:t>
      </w:r>
    </w:p>
    <w:p w:rsidR="00CA7A38" w:rsidRDefault="00CA7A38" w:rsidP="00E70031">
      <w:pPr>
        <w:pStyle w:val="ListParagraph"/>
        <w:numPr>
          <w:ilvl w:val="0"/>
          <w:numId w:val="29"/>
        </w:numPr>
        <w:autoSpaceDE w:val="0"/>
        <w:autoSpaceDN w:val="0"/>
        <w:spacing w:after="0" w:line="276" w:lineRule="auto"/>
        <w:jc w:val="both"/>
        <w:rPr>
          <w:rFonts w:ascii="Calibri" w:hAnsi="Calibri"/>
        </w:rPr>
      </w:pPr>
      <w:r>
        <w:rPr>
          <w:rFonts w:ascii="Calibri" w:hAnsi="Calibri"/>
        </w:rPr>
        <w:t>Increased VPF presence in targeted provincial locations through rotations and visits</w:t>
      </w:r>
    </w:p>
    <w:p w:rsidR="00CA7A38" w:rsidRPr="005918E5" w:rsidRDefault="00CA7A38" w:rsidP="00E70031">
      <w:pPr>
        <w:pStyle w:val="ListParagraph"/>
        <w:numPr>
          <w:ilvl w:val="0"/>
          <w:numId w:val="29"/>
        </w:numPr>
        <w:autoSpaceDE w:val="0"/>
        <w:autoSpaceDN w:val="0"/>
        <w:spacing w:after="0" w:line="276" w:lineRule="auto"/>
        <w:jc w:val="both"/>
        <w:rPr>
          <w:rFonts w:ascii="Calibri" w:hAnsi="Calibri"/>
        </w:rPr>
      </w:pPr>
      <w:r w:rsidRPr="005918E5">
        <w:rPr>
          <w:rFonts w:ascii="Calibri" w:hAnsi="Calibri"/>
        </w:rPr>
        <w:t>SPD and public sector law offices</w:t>
      </w:r>
      <w:r>
        <w:rPr>
          <w:rFonts w:ascii="Calibri" w:hAnsi="Calibri"/>
        </w:rPr>
        <w:t xml:space="preserve"> supported</w:t>
      </w:r>
      <w:r w:rsidRPr="005918E5">
        <w:rPr>
          <w:rFonts w:ascii="Calibri" w:hAnsi="Calibri"/>
        </w:rPr>
        <w:t xml:space="preserve"> to deliver more policing and justice services. This might involve supporting strengthening of the capacity of these offices in provincial locations</w:t>
      </w:r>
    </w:p>
    <w:p w:rsidR="00CA7A38" w:rsidRDefault="00CA7A38" w:rsidP="00E70031">
      <w:pPr>
        <w:pStyle w:val="ListParagraph"/>
        <w:numPr>
          <w:ilvl w:val="0"/>
          <w:numId w:val="29"/>
        </w:numPr>
        <w:autoSpaceDE w:val="0"/>
        <w:autoSpaceDN w:val="0"/>
        <w:spacing w:after="0" w:line="276" w:lineRule="auto"/>
        <w:jc w:val="both"/>
        <w:rPr>
          <w:rFonts w:ascii="Calibri" w:hAnsi="Calibri"/>
        </w:rPr>
      </w:pPr>
      <w:r>
        <w:rPr>
          <w:rFonts w:ascii="Calibri" w:hAnsi="Calibri"/>
        </w:rPr>
        <w:t>Judiciary supported to plan and deliver more regular court tours (Circuit Courts)</w:t>
      </w:r>
      <w:r>
        <w:rPr>
          <w:rStyle w:val="FootnoteReference"/>
          <w:rFonts w:ascii="Calibri" w:hAnsi="Calibri"/>
        </w:rPr>
        <w:footnoteReference w:id="58"/>
      </w:r>
      <w:r>
        <w:rPr>
          <w:rFonts w:ascii="Calibri" w:hAnsi="Calibri"/>
        </w:rPr>
        <w:t xml:space="preserve"> (especially Magistrate’s Court, possibly also Island Courts), drawing on evidence produced through the Case Management System showing cases pending (subject to priorities of Chief Justice)</w:t>
      </w:r>
    </w:p>
    <w:p w:rsidR="00CA7A38" w:rsidRDefault="00CA7A38" w:rsidP="00E70031">
      <w:pPr>
        <w:pStyle w:val="ListParagraph"/>
        <w:autoSpaceDE w:val="0"/>
        <w:autoSpaceDN w:val="0"/>
        <w:spacing w:after="0" w:line="276" w:lineRule="auto"/>
        <w:jc w:val="both"/>
        <w:rPr>
          <w:rFonts w:ascii="Calibri" w:hAnsi="Calibri"/>
        </w:rPr>
      </w:pPr>
    </w:p>
    <w:p w:rsidR="00CA7A38" w:rsidRDefault="00CA7A38" w:rsidP="00E70031">
      <w:pPr>
        <w:pStyle w:val="Heading5"/>
        <w:spacing w:after="240" w:line="276" w:lineRule="auto"/>
        <w:jc w:val="both"/>
        <w:rPr>
          <w:rFonts w:asciiTheme="minorHAnsi" w:hAnsiTheme="minorHAnsi"/>
          <w:color w:val="auto"/>
        </w:rPr>
      </w:pPr>
      <w:r w:rsidRPr="00856D54">
        <w:rPr>
          <w:rStyle w:val="Heading5Char"/>
          <w:rFonts w:asciiTheme="minorHAnsi" w:hAnsiTheme="minorHAnsi"/>
          <w:b/>
          <w:color w:val="auto"/>
        </w:rPr>
        <w:t>Intermediate Outcome 10</w:t>
      </w:r>
      <w:r w:rsidRPr="00856D54">
        <w:rPr>
          <w:rStyle w:val="Heading5Char"/>
          <w:rFonts w:asciiTheme="minorHAnsi" w:hAnsiTheme="minorHAnsi"/>
          <w:color w:val="auto"/>
        </w:rPr>
        <w:t xml:space="preserve">: </w:t>
      </w:r>
      <w:r w:rsidRPr="00856D54">
        <w:rPr>
          <w:rFonts w:asciiTheme="minorHAnsi" w:hAnsiTheme="minorHAnsi"/>
          <w:color w:val="auto"/>
        </w:rPr>
        <w:t>Targeted communities better understand the policing, justice and community services system and how to use it (includes enhanced understanding of the law and human rights)</w:t>
      </w:r>
    </w:p>
    <w:p w:rsidR="00CA7A38" w:rsidRDefault="00CA7A38" w:rsidP="00E70031">
      <w:pPr>
        <w:autoSpaceDE w:val="0"/>
        <w:autoSpaceDN w:val="0"/>
        <w:adjustRightInd w:val="0"/>
        <w:spacing w:line="276" w:lineRule="auto"/>
        <w:jc w:val="both"/>
      </w:pPr>
      <w:r>
        <w:rPr>
          <w:rFonts w:cs="Segoe UI"/>
        </w:rPr>
        <w:t>A lack of l</w:t>
      </w:r>
      <w:r w:rsidRPr="00DE698E">
        <w:rPr>
          <w:rFonts w:cs="Segoe UI"/>
        </w:rPr>
        <w:t>egal awareness within communities is a s</w:t>
      </w:r>
      <w:r>
        <w:rPr>
          <w:rFonts w:cs="Segoe UI"/>
        </w:rPr>
        <w:t>ignificant</w:t>
      </w:r>
      <w:r w:rsidRPr="00DE698E">
        <w:rPr>
          <w:rFonts w:cs="Segoe UI"/>
        </w:rPr>
        <w:t xml:space="preserve"> barrier to accessing justice</w:t>
      </w:r>
      <w:r>
        <w:rPr>
          <w:rFonts w:cs="Segoe UI"/>
        </w:rPr>
        <w:t xml:space="preserve"> — there is limited understanding of the law, human rights and available state services, including what communities are entitled to expect from the service providers</w:t>
      </w:r>
      <w:r w:rsidRPr="00DE698E">
        <w:rPr>
          <w:rFonts w:cs="Segoe UI"/>
        </w:rPr>
        <w:t>.</w:t>
      </w:r>
      <w:r>
        <w:rPr>
          <w:rFonts w:cs="Segoe UI"/>
        </w:rPr>
        <w:t xml:space="preserve">  </w:t>
      </w:r>
      <w:r>
        <w:rPr>
          <w:rFonts w:ascii="Calibri" w:hAnsi="Calibri" w:cs="Calibri"/>
        </w:rPr>
        <w:t>SRBJS will support outreach activities with the aim of e</w:t>
      </w:r>
      <w:r w:rsidRPr="005C193E">
        <w:rPr>
          <w:rFonts w:ascii="Calibri" w:hAnsi="Calibri" w:cs="Calibri"/>
        </w:rPr>
        <w:t xml:space="preserve">mpowering </w:t>
      </w:r>
      <w:r>
        <w:rPr>
          <w:rFonts w:ascii="Calibri" w:hAnsi="Calibri" w:cs="Calibri"/>
        </w:rPr>
        <w:t xml:space="preserve">targeted communities </w:t>
      </w:r>
      <w:r w:rsidRPr="00FA569E">
        <w:t>with</w:t>
      </w:r>
      <w:r>
        <w:t xml:space="preserve"> knowledge about the law, human rights and available services, and how to access and use these services.  </w:t>
      </w:r>
    </w:p>
    <w:p w:rsidR="00CA7A38" w:rsidRPr="00635528" w:rsidRDefault="00CA7A38" w:rsidP="00E70031">
      <w:pPr>
        <w:pStyle w:val="Heading5"/>
        <w:spacing w:after="240" w:line="276" w:lineRule="auto"/>
        <w:jc w:val="both"/>
        <w:rPr>
          <w:rFonts w:asciiTheme="minorHAnsi" w:hAnsiTheme="minorHAnsi"/>
          <w:color w:val="auto"/>
        </w:rPr>
      </w:pPr>
      <w:r w:rsidRPr="00635528">
        <w:rPr>
          <w:rStyle w:val="Heading5Char"/>
          <w:rFonts w:asciiTheme="minorHAnsi" w:hAnsiTheme="minorHAnsi"/>
          <w:color w:val="auto"/>
        </w:rPr>
        <w:t>Indicative Output</w:t>
      </w:r>
      <w:r>
        <w:rPr>
          <w:rStyle w:val="Heading5Char"/>
          <w:rFonts w:asciiTheme="minorHAnsi" w:hAnsiTheme="minorHAnsi"/>
          <w:color w:val="auto"/>
        </w:rPr>
        <w:t>:</w:t>
      </w:r>
    </w:p>
    <w:p w:rsidR="00CA7A38" w:rsidRPr="00270D8A" w:rsidRDefault="00CA7A38" w:rsidP="00E70031">
      <w:pPr>
        <w:pStyle w:val="ListParagraph"/>
        <w:numPr>
          <w:ilvl w:val="0"/>
          <w:numId w:val="29"/>
        </w:numPr>
        <w:autoSpaceDE w:val="0"/>
        <w:autoSpaceDN w:val="0"/>
        <w:spacing w:line="276" w:lineRule="auto"/>
        <w:jc w:val="both"/>
        <w:rPr>
          <w:rFonts w:ascii="Calibri" w:hAnsi="Calibri"/>
        </w:rPr>
      </w:pPr>
      <w:r>
        <w:rPr>
          <w:rFonts w:ascii="Calibri" w:hAnsi="Calibri"/>
        </w:rPr>
        <w:t xml:space="preserve">People are increasingly aware of their rights and available services, for example through SRBJS support </w:t>
      </w:r>
      <w:r w:rsidRPr="005918E5">
        <w:rPr>
          <w:rFonts w:ascii="Calibri" w:hAnsi="Calibri"/>
        </w:rPr>
        <w:t xml:space="preserve">for more outreach activities to be conducted by sector agencies, civil society organisations, churches and community organisations, including in targeted provincial locations.  The aim is to supplement and strengthen provision of information to communities (users of the system) about the state system and how to use it.  Examples of existing outreach activities include VPF Crime Prevention initiatives, legal awareness clinics conducted by the Public Solicitor’s Office, and </w:t>
      </w:r>
      <w:r>
        <w:rPr>
          <w:rFonts w:ascii="Calibri" w:hAnsi="Calibri"/>
        </w:rPr>
        <w:t>VWC</w:t>
      </w:r>
      <w:r w:rsidRPr="005918E5">
        <w:rPr>
          <w:rFonts w:ascii="Calibri" w:hAnsi="Calibri"/>
        </w:rPr>
        <w:t xml:space="preserve"> workshops</w:t>
      </w:r>
      <w:r>
        <w:rPr>
          <w:rFonts w:ascii="Calibri" w:hAnsi="Calibri"/>
        </w:rPr>
        <w:t xml:space="preserve">.  Other examples of areas for </w:t>
      </w:r>
      <w:r>
        <w:rPr>
          <w:rFonts w:ascii="Calibri" w:hAnsi="Calibri"/>
        </w:rPr>
        <w:lastRenderedPageBreak/>
        <w:t>support</w:t>
      </w:r>
      <w:r w:rsidRPr="000B29EF">
        <w:rPr>
          <w:rFonts w:ascii="Calibri" w:hAnsi="Calibri"/>
        </w:rPr>
        <w:t xml:space="preserve"> </w:t>
      </w:r>
      <w:r>
        <w:rPr>
          <w:rFonts w:ascii="Calibri" w:hAnsi="Calibri"/>
        </w:rPr>
        <w:t xml:space="preserve">include the </w:t>
      </w:r>
      <w:r w:rsidRPr="000B29EF">
        <w:rPr>
          <w:rFonts w:ascii="Calibri" w:hAnsi="Calibri"/>
        </w:rPr>
        <w:t xml:space="preserve">VPF ‘Police </w:t>
      </w:r>
      <w:proofErr w:type="spellStart"/>
      <w:r w:rsidRPr="000B29EF">
        <w:rPr>
          <w:rFonts w:ascii="Calibri" w:hAnsi="Calibri"/>
        </w:rPr>
        <w:t>Tok</w:t>
      </w:r>
      <w:proofErr w:type="spellEnd"/>
      <w:r w:rsidRPr="000B29EF">
        <w:rPr>
          <w:rFonts w:ascii="Calibri" w:hAnsi="Calibri"/>
        </w:rPr>
        <w:t xml:space="preserve"> </w:t>
      </w:r>
      <w:proofErr w:type="spellStart"/>
      <w:r w:rsidRPr="000B29EF">
        <w:rPr>
          <w:rFonts w:ascii="Calibri" w:hAnsi="Calibri"/>
        </w:rPr>
        <w:t>Tok</w:t>
      </w:r>
      <w:proofErr w:type="spellEnd"/>
      <w:r w:rsidRPr="000B29EF">
        <w:rPr>
          <w:rFonts w:ascii="Calibri" w:hAnsi="Calibri"/>
        </w:rPr>
        <w:t xml:space="preserve">’ and weekly newspaper column </w:t>
      </w:r>
      <w:r>
        <w:rPr>
          <w:rFonts w:ascii="Calibri" w:hAnsi="Calibri"/>
        </w:rPr>
        <w:t>(both initiatives also support building community confidence in the VPF)</w:t>
      </w:r>
    </w:p>
    <w:p w:rsidR="00CA7A38" w:rsidRPr="00572903" w:rsidRDefault="00CA7A38" w:rsidP="00E70031">
      <w:pPr>
        <w:pStyle w:val="Heading5"/>
        <w:spacing w:line="276" w:lineRule="auto"/>
        <w:jc w:val="both"/>
        <w:rPr>
          <w:rFonts w:asciiTheme="minorHAnsi" w:hAnsiTheme="minorHAnsi"/>
          <w:color w:val="auto"/>
        </w:rPr>
      </w:pPr>
      <w:r w:rsidRPr="00572903">
        <w:rPr>
          <w:rFonts w:asciiTheme="minorHAnsi" w:hAnsiTheme="minorHAnsi"/>
          <w:b/>
          <w:color w:val="auto"/>
        </w:rPr>
        <w:t>Intermediate Outcome 11</w:t>
      </w:r>
      <w:r>
        <w:rPr>
          <w:rFonts w:asciiTheme="minorHAnsi" w:hAnsiTheme="minorHAnsi"/>
          <w:color w:val="auto"/>
        </w:rPr>
        <w:t xml:space="preserve">: </w:t>
      </w:r>
      <w:r w:rsidRPr="00572903">
        <w:rPr>
          <w:rFonts w:asciiTheme="minorHAnsi" w:hAnsiTheme="minorHAnsi"/>
          <w:color w:val="auto"/>
        </w:rPr>
        <w:t>Targeted communities are increasingly claiming their rights to assistance and access to state policing, justice and community services (involv</w:t>
      </w:r>
      <w:r>
        <w:rPr>
          <w:rFonts w:asciiTheme="minorHAnsi" w:hAnsiTheme="minorHAnsi"/>
          <w:color w:val="auto"/>
        </w:rPr>
        <w:t xml:space="preserve">es building demand for services </w:t>
      </w:r>
      <w:r w:rsidRPr="00572903">
        <w:rPr>
          <w:rFonts w:asciiTheme="minorHAnsi" w:hAnsiTheme="minorHAnsi"/>
          <w:color w:val="auto"/>
        </w:rPr>
        <w:t>and increased use)</w:t>
      </w:r>
    </w:p>
    <w:p w:rsidR="00CA7A38" w:rsidRDefault="00CA7A38" w:rsidP="00E70031">
      <w:pPr>
        <w:spacing w:before="240" w:line="276" w:lineRule="auto"/>
        <w:jc w:val="both"/>
        <w:rPr>
          <w:rFonts w:ascii="Calibri" w:hAnsi="Calibri" w:cs="Calibri"/>
        </w:rPr>
      </w:pPr>
      <w:r>
        <w:rPr>
          <w:rFonts w:ascii="Calibri" w:hAnsi="Calibri" w:cs="Calibri"/>
        </w:rPr>
        <w:t xml:space="preserve">By building community understanding of the policing and justice system, law and human rights, the intention is that people will increasingly claim their rights to assistance and access.  SRBJS’s approach is to provide support for service providers (sector agencies) as well as end users of the system.  The aim of this two-pronged approach is to build community demand for services, and a corresponding social accountability of sector agencies to deliver services (as their service delivery capacity increases).  </w:t>
      </w:r>
    </w:p>
    <w:p w:rsidR="00CA7A38" w:rsidRDefault="00CA7A38" w:rsidP="00E70031">
      <w:pPr>
        <w:spacing w:before="240" w:line="276" w:lineRule="auto"/>
        <w:jc w:val="both"/>
        <w:rPr>
          <w:rFonts w:ascii="Calibri" w:hAnsi="Calibri" w:cs="Calibri"/>
        </w:rPr>
      </w:pPr>
      <w:r>
        <w:rPr>
          <w:rFonts w:ascii="Calibri" w:hAnsi="Calibri" w:cs="Calibri"/>
        </w:rPr>
        <w:t xml:space="preserve">Through this dual approach, SRBJS will seek to affect change in how cases that disproportionately impact the lives of women and children, like family and gender-based violence, are dealt with in communities.  An example is to strengthen the capacity of sector agencies to respond to cases involving violence against women and children and at the same time empower the community to demand these services.  Increased reporting and/or referral of violent offences against women and children to the VPF could indicate the success of this approach. </w:t>
      </w:r>
    </w:p>
    <w:p w:rsidR="00CA7A38" w:rsidRPr="00635528" w:rsidRDefault="00CA7A38" w:rsidP="00E70031">
      <w:pPr>
        <w:pStyle w:val="Heading5"/>
        <w:spacing w:after="240" w:line="276" w:lineRule="auto"/>
        <w:jc w:val="both"/>
        <w:rPr>
          <w:rFonts w:asciiTheme="minorHAnsi" w:hAnsiTheme="minorHAnsi"/>
          <w:color w:val="auto"/>
        </w:rPr>
      </w:pPr>
      <w:r w:rsidRPr="00635528">
        <w:rPr>
          <w:rFonts w:asciiTheme="minorHAnsi" w:hAnsiTheme="minorHAnsi"/>
          <w:color w:val="auto"/>
        </w:rPr>
        <w:t>Indicative Outputs</w:t>
      </w:r>
      <w:r>
        <w:rPr>
          <w:rFonts w:asciiTheme="minorHAnsi" w:hAnsiTheme="minorHAnsi"/>
          <w:color w:val="auto"/>
        </w:rPr>
        <w:t>:</w:t>
      </w:r>
    </w:p>
    <w:p w:rsidR="00CA7A38" w:rsidRPr="003139CB" w:rsidRDefault="00CA7A38" w:rsidP="00E70031">
      <w:pPr>
        <w:pStyle w:val="ListParagraph"/>
        <w:numPr>
          <w:ilvl w:val="0"/>
          <w:numId w:val="29"/>
        </w:numPr>
        <w:spacing w:after="200" w:line="276" w:lineRule="auto"/>
        <w:ind w:left="714" w:hanging="357"/>
        <w:jc w:val="both"/>
        <w:rPr>
          <w:rFonts w:ascii="Calibri" w:hAnsi="Calibri"/>
        </w:rPr>
      </w:pPr>
      <w:r>
        <w:rPr>
          <w:rFonts w:ascii="Calibri" w:hAnsi="Calibri"/>
        </w:rPr>
        <w:t xml:space="preserve">Evidence </w:t>
      </w:r>
      <w:r w:rsidRPr="00EF5DCE">
        <w:rPr>
          <w:rFonts w:ascii="Calibri" w:hAnsi="Calibri"/>
        </w:rPr>
        <w:t>from research on</w:t>
      </w:r>
      <w:r w:rsidRPr="001B526D">
        <w:rPr>
          <w:rFonts w:ascii="Calibri" w:hAnsi="Calibri"/>
        </w:rPr>
        <w:t xml:space="preserve"> access to justice (</w:t>
      </w:r>
      <w:proofErr w:type="spellStart"/>
      <w:r w:rsidRPr="001B526D">
        <w:rPr>
          <w:rFonts w:ascii="Calibri" w:hAnsi="Calibri"/>
        </w:rPr>
        <w:t>Malekula</w:t>
      </w:r>
      <w:proofErr w:type="spellEnd"/>
      <w:r w:rsidRPr="001B526D">
        <w:rPr>
          <w:rFonts w:ascii="Calibri" w:hAnsi="Calibri"/>
        </w:rPr>
        <w:t>) and urban youth in conflict with the law (</w:t>
      </w:r>
      <w:proofErr w:type="spellStart"/>
      <w:r w:rsidRPr="001B526D">
        <w:rPr>
          <w:rFonts w:ascii="Calibri" w:hAnsi="Calibri"/>
        </w:rPr>
        <w:t>Blacksands</w:t>
      </w:r>
      <w:proofErr w:type="spellEnd"/>
      <w:r w:rsidRPr="001B526D">
        <w:rPr>
          <w:rFonts w:ascii="Calibri" w:hAnsi="Calibri"/>
        </w:rPr>
        <w:t xml:space="preserve">) </w:t>
      </w:r>
      <w:r>
        <w:rPr>
          <w:rFonts w:ascii="Calibri" w:hAnsi="Calibri"/>
        </w:rPr>
        <w:t xml:space="preserve">is used to jointly develop and </w:t>
      </w:r>
      <w:r w:rsidRPr="00B76E2D">
        <w:rPr>
          <w:rFonts w:ascii="Calibri" w:hAnsi="Calibri"/>
        </w:rPr>
        <w:t xml:space="preserve">implement </w:t>
      </w:r>
      <w:r>
        <w:rPr>
          <w:rFonts w:ascii="Calibri" w:hAnsi="Calibri"/>
        </w:rPr>
        <w:t xml:space="preserve">tailored </w:t>
      </w:r>
      <w:r w:rsidRPr="00B76E2D">
        <w:rPr>
          <w:rFonts w:ascii="Calibri" w:hAnsi="Calibri"/>
        </w:rPr>
        <w:t xml:space="preserve">initiatives that aim to </w:t>
      </w:r>
      <w:r>
        <w:rPr>
          <w:rFonts w:ascii="Calibri" w:hAnsi="Calibri"/>
        </w:rPr>
        <w:t>ensure people are claiming their rights to appropriate</w:t>
      </w:r>
      <w:r w:rsidRPr="00B76E2D">
        <w:rPr>
          <w:rFonts w:ascii="Calibri" w:hAnsi="Calibri"/>
        </w:rPr>
        <w:t xml:space="preserve"> policing and justice services in</w:t>
      </w:r>
      <w:r>
        <w:rPr>
          <w:rFonts w:ascii="Calibri" w:hAnsi="Calibri"/>
        </w:rPr>
        <w:t xml:space="preserve"> targeted provincial locations.  This involves identifying and working with communities while simultaneously ensuring a level of supply side services are in place in targeted locations (so as to avoid building demand that cannot realistically be fulfilled)</w:t>
      </w:r>
    </w:p>
    <w:p w:rsidR="00CA7A38" w:rsidRPr="00EF5DCE" w:rsidRDefault="00CA7A38" w:rsidP="00E70031">
      <w:pPr>
        <w:pStyle w:val="Heading5"/>
        <w:spacing w:after="240" w:line="276" w:lineRule="auto"/>
        <w:jc w:val="both"/>
        <w:rPr>
          <w:rFonts w:asciiTheme="minorHAnsi" w:hAnsiTheme="minorHAnsi"/>
          <w:color w:val="auto"/>
        </w:rPr>
      </w:pPr>
      <w:r>
        <w:rPr>
          <w:rStyle w:val="Heading5Char"/>
          <w:rFonts w:asciiTheme="minorHAnsi" w:hAnsiTheme="minorHAnsi"/>
          <w:b/>
          <w:color w:val="auto"/>
        </w:rPr>
        <w:t>Intermediate Outcome</w:t>
      </w:r>
      <w:r w:rsidRPr="00EF5DCE">
        <w:rPr>
          <w:rStyle w:val="Heading5Char"/>
          <w:rFonts w:asciiTheme="minorHAnsi" w:hAnsiTheme="minorHAnsi"/>
          <w:b/>
          <w:color w:val="auto"/>
        </w:rPr>
        <w:t xml:space="preserve"> 12</w:t>
      </w:r>
      <w:r w:rsidRPr="00EF5DCE">
        <w:rPr>
          <w:rFonts w:asciiTheme="minorHAnsi" w:hAnsiTheme="minorHAnsi"/>
          <w:color w:val="auto"/>
        </w:rPr>
        <w:t>: Targeted non-state actors better understand the law and human rights and are acting more consistently with these standards as community conflict managers</w:t>
      </w:r>
    </w:p>
    <w:p w:rsidR="00CA7A38" w:rsidRPr="00933E15" w:rsidRDefault="00CA7A38" w:rsidP="00E70031">
      <w:pPr>
        <w:spacing w:line="276" w:lineRule="auto"/>
        <w:jc w:val="both"/>
      </w:pPr>
      <w:r>
        <w:rPr>
          <w:rFonts w:ascii="Calibri" w:hAnsi="Calibri" w:cs="Calibri"/>
        </w:rPr>
        <w:t xml:space="preserve">Given the limited reach of the state, most disputes are addressed by “community conflict managers” — often the only form of redress for disputes.  </w:t>
      </w:r>
      <w:r>
        <w:t xml:space="preserve">Even where state policing and justice services are available, many people choose “community conflict managers” (or </w:t>
      </w:r>
      <w:proofErr w:type="spellStart"/>
      <w:r>
        <w:rPr>
          <w:i/>
          <w:iCs/>
        </w:rPr>
        <w:t>kastom</w:t>
      </w:r>
      <w:proofErr w:type="spellEnd"/>
      <w:r>
        <w:t>)</w:t>
      </w:r>
      <w:r>
        <w:rPr>
          <w:i/>
          <w:iCs/>
        </w:rPr>
        <w:t xml:space="preserve"> </w:t>
      </w:r>
      <w:r>
        <w:t>as their first point of access to justice.</w:t>
      </w:r>
      <w:r>
        <w:rPr>
          <w:rStyle w:val="FootnoteReference"/>
        </w:rPr>
        <w:footnoteReference w:id="59"/>
      </w:r>
      <w:r>
        <w:rPr>
          <w:rFonts w:cs="Segoe UI"/>
        </w:rPr>
        <w:t xml:space="preserve">  </w:t>
      </w:r>
      <w:r>
        <w:rPr>
          <w:rFonts w:ascii="Calibri" w:hAnsi="Calibri" w:cs="Calibri"/>
        </w:rPr>
        <w:t>These actors often have a very limited understanding of the state policing and justice system, the law and human rights</w:t>
      </w:r>
      <w:r>
        <w:t xml:space="preserve">.  PJSPV research conducted in </w:t>
      </w:r>
      <w:proofErr w:type="spellStart"/>
      <w:r>
        <w:t>Malekula</w:t>
      </w:r>
      <w:proofErr w:type="spellEnd"/>
      <w:r>
        <w:t xml:space="preserve"> showed that a number of these actors would like more support from the state in addressing disputes.  There is limited and inconsistent referral of cases to the state policing and justice system, this is particularly pertinent for domestic violence cases.</w:t>
      </w:r>
    </w:p>
    <w:p w:rsidR="00CA7A38" w:rsidRPr="00635528" w:rsidRDefault="00CA7A38" w:rsidP="00E70031">
      <w:pPr>
        <w:pStyle w:val="Heading5"/>
        <w:spacing w:after="240"/>
        <w:jc w:val="both"/>
        <w:rPr>
          <w:rFonts w:asciiTheme="minorHAnsi" w:hAnsiTheme="minorHAnsi"/>
          <w:color w:val="auto"/>
        </w:rPr>
      </w:pPr>
      <w:r w:rsidRPr="00635528">
        <w:rPr>
          <w:rFonts w:asciiTheme="minorHAnsi" w:hAnsiTheme="minorHAnsi"/>
          <w:color w:val="auto"/>
        </w:rPr>
        <w:lastRenderedPageBreak/>
        <w:t>Indicative Outputs:</w:t>
      </w:r>
    </w:p>
    <w:p w:rsidR="00CA7A38" w:rsidRPr="005C345E" w:rsidRDefault="00CA7A38" w:rsidP="00E70031">
      <w:pPr>
        <w:pStyle w:val="ListParagraph"/>
        <w:numPr>
          <w:ilvl w:val="0"/>
          <w:numId w:val="30"/>
        </w:numPr>
        <w:autoSpaceDE w:val="0"/>
        <w:autoSpaceDN w:val="0"/>
        <w:adjustRightInd w:val="0"/>
        <w:spacing w:after="0" w:line="276" w:lineRule="auto"/>
        <w:jc w:val="both"/>
      </w:pPr>
      <w:r>
        <w:rPr>
          <w:rFonts w:ascii="Calibri" w:hAnsi="Calibri"/>
        </w:rPr>
        <w:t>C</w:t>
      </w:r>
      <w:r w:rsidRPr="00EF5DCE">
        <w:rPr>
          <w:rFonts w:ascii="Calibri" w:hAnsi="Calibri"/>
        </w:rPr>
        <w:t>ommunity level processes and institutions</w:t>
      </w:r>
      <w:r>
        <w:rPr>
          <w:rFonts w:ascii="Calibri" w:hAnsi="Calibri"/>
        </w:rPr>
        <w:t xml:space="preserve"> are strengthened</w:t>
      </w:r>
      <w:r w:rsidRPr="00EF5DCE">
        <w:rPr>
          <w:rFonts w:ascii="Calibri" w:hAnsi="Calibri"/>
        </w:rPr>
        <w:t xml:space="preserve"> so that they are more in line with Vanuatu’s laws and commitment to human rights, and reflect a commitment to justice as much as they strive</w:t>
      </w:r>
      <w:r>
        <w:rPr>
          <w:rFonts w:ascii="Calibri" w:hAnsi="Calibri"/>
        </w:rPr>
        <w:t xml:space="preserve"> to maintain community harmony</w:t>
      </w:r>
    </w:p>
    <w:p w:rsidR="00CA7A38" w:rsidRDefault="00CA7A38" w:rsidP="00E70031">
      <w:pPr>
        <w:pStyle w:val="ListParagraph"/>
        <w:numPr>
          <w:ilvl w:val="0"/>
          <w:numId w:val="30"/>
        </w:numPr>
        <w:autoSpaceDE w:val="0"/>
        <w:autoSpaceDN w:val="0"/>
        <w:adjustRightInd w:val="0"/>
        <w:spacing w:after="0" w:line="276" w:lineRule="auto"/>
        <w:jc w:val="both"/>
      </w:pPr>
      <w:r>
        <w:rPr>
          <w:rFonts w:ascii="Calibri" w:hAnsi="Calibri"/>
        </w:rPr>
        <w:t>“Community conflict managers” are supported to better understand the law, human rights and available policing and justice services.  The intention is to build understanding about what cases should be referred to the VPF/state policing and justice system</w:t>
      </w:r>
    </w:p>
    <w:p w:rsidR="00CA7A38" w:rsidRDefault="00CA7A38" w:rsidP="00E70031">
      <w:pPr>
        <w:spacing w:before="240" w:line="276" w:lineRule="auto"/>
        <w:jc w:val="both"/>
        <w:rPr>
          <w:rFonts w:ascii="Calibri" w:hAnsi="Calibri" w:cs="Calibri"/>
        </w:rPr>
      </w:pPr>
      <w:r>
        <w:rPr>
          <w:rFonts w:ascii="Calibri" w:hAnsi="Calibri" w:cs="Calibri"/>
        </w:rPr>
        <w:t>SRBJS will carefully monitor any work with “community conflict managers” to ensure that work is and remains consistently supportive of women.  Pilot activities will be implemented slowly and mindfully, along with other initiatives including community mobilisation.</w:t>
      </w:r>
    </w:p>
    <w:p w:rsidR="00CA7A38" w:rsidRPr="000A520A" w:rsidRDefault="00CA7A38" w:rsidP="00E70031">
      <w:pPr>
        <w:spacing w:before="240" w:line="276" w:lineRule="auto"/>
        <w:jc w:val="both"/>
        <w:rPr>
          <w:rFonts w:ascii="Calibri" w:hAnsi="Calibri" w:cs="Calibri"/>
        </w:rPr>
      </w:pPr>
    </w:p>
    <w:p w:rsidR="00CA7A38" w:rsidRPr="00D01C99" w:rsidRDefault="00CA7A38" w:rsidP="00E70031">
      <w:pPr>
        <w:pStyle w:val="Heading3"/>
        <w:numPr>
          <w:ilvl w:val="0"/>
          <w:numId w:val="28"/>
        </w:numPr>
        <w:spacing w:after="240"/>
        <w:rPr>
          <w:rFonts w:asciiTheme="minorHAnsi" w:hAnsiTheme="minorHAnsi"/>
          <w:color w:val="auto"/>
          <w:sz w:val="22"/>
          <w:szCs w:val="22"/>
        </w:rPr>
      </w:pPr>
      <w:r w:rsidRPr="00917386">
        <w:rPr>
          <w:rFonts w:asciiTheme="minorHAnsi" w:hAnsiTheme="minorHAnsi"/>
          <w:color w:val="auto"/>
          <w:sz w:val="22"/>
          <w:szCs w:val="22"/>
        </w:rPr>
        <w:t>Pillar 3: Support to Vulnerable and At-Risk Groups</w:t>
      </w:r>
    </w:p>
    <w:p w:rsidR="00CA7A38" w:rsidRDefault="00CA7A38" w:rsidP="00E70031">
      <w:pPr>
        <w:pStyle w:val="Heading4"/>
        <w:spacing w:after="240" w:line="276" w:lineRule="auto"/>
        <w:jc w:val="both"/>
        <w:rPr>
          <w:rFonts w:asciiTheme="minorHAnsi" w:hAnsiTheme="minorHAnsi"/>
          <w:b/>
          <w:color w:val="auto"/>
        </w:rPr>
      </w:pPr>
      <w:r w:rsidRPr="009F0636">
        <w:rPr>
          <w:rFonts w:asciiTheme="minorHAnsi" w:hAnsiTheme="minorHAnsi"/>
          <w:b/>
          <w:color w:val="auto"/>
        </w:rPr>
        <w:t>Pillar Overview</w:t>
      </w:r>
    </w:p>
    <w:p w:rsidR="00CA7A38" w:rsidRPr="00B20D20" w:rsidRDefault="00CA7A38" w:rsidP="00E70031">
      <w:pPr>
        <w:spacing w:line="276" w:lineRule="auto"/>
        <w:jc w:val="both"/>
        <w:rPr>
          <w:iCs/>
        </w:rPr>
      </w:pPr>
      <w:r>
        <w:t xml:space="preserve">The focus of Pillar 3 is on supporting vulnerable and at-risk groups, namely survivors of violence against women and children, youth in conflict with the law, and persons with disabilities.  </w:t>
      </w:r>
    </w:p>
    <w:p w:rsidR="00CA7A38" w:rsidRPr="003D3357" w:rsidRDefault="00CA7A38" w:rsidP="00E70031">
      <w:pPr>
        <w:pStyle w:val="Heading4"/>
        <w:spacing w:after="240" w:line="276" w:lineRule="auto"/>
        <w:jc w:val="both"/>
        <w:rPr>
          <w:rFonts w:asciiTheme="minorHAnsi" w:hAnsiTheme="minorHAnsi"/>
          <w:b/>
          <w:color w:val="auto"/>
        </w:rPr>
      </w:pPr>
      <w:r w:rsidRPr="00EC1004">
        <w:rPr>
          <w:rFonts w:asciiTheme="minorHAnsi" w:hAnsiTheme="minorHAnsi"/>
          <w:b/>
          <w:color w:val="auto"/>
        </w:rPr>
        <w:t xml:space="preserve">Intermediate outcomes and </w:t>
      </w:r>
      <w:r>
        <w:rPr>
          <w:rFonts w:asciiTheme="minorHAnsi" w:hAnsiTheme="minorHAnsi"/>
          <w:b/>
          <w:color w:val="auto"/>
        </w:rPr>
        <w:t xml:space="preserve">key </w:t>
      </w:r>
      <w:r w:rsidRPr="00EC1004">
        <w:rPr>
          <w:rFonts w:asciiTheme="minorHAnsi" w:hAnsiTheme="minorHAnsi"/>
          <w:b/>
          <w:color w:val="auto"/>
        </w:rPr>
        <w:t>i</w:t>
      </w:r>
      <w:r>
        <w:rPr>
          <w:rFonts w:asciiTheme="minorHAnsi" w:hAnsiTheme="minorHAnsi"/>
          <w:b/>
          <w:color w:val="auto"/>
        </w:rPr>
        <w:t>ndicative outputs under Pillar 3</w:t>
      </w:r>
    </w:p>
    <w:p w:rsidR="00CA7A38" w:rsidRDefault="00CA7A38" w:rsidP="00E70031">
      <w:pPr>
        <w:pStyle w:val="Heading5"/>
        <w:spacing w:line="276" w:lineRule="auto"/>
        <w:jc w:val="both"/>
        <w:rPr>
          <w:rFonts w:asciiTheme="minorHAnsi" w:hAnsiTheme="minorHAnsi"/>
          <w:color w:val="auto"/>
        </w:rPr>
      </w:pPr>
      <w:r>
        <w:rPr>
          <w:rFonts w:asciiTheme="minorHAnsi" w:hAnsiTheme="minorHAnsi"/>
          <w:b/>
          <w:color w:val="auto"/>
        </w:rPr>
        <w:t>Intermediate Outcome 13</w:t>
      </w:r>
      <w:r w:rsidRPr="00FC689E">
        <w:rPr>
          <w:rFonts w:asciiTheme="minorHAnsi" w:hAnsiTheme="minorHAnsi"/>
          <w:color w:val="auto"/>
        </w:rPr>
        <w:t xml:space="preserve">: </w:t>
      </w:r>
      <w:r w:rsidRPr="000B3D7E">
        <w:rPr>
          <w:rFonts w:asciiTheme="minorHAnsi" w:hAnsiTheme="minorHAnsi"/>
          <w:color w:val="auto"/>
        </w:rPr>
        <w:t>Sector agencies and targeted non-state actors are responding more effectively to cases involving violence against women and children</w:t>
      </w:r>
    </w:p>
    <w:p w:rsidR="00CA7A38" w:rsidRDefault="00CA7A38" w:rsidP="00E70031">
      <w:pPr>
        <w:spacing w:before="240" w:line="276" w:lineRule="auto"/>
        <w:jc w:val="both"/>
        <w:rPr>
          <w:rFonts w:cs="Segoe UI"/>
        </w:rPr>
      </w:pPr>
      <w:r>
        <w:t xml:space="preserve">As the discussion in section 2.3 makes clear, there are extremely high levels of violence against women and children throughout Vanuatu, with </w:t>
      </w:r>
      <w:proofErr w:type="spellStart"/>
      <w:r w:rsidRPr="00C2191B">
        <w:t>Malampa</w:t>
      </w:r>
      <w:proofErr w:type="spellEnd"/>
      <w:r w:rsidRPr="00C2191B">
        <w:t xml:space="preserve"> and </w:t>
      </w:r>
      <w:proofErr w:type="spellStart"/>
      <w:r w:rsidRPr="00C2191B">
        <w:t>Sanma</w:t>
      </w:r>
      <w:proofErr w:type="spellEnd"/>
      <w:r>
        <w:t xml:space="preserve"> having the highest levels.  State and non-state actors play a role in responding to cases involving violence against women and children.  PJSPV supported research in </w:t>
      </w:r>
      <w:proofErr w:type="spellStart"/>
      <w:r>
        <w:t>Malekula</w:t>
      </w:r>
      <w:proofErr w:type="spellEnd"/>
      <w:r>
        <w:t xml:space="preserve"> found that the response of state (VPF and Courts) and non-state actors (“community conflict managers” including chiefs, family and religious leaders) alike is, too often, inadequate.  SRBJS will work with state and non-state actors to improve the quality of response.</w:t>
      </w:r>
      <w:r>
        <w:rPr>
          <w:rFonts w:cs="Segoe UI"/>
        </w:rPr>
        <w:t xml:space="preserve"> </w:t>
      </w:r>
    </w:p>
    <w:p w:rsidR="00CA7A38" w:rsidRPr="00635528" w:rsidRDefault="00CA7A38" w:rsidP="00E70031">
      <w:pPr>
        <w:pStyle w:val="Heading5"/>
        <w:spacing w:after="240" w:line="276" w:lineRule="auto"/>
        <w:jc w:val="both"/>
        <w:rPr>
          <w:rFonts w:asciiTheme="minorHAnsi" w:hAnsiTheme="minorHAnsi"/>
          <w:color w:val="auto"/>
        </w:rPr>
      </w:pPr>
      <w:r w:rsidRPr="00635528">
        <w:rPr>
          <w:rFonts w:asciiTheme="minorHAnsi" w:hAnsiTheme="minorHAnsi"/>
          <w:color w:val="auto"/>
        </w:rPr>
        <w:t>Indicative Outputs:</w:t>
      </w:r>
    </w:p>
    <w:p w:rsidR="00CA7A38" w:rsidRPr="000D40BF" w:rsidRDefault="00CA7A38" w:rsidP="00E70031">
      <w:pPr>
        <w:numPr>
          <w:ilvl w:val="0"/>
          <w:numId w:val="30"/>
        </w:numPr>
        <w:shd w:val="clear" w:color="auto" w:fill="FFFFFF"/>
        <w:spacing w:after="0" w:line="276" w:lineRule="auto"/>
        <w:jc w:val="both"/>
        <w:rPr>
          <w:rFonts w:eastAsia="Times New Roman" w:cs="Times New Roman"/>
          <w:lang w:eastAsia="en-AU"/>
        </w:rPr>
      </w:pPr>
      <w:r w:rsidRPr="000D40BF">
        <w:rPr>
          <w:rFonts w:eastAsia="Times New Roman" w:cs="Times New Roman"/>
          <w:lang w:eastAsia="en-AU"/>
        </w:rPr>
        <w:t>Improved recourse and protection for victims of sexual and gender-based violence</w:t>
      </w:r>
    </w:p>
    <w:p w:rsidR="00CA7A38" w:rsidRPr="000D40BF" w:rsidRDefault="00CA7A38" w:rsidP="00E70031">
      <w:pPr>
        <w:numPr>
          <w:ilvl w:val="0"/>
          <w:numId w:val="30"/>
        </w:numPr>
        <w:shd w:val="clear" w:color="auto" w:fill="FFFFFF"/>
        <w:spacing w:after="0" w:line="276" w:lineRule="auto"/>
        <w:jc w:val="both"/>
        <w:rPr>
          <w:rFonts w:eastAsia="Times New Roman" w:cs="Times New Roman"/>
          <w:lang w:eastAsia="en-AU"/>
        </w:rPr>
      </w:pPr>
      <w:r w:rsidRPr="000D40BF">
        <w:rPr>
          <w:rFonts w:eastAsia="Times New Roman" w:cs="Arial"/>
          <w:lang w:eastAsia="en-AU"/>
        </w:rPr>
        <w:t>Violence against women is not condoned by customary or traditional authorities</w:t>
      </w:r>
    </w:p>
    <w:p w:rsidR="00CA7A38" w:rsidRDefault="00CA7A38" w:rsidP="00E70031">
      <w:pPr>
        <w:numPr>
          <w:ilvl w:val="0"/>
          <w:numId w:val="30"/>
        </w:numPr>
        <w:shd w:val="clear" w:color="auto" w:fill="FFFFFF"/>
        <w:autoSpaceDE w:val="0"/>
        <w:autoSpaceDN w:val="0"/>
        <w:adjustRightInd w:val="0"/>
        <w:spacing w:after="0" w:line="276" w:lineRule="auto"/>
        <w:jc w:val="both"/>
      </w:pPr>
      <w:r w:rsidRPr="000D40BF">
        <w:rPr>
          <w:rFonts w:eastAsia="Times New Roman" w:cs="Times New Roman"/>
          <w:lang w:eastAsia="en-AU"/>
        </w:rPr>
        <w:t>The needs of women and children are addressed appro</w:t>
      </w:r>
      <w:r>
        <w:rPr>
          <w:rFonts w:eastAsia="Times New Roman" w:cs="Times New Roman"/>
          <w:lang w:eastAsia="en-AU"/>
        </w:rPr>
        <w:t xml:space="preserve">priately by the justice sector, for example through program support to police and courts as well as support to </w:t>
      </w:r>
      <w:r w:rsidRPr="000D40BF">
        <w:rPr>
          <w:rFonts w:ascii="Calibri" w:hAnsi="Calibri"/>
        </w:rPr>
        <w:t xml:space="preserve">SPD and </w:t>
      </w:r>
      <w:r>
        <w:rPr>
          <w:rFonts w:ascii="Calibri" w:hAnsi="Calibri"/>
        </w:rPr>
        <w:t xml:space="preserve">OPP </w:t>
      </w:r>
      <w:r w:rsidRPr="000D40BF">
        <w:rPr>
          <w:rFonts w:ascii="Calibri" w:hAnsi="Calibri"/>
        </w:rPr>
        <w:t>to strengthen the capacity of offices to prosecute violent offences against women and children</w:t>
      </w:r>
      <w:r>
        <w:rPr>
          <w:rFonts w:ascii="Calibri" w:hAnsi="Calibri"/>
        </w:rPr>
        <w:t xml:space="preserve">.  As part of program support for implementing the FPA, SRBJS will continue to work with DWA and VWC regarding piloting </w:t>
      </w:r>
      <w:r w:rsidRPr="001B1BFA">
        <w:rPr>
          <w:rFonts w:ascii="Calibri" w:hAnsi="Calibri"/>
        </w:rPr>
        <w:t>of Authorised Persons</w:t>
      </w:r>
      <w:r>
        <w:rPr>
          <w:rFonts w:ascii="Calibri" w:hAnsi="Calibri"/>
        </w:rPr>
        <w:t xml:space="preserve"> (</w:t>
      </w:r>
      <w:r w:rsidRPr="001B1BFA">
        <w:rPr>
          <w:rFonts w:ascii="Calibri" w:hAnsi="Calibri"/>
        </w:rPr>
        <w:t>provision</w:t>
      </w:r>
      <w:r>
        <w:rPr>
          <w:rFonts w:ascii="Calibri" w:hAnsi="Calibri"/>
        </w:rPr>
        <w:t xml:space="preserve"> under FPA for protection orders)</w:t>
      </w:r>
    </w:p>
    <w:p w:rsidR="00CA7A38" w:rsidRPr="00953A64" w:rsidRDefault="00CA7A38" w:rsidP="00E70031">
      <w:pPr>
        <w:numPr>
          <w:ilvl w:val="0"/>
          <w:numId w:val="30"/>
        </w:numPr>
        <w:shd w:val="clear" w:color="auto" w:fill="FFFFFF"/>
        <w:autoSpaceDE w:val="0"/>
        <w:autoSpaceDN w:val="0"/>
        <w:adjustRightInd w:val="0"/>
        <w:spacing w:after="0" w:line="276" w:lineRule="auto"/>
        <w:jc w:val="both"/>
      </w:pPr>
      <w:r w:rsidRPr="00270D8A">
        <w:rPr>
          <w:rFonts w:ascii="Calibri" w:hAnsi="Calibri"/>
        </w:rPr>
        <w:t>Counsellors are effectively trained to provide quality counselling services.  This could include counselling for survivors of family and gender-based violence as well as for male</w:t>
      </w:r>
      <w:r>
        <w:rPr>
          <w:rFonts w:ascii="Calibri" w:hAnsi="Calibri"/>
        </w:rPr>
        <w:t xml:space="preserve"> </w:t>
      </w:r>
      <w:r w:rsidRPr="00270D8A">
        <w:rPr>
          <w:rFonts w:ascii="Calibri" w:hAnsi="Calibri"/>
        </w:rPr>
        <w:lastRenderedPageBreak/>
        <w:t>perpetrators of violence, for example with respect to anger management (part of the community services portfolio and implementation of the FPA)</w:t>
      </w:r>
    </w:p>
    <w:p w:rsidR="00CA7A38" w:rsidRPr="000A6295" w:rsidRDefault="00CA7A38" w:rsidP="00E70031">
      <w:pPr>
        <w:pStyle w:val="ListParagraph"/>
        <w:numPr>
          <w:ilvl w:val="0"/>
          <w:numId w:val="30"/>
        </w:numPr>
        <w:autoSpaceDE w:val="0"/>
        <w:autoSpaceDN w:val="0"/>
        <w:adjustRightInd w:val="0"/>
        <w:spacing w:after="0" w:line="276" w:lineRule="auto"/>
        <w:jc w:val="both"/>
      </w:pPr>
      <w:r>
        <w:rPr>
          <w:rFonts w:ascii="Calibri" w:hAnsi="Calibri"/>
        </w:rPr>
        <w:t>“Community conflict managers” are effectively trained to better understand the law, human rights and available policing and justice services.  The intention is to build understanding about what cases should be referred to the VPF/state justice system</w:t>
      </w:r>
    </w:p>
    <w:p w:rsidR="00CA7A38" w:rsidRDefault="00CA7A38" w:rsidP="00E70031">
      <w:pPr>
        <w:autoSpaceDE w:val="0"/>
        <w:autoSpaceDN w:val="0"/>
        <w:adjustRightInd w:val="0"/>
        <w:spacing w:after="0" w:line="276" w:lineRule="auto"/>
        <w:jc w:val="both"/>
      </w:pPr>
    </w:p>
    <w:p w:rsidR="00CA7A38" w:rsidRDefault="00CA7A38" w:rsidP="00E70031">
      <w:pPr>
        <w:pStyle w:val="Heading5"/>
        <w:spacing w:after="240" w:line="276" w:lineRule="auto"/>
        <w:jc w:val="both"/>
        <w:rPr>
          <w:rFonts w:asciiTheme="minorHAnsi" w:hAnsiTheme="minorHAnsi"/>
          <w:color w:val="auto"/>
        </w:rPr>
      </w:pPr>
      <w:r>
        <w:rPr>
          <w:rFonts w:asciiTheme="minorHAnsi" w:hAnsiTheme="minorHAnsi"/>
          <w:b/>
          <w:color w:val="auto"/>
        </w:rPr>
        <w:t xml:space="preserve">Intermediate Outcome 14: </w:t>
      </w:r>
      <w:r>
        <w:rPr>
          <w:rFonts w:asciiTheme="minorHAnsi" w:hAnsiTheme="minorHAnsi"/>
          <w:color w:val="auto"/>
        </w:rPr>
        <w:t>Sector agencies and targeted communities work together to respond more effectively to juvenile justice issues</w:t>
      </w:r>
    </w:p>
    <w:p w:rsidR="00CA7A38" w:rsidRPr="002779CC" w:rsidRDefault="00CA7A38" w:rsidP="00E70031">
      <w:pPr>
        <w:spacing w:after="200" w:line="276" w:lineRule="auto"/>
        <w:jc w:val="both"/>
        <w:rPr>
          <w:rFonts w:cstheme="minorHAnsi"/>
        </w:rPr>
      </w:pPr>
      <w:r w:rsidRPr="001B1BFA">
        <w:rPr>
          <w:rFonts w:cstheme="minorHAnsi"/>
        </w:rPr>
        <w:t>Increasing numbers of urban youth are coming into conflict with the law, and the justice sector (formal and informal, government and non-government) is ill equipped to respond to them in a way that addresses the needs and realities of urban youth and their communities.</w:t>
      </w:r>
    </w:p>
    <w:p w:rsidR="00CA7A38" w:rsidRPr="00635528" w:rsidRDefault="00CA7A38" w:rsidP="00E70031">
      <w:pPr>
        <w:pStyle w:val="Heading5"/>
        <w:spacing w:after="240" w:line="276" w:lineRule="auto"/>
        <w:jc w:val="both"/>
        <w:rPr>
          <w:rFonts w:asciiTheme="minorHAnsi" w:hAnsiTheme="minorHAnsi"/>
          <w:color w:val="auto"/>
        </w:rPr>
      </w:pPr>
      <w:r w:rsidRPr="00635528">
        <w:rPr>
          <w:rFonts w:asciiTheme="minorHAnsi" w:hAnsiTheme="minorHAnsi"/>
          <w:color w:val="auto"/>
        </w:rPr>
        <w:t>Indicative Outputs:</w:t>
      </w:r>
    </w:p>
    <w:p w:rsidR="00CA7A38" w:rsidRPr="00635528" w:rsidRDefault="00CA7A38" w:rsidP="00E70031">
      <w:pPr>
        <w:pStyle w:val="ListParagraph"/>
        <w:numPr>
          <w:ilvl w:val="0"/>
          <w:numId w:val="30"/>
        </w:numPr>
        <w:autoSpaceDE w:val="0"/>
        <w:autoSpaceDN w:val="0"/>
        <w:adjustRightInd w:val="0"/>
        <w:spacing w:after="0" w:line="276" w:lineRule="auto"/>
        <w:jc w:val="both"/>
        <w:rPr>
          <w:rFonts w:ascii="Calibri" w:hAnsi="Calibri"/>
        </w:rPr>
      </w:pPr>
      <w:r>
        <w:rPr>
          <w:rFonts w:ascii="Calibri" w:hAnsi="Calibri"/>
        </w:rPr>
        <w:t xml:space="preserve">Responses to juvenile justice issues are improved, for example through engaging </w:t>
      </w:r>
      <w:r w:rsidRPr="00635528">
        <w:rPr>
          <w:rFonts w:ascii="Calibri" w:hAnsi="Calibri"/>
        </w:rPr>
        <w:t xml:space="preserve">in targeted advocacy with actors </w:t>
      </w:r>
      <w:r>
        <w:rPr>
          <w:rFonts w:ascii="Calibri" w:hAnsi="Calibri"/>
        </w:rPr>
        <w:t xml:space="preserve">including UNICEF, WSB, </w:t>
      </w:r>
      <w:r w:rsidRPr="00635528">
        <w:rPr>
          <w:rFonts w:ascii="Calibri" w:hAnsi="Calibri"/>
        </w:rPr>
        <w:t>Vanuatu Rural Development Training Centre Association and sec</w:t>
      </w:r>
      <w:r>
        <w:rPr>
          <w:rFonts w:ascii="Calibri" w:hAnsi="Calibri"/>
        </w:rPr>
        <w:t>tor agencies to strengthen</w:t>
      </w:r>
      <w:r w:rsidRPr="00635528">
        <w:rPr>
          <w:rFonts w:ascii="Calibri" w:hAnsi="Calibri"/>
        </w:rPr>
        <w:t xml:space="preserve"> responses and support to juvenile offenders</w:t>
      </w:r>
    </w:p>
    <w:p w:rsidR="00CA7A38" w:rsidRPr="00635528" w:rsidRDefault="00CA7A38" w:rsidP="00E70031">
      <w:pPr>
        <w:pStyle w:val="ListParagraph"/>
        <w:numPr>
          <w:ilvl w:val="0"/>
          <w:numId w:val="30"/>
        </w:numPr>
        <w:autoSpaceDE w:val="0"/>
        <w:autoSpaceDN w:val="0"/>
        <w:adjustRightInd w:val="0"/>
        <w:spacing w:after="0" w:line="276" w:lineRule="auto"/>
        <w:jc w:val="both"/>
        <w:rPr>
          <w:rFonts w:ascii="Calibri" w:hAnsi="Calibri"/>
        </w:rPr>
      </w:pPr>
      <w:r>
        <w:rPr>
          <w:rFonts w:ascii="Calibri" w:hAnsi="Calibri"/>
        </w:rPr>
        <w:t>R</w:t>
      </w:r>
      <w:r w:rsidRPr="00635528">
        <w:rPr>
          <w:rFonts w:ascii="Calibri" w:hAnsi="Calibri"/>
        </w:rPr>
        <w:t xml:space="preserve">ecommendations from PJSPV research conducted in </w:t>
      </w:r>
      <w:proofErr w:type="spellStart"/>
      <w:r w:rsidRPr="00635528">
        <w:rPr>
          <w:rFonts w:ascii="Calibri" w:hAnsi="Calibri"/>
        </w:rPr>
        <w:t>Blacksands</w:t>
      </w:r>
      <w:proofErr w:type="spellEnd"/>
      <w:r w:rsidRPr="00635528">
        <w:rPr>
          <w:rFonts w:ascii="Calibri" w:hAnsi="Calibri"/>
        </w:rPr>
        <w:t xml:space="preserve"> on youth in conflict with the law</w:t>
      </w:r>
      <w:r>
        <w:rPr>
          <w:rFonts w:ascii="Calibri" w:hAnsi="Calibri"/>
        </w:rPr>
        <w:t xml:space="preserve"> are implemented</w:t>
      </w:r>
    </w:p>
    <w:p w:rsidR="00CA7A38" w:rsidRDefault="00CA7A38" w:rsidP="00E70031">
      <w:pPr>
        <w:pStyle w:val="Heading5"/>
        <w:spacing w:after="240" w:line="276" w:lineRule="auto"/>
        <w:jc w:val="both"/>
        <w:rPr>
          <w:rFonts w:asciiTheme="minorHAnsi" w:hAnsiTheme="minorHAnsi"/>
          <w:color w:val="auto"/>
        </w:rPr>
      </w:pPr>
      <w:r>
        <w:rPr>
          <w:rFonts w:asciiTheme="minorHAnsi" w:hAnsiTheme="minorHAnsi"/>
          <w:b/>
          <w:color w:val="auto"/>
        </w:rPr>
        <w:br/>
        <w:t xml:space="preserve">Intermediate Outcome 15: </w:t>
      </w:r>
      <w:r>
        <w:rPr>
          <w:rFonts w:asciiTheme="minorHAnsi" w:hAnsiTheme="minorHAnsi"/>
          <w:color w:val="auto"/>
        </w:rPr>
        <w:t xml:space="preserve">Sector agencies </w:t>
      </w:r>
      <w:r w:rsidRPr="002779CC">
        <w:rPr>
          <w:rFonts w:asciiTheme="minorHAnsi" w:hAnsiTheme="minorHAnsi"/>
          <w:color w:val="auto"/>
        </w:rPr>
        <w:t>are responding more effectively to the needs of persons with disabilities</w:t>
      </w:r>
    </w:p>
    <w:p w:rsidR="00CA7A38" w:rsidRPr="002779CC" w:rsidRDefault="00CA7A38" w:rsidP="00E70031">
      <w:pPr>
        <w:spacing w:after="200" w:line="276" w:lineRule="auto"/>
        <w:jc w:val="both"/>
        <w:rPr>
          <w:rFonts w:cstheme="minorHAnsi"/>
        </w:rPr>
      </w:pPr>
      <w:r>
        <w:rPr>
          <w:rFonts w:cstheme="minorHAnsi"/>
        </w:rPr>
        <w:t>Disability can compound access to justice issues</w:t>
      </w:r>
      <w:r w:rsidRPr="001B1BFA">
        <w:rPr>
          <w:rFonts w:cstheme="minorHAnsi"/>
        </w:rPr>
        <w:t>, and the justice sector (formal and informal, government and non-government</w:t>
      </w:r>
      <w:r>
        <w:rPr>
          <w:rFonts w:cstheme="minorHAnsi"/>
        </w:rPr>
        <w:t xml:space="preserve">) is ill equipped to respond </w:t>
      </w:r>
      <w:r w:rsidRPr="001B1BFA">
        <w:rPr>
          <w:rFonts w:cstheme="minorHAnsi"/>
        </w:rPr>
        <w:t xml:space="preserve">appropriately and in a way that addresses the needs and realities of </w:t>
      </w:r>
      <w:r>
        <w:rPr>
          <w:rFonts w:cstheme="minorHAnsi"/>
        </w:rPr>
        <w:t>people with disabilities</w:t>
      </w:r>
      <w:r w:rsidRPr="001B1BFA">
        <w:rPr>
          <w:rFonts w:cstheme="minorHAnsi"/>
        </w:rPr>
        <w:t xml:space="preserve"> effectively.</w:t>
      </w:r>
      <w:r>
        <w:rPr>
          <w:rFonts w:cstheme="minorHAnsi"/>
        </w:rPr>
        <w:t xml:space="preserve">  More broadly in Vanuatu, persons with disabilities enjoy very limited access to services. </w:t>
      </w:r>
    </w:p>
    <w:p w:rsidR="00CA7A38" w:rsidRPr="00635528" w:rsidRDefault="00CA7A38" w:rsidP="00E70031">
      <w:pPr>
        <w:pStyle w:val="Heading5"/>
        <w:spacing w:after="240" w:line="276" w:lineRule="auto"/>
        <w:jc w:val="both"/>
        <w:rPr>
          <w:rFonts w:asciiTheme="minorHAnsi" w:hAnsiTheme="minorHAnsi"/>
          <w:color w:val="auto"/>
        </w:rPr>
      </w:pPr>
      <w:r w:rsidRPr="00635528">
        <w:rPr>
          <w:rFonts w:asciiTheme="minorHAnsi" w:hAnsiTheme="minorHAnsi"/>
          <w:color w:val="auto"/>
        </w:rPr>
        <w:t>Indicative Outputs:</w:t>
      </w:r>
    </w:p>
    <w:p w:rsidR="00CA7A38" w:rsidRPr="000A6295" w:rsidRDefault="00CA7A38" w:rsidP="00E70031">
      <w:pPr>
        <w:pStyle w:val="ListParagraph"/>
        <w:numPr>
          <w:ilvl w:val="0"/>
          <w:numId w:val="30"/>
        </w:numPr>
        <w:autoSpaceDE w:val="0"/>
        <w:autoSpaceDN w:val="0"/>
        <w:adjustRightInd w:val="0"/>
        <w:spacing w:after="0" w:line="276" w:lineRule="auto"/>
        <w:jc w:val="both"/>
        <w:rPr>
          <w:rFonts w:ascii="Calibri" w:hAnsi="Calibri"/>
        </w:rPr>
      </w:pPr>
      <w:r>
        <w:rPr>
          <w:rFonts w:ascii="Calibri" w:hAnsi="Calibri"/>
        </w:rPr>
        <w:t xml:space="preserve">Persons with disabilities can better access services, for example, through program support to </w:t>
      </w:r>
      <w:r w:rsidRPr="000327C2">
        <w:rPr>
          <w:rFonts w:ascii="Calibri" w:hAnsi="Calibri"/>
        </w:rPr>
        <w:t>Disability Desk</w:t>
      </w:r>
      <w:r>
        <w:rPr>
          <w:rFonts w:ascii="Calibri" w:hAnsi="Calibri"/>
        </w:rPr>
        <w:t xml:space="preserve"> and p</w:t>
      </w:r>
      <w:r w:rsidRPr="000A6295">
        <w:rPr>
          <w:rFonts w:ascii="Calibri" w:hAnsi="Calibri"/>
        </w:rPr>
        <w:t>rovision of training/educational activities with sector agencies, community leaders, conflict managers and persons with disabilities</w:t>
      </w:r>
    </w:p>
    <w:p w:rsidR="00CA7A38" w:rsidRDefault="00CA7A38" w:rsidP="00E70031">
      <w:pPr>
        <w:pStyle w:val="ListParagraph"/>
        <w:numPr>
          <w:ilvl w:val="0"/>
          <w:numId w:val="30"/>
        </w:numPr>
        <w:autoSpaceDE w:val="0"/>
        <w:autoSpaceDN w:val="0"/>
        <w:adjustRightInd w:val="0"/>
        <w:spacing w:line="276" w:lineRule="auto"/>
        <w:jc w:val="both"/>
        <w:rPr>
          <w:rFonts w:ascii="Calibri" w:hAnsi="Calibri"/>
        </w:rPr>
      </w:pPr>
      <w:r>
        <w:rPr>
          <w:rFonts w:ascii="Calibri" w:hAnsi="Calibri"/>
        </w:rPr>
        <w:t xml:space="preserve">Civil society organisations are supported to deliver services for persons with disabilities, for example through providing grants to organisations </w:t>
      </w:r>
      <w:r w:rsidRPr="000327C2">
        <w:rPr>
          <w:rFonts w:ascii="Calibri" w:hAnsi="Calibri"/>
        </w:rPr>
        <w:t>such as VSDP</w:t>
      </w:r>
      <w:r>
        <w:rPr>
          <w:rFonts w:ascii="Calibri" w:hAnsi="Calibri"/>
        </w:rPr>
        <w:t xml:space="preserve"> in areas such as</w:t>
      </w:r>
      <w:r w:rsidRPr="000327C2">
        <w:rPr>
          <w:rFonts w:ascii="Calibri" w:hAnsi="Calibri"/>
        </w:rPr>
        <w:t xml:space="preserve"> early intervention and community-based rehabilitation</w:t>
      </w:r>
      <w:r>
        <w:rPr>
          <w:rFonts w:ascii="Calibri" w:hAnsi="Calibri"/>
        </w:rPr>
        <w:t>.  This approach is justified on the basis that due to systemic marginalisation and discrimination, additional measures are needed to ensure people with disabilities can access and defend their rights</w:t>
      </w:r>
    </w:p>
    <w:p w:rsidR="00CA7A38" w:rsidRPr="000F00C6" w:rsidRDefault="00CA7A38" w:rsidP="00E70031">
      <w:pPr>
        <w:pStyle w:val="ListParagraph"/>
        <w:numPr>
          <w:ilvl w:val="0"/>
          <w:numId w:val="30"/>
        </w:numPr>
        <w:autoSpaceDE w:val="0"/>
        <w:autoSpaceDN w:val="0"/>
        <w:adjustRightInd w:val="0"/>
        <w:spacing w:line="276" w:lineRule="auto"/>
        <w:jc w:val="both"/>
        <w:rPr>
          <w:rFonts w:ascii="Calibri" w:hAnsi="Calibri"/>
        </w:rPr>
      </w:pPr>
      <w:r>
        <w:rPr>
          <w:rFonts w:ascii="Calibri" w:hAnsi="Calibri"/>
        </w:rPr>
        <w:t>Policing and justice sector actors are effectively t</w:t>
      </w:r>
      <w:r w:rsidR="0006730F">
        <w:rPr>
          <w:rFonts w:ascii="Calibri" w:hAnsi="Calibri"/>
        </w:rPr>
        <w:t xml:space="preserve">rained on disability rights, </w:t>
      </w:r>
      <w:r>
        <w:rPr>
          <w:rFonts w:ascii="Calibri" w:hAnsi="Calibri"/>
        </w:rPr>
        <w:t xml:space="preserve">how to work with people with disabilities and how to make services more accessible.  </w:t>
      </w:r>
      <w:r>
        <w:t>T</w:t>
      </w:r>
      <w:r w:rsidRPr="00216363">
        <w:t xml:space="preserve">raining </w:t>
      </w:r>
      <w:r>
        <w:t>could address the following topics: (</w:t>
      </w:r>
      <w:proofErr w:type="spellStart"/>
      <w:r>
        <w:t>i</w:t>
      </w:r>
      <w:proofErr w:type="spellEnd"/>
      <w:r>
        <w:t>) d</w:t>
      </w:r>
      <w:r w:rsidRPr="00216363">
        <w:t>isability awareness training including how to interact respectfully with people w</w:t>
      </w:r>
      <w:r>
        <w:t>ith disabilities; (ii) t</w:t>
      </w:r>
      <w:r w:rsidRPr="00216363">
        <w:t xml:space="preserve">he substantive </w:t>
      </w:r>
      <w:r>
        <w:t>rights of people with disabilities as set out in CRPD; (iii) i</w:t>
      </w:r>
      <w:r w:rsidRPr="00216363">
        <w:t>nformation about the increased</w:t>
      </w:r>
      <w:r>
        <w:t xml:space="preserve"> risk of violence against</w:t>
      </w:r>
      <w:r w:rsidRPr="00216363">
        <w:t xml:space="preserve"> wom</w:t>
      </w:r>
      <w:r>
        <w:t>en and children with disabilities; (iv) how policing and justice services can be made more accessible.</w:t>
      </w:r>
    </w:p>
    <w:p w:rsidR="00CA7A38" w:rsidRDefault="00CA7A38" w:rsidP="00E70031">
      <w:pPr>
        <w:pStyle w:val="ListParagraph"/>
        <w:autoSpaceDE w:val="0"/>
        <w:autoSpaceDN w:val="0"/>
        <w:adjustRightInd w:val="0"/>
        <w:spacing w:line="276" w:lineRule="auto"/>
        <w:jc w:val="both"/>
        <w:rPr>
          <w:rFonts w:ascii="Calibri" w:hAnsi="Calibri"/>
        </w:rPr>
      </w:pPr>
    </w:p>
    <w:p w:rsidR="00CA7A38" w:rsidRPr="00917386" w:rsidRDefault="00CA7A38" w:rsidP="00E70031">
      <w:pPr>
        <w:pStyle w:val="Heading3"/>
        <w:numPr>
          <w:ilvl w:val="0"/>
          <w:numId w:val="28"/>
        </w:numPr>
        <w:rPr>
          <w:rFonts w:asciiTheme="minorHAnsi" w:hAnsiTheme="minorHAnsi"/>
          <w:color w:val="auto"/>
          <w:sz w:val="22"/>
          <w:szCs w:val="22"/>
        </w:rPr>
      </w:pPr>
      <w:r w:rsidRPr="00917386">
        <w:rPr>
          <w:rFonts w:asciiTheme="minorHAnsi" w:hAnsiTheme="minorHAnsi"/>
          <w:color w:val="auto"/>
          <w:sz w:val="22"/>
          <w:szCs w:val="22"/>
        </w:rPr>
        <w:lastRenderedPageBreak/>
        <w:t xml:space="preserve">How </w:t>
      </w:r>
      <w:r>
        <w:rPr>
          <w:rFonts w:asciiTheme="minorHAnsi" w:hAnsiTheme="minorHAnsi"/>
          <w:color w:val="auto"/>
          <w:sz w:val="22"/>
          <w:szCs w:val="22"/>
        </w:rPr>
        <w:t>W</w:t>
      </w:r>
      <w:r w:rsidRPr="00917386">
        <w:rPr>
          <w:rFonts w:asciiTheme="minorHAnsi" w:hAnsiTheme="minorHAnsi"/>
          <w:color w:val="auto"/>
          <w:sz w:val="22"/>
          <w:szCs w:val="22"/>
        </w:rPr>
        <w:t xml:space="preserve">ill </w:t>
      </w:r>
      <w:r>
        <w:rPr>
          <w:rFonts w:asciiTheme="minorHAnsi" w:hAnsiTheme="minorHAnsi"/>
          <w:color w:val="auto"/>
          <w:sz w:val="22"/>
          <w:szCs w:val="22"/>
        </w:rPr>
        <w:t>the Program</w:t>
      </w:r>
      <w:r w:rsidRPr="00917386">
        <w:rPr>
          <w:rFonts w:asciiTheme="minorHAnsi" w:hAnsiTheme="minorHAnsi"/>
          <w:color w:val="auto"/>
          <w:sz w:val="22"/>
          <w:szCs w:val="22"/>
        </w:rPr>
        <w:t xml:space="preserve"> Approach Capacity Development?</w:t>
      </w:r>
    </w:p>
    <w:p w:rsidR="00E70031" w:rsidRDefault="00E70031" w:rsidP="00E70031">
      <w:pPr>
        <w:spacing w:before="240" w:line="276" w:lineRule="auto"/>
        <w:ind w:left="360"/>
        <w:jc w:val="both"/>
      </w:pPr>
      <w:r>
        <w:t>Capacity development is at the heart of this design and threaded through all program support.  For the most part, SRBJS’s approach to capacity development will be guided by the Capacity Development Strategy used in PJSPV.</w:t>
      </w:r>
      <w:r>
        <w:rPr>
          <w:rStyle w:val="FootnoteReference"/>
        </w:rPr>
        <w:footnoteReference w:id="60"/>
      </w:r>
      <w:r>
        <w:t xml:space="preserve">  This Strategy has been found to be well considered and strategic, and so it is a sound basis for SRBJS capacity development support, although is largely focussed on the justice sector agencies.</w:t>
      </w:r>
      <w:r>
        <w:rPr>
          <w:rStyle w:val="FootnoteReference"/>
        </w:rPr>
        <w:footnoteReference w:id="61"/>
      </w:r>
      <w:r>
        <w:t xml:space="preserve">  An equivalent capacity development strategy will be developed for the VPF, and for other areas not already covered under the existing Strategy, at the start of implementation of SRBJS.  At the same time, the existing Strategy will be updated as needed.</w:t>
      </w:r>
    </w:p>
    <w:p w:rsidR="00E70031" w:rsidRDefault="00E70031" w:rsidP="00E70031">
      <w:pPr>
        <w:spacing w:before="240" w:line="276" w:lineRule="auto"/>
        <w:ind w:left="360"/>
        <w:jc w:val="both"/>
      </w:pPr>
      <w:r>
        <w:t xml:space="preserve">The existing Capacity Development Strategy provides a structure for identifying and targeting the various capacity development needs of the sector.  It shows how capacity development activities can improve, or strengthen, the points of interaction between interdependent agencies in the sector, and with end-users of the system.  In this way, the Strategy helps SRBJS avoid the shortcomings of traditional </w:t>
      </w:r>
      <w:r w:rsidRPr="00E70031">
        <w:rPr>
          <w:lang w:val="en-US"/>
        </w:rPr>
        <w:t>‘</w:t>
      </w:r>
      <w:proofErr w:type="spellStart"/>
      <w:r w:rsidRPr="00E70031">
        <w:rPr>
          <w:lang w:val="en-US"/>
        </w:rPr>
        <w:t>organisational</w:t>
      </w:r>
      <w:proofErr w:type="spellEnd"/>
      <w:r w:rsidRPr="00E70031">
        <w:rPr>
          <w:lang w:val="en-US"/>
        </w:rPr>
        <w:t xml:space="preserve"> capacity development’ approaches within law and justice systems that focus development effort on individual organizations on the theory that poor performance is a function of internal capacity. The approach then is to apply technical fixes and strengthen internal capacity through provision of training and equipment, and improving management systems and governance processes. The assumption is that this improvement will ultimately lead to improved services. </w:t>
      </w:r>
      <w:r>
        <w:t>However, there is limited evidence globally that this approach alone brings lasting results.</w:t>
      </w:r>
      <w:r>
        <w:rPr>
          <w:rStyle w:val="FootnoteReference"/>
          <w:lang w:val="en-US"/>
        </w:rPr>
        <w:footnoteReference w:id="62"/>
      </w:r>
      <w:r>
        <w:t xml:space="preserve"> Rather this approach must be paired with other strategies that consider the broader political, legal and cultural systems in which the organisation operates — for example, problem solving, a thematic focus and/or a service delivery focus — to bring about change for users of the system. </w:t>
      </w:r>
    </w:p>
    <w:p w:rsidR="00E70031" w:rsidRDefault="00E70031" w:rsidP="00E70031">
      <w:pPr>
        <w:spacing w:before="240" w:line="276" w:lineRule="auto"/>
        <w:ind w:left="360"/>
        <w:jc w:val="both"/>
      </w:pPr>
      <w:r>
        <w:t xml:space="preserve">The Capacity Development Strategy responds to this by outlining an approach to capacity development that is systemic and integrated, and identifies five interdependent levels at which capacity development should occur.  In addition, the approach applies an action research methodology to ensure an iterative, learning oriented and evidence-based mechanism for managing and adapting capacity development effort over time.  SRBJS will retain this, including the five levels, and will strengthen the application of action research in its capacity development approach.  </w:t>
      </w:r>
    </w:p>
    <w:p w:rsidR="003C5075" w:rsidRDefault="00E70031" w:rsidP="00E70031">
      <w:pPr>
        <w:spacing w:before="240" w:line="276" w:lineRule="auto"/>
        <w:ind w:left="360"/>
        <w:jc w:val="both"/>
      </w:pPr>
      <w:r>
        <w:t xml:space="preserve">The program will seek to work across each of the five levels for improved service delivery outcomes.  As represented in the program logic, SRBJS applies the five levels to give structure and form to its approach for strengthening service delivery capacity.  The idea is that the five-level approach for strengthening service delivery capacity infuses, or </w:t>
      </w:r>
      <w:proofErr w:type="gramStart"/>
      <w:r>
        <w:t>underlies,</w:t>
      </w:r>
      <w:proofErr w:type="gramEnd"/>
      <w:r>
        <w:t xml:space="preserve"> the three pillars and is critical to achieving the EOPOs.  The five levels also evoke the inter-dependent nature of individuals, agencies and institutions in the sector to realise service delivery improvements for end-users.</w:t>
      </w:r>
    </w:p>
    <w:p w:rsidR="003C5075" w:rsidRDefault="003C5075" w:rsidP="003C5075">
      <w:r>
        <w:br w:type="page"/>
      </w:r>
    </w:p>
    <w:p w:rsidR="00E70031" w:rsidRDefault="00E70031" w:rsidP="00E70031">
      <w:pPr>
        <w:spacing w:before="240" w:line="276" w:lineRule="auto"/>
        <w:ind w:left="360"/>
        <w:jc w:val="both"/>
      </w:pPr>
    </w:p>
    <w:tbl>
      <w:tblPr>
        <w:tblStyle w:val="TableGrid"/>
        <w:tblW w:w="0" w:type="auto"/>
        <w:tblLook w:val="04A0" w:firstRow="1" w:lastRow="0" w:firstColumn="1" w:lastColumn="0" w:noHBand="0" w:noVBand="1"/>
      </w:tblPr>
      <w:tblGrid>
        <w:gridCol w:w="1725"/>
        <w:gridCol w:w="7517"/>
      </w:tblGrid>
      <w:tr w:rsidR="00E70031" w:rsidRPr="00916C38" w:rsidTr="00E70031">
        <w:trPr>
          <w:tblHeader/>
        </w:trPr>
        <w:tc>
          <w:tcPr>
            <w:tcW w:w="0" w:type="auto"/>
          </w:tcPr>
          <w:p w:rsidR="00E70031" w:rsidRPr="00916C38" w:rsidRDefault="00E70031" w:rsidP="00E70031">
            <w:pPr>
              <w:jc w:val="both"/>
              <w:rPr>
                <w:b/>
                <w:sz w:val="20"/>
                <w:szCs w:val="20"/>
              </w:rPr>
            </w:pPr>
            <w:r w:rsidRPr="00916C38">
              <w:rPr>
                <w:b/>
                <w:sz w:val="20"/>
                <w:szCs w:val="20"/>
              </w:rPr>
              <w:t>Level</w:t>
            </w:r>
          </w:p>
        </w:tc>
        <w:tc>
          <w:tcPr>
            <w:tcW w:w="0" w:type="auto"/>
          </w:tcPr>
          <w:p w:rsidR="00E70031" w:rsidRPr="00916C38" w:rsidRDefault="00E70031" w:rsidP="00E70031">
            <w:pPr>
              <w:jc w:val="both"/>
              <w:rPr>
                <w:b/>
                <w:sz w:val="20"/>
                <w:szCs w:val="20"/>
              </w:rPr>
            </w:pPr>
            <w:r w:rsidRPr="00916C38">
              <w:rPr>
                <w:b/>
                <w:sz w:val="20"/>
                <w:szCs w:val="20"/>
              </w:rPr>
              <w:t>Description</w:t>
            </w:r>
          </w:p>
        </w:tc>
      </w:tr>
      <w:tr w:rsidR="00E70031" w:rsidRPr="00916C38" w:rsidTr="00E70031">
        <w:tc>
          <w:tcPr>
            <w:tcW w:w="0" w:type="auto"/>
            <w:shd w:val="clear" w:color="auto" w:fill="FF0000"/>
          </w:tcPr>
          <w:p w:rsidR="00E70031" w:rsidRPr="00916C38" w:rsidRDefault="00E70031" w:rsidP="00E70031">
            <w:pPr>
              <w:jc w:val="both"/>
              <w:rPr>
                <w:sz w:val="20"/>
                <w:szCs w:val="20"/>
              </w:rPr>
            </w:pPr>
            <w:r w:rsidRPr="00916C38">
              <w:rPr>
                <w:sz w:val="20"/>
                <w:szCs w:val="20"/>
              </w:rPr>
              <w:t>Individual</w:t>
            </w:r>
          </w:p>
        </w:tc>
        <w:tc>
          <w:tcPr>
            <w:tcW w:w="0" w:type="auto"/>
            <w:shd w:val="clear" w:color="auto" w:fill="FF0000"/>
          </w:tcPr>
          <w:p w:rsidR="00E70031" w:rsidRPr="00916C38" w:rsidRDefault="00E70031" w:rsidP="00E70031">
            <w:pPr>
              <w:jc w:val="both"/>
              <w:rPr>
                <w:sz w:val="20"/>
                <w:szCs w:val="20"/>
                <w:lang w:val="en-AU"/>
              </w:rPr>
            </w:pPr>
            <w:r w:rsidRPr="00916C38">
              <w:rPr>
                <w:sz w:val="20"/>
                <w:szCs w:val="20"/>
                <w:lang w:val="en-AU"/>
              </w:rPr>
              <w:t>Individuals supported to deliver better quality services. Targets job-related skills and knowledge to support individual capacity to deliver better quality services.</w:t>
            </w:r>
          </w:p>
        </w:tc>
      </w:tr>
      <w:tr w:rsidR="00E70031" w:rsidRPr="00916C38" w:rsidTr="00E70031">
        <w:tc>
          <w:tcPr>
            <w:tcW w:w="0" w:type="auto"/>
            <w:shd w:val="clear" w:color="auto" w:fill="FFFF00"/>
          </w:tcPr>
          <w:p w:rsidR="00E70031" w:rsidRPr="00916C38" w:rsidRDefault="00E70031" w:rsidP="00E70031">
            <w:pPr>
              <w:jc w:val="both"/>
              <w:rPr>
                <w:sz w:val="20"/>
                <w:szCs w:val="20"/>
              </w:rPr>
            </w:pPr>
            <w:r w:rsidRPr="00916C38">
              <w:rPr>
                <w:sz w:val="20"/>
                <w:szCs w:val="20"/>
              </w:rPr>
              <w:t>Technical Groups</w:t>
            </w:r>
          </w:p>
        </w:tc>
        <w:tc>
          <w:tcPr>
            <w:tcW w:w="0" w:type="auto"/>
            <w:shd w:val="clear" w:color="auto" w:fill="FFFF00"/>
          </w:tcPr>
          <w:p w:rsidR="00E70031" w:rsidRPr="00916C38" w:rsidRDefault="00E70031" w:rsidP="00E70031">
            <w:pPr>
              <w:jc w:val="both"/>
              <w:rPr>
                <w:sz w:val="20"/>
                <w:szCs w:val="20"/>
              </w:rPr>
            </w:pPr>
            <w:r w:rsidRPr="00916C38">
              <w:rPr>
                <w:sz w:val="20"/>
                <w:szCs w:val="20"/>
                <w:lang w:val="en-AU"/>
              </w:rPr>
              <w:t xml:space="preserve">Technical Groups (also referred to as Functional Groups) strengthened </w:t>
            </w:r>
            <w:r>
              <w:rPr>
                <w:sz w:val="20"/>
                <w:szCs w:val="20"/>
                <w:lang w:val="en-AU"/>
              </w:rPr>
              <w:t xml:space="preserve">for improved </w:t>
            </w:r>
            <w:r w:rsidRPr="00916C38">
              <w:rPr>
                <w:sz w:val="20"/>
                <w:szCs w:val="20"/>
                <w:lang w:val="en-AU"/>
              </w:rPr>
              <w:t>service delivery</w:t>
            </w:r>
            <w:r>
              <w:rPr>
                <w:sz w:val="20"/>
                <w:szCs w:val="20"/>
                <w:lang w:val="en-AU"/>
              </w:rPr>
              <w:t xml:space="preserve">. </w:t>
            </w:r>
            <w:r w:rsidRPr="00916C38">
              <w:rPr>
                <w:sz w:val="20"/>
                <w:szCs w:val="20"/>
              </w:rPr>
              <w:t xml:space="preserve">Targets professional capabilities in </w:t>
            </w:r>
            <w:r>
              <w:rPr>
                <w:sz w:val="20"/>
                <w:szCs w:val="20"/>
              </w:rPr>
              <w:t>specific technical areas such as human resource management, public financial management, and technical legal skills.</w:t>
            </w:r>
          </w:p>
        </w:tc>
      </w:tr>
      <w:tr w:rsidR="00E70031" w:rsidRPr="00916C38" w:rsidTr="00E70031">
        <w:tc>
          <w:tcPr>
            <w:tcW w:w="0" w:type="auto"/>
            <w:shd w:val="clear" w:color="auto" w:fill="BDD6EE" w:themeFill="accent1" w:themeFillTint="66"/>
          </w:tcPr>
          <w:p w:rsidR="00E70031" w:rsidRPr="00916C38" w:rsidRDefault="00E70031" w:rsidP="00E70031">
            <w:pPr>
              <w:jc w:val="both"/>
              <w:rPr>
                <w:sz w:val="20"/>
                <w:szCs w:val="20"/>
              </w:rPr>
            </w:pPr>
            <w:r w:rsidRPr="00916C38">
              <w:rPr>
                <w:sz w:val="20"/>
                <w:szCs w:val="20"/>
              </w:rPr>
              <w:t>Agency/Institution</w:t>
            </w:r>
          </w:p>
        </w:tc>
        <w:tc>
          <w:tcPr>
            <w:tcW w:w="0" w:type="auto"/>
            <w:shd w:val="clear" w:color="auto" w:fill="BDD6EE" w:themeFill="accent1" w:themeFillTint="66"/>
          </w:tcPr>
          <w:p w:rsidR="00E70031" w:rsidRPr="0008531A" w:rsidRDefault="00E70031" w:rsidP="00E70031">
            <w:pPr>
              <w:jc w:val="both"/>
              <w:rPr>
                <w:sz w:val="20"/>
                <w:szCs w:val="20"/>
                <w:lang w:val="en-AU"/>
              </w:rPr>
            </w:pPr>
            <w:r w:rsidRPr="0008531A">
              <w:rPr>
                <w:sz w:val="20"/>
                <w:szCs w:val="20"/>
                <w:lang w:val="en-AU"/>
              </w:rPr>
              <w:t>Institutions strengthened for better service delivery</w:t>
            </w:r>
            <w:r>
              <w:rPr>
                <w:sz w:val="20"/>
                <w:szCs w:val="20"/>
                <w:lang w:val="en-AU"/>
              </w:rPr>
              <w:t>. Targets organisational improvements for improved service delivery such as leadership, women’s professional participation, information management, and corporate planning.</w:t>
            </w:r>
          </w:p>
        </w:tc>
      </w:tr>
      <w:tr w:rsidR="00E70031" w:rsidRPr="00916C38" w:rsidTr="00E70031">
        <w:tc>
          <w:tcPr>
            <w:tcW w:w="0" w:type="auto"/>
            <w:shd w:val="clear" w:color="auto" w:fill="DAC2EC"/>
          </w:tcPr>
          <w:p w:rsidR="00E70031" w:rsidRPr="00916C38" w:rsidRDefault="00E70031" w:rsidP="00E70031">
            <w:pPr>
              <w:jc w:val="both"/>
              <w:rPr>
                <w:sz w:val="20"/>
                <w:szCs w:val="20"/>
              </w:rPr>
            </w:pPr>
            <w:r w:rsidRPr="00916C38">
              <w:rPr>
                <w:sz w:val="20"/>
                <w:szCs w:val="20"/>
              </w:rPr>
              <w:t>Sector</w:t>
            </w:r>
          </w:p>
        </w:tc>
        <w:tc>
          <w:tcPr>
            <w:tcW w:w="0" w:type="auto"/>
            <w:shd w:val="clear" w:color="auto" w:fill="DAC2EC"/>
          </w:tcPr>
          <w:p w:rsidR="00E70031" w:rsidRPr="00916C38" w:rsidRDefault="00E70031" w:rsidP="00E70031">
            <w:pPr>
              <w:jc w:val="both"/>
              <w:rPr>
                <w:sz w:val="20"/>
                <w:szCs w:val="20"/>
              </w:rPr>
            </w:pPr>
            <w:r>
              <w:rPr>
                <w:sz w:val="20"/>
                <w:szCs w:val="20"/>
              </w:rPr>
              <w:t xml:space="preserve">Policing, justice and community services sector </w:t>
            </w:r>
            <w:r w:rsidRPr="0008531A">
              <w:rPr>
                <w:sz w:val="20"/>
                <w:szCs w:val="20"/>
                <w:lang w:val="en-AU"/>
              </w:rPr>
              <w:t>is supported to work together as a sector for better ser</w:t>
            </w:r>
            <w:r>
              <w:rPr>
                <w:sz w:val="20"/>
                <w:szCs w:val="20"/>
                <w:lang w:val="en-AU"/>
              </w:rPr>
              <w:t>vice delivery: involves support for whole-of-sector collaboration and coordination where useful for service delivery outcomes.</w:t>
            </w:r>
          </w:p>
        </w:tc>
      </w:tr>
      <w:tr w:rsidR="00E70031" w:rsidRPr="00916C38" w:rsidTr="00E70031">
        <w:tc>
          <w:tcPr>
            <w:tcW w:w="0" w:type="auto"/>
            <w:shd w:val="clear" w:color="auto" w:fill="A8D08D" w:themeFill="accent6" w:themeFillTint="99"/>
          </w:tcPr>
          <w:p w:rsidR="00E70031" w:rsidRPr="00916C38" w:rsidRDefault="00E70031" w:rsidP="00E70031">
            <w:pPr>
              <w:jc w:val="both"/>
              <w:rPr>
                <w:sz w:val="20"/>
                <w:szCs w:val="20"/>
              </w:rPr>
            </w:pPr>
            <w:r w:rsidRPr="00916C38">
              <w:rPr>
                <w:sz w:val="20"/>
                <w:szCs w:val="20"/>
              </w:rPr>
              <w:t>Community</w:t>
            </w:r>
          </w:p>
        </w:tc>
        <w:tc>
          <w:tcPr>
            <w:tcW w:w="0" w:type="auto"/>
            <w:shd w:val="clear" w:color="auto" w:fill="A8D08D" w:themeFill="accent6" w:themeFillTint="99"/>
          </w:tcPr>
          <w:p w:rsidR="00E70031" w:rsidRPr="0008531A" w:rsidRDefault="00E70031" w:rsidP="00E70031">
            <w:pPr>
              <w:jc w:val="both"/>
              <w:rPr>
                <w:sz w:val="20"/>
                <w:szCs w:val="20"/>
                <w:lang w:val="en-AU"/>
              </w:rPr>
            </w:pPr>
            <w:r w:rsidRPr="0008531A">
              <w:rPr>
                <w:sz w:val="20"/>
                <w:szCs w:val="20"/>
                <w:lang w:val="en-AU"/>
              </w:rPr>
              <w:t>Community supported to access policing, justice and community services</w:t>
            </w:r>
            <w:r>
              <w:rPr>
                <w:sz w:val="20"/>
                <w:szCs w:val="20"/>
                <w:lang w:val="en-AU"/>
              </w:rPr>
              <w:t>. Targets the point of interaction between the community and sector to improve access to services.</w:t>
            </w:r>
          </w:p>
        </w:tc>
      </w:tr>
    </w:tbl>
    <w:p w:rsidR="00E70031" w:rsidRDefault="00E70031" w:rsidP="00E70031">
      <w:pPr>
        <w:spacing w:before="240" w:after="0" w:line="276" w:lineRule="auto"/>
        <w:jc w:val="both"/>
      </w:pPr>
      <w:r>
        <w:t xml:space="preserve">The five levels are colour-coded in the table and program logic to match colour-coding used in the Capacity Development Strategy.  The table below (at section 3.4 (v)) uses the same colours to depict how SRBJS will work across the five levels.  The table depicts the mutually reinforcing relationship between the three pillars and five-level capacity development approach for achieving the EOPOs.  </w:t>
      </w:r>
    </w:p>
    <w:p w:rsidR="00E70031" w:rsidRDefault="00E70031" w:rsidP="00E70031">
      <w:pPr>
        <w:spacing w:before="240" w:line="276" w:lineRule="auto"/>
        <w:jc w:val="both"/>
      </w:pPr>
      <w:r>
        <w:t xml:space="preserve">This capacity development approach complements the 70:20:10 co-location </w:t>
      </w:r>
      <w:proofErr w:type="gramStart"/>
      <w:r>
        <w:t>method</w:t>
      </w:r>
      <w:proofErr w:type="gramEnd"/>
      <w:r>
        <w:t xml:space="preserve"> used by AFP advisers to support their counterparts in the VPF.</w:t>
      </w:r>
      <w:r>
        <w:rPr>
          <w:rStyle w:val="FootnoteReference"/>
        </w:rPr>
        <w:footnoteReference w:id="63"/>
      </w:r>
      <w:r>
        <w:t xml:space="preserve">  In this 70:20:10 model, AFP advisers work alongside VPF counterparts, providing extensive on-the-job learning and mentoring.  This support is bolstered through targeted technical training courses.  To fully realise the benefits of the 70% on-the-job learning approach, it will be important for the program to build greater self-reliance and reduce dependency on program advisers, and increase capacity development effort in the Agency, Sector and Community levels as necessary to institutionalise improvements.  This could involve developing the skills of senior and experienced VPF officers/managers, including their capacity to train and mentor their subordinates/colleagues.  </w:t>
      </w:r>
    </w:p>
    <w:p w:rsidR="00E70031" w:rsidRDefault="00E70031" w:rsidP="00E70031">
      <w:pPr>
        <w:spacing w:before="240" w:line="276" w:lineRule="auto"/>
        <w:jc w:val="both"/>
      </w:pPr>
      <w:r>
        <w:t>It is important that the VPF are able to benefit from both this 70:20:10 model as well as initiatives linked to the broader capacity development program approach articulated above.  For example, SRBJS capacity development activities that target women’s professional participation and leadership should continue to be available for female VPF and JCSS officers alike.</w:t>
      </w:r>
    </w:p>
    <w:p w:rsidR="00E70031" w:rsidRPr="009D1745" w:rsidRDefault="00E70031" w:rsidP="00E70031">
      <w:pPr>
        <w:spacing w:before="240" w:line="276" w:lineRule="auto"/>
        <w:jc w:val="both"/>
      </w:pPr>
      <w:r>
        <w:t>SRBJS advisers will be supported to use the above-articulated approaches to capacity development in their work, as relevant.  This reflects the findings of a program evaluation of capacity development in PJSPV that the capacity development approach, as outlined in the program’s Capacity Development Strategy, requires the full support of advisers to be successful.</w:t>
      </w:r>
      <w:r>
        <w:rPr>
          <w:rStyle w:val="FootnoteReference"/>
        </w:rPr>
        <w:footnoteReference w:id="64"/>
      </w:r>
      <w:r>
        <w:t xml:space="preserve">  </w:t>
      </w:r>
    </w:p>
    <w:p w:rsidR="00CA7A38" w:rsidRPr="00994EF6" w:rsidRDefault="00CA7A38" w:rsidP="00E70031"/>
    <w:p w:rsidR="00CA7A38" w:rsidRDefault="00CA7A38" w:rsidP="00E70031">
      <w:pPr>
        <w:pStyle w:val="Heading3"/>
        <w:numPr>
          <w:ilvl w:val="0"/>
          <w:numId w:val="28"/>
        </w:numPr>
        <w:rPr>
          <w:rFonts w:asciiTheme="minorHAnsi" w:hAnsiTheme="minorHAnsi"/>
          <w:color w:val="auto"/>
          <w:sz w:val="22"/>
          <w:szCs w:val="22"/>
        </w:rPr>
        <w:sectPr w:rsidR="00CA7A38" w:rsidSect="00E70031">
          <w:pgSz w:w="11906" w:h="16838"/>
          <w:pgMar w:top="1440" w:right="1440" w:bottom="1440" w:left="1440" w:header="709" w:footer="709" w:gutter="0"/>
          <w:cols w:space="708"/>
          <w:docGrid w:linePitch="360"/>
        </w:sectPr>
      </w:pPr>
    </w:p>
    <w:p w:rsidR="00CA7A38" w:rsidRDefault="00CA7A38" w:rsidP="00E70031">
      <w:pPr>
        <w:pStyle w:val="Heading3"/>
        <w:numPr>
          <w:ilvl w:val="0"/>
          <w:numId w:val="28"/>
        </w:numPr>
        <w:spacing w:after="240"/>
        <w:rPr>
          <w:rFonts w:asciiTheme="minorHAnsi" w:hAnsiTheme="minorHAnsi"/>
          <w:color w:val="auto"/>
          <w:sz w:val="22"/>
          <w:szCs w:val="22"/>
        </w:rPr>
      </w:pPr>
      <w:r>
        <w:rPr>
          <w:rFonts w:asciiTheme="minorHAnsi" w:hAnsiTheme="minorHAnsi"/>
          <w:color w:val="auto"/>
          <w:sz w:val="22"/>
          <w:szCs w:val="22"/>
        </w:rPr>
        <w:lastRenderedPageBreak/>
        <w:t>Summary Table of Program Outcomes and Outputs</w:t>
      </w:r>
    </w:p>
    <w:p w:rsidR="00CA7A38" w:rsidRPr="00E16DD4" w:rsidRDefault="00CA7A38" w:rsidP="00E70031">
      <w:pPr>
        <w:jc w:val="both"/>
        <w:rPr>
          <w:rFonts w:ascii="Calibri" w:hAnsi="Calibri"/>
        </w:rPr>
      </w:pPr>
      <w:r>
        <w:rPr>
          <w:rFonts w:ascii="Calibri" w:hAnsi="Calibri"/>
        </w:rPr>
        <w:t xml:space="preserve">The table below sets out indicative outputs intended to </w:t>
      </w:r>
      <w:r>
        <w:rPr>
          <w:rFonts w:ascii="Calibri" w:hAnsi="Calibri"/>
          <w:i/>
        </w:rPr>
        <w:t xml:space="preserve">contribute </w:t>
      </w:r>
      <w:r>
        <w:rPr>
          <w:rFonts w:ascii="Calibri" w:hAnsi="Calibri"/>
        </w:rPr>
        <w:t>to the program goal, objective and outcomes.  In the spirit of the program design as one which allows for flexibility and responsiveness, outputs listed below are not intended as an exhaustive list.  Rather, the table features a select few outputs to illustrate the integrated nature of the program.  For ease of reference, it should be read in conjunction with the program logic.  The table shows how the outputs contribute to the intermediate outcomes (IOs) and end of program outcomes (EOPOs) as well as the interrelationship between the three pillars and five capacity development levels (or integrated five-level approach for strengthening service delivery).  The table also shows that some of the indicative outputs fall under more than one pillar, relate to more than one capacity development level, and contribute to more than one IO and/or EOPO — this is a feature of the integrated program approach.</w:t>
      </w:r>
    </w:p>
    <w:tbl>
      <w:tblPr>
        <w:tblStyle w:val="TableGrid"/>
        <w:tblW w:w="5000" w:type="pct"/>
        <w:tblLook w:val="04A0" w:firstRow="1" w:lastRow="0" w:firstColumn="1" w:lastColumn="0" w:noHBand="0" w:noVBand="1"/>
      </w:tblPr>
      <w:tblGrid>
        <w:gridCol w:w="4583"/>
        <w:gridCol w:w="407"/>
        <w:gridCol w:w="408"/>
        <w:gridCol w:w="408"/>
        <w:gridCol w:w="712"/>
        <w:gridCol w:w="712"/>
        <w:gridCol w:w="712"/>
        <w:gridCol w:w="712"/>
        <w:gridCol w:w="714"/>
        <w:gridCol w:w="2325"/>
        <w:gridCol w:w="828"/>
        <w:gridCol w:w="828"/>
        <w:gridCol w:w="825"/>
      </w:tblGrid>
      <w:tr w:rsidR="00CA7A38" w:rsidRPr="007604CB" w:rsidTr="00E70031">
        <w:trPr>
          <w:tblHeader/>
        </w:trPr>
        <w:tc>
          <w:tcPr>
            <w:tcW w:w="1617" w:type="pct"/>
            <w:shd w:val="clear" w:color="auto" w:fill="D9D9D9" w:themeFill="background1" w:themeFillShade="D9"/>
          </w:tcPr>
          <w:p w:rsidR="00CA7A38" w:rsidRPr="00916C38" w:rsidRDefault="00CA7A38" w:rsidP="00E70031">
            <w:pPr>
              <w:rPr>
                <w:b/>
                <w:sz w:val="20"/>
                <w:szCs w:val="20"/>
              </w:rPr>
            </w:pPr>
            <w:r w:rsidRPr="00916C38">
              <w:rPr>
                <w:b/>
                <w:sz w:val="20"/>
                <w:szCs w:val="20"/>
              </w:rPr>
              <w:t>Indicative Outputs</w:t>
            </w:r>
          </w:p>
        </w:tc>
        <w:tc>
          <w:tcPr>
            <w:tcW w:w="432" w:type="pct"/>
            <w:gridSpan w:val="3"/>
            <w:shd w:val="clear" w:color="auto" w:fill="D9D9D9" w:themeFill="background1" w:themeFillShade="D9"/>
          </w:tcPr>
          <w:p w:rsidR="00CA7A38" w:rsidRPr="00916C38" w:rsidRDefault="00CA7A38" w:rsidP="00E70031">
            <w:pPr>
              <w:rPr>
                <w:b/>
                <w:sz w:val="20"/>
                <w:szCs w:val="20"/>
              </w:rPr>
            </w:pPr>
            <w:r w:rsidRPr="00916C38">
              <w:rPr>
                <w:b/>
                <w:sz w:val="20"/>
                <w:szCs w:val="20"/>
              </w:rPr>
              <w:t>Pillar</w:t>
            </w:r>
          </w:p>
        </w:tc>
        <w:tc>
          <w:tcPr>
            <w:tcW w:w="1256" w:type="pct"/>
            <w:gridSpan w:val="5"/>
            <w:shd w:val="clear" w:color="auto" w:fill="D9D9D9" w:themeFill="background1" w:themeFillShade="D9"/>
          </w:tcPr>
          <w:p w:rsidR="00CA7A38" w:rsidRPr="00916C38" w:rsidRDefault="00CA7A38" w:rsidP="00E70031">
            <w:pPr>
              <w:rPr>
                <w:b/>
                <w:sz w:val="20"/>
                <w:szCs w:val="20"/>
              </w:rPr>
            </w:pPr>
            <w:r w:rsidRPr="00916C38">
              <w:rPr>
                <w:b/>
                <w:sz w:val="20"/>
                <w:szCs w:val="20"/>
              </w:rPr>
              <w:t>Capacity Development Level(s)</w:t>
            </w:r>
          </w:p>
        </w:tc>
        <w:tc>
          <w:tcPr>
            <w:tcW w:w="820" w:type="pct"/>
            <w:shd w:val="clear" w:color="auto" w:fill="D9D9D9" w:themeFill="background1" w:themeFillShade="D9"/>
          </w:tcPr>
          <w:p w:rsidR="00CA7A38" w:rsidRPr="007604CB" w:rsidRDefault="00CA7A38" w:rsidP="00E70031">
            <w:pPr>
              <w:rPr>
                <w:b/>
              </w:rPr>
            </w:pPr>
            <w:r w:rsidRPr="007604CB">
              <w:rPr>
                <w:b/>
              </w:rPr>
              <w:t>Contribution to IOs</w:t>
            </w:r>
          </w:p>
        </w:tc>
        <w:tc>
          <w:tcPr>
            <w:tcW w:w="875" w:type="pct"/>
            <w:gridSpan w:val="3"/>
            <w:shd w:val="clear" w:color="auto" w:fill="D9D9D9" w:themeFill="background1" w:themeFillShade="D9"/>
          </w:tcPr>
          <w:p w:rsidR="00CA7A38" w:rsidRPr="007604CB" w:rsidRDefault="00CA7A38" w:rsidP="00E70031">
            <w:pPr>
              <w:rPr>
                <w:b/>
              </w:rPr>
            </w:pPr>
            <w:r w:rsidRPr="007604CB">
              <w:rPr>
                <w:b/>
              </w:rPr>
              <w:t>Contribute to EOPOs</w:t>
            </w:r>
          </w:p>
        </w:tc>
      </w:tr>
      <w:tr w:rsidR="00CA7A38" w:rsidRPr="007604CB" w:rsidTr="00E70031">
        <w:tc>
          <w:tcPr>
            <w:tcW w:w="1617" w:type="pct"/>
          </w:tcPr>
          <w:p w:rsidR="00CA7A38" w:rsidRPr="00916C38" w:rsidRDefault="00CA7A38" w:rsidP="00E70031">
            <w:pPr>
              <w:rPr>
                <w:sz w:val="20"/>
                <w:szCs w:val="20"/>
              </w:rPr>
            </w:pPr>
            <w:r>
              <w:rPr>
                <w:sz w:val="20"/>
                <w:szCs w:val="20"/>
              </w:rPr>
              <w:t>E</w:t>
            </w:r>
            <w:r w:rsidRPr="00916C38">
              <w:rPr>
                <w:sz w:val="20"/>
                <w:szCs w:val="20"/>
              </w:rPr>
              <w:t>xpert policing advice</w:t>
            </w:r>
            <w:r>
              <w:rPr>
                <w:sz w:val="20"/>
                <w:szCs w:val="20"/>
              </w:rPr>
              <w:t xml:space="preserve"> is provided</w:t>
            </w:r>
          </w:p>
        </w:tc>
        <w:tc>
          <w:tcPr>
            <w:tcW w:w="144" w:type="pct"/>
          </w:tcPr>
          <w:p w:rsidR="00CA7A38" w:rsidRPr="00916C38" w:rsidRDefault="00CA7A38" w:rsidP="00E70031">
            <w:pPr>
              <w:rPr>
                <w:sz w:val="20"/>
                <w:szCs w:val="20"/>
              </w:rPr>
            </w:pPr>
            <w:r w:rsidRPr="00916C38">
              <w:rPr>
                <w:sz w:val="20"/>
                <w:szCs w:val="20"/>
              </w:rPr>
              <w:t>1</w:t>
            </w:r>
          </w:p>
        </w:tc>
        <w:tc>
          <w:tcPr>
            <w:tcW w:w="144" w:type="pct"/>
          </w:tcPr>
          <w:p w:rsidR="00CA7A38" w:rsidRPr="00916C38" w:rsidRDefault="00CA7A38" w:rsidP="00E70031">
            <w:pPr>
              <w:rPr>
                <w:sz w:val="20"/>
                <w:szCs w:val="20"/>
              </w:rPr>
            </w:pPr>
            <w:r w:rsidRPr="00916C38">
              <w:rPr>
                <w:sz w:val="20"/>
                <w:szCs w:val="20"/>
              </w:rPr>
              <w:t>2</w:t>
            </w:r>
          </w:p>
        </w:tc>
        <w:tc>
          <w:tcPr>
            <w:tcW w:w="144" w:type="pct"/>
          </w:tcPr>
          <w:p w:rsidR="00CA7A38" w:rsidRPr="00916C38" w:rsidRDefault="00CA7A38" w:rsidP="00E70031">
            <w:pPr>
              <w:rPr>
                <w:sz w:val="20"/>
                <w:szCs w:val="20"/>
              </w:rPr>
            </w:pPr>
            <w:r w:rsidRPr="00916C38">
              <w:rPr>
                <w:sz w:val="20"/>
                <w:szCs w:val="20"/>
              </w:rPr>
              <w:t>3</w:t>
            </w:r>
          </w:p>
        </w:tc>
        <w:tc>
          <w:tcPr>
            <w:tcW w:w="251" w:type="pct"/>
            <w:shd w:val="clear" w:color="auto" w:fill="C00000"/>
          </w:tcPr>
          <w:p w:rsidR="00CA7A38" w:rsidRPr="00916C38" w:rsidRDefault="00CA7A38" w:rsidP="00E70031">
            <w:pPr>
              <w:rPr>
                <w:sz w:val="20"/>
                <w:szCs w:val="20"/>
              </w:rPr>
            </w:pPr>
          </w:p>
        </w:tc>
        <w:tc>
          <w:tcPr>
            <w:tcW w:w="251" w:type="pct"/>
            <w:shd w:val="clear" w:color="auto" w:fill="FFC000"/>
          </w:tcPr>
          <w:p w:rsidR="00CA7A38" w:rsidRPr="00916C38" w:rsidRDefault="00CA7A38" w:rsidP="00E70031">
            <w:pPr>
              <w:rPr>
                <w:sz w:val="20"/>
                <w:szCs w:val="20"/>
              </w:rPr>
            </w:pPr>
          </w:p>
        </w:tc>
        <w:tc>
          <w:tcPr>
            <w:tcW w:w="251" w:type="pct"/>
            <w:tcBorders>
              <w:bottom w:val="nil"/>
            </w:tcBorders>
            <w:shd w:val="clear" w:color="auto" w:fill="BDD6EE" w:themeFill="accent1" w:themeFillTint="66"/>
          </w:tcPr>
          <w:p w:rsidR="00CA7A38" w:rsidRPr="00916C38" w:rsidRDefault="00CA7A38" w:rsidP="00E70031">
            <w:pPr>
              <w:rPr>
                <w:sz w:val="20"/>
                <w:szCs w:val="20"/>
              </w:rPr>
            </w:pPr>
          </w:p>
        </w:tc>
        <w:tc>
          <w:tcPr>
            <w:tcW w:w="251" w:type="pct"/>
            <w:shd w:val="clear" w:color="auto" w:fill="auto"/>
          </w:tcPr>
          <w:p w:rsidR="00CA7A38" w:rsidRPr="007604CB" w:rsidRDefault="00CA7A38" w:rsidP="00E70031"/>
        </w:tc>
        <w:tc>
          <w:tcPr>
            <w:tcW w:w="252" w:type="pct"/>
            <w:shd w:val="clear" w:color="auto" w:fill="auto"/>
          </w:tcPr>
          <w:p w:rsidR="00CA7A38" w:rsidRPr="007604CB" w:rsidRDefault="00CA7A38" w:rsidP="00E70031"/>
        </w:tc>
        <w:tc>
          <w:tcPr>
            <w:tcW w:w="820" w:type="pct"/>
          </w:tcPr>
          <w:p w:rsidR="00CA7A38" w:rsidRPr="007604CB" w:rsidRDefault="00CA7A38" w:rsidP="00E70031">
            <w:r>
              <w:t>All IOs</w:t>
            </w:r>
          </w:p>
        </w:tc>
        <w:tc>
          <w:tcPr>
            <w:tcW w:w="292" w:type="pct"/>
          </w:tcPr>
          <w:p w:rsidR="00CA7A38" w:rsidRPr="007604CB" w:rsidRDefault="00CA7A38" w:rsidP="00E70031">
            <w:r w:rsidRPr="007604CB">
              <w:t>1</w:t>
            </w:r>
          </w:p>
        </w:tc>
        <w:tc>
          <w:tcPr>
            <w:tcW w:w="292" w:type="pct"/>
          </w:tcPr>
          <w:p w:rsidR="00CA7A38" w:rsidRPr="007604CB" w:rsidRDefault="00CA7A38" w:rsidP="00E70031">
            <w:r w:rsidRPr="007604CB">
              <w:t>2</w:t>
            </w:r>
          </w:p>
        </w:tc>
        <w:tc>
          <w:tcPr>
            <w:tcW w:w="291" w:type="pct"/>
          </w:tcPr>
          <w:p w:rsidR="00CA7A38" w:rsidRPr="007604CB" w:rsidRDefault="00CA7A38" w:rsidP="00E70031">
            <w:r w:rsidRPr="007604CB">
              <w:t>3</w:t>
            </w:r>
          </w:p>
        </w:tc>
      </w:tr>
      <w:tr w:rsidR="00CA7A38" w:rsidRPr="007604CB" w:rsidTr="00E70031">
        <w:tc>
          <w:tcPr>
            <w:tcW w:w="1617" w:type="pct"/>
          </w:tcPr>
          <w:p w:rsidR="00CA7A38" w:rsidRPr="00916C38" w:rsidRDefault="00CA7A38" w:rsidP="00E70031">
            <w:pPr>
              <w:rPr>
                <w:sz w:val="20"/>
                <w:szCs w:val="20"/>
              </w:rPr>
            </w:pPr>
            <w:r>
              <w:rPr>
                <w:sz w:val="20"/>
                <w:szCs w:val="20"/>
              </w:rPr>
              <w:t>E</w:t>
            </w:r>
            <w:r w:rsidRPr="00916C38">
              <w:rPr>
                <w:sz w:val="20"/>
                <w:szCs w:val="20"/>
              </w:rPr>
              <w:t>xpert law and justice advice</w:t>
            </w:r>
            <w:r>
              <w:rPr>
                <w:sz w:val="20"/>
                <w:szCs w:val="20"/>
              </w:rPr>
              <w:t xml:space="preserve"> is provided</w:t>
            </w:r>
          </w:p>
        </w:tc>
        <w:tc>
          <w:tcPr>
            <w:tcW w:w="144" w:type="pct"/>
          </w:tcPr>
          <w:p w:rsidR="00CA7A38" w:rsidRPr="00916C38" w:rsidRDefault="00CA7A38" w:rsidP="00E70031">
            <w:pPr>
              <w:rPr>
                <w:sz w:val="20"/>
                <w:szCs w:val="20"/>
              </w:rPr>
            </w:pPr>
            <w:r w:rsidRPr="00916C38">
              <w:rPr>
                <w:sz w:val="20"/>
                <w:szCs w:val="20"/>
              </w:rPr>
              <w:t>1</w:t>
            </w:r>
          </w:p>
        </w:tc>
        <w:tc>
          <w:tcPr>
            <w:tcW w:w="144" w:type="pct"/>
          </w:tcPr>
          <w:p w:rsidR="00CA7A38" w:rsidRPr="00916C38" w:rsidRDefault="00CA7A38" w:rsidP="00E70031">
            <w:pPr>
              <w:rPr>
                <w:sz w:val="20"/>
                <w:szCs w:val="20"/>
              </w:rPr>
            </w:pPr>
            <w:r w:rsidRPr="00916C38">
              <w:rPr>
                <w:sz w:val="20"/>
                <w:szCs w:val="20"/>
              </w:rPr>
              <w:t>2</w:t>
            </w:r>
          </w:p>
        </w:tc>
        <w:tc>
          <w:tcPr>
            <w:tcW w:w="144" w:type="pct"/>
          </w:tcPr>
          <w:p w:rsidR="00CA7A38" w:rsidRPr="00916C38" w:rsidRDefault="00CA7A38" w:rsidP="00E70031">
            <w:pPr>
              <w:rPr>
                <w:sz w:val="20"/>
                <w:szCs w:val="20"/>
              </w:rPr>
            </w:pPr>
            <w:r w:rsidRPr="00916C38">
              <w:rPr>
                <w:sz w:val="20"/>
                <w:szCs w:val="20"/>
              </w:rPr>
              <w:t>3</w:t>
            </w:r>
          </w:p>
        </w:tc>
        <w:tc>
          <w:tcPr>
            <w:tcW w:w="251" w:type="pct"/>
            <w:shd w:val="clear" w:color="auto" w:fill="C00000"/>
          </w:tcPr>
          <w:p w:rsidR="00CA7A38" w:rsidRPr="00916C38" w:rsidRDefault="00CA7A38" w:rsidP="00E70031">
            <w:pPr>
              <w:rPr>
                <w:sz w:val="20"/>
                <w:szCs w:val="20"/>
              </w:rPr>
            </w:pPr>
          </w:p>
        </w:tc>
        <w:tc>
          <w:tcPr>
            <w:tcW w:w="251" w:type="pct"/>
            <w:shd w:val="clear" w:color="auto" w:fill="FFC000"/>
          </w:tcPr>
          <w:p w:rsidR="00CA7A38" w:rsidRPr="00916C38" w:rsidRDefault="00CA7A38" w:rsidP="00E70031">
            <w:pPr>
              <w:rPr>
                <w:sz w:val="20"/>
                <w:szCs w:val="20"/>
              </w:rPr>
            </w:pPr>
          </w:p>
        </w:tc>
        <w:tc>
          <w:tcPr>
            <w:tcW w:w="251" w:type="pct"/>
            <w:shd w:val="clear" w:color="auto" w:fill="BDD6EE" w:themeFill="accent1" w:themeFillTint="66"/>
          </w:tcPr>
          <w:p w:rsidR="00CA7A38" w:rsidRPr="00916C38" w:rsidRDefault="00CA7A38" w:rsidP="00E70031">
            <w:pPr>
              <w:rPr>
                <w:sz w:val="20"/>
                <w:szCs w:val="20"/>
              </w:rPr>
            </w:pPr>
          </w:p>
        </w:tc>
        <w:tc>
          <w:tcPr>
            <w:tcW w:w="251" w:type="pct"/>
            <w:shd w:val="clear" w:color="auto" w:fill="auto"/>
          </w:tcPr>
          <w:p w:rsidR="00CA7A38" w:rsidRPr="007604CB" w:rsidRDefault="00CA7A38" w:rsidP="00E70031"/>
        </w:tc>
        <w:tc>
          <w:tcPr>
            <w:tcW w:w="251" w:type="pct"/>
            <w:shd w:val="clear" w:color="auto" w:fill="auto"/>
          </w:tcPr>
          <w:p w:rsidR="00CA7A38" w:rsidRPr="007604CB" w:rsidRDefault="00CA7A38" w:rsidP="00E70031"/>
        </w:tc>
        <w:tc>
          <w:tcPr>
            <w:tcW w:w="820" w:type="pct"/>
          </w:tcPr>
          <w:p w:rsidR="00CA7A38" w:rsidRPr="007604CB" w:rsidRDefault="00CA7A38" w:rsidP="00E70031">
            <w:r>
              <w:t>All IOs</w:t>
            </w:r>
          </w:p>
        </w:tc>
        <w:tc>
          <w:tcPr>
            <w:tcW w:w="292" w:type="pct"/>
          </w:tcPr>
          <w:p w:rsidR="00CA7A38" w:rsidRPr="007604CB" w:rsidRDefault="00CA7A38" w:rsidP="00E70031">
            <w:r w:rsidRPr="007604CB">
              <w:t>1</w:t>
            </w:r>
          </w:p>
        </w:tc>
        <w:tc>
          <w:tcPr>
            <w:tcW w:w="292" w:type="pct"/>
          </w:tcPr>
          <w:p w:rsidR="00CA7A38" w:rsidRPr="007604CB" w:rsidRDefault="00CA7A38" w:rsidP="00E70031">
            <w:r w:rsidRPr="007604CB">
              <w:t>2</w:t>
            </w:r>
          </w:p>
        </w:tc>
        <w:tc>
          <w:tcPr>
            <w:tcW w:w="292" w:type="pct"/>
          </w:tcPr>
          <w:p w:rsidR="00CA7A38" w:rsidRPr="007604CB" w:rsidRDefault="00CA7A38" w:rsidP="00E70031">
            <w:r w:rsidRPr="007604CB">
              <w:t>3</w:t>
            </w:r>
          </w:p>
        </w:tc>
      </w:tr>
      <w:tr w:rsidR="00CA7A38" w:rsidRPr="007604CB" w:rsidTr="00E70031">
        <w:tc>
          <w:tcPr>
            <w:tcW w:w="1617" w:type="pct"/>
          </w:tcPr>
          <w:p w:rsidR="00CA7A38" w:rsidRPr="00916C38" w:rsidRDefault="00CA7A38" w:rsidP="00E70031">
            <w:pPr>
              <w:rPr>
                <w:sz w:val="20"/>
                <w:szCs w:val="20"/>
              </w:rPr>
            </w:pPr>
            <w:r>
              <w:rPr>
                <w:rFonts w:ascii="Calibri" w:hAnsi="Calibri"/>
                <w:sz w:val="20"/>
                <w:szCs w:val="20"/>
              </w:rPr>
              <w:t>Sector</w:t>
            </w:r>
            <w:r w:rsidRPr="00916C38">
              <w:rPr>
                <w:rFonts w:ascii="Calibri" w:hAnsi="Calibri"/>
                <w:sz w:val="20"/>
                <w:szCs w:val="20"/>
              </w:rPr>
              <w:t xml:space="preserve"> agencies and civil society organisations</w:t>
            </w:r>
            <w:r>
              <w:rPr>
                <w:rFonts w:ascii="Calibri" w:hAnsi="Calibri"/>
                <w:sz w:val="20"/>
                <w:szCs w:val="20"/>
              </w:rPr>
              <w:t xml:space="preserve"> are funded</w:t>
            </w:r>
            <w:r w:rsidRPr="00916C38">
              <w:rPr>
                <w:rFonts w:ascii="Calibri" w:hAnsi="Calibri"/>
                <w:sz w:val="20"/>
                <w:szCs w:val="20"/>
              </w:rPr>
              <w:t xml:space="preserve"> to deliver more services </w:t>
            </w:r>
          </w:p>
        </w:tc>
        <w:tc>
          <w:tcPr>
            <w:tcW w:w="144" w:type="pct"/>
          </w:tcPr>
          <w:p w:rsidR="00CA7A38" w:rsidRPr="00916C38" w:rsidRDefault="00CA7A38" w:rsidP="00E70031">
            <w:pPr>
              <w:rPr>
                <w:sz w:val="20"/>
                <w:szCs w:val="20"/>
              </w:rPr>
            </w:pPr>
          </w:p>
        </w:tc>
        <w:tc>
          <w:tcPr>
            <w:tcW w:w="144" w:type="pct"/>
          </w:tcPr>
          <w:p w:rsidR="00CA7A38" w:rsidRPr="00916C38" w:rsidRDefault="00CA7A38" w:rsidP="00E70031">
            <w:pPr>
              <w:rPr>
                <w:sz w:val="20"/>
                <w:szCs w:val="20"/>
              </w:rPr>
            </w:pPr>
            <w:r w:rsidRPr="00916C38">
              <w:rPr>
                <w:sz w:val="20"/>
                <w:szCs w:val="20"/>
              </w:rPr>
              <w:t>2</w:t>
            </w:r>
          </w:p>
        </w:tc>
        <w:tc>
          <w:tcPr>
            <w:tcW w:w="144" w:type="pct"/>
          </w:tcPr>
          <w:p w:rsidR="00CA7A38" w:rsidRPr="00916C38" w:rsidRDefault="00CA7A38" w:rsidP="00E70031">
            <w:pPr>
              <w:rPr>
                <w:sz w:val="20"/>
                <w:szCs w:val="20"/>
              </w:rPr>
            </w:pPr>
            <w:r w:rsidRPr="00916C38">
              <w:rPr>
                <w:sz w:val="20"/>
                <w:szCs w:val="20"/>
              </w:rPr>
              <w:t>3</w:t>
            </w: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shd w:val="clear" w:color="auto" w:fill="BDD6EE" w:themeFill="accent1" w:themeFillTint="66"/>
          </w:tcPr>
          <w:p w:rsidR="00CA7A38" w:rsidRPr="00916C38" w:rsidRDefault="00CA7A38" w:rsidP="00E70031">
            <w:pPr>
              <w:rPr>
                <w:sz w:val="20"/>
                <w:szCs w:val="20"/>
              </w:rPr>
            </w:pPr>
          </w:p>
        </w:tc>
        <w:tc>
          <w:tcPr>
            <w:tcW w:w="251" w:type="pct"/>
          </w:tcPr>
          <w:p w:rsidR="00CA7A38" w:rsidRPr="007604CB" w:rsidRDefault="00CA7A38" w:rsidP="00E70031"/>
        </w:tc>
        <w:tc>
          <w:tcPr>
            <w:tcW w:w="251" w:type="pct"/>
            <w:shd w:val="clear" w:color="auto" w:fill="auto"/>
          </w:tcPr>
          <w:p w:rsidR="00CA7A38" w:rsidRPr="007604CB" w:rsidRDefault="00CA7A38" w:rsidP="00E70031"/>
        </w:tc>
        <w:tc>
          <w:tcPr>
            <w:tcW w:w="820" w:type="pct"/>
          </w:tcPr>
          <w:p w:rsidR="00CA7A38" w:rsidRPr="007604CB" w:rsidRDefault="00CA7A38" w:rsidP="00E70031">
            <w:r>
              <w:t>IOs 9, 13, 14 &amp; 15</w:t>
            </w:r>
          </w:p>
        </w:tc>
        <w:tc>
          <w:tcPr>
            <w:tcW w:w="292" w:type="pct"/>
          </w:tcPr>
          <w:p w:rsidR="00CA7A38" w:rsidRPr="007604CB" w:rsidRDefault="00CA7A38" w:rsidP="00E70031"/>
        </w:tc>
        <w:tc>
          <w:tcPr>
            <w:tcW w:w="292" w:type="pct"/>
          </w:tcPr>
          <w:p w:rsidR="00CA7A38" w:rsidRPr="007604CB" w:rsidRDefault="00CA7A38" w:rsidP="00E70031">
            <w:r>
              <w:t>2</w:t>
            </w:r>
          </w:p>
        </w:tc>
        <w:tc>
          <w:tcPr>
            <w:tcW w:w="292" w:type="pct"/>
          </w:tcPr>
          <w:p w:rsidR="00CA7A38" w:rsidRPr="007604CB" w:rsidRDefault="00CA7A38" w:rsidP="00E70031">
            <w:r>
              <w:t>3</w:t>
            </w:r>
          </w:p>
        </w:tc>
      </w:tr>
      <w:tr w:rsidR="00CA7A38" w:rsidRPr="007604CB" w:rsidTr="00E70031">
        <w:tc>
          <w:tcPr>
            <w:tcW w:w="1617" w:type="pct"/>
          </w:tcPr>
          <w:p w:rsidR="00CA7A38" w:rsidRPr="00916C38" w:rsidRDefault="00CA7A38" w:rsidP="00E70031">
            <w:pPr>
              <w:autoSpaceDE w:val="0"/>
              <w:autoSpaceDN w:val="0"/>
              <w:rPr>
                <w:rFonts w:ascii="Calibri" w:hAnsi="Calibri"/>
                <w:sz w:val="20"/>
                <w:szCs w:val="20"/>
              </w:rPr>
            </w:pPr>
            <w:r w:rsidRPr="00916C38">
              <w:rPr>
                <w:rFonts w:ascii="Calibri" w:hAnsi="Calibri"/>
                <w:sz w:val="20"/>
                <w:szCs w:val="20"/>
              </w:rPr>
              <w:t>VPF</w:t>
            </w:r>
            <w:r>
              <w:rPr>
                <w:rFonts w:ascii="Calibri" w:hAnsi="Calibri"/>
                <w:sz w:val="20"/>
                <w:szCs w:val="20"/>
              </w:rPr>
              <w:t xml:space="preserve"> is supported</w:t>
            </w:r>
            <w:r w:rsidRPr="00916C38">
              <w:rPr>
                <w:rFonts w:ascii="Calibri" w:hAnsi="Calibri"/>
                <w:sz w:val="20"/>
                <w:szCs w:val="20"/>
              </w:rPr>
              <w:t xml:space="preserve"> to deliver more crime prevention activities, conduct more police patrols, and respond to more incidents</w:t>
            </w:r>
          </w:p>
        </w:tc>
        <w:tc>
          <w:tcPr>
            <w:tcW w:w="144" w:type="pct"/>
          </w:tcPr>
          <w:p w:rsidR="00CA7A38" w:rsidRPr="00916C38" w:rsidRDefault="00CA7A38" w:rsidP="00E70031">
            <w:pPr>
              <w:rPr>
                <w:sz w:val="20"/>
                <w:szCs w:val="20"/>
              </w:rPr>
            </w:pPr>
            <w:r w:rsidRPr="00916C38">
              <w:rPr>
                <w:sz w:val="20"/>
                <w:szCs w:val="20"/>
              </w:rPr>
              <w:t>1</w:t>
            </w:r>
          </w:p>
        </w:tc>
        <w:tc>
          <w:tcPr>
            <w:tcW w:w="144" w:type="pct"/>
          </w:tcPr>
          <w:p w:rsidR="00CA7A38" w:rsidRPr="00916C38" w:rsidRDefault="00CA7A38" w:rsidP="00E70031">
            <w:pPr>
              <w:rPr>
                <w:sz w:val="20"/>
                <w:szCs w:val="20"/>
              </w:rPr>
            </w:pPr>
            <w:r w:rsidRPr="00916C38">
              <w:rPr>
                <w:sz w:val="20"/>
                <w:szCs w:val="20"/>
              </w:rPr>
              <w:t>2</w:t>
            </w:r>
          </w:p>
        </w:tc>
        <w:tc>
          <w:tcPr>
            <w:tcW w:w="144" w:type="pct"/>
          </w:tcPr>
          <w:p w:rsidR="00CA7A38" w:rsidRPr="00916C38" w:rsidRDefault="00CA7A38" w:rsidP="00E70031">
            <w:pPr>
              <w:rPr>
                <w:sz w:val="20"/>
                <w:szCs w:val="20"/>
              </w:rPr>
            </w:pPr>
            <w:r w:rsidRPr="00916C38">
              <w:rPr>
                <w:sz w:val="20"/>
                <w:szCs w:val="20"/>
              </w:rPr>
              <w:t>3</w:t>
            </w: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shd w:val="clear" w:color="auto" w:fill="BDD6EE" w:themeFill="accent1" w:themeFillTint="66"/>
          </w:tcPr>
          <w:p w:rsidR="00CA7A38" w:rsidRPr="00916C38" w:rsidRDefault="00CA7A38" w:rsidP="00E70031">
            <w:pPr>
              <w:rPr>
                <w:sz w:val="20"/>
                <w:szCs w:val="20"/>
              </w:rPr>
            </w:pPr>
          </w:p>
        </w:tc>
        <w:tc>
          <w:tcPr>
            <w:tcW w:w="251" w:type="pct"/>
          </w:tcPr>
          <w:p w:rsidR="00CA7A38" w:rsidRPr="007604CB" w:rsidRDefault="00CA7A38" w:rsidP="00E70031"/>
        </w:tc>
        <w:tc>
          <w:tcPr>
            <w:tcW w:w="252" w:type="pct"/>
            <w:shd w:val="clear" w:color="auto" w:fill="auto"/>
          </w:tcPr>
          <w:p w:rsidR="00CA7A38" w:rsidRPr="007604CB" w:rsidRDefault="00CA7A38" w:rsidP="00E70031"/>
        </w:tc>
        <w:tc>
          <w:tcPr>
            <w:tcW w:w="820" w:type="pct"/>
          </w:tcPr>
          <w:p w:rsidR="00CA7A38" w:rsidRPr="007604CB" w:rsidRDefault="00CA7A38" w:rsidP="00E70031">
            <w:r>
              <w:t>IOs 8, 9, 13, 14 &amp; 15</w:t>
            </w:r>
          </w:p>
        </w:tc>
        <w:tc>
          <w:tcPr>
            <w:tcW w:w="292" w:type="pct"/>
          </w:tcPr>
          <w:p w:rsidR="00CA7A38" w:rsidRPr="007604CB" w:rsidRDefault="00CA7A38" w:rsidP="00E70031"/>
        </w:tc>
        <w:tc>
          <w:tcPr>
            <w:tcW w:w="292" w:type="pct"/>
          </w:tcPr>
          <w:p w:rsidR="00CA7A38" w:rsidRPr="007604CB" w:rsidRDefault="00CA7A38" w:rsidP="00E70031">
            <w:r>
              <w:t>2</w:t>
            </w:r>
          </w:p>
        </w:tc>
        <w:tc>
          <w:tcPr>
            <w:tcW w:w="291" w:type="pct"/>
          </w:tcPr>
          <w:p w:rsidR="00CA7A38" w:rsidRPr="007604CB" w:rsidRDefault="00CA7A38" w:rsidP="00E70031"/>
        </w:tc>
      </w:tr>
      <w:tr w:rsidR="00CA7A38" w:rsidRPr="007604CB" w:rsidTr="00E70031">
        <w:tc>
          <w:tcPr>
            <w:tcW w:w="1617" w:type="pct"/>
          </w:tcPr>
          <w:p w:rsidR="00CA7A38" w:rsidRPr="00916C38" w:rsidRDefault="00CA7A38" w:rsidP="00E70031">
            <w:pPr>
              <w:rPr>
                <w:sz w:val="20"/>
                <w:szCs w:val="20"/>
              </w:rPr>
            </w:pPr>
            <w:r>
              <w:rPr>
                <w:sz w:val="20"/>
                <w:szCs w:val="20"/>
              </w:rPr>
              <w:t>VPF</w:t>
            </w:r>
            <w:r w:rsidRPr="00916C38">
              <w:rPr>
                <w:sz w:val="20"/>
                <w:szCs w:val="20"/>
              </w:rPr>
              <w:t xml:space="preserve"> rotations and visits</w:t>
            </w:r>
            <w:r>
              <w:rPr>
                <w:sz w:val="20"/>
                <w:szCs w:val="20"/>
              </w:rPr>
              <w:t xml:space="preserve"> are supported</w:t>
            </w:r>
          </w:p>
        </w:tc>
        <w:tc>
          <w:tcPr>
            <w:tcW w:w="144" w:type="pct"/>
          </w:tcPr>
          <w:p w:rsidR="00CA7A38" w:rsidRPr="00916C38" w:rsidRDefault="00CA7A38" w:rsidP="00E70031">
            <w:pPr>
              <w:rPr>
                <w:sz w:val="20"/>
                <w:szCs w:val="20"/>
              </w:rPr>
            </w:pPr>
            <w:r w:rsidRPr="00916C38">
              <w:rPr>
                <w:sz w:val="20"/>
                <w:szCs w:val="20"/>
              </w:rPr>
              <w:t>1</w:t>
            </w:r>
          </w:p>
        </w:tc>
        <w:tc>
          <w:tcPr>
            <w:tcW w:w="144" w:type="pct"/>
          </w:tcPr>
          <w:p w:rsidR="00CA7A38" w:rsidRPr="00916C38" w:rsidRDefault="00CA7A38" w:rsidP="00E70031">
            <w:pPr>
              <w:rPr>
                <w:sz w:val="20"/>
                <w:szCs w:val="20"/>
              </w:rPr>
            </w:pPr>
            <w:r w:rsidRPr="00916C38">
              <w:rPr>
                <w:sz w:val="20"/>
                <w:szCs w:val="20"/>
              </w:rPr>
              <w:t>2</w:t>
            </w:r>
          </w:p>
        </w:tc>
        <w:tc>
          <w:tcPr>
            <w:tcW w:w="144"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shd w:val="clear" w:color="auto" w:fill="BDD6EE" w:themeFill="accent1" w:themeFillTint="66"/>
          </w:tcPr>
          <w:p w:rsidR="00CA7A38" w:rsidRPr="00916C38" w:rsidRDefault="00CA7A38" w:rsidP="00E70031">
            <w:pPr>
              <w:rPr>
                <w:sz w:val="20"/>
                <w:szCs w:val="20"/>
              </w:rPr>
            </w:pPr>
          </w:p>
        </w:tc>
        <w:tc>
          <w:tcPr>
            <w:tcW w:w="251" w:type="pct"/>
          </w:tcPr>
          <w:p w:rsidR="00CA7A38" w:rsidRPr="007604CB" w:rsidRDefault="00CA7A38" w:rsidP="00E70031"/>
        </w:tc>
        <w:tc>
          <w:tcPr>
            <w:tcW w:w="252" w:type="pct"/>
            <w:shd w:val="clear" w:color="auto" w:fill="auto"/>
          </w:tcPr>
          <w:p w:rsidR="00CA7A38" w:rsidRPr="007604CB" w:rsidRDefault="00CA7A38" w:rsidP="00E70031"/>
        </w:tc>
        <w:tc>
          <w:tcPr>
            <w:tcW w:w="820" w:type="pct"/>
          </w:tcPr>
          <w:p w:rsidR="00CA7A38" w:rsidRPr="007604CB" w:rsidRDefault="00CA7A38" w:rsidP="00E70031">
            <w:r>
              <w:t>IOs 8 &amp; 9</w:t>
            </w:r>
          </w:p>
        </w:tc>
        <w:tc>
          <w:tcPr>
            <w:tcW w:w="292" w:type="pct"/>
          </w:tcPr>
          <w:p w:rsidR="00CA7A38" w:rsidRPr="007604CB" w:rsidRDefault="00CA7A38" w:rsidP="00E70031"/>
        </w:tc>
        <w:tc>
          <w:tcPr>
            <w:tcW w:w="292" w:type="pct"/>
          </w:tcPr>
          <w:p w:rsidR="00CA7A38" w:rsidRPr="007604CB" w:rsidRDefault="00CA7A38" w:rsidP="00E70031">
            <w:r>
              <w:t>2</w:t>
            </w:r>
          </w:p>
        </w:tc>
        <w:tc>
          <w:tcPr>
            <w:tcW w:w="291" w:type="pct"/>
          </w:tcPr>
          <w:p w:rsidR="00CA7A38" w:rsidRPr="007604CB" w:rsidRDefault="00CA7A38" w:rsidP="00E70031"/>
        </w:tc>
      </w:tr>
      <w:tr w:rsidR="00CA7A38" w:rsidRPr="007604CB" w:rsidTr="00E70031">
        <w:tc>
          <w:tcPr>
            <w:tcW w:w="1617" w:type="pct"/>
          </w:tcPr>
          <w:p w:rsidR="00CA7A38" w:rsidRPr="00916C38" w:rsidRDefault="00CA7A38" w:rsidP="00E70031">
            <w:pPr>
              <w:rPr>
                <w:sz w:val="20"/>
                <w:szCs w:val="20"/>
              </w:rPr>
            </w:pPr>
            <w:r w:rsidRPr="00916C38">
              <w:rPr>
                <w:rFonts w:ascii="Calibri" w:hAnsi="Calibri"/>
                <w:sz w:val="20"/>
                <w:szCs w:val="20"/>
              </w:rPr>
              <w:t>VPF infrastructure &amp; maintenance</w:t>
            </w:r>
            <w:r>
              <w:rPr>
                <w:rFonts w:ascii="Calibri" w:hAnsi="Calibri"/>
                <w:sz w:val="20"/>
                <w:szCs w:val="20"/>
              </w:rPr>
              <w:t xml:space="preserve"> is supported</w:t>
            </w:r>
          </w:p>
        </w:tc>
        <w:tc>
          <w:tcPr>
            <w:tcW w:w="144" w:type="pct"/>
          </w:tcPr>
          <w:p w:rsidR="00CA7A38" w:rsidRPr="00916C38" w:rsidRDefault="00CA7A38" w:rsidP="00E70031">
            <w:pPr>
              <w:rPr>
                <w:sz w:val="20"/>
                <w:szCs w:val="20"/>
              </w:rPr>
            </w:pPr>
            <w:r w:rsidRPr="00916C38">
              <w:rPr>
                <w:sz w:val="20"/>
                <w:szCs w:val="20"/>
              </w:rPr>
              <w:t>1</w:t>
            </w:r>
          </w:p>
        </w:tc>
        <w:tc>
          <w:tcPr>
            <w:tcW w:w="144" w:type="pct"/>
          </w:tcPr>
          <w:p w:rsidR="00CA7A38" w:rsidRPr="00916C38" w:rsidRDefault="00CA7A38" w:rsidP="00E70031">
            <w:pPr>
              <w:rPr>
                <w:sz w:val="20"/>
                <w:szCs w:val="20"/>
              </w:rPr>
            </w:pPr>
            <w:r w:rsidRPr="00916C38">
              <w:rPr>
                <w:sz w:val="20"/>
                <w:szCs w:val="20"/>
              </w:rPr>
              <w:t>2</w:t>
            </w:r>
          </w:p>
        </w:tc>
        <w:tc>
          <w:tcPr>
            <w:tcW w:w="144" w:type="pct"/>
          </w:tcPr>
          <w:p w:rsidR="00CA7A38" w:rsidRPr="00916C38" w:rsidRDefault="00CA7A38" w:rsidP="00E70031">
            <w:pPr>
              <w:rPr>
                <w:sz w:val="20"/>
                <w:szCs w:val="20"/>
              </w:rPr>
            </w:pPr>
            <w:r w:rsidRPr="00916C38">
              <w:rPr>
                <w:sz w:val="20"/>
                <w:szCs w:val="20"/>
              </w:rPr>
              <w:t>3</w:t>
            </w: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shd w:val="clear" w:color="auto" w:fill="BDD6EE" w:themeFill="accent1" w:themeFillTint="66"/>
          </w:tcPr>
          <w:p w:rsidR="00CA7A38" w:rsidRPr="00916C38" w:rsidRDefault="00CA7A38" w:rsidP="00E70031">
            <w:pPr>
              <w:rPr>
                <w:sz w:val="20"/>
                <w:szCs w:val="20"/>
              </w:rPr>
            </w:pPr>
          </w:p>
        </w:tc>
        <w:tc>
          <w:tcPr>
            <w:tcW w:w="251" w:type="pct"/>
          </w:tcPr>
          <w:p w:rsidR="00CA7A38" w:rsidRPr="007604CB" w:rsidRDefault="00CA7A38" w:rsidP="00E70031"/>
        </w:tc>
        <w:tc>
          <w:tcPr>
            <w:tcW w:w="252" w:type="pct"/>
            <w:shd w:val="clear" w:color="auto" w:fill="auto"/>
          </w:tcPr>
          <w:p w:rsidR="00CA7A38" w:rsidRPr="007604CB" w:rsidRDefault="00CA7A38" w:rsidP="00E70031"/>
        </w:tc>
        <w:tc>
          <w:tcPr>
            <w:tcW w:w="820" w:type="pct"/>
          </w:tcPr>
          <w:p w:rsidR="00CA7A38" w:rsidRPr="007604CB" w:rsidRDefault="00CA7A38" w:rsidP="00E70031">
            <w:r>
              <w:t>IOs 8, 9, 13</w:t>
            </w:r>
          </w:p>
        </w:tc>
        <w:tc>
          <w:tcPr>
            <w:tcW w:w="292" w:type="pct"/>
          </w:tcPr>
          <w:p w:rsidR="00CA7A38" w:rsidRPr="007604CB" w:rsidRDefault="00CA7A38" w:rsidP="00E70031">
            <w:r>
              <w:t>1</w:t>
            </w:r>
          </w:p>
        </w:tc>
        <w:tc>
          <w:tcPr>
            <w:tcW w:w="292" w:type="pct"/>
          </w:tcPr>
          <w:p w:rsidR="00CA7A38" w:rsidRPr="007604CB" w:rsidRDefault="00CA7A38" w:rsidP="00E70031">
            <w:r>
              <w:t>2</w:t>
            </w:r>
          </w:p>
        </w:tc>
        <w:tc>
          <w:tcPr>
            <w:tcW w:w="291" w:type="pct"/>
          </w:tcPr>
          <w:p w:rsidR="00CA7A38" w:rsidRPr="007604CB" w:rsidRDefault="00CA7A38" w:rsidP="00E70031"/>
        </w:tc>
      </w:tr>
      <w:tr w:rsidR="00CA7A38" w:rsidRPr="007604CB" w:rsidTr="00E70031">
        <w:tc>
          <w:tcPr>
            <w:tcW w:w="1617" w:type="pct"/>
          </w:tcPr>
          <w:p w:rsidR="00CA7A38" w:rsidRPr="00916C38" w:rsidRDefault="00CA7A38" w:rsidP="00E70031">
            <w:pPr>
              <w:rPr>
                <w:sz w:val="20"/>
                <w:szCs w:val="20"/>
              </w:rPr>
            </w:pPr>
            <w:r>
              <w:rPr>
                <w:sz w:val="20"/>
                <w:szCs w:val="20"/>
              </w:rPr>
              <w:t>L</w:t>
            </w:r>
            <w:r w:rsidRPr="00916C38">
              <w:rPr>
                <w:sz w:val="20"/>
                <w:szCs w:val="20"/>
              </w:rPr>
              <w:t>egal awareness/outreach activities</w:t>
            </w:r>
            <w:r>
              <w:rPr>
                <w:sz w:val="20"/>
                <w:szCs w:val="20"/>
              </w:rPr>
              <w:t xml:space="preserve"> are supported</w:t>
            </w:r>
          </w:p>
        </w:tc>
        <w:tc>
          <w:tcPr>
            <w:tcW w:w="144" w:type="pct"/>
          </w:tcPr>
          <w:p w:rsidR="00CA7A38" w:rsidRPr="00916C38" w:rsidRDefault="00CA7A38" w:rsidP="00E70031">
            <w:pPr>
              <w:rPr>
                <w:sz w:val="20"/>
                <w:szCs w:val="20"/>
              </w:rPr>
            </w:pPr>
          </w:p>
        </w:tc>
        <w:tc>
          <w:tcPr>
            <w:tcW w:w="144" w:type="pct"/>
          </w:tcPr>
          <w:p w:rsidR="00CA7A38" w:rsidRPr="00916C38" w:rsidRDefault="00CA7A38" w:rsidP="00E70031">
            <w:pPr>
              <w:rPr>
                <w:sz w:val="20"/>
                <w:szCs w:val="20"/>
              </w:rPr>
            </w:pPr>
            <w:r w:rsidRPr="00916C38">
              <w:rPr>
                <w:sz w:val="20"/>
                <w:szCs w:val="20"/>
              </w:rPr>
              <w:t>2</w:t>
            </w:r>
          </w:p>
        </w:tc>
        <w:tc>
          <w:tcPr>
            <w:tcW w:w="144" w:type="pct"/>
          </w:tcPr>
          <w:p w:rsidR="00CA7A38" w:rsidRPr="00916C38" w:rsidRDefault="00CA7A38" w:rsidP="00E70031">
            <w:pPr>
              <w:rPr>
                <w:sz w:val="20"/>
                <w:szCs w:val="20"/>
              </w:rPr>
            </w:pPr>
            <w:r w:rsidRPr="00916C38">
              <w:rPr>
                <w:sz w:val="20"/>
                <w:szCs w:val="20"/>
              </w:rPr>
              <w:t>3</w:t>
            </w: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shd w:val="clear" w:color="auto" w:fill="7030A0"/>
          </w:tcPr>
          <w:p w:rsidR="00CA7A38" w:rsidRPr="007604CB" w:rsidRDefault="00CA7A38" w:rsidP="00E70031"/>
        </w:tc>
        <w:tc>
          <w:tcPr>
            <w:tcW w:w="252" w:type="pct"/>
            <w:shd w:val="clear" w:color="auto" w:fill="auto"/>
          </w:tcPr>
          <w:p w:rsidR="00CA7A38" w:rsidRPr="007604CB" w:rsidRDefault="00CA7A38" w:rsidP="00E70031"/>
        </w:tc>
        <w:tc>
          <w:tcPr>
            <w:tcW w:w="820" w:type="pct"/>
          </w:tcPr>
          <w:p w:rsidR="00CA7A38" w:rsidRPr="007604CB" w:rsidRDefault="00CA7A38" w:rsidP="00E70031">
            <w:r>
              <w:t>IOs 10,11,12, 13</w:t>
            </w:r>
          </w:p>
        </w:tc>
        <w:tc>
          <w:tcPr>
            <w:tcW w:w="292" w:type="pct"/>
          </w:tcPr>
          <w:p w:rsidR="00CA7A38" w:rsidRPr="007604CB" w:rsidRDefault="00CA7A38" w:rsidP="00E70031"/>
        </w:tc>
        <w:tc>
          <w:tcPr>
            <w:tcW w:w="292" w:type="pct"/>
          </w:tcPr>
          <w:p w:rsidR="00CA7A38" w:rsidRPr="007604CB" w:rsidRDefault="00CA7A38" w:rsidP="00E70031">
            <w:r>
              <w:t>2</w:t>
            </w:r>
          </w:p>
        </w:tc>
        <w:tc>
          <w:tcPr>
            <w:tcW w:w="291" w:type="pct"/>
          </w:tcPr>
          <w:p w:rsidR="00CA7A38" w:rsidRPr="007604CB" w:rsidRDefault="00CA7A38" w:rsidP="00E70031"/>
        </w:tc>
      </w:tr>
      <w:tr w:rsidR="00CA7A38" w:rsidRPr="007604CB" w:rsidTr="00E70031">
        <w:tc>
          <w:tcPr>
            <w:tcW w:w="1617" w:type="pct"/>
          </w:tcPr>
          <w:p w:rsidR="00CA7A38" w:rsidRPr="00916C38" w:rsidRDefault="00CA7A38" w:rsidP="00E70031">
            <w:pPr>
              <w:rPr>
                <w:sz w:val="20"/>
                <w:szCs w:val="20"/>
              </w:rPr>
            </w:pPr>
            <w:r w:rsidRPr="00916C38">
              <w:rPr>
                <w:sz w:val="20"/>
                <w:szCs w:val="20"/>
              </w:rPr>
              <w:t>Circuit Courts</w:t>
            </w:r>
            <w:r>
              <w:rPr>
                <w:sz w:val="20"/>
                <w:szCs w:val="20"/>
              </w:rPr>
              <w:t xml:space="preserve"> are supported</w:t>
            </w:r>
          </w:p>
        </w:tc>
        <w:tc>
          <w:tcPr>
            <w:tcW w:w="144" w:type="pct"/>
          </w:tcPr>
          <w:p w:rsidR="00CA7A38" w:rsidRPr="00916C38" w:rsidRDefault="00CA7A38" w:rsidP="00E70031">
            <w:pPr>
              <w:rPr>
                <w:sz w:val="20"/>
                <w:szCs w:val="20"/>
              </w:rPr>
            </w:pPr>
          </w:p>
        </w:tc>
        <w:tc>
          <w:tcPr>
            <w:tcW w:w="144" w:type="pct"/>
          </w:tcPr>
          <w:p w:rsidR="00CA7A38" w:rsidRPr="00916C38" w:rsidRDefault="00CA7A38" w:rsidP="00E70031">
            <w:pPr>
              <w:rPr>
                <w:sz w:val="20"/>
                <w:szCs w:val="20"/>
              </w:rPr>
            </w:pPr>
          </w:p>
        </w:tc>
        <w:tc>
          <w:tcPr>
            <w:tcW w:w="144"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shd w:val="clear" w:color="auto" w:fill="BDD6EE" w:themeFill="accent1" w:themeFillTint="66"/>
          </w:tcPr>
          <w:p w:rsidR="00CA7A38" w:rsidRPr="00916C38" w:rsidRDefault="00CA7A38" w:rsidP="00E70031">
            <w:pPr>
              <w:rPr>
                <w:sz w:val="20"/>
                <w:szCs w:val="20"/>
              </w:rPr>
            </w:pPr>
          </w:p>
        </w:tc>
        <w:tc>
          <w:tcPr>
            <w:tcW w:w="251" w:type="pct"/>
            <w:shd w:val="clear" w:color="auto" w:fill="7030A0"/>
          </w:tcPr>
          <w:p w:rsidR="00CA7A38" w:rsidRPr="007604CB" w:rsidRDefault="00CA7A38" w:rsidP="00E70031"/>
        </w:tc>
        <w:tc>
          <w:tcPr>
            <w:tcW w:w="252" w:type="pct"/>
            <w:shd w:val="clear" w:color="auto" w:fill="auto"/>
          </w:tcPr>
          <w:p w:rsidR="00CA7A38" w:rsidRPr="007604CB" w:rsidRDefault="00CA7A38" w:rsidP="00E70031"/>
        </w:tc>
        <w:tc>
          <w:tcPr>
            <w:tcW w:w="820" w:type="pct"/>
          </w:tcPr>
          <w:p w:rsidR="00CA7A38" w:rsidRPr="007604CB" w:rsidRDefault="00CA7A38" w:rsidP="00E70031">
            <w:r>
              <w:t>IOs 9 &amp; 13</w:t>
            </w:r>
          </w:p>
        </w:tc>
        <w:tc>
          <w:tcPr>
            <w:tcW w:w="292" w:type="pct"/>
          </w:tcPr>
          <w:p w:rsidR="00CA7A38" w:rsidRPr="007604CB" w:rsidRDefault="00CA7A38" w:rsidP="00E70031"/>
        </w:tc>
        <w:tc>
          <w:tcPr>
            <w:tcW w:w="292" w:type="pct"/>
          </w:tcPr>
          <w:p w:rsidR="00CA7A38" w:rsidRPr="007604CB" w:rsidRDefault="00CA7A38" w:rsidP="00E70031">
            <w:r>
              <w:t>2</w:t>
            </w:r>
          </w:p>
        </w:tc>
        <w:tc>
          <w:tcPr>
            <w:tcW w:w="291" w:type="pct"/>
          </w:tcPr>
          <w:p w:rsidR="00CA7A38" w:rsidRPr="007604CB" w:rsidRDefault="00CA7A38" w:rsidP="00E70031"/>
        </w:tc>
      </w:tr>
      <w:tr w:rsidR="00CA7A38" w:rsidRPr="007604CB" w:rsidTr="00E70031">
        <w:tc>
          <w:tcPr>
            <w:tcW w:w="1617" w:type="pct"/>
          </w:tcPr>
          <w:p w:rsidR="00CA7A38" w:rsidRPr="00916C38" w:rsidRDefault="00CA7A38" w:rsidP="00E70031">
            <w:pPr>
              <w:rPr>
                <w:rFonts w:ascii="Calibri" w:hAnsi="Calibri"/>
                <w:sz w:val="20"/>
                <w:szCs w:val="20"/>
              </w:rPr>
            </w:pPr>
            <w:r>
              <w:rPr>
                <w:rFonts w:ascii="Calibri" w:hAnsi="Calibri"/>
                <w:sz w:val="20"/>
                <w:szCs w:val="20"/>
              </w:rPr>
              <w:t>S</w:t>
            </w:r>
            <w:r w:rsidRPr="00916C38">
              <w:rPr>
                <w:rFonts w:ascii="Calibri" w:hAnsi="Calibri"/>
                <w:sz w:val="20"/>
                <w:szCs w:val="20"/>
              </w:rPr>
              <w:t xml:space="preserve">ector agencies </w:t>
            </w:r>
            <w:r>
              <w:rPr>
                <w:rFonts w:ascii="Calibri" w:hAnsi="Calibri"/>
                <w:sz w:val="20"/>
                <w:szCs w:val="20"/>
              </w:rPr>
              <w:t xml:space="preserve">are encouraged to use </w:t>
            </w:r>
            <w:r w:rsidRPr="00916C38">
              <w:rPr>
                <w:rFonts w:ascii="Calibri" w:hAnsi="Calibri"/>
                <w:sz w:val="20"/>
                <w:szCs w:val="20"/>
              </w:rPr>
              <w:t xml:space="preserve">evidence from research in </w:t>
            </w:r>
            <w:proofErr w:type="spellStart"/>
            <w:r w:rsidRPr="00916C38">
              <w:rPr>
                <w:rFonts w:ascii="Calibri" w:hAnsi="Calibri"/>
                <w:sz w:val="20"/>
                <w:szCs w:val="20"/>
              </w:rPr>
              <w:t>Malekula</w:t>
            </w:r>
            <w:proofErr w:type="spellEnd"/>
            <w:r w:rsidRPr="00916C38">
              <w:rPr>
                <w:rFonts w:ascii="Calibri" w:hAnsi="Calibri"/>
                <w:sz w:val="20"/>
                <w:szCs w:val="20"/>
              </w:rPr>
              <w:t xml:space="preserve"> and </w:t>
            </w:r>
            <w:proofErr w:type="spellStart"/>
            <w:r w:rsidRPr="00916C38">
              <w:rPr>
                <w:rFonts w:ascii="Calibri" w:hAnsi="Calibri"/>
                <w:sz w:val="20"/>
                <w:szCs w:val="20"/>
              </w:rPr>
              <w:t>Blacksands</w:t>
            </w:r>
            <w:proofErr w:type="spellEnd"/>
            <w:r w:rsidRPr="00916C38">
              <w:rPr>
                <w:rFonts w:ascii="Calibri" w:hAnsi="Calibri"/>
                <w:sz w:val="20"/>
                <w:szCs w:val="20"/>
              </w:rPr>
              <w:t xml:space="preserve"> for planning tailored initiatives </w:t>
            </w:r>
          </w:p>
        </w:tc>
        <w:tc>
          <w:tcPr>
            <w:tcW w:w="144" w:type="pct"/>
          </w:tcPr>
          <w:p w:rsidR="00CA7A38" w:rsidRPr="00916C38" w:rsidRDefault="00CA7A38" w:rsidP="00E70031">
            <w:pPr>
              <w:rPr>
                <w:sz w:val="20"/>
                <w:szCs w:val="20"/>
              </w:rPr>
            </w:pPr>
          </w:p>
        </w:tc>
        <w:tc>
          <w:tcPr>
            <w:tcW w:w="144" w:type="pct"/>
          </w:tcPr>
          <w:p w:rsidR="00CA7A38" w:rsidRPr="00916C38" w:rsidRDefault="00CA7A38" w:rsidP="00E70031">
            <w:pPr>
              <w:rPr>
                <w:sz w:val="20"/>
                <w:szCs w:val="20"/>
              </w:rPr>
            </w:pPr>
            <w:r w:rsidRPr="00916C38">
              <w:rPr>
                <w:sz w:val="20"/>
                <w:szCs w:val="20"/>
              </w:rPr>
              <w:t>2</w:t>
            </w:r>
          </w:p>
        </w:tc>
        <w:tc>
          <w:tcPr>
            <w:tcW w:w="144"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shd w:val="clear" w:color="auto" w:fill="BDD6EE" w:themeFill="accent1" w:themeFillTint="66"/>
          </w:tcPr>
          <w:p w:rsidR="00CA7A38" w:rsidRPr="00916C38" w:rsidRDefault="00CA7A38" w:rsidP="00E70031">
            <w:pPr>
              <w:rPr>
                <w:sz w:val="20"/>
                <w:szCs w:val="20"/>
              </w:rPr>
            </w:pPr>
          </w:p>
        </w:tc>
        <w:tc>
          <w:tcPr>
            <w:tcW w:w="251" w:type="pct"/>
            <w:shd w:val="clear" w:color="auto" w:fill="auto"/>
          </w:tcPr>
          <w:p w:rsidR="00CA7A38" w:rsidRPr="007604CB" w:rsidRDefault="00CA7A38" w:rsidP="00E70031"/>
        </w:tc>
        <w:tc>
          <w:tcPr>
            <w:tcW w:w="252" w:type="pct"/>
            <w:shd w:val="clear" w:color="auto" w:fill="auto"/>
          </w:tcPr>
          <w:p w:rsidR="00CA7A38" w:rsidRPr="007604CB" w:rsidRDefault="00CA7A38" w:rsidP="00E70031"/>
        </w:tc>
        <w:tc>
          <w:tcPr>
            <w:tcW w:w="820" w:type="pct"/>
          </w:tcPr>
          <w:p w:rsidR="00CA7A38" w:rsidRDefault="00CA7A38" w:rsidP="00E70031">
            <w:r>
              <w:t>IOs 9, 10, 11, 12 &amp; 13</w:t>
            </w:r>
          </w:p>
        </w:tc>
        <w:tc>
          <w:tcPr>
            <w:tcW w:w="292" w:type="pct"/>
          </w:tcPr>
          <w:p w:rsidR="00CA7A38" w:rsidRPr="007604CB" w:rsidRDefault="00CA7A38" w:rsidP="00E70031"/>
        </w:tc>
        <w:tc>
          <w:tcPr>
            <w:tcW w:w="292" w:type="pct"/>
          </w:tcPr>
          <w:p w:rsidR="00CA7A38" w:rsidRDefault="00CA7A38" w:rsidP="00E70031">
            <w:r>
              <w:t>2</w:t>
            </w:r>
          </w:p>
        </w:tc>
        <w:tc>
          <w:tcPr>
            <w:tcW w:w="291" w:type="pct"/>
          </w:tcPr>
          <w:p w:rsidR="00CA7A38" w:rsidRPr="007604CB" w:rsidRDefault="00CA7A38" w:rsidP="00E70031"/>
        </w:tc>
      </w:tr>
      <w:tr w:rsidR="00CA7A38" w:rsidRPr="007604CB" w:rsidTr="00E70031">
        <w:tc>
          <w:tcPr>
            <w:tcW w:w="1617" w:type="pct"/>
          </w:tcPr>
          <w:p w:rsidR="00CA7A38" w:rsidRPr="00916C38" w:rsidRDefault="00CA7A38" w:rsidP="00E70031">
            <w:pPr>
              <w:rPr>
                <w:sz w:val="20"/>
                <w:szCs w:val="20"/>
              </w:rPr>
            </w:pPr>
            <w:r>
              <w:rPr>
                <w:rFonts w:ascii="Calibri" w:hAnsi="Calibri"/>
                <w:sz w:val="20"/>
                <w:szCs w:val="20"/>
              </w:rPr>
              <w:t>“C</w:t>
            </w:r>
            <w:r w:rsidRPr="00916C38">
              <w:rPr>
                <w:rFonts w:ascii="Calibri" w:hAnsi="Calibri"/>
                <w:sz w:val="20"/>
                <w:szCs w:val="20"/>
              </w:rPr>
              <w:t>ommunity conflict managers”</w:t>
            </w:r>
            <w:r>
              <w:rPr>
                <w:rFonts w:ascii="Calibri" w:hAnsi="Calibri"/>
                <w:sz w:val="20"/>
                <w:szCs w:val="20"/>
              </w:rPr>
              <w:t xml:space="preserve"> are supported</w:t>
            </w:r>
            <w:r w:rsidRPr="00916C38">
              <w:rPr>
                <w:rFonts w:ascii="Calibri" w:hAnsi="Calibri"/>
                <w:sz w:val="20"/>
                <w:szCs w:val="20"/>
              </w:rPr>
              <w:t xml:space="preserve"> to better understand the law, human rights and available policing and justice services</w:t>
            </w:r>
          </w:p>
        </w:tc>
        <w:tc>
          <w:tcPr>
            <w:tcW w:w="144" w:type="pct"/>
          </w:tcPr>
          <w:p w:rsidR="00CA7A38" w:rsidRPr="00916C38" w:rsidRDefault="00CA7A38" w:rsidP="00E70031">
            <w:pPr>
              <w:rPr>
                <w:sz w:val="20"/>
                <w:szCs w:val="20"/>
              </w:rPr>
            </w:pPr>
          </w:p>
        </w:tc>
        <w:tc>
          <w:tcPr>
            <w:tcW w:w="144" w:type="pct"/>
          </w:tcPr>
          <w:p w:rsidR="00CA7A38" w:rsidRPr="00916C38" w:rsidRDefault="00CA7A38" w:rsidP="00E70031">
            <w:pPr>
              <w:rPr>
                <w:sz w:val="20"/>
                <w:szCs w:val="20"/>
              </w:rPr>
            </w:pPr>
            <w:r w:rsidRPr="00916C38">
              <w:rPr>
                <w:sz w:val="20"/>
                <w:szCs w:val="20"/>
              </w:rPr>
              <w:t>2</w:t>
            </w:r>
          </w:p>
        </w:tc>
        <w:tc>
          <w:tcPr>
            <w:tcW w:w="144" w:type="pct"/>
          </w:tcPr>
          <w:p w:rsidR="00CA7A38" w:rsidRPr="00916C38" w:rsidRDefault="00CA7A38" w:rsidP="00E70031">
            <w:pPr>
              <w:rPr>
                <w:sz w:val="20"/>
                <w:szCs w:val="20"/>
              </w:rPr>
            </w:pPr>
            <w:r w:rsidRPr="00916C38">
              <w:rPr>
                <w:sz w:val="20"/>
                <w:szCs w:val="20"/>
              </w:rPr>
              <w:t>3</w:t>
            </w: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tcPr>
          <w:p w:rsidR="00CA7A38" w:rsidRPr="007604CB" w:rsidRDefault="00CA7A38" w:rsidP="00E70031"/>
        </w:tc>
        <w:tc>
          <w:tcPr>
            <w:tcW w:w="252" w:type="pct"/>
            <w:shd w:val="clear" w:color="auto" w:fill="A8D08D" w:themeFill="accent6" w:themeFillTint="99"/>
          </w:tcPr>
          <w:p w:rsidR="00CA7A38" w:rsidRPr="007604CB" w:rsidRDefault="00CA7A38" w:rsidP="00E70031"/>
        </w:tc>
        <w:tc>
          <w:tcPr>
            <w:tcW w:w="820" w:type="pct"/>
          </w:tcPr>
          <w:p w:rsidR="00CA7A38" w:rsidRPr="007604CB" w:rsidRDefault="00CA7A38" w:rsidP="00E70031">
            <w:r>
              <w:t>IOs 12 &amp; 13</w:t>
            </w:r>
          </w:p>
        </w:tc>
        <w:tc>
          <w:tcPr>
            <w:tcW w:w="292" w:type="pct"/>
          </w:tcPr>
          <w:p w:rsidR="00CA7A38" w:rsidRPr="007604CB" w:rsidRDefault="00CA7A38" w:rsidP="00E70031"/>
        </w:tc>
        <w:tc>
          <w:tcPr>
            <w:tcW w:w="292" w:type="pct"/>
          </w:tcPr>
          <w:p w:rsidR="00CA7A38" w:rsidRPr="007604CB" w:rsidRDefault="00CA7A38" w:rsidP="00E70031">
            <w:r>
              <w:t>2</w:t>
            </w:r>
          </w:p>
        </w:tc>
        <w:tc>
          <w:tcPr>
            <w:tcW w:w="291" w:type="pct"/>
          </w:tcPr>
          <w:p w:rsidR="00CA7A38" w:rsidRPr="007604CB" w:rsidRDefault="00CA7A38" w:rsidP="00E70031">
            <w:r>
              <w:t>3</w:t>
            </w:r>
          </w:p>
        </w:tc>
      </w:tr>
      <w:tr w:rsidR="00CA7A38" w:rsidRPr="007604CB" w:rsidTr="00E70031">
        <w:tc>
          <w:tcPr>
            <w:tcW w:w="1617" w:type="pct"/>
          </w:tcPr>
          <w:p w:rsidR="00CA7A38" w:rsidRPr="00916C38" w:rsidRDefault="00CA7A38" w:rsidP="00E70031">
            <w:pPr>
              <w:rPr>
                <w:sz w:val="20"/>
                <w:szCs w:val="20"/>
              </w:rPr>
            </w:pPr>
            <w:r>
              <w:rPr>
                <w:rFonts w:ascii="Calibri" w:hAnsi="Calibri"/>
                <w:sz w:val="20"/>
                <w:szCs w:val="20"/>
              </w:rPr>
              <w:t>C</w:t>
            </w:r>
            <w:r w:rsidRPr="00916C38">
              <w:rPr>
                <w:rFonts w:ascii="Calibri" w:hAnsi="Calibri"/>
                <w:sz w:val="20"/>
                <w:szCs w:val="20"/>
              </w:rPr>
              <w:t xml:space="preserve">ommunity level processes and institutions </w:t>
            </w:r>
            <w:r>
              <w:rPr>
                <w:rFonts w:ascii="Calibri" w:hAnsi="Calibri"/>
                <w:sz w:val="20"/>
                <w:szCs w:val="20"/>
              </w:rPr>
              <w:t>are strengthened to be more in</w:t>
            </w:r>
            <w:r w:rsidRPr="00916C38">
              <w:rPr>
                <w:rFonts w:ascii="Calibri" w:hAnsi="Calibri"/>
                <w:sz w:val="20"/>
                <w:szCs w:val="20"/>
              </w:rPr>
              <w:t xml:space="preserve"> line with</w:t>
            </w:r>
            <w:r>
              <w:rPr>
                <w:rFonts w:ascii="Calibri" w:hAnsi="Calibri"/>
                <w:sz w:val="20"/>
                <w:szCs w:val="20"/>
              </w:rPr>
              <w:t xml:space="preserve"> the</w:t>
            </w:r>
            <w:r w:rsidRPr="00916C38">
              <w:rPr>
                <w:rFonts w:ascii="Calibri" w:hAnsi="Calibri"/>
                <w:sz w:val="20"/>
                <w:szCs w:val="20"/>
              </w:rPr>
              <w:t xml:space="preserve"> law</w:t>
            </w:r>
            <w:r>
              <w:rPr>
                <w:rFonts w:ascii="Calibri" w:hAnsi="Calibri"/>
                <w:sz w:val="20"/>
                <w:szCs w:val="20"/>
              </w:rPr>
              <w:t xml:space="preserve"> </w:t>
            </w:r>
          </w:p>
        </w:tc>
        <w:tc>
          <w:tcPr>
            <w:tcW w:w="144" w:type="pct"/>
          </w:tcPr>
          <w:p w:rsidR="00CA7A38" w:rsidRPr="00916C38" w:rsidRDefault="00CA7A38" w:rsidP="00E70031">
            <w:pPr>
              <w:rPr>
                <w:sz w:val="20"/>
                <w:szCs w:val="20"/>
              </w:rPr>
            </w:pPr>
          </w:p>
        </w:tc>
        <w:tc>
          <w:tcPr>
            <w:tcW w:w="144" w:type="pct"/>
          </w:tcPr>
          <w:p w:rsidR="00CA7A38" w:rsidRPr="00916C38" w:rsidRDefault="00CA7A38" w:rsidP="00E70031">
            <w:pPr>
              <w:rPr>
                <w:sz w:val="20"/>
                <w:szCs w:val="20"/>
              </w:rPr>
            </w:pPr>
            <w:r w:rsidRPr="00916C38">
              <w:rPr>
                <w:sz w:val="20"/>
                <w:szCs w:val="20"/>
              </w:rPr>
              <w:t>2</w:t>
            </w:r>
          </w:p>
        </w:tc>
        <w:tc>
          <w:tcPr>
            <w:tcW w:w="144" w:type="pct"/>
          </w:tcPr>
          <w:p w:rsidR="00CA7A38" w:rsidRPr="00916C38" w:rsidRDefault="00CA7A38" w:rsidP="00E70031">
            <w:pPr>
              <w:rPr>
                <w:sz w:val="20"/>
                <w:szCs w:val="20"/>
              </w:rPr>
            </w:pPr>
            <w:r w:rsidRPr="00916C38">
              <w:rPr>
                <w:sz w:val="20"/>
                <w:szCs w:val="20"/>
              </w:rPr>
              <w:t>3</w:t>
            </w: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tcPr>
          <w:p w:rsidR="00CA7A38" w:rsidRPr="007604CB" w:rsidRDefault="00CA7A38" w:rsidP="00E70031"/>
        </w:tc>
        <w:tc>
          <w:tcPr>
            <w:tcW w:w="252" w:type="pct"/>
            <w:shd w:val="clear" w:color="auto" w:fill="A8D08D" w:themeFill="accent6" w:themeFillTint="99"/>
          </w:tcPr>
          <w:p w:rsidR="00CA7A38" w:rsidRPr="007604CB" w:rsidRDefault="00CA7A38" w:rsidP="00E70031"/>
        </w:tc>
        <w:tc>
          <w:tcPr>
            <w:tcW w:w="820" w:type="pct"/>
          </w:tcPr>
          <w:p w:rsidR="00CA7A38" w:rsidRPr="007604CB" w:rsidRDefault="00CA7A38" w:rsidP="00E70031">
            <w:r>
              <w:t>IOs 12 &amp; 13</w:t>
            </w:r>
          </w:p>
        </w:tc>
        <w:tc>
          <w:tcPr>
            <w:tcW w:w="292" w:type="pct"/>
          </w:tcPr>
          <w:p w:rsidR="00CA7A38" w:rsidRPr="007604CB" w:rsidRDefault="00CA7A38" w:rsidP="00E70031"/>
        </w:tc>
        <w:tc>
          <w:tcPr>
            <w:tcW w:w="292" w:type="pct"/>
          </w:tcPr>
          <w:p w:rsidR="00CA7A38" w:rsidRPr="007604CB" w:rsidRDefault="00CA7A38" w:rsidP="00E70031">
            <w:r>
              <w:t>2</w:t>
            </w:r>
          </w:p>
        </w:tc>
        <w:tc>
          <w:tcPr>
            <w:tcW w:w="291" w:type="pct"/>
          </w:tcPr>
          <w:p w:rsidR="00CA7A38" w:rsidRPr="007604CB" w:rsidRDefault="00CA7A38" w:rsidP="00E70031">
            <w:r>
              <w:t>3</w:t>
            </w:r>
          </w:p>
        </w:tc>
      </w:tr>
      <w:tr w:rsidR="00CA7A38" w:rsidRPr="007604CB" w:rsidTr="00E70031">
        <w:tc>
          <w:tcPr>
            <w:tcW w:w="1617" w:type="pct"/>
          </w:tcPr>
          <w:p w:rsidR="00CA7A38" w:rsidRPr="00916C38" w:rsidRDefault="00CA7A38" w:rsidP="00E70031">
            <w:pPr>
              <w:rPr>
                <w:sz w:val="20"/>
                <w:szCs w:val="20"/>
              </w:rPr>
            </w:pPr>
            <w:r>
              <w:rPr>
                <w:sz w:val="20"/>
                <w:szCs w:val="20"/>
              </w:rPr>
              <w:t>Sector agencies are strengthened for improved handling of domestic violence offences</w:t>
            </w:r>
          </w:p>
        </w:tc>
        <w:tc>
          <w:tcPr>
            <w:tcW w:w="144" w:type="pct"/>
          </w:tcPr>
          <w:p w:rsidR="00CA7A38" w:rsidRPr="00916C38" w:rsidRDefault="00CA7A38" w:rsidP="00E70031">
            <w:pPr>
              <w:rPr>
                <w:sz w:val="20"/>
                <w:szCs w:val="20"/>
              </w:rPr>
            </w:pPr>
            <w:r>
              <w:rPr>
                <w:sz w:val="20"/>
                <w:szCs w:val="20"/>
              </w:rPr>
              <w:t>1</w:t>
            </w:r>
          </w:p>
        </w:tc>
        <w:tc>
          <w:tcPr>
            <w:tcW w:w="144" w:type="pct"/>
          </w:tcPr>
          <w:p w:rsidR="00CA7A38" w:rsidRPr="00916C38" w:rsidRDefault="00CA7A38" w:rsidP="00E70031">
            <w:pPr>
              <w:rPr>
                <w:sz w:val="20"/>
                <w:szCs w:val="20"/>
              </w:rPr>
            </w:pPr>
            <w:r>
              <w:rPr>
                <w:sz w:val="20"/>
                <w:szCs w:val="20"/>
              </w:rPr>
              <w:t>2</w:t>
            </w:r>
          </w:p>
        </w:tc>
        <w:tc>
          <w:tcPr>
            <w:tcW w:w="144" w:type="pct"/>
          </w:tcPr>
          <w:p w:rsidR="00CA7A38" w:rsidRPr="00916C38" w:rsidRDefault="00CA7A38" w:rsidP="00E70031">
            <w:pPr>
              <w:rPr>
                <w:sz w:val="20"/>
                <w:szCs w:val="20"/>
              </w:rPr>
            </w:pPr>
            <w:r w:rsidRPr="00916C38">
              <w:rPr>
                <w:sz w:val="20"/>
                <w:szCs w:val="20"/>
              </w:rPr>
              <w:t>3</w:t>
            </w:r>
          </w:p>
        </w:tc>
        <w:tc>
          <w:tcPr>
            <w:tcW w:w="251" w:type="pct"/>
            <w:shd w:val="clear" w:color="auto" w:fill="C00000"/>
          </w:tcPr>
          <w:p w:rsidR="00CA7A38" w:rsidRPr="00916C38" w:rsidRDefault="00CA7A38" w:rsidP="00E70031">
            <w:pPr>
              <w:rPr>
                <w:sz w:val="20"/>
                <w:szCs w:val="20"/>
              </w:rPr>
            </w:pPr>
          </w:p>
        </w:tc>
        <w:tc>
          <w:tcPr>
            <w:tcW w:w="251" w:type="pct"/>
            <w:shd w:val="clear" w:color="auto" w:fill="FFC000"/>
          </w:tcPr>
          <w:p w:rsidR="00CA7A38" w:rsidRPr="00916C38" w:rsidRDefault="00CA7A38" w:rsidP="00E70031">
            <w:pPr>
              <w:rPr>
                <w:sz w:val="20"/>
                <w:szCs w:val="20"/>
              </w:rPr>
            </w:pPr>
          </w:p>
        </w:tc>
        <w:tc>
          <w:tcPr>
            <w:tcW w:w="251" w:type="pct"/>
            <w:shd w:val="clear" w:color="auto" w:fill="BDD6EE" w:themeFill="accent1" w:themeFillTint="66"/>
          </w:tcPr>
          <w:p w:rsidR="00CA7A38" w:rsidRPr="00916C38" w:rsidRDefault="00CA7A38" w:rsidP="00E70031">
            <w:pPr>
              <w:rPr>
                <w:sz w:val="20"/>
                <w:szCs w:val="20"/>
              </w:rPr>
            </w:pPr>
          </w:p>
        </w:tc>
        <w:tc>
          <w:tcPr>
            <w:tcW w:w="251" w:type="pct"/>
            <w:shd w:val="clear" w:color="auto" w:fill="7030A0"/>
          </w:tcPr>
          <w:p w:rsidR="00CA7A38" w:rsidRPr="007604CB" w:rsidRDefault="00CA7A38" w:rsidP="00E70031"/>
        </w:tc>
        <w:tc>
          <w:tcPr>
            <w:tcW w:w="252" w:type="pct"/>
            <w:shd w:val="clear" w:color="auto" w:fill="auto"/>
          </w:tcPr>
          <w:p w:rsidR="00CA7A38" w:rsidRPr="007604CB" w:rsidRDefault="00CA7A38" w:rsidP="00E70031"/>
        </w:tc>
        <w:tc>
          <w:tcPr>
            <w:tcW w:w="820" w:type="pct"/>
          </w:tcPr>
          <w:p w:rsidR="00CA7A38" w:rsidRPr="007604CB" w:rsidRDefault="00CA7A38" w:rsidP="00E70031">
            <w:r>
              <w:t>IOs 1, 2, 8, 9 &amp; 13</w:t>
            </w:r>
          </w:p>
        </w:tc>
        <w:tc>
          <w:tcPr>
            <w:tcW w:w="292" w:type="pct"/>
          </w:tcPr>
          <w:p w:rsidR="00CA7A38" w:rsidRPr="007604CB" w:rsidRDefault="00CA7A38" w:rsidP="00E70031">
            <w:r>
              <w:t>1</w:t>
            </w:r>
          </w:p>
        </w:tc>
        <w:tc>
          <w:tcPr>
            <w:tcW w:w="292" w:type="pct"/>
          </w:tcPr>
          <w:p w:rsidR="00CA7A38" w:rsidRPr="007604CB" w:rsidRDefault="00CA7A38" w:rsidP="00E70031">
            <w:r>
              <w:t>2</w:t>
            </w:r>
          </w:p>
        </w:tc>
        <w:tc>
          <w:tcPr>
            <w:tcW w:w="291" w:type="pct"/>
          </w:tcPr>
          <w:p w:rsidR="00CA7A38" w:rsidRPr="007604CB" w:rsidRDefault="00CA7A38" w:rsidP="00E70031">
            <w:r>
              <w:t>3</w:t>
            </w:r>
          </w:p>
        </w:tc>
      </w:tr>
      <w:tr w:rsidR="00CA7A38" w:rsidRPr="007604CB" w:rsidTr="00E70031">
        <w:tc>
          <w:tcPr>
            <w:tcW w:w="1617" w:type="pct"/>
          </w:tcPr>
          <w:p w:rsidR="00CA7A38" w:rsidRPr="00916C38" w:rsidRDefault="00CA7A38" w:rsidP="00E70031">
            <w:pPr>
              <w:rPr>
                <w:sz w:val="20"/>
                <w:szCs w:val="20"/>
              </w:rPr>
            </w:pPr>
            <w:r>
              <w:rPr>
                <w:sz w:val="20"/>
                <w:szCs w:val="20"/>
              </w:rPr>
              <w:t>O</w:t>
            </w:r>
            <w:r w:rsidRPr="00916C38">
              <w:rPr>
                <w:sz w:val="20"/>
                <w:szCs w:val="20"/>
              </w:rPr>
              <w:t>rganisations such as VSDP</w:t>
            </w:r>
            <w:r>
              <w:rPr>
                <w:sz w:val="20"/>
                <w:szCs w:val="20"/>
              </w:rPr>
              <w:t xml:space="preserve"> are supported</w:t>
            </w:r>
            <w:r w:rsidRPr="00916C38">
              <w:rPr>
                <w:sz w:val="20"/>
                <w:szCs w:val="20"/>
              </w:rPr>
              <w:t xml:space="preserve"> for service delivery for persons with disabilities</w:t>
            </w:r>
          </w:p>
        </w:tc>
        <w:tc>
          <w:tcPr>
            <w:tcW w:w="144" w:type="pct"/>
          </w:tcPr>
          <w:p w:rsidR="00CA7A38" w:rsidRPr="00916C38" w:rsidRDefault="00CA7A38" w:rsidP="00E70031">
            <w:pPr>
              <w:rPr>
                <w:sz w:val="20"/>
                <w:szCs w:val="20"/>
              </w:rPr>
            </w:pPr>
          </w:p>
        </w:tc>
        <w:tc>
          <w:tcPr>
            <w:tcW w:w="144" w:type="pct"/>
          </w:tcPr>
          <w:p w:rsidR="00CA7A38" w:rsidRPr="00916C38" w:rsidRDefault="00CA7A38" w:rsidP="00E70031">
            <w:pPr>
              <w:rPr>
                <w:sz w:val="20"/>
                <w:szCs w:val="20"/>
              </w:rPr>
            </w:pPr>
          </w:p>
        </w:tc>
        <w:tc>
          <w:tcPr>
            <w:tcW w:w="144" w:type="pct"/>
          </w:tcPr>
          <w:p w:rsidR="00CA7A38" w:rsidRPr="00916C38" w:rsidRDefault="00CA7A38" w:rsidP="00E70031">
            <w:pPr>
              <w:rPr>
                <w:sz w:val="20"/>
                <w:szCs w:val="20"/>
              </w:rPr>
            </w:pPr>
            <w:r w:rsidRPr="00916C38">
              <w:rPr>
                <w:sz w:val="20"/>
                <w:szCs w:val="20"/>
              </w:rPr>
              <w:t>3</w:t>
            </w:r>
          </w:p>
        </w:tc>
        <w:tc>
          <w:tcPr>
            <w:tcW w:w="251" w:type="pct"/>
          </w:tcPr>
          <w:p w:rsidR="00CA7A38" w:rsidRPr="00916C38" w:rsidRDefault="00CA7A38" w:rsidP="00E70031">
            <w:pPr>
              <w:rPr>
                <w:sz w:val="20"/>
                <w:szCs w:val="20"/>
              </w:rPr>
            </w:pPr>
          </w:p>
        </w:tc>
        <w:tc>
          <w:tcPr>
            <w:tcW w:w="251" w:type="pct"/>
          </w:tcPr>
          <w:p w:rsidR="00CA7A38" w:rsidRPr="00916C38" w:rsidRDefault="00CA7A38" w:rsidP="00E70031">
            <w:pPr>
              <w:rPr>
                <w:sz w:val="20"/>
                <w:szCs w:val="20"/>
              </w:rPr>
            </w:pPr>
          </w:p>
        </w:tc>
        <w:tc>
          <w:tcPr>
            <w:tcW w:w="251" w:type="pct"/>
            <w:shd w:val="clear" w:color="auto" w:fill="BDD6EE" w:themeFill="accent1" w:themeFillTint="66"/>
          </w:tcPr>
          <w:p w:rsidR="00CA7A38" w:rsidRPr="00916C38" w:rsidRDefault="00CA7A38" w:rsidP="00E70031">
            <w:pPr>
              <w:rPr>
                <w:sz w:val="20"/>
                <w:szCs w:val="20"/>
              </w:rPr>
            </w:pPr>
          </w:p>
        </w:tc>
        <w:tc>
          <w:tcPr>
            <w:tcW w:w="251" w:type="pct"/>
          </w:tcPr>
          <w:p w:rsidR="00CA7A38" w:rsidRPr="007604CB" w:rsidRDefault="00CA7A38" w:rsidP="00E70031"/>
        </w:tc>
        <w:tc>
          <w:tcPr>
            <w:tcW w:w="252" w:type="pct"/>
            <w:shd w:val="clear" w:color="auto" w:fill="auto"/>
          </w:tcPr>
          <w:p w:rsidR="00CA7A38" w:rsidRPr="007604CB" w:rsidRDefault="00CA7A38" w:rsidP="00E70031"/>
        </w:tc>
        <w:tc>
          <w:tcPr>
            <w:tcW w:w="820" w:type="pct"/>
          </w:tcPr>
          <w:p w:rsidR="00CA7A38" w:rsidRPr="007604CB" w:rsidRDefault="00CA7A38" w:rsidP="00E70031">
            <w:r>
              <w:t>IO 15</w:t>
            </w:r>
          </w:p>
        </w:tc>
        <w:tc>
          <w:tcPr>
            <w:tcW w:w="292" w:type="pct"/>
          </w:tcPr>
          <w:p w:rsidR="00CA7A38" w:rsidRPr="007604CB" w:rsidRDefault="00CA7A38" w:rsidP="00E70031"/>
        </w:tc>
        <w:tc>
          <w:tcPr>
            <w:tcW w:w="292" w:type="pct"/>
          </w:tcPr>
          <w:p w:rsidR="00CA7A38" w:rsidRPr="007604CB" w:rsidRDefault="00CA7A38" w:rsidP="00E70031"/>
        </w:tc>
        <w:tc>
          <w:tcPr>
            <w:tcW w:w="291" w:type="pct"/>
          </w:tcPr>
          <w:p w:rsidR="00CA7A38" w:rsidRPr="007604CB" w:rsidRDefault="00CA7A38" w:rsidP="00E70031">
            <w:r>
              <w:t>3</w:t>
            </w:r>
          </w:p>
        </w:tc>
      </w:tr>
    </w:tbl>
    <w:p w:rsidR="00CA7A38" w:rsidRDefault="00CA7A38" w:rsidP="00E70031">
      <w:pPr>
        <w:sectPr w:rsidR="00CA7A38" w:rsidSect="00E70031">
          <w:pgSz w:w="16838" w:h="11906" w:orient="landscape"/>
          <w:pgMar w:top="1440" w:right="1440" w:bottom="1440" w:left="1440" w:header="709" w:footer="709" w:gutter="0"/>
          <w:cols w:space="708"/>
          <w:docGrid w:linePitch="360"/>
        </w:sectPr>
      </w:pPr>
    </w:p>
    <w:p w:rsidR="00CA7A38" w:rsidRDefault="00CA7A38" w:rsidP="00E70031">
      <w:pPr>
        <w:pStyle w:val="Heading2"/>
        <w:numPr>
          <w:ilvl w:val="1"/>
          <w:numId w:val="1"/>
        </w:numPr>
        <w:jc w:val="both"/>
        <w:rPr>
          <w:rFonts w:asciiTheme="minorHAnsi" w:hAnsiTheme="minorHAnsi"/>
          <w:color w:val="auto"/>
          <w:sz w:val="22"/>
          <w:szCs w:val="22"/>
        </w:rPr>
      </w:pPr>
      <w:bookmarkStart w:id="17" w:name="_Toc458698421"/>
      <w:r>
        <w:rPr>
          <w:rFonts w:asciiTheme="minorHAnsi" w:hAnsiTheme="minorHAnsi"/>
          <w:color w:val="auto"/>
          <w:sz w:val="22"/>
          <w:szCs w:val="22"/>
        </w:rPr>
        <w:lastRenderedPageBreak/>
        <w:t>Operating Principles</w:t>
      </w:r>
      <w:bookmarkEnd w:id="17"/>
    </w:p>
    <w:p w:rsidR="00CA7A38" w:rsidRPr="006F7AA0" w:rsidRDefault="00CA7A38" w:rsidP="00E70031">
      <w:pPr>
        <w:spacing w:before="240" w:line="276" w:lineRule="auto"/>
        <w:jc w:val="both"/>
      </w:pPr>
      <w:r>
        <w:t>In order to attain the end of program outcomes in an effective, meaningful way, SRBJS will operate according to the following principles.  These principles, or themes, cut across the three pillars and infuse SRBJS support to the sector.  They are contained in the program logic to show that achieving the intermediate and end of program outcomes, in a meaningful way, relies on these principles.</w:t>
      </w:r>
    </w:p>
    <w:p w:rsidR="00CA7A38" w:rsidRDefault="00CA7A38" w:rsidP="00E70031">
      <w:pPr>
        <w:pStyle w:val="ListParagraph"/>
        <w:numPr>
          <w:ilvl w:val="0"/>
          <w:numId w:val="11"/>
        </w:numPr>
        <w:spacing w:before="240" w:after="200" w:line="276" w:lineRule="auto"/>
        <w:contextualSpacing w:val="0"/>
        <w:jc w:val="both"/>
        <w:rPr>
          <w:rFonts w:cstheme="minorHAnsi"/>
        </w:rPr>
      </w:pPr>
      <w:r w:rsidRPr="006D5D15">
        <w:rPr>
          <w:rFonts w:cstheme="minorHAnsi"/>
          <w:b/>
        </w:rPr>
        <w:t>Partnership and mutual accountability</w:t>
      </w:r>
      <w:r w:rsidRPr="006D5D15">
        <w:rPr>
          <w:rFonts w:cstheme="minorHAnsi"/>
        </w:rPr>
        <w:t xml:space="preserve">: </w:t>
      </w:r>
      <w:proofErr w:type="spellStart"/>
      <w:r w:rsidRPr="006D5D15">
        <w:rPr>
          <w:rFonts w:cstheme="minorHAnsi"/>
        </w:rPr>
        <w:t>GoV</w:t>
      </w:r>
      <w:proofErr w:type="spellEnd"/>
      <w:r w:rsidRPr="006D5D15">
        <w:rPr>
          <w:rFonts w:cstheme="minorHAnsi"/>
        </w:rPr>
        <w:t xml:space="preserve"> and </w:t>
      </w:r>
      <w:proofErr w:type="spellStart"/>
      <w:r w:rsidRPr="006D5D15">
        <w:rPr>
          <w:rFonts w:cstheme="minorHAnsi"/>
        </w:rPr>
        <w:t>GoA</w:t>
      </w:r>
      <w:proofErr w:type="spellEnd"/>
      <w:r w:rsidRPr="006D5D15">
        <w:rPr>
          <w:rFonts w:cstheme="minorHAnsi"/>
        </w:rPr>
        <w:t xml:space="preserve"> jointly commit to achieving the end of program outcomes</w:t>
      </w:r>
      <w:r>
        <w:rPr>
          <w:rFonts w:cstheme="minorHAnsi"/>
        </w:rPr>
        <w:t xml:space="preserve"> </w:t>
      </w:r>
      <w:r w:rsidRPr="006D5D15">
        <w:rPr>
          <w:rFonts w:cstheme="minorHAnsi"/>
        </w:rPr>
        <w:t>— collaborative action is required to contribute to sustainable benefits.  Joint program governance and management arrangements (set out below</w:t>
      </w:r>
      <w:r>
        <w:rPr>
          <w:rFonts w:cstheme="minorHAnsi"/>
        </w:rPr>
        <w:t xml:space="preserve"> at section 4.1</w:t>
      </w:r>
      <w:r w:rsidRPr="006D5D15">
        <w:rPr>
          <w:rFonts w:cstheme="minorHAnsi"/>
        </w:rPr>
        <w:t>) support G</w:t>
      </w:r>
      <w:r>
        <w:rPr>
          <w:rFonts w:cstheme="minorHAnsi"/>
        </w:rPr>
        <w:t>oV ownership of SRBJS and provide</w:t>
      </w:r>
      <w:r w:rsidRPr="006D5D15">
        <w:rPr>
          <w:rFonts w:cstheme="minorHAnsi"/>
        </w:rPr>
        <w:t xml:space="preserve"> responsive guidance for activity implementation.  </w:t>
      </w:r>
      <w:proofErr w:type="spellStart"/>
      <w:r w:rsidRPr="006D5D15">
        <w:rPr>
          <w:rFonts w:cstheme="minorHAnsi"/>
        </w:rPr>
        <w:t>GoA</w:t>
      </w:r>
      <w:proofErr w:type="spellEnd"/>
      <w:r w:rsidRPr="006D5D15">
        <w:rPr>
          <w:rFonts w:cstheme="minorHAnsi"/>
        </w:rPr>
        <w:t xml:space="preserve"> is accountable for the commitment to support the sector for four years</w:t>
      </w:r>
      <w:r>
        <w:rPr>
          <w:rFonts w:cstheme="minorHAnsi"/>
        </w:rPr>
        <w:t>,</w:t>
      </w:r>
      <w:r w:rsidRPr="006D5D15">
        <w:rPr>
          <w:rFonts w:cstheme="minorHAnsi"/>
        </w:rPr>
        <w:t xml:space="preserve"> and GoV is accountable for efficient and effective delivery of development results. </w:t>
      </w:r>
    </w:p>
    <w:p w:rsidR="00CA7A38" w:rsidRPr="006D5D15" w:rsidRDefault="00CA7A38" w:rsidP="00E70031">
      <w:pPr>
        <w:pStyle w:val="ListParagraph"/>
        <w:numPr>
          <w:ilvl w:val="0"/>
          <w:numId w:val="11"/>
        </w:numPr>
        <w:spacing w:before="240" w:after="200" w:line="276" w:lineRule="auto"/>
        <w:ind w:left="714" w:hanging="357"/>
        <w:contextualSpacing w:val="0"/>
        <w:jc w:val="both"/>
        <w:rPr>
          <w:rFonts w:cstheme="minorHAnsi"/>
        </w:rPr>
      </w:pPr>
      <w:r w:rsidRPr="006D5D15">
        <w:rPr>
          <w:rFonts w:cstheme="minorHAnsi"/>
          <w:b/>
        </w:rPr>
        <w:t xml:space="preserve">Sustainability and ownership: </w:t>
      </w:r>
      <w:r>
        <w:rPr>
          <w:rFonts w:cstheme="minorHAnsi"/>
        </w:rPr>
        <w:t>SRBJS</w:t>
      </w:r>
      <w:r w:rsidRPr="006D5D15">
        <w:rPr>
          <w:rFonts w:cstheme="minorHAnsi"/>
        </w:rPr>
        <w:t xml:space="preserve"> </w:t>
      </w:r>
      <w:r>
        <w:t>emphasises sustainability of</w:t>
      </w:r>
      <w:r w:rsidRPr="00FC0A72">
        <w:t xml:space="preserve"> support</w:t>
      </w:r>
      <w:r>
        <w:t xml:space="preserve"> so that </w:t>
      </w:r>
      <w:r w:rsidRPr="006D5D15">
        <w:rPr>
          <w:rFonts w:eastAsia="Times New Roman" w:cs="Times New Roman"/>
          <w:lang w:eastAsia="en-AU"/>
        </w:rPr>
        <w:t>the benefits of an activity are likely to continue after donor funding has been withdrawn</w:t>
      </w:r>
      <w:r w:rsidRPr="00B40170">
        <w:t>.  The focus is on the longevity of development cooperation’s benefits or effects, rather than particular projects or activities themselves.</w:t>
      </w:r>
      <w:r w:rsidRPr="00B40170">
        <w:rPr>
          <w:rStyle w:val="FootnoteReference"/>
        </w:rPr>
        <w:footnoteReference w:id="65"/>
      </w:r>
      <w:r>
        <w:t xml:space="preserve">  An example of where PJSPV sought to promote sustainability (and which should continue in SRBJS) is </w:t>
      </w:r>
      <w:r w:rsidRPr="006D5D15">
        <w:rPr>
          <w:rFonts w:eastAsia="Times New Roman" w:cs="Tahoma"/>
          <w:color w:val="000000"/>
          <w:lang w:val="en-GB" w:eastAsia="en-AU"/>
        </w:rPr>
        <w:t>to work with VPF members to implement cost neutral or low cost solutions</w:t>
      </w:r>
      <w:r w:rsidRPr="006D5D15">
        <w:rPr>
          <w:rFonts w:eastAsia="Times New Roman" w:cs="Tahoma"/>
          <w:b/>
          <w:color w:val="000000"/>
          <w:lang w:val="en-GB" w:eastAsia="en-AU"/>
        </w:rPr>
        <w:t xml:space="preserve"> </w:t>
      </w:r>
      <w:r w:rsidRPr="006D5D15">
        <w:rPr>
          <w:rFonts w:eastAsia="Times New Roman" w:cs="Tahoma"/>
          <w:color w:val="000000"/>
          <w:lang w:val="en-GB" w:eastAsia="en-AU"/>
        </w:rPr>
        <w:t xml:space="preserve">to policing, such as more foot and bicycle patrols.  This has the dual benefit of reducing fuel costs </w:t>
      </w:r>
      <w:r>
        <w:rPr>
          <w:rFonts w:eastAsia="Times New Roman" w:cs="Tahoma"/>
          <w:color w:val="000000"/>
          <w:lang w:val="en-GB" w:eastAsia="en-AU"/>
        </w:rPr>
        <w:t xml:space="preserve">and also </w:t>
      </w:r>
      <w:r w:rsidRPr="006D5D15">
        <w:rPr>
          <w:rFonts w:eastAsia="Times New Roman" w:cs="Tahoma"/>
          <w:color w:val="000000"/>
          <w:lang w:val="en-GB" w:eastAsia="en-AU"/>
        </w:rPr>
        <w:t>increasing police visibility and community engagement.</w:t>
      </w:r>
    </w:p>
    <w:p w:rsidR="00CA7A38" w:rsidRPr="00647EE1" w:rsidRDefault="00CA7A38" w:rsidP="00E70031">
      <w:pPr>
        <w:spacing w:after="200" w:line="276" w:lineRule="auto"/>
        <w:ind w:left="714"/>
        <w:jc w:val="both"/>
      </w:pPr>
      <w:r>
        <w:rPr>
          <w:rFonts w:cstheme="minorHAnsi"/>
        </w:rPr>
        <w:t>SRBJS</w:t>
      </w:r>
      <w:r w:rsidRPr="006D5D15">
        <w:rPr>
          <w:rFonts w:cstheme="minorHAnsi"/>
        </w:rPr>
        <w:t xml:space="preserve"> </w:t>
      </w:r>
      <w:r>
        <w:rPr>
          <w:rFonts w:cstheme="minorHAnsi"/>
        </w:rPr>
        <w:t>must</w:t>
      </w:r>
      <w:r w:rsidRPr="006D5D15">
        <w:rPr>
          <w:rFonts w:cstheme="minorHAnsi"/>
        </w:rPr>
        <w:t xml:space="preserve"> be realistic and nuanced about what sustainable development assistance looks like in </w:t>
      </w:r>
      <w:r>
        <w:rPr>
          <w:rFonts w:cstheme="minorHAnsi"/>
        </w:rPr>
        <w:t xml:space="preserve">the </w:t>
      </w:r>
      <w:r w:rsidRPr="006D5D15">
        <w:rPr>
          <w:rFonts w:cstheme="minorHAnsi"/>
        </w:rPr>
        <w:t>Vanuatu</w:t>
      </w:r>
      <w:r>
        <w:rPr>
          <w:rFonts w:cstheme="minorHAnsi"/>
        </w:rPr>
        <w:t xml:space="preserve"> context, and the</w:t>
      </w:r>
      <w:r w:rsidRPr="006D5D15">
        <w:rPr>
          <w:rFonts w:cstheme="minorHAnsi"/>
        </w:rPr>
        <w:t xml:space="preserve"> time-frames for a</w:t>
      </w:r>
      <w:r>
        <w:rPr>
          <w:rFonts w:cstheme="minorHAnsi"/>
        </w:rPr>
        <w:t xml:space="preserve">chieving sustainable outcomes.  Scarce resources, </w:t>
      </w:r>
      <w:r w:rsidRPr="006D5D15">
        <w:rPr>
          <w:rFonts w:cstheme="minorHAnsi"/>
        </w:rPr>
        <w:t>geographic</w:t>
      </w:r>
      <w:r>
        <w:rPr>
          <w:rFonts w:cstheme="minorHAnsi"/>
        </w:rPr>
        <w:t xml:space="preserve"> remoteness and the</w:t>
      </w:r>
      <w:r w:rsidRPr="006D5D15">
        <w:rPr>
          <w:rFonts w:cstheme="minorHAnsi"/>
        </w:rPr>
        <w:t xml:space="preserve"> spread of the</w:t>
      </w:r>
      <w:r>
        <w:rPr>
          <w:rFonts w:cstheme="minorHAnsi"/>
        </w:rPr>
        <w:t xml:space="preserve"> population across many islands pose particular challenges.  </w:t>
      </w:r>
      <w:r w:rsidRPr="006D5D15">
        <w:rPr>
          <w:rFonts w:cstheme="minorHAnsi"/>
        </w:rPr>
        <w:t xml:space="preserve">There are major threats to the sustainability of the proposed outcomes </w:t>
      </w:r>
      <w:r>
        <w:rPr>
          <w:rFonts w:cstheme="minorHAnsi"/>
        </w:rPr>
        <w:t xml:space="preserve">of the program, for example: </w:t>
      </w:r>
      <w:r w:rsidRPr="00B40170">
        <w:t xml:space="preserve">lack of sustained holistic (whole-of-government) </w:t>
      </w:r>
      <w:r>
        <w:t xml:space="preserve">support for strengthened </w:t>
      </w:r>
      <w:r w:rsidRPr="00B40170">
        <w:t>justice outcomes</w:t>
      </w:r>
      <w:r>
        <w:t>,</w:t>
      </w:r>
      <w:r w:rsidRPr="00B40170">
        <w:t xml:space="preserve"> combined with a lack of informed</w:t>
      </w:r>
      <w:r>
        <w:t>,</w:t>
      </w:r>
      <w:r w:rsidRPr="00B40170">
        <w:t xml:space="preserve"> publically expressed demand or pressure for service delivery improvements.</w:t>
      </w:r>
      <w:r>
        <w:t xml:space="preserve">  Also, the limited ability </w:t>
      </w:r>
      <w:r w:rsidRPr="00B40170">
        <w:t>of the public sector to retain lawyers significan</w:t>
      </w:r>
      <w:r>
        <w:t>tly impacts on the return on program</w:t>
      </w:r>
      <w:r w:rsidRPr="00B40170">
        <w:t xml:space="preserve"> investment in legal capacity development for lawyers of the public sector</w:t>
      </w:r>
      <w:r>
        <w:t>.  (</w:t>
      </w:r>
      <w:r w:rsidRPr="00B40170">
        <w:t>Low salaries,</w:t>
      </w:r>
      <w:r>
        <w:rPr>
          <w:rStyle w:val="FootnoteReference"/>
        </w:rPr>
        <w:footnoteReference w:id="66"/>
      </w:r>
      <w:r w:rsidRPr="00B40170">
        <w:t xml:space="preserve"> working conditions, conditions of admission to practice, and lack of clear career pathways act against retention o</w:t>
      </w:r>
      <w:r>
        <w:t>f lawyers.)  This, in turn, has consequences for the service delivery capacity of public law offices</w:t>
      </w:r>
      <w:r w:rsidRPr="00B40170">
        <w:t xml:space="preserve">.  </w:t>
      </w:r>
    </w:p>
    <w:p w:rsidR="00CA7A38" w:rsidRDefault="00CA7A38" w:rsidP="00E70031">
      <w:pPr>
        <w:spacing w:after="200" w:line="276" w:lineRule="auto"/>
        <w:ind w:left="714"/>
        <w:jc w:val="both"/>
        <w:rPr>
          <w:rFonts w:cstheme="minorHAnsi"/>
        </w:rPr>
      </w:pPr>
      <w:r w:rsidRPr="009D780E">
        <w:rPr>
          <w:rFonts w:cstheme="minorHAnsi"/>
        </w:rPr>
        <w:t xml:space="preserve">To </w:t>
      </w:r>
      <w:r>
        <w:rPr>
          <w:rFonts w:cstheme="minorHAnsi"/>
        </w:rPr>
        <w:t>try to achieve sustainable outcomes, SRBJS support should be dependent on each of the following four conditions of ownership:</w:t>
      </w:r>
    </w:p>
    <w:p w:rsidR="00CA7A38" w:rsidRPr="00C96D83" w:rsidRDefault="00CA7A38" w:rsidP="00E70031">
      <w:pPr>
        <w:pStyle w:val="ListParagraph"/>
        <w:numPr>
          <w:ilvl w:val="0"/>
          <w:numId w:val="21"/>
        </w:numPr>
        <w:spacing w:after="200" w:line="276" w:lineRule="auto"/>
        <w:jc w:val="both"/>
        <w:rPr>
          <w:rFonts w:cstheme="minorHAnsi"/>
        </w:rPr>
      </w:pPr>
      <w:r>
        <w:rPr>
          <w:rFonts w:cs="NewsGothic"/>
        </w:rPr>
        <w:t>Counterparts</w:t>
      </w:r>
      <w:r w:rsidRPr="00C96D83">
        <w:rPr>
          <w:rFonts w:cs="NewsGothic"/>
        </w:rPr>
        <w:t xml:space="preserve"> need to articulate a demand for aid</w:t>
      </w:r>
    </w:p>
    <w:p w:rsidR="00CA7A38" w:rsidRPr="00C96D83" w:rsidRDefault="00CA7A38" w:rsidP="00E70031">
      <w:pPr>
        <w:pStyle w:val="ListParagraph"/>
        <w:numPr>
          <w:ilvl w:val="0"/>
          <w:numId w:val="21"/>
        </w:numPr>
        <w:spacing w:after="200" w:line="276" w:lineRule="auto"/>
        <w:jc w:val="both"/>
        <w:rPr>
          <w:rFonts w:cstheme="minorHAnsi"/>
        </w:rPr>
      </w:pPr>
      <w:r>
        <w:rPr>
          <w:rFonts w:cs="NewsGothic"/>
        </w:rPr>
        <w:lastRenderedPageBreak/>
        <w:t>Counterparts</w:t>
      </w:r>
      <w:r w:rsidRPr="00C96D83">
        <w:rPr>
          <w:rFonts w:cs="NewsGothic"/>
        </w:rPr>
        <w:t xml:space="preserve"> need to exercise some control over the support and/or resources provided</w:t>
      </w:r>
    </w:p>
    <w:p w:rsidR="00CA7A38" w:rsidRPr="00C96D83" w:rsidRDefault="00CA7A38" w:rsidP="00E70031">
      <w:pPr>
        <w:pStyle w:val="ListParagraph"/>
        <w:numPr>
          <w:ilvl w:val="0"/>
          <w:numId w:val="21"/>
        </w:numPr>
        <w:spacing w:after="200" w:line="276" w:lineRule="auto"/>
        <w:jc w:val="both"/>
        <w:rPr>
          <w:rFonts w:cstheme="minorHAnsi"/>
        </w:rPr>
      </w:pPr>
      <w:r>
        <w:rPr>
          <w:rFonts w:cs="NewsGothic"/>
        </w:rPr>
        <w:t xml:space="preserve">Counterparts </w:t>
      </w:r>
      <w:r w:rsidRPr="00C96D83">
        <w:rPr>
          <w:rFonts w:cs="NewsGothic"/>
        </w:rPr>
        <w:t>need to invest at least some of their own assets (time, energy and/or resources) so that they have a real stake in the way assets are used</w:t>
      </w:r>
    </w:p>
    <w:p w:rsidR="00CA7A38" w:rsidRPr="00B96622" w:rsidRDefault="00CA7A38" w:rsidP="00E70031">
      <w:pPr>
        <w:pStyle w:val="ListParagraph"/>
        <w:numPr>
          <w:ilvl w:val="0"/>
          <w:numId w:val="21"/>
        </w:numPr>
        <w:spacing w:after="200" w:line="276" w:lineRule="auto"/>
        <w:ind w:left="1429" w:hanging="357"/>
        <w:contextualSpacing w:val="0"/>
        <w:jc w:val="both"/>
        <w:rPr>
          <w:rFonts w:cstheme="minorHAnsi"/>
        </w:rPr>
      </w:pPr>
      <w:r>
        <w:rPr>
          <w:rFonts w:cs="NewsGothic"/>
        </w:rPr>
        <w:t>Counterpart</w:t>
      </w:r>
      <w:r w:rsidRPr="00C96D83">
        <w:rPr>
          <w:rFonts w:cs="NewsGothic"/>
        </w:rPr>
        <w:t>s need to have clear assignment of responsibility and be able to participate in decisions about commencement, continuance or non-continuance of any initiative</w:t>
      </w:r>
      <w:r>
        <w:rPr>
          <w:rStyle w:val="FootnoteReference"/>
          <w:rFonts w:cs="NewsGothic"/>
        </w:rPr>
        <w:footnoteReference w:id="67"/>
      </w:r>
    </w:p>
    <w:p w:rsidR="00CA7A38" w:rsidRPr="00B96622" w:rsidRDefault="00CA7A38" w:rsidP="00E70031">
      <w:pPr>
        <w:spacing w:after="200" w:line="276" w:lineRule="auto"/>
        <w:ind w:left="714"/>
        <w:jc w:val="both"/>
        <w:rPr>
          <w:rFonts w:cstheme="minorHAnsi"/>
        </w:rPr>
      </w:pPr>
      <w:r w:rsidRPr="00B96622">
        <w:rPr>
          <w:rFonts w:cstheme="minorHAnsi"/>
        </w:rPr>
        <w:t xml:space="preserve">These should be integrated through SRBJS support and inform dialogue with partners.  </w:t>
      </w:r>
    </w:p>
    <w:p w:rsidR="00CA7A38" w:rsidRPr="00B96622" w:rsidRDefault="00CA7A38" w:rsidP="00E70031">
      <w:pPr>
        <w:spacing w:after="200" w:line="276" w:lineRule="auto"/>
        <w:ind w:left="714"/>
        <w:jc w:val="both"/>
        <w:rPr>
          <w:rFonts w:cstheme="minorHAnsi"/>
        </w:rPr>
      </w:pPr>
      <w:r w:rsidRPr="00B96622">
        <w:rPr>
          <w:rFonts w:cstheme="minorHAnsi"/>
        </w:rPr>
        <w:t xml:space="preserve">The SRBJS approach to sustainability will also build on the findings of a sustainability assessment currently being conducted by PJSPV.  The initial findings of the assessment highlight the following considerations for sustainability in the program: context, </w:t>
      </w:r>
      <w:r w:rsidRPr="00B96622">
        <w:t xml:space="preserve">ownership, people and relationships, fostering self-reliance, and applying principles for effective, sustainable development assistance.  While these may seem somewhat obvious and trite, they are relevant for individual practice and program philosophy and can be difficult to operationalise in the context of PJSPV.  </w:t>
      </w:r>
    </w:p>
    <w:p w:rsidR="00CA7A38" w:rsidRPr="00142C1F" w:rsidRDefault="00CA7A38" w:rsidP="00E70031">
      <w:pPr>
        <w:pStyle w:val="ListParagraph"/>
        <w:numPr>
          <w:ilvl w:val="0"/>
          <w:numId w:val="20"/>
        </w:numPr>
        <w:autoSpaceDE w:val="0"/>
        <w:autoSpaceDN w:val="0"/>
        <w:adjustRightInd w:val="0"/>
        <w:spacing w:before="240" w:line="276" w:lineRule="auto"/>
        <w:ind w:left="714" w:hanging="357"/>
        <w:contextualSpacing w:val="0"/>
        <w:jc w:val="both"/>
        <w:rPr>
          <w:rFonts w:cstheme="minorHAnsi"/>
          <w:b/>
        </w:rPr>
      </w:pPr>
      <w:r w:rsidRPr="006D5D15">
        <w:rPr>
          <w:rFonts w:cstheme="minorHAnsi"/>
          <w:b/>
        </w:rPr>
        <w:t xml:space="preserve">Information sharing and evidence-based decision making: </w:t>
      </w:r>
      <w:r>
        <w:rPr>
          <w:rFonts w:cstheme="minorHAnsi"/>
        </w:rPr>
        <w:t>SRBJS</w:t>
      </w:r>
      <w:r w:rsidRPr="006D5D15">
        <w:rPr>
          <w:rFonts w:cstheme="minorHAnsi"/>
        </w:rPr>
        <w:t xml:space="preserve"> will encourage and support information sharing between</w:t>
      </w:r>
      <w:r>
        <w:rPr>
          <w:rFonts w:cstheme="minorHAnsi"/>
        </w:rPr>
        <w:t>:</w:t>
      </w:r>
      <w:r w:rsidRPr="006D5D15">
        <w:rPr>
          <w:rFonts w:cstheme="minorHAnsi"/>
        </w:rPr>
        <w:t xml:space="preserve"> sector agencies to improve management and planning; with other parts of GoV to strengthen collaboration in progressing sector priorities; with other donors and programs to support donor coordination and harmonisation; and with the community to raise understanding and awareness and build demand for services.  Information captured through the program’s M&amp;E initiatives will be shared </w:t>
      </w:r>
      <w:r w:rsidRPr="00FC0A72">
        <w:t>to inform management, accountability and reporting require</w:t>
      </w:r>
      <w:r>
        <w:t>ments for the VPF and JCSS.  This could include supporting the provision and use of an evidence base for decision making, including through use of information systems such as case and data management systems.</w:t>
      </w:r>
    </w:p>
    <w:p w:rsidR="00CA7A38" w:rsidRPr="00D93511" w:rsidRDefault="00CA7A38" w:rsidP="00E70031">
      <w:pPr>
        <w:pStyle w:val="ListParagraph"/>
        <w:numPr>
          <w:ilvl w:val="0"/>
          <w:numId w:val="20"/>
        </w:numPr>
        <w:autoSpaceDE w:val="0"/>
        <w:autoSpaceDN w:val="0"/>
        <w:adjustRightInd w:val="0"/>
        <w:spacing w:before="240" w:line="276" w:lineRule="auto"/>
        <w:ind w:left="714" w:hanging="357"/>
        <w:contextualSpacing w:val="0"/>
        <w:jc w:val="both"/>
        <w:rPr>
          <w:rFonts w:cstheme="minorHAnsi"/>
          <w:color w:val="000000"/>
        </w:rPr>
      </w:pPr>
      <w:r>
        <w:rPr>
          <w:rFonts w:cstheme="minorHAnsi"/>
          <w:b/>
        </w:rPr>
        <w:t xml:space="preserve">Gender equality and women’s empowerment:  </w:t>
      </w:r>
      <w:r w:rsidRPr="00142C1F">
        <w:rPr>
          <w:rFonts w:cstheme="minorHAnsi"/>
          <w:color w:val="000000"/>
        </w:rPr>
        <w:t>Wo</w:t>
      </w:r>
      <w:r>
        <w:rPr>
          <w:rFonts w:cstheme="minorHAnsi"/>
          <w:color w:val="000000"/>
        </w:rPr>
        <w:t>men and girls in Vanuatu are vulnerable: most lack access to justice.  Also, women</w:t>
      </w:r>
      <w:r w:rsidRPr="00142C1F">
        <w:rPr>
          <w:rFonts w:cstheme="minorHAnsi"/>
          <w:color w:val="000000"/>
        </w:rPr>
        <w:t xml:space="preserve"> remain under-represented in</w:t>
      </w:r>
      <w:r>
        <w:rPr>
          <w:rFonts w:cstheme="minorHAnsi"/>
          <w:color w:val="000000"/>
        </w:rPr>
        <w:t xml:space="preserve"> policing and</w:t>
      </w:r>
      <w:r w:rsidRPr="00142C1F">
        <w:rPr>
          <w:rFonts w:cstheme="minorHAnsi"/>
          <w:color w:val="000000"/>
        </w:rPr>
        <w:t xml:space="preserve"> justice professions</w:t>
      </w:r>
      <w:r>
        <w:rPr>
          <w:rFonts w:cstheme="minorHAnsi"/>
          <w:color w:val="000000"/>
        </w:rPr>
        <w:t xml:space="preserve"> and there are substantial barriers to their professional participation </w:t>
      </w:r>
      <w:r w:rsidRPr="00142C1F">
        <w:rPr>
          <w:rFonts w:cstheme="minorHAnsi"/>
          <w:color w:val="000000"/>
        </w:rPr>
        <w:t>at all levels of the sector</w:t>
      </w:r>
      <w:r>
        <w:rPr>
          <w:rFonts w:cstheme="minorHAnsi"/>
          <w:color w:val="000000"/>
        </w:rPr>
        <w:t xml:space="preserve">.  </w:t>
      </w:r>
      <w:r w:rsidRPr="00417046">
        <w:rPr>
          <w:rFonts w:cstheme="minorHAnsi"/>
          <w:color w:val="000000"/>
        </w:rPr>
        <w:t xml:space="preserve">Accordingly, gender mainstreaming is applied throughout the </w:t>
      </w:r>
      <w:r>
        <w:rPr>
          <w:rFonts w:cstheme="minorHAnsi"/>
        </w:rPr>
        <w:t>SRBJS</w:t>
      </w:r>
      <w:r w:rsidRPr="00417046">
        <w:rPr>
          <w:rFonts w:cstheme="minorHAnsi"/>
        </w:rPr>
        <w:t xml:space="preserve"> design, and features across the three pillars.  This aligns with </w:t>
      </w:r>
      <w:r w:rsidRPr="00417046">
        <w:rPr>
          <w:rFonts w:ascii="Calibri" w:eastAsia="Times New Roman" w:hAnsi="Calibri" w:cs="Times New Roman"/>
          <w:color w:val="222222"/>
          <w:lang w:eastAsia="en-AU"/>
        </w:rPr>
        <w:t>the Australian aid program’s </w:t>
      </w:r>
      <w:r w:rsidRPr="00417046">
        <w:rPr>
          <w:rFonts w:ascii="Calibri" w:eastAsia="Times New Roman" w:hAnsi="Calibri" w:cs="Times New Roman"/>
          <w:i/>
          <w:iCs/>
          <w:color w:val="222222"/>
          <w:lang w:eastAsia="en-AU"/>
        </w:rPr>
        <w:t>Gender Equality and Women’s Empowerment Strategy, </w:t>
      </w:r>
      <w:r>
        <w:rPr>
          <w:rFonts w:ascii="Calibri" w:eastAsia="Times New Roman" w:hAnsi="Calibri" w:cs="Times New Roman"/>
          <w:iCs/>
          <w:color w:val="222222"/>
          <w:lang w:eastAsia="en-AU"/>
        </w:rPr>
        <w:t>particularly the priorities of enhancing women’s voices in decision-making and leadership and ending violence against women and girls.</w:t>
      </w:r>
      <w:r>
        <w:rPr>
          <w:rStyle w:val="FootnoteReference"/>
          <w:rFonts w:ascii="Calibri" w:eastAsia="Times New Roman" w:hAnsi="Calibri" w:cs="Times New Roman"/>
          <w:iCs/>
          <w:color w:val="222222"/>
          <w:lang w:eastAsia="en-AU"/>
        </w:rPr>
        <w:footnoteReference w:id="68"/>
      </w:r>
      <w:r>
        <w:rPr>
          <w:rFonts w:ascii="Calibri" w:eastAsia="Times New Roman" w:hAnsi="Calibri" w:cs="Times New Roman"/>
          <w:iCs/>
          <w:color w:val="222222"/>
          <w:lang w:eastAsia="en-AU"/>
        </w:rPr>
        <w:t xml:space="preserve">  </w:t>
      </w:r>
    </w:p>
    <w:p w:rsidR="00CA7A38" w:rsidRPr="00555DBE" w:rsidRDefault="00CA7A38" w:rsidP="00E70031">
      <w:pPr>
        <w:pStyle w:val="ListParagraph"/>
        <w:autoSpaceDE w:val="0"/>
        <w:autoSpaceDN w:val="0"/>
        <w:adjustRightInd w:val="0"/>
        <w:spacing w:before="240" w:line="276" w:lineRule="auto"/>
        <w:ind w:left="714"/>
        <w:contextualSpacing w:val="0"/>
        <w:jc w:val="both"/>
        <w:rPr>
          <w:rFonts w:cstheme="minorHAnsi"/>
          <w:color w:val="000000"/>
        </w:rPr>
      </w:pPr>
      <w:r>
        <w:rPr>
          <w:rFonts w:ascii="Calibri" w:eastAsia="Times New Roman" w:hAnsi="Calibri" w:cs="Times New Roman"/>
          <w:iCs/>
          <w:color w:val="222222"/>
          <w:lang w:eastAsia="en-AU"/>
        </w:rPr>
        <w:t xml:space="preserve">The focus on gender equality also reflects Vanuatu’s </w:t>
      </w:r>
      <w:r>
        <w:rPr>
          <w:rFonts w:ascii="Calibri" w:eastAsia="Times New Roman" w:hAnsi="Calibri" w:cs="Times New Roman"/>
          <w:i/>
          <w:iCs/>
          <w:color w:val="222222"/>
          <w:lang w:eastAsia="en-AU"/>
        </w:rPr>
        <w:t xml:space="preserve">National Gender Equality Policy </w:t>
      </w:r>
      <w:r>
        <w:rPr>
          <w:rFonts w:ascii="Calibri" w:eastAsia="Times New Roman" w:hAnsi="Calibri" w:cs="Times New Roman"/>
          <w:iCs/>
          <w:color w:val="222222"/>
          <w:lang w:eastAsia="en-AU"/>
        </w:rPr>
        <w:t xml:space="preserve">and the stated commitment of GoV to take </w:t>
      </w:r>
      <w:r>
        <w:t>proactive steps to embed gender equality into its legislation, policies, programs, organisational structures and operational procedures.</w:t>
      </w:r>
      <w:r>
        <w:rPr>
          <w:rStyle w:val="FootnoteReference"/>
        </w:rPr>
        <w:footnoteReference w:id="69"/>
      </w:r>
      <w:r>
        <w:rPr>
          <w:rFonts w:ascii="Calibri" w:eastAsia="Times New Roman" w:hAnsi="Calibri" w:cs="Times New Roman"/>
          <w:iCs/>
          <w:color w:val="222222"/>
          <w:lang w:eastAsia="en-AU"/>
        </w:rPr>
        <w:t xml:space="preserve">  </w:t>
      </w:r>
      <w:r>
        <w:rPr>
          <w:rFonts w:cstheme="minorHAnsi"/>
        </w:rPr>
        <w:t>SRBJS</w:t>
      </w:r>
      <w:r w:rsidRPr="00417046">
        <w:rPr>
          <w:rFonts w:cstheme="minorHAnsi"/>
        </w:rPr>
        <w:t xml:space="preserve"> will adopt </w:t>
      </w:r>
      <w:r w:rsidRPr="00417046">
        <w:rPr>
          <w:rFonts w:ascii="Calibri" w:eastAsia="Times New Roman" w:hAnsi="Calibri" w:cs="Times New Roman"/>
          <w:lang w:eastAsia="en-AU"/>
        </w:rPr>
        <w:t xml:space="preserve">a twin-track approach to promoting gender equality and women’s </w:t>
      </w:r>
      <w:r w:rsidRPr="00417046">
        <w:rPr>
          <w:rFonts w:ascii="Calibri" w:eastAsia="Times New Roman" w:hAnsi="Calibri" w:cs="Times New Roman"/>
          <w:lang w:eastAsia="en-AU"/>
        </w:rPr>
        <w:lastRenderedPageBreak/>
        <w:t>empowerment: o</w:t>
      </w:r>
      <w:r w:rsidRPr="00417046">
        <w:rPr>
          <w:rFonts w:ascii="Calibri" w:eastAsia="Times New Roman" w:hAnsi="Calibri" w:cs="Times New Roman"/>
          <w:color w:val="222222"/>
          <w:lang w:eastAsia="en-AU"/>
        </w:rPr>
        <w:t xml:space="preserve">n one track, </w:t>
      </w:r>
      <w:r>
        <w:rPr>
          <w:rFonts w:ascii="Calibri" w:eastAsia="Times New Roman" w:hAnsi="Calibri" w:cs="Times New Roman"/>
          <w:color w:val="222222"/>
          <w:lang w:eastAsia="en-AU"/>
        </w:rPr>
        <w:t>SRBJS</w:t>
      </w:r>
      <w:r w:rsidRPr="00417046">
        <w:rPr>
          <w:rFonts w:ascii="Calibri" w:eastAsia="Times New Roman" w:hAnsi="Calibri" w:cs="Times New Roman"/>
          <w:color w:val="1F497D"/>
          <w:lang w:eastAsia="en-AU"/>
        </w:rPr>
        <w:t> </w:t>
      </w:r>
      <w:bookmarkStart w:id="18" w:name="m_-7824255668543639704__ftnref4"/>
      <w:r w:rsidRPr="00417046">
        <w:rPr>
          <w:rFonts w:ascii="Calibri" w:eastAsia="Times New Roman" w:hAnsi="Calibri" w:cs="Times New Roman"/>
          <w:color w:val="222222"/>
          <w:lang w:eastAsia="en-AU"/>
        </w:rPr>
        <w:t xml:space="preserve">will </w:t>
      </w:r>
      <w:bookmarkEnd w:id="18"/>
      <w:r w:rsidRPr="00417046">
        <w:rPr>
          <w:rFonts w:ascii="Calibri" w:eastAsia="Times New Roman" w:hAnsi="Calibri" w:cs="Times New Roman"/>
          <w:color w:val="222222"/>
          <w:lang w:eastAsia="en-AU"/>
        </w:rPr>
        <w:t>target two priority issues: (</w:t>
      </w:r>
      <w:proofErr w:type="spellStart"/>
      <w:r w:rsidRPr="00417046">
        <w:rPr>
          <w:rFonts w:ascii="Calibri" w:eastAsia="Times New Roman" w:hAnsi="Calibri" w:cs="Times New Roman"/>
          <w:color w:val="222222"/>
          <w:lang w:eastAsia="en-AU"/>
        </w:rPr>
        <w:t>i</w:t>
      </w:r>
      <w:proofErr w:type="spellEnd"/>
      <w:r w:rsidRPr="00417046">
        <w:rPr>
          <w:rFonts w:ascii="Calibri" w:eastAsia="Times New Roman" w:hAnsi="Calibri" w:cs="Times New Roman"/>
          <w:color w:val="222222"/>
          <w:lang w:eastAsia="en-AU"/>
        </w:rPr>
        <w:t xml:space="preserve">) violence against women, and (ii) women’s professional participation and leadership in the sector.  These will be priority </w:t>
      </w:r>
      <w:r>
        <w:rPr>
          <w:rFonts w:ascii="Calibri" w:eastAsia="Times New Roman" w:hAnsi="Calibri" w:cs="Times New Roman"/>
          <w:color w:val="222222"/>
          <w:lang w:eastAsia="en-AU"/>
        </w:rPr>
        <w:t xml:space="preserve">work </w:t>
      </w:r>
      <w:r w:rsidRPr="00417046">
        <w:rPr>
          <w:rFonts w:ascii="Calibri" w:eastAsia="Times New Roman" w:hAnsi="Calibri" w:cs="Times New Roman"/>
          <w:color w:val="222222"/>
          <w:lang w:eastAsia="en-AU"/>
        </w:rPr>
        <w:t xml:space="preserve">areas with dedicated program resources, with progress tracked against specific indicators and outcomes.  </w:t>
      </w:r>
    </w:p>
    <w:p w:rsidR="00CA7A38" w:rsidRPr="00685C6C" w:rsidRDefault="00CA7A38" w:rsidP="00E70031">
      <w:pPr>
        <w:autoSpaceDE w:val="0"/>
        <w:autoSpaceDN w:val="0"/>
        <w:adjustRightInd w:val="0"/>
        <w:spacing w:before="240" w:line="276" w:lineRule="auto"/>
        <w:ind w:left="714"/>
        <w:jc w:val="both"/>
        <w:rPr>
          <w:rFonts w:cstheme="minorHAnsi"/>
          <w:b/>
        </w:rPr>
      </w:pPr>
      <w:r w:rsidRPr="00417046">
        <w:rPr>
          <w:rFonts w:ascii="Calibri" w:eastAsia="Times New Roman" w:hAnsi="Calibri" w:cs="Times New Roman"/>
          <w:color w:val="222222"/>
          <w:lang w:eastAsia="en-AU"/>
        </w:rPr>
        <w:t xml:space="preserve">On the second track, </w:t>
      </w:r>
      <w:r>
        <w:rPr>
          <w:rFonts w:ascii="Calibri" w:eastAsia="Times New Roman" w:hAnsi="Calibri" w:cs="Times New Roman"/>
          <w:color w:val="222222"/>
          <w:lang w:eastAsia="en-AU"/>
        </w:rPr>
        <w:t>SRBJS</w:t>
      </w:r>
      <w:r w:rsidRPr="00417046">
        <w:rPr>
          <w:rFonts w:ascii="Calibri" w:eastAsia="Times New Roman" w:hAnsi="Calibri" w:cs="Times New Roman"/>
          <w:color w:val="222222"/>
          <w:lang w:eastAsia="en-AU"/>
        </w:rPr>
        <w:t xml:space="preserve"> will consider gender issues in all aspects of implementation.  Some indicative activities include: updating </w:t>
      </w:r>
      <w:r>
        <w:rPr>
          <w:rFonts w:ascii="Calibri" w:eastAsia="Times New Roman" w:hAnsi="Calibri" w:cs="Times New Roman"/>
          <w:color w:val="222222"/>
          <w:lang w:eastAsia="en-AU"/>
        </w:rPr>
        <w:t>the program’s gender strategy</w:t>
      </w:r>
      <w:r w:rsidRPr="00417046">
        <w:rPr>
          <w:rFonts w:ascii="Calibri" w:eastAsia="Times New Roman" w:hAnsi="Calibri" w:cs="Times New Roman"/>
          <w:i/>
          <w:color w:val="222222"/>
          <w:lang w:eastAsia="en-AU"/>
        </w:rPr>
        <w:t xml:space="preserve"> </w:t>
      </w:r>
      <w:r w:rsidRPr="00417046">
        <w:rPr>
          <w:rFonts w:ascii="Calibri" w:eastAsia="Times New Roman" w:hAnsi="Calibri" w:cs="Times New Roman"/>
          <w:color w:val="222222"/>
          <w:lang w:eastAsia="en-AU"/>
        </w:rPr>
        <w:t xml:space="preserve">to reflect </w:t>
      </w:r>
      <w:r>
        <w:rPr>
          <w:rFonts w:ascii="Calibri" w:eastAsia="Times New Roman" w:hAnsi="Calibri" w:cs="Times New Roman"/>
          <w:color w:val="222222"/>
          <w:lang w:eastAsia="en-AU"/>
        </w:rPr>
        <w:t xml:space="preserve">progress, </w:t>
      </w:r>
      <w:r w:rsidRPr="00417046">
        <w:rPr>
          <w:rFonts w:ascii="Calibri" w:eastAsia="Times New Roman" w:hAnsi="Calibri" w:cs="Times New Roman"/>
          <w:color w:val="222222"/>
          <w:lang w:eastAsia="en-AU"/>
        </w:rPr>
        <w:t>changes in programming, and any contextual shifts; support for improved sector responsiveness and support to women who experience crime, particularly family and gender-based violence; and raising gender issues in dialogue with sector representatives (including leaders), decision-makers and in public forms.  (Specific areas of program support for gender justice are described above at section 3.4.)</w:t>
      </w:r>
    </w:p>
    <w:p w:rsidR="00CA7A38" w:rsidRPr="003330C2" w:rsidRDefault="00CA7A38" w:rsidP="00E70031">
      <w:pPr>
        <w:pStyle w:val="ListParagraph"/>
        <w:numPr>
          <w:ilvl w:val="0"/>
          <w:numId w:val="20"/>
        </w:numPr>
        <w:autoSpaceDE w:val="0"/>
        <w:autoSpaceDN w:val="0"/>
        <w:adjustRightInd w:val="0"/>
        <w:spacing w:before="240" w:line="276" w:lineRule="auto"/>
        <w:ind w:left="714" w:hanging="357"/>
        <w:contextualSpacing w:val="0"/>
        <w:jc w:val="both"/>
        <w:rPr>
          <w:rFonts w:ascii="Calibri" w:eastAsia="Times New Roman" w:hAnsi="Calibri" w:cs="Times New Roman"/>
          <w:iCs/>
          <w:lang w:val="en-GB" w:eastAsia="en-AU"/>
        </w:rPr>
      </w:pPr>
      <w:r>
        <w:rPr>
          <w:rFonts w:cstheme="minorHAnsi"/>
          <w:b/>
        </w:rPr>
        <w:t xml:space="preserve">Disability inclusiveness: </w:t>
      </w:r>
      <w:r>
        <w:rPr>
          <w:rFonts w:ascii="Calibri" w:eastAsia="Times New Roman" w:hAnsi="Calibri" w:cs="Times New Roman"/>
          <w:color w:val="222222"/>
          <w:lang w:val="en-GB" w:eastAsia="en-AU"/>
        </w:rPr>
        <w:t xml:space="preserve"> In line with </w:t>
      </w:r>
      <w:proofErr w:type="spellStart"/>
      <w:r>
        <w:rPr>
          <w:rFonts w:ascii="Calibri" w:eastAsia="Times New Roman" w:hAnsi="Calibri" w:cs="Times New Roman"/>
          <w:color w:val="222222"/>
          <w:lang w:val="en-GB" w:eastAsia="en-AU"/>
        </w:rPr>
        <w:t>GoV</w:t>
      </w:r>
      <w:proofErr w:type="spellEnd"/>
      <w:r>
        <w:rPr>
          <w:rFonts w:ascii="Calibri" w:eastAsia="Times New Roman" w:hAnsi="Calibri" w:cs="Times New Roman"/>
          <w:color w:val="222222"/>
          <w:lang w:val="en-GB" w:eastAsia="en-AU"/>
        </w:rPr>
        <w:t xml:space="preserve"> and </w:t>
      </w:r>
      <w:proofErr w:type="spellStart"/>
      <w:r>
        <w:rPr>
          <w:rFonts w:ascii="Calibri" w:eastAsia="Times New Roman" w:hAnsi="Calibri" w:cs="Times New Roman"/>
          <w:color w:val="222222"/>
          <w:lang w:val="en-GB" w:eastAsia="en-AU"/>
        </w:rPr>
        <w:t>GoA</w:t>
      </w:r>
      <w:proofErr w:type="spellEnd"/>
      <w:r>
        <w:rPr>
          <w:rFonts w:ascii="Calibri" w:eastAsia="Times New Roman" w:hAnsi="Calibri" w:cs="Times New Roman"/>
          <w:color w:val="222222"/>
          <w:lang w:val="en-GB" w:eastAsia="en-AU"/>
        </w:rPr>
        <w:t xml:space="preserve"> policy frameworks and the Convention on the Rights of Persons with Disabilities (to which Vanuatu and Australia are States Parties),</w:t>
      </w:r>
      <w:r>
        <w:rPr>
          <w:rFonts w:cstheme="minorHAnsi"/>
          <w:b/>
        </w:rPr>
        <w:t xml:space="preserve"> </w:t>
      </w:r>
      <w:r>
        <w:rPr>
          <w:rFonts w:ascii="Calibri" w:eastAsia="Times New Roman" w:hAnsi="Calibri" w:cs="Times New Roman"/>
          <w:color w:val="222222"/>
          <w:lang w:val="en-GB" w:eastAsia="en-AU"/>
        </w:rPr>
        <w:t>SRBJS will seek to help GoV protect, respect and fulfil the human rights of persons with disabilities</w:t>
      </w:r>
      <w:r>
        <w:rPr>
          <w:rFonts w:ascii="Calibri" w:eastAsia="Times New Roman" w:hAnsi="Calibri" w:cs="Times New Roman"/>
          <w:i/>
          <w:iCs/>
          <w:color w:val="222222"/>
          <w:lang w:val="en-GB" w:eastAsia="en-AU"/>
        </w:rPr>
        <w:t>.</w:t>
      </w:r>
      <w:r w:rsidRPr="00A3465A">
        <w:rPr>
          <w:rStyle w:val="FootnoteReference"/>
          <w:rFonts w:ascii="Calibri" w:eastAsia="Times New Roman" w:hAnsi="Calibri" w:cs="Times New Roman"/>
          <w:iCs/>
          <w:color w:val="222222"/>
          <w:lang w:val="en-GB" w:eastAsia="en-AU"/>
        </w:rPr>
        <w:footnoteReference w:id="70"/>
      </w:r>
      <w:r>
        <w:rPr>
          <w:rFonts w:ascii="Calibri" w:eastAsia="Times New Roman" w:hAnsi="Calibri" w:cs="Times New Roman"/>
          <w:iCs/>
          <w:color w:val="222222"/>
          <w:lang w:val="en-GB" w:eastAsia="en-AU"/>
        </w:rPr>
        <w:t xml:space="preserve">  This will include providing support to sector agencies to respond more effectively to the needs of persons with disabilities, including promoting more equitable access to policing and justice services</w:t>
      </w:r>
      <w:r>
        <w:rPr>
          <w:rFonts w:ascii="Calibri" w:eastAsia="Times New Roman" w:hAnsi="Calibri" w:cs="Times New Roman"/>
          <w:iCs/>
          <w:color w:val="222222"/>
          <w:lang w:eastAsia="en-AU"/>
        </w:rPr>
        <w:t>.</w:t>
      </w:r>
      <w:r>
        <w:rPr>
          <w:rFonts w:ascii="Calibri" w:eastAsia="Times New Roman" w:hAnsi="Calibri" w:cs="Times New Roman"/>
          <w:iCs/>
          <w:color w:val="222222"/>
          <w:lang w:val="en-GB" w:eastAsia="en-AU"/>
        </w:rPr>
        <w:t xml:space="preserve"> </w:t>
      </w:r>
      <w:r w:rsidRPr="00B01421">
        <w:rPr>
          <w:rFonts w:ascii="Calibri" w:eastAsia="Times New Roman" w:hAnsi="Calibri" w:cs="Times New Roman"/>
          <w:iCs/>
          <w:color w:val="FF0000"/>
          <w:lang w:val="en-GB" w:eastAsia="en-AU"/>
        </w:rPr>
        <w:t xml:space="preserve"> </w:t>
      </w:r>
      <w:r w:rsidRPr="00B01421">
        <w:rPr>
          <w:rFonts w:ascii="Calibri" w:eastAsia="Times New Roman" w:hAnsi="Calibri" w:cs="Times New Roman"/>
          <w:iCs/>
          <w:lang w:val="en-GB" w:eastAsia="en-AU"/>
        </w:rPr>
        <w:t>In previous iterations of the program, support has been provided to expand awareness of disability rights as well as</w:t>
      </w:r>
      <w:r>
        <w:rPr>
          <w:rFonts w:ascii="Calibri" w:eastAsia="Times New Roman" w:hAnsi="Calibri" w:cs="Times New Roman"/>
          <w:iCs/>
          <w:lang w:val="en-GB" w:eastAsia="en-AU"/>
        </w:rPr>
        <w:t xml:space="preserve"> for</w:t>
      </w:r>
      <w:r w:rsidRPr="00B01421">
        <w:rPr>
          <w:rFonts w:ascii="Calibri" w:eastAsia="Times New Roman" w:hAnsi="Calibri" w:cs="Times New Roman"/>
          <w:iCs/>
          <w:lang w:val="en-GB" w:eastAsia="en-AU"/>
        </w:rPr>
        <w:t xml:space="preserve"> some targeted service delivery activities.</w:t>
      </w:r>
      <w:r>
        <w:rPr>
          <w:rFonts w:ascii="Calibri" w:eastAsia="Times New Roman" w:hAnsi="Calibri" w:cs="Times New Roman"/>
          <w:iCs/>
          <w:lang w:val="en-GB" w:eastAsia="en-AU"/>
        </w:rPr>
        <w:t xml:space="preserve">  The design advocates for continued program support for disability-inclusive development (see section 3.4 (iii)).  </w:t>
      </w:r>
      <w:r w:rsidRPr="003330C2">
        <w:rPr>
          <w:rFonts w:cstheme="minorHAnsi"/>
        </w:rPr>
        <w:t xml:space="preserve">A disability analysis is set out at Annex </w:t>
      </w:r>
      <w:r w:rsidR="00AA0FAA">
        <w:rPr>
          <w:rFonts w:cstheme="minorHAnsi"/>
        </w:rPr>
        <w:t>3</w:t>
      </w:r>
      <w:r w:rsidRPr="003330C2">
        <w:rPr>
          <w:rFonts w:cstheme="minorHAnsi"/>
        </w:rPr>
        <w:t>.  SRBJS could also develop a Disability Inclusion Strategy once program implementation has commenced.</w:t>
      </w:r>
    </w:p>
    <w:p w:rsidR="00CA7A38" w:rsidRPr="00B01421" w:rsidRDefault="00CA7A38" w:rsidP="00E70031">
      <w:pPr>
        <w:pStyle w:val="ListParagraph"/>
        <w:numPr>
          <w:ilvl w:val="0"/>
          <w:numId w:val="20"/>
        </w:numPr>
        <w:autoSpaceDE w:val="0"/>
        <w:autoSpaceDN w:val="0"/>
        <w:adjustRightInd w:val="0"/>
        <w:spacing w:before="240" w:line="276" w:lineRule="auto"/>
        <w:ind w:left="714" w:hanging="357"/>
        <w:contextualSpacing w:val="0"/>
        <w:jc w:val="both"/>
        <w:rPr>
          <w:rFonts w:cstheme="minorHAnsi"/>
          <w:b/>
        </w:rPr>
      </w:pPr>
      <w:r w:rsidRPr="006D5D15">
        <w:rPr>
          <w:rFonts w:cstheme="minorHAnsi"/>
          <w:b/>
        </w:rPr>
        <w:t>Child protection</w:t>
      </w:r>
      <w:r>
        <w:rPr>
          <w:rFonts w:cstheme="minorHAnsi"/>
          <w:b/>
        </w:rPr>
        <w:t xml:space="preserve"> and juvenile justice</w:t>
      </w:r>
      <w:r w:rsidRPr="006D5D15">
        <w:rPr>
          <w:rFonts w:cstheme="minorHAnsi"/>
          <w:b/>
        </w:rPr>
        <w:t xml:space="preserve">: </w:t>
      </w:r>
      <w:r w:rsidRPr="00B01421">
        <w:rPr>
          <w:rFonts w:cstheme="minorHAnsi"/>
          <w:color w:val="000000"/>
        </w:rPr>
        <w:t>Vanuatu acceded to the Convention on the Rights of the Child in 1992, which includes special protection</w:t>
      </w:r>
      <w:r>
        <w:rPr>
          <w:rFonts w:cstheme="minorHAnsi"/>
          <w:color w:val="000000"/>
        </w:rPr>
        <w:t xml:space="preserve"> measures for Juvenile Justice.</w:t>
      </w:r>
      <w:r>
        <w:rPr>
          <w:rStyle w:val="FootnoteReference"/>
          <w:rFonts w:cstheme="minorHAnsi"/>
          <w:color w:val="000000"/>
        </w:rPr>
        <w:footnoteReference w:id="71"/>
      </w:r>
      <w:r>
        <w:rPr>
          <w:rFonts w:cstheme="minorHAnsi"/>
          <w:color w:val="000000"/>
        </w:rPr>
        <w:t xml:space="preserve">  Child Desk, </w:t>
      </w:r>
      <w:r w:rsidRPr="00B01421">
        <w:rPr>
          <w:rFonts w:cstheme="minorHAnsi"/>
          <w:color w:val="000000"/>
        </w:rPr>
        <w:t xml:space="preserve">MCJS </w:t>
      </w:r>
      <w:r>
        <w:rPr>
          <w:rFonts w:cstheme="minorHAnsi"/>
          <w:color w:val="000000"/>
        </w:rPr>
        <w:t xml:space="preserve">leads GoV response on child protection, and juvenile justice </w:t>
      </w:r>
      <w:r w:rsidRPr="00B01421">
        <w:rPr>
          <w:rFonts w:cstheme="minorHAnsi"/>
          <w:color w:val="000000"/>
        </w:rPr>
        <w:t xml:space="preserve">is one </w:t>
      </w:r>
      <w:r>
        <w:rPr>
          <w:rFonts w:cstheme="minorHAnsi"/>
          <w:color w:val="000000"/>
        </w:rPr>
        <w:t xml:space="preserve">of the JCSSS strategies.  </w:t>
      </w:r>
      <w:r w:rsidRPr="00B01421">
        <w:rPr>
          <w:rFonts w:cstheme="minorHAnsi"/>
          <w:color w:val="000000"/>
        </w:rPr>
        <w:t xml:space="preserve">Most </w:t>
      </w:r>
      <w:r>
        <w:rPr>
          <w:rFonts w:cstheme="minorHAnsi"/>
          <w:color w:val="000000"/>
        </w:rPr>
        <w:t xml:space="preserve">sector </w:t>
      </w:r>
      <w:r w:rsidRPr="00B01421">
        <w:rPr>
          <w:rFonts w:cstheme="minorHAnsi"/>
          <w:color w:val="000000"/>
        </w:rPr>
        <w:t xml:space="preserve">agencies have signed a juvenile justice Memorandum of Understanding (MOU) to progress procedural juvenile justice issues within the </w:t>
      </w:r>
      <w:r>
        <w:rPr>
          <w:rFonts w:cstheme="minorHAnsi"/>
          <w:color w:val="000000"/>
        </w:rPr>
        <w:t xml:space="preserve">sector.  This resulted from </w:t>
      </w:r>
      <w:r w:rsidRPr="00B01421">
        <w:rPr>
          <w:rFonts w:cstheme="minorHAnsi"/>
          <w:color w:val="000000"/>
        </w:rPr>
        <w:t>a workshop conducted by the Pacific Judicial Development Program (PJDP) in 2013.</w:t>
      </w:r>
      <w:r>
        <w:rPr>
          <w:rFonts w:cstheme="minorHAnsi"/>
          <w:color w:val="000000"/>
        </w:rPr>
        <w:t xml:space="preserve">  The design incorporates a </w:t>
      </w:r>
      <w:r w:rsidRPr="00B01421">
        <w:rPr>
          <w:rFonts w:cstheme="minorHAnsi"/>
          <w:color w:val="000000"/>
        </w:rPr>
        <w:t xml:space="preserve">focus on child </w:t>
      </w:r>
      <w:r>
        <w:rPr>
          <w:rFonts w:cstheme="minorHAnsi"/>
          <w:color w:val="000000"/>
        </w:rPr>
        <w:t>protection,</w:t>
      </w:r>
      <w:r w:rsidRPr="00B01421">
        <w:rPr>
          <w:rFonts w:cstheme="minorHAnsi"/>
          <w:color w:val="000000"/>
        </w:rPr>
        <w:t xml:space="preserve"> access to justice for children</w:t>
      </w:r>
      <w:r>
        <w:rPr>
          <w:rFonts w:cstheme="minorHAnsi"/>
          <w:color w:val="000000"/>
        </w:rPr>
        <w:t xml:space="preserve">, and </w:t>
      </w:r>
      <w:r w:rsidRPr="00B01421">
        <w:rPr>
          <w:rFonts w:cstheme="minorHAnsi"/>
          <w:color w:val="000000"/>
        </w:rPr>
        <w:t>youth in conflict with the law, in line with GoV priorities and clear areas of need.</w:t>
      </w:r>
    </w:p>
    <w:p w:rsidR="00CA7A38" w:rsidRPr="002A608D" w:rsidRDefault="00CA7A38" w:rsidP="00E70031">
      <w:pPr>
        <w:pStyle w:val="ListParagraph"/>
        <w:autoSpaceDE w:val="0"/>
        <w:autoSpaceDN w:val="0"/>
        <w:adjustRightInd w:val="0"/>
        <w:spacing w:after="0"/>
        <w:jc w:val="both"/>
        <w:rPr>
          <w:rFonts w:cstheme="minorHAnsi"/>
          <w:color w:val="000000"/>
        </w:rPr>
      </w:pPr>
      <w:r>
        <w:rPr>
          <w:rFonts w:cstheme="minorHAnsi"/>
          <w:color w:val="000000"/>
        </w:rPr>
        <w:t>DFAT’s</w:t>
      </w:r>
      <w:r w:rsidRPr="00B01421">
        <w:rPr>
          <w:rFonts w:cstheme="minorHAnsi"/>
          <w:color w:val="000000"/>
        </w:rPr>
        <w:t xml:space="preserve"> </w:t>
      </w:r>
      <w:r w:rsidRPr="00B01421">
        <w:rPr>
          <w:rFonts w:cstheme="minorHAnsi"/>
          <w:i/>
          <w:iCs/>
          <w:color w:val="000000"/>
        </w:rPr>
        <w:t xml:space="preserve">Child Protection Policy </w:t>
      </w:r>
      <w:r>
        <w:rPr>
          <w:rFonts w:cstheme="minorHAnsi"/>
          <w:color w:val="000000"/>
        </w:rPr>
        <w:t xml:space="preserve">states that DFAT </w:t>
      </w:r>
      <w:r w:rsidRPr="00B01421">
        <w:rPr>
          <w:rFonts w:cstheme="minorHAnsi"/>
          <w:color w:val="000000"/>
        </w:rPr>
        <w:t>has zero tolerance for child abuse.</w:t>
      </w:r>
      <w:r>
        <w:rPr>
          <w:rStyle w:val="FootnoteReference"/>
          <w:rFonts w:cstheme="minorHAnsi"/>
          <w:color w:val="000000"/>
        </w:rPr>
        <w:footnoteReference w:id="72"/>
      </w:r>
      <w:r>
        <w:rPr>
          <w:rFonts w:cstheme="minorHAnsi"/>
          <w:color w:val="000000"/>
        </w:rPr>
        <w:t xml:space="preserve">  </w:t>
      </w:r>
      <w:r w:rsidRPr="00B01421">
        <w:rPr>
          <w:rFonts w:cstheme="minorHAnsi"/>
          <w:color w:val="000000"/>
        </w:rPr>
        <w:t xml:space="preserve">The </w:t>
      </w:r>
      <w:r>
        <w:t xml:space="preserve">managing contractor </w:t>
      </w:r>
      <w:r w:rsidRPr="00B01421">
        <w:rPr>
          <w:rFonts w:cstheme="minorHAnsi"/>
          <w:color w:val="000000"/>
        </w:rPr>
        <w:t xml:space="preserve">and any NGO </w:t>
      </w:r>
      <w:r>
        <w:rPr>
          <w:rFonts w:cstheme="minorHAnsi"/>
          <w:color w:val="000000"/>
        </w:rPr>
        <w:t>receiving SRBJS</w:t>
      </w:r>
      <w:r w:rsidRPr="00B01421">
        <w:rPr>
          <w:rFonts w:cstheme="minorHAnsi"/>
          <w:color w:val="000000"/>
        </w:rPr>
        <w:t xml:space="preserve"> funds, and who will work with children, will be required to have a chil</w:t>
      </w:r>
      <w:r>
        <w:rPr>
          <w:rFonts w:cstheme="minorHAnsi"/>
          <w:color w:val="000000"/>
        </w:rPr>
        <w:t xml:space="preserve">d protection strategy and meet DFAT </w:t>
      </w:r>
      <w:r w:rsidRPr="00B01421">
        <w:rPr>
          <w:rFonts w:cstheme="minorHAnsi"/>
          <w:color w:val="000000"/>
        </w:rPr>
        <w:t xml:space="preserve">standards. </w:t>
      </w:r>
    </w:p>
    <w:p w:rsidR="00CA7A38" w:rsidRPr="00416CB7" w:rsidRDefault="00CA7A38" w:rsidP="00E70031">
      <w:pPr>
        <w:pStyle w:val="ListParagraph"/>
        <w:numPr>
          <w:ilvl w:val="0"/>
          <w:numId w:val="20"/>
        </w:numPr>
        <w:autoSpaceDE w:val="0"/>
        <w:autoSpaceDN w:val="0"/>
        <w:adjustRightInd w:val="0"/>
        <w:spacing w:before="240" w:line="276" w:lineRule="auto"/>
        <w:ind w:left="714" w:hanging="357"/>
        <w:contextualSpacing w:val="0"/>
        <w:jc w:val="both"/>
        <w:rPr>
          <w:rFonts w:cstheme="minorHAnsi"/>
        </w:rPr>
      </w:pPr>
      <w:r w:rsidRPr="006D5D15">
        <w:rPr>
          <w:rFonts w:cstheme="minorHAnsi"/>
          <w:b/>
        </w:rPr>
        <w:t xml:space="preserve">Anti-corruption: </w:t>
      </w:r>
      <w:r>
        <w:rPr>
          <w:rFonts w:cstheme="minorHAnsi"/>
          <w:b/>
        </w:rPr>
        <w:t xml:space="preserve"> </w:t>
      </w:r>
      <w:r w:rsidRPr="00416CB7">
        <w:rPr>
          <w:rFonts w:cstheme="minorHAnsi"/>
        </w:rPr>
        <w:t xml:space="preserve">Anti-corruption in Australian aid programs is </w:t>
      </w:r>
      <w:r>
        <w:rPr>
          <w:rFonts w:cstheme="minorHAnsi"/>
        </w:rPr>
        <w:t>guided by</w:t>
      </w:r>
      <w:r w:rsidRPr="00416CB7">
        <w:rPr>
          <w:rFonts w:cstheme="minorHAnsi"/>
        </w:rPr>
        <w:t xml:space="preserve"> DFAT’s 2015 Governance Strategy.</w:t>
      </w:r>
      <w:r w:rsidRPr="00416CB7">
        <w:rPr>
          <w:rStyle w:val="FootnoteReference"/>
          <w:rFonts w:cstheme="minorHAnsi"/>
        </w:rPr>
        <w:footnoteReference w:id="73"/>
      </w:r>
      <w:r w:rsidRPr="00416CB7">
        <w:rPr>
          <w:rFonts w:cstheme="minorHAnsi"/>
        </w:rPr>
        <w:t xml:space="preserve">  </w:t>
      </w:r>
      <w:r>
        <w:rPr>
          <w:rFonts w:cstheme="minorHAnsi"/>
          <w:lang w:val="en-US"/>
        </w:rPr>
        <w:t>It</w:t>
      </w:r>
      <w:r w:rsidRPr="00416CB7">
        <w:rPr>
          <w:rFonts w:cstheme="minorHAnsi"/>
          <w:lang w:val="en-US"/>
        </w:rPr>
        <w:t xml:space="preserve"> </w:t>
      </w:r>
      <w:r w:rsidRPr="00416CB7">
        <w:rPr>
          <w:rFonts w:cstheme="minorHAnsi"/>
        </w:rPr>
        <w:t xml:space="preserve">highlights the role of public sector management, and public </w:t>
      </w:r>
      <w:r w:rsidRPr="00416CB7">
        <w:rPr>
          <w:rFonts w:cstheme="minorHAnsi"/>
        </w:rPr>
        <w:lastRenderedPageBreak/>
        <w:t xml:space="preserve">financial management reforms in particular, in reducing corruption. The design promotes greater accountability and improved financial and human resource management within the sector.  This is intended to reduce opportunities for corruption </w:t>
      </w:r>
      <w:r w:rsidRPr="00416CB7">
        <w:rPr>
          <w:rFonts w:cstheme="minorHAnsi"/>
          <w:i/>
        </w:rPr>
        <w:t>within the sector</w:t>
      </w:r>
      <w:r w:rsidRPr="00416CB7">
        <w:rPr>
          <w:rFonts w:cstheme="minorHAnsi"/>
        </w:rPr>
        <w:t xml:space="preserve"> while also improving service delivery and stimulating</w:t>
      </w:r>
      <w:r>
        <w:rPr>
          <w:rFonts w:cstheme="minorHAnsi"/>
        </w:rPr>
        <w:t xml:space="preserve"> demand for services.  In SRBJS, AFP and the managing contractors’ </w:t>
      </w:r>
      <w:r w:rsidRPr="00416CB7">
        <w:rPr>
          <w:rFonts w:cstheme="minorHAnsi"/>
        </w:rPr>
        <w:t xml:space="preserve">systems will guard against fraudulent use of Australian funds. </w:t>
      </w:r>
    </w:p>
    <w:p w:rsidR="00CA7A38" w:rsidRDefault="00CA7A38" w:rsidP="00E70031">
      <w:pPr>
        <w:pStyle w:val="ListParagraph"/>
        <w:autoSpaceDE w:val="0"/>
        <w:autoSpaceDN w:val="0"/>
        <w:adjustRightInd w:val="0"/>
        <w:spacing w:before="240" w:line="276" w:lineRule="auto"/>
        <w:ind w:left="714"/>
        <w:contextualSpacing w:val="0"/>
        <w:jc w:val="both"/>
        <w:rPr>
          <w:rFonts w:cstheme="minorHAnsi"/>
        </w:rPr>
      </w:pPr>
      <w:r w:rsidRPr="00416CB7">
        <w:rPr>
          <w:rFonts w:cstheme="minorHAnsi"/>
        </w:rPr>
        <w:t xml:space="preserve">To help counter corruption, </w:t>
      </w:r>
      <w:r>
        <w:rPr>
          <w:rFonts w:cstheme="minorHAnsi"/>
        </w:rPr>
        <w:t>SRBJS</w:t>
      </w:r>
      <w:r w:rsidRPr="00416CB7">
        <w:rPr>
          <w:rFonts w:cstheme="minorHAnsi"/>
        </w:rPr>
        <w:t xml:space="preserve"> will support the sector to strengthen data collection and information management.  </w:t>
      </w:r>
      <w:r>
        <w:rPr>
          <w:rFonts w:cstheme="minorHAnsi"/>
        </w:rPr>
        <w:t>SRBJS</w:t>
      </w:r>
      <w:r w:rsidRPr="00416CB7">
        <w:rPr>
          <w:rFonts w:cstheme="minorHAnsi"/>
        </w:rPr>
        <w:t xml:space="preserve"> will also provide support for public financial management risk assessments, increased transparency in court case management and improved financial management including audit and budgetary processes across all sector agencies.  A focus on merit-based, transparent and ethical human resource management will also be an important element of the program’s approach to anti-corruption (for the program and sector). </w:t>
      </w:r>
    </w:p>
    <w:p w:rsidR="00CA7A38" w:rsidRPr="00B96622" w:rsidRDefault="00CA7A38" w:rsidP="00E70031">
      <w:pPr>
        <w:autoSpaceDE w:val="0"/>
        <w:autoSpaceDN w:val="0"/>
        <w:adjustRightInd w:val="0"/>
        <w:spacing w:before="240" w:line="276" w:lineRule="auto"/>
        <w:jc w:val="both"/>
        <w:rPr>
          <w:rFonts w:cstheme="minorHAnsi"/>
        </w:rPr>
      </w:pPr>
    </w:p>
    <w:p w:rsidR="00CA7A38" w:rsidRPr="00A94377" w:rsidRDefault="00CA7A38" w:rsidP="00E70031">
      <w:pPr>
        <w:pStyle w:val="Heading2"/>
        <w:numPr>
          <w:ilvl w:val="1"/>
          <w:numId w:val="1"/>
        </w:numPr>
        <w:jc w:val="both"/>
        <w:rPr>
          <w:rFonts w:asciiTheme="minorHAnsi" w:hAnsiTheme="minorHAnsi"/>
          <w:color w:val="auto"/>
          <w:sz w:val="22"/>
          <w:szCs w:val="22"/>
        </w:rPr>
      </w:pPr>
      <w:bookmarkStart w:id="19" w:name="_Toc458698422"/>
      <w:r w:rsidRPr="00A94377">
        <w:rPr>
          <w:rFonts w:asciiTheme="minorHAnsi" w:hAnsiTheme="minorHAnsi"/>
          <w:color w:val="000000" w:themeColor="text1"/>
          <w:sz w:val="22"/>
          <w:szCs w:val="22"/>
        </w:rPr>
        <w:t>Form of Aid</w:t>
      </w:r>
      <w:bookmarkEnd w:id="19"/>
    </w:p>
    <w:p w:rsidR="00CA7A38" w:rsidRPr="00F2751E" w:rsidRDefault="00CA7A38" w:rsidP="00E70031">
      <w:pPr>
        <w:spacing w:before="240" w:after="0" w:line="276" w:lineRule="auto"/>
        <w:jc w:val="both"/>
        <w:rPr>
          <w:rFonts w:ascii="Calibri" w:eastAsia="Times New Roman" w:hAnsi="Calibri" w:cs="Times New Roman"/>
          <w:lang w:eastAsia="en-AU"/>
        </w:rPr>
      </w:pPr>
      <w:r w:rsidRPr="003D2007">
        <w:rPr>
          <w:rFonts w:ascii="Calibri" w:eastAsia="Times New Roman" w:hAnsi="Calibri" w:cs="Times New Roman"/>
          <w:lang w:eastAsia="en-AU"/>
        </w:rPr>
        <w:t xml:space="preserve">The form of aid is predominantly a </w:t>
      </w:r>
      <w:r>
        <w:rPr>
          <w:rFonts w:ascii="Calibri" w:eastAsia="Times New Roman" w:hAnsi="Calibri" w:cs="Times New Roman"/>
          <w:lang w:eastAsia="en-AU"/>
        </w:rPr>
        <w:t>P</w:t>
      </w:r>
      <w:r w:rsidRPr="003D2007">
        <w:rPr>
          <w:rFonts w:ascii="Calibri" w:eastAsia="Times New Roman" w:hAnsi="Calibri" w:cs="Times New Roman"/>
          <w:lang w:eastAsia="en-AU"/>
        </w:rPr>
        <w:t xml:space="preserve">artnership managed by </w:t>
      </w:r>
      <w:r>
        <w:rPr>
          <w:rFonts w:ascii="Calibri" w:eastAsia="Times New Roman" w:hAnsi="Calibri" w:cs="Times New Roman"/>
          <w:lang w:eastAsia="en-AU"/>
        </w:rPr>
        <w:t xml:space="preserve">DFAT and implemented by </w:t>
      </w:r>
      <w:r w:rsidRPr="003D2007">
        <w:rPr>
          <w:rFonts w:ascii="Calibri" w:eastAsia="Times New Roman" w:hAnsi="Calibri" w:cs="Times New Roman"/>
          <w:lang w:eastAsia="en-AU"/>
        </w:rPr>
        <w:t>a</w:t>
      </w:r>
      <w:r w:rsidRPr="003F4188">
        <w:t xml:space="preserve"> </w:t>
      </w:r>
      <w:r>
        <w:t>managing contractor and the AFP</w:t>
      </w:r>
      <w:r>
        <w:rPr>
          <w:rFonts w:ascii="Calibri" w:eastAsia="Times New Roman" w:hAnsi="Calibri" w:cs="Times New Roman"/>
          <w:lang w:eastAsia="en-AU"/>
        </w:rPr>
        <w:t>.  P</w:t>
      </w:r>
      <w:r w:rsidRPr="003D2007">
        <w:rPr>
          <w:rFonts w:ascii="Calibri" w:eastAsia="Times New Roman" w:hAnsi="Calibri" w:cs="Times New Roman"/>
          <w:lang w:eastAsia="en-AU"/>
        </w:rPr>
        <w:t>revious fiduciary risk assessments and advice of the PJSPV Publi</w:t>
      </w:r>
      <w:r>
        <w:rPr>
          <w:rFonts w:ascii="Calibri" w:eastAsia="Times New Roman" w:hAnsi="Calibri" w:cs="Times New Roman"/>
          <w:lang w:eastAsia="en-AU"/>
        </w:rPr>
        <w:t xml:space="preserve">c Financial Management Adviser indicate that </w:t>
      </w:r>
      <w:r w:rsidRPr="003D2007">
        <w:rPr>
          <w:rFonts w:ascii="Calibri" w:eastAsia="Times New Roman" w:hAnsi="Calibri" w:cs="Times New Roman"/>
          <w:lang w:eastAsia="en-AU"/>
        </w:rPr>
        <w:t xml:space="preserve">GoV financial systems in the sector require further enhancements to </w:t>
      </w:r>
      <w:r>
        <w:rPr>
          <w:rFonts w:ascii="Calibri" w:eastAsia="Times New Roman" w:hAnsi="Calibri" w:cs="Times New Roman"/>
          <w:lang w:eastAsia="en-AU"/>
        </w:rPr>
        <w:t>receive</w:t>
      </w:r>
      <w:r w:rsidRPr="003D2007">
        <w:rPr>
          <w:rFonts w:ascii="Calibri" w:eastAsia="Times New Roman" w:hAnsi="Calibri" w:cs="Times New Roman"/>
          <w:lang w:eastAsia="en-AU"/>
        </w:rPr>
        <w:t xml:space="preserve"> donor funds.  The Partnership incrementally allows for increasing funds to be directed through GoV systems as public financial management improves within MJCS, VPF and other sector agencies.  At the moment, however, it is judged that systems need significant development for this to occur.  Perhaps during the second half of </w:t>
      </w:r>
      <w:r>
        <w:rPr>
          <w:rFonts w:ascii="Calibri" w:eastAsia="Times New Roman" w:hAnsi="Calibri" w:cs="Times New Roman"/>
          <w:lang w:eastAsia="en-AU"/>
        </w:rPr>
        <w:t>SRBJS,</w:t>
      </w:r>
      <w:r w:rsidRPr="003D2007">
        <w:rPr>
          <w:rFonts w:ascii="Calibri" w:eastAsia="Times New Roman" w:hAnsi="Calibri" w:cs="Times New Roman"/>
          <w:lang w:eastAsia="en-AU"/>
        </w:rPr>
        <w:t xml:space="preserve"> small funds </w:t>
      </w:r>
      <w:r>
        <w:rPr>
          <w:rFonts w:ascii="Calibri" w:eastAsia="Times New Roman" w:hAnsi="Calibri" w:cs="Times New Roman"/>
          <w:lang w:eastAsia="en-AU"/>
        </w:rPr>
        <w:t>could be put into GoV systems.  T</w:t>
      </w:r>
      <w:r w:rsidRPr="003D2007">
        <w:rPr>
          <w:rFonts w:ascii="Calibri" w:eastAsia="Times New Roman" w:hAnsi="Calibri" w:cs="Times New Roman"/>
          <w:lang w:eastAsia="en-AU"/>
        </w:rPr>
        <w:t>his would be predicated on significant en</w:t>
      </w:r>
      <w:r>
        <w:rPr>
          <w:rFonts w:ascii="Calibri" w:eastAsia="Times New Roman" w:hAnsi="Calibri" w:cs="Times New Roman"/>
          <w:lang w:eastAsia="en-AU"/>
        </w:rPr>
        <w:t xml:space="preserve">hancements to the systems, </w:t>
      </w:r>
      <w:r w:rsidRPr="003D2007">
        <w:rPr>
          <w:rFonts w:ascii="Calibri" w:eastAsia="Times New Roman" w:hAnsi="Calibri" w:cs="Times New Roman"/>
          <w:lang w:eastAsia="en-AU"/>
        </w:rPr>
        <w:t>elevated capacity of GoV officers managing them</w:t>
      </w:r>
      <w:r>
        <w:rPr>
          <w:rFonts w:ascii="Calibri" w:eastAsia="Times New Roman" w:hAnsi="Calibri" w:cs="Times New Roman"/>
          <w:lang w:eastAsia="en-AU"/>
        </w:rPr>
        <w:t>, and the findings of a DFAT public financial management assessment</w:t>
      </w:r>
      <w:r w:rsidRPr="003D2007">
        <w:rPr>
          <w:rFonts w:ascii="Calibri" w:eastAsia="Times New Roman" w:hAnsi="Calibri" w:cs="Times New Roman"/>
          <w:color w:val="222222"/>
          <w:lang w:eastAsia="en-AU"/>
        </w:rPr>
        <w:t>.</w:t>
      </w:r>
      <w:r>
        <w:rPr>
          <w:rFonts w:ascii="Calibri" w:eastAsia="Times New Roman" w:hAnsi="Calibri" w:cs="Times New Roman"/>
          <w:color w:val="222222"/>
          <w:lang w:eastAsia="en-AU"/>
        </w:rPr>
        <w:t xml:space="preserve">  </w:t>
      </w:r>
    </w:p>
    <w:p w:rsidR="00CA7A38" w:rsidRPr="004248AC" w:rsidRDefault="00CA7A38" w:rsidP="00E70031">
      <w:pPr>
        <w:shd w:val="clear" w:color="auto" w:fill="FFFFFF"/>
        <w:spacing w:before="240" w:after="0" w:line="276" w:lineRule="auto"/>
        <w:jc w:val="both"/>
        <w:rPr>
          <w:rFonts w:ascii="Calibri" w:eastAsia="Times New Roman" w:hAnsi="Calibri" w:cs="Times New Roman"/>
          <w:color w:val="222222"/>
          <w:lang w:eastAsia="en-AU"/>
        </w:rPr>
        <w:sectPr w:rsidR="00CA7A38" w:rsidRPr="004248AC" w:rsidSect="00E70031">
          <w:pgSz w:w="11906" w:h="16838"/>
          <w:pgMar w:top="1440" w:right="1440" w:bottom="1440" w:left="1440" w:header="709" w:footer="709" w:gutter="0"/>
          <w:cols w:space="708"/>
          <w:docGrid w:linePitch="360"/>
        </w:sectPr>
      </w:pPr>
      <w:r w:rsidRPr="006015B7">
        <w:rPr>
          <w:rFonts w:ascii="Calibri" w:eastAsia="Times New Roman" w:hAnsi="Calibri" w:cs="Times New Roman"/>
          <w:color w:val="222222"/>
          <w:lang w:eastAsia="en-AU"/>
        </w:rPr>
        <w:t>This design advocates for balanced decisions to be made about advisers conducting, at times, in-line work, and at times purely advisory work.  Similarly,</w:t>
      </w:r>
      <w:r>
        <w:rPr>
          <w:rFonts w:ascii="Calibri" w:eastAsia="Times New Roman" w:hAnsi="Calibri" w:cs="Times New Roman"/>
          <w:color w:val="222222"/>
          <w:lang w:eastAsia="en-AU"/>
        </w:rPr>
        <w:t xml:space="preserve"> as SRBJS progresses,</w:t>
      </w:r>
      <w:r w:rsidRPr="006015B7">
        <w:rPr>
          <w:rFonts w:ascii="Calibri" w:eastAsia="Times New Roman" w:hAnsi="Calibri" w:cs="Times New Roman"/>
          <w:color w:val="222222"/>
          <w:lang w:eastAsia="en-AU"/>
        </w:rPr>
        <w:t xml:space="preserve"> strategic decisions will need to be made about whether to fund activities directly or to use GoV systems to fund and also manage activities.  </w:t>
      </w:r>
      <w:r>
        <w:rPr>
          <w:rFonts w:ascii="Calibri" w:eastAsia="Times New Roman" w:hAnsi="Calibri" w:cs="Times New Roman"/>
          <w:color w:val="222222"/>
          <w:lang w:eastAsia="en-AU"/>
        </w:rPr>
        <w:t>SRBJS</w:t>
      </w:r>
      <w:r w:rsidRPr="006015B7">
        <w:rPr>
          <w:rFonts w:ascii="Calibri" w:eastAsia="Times New Roman" w:hAnsi="Calibri" w:cs="Times New Roman"/>
          <w:color w:val="222222"/>
          <w:lang w:eastAsia="en-AU"/>
        </w:rPr>
        <w:t xml:space="preserve"> has been designed so to allow for flexibility in decision-making about how best to channel technical assistance and funds to the sector</w:t>
      </w:r>
      <w:r>
        <w:rPr>
          <w:rFonts w:ascii="Calibri" w:eastAsia="Times New Roman" w:hAnsi="Calibri" w:cs="Times New Roman"/>
          <w:color w:val="222222"/>
          <w:lang w:eastAsia="en-AU"/>
        </w:rPr>
        <w:t xml:space="preserve"> over the four year program cycle — the intention is to facilitate responsiveness to contextual shifts.  Currently in PJSPV, program funds must be paid directly to suppliers.  The exception to this is partners managing funds for activity implementation in provincial locations: small funds are released to partners, for immediate acquittal as soon as practicable after expenditure.  </w:t>
      </w:r>
      <w:proofErr w:type="spellStart"/>
      <w:r w:rsidRPr="00146398">
        <w:rPr>
          <w:rFonts w:ascii="Calibri" w:eastAsia="Times New Roman" w:hAnsi="Calibri" w:cs="Times New Roman"/>
          <w:color w:val="222222"/>
          <w:lang w:eastAsia="en-AU"/>
        </w:rPr>
        <w:t>GoA</w:t>
      </w:r>
      <w:proofErr w:type="spellEnd"/>
      <w:r w:rsidRPr="00146398">
        <w:rPr>
          <w:rFonts w:ascii="Calibri" w:eastAsia="Times New Roman" w:hAnsi="Calibri" w:cs="Times New Roman"/>
          <w:color w:val="222222"/>
          <w:lang w:eastAsia="en-AU"/>
        </w:rPr>
        <w:t xml:space="preserve"> recognises there are systemic issues which may mean advisers bypass partner </w:t>
      </w:r>
      <w:r>
        <w:rPr>
          <w:rFonts w:ascii="Calibri" w:eastAsia="Times New Roman" w:hAnsi="Calibri" w:cs="Times New Roman"/>
          <w:color w:val="222222"/>
          <w:lang w:eastAsia="en-AU"/>
        </w:rPr>
        <w:t>systems.  Where this occurs, a dialogue should follow with GoV to discuss why GoV systems were not used and how systems can be strengthened.  Although GoV financial systems might not be used, GoV procurement and other processes should be used wherever possible.</w:t>
      </w:r>
      <w:r>
        <w:rPr>
          <w:rStyle w:val="FootnoteReference"/>
          <w:rFonts w:ascii="Calibri" w:eastAsia="Times New Roman" w:hAnsi="Calibri" w:cs="Times New Roman"/>
          <w:color w:val="222222"/>
          <w:lang w:eastAsia="en-AU"/>
        </w:rPr>
        <w:footnoteReference w:id="74"/>
      </w:r>
      <w:r>
        <w:rPr>
          <w:rFonts w:ascii="Calibri" w:eastAsia="Times New Roman" w:hAnsi="Calibri" w:cs="Times New Roman"/>
          <w:color w:val="222222"/>
          <w:lang w:eastAsia="en-AU"/>
        </w:rPr>
        <w:t xml:space="preserve"> </w:t>
      </w:r>
    </w:p>
    <w:p w:rsidR="00CA7A38" w:rsidRPr="00917386" w:rsidRDefault="00CA7A38" w:rsidP="00E70031">
      <w:pPr>
        <w:pStyle w:val="Heading2"/>
        <w:numPr>
          <w:ilvl w:val="1"/>
          <w:numId w:val="1"/>
        </w:numPr>
        <w:rPr>
          <w:rFonts w:asciiTheme="minorHAnsi" w:hAnsiTheme="minorHAnsi"/>
          <w:color w:val="000000" w:themeColor="text1"/>
          <w:sz w:val="22"/>
          <w:szCs w:val="22"/>
        </w:rPr>
      </w:pPr>
      <w:bookmarkStart w:id="20" w:name="_Toc458698423"/>
      <w:r w:rsidRPr="00917386">
        <w:rPr>
          <w:rFonts w:asciiTheme="minorHAnsi" w:hAnsiTheme="minorHAnsi"/>
          <w:color w:val="000000" w:themeColor="text1"/>
          <w:sz w:val="22"/>
          <w:szCs w:val="22"/>
        </w:rPr>
        <w:lastRenderedPageBreak/>
        <w:t>Delivery Mechanisms</w:t>
      </w:r>
      <w:bookmarkEnd w:id="20"/>
    </w:p>
    <w:p w:rsidR="00CA7A38" w:rsidRPr="00917386" w:rsidRDefault="00CA7A38" w:rsidP="00E70031">
      <w:pPr>
        <w:spacing w:before="240" w:line="276" w:lineRule="auto"/>
        <w:jc w:val="both"/>
        <w:rPr>
          <w:rFonts w:cstheme="minorHAnsi"/>
        </w:rPr>
      </w:pPr>
      <w:r w:rsidRPr="00917386">
        <w:rPr>
          <w:rFonts w:cstheme="minorHAnsi"/>
        </w:rPr>
        <w:t xml:space="preserve">The table below sets out the types of delivery mechanisms that will be used.  The table shows how </w:t>
      </w:r>
      <w:r>
        <w:rPr>
          <w:rFonts w:cstheme="minorHAnsi"/>
        </w:rPr>
        <w:t xml:space="preserve">SRBJS </w:t>
      </w:r>
      <w:r w:rsidRPr="00917386">
        <w:rPr>
          <w:rFonts w:cstheme="minorHAnsi"/>
        </w:rPr>
        <w:t xml:space="preserve">features a mixture of delivery mechanisms: provision of experts and other technical assistance, financial contributions to core sector agencies, provision of </w:t>
      </w:r>
      <w:r>
        <w:rPr>
          <w:rFonts w:cstheme="minorHAnsi"/>
        </w:rPr>
        <w:t>grants, infrastructure support</w:t>
      </w:r>
      <w:r w:rsidRPr="00917386">
        <w:rPr>
          <w:rFonts w:cstheme="minorHAnsi"/>
        </w:rPr>
        <w:t>,</w:t>
      </w:r>
      <w:r>
        <w:rPr>
          <w:rFonts w:cstheme="minorHAnsi"/>
        </w:rPr>
        <w:t xml:space="preserve"> information systems support,</w:t>
      </w:r>
      <w:r w:rsidRPr="00917386">
        <w:rPr>
          <w:rFonts w:cstheme="minorHAnsi"/>
        </w:rPr>
        <w:t xml:space="preserve"> and support for participation in select regional networks.</w:t>
      </w:r>
    </w:p>
    <w:tbl>
      <w:tblPr>
        <w:tblStyle w:val="LightGrid-Accent1"/>
        <w:tblW w:w="0" w:type="auto"/>
        <w:tblLook w:val="04A0" w:firstRow="1" w:lastRow="0" w:firstColumn="1" w:lastColumn="0" w:noHBand="0" w:noVBand="1"/>
      </w:tblPr>
      <w:tblGrid>
        <w:gridCol w:w="3337"/>
        <w:gridCol w:w="10837"/>
      </w:tblGrid>
      <w:tr w:rsidR="00CA7A38" w:rsidRPr="00011725" w:rsidTr="00E70031">
        <w:trPr>
          <w:cnfStyle w:val="100000000000" w:firstRow="1" w:lastRow="0" w:firstColumn="0" w:lastColumn="0" w:oddVBand="0" w:evenVBand="0" w:oddHBand="0" w:evenHBand="0" w:firstRowFirstColumn="0" w:firstRowLastColumn="0" w:lastRowFirstColumn="0" w:lastRowLastColumn="0"/>
          <w:trHeight w:val="732"/>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EDEDED" w:themeFill="accent3" w:themeFillTint="33"/>
          </w:tcPr>
          <w:p w:rsidR="00CA7A38" w:rsidRPr="00011725" w:rsidRDefault="00CA7A38" w:rsidP="00E70031">
            <w:pPr>
              <w:contextualSpacing/>
              <w:rPr>
                <w:rFonts w:asciiTheme="minorHAnsi" w:hAnsiTheme="minorHAnsi" w:cstheme="minorHAnsi"/>
                <w:lang w:val="en-AU"/>
              </w:rPr>
            </w:pPr>
            <w:r w:rsidRPr="00011725">
              <w:rPr>
                <w:rFonts w:asciiTheme="minorHAnsi" w:hAnsiTheme="minorHAnsi" w:cstheme="minorHAnsi"/>
                <w:lang w:val="en-AU"/>
              </w:rPr>
              <w:t>Delivery Mechanism</w:t>
            </w:r>
          </w:p>
        </w:tc>
        <w:tc>
          <w:tcPr>
            <w:tcW w:w="0" w:type="auto"/>
            <w:shd w:val="clear" w:color="auto" w:fill="EDEDED" w:themeFill="accent3" w:themeFillTint="33"/>
          </w:tcPr>
          <w:p w:rsidR="00CA7A38" w:rsidRPr="00011725" w:rsidRDefault="00CA7A38" w:rsidP="00E70031">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AU"/>
              </w:rPr>
            </w:pPr>
            <w:r w:rsidRPr="00011725">
              <w:rPr>
                <w:rFonts w:asciiTheme="minorHAnsi" w:hAnsiTheme="minorHAnsi" w:cstheme="minorHAnsi"/>
                <w:lang w:val="en-AU"/>
              </w:rPr>
              <w:t>Description</w:t>
            </w:r>
          </w:p>
        </w:tc>
      </w:tr>
      <w:tr w:rsidR="00CA7A38" w:rsidRPr="00011725"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011725" w:rsidRDefault="00CA7A38" w:rsidP="00E70031">
            <w:pPr>
              <w:rPr>
                <w:rFonts w:asciiTheme="minorHAnsi" w:hAnsiTheme="minorHAnsi" w:cstheme="minorHAnsi"/>
                <w:lang w:val="en-AU"/>
              </w:rPr>
            </w:pPr>
            <w:r w:rsidRPr="00011725">
              <w:rPr>
                <w:rFonts w:asciiTheme="minorHAnsi" w:hAnsiTheme="minorHAnsi" w:cstheme="minorHAnsi"/>
                <w:lang w:val="en-AU"/>
              </w:rPr>
              <w:t>Program funding for provision of experts and other technical assistance</w:t>
            </w:r>
          </w:p>
        </w:tc>
        <w:tc>
          <w:tcPr>
            <w:tcW w:w="0" w:type="auto"/>
            <w:shd w:val="clear" w:color="auto" w:fill="DEEAF6" w:themeFill="accent1" w:themeFillTint="33"/>
          </w:tcPr>
          <w:p w:rsidR="00CA7A38" w:rsidRPr="00011725" w:rsidRDefault="00CA7A38" w:rsidP="00E70031">
            <w:pPr>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011725">
              <w:rPr>
                <w:rFonts w:cstheme="minorHAnsi"/>
                <w:lang w:val="en-AU"/>
              </w:rPr>
              <w:t>Program funding for technical assistance (experts, consultants, academics, researchers, volunteers), capacity development activities (such as conferences, seminars, workshops, exchange visits and publications), and research.  Increasing use of GoV systems over time as capacity increases.</w:t>
            </w:r>
          </w:p>
        </w:tc>
      </w:tr>
      <w:tr w:rsidR="00CA7A38" w:rsidRPr="00011725" w:rsidTr="00E700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CA7A38" w:rsidRPr="00011725" w:rsidRDefault="00CA7A38" w:rsidP="00E70031">
            <w:pPr>
              <w:spacing w:after="200"/>
              <w:rPr>
                <w:rFonts w:asciiTheme="minorHAnsi" w:hAnsiTheme="minorHAnsi" w:cstheme="minorHAnsi"/>
                <w:lang w:val="en-AU"/>
              </w:rPr>
            </w:pPr>
            <w:r w:rsidRPr="00011725">
              <w:rPr>
                <w:rFonts w:asciiTheme="minorHAnsi" w:hAnsiTheme="minorHAnsi" w:cstheme="minorHAnsi"/>
                <w:lang w:val="en-AU"/>
              </w:rPr>
              <w:t>Core agency funding</w:t>
            </w:r>
          </w:p>
          <w:p w:rsidR="00CA7A38" w:rsidRPr="00011725" w:rsidRDefault="00CA7A38" w:rsidP="00E70031">
            <w:pPr>
              <w:rPr>
                <w:rFonts w:asciiTheme="minorHAnsi" w:hAnsiTheme="minorHAnsi" w:cstheme="minorHAnsi"/>
                <w:b w:val="0"/>
                <w:lang w:val="en-AU"/>
              </w:rPr>
            </w:pPr>
          </w:p>
        </w:tc>
        <w:tc>
          <w:tcPr>
            <w:tcW w:w="0" w:type="auto"/>
            <w:shd w:val="clear" w:color="auto" w:fill="auto"/>
          </w:tcPr>
          <w:p w:rsidR="00CA7A38" w:rsidRPr="00011725" w:rsidRDefault="00CA7A38" w:rsidP="00E70031">
            <w:pPr>
              <w:cnfStyle w:val="000000010000" w:firstRow="0" w:lastRow="0" w:firstColumn="0" w:lastColumn="0" w:oddVBand="0" w:evenVBand="0" w:oddHBand="0" w:evenHBand="1" w:firstRowFirstColumn="0" w:firstRowLastColumn="0" w:lastRowFirstColumn="0" w:lastRowLastColumn="0"/>
              <w:rPr>
                <w:rFonts w:cstheme="minorHAnsi"/>
                <w:lang w:val="en-AU"/>
              </w:rPr>
            </w:pPr>
            <w:r w:rsidRPr="00011725">
              <w:rPr>
                <w:rFonts w:cstheme="minorHAnsi"/>
                <w:lang w:val="en-AU"/>
              </w:rPr>
              <w:t>Core agency funding will be provided to MJCS and VPF for some staffing and operational costs, initially through program funding and increasingly through GoV systems as capacity increases.  (Such support may similarly be provided to other sector agencies for specific service delivery improvements.)  Any decision on the use of GoV financial systems will be made with reference to (</w:t>
            </w:r>
            <w:proofErr w:type="spellStart"/>
            <w:r w:rsidRPr="00011725">
              <w:rPr>
                <w:rFonts w:cstheme="minorHAnsi"/>
                <w:lang w:val="en-AU"/>
              </w:rPr>
              <w:t>i</w:t>
            </w:r>
            <w:proofErr w:type="spellEnd"/>
            <w:r w:rsidRPr="00011725">
              <w:rPr>
                <w:rFonts w:cstheme="minorHAnsi"/>
                <w:lang w:val="en-AU"/>
              </w:rPr>
              <w:t xml:space="preserve">) progress implementing recommendations of </w:t>
            </w:r>
            <w:proofErr w:type="spellStart"/>
            <w:r w:rsidRPr="00011725">
              <w:rPr>
                <w:rFonts w:cstheme="minorHAnsi"/>
                <w:lang w:val="en-AU"/>
              </w:rPr>
              <w:t>AusAID’s</w:t>
            </w:r>
            <w:proofErr w:type="spellEnd"/>
            <w:r w:rsidRPr="00011725">
              <w:rPr>
                <w:rFonts w:cstheme="minorHAnsi"/>
                <w:lang w:val="en-AU"/>
              </w:rPr>
              <w:t xml:space="preserve"> Assessment of Public Financial Management Systems (2013)</w:t>
            </w:r>
            <w:r>
              <w:rPr>
                <w:rStyle w:val="FootnoteReference"/>
                <w:rFonts w:cstheme="minorHAnsi"/>
                <w:lang w:val="en-AU"/>
              </w:rPr>
              <w:footnoteReference w:id="75"/>
            </w:r>
            <w:r w:rsidRPr="00011725">
              <w:rPr>
                <w:rFonts w:cstheme="minorHAnsi"/>
                <w:lang w:val="en-AU"/>
              </w:rPr>
              <w:t xml:space="preserve"> and (ii) findings of a new DFAT assessment (due in 2017).</w:t>
            </w:r>
          </w:p>
        </w:tc>
      </w:tr>
      <w:tr w:rsidR="00CA7A38" w:rsidRPr="00011725"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011725" w:rsidRDefault="00CA7A38" w:rsidP="00E70031">
            <w:pPr>
              <w:spacing w:after="200"/>
              <w:rPr>
                <w:rFonts w:asciiTheme="minorHAnsi" w:hAnsiTheme="minorHAnsi" w:cstheme="minorHAnsi"/>
                <w:lang w:val="en-AU"/>
              </w:rPr>
            </w:pPr>
            <w:r w:rsidRPr="00011725">
              <w:rPr>
                <w:rFonts w:asciiTheme="minorHAnsi" w:hAnsiTheme="minorHAnsi" w:cstheme="minorHAnsi"/>
                <w:lang w:val="en-AU"/>
              </w:rPr>
              <w:t>VPF Operational Fund</w:t>
            </w:r>
          </w:p>
        </w:tc>
        <w:tc>
          <w:tcPr>
            <w:tcW w:w="0" w:type="auto"/>
            <w:shd w:val="clear" w:color="auto" w:fill="DEEAF6" w:themeFill="accent1" w:themeFillTint="33"/>
          </w:tcPr>
          <w:p w:rsidR="00CA7A38" w:rsidRPr="00011725" w:rsidRDefault="00CA7A38" w:rsidP="00E70031">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011725">
              <w:rPr>
                <w:rFonts w:cstheme="minorHAnsi"/>
                <w:lang w:val="en-AU"/>
              </w:rPr>
              <w:t xml:space="preserve">As one aspect of core agency funding, </w:t>
            </w:r>
            <w:r>
              <w:rPr>
                <w:rFonts w:cstheme="minorHAnsi"/>
                <w:lang w:val="en-AU"/>
              </w:rPr>
              <w:t>SRBJS</w:t>
            </w:r>
            <w:r w:rsidRPr="00011725">
              <w:rPr>
                <w:rFonts w:cstheme="minorHAnsi"/>
                <w:lang w:val="en-AU"/>
              </w:rPr>
              <w:t xml:space="preserve"> will provide funding to enable VPF operational functionality</w:t>
            </w:r>
            <w:r>
              <w:rPr>
                <w:rFonts w:cstheme="minorHAnsi"/>
                <w:lang w:val="en-AU"/>
              </w:rPr>
              <w:t xml:space="preserve"> and general maintenance</w:t>
            </w:r>
            <w:r w:rsidRPr="00011725">
              <w:rPr>
                <w:rFonts w:cstheme="minorHAnsi"/>
                <w:lang w:val="en-AU"/>
              </w:rPr>
              <w:t>.  In terms of the breakdown in use of funds, it is suggested that:</w:t>
            </w:r>
          </w:p>
          <w:p w:rsidR="00CA7A38" w:rsidRPr="00011725" w:rsidRDefault="00CA7A38" w:rsidP="00CA7A38">
            <w:pPr>
              <w:pStyle w:val="ListParagraph"/>
              <w:numPr>
                <w:ilvl w:val="0"/>
                <w:numId w:val="12"/>
              </w:numPr>
              <w:ind w:left="924" w:right="567" w:hanging="357"/>
              <w:cnfStyle w:val="000000100000" w:firstRow="0" w:lastRow="0" w:firstColumn="0" w:lastColumn="0" w:oddVBand="0" w:evenVBand="0" w:oddHBand="1" w:evenHBand="0" w:firstRowFirstColumn="0" w:firstRowLastColumn="0" w:lastRowFirstColumn="0" w:lastRowLastColumn="0"/>
              <w:rPr>
                <w:rFonts w:eastAsiaTheme="minorEastAsia" w:cs="Verdana"/>
                <w:lang w:val="en-US"/>
              </w:rPr>
            </w:pPr>
            <w:r w:rsidRPr="00011725">
              <w:t>Up to 1</w:t>
            </w:r>
            <w:r>
              <w:t>0</w:t>
            </w:r>
            <w:r w:rsidRPr="00011725">
              <w:t>% of the fund be reserved for urgent reactive requirements, the approvals for which will be based on the informed professional judgement of police advisers and their VPF counterparts</w:t>
            </w:r>
          </w:p>
          <w:p w:rsidR="00CA7A38" w:rsidRPr="00573CAF" w:rsidRDefault="00CA7A38" w:rsidP="00CA7A38">
            <w:pPr>
              <w:pStyle w:val="ListParagraph"/>
              <w:widowControl w:val="0"/>
              <w:numPr>
                <w:ilvl w:val="0"/>
                <w:numId w:val="12"/>
              </w:numPr>
              <w:autoSpaceDE w:val="0"/>
              <w:autoSpaceDN w:val="0"/>
              <w:adjustRightInd w:val="0"/>
              <w:spacing w:after="240"/>
              <w:ind w:left="924" w:right="567" w:hanging="357"/>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lang w:val="en-US"/>
              </w:rPr>
              <w:t>25</w:t>
            </w:r>
            <w:r w:rsidRPr="00D53859">
              <w:rPr>
                <w:rFonts w:eastAsiaTheme="minorEastAsia"/>
                <w:lang w:val="en-US"/>
              </w:rPr>
              <w:t xml:space="preserve">% of the fund be reserved for operations </w:t>
            </w:r>
            <w:r w:rsidRPr="00573CAF">
              <w:rPr>
                <w:rFonts w:eastAsia="Times New Roman" w:cs="Arial"/>
                <w:color w:val="000000"/>
                <w:lang w:val="en-US" w:eastAsia="en-AU"/>
              </w:rPr>
              <w:t>with dedicated allocations for targeted provincial areas</w:t>
            </w:r>
          </w:p>
          <w:p w:rsidR="00CA7A38" w:rsidRPr="00573CAF" w:rsidRDefault="00CA7A38" w:rsidP="00CA7A38">
            <w:pPr>
              <w:pStyle w:val="ListParagraph"/>
              <w:widowControl w:val="0"/>
              <w:numPr>
                <w:ilvl w:val="0"/>
                <w:numId w:val="12"/>
              </w:numPr>
              <w:autoSpaceDE w:val="0"/>
              <w:autoSpaceDN w:val="0"/>
              <w:adjustRightInd w:val="0"/>
              <w:spacing w:after="240"/>
              <w:ind w:left="924" w:right="567" w:hanging="357"/>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imes New Roman" w:cs="Arial"/>
                <w:color w:val="000000"/>
                <w:lang w:val="en-US" w:eastAsia="en-AU"/>
              </w:rPr>
              <w:t>20% of the fund be reserved for proactive and targeted policing initiatives and activities</w:t>
            </w:r>
            <w:r w:rsidRPr="00573CAF">
              <w:rPr>
                <w:rFonts w:eastAsia="Times New Roman" w:cs="Arial"/>
                <w:color w:val="000000"/>
                <w:lang w:val="en-US" w:eastAsia="en-AU"/>
              </w:rPr>
              <w:t xml:space="preserve"> (e.g. crime prevention/</w:t>
            </w:r>
            <w:r w:rsidRPr="00573CAF">
              <w:rPr>
                <w:rFonts w:eastAsia="Times New Roman" w:cs="Arial"/>
                <w:color w:val="000000"/>
                <w:lang w:eastAsia="en-AU"/>
              </w:rPr>
              <w:t>community engagement, family protection/domestic violence prevention and response, professional standards/accountability)</w:t>
            </w:r>
          </w:p>
          <w:p w:rsidR="00CA7A38" w:rsidRPr="00011725" w:rsidRDefault="00CA7A38" w:rsidP="00CA7A38">
            <w:pPr>
              <w:pStyle w:val="ListParagraph"/>
              <w:widowControl w:val="0"/>
              <w:numPr>
                <w:ilvl w:val="0"/>
                <w:numId w:val="12"/>
              </w:numPr>
              <w:autoSpaceDE w:val="0"/>
              <w:autoSpaceDN w:val="0"/>
              <w:adjustRightInd w:val="0"/>
              <w:spacing w:after="240"/>
              <w:ind w:left="924" w:right="567" w:hanging="357"/>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lang w:val="en-US"/>
              </w:rPr>
              <w:t>2</w:t>
            </w:r>
            <w:r w:rsidRPr="00011725">
              <w:rPr>
                <w:rFonts w:eastAsiaTheme="minorEastAsia"/>
                <w:lang w:val="en-US"/>
              </w:rPr>
              <w:t>5% of the fund be reserved for capacity development activities</w:t>
            </w:r>
          </w:p>
          <w:p w:rsidR="00CA7A38" w:rsidRPr="00011725" w:rsidRDefault="00CA7A38" w:rsidP="00CA7A38">
            <w:pPr>
              <w:pStyle w:val="ListParagraph"/>
              <w:widowControl w:val="0"/>
              <w:numPr>
                <w:ilvl w:val="0"/>
                <w:numId w:val="12"/>
              </w:numPr>
              <w:autoSpaceDE w:val="0"/>
              <w:autoSpaceDN w:val="0"/>
              <w:adjustRightInd w:val="0"/>
              <w:ind w:left="924" w:right="567" w:hanging="357"/>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011725">
              <w:rPr>
                <w:rFonts w:eastAsiaTheme="minorEastAsia"/>
                <w:lang w:val="en-US"/>
              </w:rPr>
              <w:t>2</w:t>
            </w:r>
            <w:r>
              <w:rPr>
                <w:rFonts w:eastAsiaTheme="minorEastAsia"/>
                <w:lang w:val="en-US"/>
              </w:rPr>
              <w:t>0</w:t>
            </w:r>
            <w:r w:rsidRPr="00011725">
              <w:rPr>
                <w:rFonts w:eastAsiaTheme="minorEastAsia"/>
                <w:lang w:val="en-US"/>
              </w:rPr>
              <w:t>% of the fund be reserved for general maintenance (e.g. infrastructure, vehicles and equipment) including in targeted provincial locations</w:t>
            </w:r>
          </w:p>
          <w:p w:rsidR="00CA7A38" w:rsidRPr="00011725" w:rsidRDefault="00CA7A38" w:rsidP="00E70031">
            <w:pPr>
              <w:widowControl w:val="0"/>
              <w:autoSpaceDE w:val="0"/>
              <w:autoSpaceDN w:val="0"/>
              <w:adjustRightInd w:val="0"/>
              <w:ind w:right="567"/>
              <w:contextualSpacing/>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011725">
              <w:t>Figures are indicative and intended to serve as a guide; they may be updated as the program progresses.</w:t>
            </w:r>
          </w:p>
        </w:tc>
      </w:tr>
      <w:tr w:rsidR="00CA7A38" w:rsidRPr="00011725" w:rsidTr="00E700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CA7A38" w:rsidRPr="00011725" w:rsidRDefault="00CA7A38" w:rsidP="00E70031">
            <w:pPr>
              <w:spacing w:after="200"/>
              <w:rPr>
                <w:rFonts w:asciiTheme="minorHAnsi" w:hAnsiTheme="minorHAnsi" w:cstheme="minorHAnsi"/>
                <w:lang w:val="en-AU"/>
              </w:rPr>
            </w:pPr>
            <w:r w:rsidRPr="00011725">
              <w:rPr>
                <w:rFonts w:asciiTheme="minorHAnsi" w:hAnsiTheme="minorHAnsi" w:cstheme="minorHAnsi"/>
                <w:lang w:val="en-AU"/>
              </w:rPr>
              <w:lastRenderedPageBreak/>
              <w:t>Grants Facility</w:t>
            </w:r>
          </w:p>
        </w:tc>
        <w:tc>
          <w:tcPr>
            <w:tcW w:w="0" w:type="auto"/>
            <w:shd w:val="clear" w:color="auto" w:fill="auto"/>
          </w:tcPr>
          <w:p w:rsidR="00CA7A38" w:rsidRPr="00011725" w:rsidRDefault="00CA7A38" w:rsidP="00E70031">
            <w:pPr>
              <w:cnfStyle w:val="000000010000" w:firstRow="0" w:lastRow="0" w:firstColumn="0" w:lastColumn="0" w:oddVBand="0" w:evenVBand="0" w:oddHBand="0" w:evenHBand="1" w:firstRowFirstColumn="0" w:firstRowLastColumn="0" w:lastRowFirstColumn="0" w:lastRowLastColumn="0"/>
              <w:rPr>
                <w:rFonts w:cstheme="minorHAnsi"/>
                <w:lang w:val="en-AU"/>
              </w:rPr>
            </w:pPr>
            <w:r w:rsidRPr="00011725">
              <w:rPr>
                <w:rFonts w:cstheme="minorHAnsi"/>
                <w:lang w:val="en-AU"/>
              </w:rPr>
              <w:t xml:space="preserve">Flexible mechanism for grants of up to VUV 5M </w:t>
            </w:r>
            <w:r>
              <w:rPr>
                <w:rFonts w:cstheme="minorHAnsi"/>
                <w:lang w:val="en-AU"/>
              </w:rPr>
              <w:t xml:space="preserve">each </w:t>
            </w:r>
            <w:r w:rsidRPr="00011725">
              <w:rPr>
                <w:rFonts w:cstheme="minorHAnsi"/>
                <w:lang w:val="en-AU"/>
              </w:rPr>
              <w:t xml:space="preserve">to be awarded to JCSS agencies and NGOs.  Grants are intended to contribute to the attainment of agency and sector development intentions.  For example, grants may support/progress implementation of the JCSS Sector Strategy and/or outputs identified in agency strategic, business or annual plans, not funded by </w:t>
            </w:r>
            <w:proofErr w:type="spellStart"/>
            <w:r w:rsidRPr="00011725">
              <w:rPr>
                <w:rFonts w:cstheme="minorHAnsi"/>
                <w:lang w:val="en-AU"/>
              </w:rPr>
              <w:t>GoV.</w:t>
            </w:r>
            <w:proofErr w:type="spellEnd"/>
            <w:r w:rsidRPr="00011725">
              <w:rPr>
                <w:rFonts w:cstheme="minorHAnsi"/>
                <w:lang w:val="en-AU"/>
              </w:rPr>
              <w:t xml:space="preserve">  The grants facility will be accessible for capacity development by stakeholders as well as small infrastructure assistance where it would support JCSSS implementation and/or implementation of the agency-level strategic/business/annual plans.</w:t>
            </w:r>
          </w:p>
        </w:tc>
      </w:tr>
      <w:tr w:rsidR="00CA7A38" w:rsidRPr="00011725"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011725" w:rsidRDefault="00CA7A38" w:rsidP="00E70031">
            <w:pPr>
              <w:spacing w:after="200"/>
              <w:rPr>
                <w:rFonts w:asciiTheme="minorHAnsi" w:hAnsiTheme="minorHAnsi" w:cstheme="minorHAnsi"/>
                <w:lang w:val="en-AU"/>
              </w:rPr>
            </w:pPr>
            <w:r w:rsidRPr="00011725">
              <w:rPr>
                <w:rFonts w:asciiTheme="minorHAnsi" w:hAnsiTheme="minorHAnsi" w:cstheme="minorHAnsi"/>
                <w:lang w:val="en-AU"/>
              </w:rPr>
              <w:t>Infrastructure/Assets</w:t>
            </w:r>
          </w:p>
        </w:tc>
        <w:tc>
          <w:tcPr>
            <w:tcW w:w="0" w:type="auto"/>
            <w:shd w:val="clear" w:color="auto" w:fill="DEEAF6" w:themeFill="accent1" w:themeFillTint="33"/>
          </w:tcPr>
          <w:p w:rsidR="00CA7A38" w:rsidRDefault="00CA7A38" w:rsidP="00E70031">
            <w:pPr>
              <w:cnfStyle w:val="000000100000" w:firstRow="0" w:lastRow="0" w:firstColumn="0" w:lastColumn="0" w:oddVBand="0" w:evenVBand="0" w:oddHBand="1" w:evenHBand="0" w:firstRowFirstColumn="0" w:firstRowLastColumn="0" w:lastRowFirstColumn="0" w:lastRowLastColumn="0"/>
              <w:rPr>
                <w:rFonts w:cstheme="minorHAnsi"/>
                <w:lang w:val="en-AU"/>
              </w:rPr>
            </w:pPr>
            <w:r>
              <w:rPr>
                <w:rFonts w:cstheme="minorHAnsi"/>
                <w:lang w:val="en-AU"/>
              </w:rPr>
              <w:t>As a minor part of the program, some s</w:t>
            </w:r>
            <w:r w:rsidRPr="00011725">
              <w:rPr>
                <w:rFonts w:cstheme="minorHAnsi"/>
                <w:lang w:val="en-AU"/>
              </w:rPr>
              <w:t xml:space="preserve">upport for </w:t>
            </w:r>
            <w:r>
              <w:rPr>
                <w:rFonts w:cstheme="minorHAnsi"/>
                <w:lang w:val="en-AU"/>
              </w:rPr>
              <w:t xml:space="preserve">minor </w:t>
            </w:r>
            <w:r w:rsidRPr="00011725">
              <w:rPr>
                <w:rFonts w:cstheme="minorHAnsi"/>
                <w:lang w:val="en-AU"/>
              </w:rPr>
              <w:t>infrastructure and refurbishments in accordance</w:t>
            </w:r>
            <w:r>
              <w:rPr>
                <w:rFonts w:cstheme="minorHAnsi"/>
                <w:lang w:val="en-AU"/>
              </w:rPr>
              <w:t xml:space="preserve"> with the JCSS Infrastructure Plan. </w:t>
            </w:r>
          </w:p>
          <w:p w:rsidR="00CA7A38" w:rsidRPr="00011725" w:rsidRDefault="00CA7A38" w:rsidP="00E70031">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011725">
              <w:rPr>
                <w:rFonts w:cstheme="minorHAnsi"/>
                <w:lang w:val="en-AU"/>
              </w:rPr>
              <w:t xml:space="preserve">*The sector is currently developing an Infrastructure Plan which should be used to guide </w:t>
            </w:r>
            <w:r>
              <w:rPr>
                <w:rFonts w:cstheme="minorHAnsi"/>
                <w:lang w:val="en-AU"/>
              </w:rPr>
              <w:t>SRBJS</w:t>
            </w:r>
            <w:r w:rsidRPr="00011725">
              <w:rPr>
                <w:rFonts w:cstheme="minorHAnsi"/>
                <w:lang w:val="en-AU"/>
              </w:rPr>
              <w:t xml:space="preserve"> support.</w:t>
            </w:r>
            <w:r>
              <w:rPr>
                <w:rFonts w:cstheme="minorHAnsi"/>
                <w:lang w:val="en-AU"/>
              </w:rPr>
              <w:t xml:space="preserve">  </w:t>
            </w:r>
          </w:p>
        </w:tc>
      </w:tr>
      <w:tr w:rsidR="00CA7A38" w:rsidRPr="00011725" w:rsidTr="00E700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CA7A38" w:rsidRPr="00011725" w:rsidRDefault="00CA7A38" w:rsidP="00E70031">
            <w:pPr>
              <w:rPr>
                <w:rFonts w:asciiTheme="minorHAnsi" w:hAnsiTheme="minorHAnsi" w:cstheme="minorHAnsi"/>
              </w:rPr>
            </w:pPr>
            <w:r w:rsidRPr="00011725">
              <w:rPr>
                <w:rFonts w:asciiTheme="minorHAnsi" w:hAnsiTheme="minorHAnsi" w:cstheme="minorHAnsi"/>
              </w:rPr>
              <w:t>Information Systems</w:t>
            </w:r>
          </w:p>
        </w:tc>
        <w:tc>
          <w:tcPr>
            <w:tcW w:w="0" w:type="auto"/>
            <w:shd w:val="clear" w:color="auto" w:fill="auto"/>
          </w:tcPr>
          <w:p w:rsidR="00CA7A38" w:rsidRPr="00011725" w:rsidRDefault="00CA7A38" w:rsidP="00E70031">
            <w:pPr>
              <w:cnfStyle w:val="000000010000" w:firstRow="0" w:lastRow="0" w:firstColumn="0" w:lastColumn="0" w:oddVBand="0" w:evenVBand="0" w:oddHBand="0" w:evenHBand="1" w:firstRowFirstColumn="0" w:firstRowLastColumn="0" w:lastRowFirstColumn="0" w:lastRowLastColumn="0"/>
              <w:rPr>
                <w:rFonts w:cstheme="minorHAnsi"/>
                <w:sz w:val="20"/>
                <w:szCs w:val="18"/>
              </w:rPr>
            </w:pPr>
            <w:r w:rsidRPr="00011725">
              <w:rPr>
                <w:rFonts w:cstheme="minorHAnsi"/>
                <w:lang w:val="en-AU"/>
              </w:rPr>
              <w:t xml:space="preserve">Funding for purchasing/upgrading of information systems.  Examples might include case management, incident management, offender management, and financial management information systems. </w:t>
            </w:r>
          </w:p>
        </w:tc>
      </w:tr>
      <w:tr w:rsidR="00CA7A38" w:rsidRPr="00011725" w:rsidTr="00E7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011725" w:rsidRDefault="00CA7A38" w:rsidP="00E70031">
            <w:pPr>
              <w:rPr>
                <w:rFonts w:asciiTheme="minorHAnsi" w:hAnsiTheme="minorHAnsi" w:cstheme="minorHAnsi"/>
              </w:rPr>
            </w:pPr>
            <w:r w:rsidRPr="00011725">
              <w:rPr>
                <w:rFonts w:asciiTheme="minorHAnsi" w:hAnsiTheme="minorHAnsi" w:cstheme="minorHAnsi"/>
              </w:rPr>
              <w:t>Regional Networks</w:t>
            </w:r>
          </w:p>
        </w:tc>
        <w:tc>
          <w:tcPr>
            <w:tcW w:w="0" w:type="auto"/>
            <w:shd w:val="clear" w:color="auto" w:fill="DEEAF6" w:themeFill="accent1" w:themeFillTint="33"/>
          </w:tcPr>
          <w:p w:rsidR="00CA7A38" w:rsidRPr="00011725" w:rsidRDefault="00CA7A38" w:rsidP="00E70031">
            <w:pPr>
              <w:cnfStyle w:val="000000100000" w:firstRow="0" w:lastRow="0" w:firstColumn="0" w:lastColumn="0" w:oddVBand="0" w:evenVBand="0" w:oddHBand="1" w:evenHBand="0" w:firstRowFirstColumn="0" w:firstRowLastColumn="0" w:lastRowFirstColumn="0" w:lastRowLastColumn="0"/>
              <w:rPr>
                <w:rFonts w:cstheme="minorHAnsi"/>
              </w:rPr>
            </w:pPr>
            <w:r w:rsidRPr="00011725">
              <w:rPr>
                <w:rFonts w:cstheme="minorHAnsi"/>
              </w:rPr>
              <w:t xml:space="preserve">This mechanism centres on a ‘By Pacific for Pacific’ development approach.  It aims to strengthen regional ownership, relationships and program relevance while simultaneously decreasing reliance on donors.  </w:t>
            </w:r>
            <w:r>
              <w:rPr>
                <w:rFonts w:cstheme="minorHAnsi"/>
              </w:rPr>
              <w:t>SRBJS</w:t>
            </w:r>
            <w:r w:rsidRPr="00011725">
              <w:rPr>
                <w:rFonts w:cstheme="minorHAnsi"/>
              </w:rPr>
              <w:t xml:space="preserve"> will support sector representatives to participate in/collaborate with Pacific regional programs, networks and institutions, </w:t>
            </w:r>
            <w:r>
              <w:rPr>
                <w:rFonts w:cstheme="minorHAnsi"/>
              </w:rPr>
              <w:t xml:space="preserve">where they are directly relevant to the outcomes of the program, and are </w:t>
            </w:r>
            <w:r w:rsidRPr="00011725">
              <w:rPr>
                <w:rFonts w:cstheme="minorHAnsi"/>
              </w:rPr>
              <w:t>supported by the Governments of Vanuatu and/or Australia.  Some examples include:</w:t>
            </w:r>
          </w:p>
          <w:p w:rsidR="00CA7A38" w:rsidRPr="00011725" w:rsidRDefault="00CA7A38" w:rsidP="00CA7A3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011725">
              <w:rPr>
                <w:rFonts w:cstheme="minorHAnsi"/>
                <w:i/>
              </w:rPr>
              <w:t>Fiji Women’s Crisis Centre</w:t>
            </w:r>
            <w:r w:rsidRPr="00011725">
              <w:rPr>
                <w:rFonts w:cstheme="minorHAnsi"/>
              </w:rPr>
              <w:t xml:space="preserve"> (FWCC) — support for </w:t>
            </w:r>
            <w:r>
              <w:rPr>
                <w:rFonts w:cstheme="minorHAnsi"/>
              </w:rPr>
              <w:t>VWC</w:t>
            </w:r>
            <w:r w:rsidRPr="00011725">
              <w:rPr>
                <w:rFonts w:cstheme="minorHAnsi"/>
              </w:rPr>
              <w:t>, VPF and justice and community services agencies to participate in training provided by FWCC on gender, human rights and violence against women issues.  This might also include collaborative effort</w:t>
            </w:r>
            <w:r>
              <w:rPr>
                <w:rFonts w:cstheme="minorHAnsi"/>
              </w:rPr>
              <w:t>s</w:t>
            </w:r>
            <w:r w:rsidRPr="00011725">
              <w:rPr>
                <w:rFonts w:cstheme="minorHAnsi"/>
              </w:rPr>
              <w:t xml:space="preserve"> to develop Vanuatu-specific training events and resources </w:t>
            </w:r>
          </w:p>
          <w:p w:rsidR="00CA7A38" w:rsidRPr="00011725" w:rsidRDefault="00CA7A38" w:rsidP="00CA7A3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011725">
              <w:rPr>
                <w:rFonts w:cstheme="minorHAnsi"/>
                <w:i/>
              </w:rPr>
              <w:t>Pacific Island Chiefs of Police</w:t>
            </w:r>
            <w:r w:rsidRPr="00011725">
              <w:rPr>
                <w:rFonts w:cstheme="minorHAnsi"/>
              </w:rPr>
              <w:t xml:space="preserve"> (PICP) — PICP</w:t>
            </w:r>
            <w:r w:rsidRPr="00011725">
              <w:rPr>
                <w:rFonts w:cstheme="minorHAnsi"/>
                <w:lang w:val="en-US"/>
              </w:rPr>
              <w:t xml:space="preserve"> comprises 21 Pacific police services and works to improve policing by providing a common voice on law enforcement, a forum to share ideas and information as well as coordination of development activities.  </w:t>
            </w:r>
            <w:r>
              <w:rPr>
                <w:rFonts w:cstheme="minorHAnsi"/>
                <w:lang w:val="en-US"/>
              </w:rPr>
              <w:t>SRBJS</w:t>
            </w:r>
            <w:r w:rsidRPr="00011725">
              <w:rPr>
                <w:rFonts w:cstheme="minorHAnsi"/>
                <w:lang w:val="en-US"/>
              </w:rPr>
              <w:t xml:space="preserve"> may provide </w:t>
            </w:r>
            <w:r w:rsidRPr="00011725">
              <w:rPr>
                <w:rFonts w:cstheme="minorHAnsi"/>
              </w:rPr>
              <w:t xml:space="preserve">support for the VPF Commissioner or delegate/s to participate in and contribute to the annual conference and executive leadership team processes.  </w:t>
            </w:r>
            <w:r>
              <w:rPr>
                <w:rFonts w:cstheme="minorHAnsi"/>
                <w:lang w:val="en-US"/>
              </w:rPr>
              <w:t xml:space="preserve">Also, </w:t>
            </w:r>
            <w:r w:rsidRPr="00011725">
              <w:rPr>
                <w:rFonts w:cstheme="minorHAnsi"/>
                <w:lang w:val="en-US"/>
              </w:rPr>
              <w:t>PICP</w:t>
            </w:r>
            <w:r>
              <w:rPr>
                <w:rFonts w:cstheme="minorHAnsi"/>
                <w:lang w:val="en-US"/>
              </w:rPr>
              <w:t xml:space="preserve"> focusses on eight thematic areas including</w:t>
            </w:r>
            <w:r w:rsidRPr="00011725">
              <w:rPr>
                <w:rFonts w:cstheme="minorHAnsi"/>
                <w:lang w:val="en-US"/>
              </w:rPr>
              <w:t xml:space="preserve"> four regional networks and groups </w:t>
            </w:r>
            <w:r>
              <w:rPr>
                <w:rFonts w:cstheme="minorHAnsi"/>
                <w:lang w:val="en-US"/>
              </w:rPr>
              <w:t>relevant</w:t>
            </w:r>
            <w:r w:rsidRPr="00011725">
              <w:rPr>
                <w:rFonts w:cstheme="minorHAnsi"/>
                <w:lang w:val="en-US"/>
              </w:rPr>
              <w:t xml:space="preserve"> to </w:t>
            </w:r>
            <w:r>
              <w:rPr>
                <w:rFonts w:cstheme="minorHAnsi"/>
                <w:lang w:val="en-US"/>
              </w:rPr>
              <w:t>SRBJS</w:t>
            </w:r>
            <w:r w:rsidRPr="00011725">
              <w:rPr>
                <w:rFonts w:cstheme="minorHAnsi"/>
                <w:lang w:val="en-US"/>
              </w:rPr>
              <w:t xml:space="preserve"> support:</w:t>
            </w:r>
            <w:r w:rsidRPr="00011725">
              <w:rPr>
                <w:rFonts w:cstheme="minorHAnsi"/>
              </w:rPr>
              <w:t xml:space="preserve"> </w:t>
            </w:r>
          </w:p>
          <w:p w:rsidR="00CA7A38" w:rsidRPr="00011725" w:rsidRDefault="00CA7A38" w:rsidP="00CA7A38">
            <w:pPr>
              <w:pStyle w:val="ListParagraph"/>
              <w:numPr>
                <w:ilvl w:val="1"/>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011725">
              <w:rPr>
                <w:rFonts w:cstheme="minorHAnsi"/>
              </w:rPr>
              <w:t xml:space="preserve">Pacific Forensics Working Group (PFWG) — </w:t>
            </w:r>
            <w:r w:rsidRPr="00011725">
              <w:rPr>
                <w:rFonts w:cstheme="minorHAnsi"/>
                <w:lang w:val="en-US"/>
              </w:rPr>
              <w:t xml:space="preserve">PFWG aims to enhance sustainable police forensic capability by identifying and implementing sustainable forensic capacity development activities for the Pacific region.  The PFWG provides a forum for sharing information on forensic training and knowledge.  </w:t>
            </w:r>
            <w:r>
              <w:rPr>
                <w:rFonts w:cstheme="minorHAnsi"/>
                <w:lang w:val="en-US"/>
              </w:rPr>
              <w:t>SRBJS</w:t>
            </w:r>
            <w:r w:rsidRPr="00011725">
              <w:rPr>
                <w:rFonts w:cstheme="minorHAnsi"/>
                <w:lang w:val="en-US"/>
              </w:rPr>
              <w:t xml:space="preserve"> will continue to support VPF participation in this group </w:t>
            </w:r>
            <w:r w:rsidRPr="00011725">
              <w:rPr>
                <w:rFonts w:cstheme="minorHAnsi"/>
              </w:rPr>
              <w:t>—</w:t>
            </w:r>
            <w:r w:rsidRPr="00011725">
              <w:rPr>
                <w:rFonts w:cstheme="minorHAnsi"/>
                <w:lang w:val="en-US"/>
              </w:rPr>
              <w:t xml:space="preserve"> VPF has previously drawn on this network to source pathologists and forensic specialists for specific cases and operations.</w:t>
            </w:r>
          </w:p>
          <w:p w:rsidR="00CA7A38" w:rsidRPr="00011725" w:rsidRDefault="00CA7A38" w:rsidP="00CA7A38">
            <w:pPr>
              <w:pStyle w:val="ListParagraph"/>
              <w:numPr>
                <w:ilvl w:val="1"/>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011725">
              <w:rPr>
                <w:rFonts w:cstheme="minorHAnsi"/>
              </w:rPr>
              <w:t xml:space="preserve">Pacific Police Training Advisory Group (PPTAG) — PPTAG aims to improve the relevance, effectiveness </w:t>
            </w:r>
            <w:r w:rsidRPr="00011725">
              <w:rPr>
                <w:rFonts w:cstheme="minorHAnsi"/>
              </w:rPr>
              <w:lastRenderedPageBreak/>
              <w:t xml:space="preserve">and sustainability of police training in Pacific Island countries.  </w:t>
            </w:r>
            <w:r>
              <w:rPr>
                <w:rFonts w:cstheme="minorHAnsi"/>
              </w:rPr>
              <w:t>SRBJS</w:t>
            </w:r>
            <w:r w:rsidRPr="00011725">
              <w:rPr>
                <w:rFonts w:cstheme="minorHAnsi"/>
              </w:rPr>
              <w:t xml:space="preserve"> will continue to support the VPF training college to attend the annual conference, maintain relationships with regional trainers, and share experiences/resources.</w:t>
            </w:r>
          </w:p>
          <w:p w:rsidR="00CA7A38" w:rsidRPr="00011725" w:rsidRDefault="00CA7A38" w:rsidP="00CA7A38">
            <w:pPr>
              <w:pStyle w:val="ListParagraph"/>
              <w:numPr>
                <w:ilvl w:val="1"/>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011725">
              <w:rPr>
                <w:rFonts w:cstheme="minorHAnsi"/>
              </w:rPr>
              <w:t xml:space="preserve">Women’s Advisory Network (WAN) — the PICP WAN seeks to support and enhance the contribution of women in policing.  This occurs by advising the PICP on issues affecting women in Pacific policing, sharing knowledge, promoting good practice, supporting women in policing, and advocating for domestic action to promote gender equality.  </w:t>
            </w:r>
            <w:r>
              <w:rPr>
                <w:rFonts w:cstheme="minorHAnsi"/>
              </w:rPr>
              <w:t>SRBJS</w:t>
            </w:r>
            <w:r w:rsidRPr="00011725">
              <w:rPr>
                <w:rFonts w:cstheme="minorHAnsi"/>
              </w:rPr>
              <w:t xml:space="preserve"> will continue to support the VPF local WAN and the broader sectoral women’s leadership group.  </w:t>
            </w:r>
            <w:r>
              <w:rPr>
                <w:rFonts w:cstheme="minorHAnsi"/>
              </w:rPr>
              <w:t>SRBJS</w:t>
            </w:r>
            <w:r w:rsidRPr="00011725">
              <w:rPr>
                <w:rFonts w:cstheme="minorHAnsi"/>
              </w:rPr>
              <w:t xml:space="preserve"> and AFP will continue to support VPF participation, including male advocates, in PICP WAN activities. </w:t>
            </w:r>
          </w:p>
          <w:p w:rsidR="00CA7A38" w:rsidRPr="00011725" w:rsidRDefault="00CA7A38" w:rsidP="00CA7A3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lang w:val="en-AU"/>
              </w:rPr>
            </w:pPr>
            <w:r w:rsidRPr="00011725">
              <w:rPr>
                <w:rFonts w:cstheme="minorHAnsi"/>
                <w:i/>
              </w:rPr>
              <w:t>Pacific Islands Law Officers Network</w:t>
            </w:r>
            <w:r w:rsidRPr="00011725">
              <w:rPr>
                <w:rFonts w:cstheme="minorHAnsi"/>
              </w:rPr>
              <w:t xml:space="preserve"> (PILON) — </w:t>
            </w:r>
            <w:r w:rsidRPr="00011725">
              <w:rPr>
                <w:rFonts w:cstheme="minorHAnsi"/>
                <w:lang w:val="en-AU"/>
              </w:rPr>
              <w:t xml:space="preserve">PILON is a network of senior public law officers from Pacific Island countries; PILON focuses on common legal issues within the Pacific region.  PILON holds annual meetings, often supported by the Australian Government Attorney General’s Department (AGD).  </w:t>
            </w:r>
            <w:r>
              <w:rPr>
                <w:rFonts w:cstheme="minorHAnsi"/>
                <w:lang w:val="en-AU"/>
              </w:rPr>
              <w:t>SRBJS</w:t>
            </w:r>
            <w:r w:rsidRPr="00011725">
              <w:rPr>
                <w:rFonts w:cstheme="minorHAnsi"/>
                <w:lang w:val="en-AU"/>
              </w:rPr>
              <w:t xml:space="preserve"> will liaise with AGD to support the participation of </w:t>
            </w:r>
            <w:proofErr w:type="spellStart"/>
            <w:r w:rsidRPr="00011725">
              <w:rPr>
                <w:rFonts w:cstheme="minorHAnsi"/>
                <w:lang w:val="en-AU"/>
              </w:rPr>
              <w:t>ni</w:t>
            </w:r>
            <w:proofErr w:type="spellEnd"/>
            <w:r w:rsidRPr="00011725">
              <w:rPr>
                <w:rFonts w:cstheme="minorHAnsi"/>
                <w:lang w:val="en-AU"/>
              </w:rPr>
              <w:t xml:space="preserve">-Vanuatu public sector lawyers. </w:t>
            </w:r>
          </w:p>
          <w:p w:rsidR="00CA7A38" w:rsidRPr="00011725" w:rsidRDefault="00CA7A38" w:rsidP="00CA7A3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11725">
              <w:rPr>
                <w:rFonts w:cstheme="minorHAnsi"/>
                <w:i/>
              </w:rPr>
              <w:t xml:space="preserve">Pacific Police Policy Network </w:t>
            </w:r>
            <w:r w:rsidRPr="00011725">
              <w:rPr>
                <w:rFonts w:cstheme="minorHAnsi"/>
              </w:rPr>
              <w:t xml:space="preserve">(3PN) — </w:t>
            </w:r>
            <w:r w:rsidRPr="00011725">
              <w:rPr>
                <w:rFonts w:cstheme="minorHAnsi"/>
                <w:lang w:val="en-US"/>
              </w:rPr>
              <w:t xml:space="preserve">3PN provides an opportunity for policy practitioners in Pacific police </w:t>
            </w:r>
            <w:r>
              <w:rPr>
                <w:rFonts w:cstheme="minorHAnsi"/>
                <w:lang w:val="en-US"/>
              </w:rPr>
              <w:t xml:space="preserve">and legal </w:t>
            </w:r>
            <w:r w:rsidRPr="00011725">
              <w:rPr>
                <w:rFonts w:cstheme="minorHAnsi"/>
                <w:lang w:val="en-US"/>
              </w:rPr>
              <w:t>services to develop capabilities in identifying strategic policy priorities, reviewing and developing policies and developing sound communication and implementation strategies.  Vanuat</w:t>
            </w:r>
            <w:r>
              <w:rPr>
                <w:rFonts w:cstheme="minorHAnsi"/>
                <w:lang w:val="en-US"/>
              </w:rPr>
              <w:t>u hosted a 3PN meeting in 2015.  SRBJS</w:t>
            </w:r>
            <w:r w:rsidRPr="00011725">
              <w:rPr>
                <w:rFonts w:cstheme="minorHAnsi"/>
                <w:lang w:val="en-US"/>
              </w:rPr>
              <w:t xml:space="preserve"> should continue to support VPF CSU </w:t>
            </w:r>
            <w:r>
              <w:rPr>
                <w:rFonts w:cstheme="minorHAnsi"/>
                <w:lang w:val="en-US"/>
              </w:rPr>
              <w:t>and representatives of other relevant public law offices (e.g. SLO) to</w:t>
            </w:r>
            <w:r w:rsidRPr="00011725">
              <w:rPr>
                <w:rFonts w:cstheme="minorHAnsi"/>
                <w:lang w:val="en-US"/>
              </w:rPr>
              <w:t xml:space="preserve"> participate in 3PN initiatives.</w:t>
            </w:r>
            <w:r w:rsidRPr="00011725">
              <w:rPr>
                <w:rFonts w:cstheme="minorHAnsi"/>
                <w:sz w:val="20"/>
                <w:szCs w:val="18"/>
                <w:lang w:val="en-US"/>
              </w:rPr>
              <w:t xml:space="preserve">  </w:t>
            </w:r>
          </w:p>
        </w:tc>
      </w:tr>
    </w:tbl>
    <w:p w:rsidR="00CA7A38" w:rsidRPr="00011725" w:rsidRDefault="00CA7A38" w:rsidP="00E70031">
      <w:pPr>
        <w:sectPr w:rsidR="00CA7A38" w:rsidRPr="00011725" w:rsidSect="00E70031">
          <w:pgSz w:w="16838" w:h="11906" w:orient="landscape"/>
          <w:pgMar w:top="1440" w:right="1440" w:bottom="1440" w:left="1440" w:header="709" w:footer="709" w:gutter="0"/>
          <w:cols w:space="708"/>
          <w:docGrid w:linePitch="360"/>
        </w:sectPr>
      </w:pPr>
    </w:p>
    <w:p w:rsidR="00CA7A38" w:rsidRPr="00917386" w:rsidRDefault="00CA7A38" w:rsidP="00E70031">
      <w:pPr>
        <w:pStyle w:val="Heading2"/>
        <w:numPr>
          <w:ilvl w:val="1"/>
          <w:numId w:val="1"/>
        </w:numPr>
        <w:spacing w:after="240" w:line="276" w:lineRule="auto"/>
        <w:jc w:val="both"/>
        <w:rPr>
          <w:rFonts w:asciiTheme="minorHAnsi" w:hAnsiTheme="minorHAnsi"/>
          <w:color w:val="000000" w:themeColor="text1"/>
          <w:sz w:val="22"/>
          <w:szCs w:val="22"/>
        </w:rPr>
      </w:pPr>
      <w:bookmarkStart w:id="21" w:name="_Toc458698424"/>
      <w:r w:rsidRPr="00917386">
        <w:rPr>
          <w:rFonts w:asciiTheme="minorHAnsi" w:hAnsiTheme="minorHAnsi"/>
          <w:color w:val="000000" w:themeColor="text1"/>
          <w:sz w:val="22"/>
          <w:szCs w:val="22"/>
        </w:rPr>
        <w:lastRenderedPageBreak/>
        <w:t>Links to other Development Programs</w:t>
      </w:r>
      <w:r>
        <w:rPr>
          <w:rFonts w:asciiTheme="minorHAnsi" w:hAnsiTheme="minorHAnsi"/>
          <w:color w:val="000000" w:themeColor="text1"/>
          <w:sz w:val="22"/>
          <w:szCs w:val="22"/>
        </w:rPr>
        <w:t xml:space="preserve"> and Initiatives</w:t>
      </w:r>
      <w:bookmarkEnd w:id="21"/>
    </w:p>
    <w:p w:rsidR="00CA7A38" w:rsidRPr="00917386" w:rsidRDefault="00CA7A38" w:rsidP="00E70031">
      <w:pPr>
        <w:shd w:val="clear" w:color="auto" w:fill="FFFFFF"/>
        <w:spacing w:before="100" w:beforeAutospacing="1" w:after="100" w:afterAutospacing="1" w:line="276" w:lineRule="auto"/>
        <w:jc w:val="both"/>
        <w:rPr>
          <w:rFonts w:cs="Calibri"/>
          <w:iCs/>
          <w:lang w:val="en-GB"/>
        </w:rPr>
      </w:pPr>
      <w:r w:rsidRPr="00917386">
        <w:rPr>
          <w:rFonts w:cs="Calibri"/>
          <w:iCs/>
          <w:lang w:val="en-GB"/>
        </w:rPr>
        <w:t>A number of development programs</w:t>
      </w:r>
      <w:r>
        <w:rPr>
          <w:rFonts w:cs="Calibri"/>
          <w:iCs/>
          <w:lang w:val="en-GB"/>
        </w:rPr>
        <w:t xml:space="preserve"> and aid-funded initiatives</w:t>
      </w:r>
      <w:r w:rsidRPr="00917386">
        <w:rPr>
          <w:rFonts w:cs="Calibri"/>
          <w:iCs/>
          <w:lang w:val="en-GB"/>
        </w:rPr>
        <w:t xml:space="preserve"> support or interface with the policing, justice and community services sector.  </w:t>
      </w:r>
      <w:r>
        <w:rPr>
          <w:rFonts w:cs="Calibri"/>
          <w:iCs/>
          <w:lang w:val="en-GB"/>
        </w:rPr>
        <w:t>SRBJS</w:t>
      </w:r>
      <w:r w:rsidRPr="00917386">
        <w:rPr>
          <w:rFonts w:cs="Calibri"/>
          <w:iCs/>
          <w:lang w:val="en-GB"/>
        </w:rPr>
        <w:t xml:space="preserve"> will seek to harmonise its efforts with other development agencies and programs so to maximise synergies and avoid duplication.  It wil</w:t>
      </w:r>
      <w:r>
        <w:rPr>
          <w:rFonts w:cs="Calibri"/>
          <w:iCs/>
          <w:lang w:val="en-GB"/>
        </w:rPr>
        <w:t>l do so in part through sharing of</w:t>
      </w:r>
      <w:r w:rsidRPr="00917386">
        <w:rPr>
          <w:rFonts w:cs="Calibri"/>
          <w:iCs/>
          <w:lang w:val="en-GB"/>
        </w:rPr>
        <w:t xml:space="preserve"> information with other donors and, where appropriate, working</w:t>
      </w:r>
      <w:r>
        <w:rPr>
          <w:rFonts w:cs="Calibri"/>
          <w:iCs/>
          <w:lang w:val="en-GB"/>
        </w:rPr>
        <w:t xml:space="preserve"> with </w:t>
      </w:r>
      <w:r w:rsidRPr="00917386">
        <w:rPr>
          <w:rFonts w:cs="Calibri"/>
          <w:iCs/>
          <w:lang w:val="en-GB"/>
        </w:rPr>
        <w:t>MJCS to strengthe</w:t>
      </w:r>
      <w:r>
        <w:rPr>
          <w:rFonts w:cs="Calibri"/>
          <w:iCs/>
          <w:lang w:val="en-GB"/>
        </w:rPr>
        <w:t xml:space="preserve">n its donor coordination role. </w:t>
      </w:r>
      <w:r w:rsidRPr="00917386">
        <w:rPr>
          <w:rFonts w:cs="Calibri"/>
          <w:iCs/>
          <w:lang w:val="en-GB"/>
        </w:rPr>
        <w:t>Below is an</w:t>
      </w:r>
      <w:r>
        <w:rPr>
          <w:rFonts w:cs="Calibri"/>
          <w:iCs/>
          <w:lang w:val="en-GB"/>
        </w:rPr>
        <w:t xml:space="preserve"> overview of initiatives</w:t>
      </w:r>
      <w:r w:rsidRPr="00917386">
        <w:rPr>
          <w:rFonts w:cs="Calibri"/>
          <w:iCs/>
          <w:lang w:val="en-GB"/>
        </w:rPr>
        <w:t xml:space="preserve"> with which </w:t>
      </w:r>
      <w:r>
        <w:rPr>
          <w:rFonts w:cs="Calibri"/>
          <w:iCs/>
          <w:lang w:val="en-GB"/>
        </w:rPr>
        <w:t>SRBJS</w:t>
      </w:r>
      <w:r w:rsidRPr="00917386">
        <w:rPr>
          <w:rFonts w:cs="Calibri"/>
          <w:iCs/>
          <w:lang w:val="en-GB"/>
        </w:rPr>
        <w:t xml:space="preserve"> will work to this end. </w:t>
      </w:r>
    </w:p>
    <w:p w:rsidR="00CA7A38" w:rsidRPr="00917386" w:rsidRDefault="00CA7A38" w:rsidP="00E70031">
      <w:pPr>
        <w:pStyle w:val="Heading3"/>
        <w:numPr>
          <w:ilvl w:val="0"/>
          <w:numId w:val="10"/>
        </w:numPr>
        <w:spacing w:after="240" w:line="276" w:lineRule="auto"/>
        <w:jc w:val="both"/>
        <w:rPr>
          <w:rFonts w:asciiTheme="minorHAnsi" w:hAnsiTheme="minorHAnsi"/>
          <w:sz w:val="22"/>
          <w:szCs w:val="22"/>
        </w:rPr>
      </w:pPr>
      <w:r w:rsidRPr="00917386">
        <w:rPr>
          <w:rFonts w:asciiTheme="minorHAnsi" w:hAnsiTheme="minorHAnsi"/>
          <w:color w:val="auto"/>
          <w:sz w:val="22"/>
          <w:szCs w:val="22"/>
        </w:rPr>
        <w:t>Synergies with other Australian-Funded Development Programs and Initiatives</w:t>
      </w:r>
    </w:p>
    <w:p w:rsidR="00CA7A38" w:rsidRPr="00917386" w:rsidRDefault="00CA7A38" w:rsidP="00E70031">
      <w:pPr>
        <w:pStyle w:val="Heading4"/>
        <w:spacing w:before="0" w:line="276" w:lineRule="auto"/>
        <w:jc w:val="both"/>
        <w:rPr>
          <w:rFonts w:asciiTheme="minorHAnsi" w:hAnsiTheme="minorHAnsi"/>
          <w:b/>
          <w:color w:val="000000" w:themeColor="text1"/>
        </w:rPr>
      </w:pPr>
      <w:r w:rsidRPr="00917386">
        <w:rPr>
          <w:rFonts w:asciiTheme="minorHAnsi" w:hAnsiTheme="minorHAnsi"/>
          <w:b/>
          <w:color w:val="000000" w:themeColor="text1"/>
        </w:rPr>
        <w:t>Governance for Growth</w:t>
      </w:r>
    </w:p>
    <w:p w:rsidR="00CA7A38" w:rsidRDefault="00CA7A38" w:rsidP="00E70031">
      <w:pPr>
        <w:spacing w:after="120" w:line="276" w:lineRule="auto"/>
        <w:contextualSpacing/>
        <w:jc w:val="both"/>
        <w:rPr>
          <w:rFonts w:cs="Calibri"/>
          <w:iCs/>
        </w:rPr>
      </w:pPr>
      <w:r>
        <w:rPr>
          <w:rFonts w:cs="Calibri"/>
          <w:iCs/>
        </w:rPr>
        <w:t>Governance for Growth s</w:t>
      </w:r>
      <w:r w:rsidRPr="00917386">
        <w:rPr>
          <w:rFonts w:cs="Calibri"/>
          <w:iCs/>
        </w:rPr>
        <w:t xml:space="preserve">upports GoV by removing constraints and bottlenecks to economic growth, strengthening service delivery capacity through policy, regulatory and management reforms, and improving public financial management.  The program supports policy and management roles in a number of agencies, including the Prime Minister’s Office and the Ministry of Finance and Economic Management.  This involves working closely </w:t>
      </w:r>
      <w:r>
        <w:rPr>
          <w:rFonts w:cs="Calibri"/>
          <w:iCs/>
        </w:rPr>
        <w:t>with GoV</w:t>
      </w:r>
      <w:r w:rsidRPr="00917386">
        <w:rPr>
          <w:rFonts w:cs="Calibri"/>
          <w:iCs/>
        </w:rPr>
        <w:t xml:space="preserve"> officials on economic and financial reforms, developing sound financial management systems, and supporting better planning and coordination of development initiatives.  The program complements </w:t>
      </w:r>
      <w:r>
        <w:rPr>
          <w:rFonts w:cs="Calibri"/>
          <w:iCs/>
        </w:rPr>
        <w:t>the</w:t>
      </w:r>
      <w:r w:rsidRPr="00917386">
        <w:rPr>
          <w:rFonts w:cs="Calibri"/>
          <w:iCs/>
        </w:rPr>
        <w:t xml:space="preserve"> efforts</w:t>
      </w:r>
      <w:r>
        <w:rPr>
          <w:rFonts w:cs="Calibri"/>
          <w:iCs/>
        </w:rPr>
        <w:t xml:space="preserve"> of SRBJS</w:t>
      </w:r>
      <w:r w:rsidRPr="00917386">
        <w:rPr>
          <w:rFonts w:cs="Calibri"/>
          <w:iCs/>
        </w:rPr>
        <w:t xml:space="preserve"> to improve public financial management in sector agencies.</w:t>
      </w:r>
    </w:p>
    <w:p w:rsidR="00CA7A38" w:rsidRPr="00917386" w:rsidRDefault="00CA7A38" w:rsidP="00E70031">
      <w:pPr>
        <w:pStyle w:val="Heading4"/>
        <w:spacing w:line="276" w:lineRule="auto"/>
        <w:jc w:val="both"/>
        <w:rPr>
          <w:rFonts w:asciiTheme="minorHAnsi" w:hAnsiTheme="minorHAnsi"/>
          <w:b/>
          <w:color w:val="000000" w:themeColor="text1"/>
        </w:rPr>
      </w:pPr>
      <w:r w:rsidRPr="00917386">
        <w:rPr>
          <w:rFonts w:asciiTheme="minorHAnsi" w:hAnsiTheme="minorHAnsi"/>
          <w:b/>
          <w:color w:val="000000" w:themeColor="text1"/>
        </w:rPr>
        <w:t xml:space="preserve">Pacific Leadership Program (PLP) </w:t>
      </w:r>
    </w:p>
    <w:p w:rsidR="00CA7A38" w:rsidRDefault="00CA7A38" w:rsidP="00E70031">
      <w:pPr>
        <w:spacing w:line="276" w:lineRule="auto"/>
        <w:jc w:val="both"/>
        <w:rPr>
          <w:rFonts w:cs="Calibri"/>
          <w:iCs/>
        </w:rPr>
      </w:pPr>
      <w:r>
        <w:rPr>
          <w:rFonts w:cs="Calibri"/>
          <w:iCs/>
        </w:rPr>
        <w:t>The PLP is a</w:t>
      </w:r>
      <w:r w:rsidRPr="00917386">
        <w:rPr>
          <w:rFonts w:cs="Calibri"/>
          <w:iCs/>
        </w:rPr>
        <w:t xml:space="preserve"> regional program which works with a range of partners to identify, shape and lead developmental change.  PLP supports inclusive and durable change through the exercise of collective leadership: in Vanuatu PLP works with the Department of Women’s Affairs, Transparency International (Vanuatu Chapter), Oxfam and TVET.  The potential links between PLP and </w:t>
      </w:r>
      <w:r>
        <w:rPr>
          <w:rFonts w:cs="Calibri"/>
          <w:iCs/>
        </w:rPr>
        <w:t xml:space="preserve">SRBJS </w:t>
      </w:r>
      <w:r w:rsidRPr="00917386">
        <w:rPr>
          <w:rFonts w:cs="Calibri"/>
          <w:iCs/>
        </w:rPr>
        <w:t xml:space="preserve">are around working with leaders for change, Transparency International on legal awareness, and DWA on legal awareness training. </w:t>
      </w:r>
    </w:p>
    <w:p w:rsidR="00CA7A38" w:rsidRDefault="00CA7A38" w:rsidP="00E70031">
      <w:pPr>
        <w:pStyle w:val="Heading4"/>
        <w:spacing w:before="0" w:line="276" w:lineRule="auto"/>
        <w:jc w:val="both"/>
        <w:rPr>
          <w:rFonts w:asciiTheme="minorHAnsi" w:hAnsiTheme="minorHAnsi"/>
          <w:b/>
          <w:color w:val="000000" w:themeColor="text1"/>
        </w:rPr>
      </w:pPr>
      <w:r>
        <w:rPr>
          <w:rFonts w:asciiTheme="minorHAnsi" w:hAnsiTheme="minorHAnsi"/>
          <w:b/>
          <w:color w:val="000000" w:themeColor="text1"/>
        </w:rPr>
        <w:t>Pacific Patrol Boat Program</w:t>
      </w:r>
    </w:p>
    <w:p w:rsidR="00CA7A38" w:rsidRPr="00AC2444" w:rsidRDefault="00CA7A38" w:rsidP="00E70031">
      <w:pPr>
        <w:jc w:val="both"/>
      </w:pPr>
      <w:r w:rsidRPr="00AC2444">
        <w:rPr>
          <w:lang w:val="en"/>
        </w:rPr>
        <w:t xml:space="preserve">The Pacific Patrol Boat Program is </w:t>
      </w:r>
      <w:r>
        <w:rPr>
          <w:lang w:val="en"/>
        </w:rPr>
        <w:t xml:space="preserve">part of the </w:t>
      </w:r>
      <w:r w:rsidRPr="00AC2444">
        <w:rPr>
          <w:lang w:val="en"/>
        </w:rPr>
        <w:t>Australian Government’s commitment to working with regional partners to enable cohesive security cooperation on maritime surveillance, including in fisheries protection and transnational crime</w:t>
      </w:r>
      <w:r>
        <w:rPr>
          <w:lang w:val="en"/>
        </w:rPr>
        <w:t xml:space="preserve">. Two Australian </w:t>
      </w:r>
      <w:r w:rsidRPr="00B96622">
        <w:t>Defence</w:t>
      </w:r>
      <w:r>
        <w:rPr>
          <w:lang w:val="en"/>
        </w:rPr>
        <w:t xml:space="preserve"> Force members currently support the VPF Maritime wing through technical assistance and funding.   </w:t>
      </w:r>
    </w:p>
    <w:p w:rsidR="00CA7A38" w:rsidRPr="00917386" w:rsidRDefault="00CA7A38" w:rsidP="00E70031">
      <w:pPr>
        <w:pStyle w:val="Heading4"/>
        <w:spacing w:line="276" w:lineRule="auto"/>
        <w:jc w:val="both"/>
        <w:rPr>
          <w:rFonts w:asciiTheme="minorHAnsi" w:eastAsia="Times New Roman" w:hAnsiTheme="minorHAnsi"/>
          <w:b/>
          <w:color w:val="auto"/>
          <w:lang w:eastAsia="en-AU"/>
        </w:rPr>
      </w:pPr>
      <w:r w:rsidRPr="00917386">
        <w:rPr>
          <w:rFonts w:asciiTheme="minorHAnsi" w:eastAsia="Times New Roman" w:hAnsiTheme="minorHAnsi"/>
          <w:b/>
          <w:color w:val="auto"/>
          <w:lang w:eastAsia="en-AU"/>
        </w:rPr>
        <w:t>Pacific Police Development Program (PPDP)</w:t>
      </w:r>
    </w:p>
    <w:p w:rsidR="00CA7A38" w:rsidRDefault="00CA7A38" w:rsidP="00E70031">
      <w:pPr>
        <w:shd w:val="clear" w:color="auto" w:fill="FFFFFF"/>
        <w:spacing w:after="100" w:afterAutospacing="1" w:line="276" w:lineRule="auto"/>
        <w:jc w:val="both"/>
        <w:rPr>
          <w:rFonts w:cs="Calibri"/>
          <w:iCs/>
          <w:lang w:val="en-GB"/>
        </w:rPr>
      </w:pPr>
      <w:r w:rsidRPr="004F754F">
        <w:rPr>
          <w:rFonts w:cs="Calibri"/>
          <w:iCs/>
          <w:lang w:val="en-GB"/>
        </w:rPr>
        <w:t xml:space="preserve">The PPDP is </w:t>
      </w:r>
      <w:r>
        <w:rPr>
          <w:rFonts w:cs="Calibri"/>
          <w:iCs/>
          <w:lang w:val="en-GB"/>
        </w:rPr>
        <w:t>delivered by</w:t>
      </w:r>
      <w:r w:rsidRPr="004F754F">
        <w:rPr>
          <w:rFonts w:cs="Calibri"/>
          <w:iCs/>
          <w:lang w:val="en-GB"/>
        </w:rPr>
        <w:t xml:space="preserve"> AFP and Australian Attorney-General’s Department (AGD) comprising bila</w:t>
      </w:r>
      <w:r>
        <w:rPr>
          <w:rFonts w:cs="Calibri"/>
          <w:iCs/>
          <w:lang w:val="en-GB"/>
        </w:rPr>
        <w:t>teral and regional assistance for</w:t>
      </w:r>
      <w:r w:rsidRPr="004F754F">
        <w:rPr>
          <w:rFonts w:cs="Calibri"/>
          <w:iCs/>
          <w:lang w:val="en-GB"/>
        </w:rPr>
        <w:t xml:space="preserve"> police development </w:t>
      </w:r>
      <w:r>
        <w:rPr>
          <w:rFonts w:cs="Calibri"/>
          <w:iCs/>
          <w:lang w:val="en-GB"/>
        </w:rPr>
        <w:t>and</w:t>
      </w:r>
      <w:r w:rsidRPr="004F754F">
        <w:rPr>
          <w:rFonts w:cs="Calibri"/>
          <w:iCs/>
          <w:lang w:val="en-GB"/>
        </w:rPr>
        <w:t xml:space="preserve"> legislative mandates and frameworks.  PPDP-Regional (PPDPR) — a regional component of PPDP — supports a number of Pacific regional initiatives, networks and institutions.  Through the AFP, </w:t>
      </w:r>
      <w:r>
        <w:rPr>
          <w:rFonts w:cs="Calibri"/>
          <w:iCs/>
          <w:lang w:val="en-GB"/>
        </w:rPr>
        <w:t>SRBJS</w:t>
      </w:r>
      <w:r w:rsidRPr="004F754F">
        <w:rPr>
          <w:rFonts w:cs="Calibri"/>
          <w:iCs/>
          <w:lang w:val="en-GB"/>
        </w:rPr>
        <w:t xml:space="preserve"> will continue to complement and leverage PPDP and PPDPR support.  PPDP/PPDPR initiatives include collaboration with Pacific Island Chiefs of Police (PICP), Australasian Council of Women in Policing (ACWAP), Fiji Women’s Crisis Centre, RRRT, the University of South Pacific and the Australian Institute of Police Management.</w:t>
      </w:r>
    </w:p>
    <w:p w:rsidR="00CA7A38" w:rsidRPr="00EC3FE0" w:rsidRDefault="00CA7A38" w:rsidP="00E70031">
      <w:pPr>
        <w:shd w:val="clear" w:color="auto" w:fill="FFFFFF"/>
        <w:spacing w:after="100" w:afterAutospacing="1" w:line="276" w:lineRule="auto"/>
        <w:jc w:val="both"/>
        <w:rPr>
          <w:rFonts w:cs="Calibri"/>
          <w:iCs/>
          <w:lang w:val="en-GB"/>
        </w:rPr>
      </w:pPr>
      <w:r>
        <w:rPr>
          <w:rFonts w:cs="Calibri"/>
          <w:iCs/>
          <w:lang w:val="en-GB"/>
        </w:rPr>
        <w:t xml:space="preserve">AGD’s component of PPDP provides support for strengthening of the legal policy development and law reform capabilities of Pacific justice agencies (though a twinning program and legal policy training program), support for the Pacific Islands Law Officers Network to drive and implement </w:t>
      </w:r>
      <w:r>
        <w:rPr>
          <w:rFonts w:cs="Calibri"/>
          <w:iCs/>
          <w:lang w:val="en-GB"/>
        </w:rPr>
        <w:lastRenderedPageBreak/>
        <w:t>policy reforms on priority issues such as gender based violence, and partnering with Pacific Island institutions to jointly develop and implement criminal law and policing reforms in a range of areas.</w:t>
      </w:r>
    </w:p>
    <w:p w:rsidR="00CA7A38" w:rsidRPr="00917386" w:rsidRDefault="00CA7A38" w:rsidP="00E70031">
      <w:pPr>
        <w:pStyle w:val="Heading4"/>
        <w:spacing w:line="276" w:lineRule="auto"/>
        <w:jc w:val="both"/>
        <w:rPr>
          <w:rFonts w:asciiTheme="minorHAnsi" w:hAnsiTheme="minorHAnsi"/>
          <w:b/>
          <w:color w:val="000000" w:themeColor="text1"/>
        </w:rPr>
      </w:pPr>
      <w:r w:rsidRPr="00917386">
        <w:rPr>
          <w:rFonts w:asciiTheme="minorHAnsi" w:hAnsiTheme="minorHAnsi"/>
          <w:b/>
          <w:color w:val="000000" w:themeColor="text1"/>
        </w:rPr>
        <w:t>Pacific Women Shaping Pacific Development (Pacific Women)</w:t>
      </w:r>
    </w:p>
    <w:p w:rsidR="00CA7A38" w:rsidRPr="00917386" w:rsidRDefault="00CA7A38" w:rsidP="00E70031">
      <w:pPr>
        <w:spacing w:after="0" w:line="276" w:lineRule="auto"/>
        <w:contextualSpacing/>
        <w:jc w:val="both"/>
        <w:rPr>
          <w:rFonts w:cs="Calibri"/>
          <w:iCs/>
        </w:rPr>
      </w:pPr>
      <w:proofErr w:type="gramStart"/>
      <w:r w:rsidRPr="00917386">
        <w:rPr>
          <w:rFonts w:cs="Calibri"/>
          <w:iCs/>
        </w:rPr>
        <w:t>A 10 year program supporting women’s development across the Pacific region.</w:t>
      </w:r>
      <w:proofErr w:type="gramEnd"/>
      <w:r w:rsidRPr="00917386">
        <w:rPr>
          <w:rFonts w:cs="Calibri"/>
          <w:iCs/>
        </w:rPr>
        <w:t xml:space="preserve">  The Vanuatu Country Plan for Pacific Women </w:t>
      </w:r>
      <w:r w:rsidRPr="00917386">
        <w:rPr>
          <w:rFonts w:eastAsia="Cambria" w:cs="Arial"/>
          <w:lang w:eastAsia="en-AU"/>
        </w:rPr>
        <w:t>was completed in April 2014 and includes the following activities</w:t>
      </w:r>
      <w:r w:rsidRPr="00917386">
        <w:rPr>
          <w:rFonts w:cs="Calibri"/>
          <w:iCs/>
        </w:rPr>
        <w:t>:</w:t>
      </w:r>
    </w:p>
    <w:p w:rsidR="00CA7A38" w:rsidRPr="00917386" w:rsidRDefault="00CA7A38" w:rsidP="00E70031">
      <w:pPr>
        <w:pStyle w:val="ListParagraph"/>
        <w:numPr>
          <w:ilvl w:val="0"/>
          <w:numId w:val="2"/>
        </w:numPr>
        <w:spacing w:after="200" w:line="276" w:lineRule="auto"/>
        <w:jc w:val="both"/>
        <w:rPr>
          <w:rFonts w:cs="Arial"/>
          <w:bCs/>
        </w:rPr>
      </w:pPr>
      <w:r w:rsidRPr="00917386">
        <w:rPr>
          <w:rFonts w:cs="Arial"/>
        </w:rPr>
        <w:t xml:space="preserve">Support for introduction of reserved seats for women at the Provincial Council level </w:t>
      </w:r>
    </w:p>
    <w:p w:rsidR="00CA7A38" w:rsidRPr="00917386" w:rsidRDefault="00CA7A38" w:rsidP="00E70031">
      <w:pPr>
        <w:pStyle w:val="ListParagraph"/>
        <w:numPr>
          <w:ilvl w:val="0"/>
          <w:numId w:val="2"/>
        </w:numPr>
        <w:spacing w:after="200" w:line="276" w:lineRule="auto"/>
        <w:jc w:val="both"/>
        <w:rPr>
          <w:rFonts w:cs="Arial"/>
          <w:bCs/>
        </w:rPr>
      </w:pPr>
      <w:r w:rsidRPr="00917386">
        <w:rPr>
          <w:rFonts w:cs="Arial"/>
        </w:rPr>
        <w:t>Increased economic opportunities for and empowerment of women market vendors</w:t>
      </w:r>
    </w:p>
    <w:p w:rsidR="00CA7A38" w:rsidRPr="00917386" w:rsidRDefault="00CA7A38" w:rsidP="00E70031">
      <w:pPr>
        <w:pStyle w:val="ListParagraph"/>
        <w:numPr>
          <w:ilvl w:val="0"/>
          <w:numId w:val="2"/>
        </w:numPr>
        <w:spacing w:after="200" w:line="276" w:lineRule="auto"/>
        <w:jc w:val="both"/>
        <w:rPr>
          <w:rFonts w:cs="Arial"/>
          <w:bCs/>
        </w:rPr>
      </w:pPr>
      <w:r w:rsidRPr="00917386">
        <w:rPr>
          <w:rFonts w:cs="Arial"/>
        </w:rPr>
        <w:t>Strengthening of Vanuatu Technical and Vocational Education and Training to improve training and employment opportunities for women</w:t>
      </w:r>
    </w:p>
    <w:p w:rsidR="00CA7A38" w:rsidRPr="00917386" w:rsidRDefault="00CA7A38" w:rsidP="00E70031">
      <w:pPr>
        <w:pStyle w:val="ListParagraph"/>
        <w:numPr>
          <w:ilvl w:val="0"/>
          <w:numId w:val="2"/>
        </w:numPr>
        <w:spacing w:after="200" w:line="276" w:lineRule="auto"/>
        <w:jc w:val="both"/>
        <w:rPr>
          <w:rFonts w:cs="Arial"/>
          <w:bCs/>
        </w:rPr>
      </w:pPr>
      <w:r w:rsidRPr="00917386">
        <w:rPr>
          <w:rFonts w:cs="Arial"/>
        </w:rPr>
        <w:t xml:space="preserve">Strengthening of Vanuatu’s response to violence against women (through Vanuatu Women’s Centre, see below) </w:t>
      </w:r>
    </w:p>
    <w:p w:rsidR="00CA7A38" w:rsidRPr="00917386" w:rsidRDefault="00CA7A38" w:rsidP="00E70031">
      <w:pPr>
        <w:pStyle w:val="ListParagraph"/>
        <w:numPr>
          <w:ilvl w:val="0"/>
          <w:numId w:val="2"/>
        </w:numPr>
        <w:spacing w:after="200" w:line="276" w:lineRule="auto"/>
        <w:jc w:val="both"/>
        <w:rPr>
          <w:rFonts w:cs="Arial"/>
          <w:bCs/>
        </w:rPr>
      </w:pPr>
      <w:r w:rsidRPr="00917386">
        <w:rPr>
          <w:rFonts w:cs="Arial"/>
        </w:rPr>
        <w:t>Strengthening design, monitoring and evaluation of Australian aid initiatives to better respond to the needs of women and girls</w:t>
      </w:r>
    </w:p>
    <w:p w:rsidR="00CA7A38" w:rsidRDefault="00CA7A38" w:rsidP="00E70031">
      <w:pPr>
        <w:spacing w:after="200" w:line="276" w:lineRule="auto"/>
        <w:jc w:val="both"/>
        <w:rPr>
          <w:rFonts w:cs="Calibri"/>
          <w:iCs/>
          <w:lang w:val="en-US"/>
        </w:rPr>
      </w:pPr>
      <w:r w:rsidRPr="00917386">
        <w:rPr>
          <w:rFonts w:cs="Calibri"/>
          <w:iCs/>
          <w:lang w:val="en-US"/>
        </w:rPr>
        <w:t xml:space="preserve">The Vanuatu Country Plan has recently been reviewed and </w:t>
      </w:r>
      <w:r>
        <w:rPr>
          <w:rFonts w:cs="Calibri"/>
          <w:iCs/>
          <w:lang w:val="en-US"/>
        </w:rPr>
        <w:t xml:space="preserve">is being </w:t>
      </w:r>
      <w:r w:rsidRPr="00917386">
        <w:rPr>
          <w:rFonts w:cs="Calibri"/>
          <w:iCs/>
          <w:lang w:val="en-US"/>
        </w:rPr>
        <w:t>revised</w:t>
      </w:r>
      <w:r>
        <w:rPr>
          <w:rFonts w:cs="Calibri"/>
          <w:iCs/>
          <w:lang w:val="en-US"/>
        </w:rPr>
        <w:t xml:space="preserve">.  </w:t>
      </w:r>
      <w:r w:rsidRPr="00917386">
        <w:rPr>
          <w:rFonts w:cs="Calibri"/>
          <w:iCs/>
          <w:lang w:val="en-US"/>
        </w:rPr>
        <w:t xml:space="preserve">The activities dovetail with </w:t>
      </w:r>
      <w:r>
        <w:rPr>
          <w:rFonts w:cs="Calibri"/>
          <w:iCs/>
          <w:lang w:val="en-US"/>
        </w:rPr>
        <w:t>LSJ</w:t>
      </w:r>
      <w:r w:rsidRPr="00917386">
        <w:rPr>
          <w:rFonts w:cs="Calibri"/>
          <w:iCs/>
          <w:lang w:val="en-US"/>
        </w:rPr>
        <w:t xml:space="preserve"> efforts to improve justice outcomes for survivors of violence against women and to promote gender equality and women’s empowerment.</w:t>
      </w:r>
    </w:p>
    <w:p w:rsidR="00CA7A38" w:rsidRPr="00917386" w:rsidRDefault="00CA7A38" w:rsidP="00E70031">
      <w:pPr>
        <w:pStyle w:val="Heading4"/>
        <w:spacing w:line="276" w:lineRule="auto"/>
        <w:jc w:val="both"/>
        <w:rPr>
          <w:rFonts w:asciiTheme="minorHAnsi" w:hAnsiTheme="minorHAnsi"/>
          <w:b/>
          <w:color w:val="000000" w:themeColor="text1"/>
        </w:rPr>
      </w:pPr>
      <w:r w:rsidRPr="00917386">
        <w:rPr>
          <w:rFonts w:asciiTheme="minorHAnsi" w:hAnsiTheme="minorHAnsi"/>
          <w:b/>
          <w:color w:val="000000" w:themeColor="text1"/>
        </w:rPr>
        <w:t xml:space="preserve">Regional Rights Resource Team (RRRT) </w:t>
      </w:r>
    </w:p>
    <w:p w:rsidR="00CA7A38" w:rsidRDefault="00CA7A38" w:rsidP="00E70031">
      <w:pPr>
        <w:spacing w:line="276" w:lineRule="auto"/>
        <w:jc w:val="both"/>
        <w:rPr>
          <w:rFonts w:cs="Calibri"/>
          <w:iCs/>
        </w:rPr>
      </w:pPr>
      <w:r w:rsidRPr="00917386">
        <w:rPr>
          <w:rFonts w:cs="Calibri"/>
          <w:iCs/>
        </w:rPr>
        <w:t xml:space="preserve">Housed within the Secretariat of the Pacific Community, RRRT provides human rights training, technical support, policy and advocacy services across, and tailored for, the Pacific region.  In Vanuatu, RRRT has an officer working within the Ministry of Justice and Community Services.  The work of the RRRT officer includes: legal policy reform, legal awareness and training, supporting the National Human Rights Committee, and supporting implementation of the </w:t>
      </w:r>
      <w:r>
        <w:rPr>
          <w:rFonts w:cs="Calibri"/>
          <w:iCs/>
        </w:rPr>
        <w:t xml:space="preserve">FPA </w:t>
      </w:r>
      <w:r w:rsidRPr="00917386">
        <w:rPr>
          <w:rFonts w:cs="Calibri"/>
          <w:iCs/>
        </w:rPr>
        <w:t xml:space="preserve">including advancing work on Authorised Persons and Registered Counsellors under the Act.  There is a clear intersect between the work of RRRT and </w:t>
      </w:r>
      <w:r>
        <w:rPr>
          <w:rFonts w:cs="Calibri"/>
          <w:iCs/>
        </w:rPr>
        <w:t>SRBJS</w:t>
      </w:r>
      <w:r w:rsidRPr="00917386">
        <w:rPr>
          <w:rFonts w:cs="Calibri"/>
          <w:iCs/>
        </w:rPr>
        <w:t xml:space="preserve">, especially </w:t>
      </w:r>
      <w:r>
        <w:rPr>
          <w:rFonts w:cs="Calibri"/>
          <w:iCs/>
        </w:rPr>
        <w:t xml:space="preserve">in </w:t>
      </w:r>
      <w:r w:rsidRPr="00917386">
        <w:rPr>
          <w:rFonts w:cs="Calibri"/>
          <w:iCs/>
        </w:rPr>
        <w:t xml:space="preserve">supporting implementation of legislation on domestic violence. </w:t>
      </w:r>
    </w:p>
    <w:p w:rsidR="00CA7A38" w:rsidRPr="00917386" w:rsidRDefault="00CA7A38" w:rsidP="00E70031">
      <w:pPr>
        <w:pStyle w:val="Heading4"/>
        <w:spacing w:line="276" w:lineRule="auto"/>
        <w:jc w:val="both"/>
        <w:rPr>
          <w:rFonts w:asciiTheme="minorHAnsi" w:hAnsiTheme="minorHAnsi"/>
          <w:b/>
        </w:rPr>
      </w:pPr>
      <w:r w:rsidRPr="00917386">
        <w:rPr>
          <w:rFonts w:asciiTheme="minorHAnsi" w:hAnsiTheme="minorHAnsi"/>
          <w:b/>
          <w:color w:val="000000" w:themeColor="text1"/>
        </w:rPr>
        <w:t>UNDP-UNODC: UN Pacific Regional Anti-Corruption Project</w:t>
      </w:r>
    </w:p>
    <w:p w:rsidR="00CA7A38" w:rsidRPr="00EC3FE0" w:rsidRDefault="00CA7A38" w:rsidP="00E70031">
      <w:pPr>
        <w:spacing w:line="276" w:lineRule="auto"/>
        <w:jc w:val="both"/>
        <w:rPr>
          <w:rFonts w:cs="Calibri"/>
          <w:iCs/>
        </w:rPr>
      </w:pPr>
      <w:r>
        <w:rPr>
          <w:rFonts w:cs="Calibri"/>
          <w:iCs/>
        </w:rPr>
        <w:t>S</w:t>
      </w:r>
      <w:r w:rsidRPr="00917386">
        <w:rPr>
          <w:rFonts w:cs="Calibri"/>
          <w:iCs/>
        </w:rPr>
        <w:t>upport</w:t>
      </w:r>
      <w:r>
        <w:rPr>
          <w:rFonts w:cs="Calibri"/>
          <w:iCs/>
        </w:rPr>
        <w:t>s</w:t>
      </w:r>
      <w:r w:rsidRPr="00917386">
        <w:rPr>
          <w:rFonts w:cs="Calibri"/>
          <w:iCs/>
        </w:rPr>
        <w:t xml:space="preserve"> Pacific Island countries strengthen their capacity to address corruption in order to provide better service delivery and development outcomes for their populations.  In Vanuatu, the project works closely with MJCS, the </w:t>
      </w:r>
      <w:r>
        <w:rPr>
          <w:rFonts w:cs="Calibri"/>
          <w:iCs/>
        </w:rPr>
        <w:t>SLO</w:t>
      </w:r>
      <w:r w:rsidRPr="00917386">
        <w:rPr>
          <w:rFonts w:cs="Calibri"/>
          <w:iCs/>
        </w:rPr>
        <w:t xml:space="preserve"> and the National Human Rights Committee.  </w:t>
      </w:r>
      <w:r>
        <w:rPr>
          <w:rFonts w:cs="Calibri"/>
          <w:iCs/>
        </w:rPr>
        <w:t>SRBJS</w:t>
      </w:r>
      <w:r w:rsidRPr="00917386">
        <w:rPr>
          <w:rFonts w:cs="Calibri"/>
          <w:iCs/>
        </w:rPr>
        <w:t xml:space="preserve"> should coordinate with the project to ensure there is no duplication in support to sector agencies.</w:t>
      </w:r>
    </w:p>
    <w:p w:rsidR="00CA7A38" w:rsidRPr="00917386" w:rsidRDefault="00CA7A38" w:rsidP="00E70031">
      <w:pPr>
        <w:pStyle w:val="Heading4"/>
        <w:spacing w:line="276" w:lineRule="auto"/>
        <w:jc w:val="both"/>
        <w:rPr>
          <w:rFonts w:asciiTheme="minorHAnsi" w:hAnsiTheme="minorHAnsi"/>
          <w:b/>
          <w:color w:val="000000" w:themeColor="text1"/>
        </w:rPr>
      </w:pPr>
      <w:r w:rsidRPr="00917386">
        <w:rPr>
          <w:rFonts w:asciiTheme="minorHAnsi" w:hAnsiTheme="minorHAnsi"/>
          <w:b/>
          <w:color w:val="000000" w:themeColor="text1"/>
        </w:rPr>
        <w:t>United Nations Children’s Fund (UNICEF)</w:t>
      </w:r>
    </w:p>
    <w:p w:rsidR="00CA7A38" w:rsidRPr="00917386" w:rsidRDefault="00CA7A38" w:rsidP="00E70031">
      <w:pPr>
        <w:spacing w:after="0" w:line="276" w:lineRule="auto"/>
        <w:contextualSpacing/>
        <w:jc w:val="both"/>
        <w:rPr>
          <w:rFonts w:cs="Calibri"/>
          <w:iCs/>
        </w:rPr>
      </w:pPr>
      <w:r w:rsidRPr="00917386">
        <w:rPr>
          <w:rFonts w:cs="Calibri"/>
          <w:iCs/>
        </w:rPr>
        <w:t>DFAT’s support for UNICEF runs until 2017 and focuses on:</w:t>
      </w:r>
    </w:p>
    <w:p w:rsidR="00CA7A38" w:rsidRPr="00917386" w:rsidRDefault="00CA7A38" w:rsidP="00E70031">
      <w:pPr>
        <w:pStyle w:val="ListParagraph"/>
        <w:numPr>
          <w:ilvl w:val="0"/>
          <w:numId w:val="4"/>
        </w:numPr>
        <w:spacing w:after="100" w:afterAutospacing="1" w:line="276" w:lineRule="auto"/>
        <w:jc w:val="both"/>
        <w:rPr>
          <w:rFonts w:cs="Calibri"/>
          <w:iCs/>
        </w:rPr>
      </w:pPr>
      <w:r w:rsidRPr="00917386">
        <w:rPr>
          <w:rFonts w:cs="Calibri"/>
          <w:iCs/>
        </w:rPr>
        <w:t xml:space="preserve">Supporting and cooperating with MJCS Child Desk particularly on child rights, child protection and provincial work in </w:t>
      </w:r>
      <w:proofErr w:type="spellStart"/>
      <w:r w:rsidRPr="00917386">
        <w:rPr>
          <w:rFonts w:cs="Calibri"/>
          <w:iCs/>
        </w:rPr>
        <w:t>Tanna</w:t>
      </w:r>
      <w:proofErr w:type="spellEnd"/>
      <w:r w:rsidRPr="00917386">
        <w:rPr>
          <w:rFonts w:cs="Calibri"/>
          <w:iCs/>
        </w:rPr>
        <w:t xml:space="preserve">, </w:t>
      </w:r>
      <w:proofErr w:type="spellStart"/>
      <w:r w:rsidRPr="00917386">
        <w:rPr>
          <w:rFonts w:cs="Calibri"/>
          <w:iCs/>
        </w:rPr>
        <w:t>Erromango</w:t>
      </w:r>
      <w:proofErr w:type="spellEnd"/>
      <w:r w:rsidRPr="00917386">
        <w:rPr>
          <w:rFonts w:cs="Calibri"/>
          <w:iCs/>
        </w:rPr>
        <w:t>, Port Vila and Santo</w:t>
      </w:r>
    </w:p>
    <w:p w:rsidR="00CA7A38" w:rsidRPr="00917386" w:rsidRDefault="00CA7A38" w:rsidP="00E70031">
      <w:pPr>
        <w:pStyle w:val="ListParagraph"/>
        <w:numPr>
          <w:ilvl w:val="0"/>
          <w:numId w:val="4"/>
        </w:numPr>
        <w:spacing w:after="100" w:afterAutospacing="1" w:line="276" w:lineRule="auto"/>
        <w:jc w:val="both"/>
        <w:rPr>
          <w:rFonts w:cs="Calibri"/>
          <w:iCs/>
        </w:rPr>
      </w:pPr>
      <w:r w:rsidRPr="00917386">
        <w:rPr>
          <w:rFonts w:cs="Calibri"/>
          <w:iCs/>
        </w:rPr>
        <w:t>Finalising the national Child Protection Policy</w:t>
      </w:r>
    </w:p>
    <w:p w:rsidR="00CA7A38" w:rsidRPr="00917386" w:rsidRDefault="00CA7A38" w:rsidP="00E70031">
      <w:pPr>
        <w:pStyle w:val="ListParagraph"/>
        <w:numPr>
          <w:ilvl w:val="0"/>
          <w:numId w:val="4"/>
        </w:numPr>
        <w:spacing w:after="100" w:afterAutospacing="1" w:line="276" w:lineRule="auto"/>
        <w:jc w:val="both"/>
        <w:rPr>
          <w:rFonts w:cs="Calibri"/>
          <w:iCs/>
        </w:rPr>
      </w:pPr>
      <w:r w:rsidRPr="00917386">
        <w:rPr>
          <w:rFonts w:cs="Calibri"/>
          <w:iCs/>
        </w:rPr>
        <w:t>Strengthening partnerships with the Ministries of Sport and Youth, Health, Internal Affairs and Education</w:t>
      </w:r>
    </w:p>
    <w:p w:rsidR="00CA7A38" w:rsidRDefault="00CA7A38" w:rsidP="00E70031">
      <w:pPr>
        <w:pStyle w:val="ListParagraph"/>
        <w:numPr>
          <w:ilvl w:val="0"/>
          <w:numId w:val="4"/>
        </w:numPr>
        <w:spacing w:before="240" w:after="100" w:afterAutospacing="1" w:line="276" w:lineRule="auto"/>
        <w:jc w:val="both"/>
        <w:rPr>
          <w:rFonts w:cs="Calibri"/>
          <w:iCs/>
        </w:rPr>
      </w:pPr>
      <w:r w:rsidRPr="00917386">
        <w:rPr>
          <w:rFonts w:cs="Calibri"/>
          <w:iCs/>
        </w:rPr>
        <w:t xml:space="preserve">Finalising birth registration support, particularly post Cyclone Pam </w:t>
      </w:r>
    </w:p>
    <w:p w:rsidR="00CA7A38" w:rsidRDefault="00CA7A38" w:rsidP="00E70031">
      <w:pPr>
        <w:pStyle w:val="ListParagraph"/>
        <w:numPr>
          <w:ilvl w:val="0"/>
          <w:numId w:val="4"/>
        </w:numPr>
        <w:spacing w:before="240" w:after="100" w:afterAutospacing="1" w:line="276" w:lineRule="auto"/>
        <w:jc w:val="both"/>
        <w:rPr>
          <w:rFonts w:cs="Calibri"/>
          <w:iCs/>
        </w:rPr>
      </w:pPr>
      <w:r>
        <w:rPr>
          <w:rFonts w:cs="Calibri"/>
          <w:iCs/>
        </w:rPr>
        <w:t>Supporting community access to information on child rights and child protection</w:t>
      </w:r>
    </w:p>
    <w:p w:rsidR="00CA7A38" w:rsidRDefault="00CA7A38" w:rsidP="00E70031">
      <w:pPr>
        <w:spacing w:before="240" w:after="100" w:afterAutospacing="1" w:line="276" w:lineRule="auto"/>
        <w:jc w:val="both"/>
        <w:rPr>
          <w:rFonts w:cs="Calibri"/>
          <w:iCs/>
        </w:rPr>
      </w:pPr>
      <w:r w:rsidRPr="00EC3FE0">
        <w:rPr>
          <w:rFonts w:cs="Calibri"/>
          <w:iCs/>
        </w:rPr>
        <w:lastRenderedPageBreak/>
        <w:t>Consultations for the 2018 UNICEF Country Plan</w:t>
      </w:r>
      <w:r>
        <w:rPr>
          <w:rFonts w:cs="Calibri"/>
          <w:iCs/>
        </w:rPr>
        <w:t xml:space="preserve"> and 2018-2022 Country Program are scheduled to begin </w:t>
      </w:r>
      <w:r w:rsidRPr="00EC3FE0">
        <w:rPr>
          <w:rFonts w:cs="Calibri"/>
          <w:iCs/>
        </w:rPr>
        <w:t xml:space="preserve">in 2016, relevant for </w:t>
      </w:r>
      <w:r>
        <w:rPr>
          <w:rFonts w:cs="Calibri"/>
          <w:iCs/>
        </w:rPr>
        <w:t>SRBJS’s</w:t>
      </w:r>
      <w:r w:rsidRPr="00FB4868">
        <w:rPr>
          <w:rFonts w:cs="Calibri"/>
          <w:iCs/>
        </w:rPr>
        <w:t xml:space="preserve"> approach to and work on child protection.</w:t>
      </w:r>
    </w:p>
    <w:p w:rsidR="00CA7A38" w:rsidRDefault="00CA7A38" w:rsidP="00E70031">
      <w:pPr>
        <w:spacing w:before="240" w:after="100" w:afterAutospacing="1" w:line="276" w:lineRule="auto"/>
        <w:jc w:val="both"/>
      </w:pPr>
      <w:r w:rsidRPr="00FB4868">
        <w:t xml:space="preserve">Also, </w:t>
      </w:r>
      <w:r>
        <w:t xml:space="preserve">UNICEF is supporting child protection system strengthening in two communities in </w:t>
      </w:r>
      <w:proofErr w:type="spellStart"/>
      <w:r>
        <w:t>Sanma</w:t>
      </w:r>
      <w:proofErr w:type="spellEnd"/>
      <w:r>
        <w:t xml:space="preserve"> and </w:t>
      </w:r>
      <w:proofErr w:type="spellStart"/>
      <w:r>
        <w:t>Tafea</w:t>
      </w:r>
      <w:proofErr w:type="spellEnd"/>
      <w:r>
        <w:t xml:space="preserve"> and three communities in </w:t>
      </w:r>
      <w:proofErr w:type="spellStart"/>
      <w:r>
        <w:t>Penama</w:t>
      </w:r>
      <w:proofErr w:type="spellEnd"/>
      <w:r>
        <w:t xml:space="preserve">.  This involves strengthening </w:t>
      </w:r>
      <w:r w:rsidRPr="00FB4868">
        <w:t>provincial c</w:t>
      </w:r>
      <w:r>
        <w:t>hild protection working groups/</w:t>
      </w:r>
      <w:r w:rsidRPr="00FB4868">
        <w:t xml:space="preserve">committees for coordinated provision of services at the provincial </w:t>
      </w:r>
      <w:r>
        <w:t>level and linking with community-</w:t>
      </w:r>
      <w:r w:rsidRPr="00FB4868">
        <w:t>based child protection mechanisms</w:t>
      </w:r>
      <w:r>
        <w:t xml:space="preserve">.  In 2016, UNICEF, together with Save the Children, will support target communities to develop a referral protocol which involves police and justice actors as well as non-state actors.  As </w:t>
      </w:r>
      <w:proofErr w:type="spellStart"/>
      <w:r>
        <w:t>Sanma</w:t>
      </w:r>
      <w:proofErr w:type="spellEnd"/>
      <w:r>
        <w:t xml:space="preserve"> and </w:t>
      </w:r>
      <w:proofErr w:type="spellStart"/>
      <w:r>
        <w:t>Tafea</w:t>
      </w:r>
      <w:proofErr w:type="spellEnd"/>
      <w:r>
        <w:t xml:space="preserve"> Provinces will also be targeted through SRBJS, there may be some scope for collaboration there, or at least complementarities. </w:t>
      </w:r>
    </w:p>
    <w:p w:rsidR="00CA7A38" w:rsidRPr="00917386" w:rsidRDefault="00CA7A38" w:rsidP="00E70031">
      <w:pPr>
        <w:pStyle w:val="Heading4"/>
        <w:spacing w:line="276" w:lineRule="auto"/>
        <w:jc w:val="both"/>
        <w:rPr>
          <w:rFonts w:asciiTheme="minorHAnsi" w:hAnsiTheme="minorHAnsi"/>
          <w:b/>
        </w:rPr>
      </w:pPr>
      <w:r w:rsidRPr="00917386">
        <w:rPr>
          <w:rFonts w:asciiTheme="minorHAnsi" w:hAnsiTheme="minorHAnsi"/>
          <w:b/>
          <w:color w:val="000000" w:themeColor="text1"/>
        </w:rPr>
        <w:t>Vanuatu Women’s Centre (VWC)</w:t>
      </w:r>
    </w:p>
    <w:p w:rsidR="00CA7A38" w:rsidRPr="00917386" w:rsidRDefault="00CA7A38" w:rsidP="00E70031">
      <w:pPr>
        <w:spacing w:after="0" w:line="276" w:lineRule="auto"/>
        <w:contextualSpacing/>
        <w:jc w:val="both"/>
        <w:rPr>
          <w:rFonts w:cs="Calibri"/>
          <w:iCs/>
        </w:rPr>
      </w:pPr>
      <w:r w:rsidRPr="00917386">
        <w:rPr>
          <w:rFonts w:cs="Calibri"/>
          <w:iCs/>
        </w:rPr>
        <w:t xml:space="preserve">VWC coordinates a national program of prevention and response services.  </w:t>
      </w:r>
      <w:r>
        <w:rPr>
          <w:rFonts w:cs="Calibri"/>
          <w:iCs/>
        </w:rPr>
        <w:t>Its</w:t>
      </w:r>
      <w:r w:rsidRPr="00917386">
        <w:rPr>
          <w:rFonts w:cs="Calibri"/>
          <w:iCs/>
        </w:rPr>
        <w:t xml:space="preserve"> national headquarters </w:t>
      </w:r>
      <w:r>
        <w:rPr>
          <w:rFonts w:cs="Calibri"/>
          <w:iCs/>
        </w:rPr>
        <w:t>are</w:t>
      </w:r>
      <w:r w:rsidRPr="00917386">
        <w:rPr>
          <w:rFonts w:cs="Calibri"/>
          <w:iCs/>
        </w:rPr>
        <w:t xml:space="preserve"> in Port Vila, with four provincial branches — </w:t>
      </w:r>
      <w:proofErr w:type="spellStart"/>
      <w:r w:rsidRPr="00917386">
        <w:rPr>
          <w:rFonts w:cs="Calibri"/>
          <w:iCs/>
        </w:rPr>
        <w:t>Sanma</w:t>
      </w:r>
      <w:proofErr w:type="spellEnd"/>
      <w:r w:rsidRPr="00917386">
        <w:rPr>
          <w:rFonts w:cs="Calibri"/>
          <w:iCs/>
        </w:rPr>
        <w:t xml:space="preserve"> Counselling Centre, </w:t>
      </w:r>
      <w:proofErr w:type="spellStart"/>
      <w:r w:rsidRPr="00917386">
        <w:rPr>
          <w:rFonts w:cs="Calibri"/>
          <w:iCs/>
        </w:rPr>
        <w:t>Tafea</w:t>
      </w:r>
      <w:proofErr w:type="spellEnd"/>
      <w:r w:rsidRPr="00917386">
        <w:rPr>
          <w:rFonts w:cs="Calibri"/>
          <w:iCs/>
        </w:rPr>
        <w:t xml:space="preserve"> Counselling Centre, </w:t>
      </w:r>
      <w:proofErr w:type="spellStart"/>
      <w:r w:rsidRPr="00917386">
        <w:rPr>
          <w:rFonts w:cs="Calibri"/>
          <w:iCs/>
        </w:rPr>
        <w:t>Torba</w:t>
      </w:r>
      <w:proofErr w:type="spellEnd"/>
      <w:r w:rsidRPr="00917386">
        <w:rPr>
          <w:rFonts w:cs="Calibri"/>
          <w:iCs/>
        </w:rPr>
        <w:t xml:space="preserve"> Counselling Centre, and </w:t>
      </w:r>
      <w:proofErr w:type="spellStart"/>
      <w:r w:rsidRPr="00917386">
        <w:rPr>
          <w:rFonts w:cs="Calibri"/>
          <w:iCs/>
        </w:rPr>
        <w:t>Malampa</w:t>
      </w:r>
      <w:proofErr w:type="spellEnd"/>
      <w:r w:rsidRPr="00917386">
        <w:rPr>
          <w:rFonts w:cs="Calibri"/>
          <w:iCs/>
        </w:rPr>
        <w:t xml:space="preserve"> Counselling Centre.  VWC has a rural volunteer n</w:t>
      </w:r>
      <w:r>
        <w:rPr>
          <w:rFonts w:cs="Calibri"/>
          <w:iCs/>
        </w:rPr>
        <w:t xml:space="preserve">etwork of 44 Committees </w:t>
      </w:r>
      <w:proofErr w:type="gramStart"/>
      <w:r>
        <w:rPr>
          <w:rFonts w:cs="Calibri"/>
          <w:iCs/>
        </w:rPr>
        <w:t xml:space="preserve">Against </w:t>
      </w:r>
      <w:r w:rsidRPr="00917386">
        <w:rPr>
          <w:rFonts w:cs="Calibri"/>
          <w:iCs/>
        </w:rPr>
        <w:t>Violence Against</w:t>
      </w:r>
      <w:proofErr w:type="gramEnd"/>
      <w:r w:rsidRPr="00917386">
        <w:rPr>
          <w:rFonts w:cs="Calibri"/>
          <w:iCs/>
        </w:rPr>
        <w:t xml:space="preserve"> Women and a national network of volunteer “male advocates”.  DFAT has committed to funding VWC through to 2021.  VWC prioritises the following policing, law and justice issues:</w:t>
      </w:r>
    </w:p>
    <w:p w:rsidR="00CA7A38" w:rsidRPr="00917386" w:rsidRDefault="00CA7A38" w:rsidP="00E70031">
      <w:pPr>
        <w:pStyle w:val="ListParagraph"/>
        <w:numPr>
          <w:ilvl w:val="0"/>
          <w:numId w:val="3"/>
        </w:numPr>
        <w:spacing w:before="100" w:beforeAutospacing="1" w:after="100" w:afterAutospacing="1" w:line="276" w:lineRule="auto"/>
        <w:jc w:val="both"/>
        <w:rPr>
          <w:rFonts w:cs="Calibri"/>
          <w:iCs/>
        </w:rPr>
      </w:pPr>
      <w:r w:rsidRPr="00917386">
        <w:rPr>
          <w:rFonts w:cs="Calibri"/>
          <w:iCs/>
        </w:rPr>
        <w:t>Monitoring implementation of VPF Standard Operating Procedures (SOPs) for Family Violence Prevention and Response (June 2015), including through the establishment of Violence Against Women Task Forces comprised of police and other stakeholders — located at the branch-level and in Port Vila</w:t>
      </w:r>
    </w:p>
    <w:p w:rsidR="00CA7A38" w:rsidRPr="00917386" w:rsidRDefault="00CA7A38" w:rsidP="00E70031">
      <w:pPr>
        <w:pStyle w:val="ListParagraph"/>
        <w:numPr>
          <w:ilvl w:val="0"/>
          <w:numId w:val="3"/>
        </w:numPr>
        <w:spacing w:before="100" w:beforeAutospacing="1" w:after="100" w:afterAutospacing="1" w:line="276" w:lineRule="auto"/>
        <w:jc w:val="both"/>
        <w:rPr>
          <w:rFonts w:cs="Calibri"/>
          <w:iCs/>
        </w:rPr>
      </w:pPr>
      <w:r w:rsidRPr="00917386">
        <w:rPr>
          <w:rFonts w:cs="Calibri"/>
          <w:iCs/>
        </w:rPr>
        <w:t>Having a VPF officer stationed at VWC in Port Vila as well as in each Branch (for a designated number of days per week) in order to improve handling and progression of domestic violence cases through the justice system</w:t>
      </w:r>
    </w:p>
    <w:p w:rsidR="00CA7A38" w:rsidRPr="00917386" w:rsidRDefault="00CA7A38" w:rsidP="00E70031">
      <w:pPr>
        <w:pStyle w:val="ListParagraph"/>
        <w:numPr>
          <w:ilvl w:val="0"/>
          <w:numId w:val="3"/>
        </w:numPr>
        <w:spacing w:before="100" w:beforeAutospacing="1" w:after="100" w:afterAutospacing="1" w:line="276" w:lineRule="auto"/>
        <w:jc w:val="both"/>
        <w:rPr>
          <w:rFonts w:cs="Calibri"/>
          <w:iCs/>
        </w:rPr>
      </w:pPr>
      <w:r w:rsidRPr="00917386">
        <w:rPr>
          <w:rFonts w:cs="Calibri"/>
          <w:iCs/>
        </w:rPr>
        <w:t xml:space="preserve">Lobbying for full legislative compliance with the Convention on the Elimination of All Forms of Discrimination Against Women </w:t>
      </w:r>
    </w:p>
    <w:p w:rsidR="00CA7A38" w:rsidRPr="00917386" w:rsidRDefault="00CA7A38" w:rsidP="00E70031">
      <w:pPr>
        <w:pStyle w:val="ListParagraph"/>
        <w:numPr>
          <w:ilvl w:val="0"/>
          <w:numId w:val="3"/>
        </w:numPr>
        <w:spacing w:before="100" w:beforeAutospacing="1" w:after="100" w:afterAutospacing="1" w:line="276" w:lineRule="auto"/>
        <w:jc w:val="both"/>
        <w:rPr>
          <w:rFonts w:cs="Calibri"/>
          <w:iCs/>
        </w:rPr>
      </w:pPr>
      <w:r w:rsidRPr="00917386">
        <w:rPr>
          <w:rFonts w:cs="Calibri"/>
          <w:iCs/>
        </w:rPr>
        <w:t>Advocating for legislative review and reform (including of family law provisions, adoption, discrepancies regarding the legal age of marriage, and the penal code)</w:t>
      </w:r>
    </w:p>
    <w:p w:rsidR="00CA7A38" w:rsidRPr="00917386" w:rsidRDefault="00CA7A38" w:rsidP="00E70031">
      <w:pPr>
        <w:pStyle w:val="ListParagraph"/>
        <w:numPr>
          <w:ilvl w:val="0"/>
          <w:numId w:val="3"/>
        </w:numPr>
        <w:spacing w:before="100" w:beforeAutospacing="1" w:after="100" w:afterAutospacing="1" w:line="276" w:lineRule="auto"/>
        <w:jc w:val="both"/>
        <w:rPr>
          <w:rFonts w:cs="Calibri"/>
          <w:iCs/>
        </w:rPr>
      </w:pPr>
      <w:r w:rsidRPr="00917386">
        <w:rPr>
          <w:rFonts w:cs="Calibri"/>
          <w:iCs/>
        </w:rPr>
        <w:t>Working to make the court system more child friendly</w:t>
      </w:r>
    </w:p>
    <w:p w:rsidR="00CA7A38" w:rsidRPr="00917386" w:rsidRDefault="00CA7A38" w:rsidP="00E70031">
      <w:pPr>
        <w:pStyle w:val="ListParagraph"/>
        <w:numPr>
          <w:ilvl w:val="0"/>
          <w:numId w:val="3"/>
        </w:numPr>
        <w:spacing w:before="100" w:beforeAutospacing="1" w:after="100" w:afterAutospacing="1" w:line="276" w:lineRule="auto"/>
        <w:jc w:val="both"/>
        <w:rPr>
          <w:rFonts w:cs="Calibri"/>
          <w:iCs/>
        </w:rPr>
      </w:pPr>
      <w:r w:rsidRPr="00917386">
        <w:rPr>
          <w:rFonts w:cs="Calibri"/>
          <w:iCs/>
        </w:rPr>
        <w:t xml:space="preserve">Advocating for more consistent sentencing for sexual offences </w:t>
      </w:r>
    </w:p>
    <w:p w:rsidR="00CA7A38" w:rsidRPr="00917386" w:rsidRDefault="00CA7A38" w:rsidP="00E70031">
      <w:pPr>
        <w:pStyle w:val="ListParagraph"/>
        <w:numPr>
          <w:ilvl w:val="0"/>
          <w:numId w:val="3"/>
        </w:numPr>
        <w:spacing w:before="100" w:beforeAutospacing="1" w:after="100" w:afterAutospacing="1" w:line="276" w:lineRule="auto"/>
        <w:jc w:val="both"/>
        <w:rPr>
          <w:rFonts w:cs="Calibri"/>
          <w:iCs/>
        </w:rPr>
      </w:pPr>
      <w:r w:rsidRPr="00917386">
        <w:rPr>
          <w:rFonts w:cs="Calibri"/>
          <w:iCs/>
        </w:rPr>
        <w:t>Collaborating with the National Human Rights Committee</w:t>
      </w:r>
    </w:p>
    <w:p w:rsidR="00CA7A38" w:rsidRPr="00917386" w:rsidRDefault="00CA7A38" w:rsidP="00E70031">
      <w:pPr>
        <w:spacing w:before="100" w:beforeAutospacing="1" w:after="100" w:afterAutospacing="1" w:line="276" w:lineRule="auto"/>
        <w:jc w:val="both"/>
        <w:rPr>
          <w:rFonts w:cs="Calibri"/>
          <w:iCs/>
        </w:rPr>
      </w:pPr>
      <w:r>
        <w:rPr>
          <w:rFonts w:cs="Calibri"/>
          <w:iCs/>
        </w:rPr>
        <w:t>The</w:t>
      </w:r>
      <w:r w:rsidRPr="00917386">
        <w:rPr>
          <w:rFonts w:cs="Calibri"/>
          <w:iCs/>
        </w:rPr>
        <w:t xml:space="preserve"> work of VWC aligns closely with </w:t>
      </w:r>
      <w:r>
        <w:rPr>
          <w:rFonts w:cs="Calibri"/>
          <w:iCs/>
        </w:rPr>
        <w:t xml:space="preserve">the </w:t>
      </w:r>
      <w:r w:rsidRPr="00917386">
        <w:rPr>
          <w:rFonts w:cs="Calibri"/>
          <w:iCs/>
        </w:rPr>
        <w:t>focus</w:t>
      </w:r>
      <w:r>
        <w:rPr>
          <w:rFonts w:cs="Calibri"/>
          <w:iCs/>
        </w:rPr>
        <w:t xml:space="preserve"> of SRBJS</w:t>
      </w:r>
      <w:r w:rsidRPr="00917386">
        <w:rPr>
          <w:rFonts w:cs="Calibri"/>
          <w:iCs/>
        </w:rPr>
        <w:t xml:space="preserve"> on addressing violence against women and children.  In particular, VWC’s presence in provincial locations supports </w:t>
      </w:r>
      <w:r>
        <w:rPr>
          <w:rFonts w:cs="Calibri"/>
          <w:iCs/>
        </w:rPr>
        <w:t xml:space="preserve">the program’s </w:t>
      </w:r>
      <w:r w:rsidRPr="00917386">
        <w:rPr>
          <w:rFonts w:cs="Calibri"/>
          <w:iCs/>
        </w:rPr>
        <w:t>intention of working to help improve people’s access to justice and corresponding emphasis on access to justice for survivors of violence against women and children.</w:t>
      </w:r>
    </w:p>
    <w:p w:rsidR="00CA7A38" w:rsidRPr="00917386" w:rsidRDefault="00CA7A38" w:rsidP="00E70031">
      <w:pPr>
        <w:pStyle w:val="Heading4"/>
        <w:spacing w:line="276" w:lineRule="auto"/>
        <w:jc w:val="both"/>
        <w:rPr>
          <w:rFonts w:asciiTheme="minorHAnsi" w:hAnsiTheme="minorHAnsi"/>
          <w:b/>
        </w:rPr>
      </w:pPr>
      <w:r w:rsidRPr="00917386">
        <w:rPr>
          <w:rFonts w:asciiTheme="minorHAnsi" w:hAnsiTheme="minorHAnsi"/>
          <w:b/>
          <w:color w:val="000000" w:themeColor="text1"/>
        </w:rPr>
        <w:t xml:space="preserve">Wan </w:t>
      </w:r>
      <w:proofErr w:type="spellStart"/>
      <w:r w:rsidRPr="00917386">
        <w:rPr>
          <w:rFonts w:asciiTheme="minorHAnsi" w:hAnsiTheme="minorHAnsi"/>
          <w:b/>
          <w:color w:val="000000" w:themeColor="text1"/>
        </w:rPr>
        <w:t>Smolbag</w:t>
      </w:r>
      <w:proofErr w:type="spellEnd"/>
      <w:r w:rsidRPr="00917386">
        <w:rPr>
          <w:rFonts w:asciiTheme="minorHAnsi" w:hAnsiTheme="minorHAnsi"/>
          <w:b/>
          <w:color w:val="000000" w:themeColor="text1"/>
        </w:rPr>
        <w:t xml:space="preserve"> Theatre (WSB)</w:t>
      </w:r>
    </w:p>
    <w:p w:rsidR="00CA7A38" w:rsidRDefault="00CA7A38" w:rsidP="00E70031">
      <w:pPr>
        <w:spacing w:line="276" w:lineRule="auto"/>
        <w:contextualSpacing/>
        <w:jc w:val="both"/>
        <w:rPr>
          <w:rFonts w:cstheme="minorHAnsi"/>
        </w:rPr>
      </w:pPr>
      <w:r w:rsidRPr="00917386">
        <w:rPr>
          <w:rFonts w:cstheme="minorHAnsi"/>
        </w:rPr>
        <w:t xml:space="preserve">WSB uses drama (and workshops facilitated by actors) to inform, raise awareness and encourage public discussion on a range of contemporary social issues.  WSB also runs programs in </w:t>
      </w:r>
      <w:hyperlink r:id="rId13" w:history="1">
        <w:r w:rsidRPr="00917386">
          <w:rPr>
            <w:rFonts w:cstheme="minorHAnsi"/>
          </w:rPr>
          <w:t>education</w:t>
        </w:r>
      </w:hyperlink>
      <w:r w:rsidRPr="00917386">
        <w:rPr>
          <w:rFonts w:cstheme="minorHAnsi"/>
        </w:rPr>
        <w:t xml:space="preserve">, </w:t>
      </w:r>
      <w:hyperlink r:id="rId14" w:history="1">
        <w:r w:rsidRPr="00917386">
          <w:rPr>
            <w:rFonts w:cstheme="minorHAnsi"/>
          </w:rPr>
          <w:t>environment</w:t>
        </w:r>
      </w:hyperlink>
      <w:r w:rsidRPr="00917386">
        <w:rPr>
          <w:rFonts w:cstheme="minorHAnsi"/>
        </w:rPr>
        <w:t xml:space="preserve">, </w:t>
      </w:r>
      <w:hyperlink r:id="rId15" w:history="1">
        <w:r w:rsidRPr="00917386">
          <w:rPr>
            <w:rFonts w:cstheme="minorHAnsi"/>
          </w:rPr>
          <w:t>governance</w:t>
        </w:r>
      </w:hyperlink>
      <w:r w:rsidRPr="00917386">
        <w:rPr>
          <w:rFonts w:cstheme="minorHAnsi"/>
        </w:rPr>
        <w:t xml:space="preserve">, health and </w:t>
      </w:r>
      <w:hyperlink r:id="rId16" w:history="1">
        <w:r w:rsidRPr="00917386">
          <w:rPr>
            <w:rFonts w:cstheme="minorHAnsi"/>
          </w:rPr>
          <w:t>youth</w:t>
        </w:r>
      </w:hyperlink>
      <w:r w:rsidRPr="00917386">
        <w:rPr>
          <w:rFonts w:cstheme="minorHAnsi"/>
        </w:rPr>
        <w:t xml:space="preserve"> issues addressing themes including waste management, electoral rights, domestic violence and HIV/AIDS.  WSB has links with the </w:t>
      </w:r>
      <w:proofErr w:type="spellStart"/>
      <w:r w:rsidRPr="00917386">
        <w:rPr>
          <w:rFonts w:cstheme="minorHAnsi"/>
        </w:rPr>
        <w:t>Blacksands</w:t>
      </w:r>
      <w:proofErr w:type="spellEnd"/>
      <w:r w:rsidRPr="00917386">
        <w:rPr>
          <w:rFonts w:cstheme="minorHAnsi"/>
        </w:rPr>
        <w:t xml:space="preserve"> community and fulfils a role in mentoring and counselling youth from that area.  There are opportunities for </w:t>
      </w:r>
      <w:r>
        <w:rPr>
          <w:rFonts w:cstheme="minorHAnsi"/>
        </w:rPr>
        <w:t>SRBJS</w:t>
      </w:r>
      <w:r w:rsidRPr="00917386">
        <w:rPr>
          <w:rFonts w:cstheme="minorHAnsi"/>
        </w:rPr>
        <w:t xml:space="preserve"> to </w:t>
      </w:r>
      <w:r w:rsidRPr="00917386">
        <w:rPr>
          <w:rFonts w:cstheme="minorHAnsi"/>
        </w:rPr>
        <w:lastRenderedPageBreak/>
        <w:t xml:space="preserve">collaborate with WSB to develop an appropriate approach to strengthening community safety in </w:t>
      </w:r>
      <w:proofErr w:type="spellStart"/>
      <w:r w:rsidRPr="00917386">
        <w:rPr>
          <w:rFonts w:cstheme="minorHAnsi"/>
        </w:rPr>
        <w:t>Blacksands</w:t>
      </w:r>
      <w:proofErr w:type="spellEnd"/>
      <w:r w:rsidRPr="00917386">
        <w:rPr>
          <w:rFonts w:cstheme="minorHAnsi"/>
        </w:rPr>
        <w:t xml:space="preserve">, particularly with respect to fostering stronger relations between youth and the police.  There may also be scope for </w:t>
      </w:r>
      <w:r>
        <w:rPr>
          <w:rFonts w:cstheme="minorHAnsi"/>
        </w:rPr>
        <w:t xml:space="preserve">SRBJS </w:t>
      </w:r>
      <w:r w:rsidRPr="00917386">
        <w:rPr>
          <w:rFonts w:cstheme="minorHAnsi"/>
        </w:rPr>
        <w:t>to partner with WSB for the provision of counselling for perpetrators of domestic violence (beginning with training counsellors).</w:t>
      </w:r>
    </w:p>
    <w:p w:rsidR="00CA7A38" w:rsidRPr="00917386" w:rsidRDefault="00CA7A38" w:rsidP="00E70031">
      <w:pPr>
        <w:spacing w:line="276" w:lineRule="auto"/>
        <w:contextualSpacing/>
        <w:jc w:val="both"/>
        <w:rPr>
          <w:rFonts w:cstheme="minorHAnsi"/>
        </w:rPr>
      </w:pPr>
    </w:p>
    <w:p w:rsidR="00CA7A38" w:rsidRPr="00917386" w:rsidRDefault="00CA7A38" w:rsidP="00E70031">
      <w:pPr>
        <w:pStyle w:val="Heading3"/>
        <w:numPr>
          <w:ilvl w:val="0"/>
          <w:numId w:val="16"/>
        </w:numPr>
        <w:spacing w:after="240" w:line="276" w:lineRule="auto"/>
        <w:jc w:val="both"/>
        <w:rPr>
          <w:rFonts w:asciiTheme="minorHAnsi" w:hAnsiTheme="minorHAnsi"/>
          <w:color w:val="auto"/>
          <w:sz w:val="22"/>
          <w:szCs w:val="22"/>
        </w:rPr>
      </w:pPr>
      <w:r w:rsidRPr="00917386">
        <w:rPr>
          <w:rFonts w:asciiTheme="minorHAnsi" w:hAnsiTheme="minorHAnsi"/>
          <w:color w:val="auto"/>
          <w:sz w:val="22"/>
          <w:szCs w:val="22"/>
        </w:rPr>
        <w:t>Coordination with other Donor-Funded Development Programs and Initiatives</w:t>
      </w:r>
    </w:p>
    <w:p w:rsidR="00CA7A38" w:rsidRPr="00917386" w:rsidRDefault="00CA7A38" w:rsidP="00E70031">
      <w:pPr>
        <w:pStyle w:val="Heading4"/>
        <w:spacing w:line="276" w:lineRule="auto"/>
        <w:jc w:val="both"/>
        <w:rPr>
          <w:rFonts w:asciiTheme="minorHAnsi" w:hAnsiTheme="minorHAnsi"/>
          <w:b/>
          <w:color w:val="000000" w:themeColor="text1"/>
          <w:lang w:val="en-US"/>
        </w:rPr>
      </w:pPr>
      <w:r>
        <w:rPr>
          <w:rFonts w:asciiTheme="minorHAnsi" w:hAnsiTheme="minorHAnsi"/>
          <w:b/>
          <w:color w:val="000000" w:themeColor="text1"/>
          <w:lang w:val="en-US"/>
        </w:rPr>
        <w:t xml:space="preserve">In-line adviser support to </w:t>
      </w:r>
      <w:r w:rsidRPr="00917386">
        <w:rPr>
          <w:rFonts w:asciiTheme="minorHAnsi" w:hAnsiTheme="minorHAnsi"/>
          <w:b/>
          <w:color w:val="000000" w:themeColor="text1"/>
          <w:lang w:val="en-US"/>
        </w:rPr>
        <w:t>Supreme Court of Vanuatu</w:t>
      </w:r>
      <w:r>
        <w:rPr>
          <w:rFonts w:asciiTheme="minorHAnsi" w:hAnsiTheme="minorHAnsi"/>
          <w:b/>
          <w:color w:val="000000" w:themeColor="text1"/>
          <w:lang w:val="en-US"/>
        </w:rPr>
        <w:t>: New Zealand &amp; Commonwealth Secretariat</w:t>
      </w:r>
    </w:p>
    <w:p w:rsidR="00CA7A38" w:rsidRDefault="00CA7A38" w:rsidP="00E70031">
      <w:pPr>
        <w:spacing w:after="120" w:line="276" w:lineRule="auto"/>
        <w:jc w:val="both"/>
      </w:pPr>
      <w:r w:rsidRPr="00917386">
        <w:rPr>
          <w:rFonts w:cs="Calibri"/>
          <w:iCs/>
          <w:lang w:val="en-US"/>
        </w:rPr>
        <w:t xml:space="preserve">New Zealand and the Commonwealth Secretariat each provide an in-line judge </w:t>
      </w:r>
      <w:r w:rsidRPr="00917386">
        <w:t xml:space="preserve">to strengthen the institutional capacity of the Supreme Court; Commonwealth Secretariat also provides a Court Master.  This technical assistance aims to reduce backlog of cases and improve </w:t>
      </w:r>
      <w:r>
        <w:t xml:space="preserve">the </w:t>
      </w:r>
      <w:r w:rsidRPr="00917386">
        <w:t>administration of justice.</w:t>
      </w:r>
    </w:p>
    <w:p w:rsidR="00CA7A38" w:rsidRPr="00917386" w:rsidRDefault="00CA7A38" w:rsidP="00E70031">
      <w:pPr>
        <w:pStyle w:val="Heading4"/>
        <w:spacing w:line="276" w:lineRule="auto"/>
        <w:jc w:val="both"/>
        <w:rPr>
          <w:rFonts w:asciiTheme="minorHAnsi" w:hAnsiTheme="minorHAnsi"/>
          <w:b/>
          <w:color w:val="000000" w:themeColor="text1"/>
        </w:rPr>
      </w:pPr>
      <w:r w:rsidRPr="00917386">
        <w:rPr>
          <w:rFonts w:asciiTheme="minorHAnsi" w:hAnsiTheme="minorHAnsi"/>
          <w:b/>
          <w:color w:val="000000" w:themeColor="text1"/>
        </w:rPr>
        <w:t>New Zealand support for the Vanuatu Department of Correctional Services</w:t>
      </w:r>
    </w:p>
    <w:p w:rsidR="00CA7A38" w:rsidRPr="000D31AB" w:rsidRDefault="00CA7A38" w:rsidP="00E70031">
      <w:pPr>
        <w:spacing w:after="120" w:line="276" w:lineRule="auto"/>
        <w:jc w:val="both"/>
        <w:rPr>
          <w:rFonts w:cs="Calibri"/>
          <w:iCs/>
          <w:lang w:val="en-US"/>
        </w:rPr>
      </w:pPr>
      <w:r w:rsidRPr="00917386">
        <w:rPr>
          <w:rFonts w:cs="Calibri"/>
          <w:iCs/>
        </w:rPr>
        <w:t>New Zealand Government Ministry of Foreign Affairs and Trade (MFAT)</w:t>
      </w:r>
      <w:r w:rsidRPr="00917386">
        <w:rPr>
          <w:rFonts w:cs="Calibri"/>
          <w:iCs/>
          <w:lang w:val="en-US"/>
        </w:rPr>
        <w:t xml:space="preserve"> </w:t>
      </w:r>
      <w:proofErr w:type="gramStart"/>
      <w:r w:rsidRPr="00917386">
        <w:rPr>
          <w:rFonts w:cs="Calibri"/>
          <w:iCs/>
          <w:lang w:val="en-US"/>
        </w:rPr>
        <w:t>provides</w:t>
      </w:r>
      <w:proofErr w:type="gramEnd"/>
      <w:r w:rsidRPr="00917386">
        <w:rPr>
          <w:rFonts w:cs="Calibri"/>
          <w:iCs/>
          <w:lang w:val="en-US"/>
        </w:rPr>
        <w:t xml:space="preserve"> budgetary support and technical assistance to the Vanuatu Department of Correctional Services.  Support focuses on infrastructure (</w:t>
      </w:r>
      <w:proofErr w:type="spellStart"/>
      <w:r w:rsidRPr="00917386">
        <w:rPr>
          <w:rFonts w:cs="Calibri"/>
          <w:iCs/>
          <w:lang w:val="en-US"/>
        </w:rPr>
        <w:t>Luganville</w:t>
      </w:r>
      <w:proofErr w:type="spellEnd"/>
      <w:r w:rsidRPr="00917386">
        <w:rPr>
          <w:rFonts w:cs="Calibri"/>
          <w:iCs/>
          <w:lang w:val="en-US"/>
        </w:rPr>
        <w:t xml:space="preserve"> Correctional Centre), </w:t>
      </w:r>
      <w:proofErr w:type="spellStart"/>
      <w:r w:rsidRPr="00917386">
        <w:rPr>
          <w:rFonts w:cs="Calibri"/>
          <w:iCs/>
          <w:lang w:val="en-US"/>
        </w:rPr>
        <w:t>organisational</w:t>
      </w:r>
      <w:proofErr w:type="spellEnd"/>
      <w:r w:rsidRPr="00917386">
        <w:rPr>
          <w:rFonts w:cs="Calibri"/>
          <w:iCs/>
          <w:lang w:val="en-US"/>
        </w:rPr>
        <w:t xml:space="preserve"> planning and some limited capacity development support (provided by the New Zealand Department of Corrections).  This support is expected to continue until at least mid-2017.</w:t>
      </w:r>
      <w:r>
        <w:rPr>
          <w:rFonts w:cs="Calibri"/>
          <w:iCs/>
          <w:lang w:val="en-US"/>
        </w:rPr>
        <w:t xml:space="preserve">  </w:t>
      </w:r>
    </w:p>
    <w:p w:rsidR="00CA7A38" w:rsidRPr="00917386" w:rsidRDefault="00CA7A38" w:rsidP="00E70031">
      <w:pPr>
        <w:pStyle w:val="Heading4"/>
        <w:spacing w:line="276" w:lineRule="auto"/>
        <w:jc w:val="both"/>
        <w:rPr>
          <w:rFonts w:asciiTheme="minorHAnsi" w:hAnsiTheme="minorHAnsi"/>
          <w:b/>
          <w:color w:val="000000" w:themeColor="text1"/>
          <w:lang w:val="en-US"/>
        </w:rPr>
      </w:pPr>
      <w:r w:rsidRPr="00917386">
        <w:rPr>
          <w:rFonts w:asciiTheme="minorHAnsi" w:hAnsiTheme="minorHAnsi"/>
          <w:b/>
          <w:color w:val="000000" w:themeColor="text1"/>
        </w:rPr>
        <w:t>Partnership for Pacific Policing (3P)</w:t>
      </w:r>
      <w:r w:rsidRPr="00917386">
        <w:rPr>
          <w:rFonts w:asciiTheme="minorHAnsi" w:hAnsiTheme="minorHAnsi"/>
          <w:b/>
          <w:color w:val="000000" w:themeColor="text1"/>
          <w:lang w:val="en-US"/>
        </w:rPr>
        <w:t xml:space="preserve"> </w:t>
      </w:r>
    </w:p>
    <w:p w:rsidR="00CA7A38" w:rsidRDefault="00CA7A38" w:rsidP="00E70031">
      <w:pPr>
        <w:spacing w:after="120" w:line="276" w:lineRule="auto"/>
        <w:contextualSpacing/>
        <w:jc w:val="both"/>
        <w:rPr>
          <w:rFonts w:cs="Calibri"/>
          <w:iCs/>
          <w:lang w:val="en-NZ"/>
        </w:rPr>
      </w:pPr>
      <w:r>
        <w:rPr>
          <w:rFonts w:cs="Calibri"/>
          <w:iCs/>
          <w:lang w:val="en-US"/>
        </w:rPr>
        <w:t xml:space="preserve">3P is a </w:t>
      </w:r>
      <w:r w:rsidRPr="00917386">
        <w:rPr>
          <w:rFonts w:cs="Calibri"/>
          <w:iCs/>
          <w:lang w:val="en-US"/>
        </w:rPr>
        <w:t>New Zealand MFAT funded regional policing program d</w:t>
      </w:r>
      <w:r>
        <w:rPr>
          <w:rFonts w:cs="Calibri"/>
          <w:iCs/>
          <w:lang w:val="en-US"/>
        </w:rPr>
        <w:t xml:space="preserve">elivered by New Zealand Police.  </w:t>
      </w:r>
      <w:r w:rsidRPr="00917386">
        <w:rPr>
          <w:rFonts w:cs="Calibri"/>
          <w:iCs/>
          <w:lang w:val="en-NZ"/>
        </w:rPr>
        <w:t xml:space="preserve">The objective of the program is to support and facilitate strengthening of community policing.  3P is currently being reviewed, the findings of which will inform a new phase of support post-2016.  </w:t>
      </w:r>
      <w:r>
        <w:rPr>
          <w:rFonts w:cs="Calibri"/>
          <w:iCs/>
          <w:lang w:val="en-NZ"/>
        </w:rPr>
        <w:t>T</w:t>
      </w:r>
      <w:r w:rsidRPr="00917386">
        <w:rPr>
          <w:rFonts w:cs="Calibri"/>
          <w:iCs/>
          <w:lang w:val="en-NZ"/>
        </w:rPr>
        <w:t>he new phase of</w:t>
      </w:r>
      <w:r>
        <w:rPr>
          <w:rFonts w:cs="Calibri"/>
          <w:iCs/>
          <w:lang w:val="en-NZ"/>
        </w:rPr>
        <w:t xml:space="preserve"> 3P</w:t>
      </w:r>
      <w:r w:rsidRPr="00917386">
        <w:rPr>
          <w:rFonts w:cs="Calibri"/>
          <w:iCs/>
          <w:lang w:val="en-NZ"/>
        </w:rPr>
        <w:t xml:space="preserve"> </w:t>
      </w:r>
      <w:r>
        <w:rPr>
          <w:rFonts w:cs="Calibri"/>
          <w:iCs/>
          <w:lang w:val="en-NZ"/>
        </w:rPr>
        <w:t xml:space="preserve">is expected to </w:t>
      </w:r>
      <w:r w:rsidRPr="00917386">
        <w:rPr>
          <w:rFonts w:cs="Calibri"/>
          <w:iCs/>
          <w:lang w:val="en-NZ"/>
        </w:rPr>
        <w:t xml:space="preserve">feature an emphasis on </w:t>
      </w:r>
      <w:r>
        <w:rPr>
          <w:rFonts w:cs="Calibri"/>
          <w:iCs/>
          <w:lang w:val="en-NZ"/>
        </w:rPr>
        <w:t>supporting the VPF in accordance with their Strategic Plan.  T</w:t>
      </w:r>
      <w:r w:rsidRPr="00917386">
        <w:rPr>
          <w:rFonts w:cs="Calibri"/>
          <w:iCs/>
          <w:lang w:val="en-NZ"/>
        </w:rPr>
        <w:t xml:space="preserve">his could complement </w:t>
      </w:r>
      <w:r>
        <w:rPr>
          <w:rFonts w:cs="Calibri"/>
          <w:iCs/>
          <w:lang w:val="en-NZ"/>
        </w:rPr>
        <w:t>SRBJS</w:t>
      </w:r>
      <w:r w:rsidRPr="00917386">
        <w:rPr>
          <w:rFonts w:cs="Calibri"/>
          <w:iCs/>
          <w:lang w:val="en-NZ"/>
        </w:rPr>
        <w:t xml:space="preserve"> support in </w:t>
      </w:r>
      <w:r>
        <w:rPr>
          <w:rFonts w:cs="Calibri"/>
          <w:iCs/>
          <w:lang w:val="en-NZ"/>
        </w:rPr>
        <w:t>relation to community engagement, crime prevention, and responses to family and gender-based violence</w:t>
      </w:r>
      <w:r w:rsidRPr="00917386">
        <w:rPr>
          <w:rFonts w:cs="Calibri"/>
          <w:iCs/>
          <w:lang w:val="en-NZ"/>
        </w:rPr>
        <w:t>.</w:t>
      </w:r>
      <w:r>
        <w:rPr>
          <w:rFonts w:cs="Calibri"/>
          <w:iCs/>
          <w:lang w:val="en-NZ"/>
        </w:rPr>
        <w:t xml:space="preserve">  Also 3P could complement SRBJS initiatives that go towards achieving intermediate outcomes 8 and 9: part of the 3P mandate is to go out to communities as part of a targeted community outreach patrol plan (3P assists VPF officers conduct outreach patrol planning).</w:t>
      </w:r>
    </w:p>
    <w:p w:rsidR="00CA7A38" w:rsidRPr="00917386" w:rsidRDefault="00CA7A38" w:rsidP="00E70031">
      <w:pPr>
        <w:pStyle w:val="Heading4"/>
        <w:spacing w:line="276" w:lineRule="auto"/>
        <w:jc w:val="both"/>
        <w:rPr>
          <w:rFonts w:asciiTheme="minorHAnsi" w:hAnsiTheme="minorHAnsi"/>
          <w:b/>
          <w:color w:val="000000" w:themeColor="text1"/>
          <w:lang w:val="en-US"/>
        </w:rPr>
      </w:pPr>
      <w:r w:rsidRPr="00917386">
        <w:rPr>
          <w:rFonts w:asciiTheme="minorHAnsi" w:hAnsiTheme="minorHAnsi"/>
          <w:b/>
          <w:color w:val="000000" w:themeColor="text1"/>
        </w:rPr>
        <w:t>Pacific Judicial Strengthening Initiative (PJSI)</w:t>
      </w:r>
      <w:r w:rsidRPr="00917386">
        <w:rPr>
          <w:rFonts w:asciiTheme="minorHAnsi" w:hAnsiTheme="minorHAnsi"/>
          <w:b/>
          <w:color w:val="000000" w:themeColor="text1"/>
          <w:lang w:val="en-US"/>
        </w:rPr>
        <w:t xml:space="preserve"> </w:t>
      </w:r>
    </w:p>
    <w:p w:rsidR="00CA7A38" w:rsidRPr="00144364" w:rsidRDefault="00CA7A38" w:rsidP="00E70031">
      <w:pPr>
        <w:spacing w:line="276" w:lineRule="auto"/>
        <w:contextualSpacing/>
        <w:jc w:val="both"/>
        <w:rPr>
          <w:rFonts w:cs="Calibri"/>
          <w:iCs/>
          <w:lang w:val="en-US"/>
        </w:rPr>
      </w:pPr>
      <w:r>
        <w:rPr>
          <w:rFonts w:cs="Calibri"/>
          <w:iCs/>
          <w:lang w:val="en-US"/>
        </w:rPr>
        <w:t>The PJSI b</w:t>
      </w:r>
      <w:r w:rsidRPr="00917386">
        <w:rPr>
          <w:rFonts w:cs="Calibri"/>
          <w:iCs/>
          <w:lang w:val="en-US"/>
        </w:rPr>
        <w:t xml:space="preserve">uilds on </w:t>
      </w:r>
      <w:r>
        <w:rPr>
          <w:rFonts w:cs="Calibri"/>
          <w:iCs/>
          <w:lang w:val="en-US"/>
        </w:rPr>
        <w:t xml:space="preserve">the </w:t>
      </w:r>
      <w:r w:rsidRPr="00917386">
        <w:rPr>
          <w:rFonts w:cs="Calibri"/>
          <w:iCs/>
          <w:lang w:val="en-US"/>
        </w:rPr>
        <w:t xml:space="preserve">New Zealand-funded Pacific Judicial Development Program and </w:t>
      </w:r>
      <w:r w:rsidRPr="00917386">
        <w:rPr>
          <w:rFonts w:cs="Calibri"/>
          <w:iCs/>
        </w:rPr>
        <w:t xml:space="preserve">aims to develop the capacity of Pacific judiciaries including agency systems and processes.  By developing a culture of judicial education and professional development, PJSI aims to strengthen the ability of Pacific judiciaries to play their role in the region’s system of government and contribute to promoting a culture of good governance and prompt access to justice.  PJSI will </w:t>
      </w:r>
      <w:r w:rsidRPr="00917386">
        <w:rPr>
          <w:rFonts w:cs="Calibri"/>
          <w:iCs/>
          <w:lang w:val="en-US"/>
        </w:rPr>
        <w:t>run until 2020.</w:t>
      </w:r>
      <w:r>
        <w:rPr>
          <w:rFonts w:cs="Calibri"/>
          <w:iCs/>
          <w:lang w:val="en-US"/>
        </w:rPr>
        <w:t xml:space="preserve">  To note also, it will be important for PJSI and SRBJS to closely coordinate on proposed public legal education/outreach activities as well as assistance to the on Magistrate’s Court on family violence to avoid any duplication.</w:t>
      </w:r>
    </w:p>
    <w:p w:rsidR="00CA7A38" w:rsidRPr="00917386" w:rsidRDefault="00CA7A38" w:rsidP="00E70031">
      <w:pPr>
        <w:pStyle w:val="Heading4"/>
        <w:spacing w:line="276" w:lineRule="auto"/>
        <w:jc w:val="both"/>
        <w:rPr>
          <w:rFonts w:asciiTheme="minorHAnsi" w:hAnsiTheme="minorHAnsi"/>
          <w:b/>
          <w:color w:val="000000" w:themeColor="text1"/>
        </w:rPr>
      </w:pPr>
      <w:r w:rsidRPr="00917386">
        <w:rPr>
          <w:rFonts w:asciiTheme="minorHAnsi" w:hAnsiTheme="minorHAnsi"/>
          <w:b/>
          <w:color w:val="000000" w:themeColor="text1"/>
        </w:rPr>
        <w:t>Pacific Prevention of Domestic Violence Program (PPDVP)</w:t>
      </w:r>
    </w:p>
    <w:p w:rsidR="00CA7A38" w:rsidRPr="00917386" w:rsidRDefault="00CA7A38" w:rsidP="00E70031">
      <w:pPr>
        <w:spacing w:line="276" w:lineRule="auto"/>
        <w:contextualSpacing/>
        <w:jc w:val="both"/>
        <w:rPr>
          <w:rFonts w:cs="Calibri"/>
          <w:iCs/>
          <w:lang w:val="en-US"/>
        </w:rPr>
      </w:pPr>
      <w:r>
        <w:rPr>
          <w:rFonts w:cs="Calibri"/>
          <w:iCs/>
        </w:rPr>
        <w:t>The PPDVP is a j</w:t>
      </w:r>
      <w:r w:rsidRPr="00917386">
        <w:rPr>
          <w:rFonts w:cs="Calibri"/>
          <w:iCs/>
        </w:rPr>
        <w:t>oint</w:t>
      </w:r>
      <w:r w:rsidRPr="00917386">
        <w:rPr>
          <w:rFonts w:cs="Calibri"/>
          <w:iCs/>
          <w:lang w:val="en-US"/>
        </w:rPr>
        <w:t xml:space="preserve"> initiative of the New Zealand MFAT, New Zealand Police, and the Pacific Islands Chiefs of Police: PPDVP’s vision statement is “a safer Pacific free from domestic violence”.  From 2017, a third phase of PPDVP will commence.  </w:t>
      </w:r>
      <w:r>
        <w:rPr>
          <w:rFonts w:cs="Calibri"/>
          <w:iCs/>
          <w:lang w:val="en-US"/>
        </w:rPr>
        <w:t xml:space="preserve">Program </w:t>
      </w:r>
      <w:r w:rsidRPr="00917386">
        <w:rPr>
          <w:rFonts w:cs="Calibri"/>
          <w:iCs/>
          <w:lang w:val="en-US"/>
        </w:rPr>
        <w:t>advisers</w:t>
      </w:r>
      <w:r>
        <w:rPr>
          <w:rFonts w:cs="Calibri"/>
          <w:iCs/>
          <w:lang w:val="en-US"/>
        </w:rPr>
        <w:t xml:space="preserve"> </w:t>
      </w:r>
      <w:r w:rsidRPr="00917386">
        <w:rPr>
          <w:rFonts w:cs="Calibri"/>
          <w:iCs/>
          <w:lang w:val="en-US"/>
        </w:rPr>
        <w:t>collaborate with PPDVP representatives to strengthen police prevention and handling of domestic violence offences</w:t>
      </w:r>
      <w:r>
        <w:rPr>
          <w:rFonts w:cs="Calibri"/>
          <w:iCs/>
          <w:lang w:val="en-US"/>
        </w:rPr>
        <w:t xml:space="preserve"> — this will continue in SRBJS.  In particular, the newly created adviser role that works to support improved </w:t>
      </w:r>
      <w:r>
        <w:rPr>
          <w:rFonts w:cs="Calibri"/>
          <w:iCs/>
          <w:lang w:val="en-US"/>
        </w:rPr>
        <w:lastRenderedPageBreak/>
        <w:t xml:space="preserve">VPF handling of domestic violence offences (Police Family Protection and Community Engagement Adviser) will specifically complement PPDVP work.  That adviser will link closely with PPDVP and work in complementary and collaborative ways. </w:t>
      </w:r>
    </w:p>
    <w:p w:rsidR="00CA7A38" w:rsidRPr="00917386" w:rsidRDefault="00CA7A38" w:rsidP="00E70031">
      <w:pPr>
        <w:pStyle w:val="Heading4"/>
        <w:spacing w:line="276" w:lineRule="auto"/>
        <w:jc w:val="both"/>
        <w:rPr>
          <w:rFonts w:asciiTheme="minorHAnsi" w:hAnsiTheme="minorHAnsi"/>
          <w:b/>
          <w:color w:val="000000" w:themeColor="text1"/>
        </w:rPr>
      </w:pPr>
      <w:proofErr w:type="spellStart"/>
      <w:r w:rsidRPr="00917386">
        <w:rPr>
          <w:rFonts w:asciiTheme="minorHAnsi" w:hAnsiTheme="minorHAnsi"/>
          <w:b/>
          <w:color w:val="000000" w:themeColor="text1"/>
        </w:rPr>
        <w:t>UNWomen</w:t>
      </w:r>
      <w:proofErr w:type="spellEnd"/>
      <w:r w:rsidRPr="00917386">
        <w:rPr>
          <w:rFonts w:asciiTheme="minorHAnsi" w:hAnsiTheme="minorHAnsi"/>
          <w:b/>
          <w:color w:val="000000" w:themeColor="text1"/>
        </w:rPr>
        <w:t>: Advancing Gender Justice Program</w:t>
      </w:r>
    </w:p>
    <w:p w:rsidR="00CA7A38" w:rsidRDefault="00CA7A38" w:rsidP="00E70031">
      <w:pPr>
        <w:spacing w:line="276" w:lineRule="auto"/>
        <w:contextualSpacing/>
        <w:jc w:val="both"/>
        <w:rPr>
          <w:rFonts w:cs="Calibri"/>
          <w:iCs/>
        </w:rPr>
      </w:pPr>
      <w:r>
        <w:rPr>
          <w:rFonts w:cs="Calibri"/>
          <w:iCs/>
        </w:rPr>
        <w:t>UN Women has recently commissioned and completed research on women and children’s access to the state justice system in Vanuatu.</w:t>
      </w:r>
      <w:r>
        <w:rPr>
          <w:rStyle w:val="FootnoteReference"/>
          <w:rFonts w:cs="Calibri"/>
          <w:iCs/>
        </w:rPr>
        <w:footnoteReference w:id="76"/>
      </w:r>
      <w:r>
        <w:rPr>
          <w:rFonts w:cs="Calibri"/>
          <w:iCs/>
        </w:rPr>
        <w:t xml:space="preserve">  </w:t>
      </w:r>
      <w:r w:rsidRPr="00917386">
        <w:rPr>
          <w:rFonts w:cs="Calibri"/>
          <w:iCs/>
        </w:rPr>
        <w:t>Research findings are expected to inform future UN</w:t>
      </w:r>
      <w:r>
        <w:rPr>
          <w:rFonts w:cs="Calibri"/>
          <w:iCs/>
        </w:rPr>
        <w:t xml:space="preserve"> </w:t>
      </w:r>
      <w:r w:rsidRPr="00917386">
        <w:rPr>
          <w:rFonts w:cs="Calibri"/>
          <w:iCs/>
        </w:rPr>
        <w:t>Women support</w:t>
      </w:r>
      <w:r>
        <w:rPr>
          <w:rFonts w:cs="Calibri"/>
          <w:iCs/>
        </w:rPr>
        <w:t xml:space="preserve"> to the sector</w:t>
      </w:r>
      <w:r w:rsidRPr="00917386">
        <w:rPr>
          <w:rFonts w:cs="Calibri"/>
          <w:iCs/>
        </w:rPr>
        <w:t>.</w:t>
      </w:r>
    </w:p>
    <w:p w:rsidR="00CA7A38" w:rsidRDefault="00CA7A38" w:rsidP="00E70031">
      <w:pPr>
        <w:spacing w:before="240" w:line="276" w:lineRule="auto"/>
        <w:jc w:val="both"/>
        <w:rPr>
          <w:rFonts w:cs="Calibri"/>
          <w:iCs/>
        </w:rPr>
      </w:pPr>
      <w:r>
        <w:rPr>
          <w:rFonts w:cs="Calibri"/>
          <w:iCs/>
        </w:rPr>
        <w:t>UN Women currently works on primary prevention of violence against women through its Pacific Fund grantees: the Vanuatu Christian Council and DWA.  This includes support for the Vanuatu Christian Council’s delivering faith, gender and human rights training and DWA’s work to implement the Family Protection Act.  Also, UN Women is looking to continue to support programming focused on violence prevention, particularly related to community-based initiatives aimed at transforming social norms that condone and tolerate violence against women and girls.</w:t>
      </w:r>
    </w:p>
    <w:p w:rsidR="00CA7A38" w:rsidRPr="00514775" w:rsidRDefault="00CA7A38" w:rsidP="00E70031">
      <w:pPr>
        <w:spacing w:line="276" w:lineRule="auto"/>
        <w:contextualSpacing/>
        <w:jc w:val="both"/>
        <w:rPr>
          <w:rFonts w:cs="Calibri"/>
          <w:iCs/>
        </w:rPr>
      </w:pPr>
    </w:p>
    <w:p w:rsidR="00CA7A38" w:rsidRPr="0026127B" w:rsidRDefault="00CA7A38" w:rsidP="00E70031">
      <w:pPr>
        <w:pStyle w:val="Heading1"/>
        <w:numPr>
          <w:ilvl w:val="0"/>
          <w:numId w:val="1"/>
        </w:numPr>
        <w:spacing w:after="240" w:line="276" w:lineRule="auto"/>
        <w:jc w:val="both"/>
        <w:rPr>
          <w:rFonts w:asciiTheme="minorHAnsi" w:hAnsiTheme="minorHAnsi"/>
          <w:b/>
          <w:color w:val="auto"/>
          <w:sz w:val="24"/>
          <w:szCs w:val="24"/>
        </w:rPr>
      </w:pPr>
      <w:bookmarkStart w:id="22" w:name="_Toc458698425"/>
      <w:r w:rsidRPr="0026127B">
        <w:rPr>
          <w:rFonts w:asciiTheme="minorHAnsi" w:hAnsiTheme="minorHAnsi"/>
          <w:b/>
          <w:color w:val="auto"/>
          <w:sz w:val="24"/>
          <w:szCs w:val="24"/>
        </w:rPr>
        <w:t>IMPLEMENTATION ARRANGEMENTS</w:t>
      </w:r>
      <w:bookmarkEnd w:id="22"/>
    </w:p>
    <w:p w:rsidR="00CA7A38" w:rsidRPr="00917386" w:rsidRDefault="00CA7A38" w:rsidP="00E70031">
      <w:pPr>
        <w:pStyle w:val="Heading2"/>
        <w:numPr>
          <w:ilvl w:val="1"/>
          <w:numId w:val="1"/>
        </w:numPr>
        <w:spacing w:after="240" w:line="276" w:lineRule="auto"/>
        <w:jc w:val="both"/>
        <w:rPr>
          <w:rFonts w:asciiTheme="minorHAnsi" w:hAnsiTheme="minorHAnsi"/>
          <w:color w:val="000000" w:themeColor="text1"/>
          <w:sz w:val="22"/>
          <w:szCs w:val="22"/>
        </w:rPr>
      </w:pPr>
      <w:bookmarkStart w:id="23" w:name="_Toc458698426"/>
      <w:r w:rsidRPr="00917386">
        <w:rPr>
          <w:rFonts w:asciiTheme="minorHAnsi" w:hAnsiTheme="minorHAnsi"/>
          <w:color w:val="000000" w:themeColor="text1"/>
          <w:sz w:val="22"/>
          <w:szCs w:val="22"/>
        </w:rPr>
        <w:t>Program Governance and Management Arrangements</w:t>
      </w:r>
      <w:bookmarkEnd w:id="23"/>
    </w:p>
    <w:p w:rsidR="00CA7A38" w:rsidRPr="00917386" w:rsidRDefault="00CA7A38" w:rsidP="00E70031">
      <w:pPr>
        <w:pStyle w:val="Heading3"/>
        <w:numPr>
          <w:ilvl w:val="0"/>
          <w:numId w:val="54"/>
        </w:numPr>
        <w:spacing w:after="240" w:line="276" w:lineRule="auto"/>
        <w:jc w:val="both"/>
        <w:rPr>
          <w:rFonts w:asciiTheme="minorHAnsi" w:hAnsiTheme="minorHAnsi"/>
          <w:color w:val="auto"/>
          <w:sz w:val="22"/>
          <w:szCs w:val="22"/>
        </w:rPr>
      </w:pPr>
      <w:r w:rsidRPr="00917386">
        <w:rPr>
          <w:rFonts w:asciiTheme="minorHAnsi" w:hAnsiTheme="minorHAnsi"/>
          <w:color w:val="auto"/>
          <w:sz w:val="22"/>
          <w:szCs w:val="22"/>
        </w:rPr>
        <w:t>Delivery Structure</w:t>
      </w:r>
    </w:p>
    <w:p w:rsidR="00CA7A38" w:rsidRPr="003F4188" w:rsidRDefault="00CA7A38" w:rsidP="00E70031">
      <w:pPr>
        <w:pStyle w:val="Default"/>
        <w:spacing w:after="240" w:line="276" w:lineRule="auto"/>
        <w:jc w:val="both"/>
        <w:rPr>
          <w:rFonts w:asciiTheme="minorHAnsi" w:hAnsiTheme="minorHAnsi"/>
          <w:color w:val="auto"/>
          <w:sz w:val="22"/>
          <w:szCs w:val="22"/>
        </w:rPr>
      </w:pPr>
      <w:r w:rsidRPr="004A5436">
        <w:rPr>
          <w:sz w:val="22"/>
          <w:szCs w:val="22"/>
        </w:rPr>
        <w:t xml:space="preserve">The program will </w:t>
      </w:r>
      <w:r>
        <w:rPr>
          <w:sz w:val="22"/>
          <w:szCs w:val="22"/>
        </w:rPr>
        <w:t>work</w:t>
      </w:r>
      <w:r w:rsidRPr="004A5436">
        <w:rPr>
          <w:sz w:val="22"/>
          <w:szCs w:val="22"/>
        </w:rPr>
        <w:t xml:space="preserve"> across policing, justice and community services </w:t>
      </w:r>
      <w:r>
        <w:rPr>
          <w:sz w:val="22"/>
          <w:szCs w:val="22"/>
        </w:rPr>
        <w:t xml:space="preserve">agencies and institutions.  </w:t>
      </w:r>
      <w:r w:rsidRPr="004A5436">
        <w:rPr>
          <w:sz w:val="22"/>
          <w:szCs w:val="22"/>
        </w:rPr>
        <w:t>It will be implemented jointly by AFP and a managing contractor.  The program will work closely and collaboratively under the direction and oversight of DFAT</w:t>
      </w:r>
      <w:r w:rsidRPr="004A5436">
        <w:rPr>
          <w:rFonts w:asciiTheme="minorHAnsi" w:hAnsiTheme="minorHAnsi"/>
          <w:color w:val="auto"/>
          <w:sz w:val="22"/>
          <w:szCs w:val="22"/>
        </w:rPr>
        <w:t>.</w:t>
      </w:r>
      <w:r>
        <w:rPr>
          <w:rFonts w:asciiTheme="minorHAnsi" w:hAnsiTheme="minorHAnsi"/>
          <w:color w:val="auto"/>
          <w:sz w:val="22"/>
          <w:szCs w:val="22"/>
        </w:rPr>
        <w:t xml:space="preserve">  </w:t>
      </w:r>
      <w:r w:rsidRPr="00917386">
        <w:rPr>
          <w:rFonts w:asciiTheme="minorHAnsi" w:hAnsiTheme="minorHAnsi"/>
          <w:color w:val="auto"/>
          <w:sz w:val="22"/>
          <w:szCs w:val="22"/>
        </w:rPr>
        <w:t xml:space="preserve">The program leadership team </w:t>
      </w:r>
      <w:r>
        <w:rPr>
          <w:rFonts w:asciiTheme="minorHAnsi" w:hAnsiTheme="minorHAnsi"/>
          <w:color w:val="auto"/>
          <w:sz w:val="22"/>
          <w:szCs w:val="22"/>
        </w:rPr>
        <w:t>will consist</w:t>
      </w:r>
      <w:r w:rsidRPr="00917386">
        <w:rPr>
          <w:rFonts w:asciiTheme="minorHAnsi" w:hAnsiTheme="minorHAnsi"/>
          <w:color w:val="auto"/>
          <w:sz w:val="22"/>
          <w:szCs w:val="22"/>
        </w:rPr>
        <w:t xml:space="preserve"> of three positions: </w:t>
      </w:r>
      <w:r>
        <w:rPr>
          <w:rFonts w:asciiTheme="minorHAnsi" w:hAnsiTheme="minorHAnsi"/>
          <w:color w:val="auto"/>
          <w:sz w:val="22"/>
          <w:szCs w:val="22"/>
        </w:rPr>
        <w:t>Program</w:t>
      </w:r>
      <w:r w:rsidRPr="00917386">
        <w:rPr>
          <w:rFonts w:asciiTheme="minorHAnsi" w:hAnsiTheme="minorHAnsi"/>
          <w:color w:val="auto"/>
          <w:sz w:val="22"/>
          <w:szCs w:val="22"/>
        </w:rPr>
        <w:t xml:space="preserve"> Coordinator</w:t>
      </w:r>
      <w:r>
        <w:rPr>
          <w:rFonts w:asciiTheme="minorHAnsi" w:hAnsiTheme="minorHAnsi"/>
          <w:color w:val="auto"/>
          <w:sz w:val="22"/>
          <w:szCs w:val="22"/>
        </w:rPr>
        <w:t xml:space="preserve"> (Justice)</w:t>
      </w:r>
      <w:r w:rsidRPr="00917386">
        <w:rPr>
          <w:rFonts w:asciiTheme="minorHAnsi" w:hAnsiTheme="minorHAnsi"/>
          <w:color w:val="auto"/>
          <w:sz w:val="22"/>
          <w:szCs w:val="22"/>
        </w:rPr>
        <w:t xml:space="preserve">, </w:t>
      </w:r>
      <w:r>
        <w:rPr>
          <w:rFonts w:asciiTheme="minorHAnsi" w:hAnsiTheme="minorHAnsi"/>
          <w:color w:val="auto"/>
          <w:sz w:val="22"/>
          <w:szCs w:val="22"/>
        </w:rPr>
        <w:t>Program Coordinator (Policing),</w:t>
      </w:r>
      <w:r w:rsidRPr="003F4188">
        <w:rPr>
          <w:rFonts w:asciiTheme="minorHAnsi" w:hAnsiTheme="minorHAnsi"/>
          <w:color w:val="auto"/>
          <w:sz w:val="22"/>
          <w:szCs w:val="22"/>
        </w:rPr>
        <w:t xml:space="preserve"> and </w:t>
      </w:r>
      <w:r>
        <w:rPr>
          <w:rFonts w:asciiTheme="minorHAnsi" w:hAnsiTheme="minorHAnsi"/>
          <w:color w:val="auto"/>
          <w:sz w:val="22"/>
          <w:szCs w:val="22"/>
        </w:rPr>
        <w:t>Senior Manager</w:t>
      </w:r>
      <w:r w:rsidRPr="003F4188">
        <w:rPr>
          <w:rFonts w:asciiTheme="minorHAnsi" w:hAnsiTheme="minorHAnsi"/>
          <w:color w:val="auto"/>
          <w:sz w:val="22"/>
          <w:szCs w:val="22"/>
        </w:rPr>
        <w:t xml:space="preserve">.  The </w:t>
      </w:r>
      <w:r>
        <w:rPr>
          <w:rFonts w:asciiTheme="minorHAnsi" w:hAnsiTheme="minorHAnsi"/>
          <w:color w:val="auto"/>
          <w:sz w:val="22"/>
          <w:szCs w:val="22"/>
        </w:rPr>
        <w:t xml:space="preserve">Program </w:t>
      </w:r>
      <w:r w:rsidRPr="003F4188">
        <w:rPr>
          <w:rFonts w:asciiTheme="minorHAnsi" w:hAnsiTheme="minorHAnsi"/>
          <w:color w:val="auto"/>
          <w:sz w:val="22"/>
          <w:szCs w:val="22"/>
        </w:rPr>
        <w:t>Coordinator</w:t>
      </w:r>
      <w:r>
        <w:rPr>
          <w:rFonts w:asciiTheme="minorHAnsi" w:hAnsiTheme="minorHAnsi"/>
          <w:color w:val="auto"/>
          <w:sz w:val="22"/>
          <w:szCs w:val="22"/>
        </w:rPr>
        <w:t xml:space="preserve"> (Justice)</w:t>
      </w:r>
      <w:r w:rsidRPr="003F4188">
        <w:rPr>
          <w:rFonts w:asciiTheme="minorHAnsi" w:hAnsiTheme="minorHAnsi"/>
          <w:color w:val="auto"/>
          <w:sz w:val="22"/>
          <w:szCs w:val="22"/>
        </w:rPr>
        <w:t xml:space="preserve"> and </w:t>
      </w:r>
      <w:r>
        <w:rPr>
          <w:rFonts w:asciiTheme="minorHAnsi" w:hAnsiTheme="minorHAnsi"/>
          <w:color w:val="auto"/>
          <w:sz w:val="22"/>
          <w:szCs w:val="22"/>
        </w:rPr>
        <w:t>the Senior Manager</w:t>
      </w:r>
      <w:r w:rsidRPr="003F4188">
        <w:rPr>
          <w:rFonts w:asciiTheme="minorHAnsi" w:hAnsiTheme="minorHAnsi"/>
          <w:color w:val="auto"/>
          <w:sz w:val="22"/>
          <w:szCs w:val="22"/>
        </w:rPr>
        <w:t xml:space="preserve"> </w:t>
      </w:r>
      <w:r>
        <w:rPr>
          <w:rFonts w:asciiTheme="minorHAnsi" w:hAnsiTheme="minorHAnsi"/>
          <w:color w:val="auto"/>
          <w:sz w:val="22"/>
          <w:szCs w:val="22"/>
        </w:rPr>
        <w:t>will be</w:t>
      </w:r>
      <w:r w:rsidRPr="003F4188">
        <w:rPr>
          <w:rFonts w:asciiTheme="minorHAnsi" w:hAnsiTheme="minorHAnsi"/>
          <w:color w:val="auto"/>
          <w:sz w:val="22"/>
          <w:szCs w:val="22"/>
        </w:rPr>
        <w:t xml:space="preserve"> engaged by a </w:t>
      </w:r>
      <w:r w:rsidRPr="003F4188">
        <w:rPr>
          <w:sz w:val="22"/>
          <w:szCs w:val="22"/>
        </w:rPr>
        <w:t>managing contractor</w:t>
      </w:r>
      <w:r w:rsidRPr="003F4188">
        <w:rPr>
          <w:rFonts w:asciiTheme="minorHAnsi" w:hAnsiTheme="minorHAnsi"/>
          <w:color w:val="auto"/>
          <w:sz w:val="22"/>
          <w:szCs w:val="22"/>
        </w:rPr>
        <w:t xml:space="preserve">; the </w:t>
      </w:r>
      <w:r>
        <w:rPr>
          <w:rFonts w:asciiTheme="minorHAnsi" w:hAnsiTheme="minorHAnsi"/>
          <w:color w:val="auto"/>
          <w:sz w:val="22"/>
          <w:szCs w:val="22"/>
        </w:rPr>
        <w:t>Program</w:t>
      </w:r>
      <w:r w:rsidRPr="003F4188">
        <w:rPr>
          <w:rFonts w:asciiTheme="minorHAnsi" w:hAnsiTheme="minorHAnsi"/>
          <w:color w:val="auto"/>
          <w:sz w:val="22"/>
          <w:szCs w:val="22"/>
        </w:rPr>
        <w:t xml:space="preserve"> Coordinator</w:t>
      </w:r>
      <w:r>
        <w:rPr>
          <w:rFonts w:asciiTheme="minorHAnsi" w:hAnsiTheme="minorHAnsi"/>
          <w:color w:val="auto"/>
          <w:sz w:val="22"/>
          <w:szCs w:val="22"/>
        </w:rPr>
        <w:t xml:space="preserve"> (Policing) will be</w:t>
      </w:r>
      <w:r w:rsidRPr="003F4188">
        <w:rPr>
          <w:rFonts w:asciiTheme="minorHAnsi" w:hAnsiTheme="minorHAnsi"/>
          <w:color w:val="auto"/>
          <w:sz w:val="22"/>
          <w:szCs w:val="22"/>
        </w:rPr>
        <w:t xml:space="preserve"> an AFP officer.</w:t>
      </w:r>
      <w:r>
        <w:rPr>
          <w:rStyle w:val="FootnoteReference"/>
          <w:rFonts w:asciiTheme="minorHAnsi" w:hAnsiTheme="minorHAnsi"/>
          <w:color w:val="auto"/>
          <w:sz w:val="22"/>
          <w:szCs w:val="22"/>
        </w:rPr>
        <w:footnoteReference w:id="77"/>
      </w:r>
      <w:r w:rsidRPr="003F4188">
        <w:rPr>
          <w:rFonts w:asciiTheme="minorHAnsi" w:hAnsiTheme="minorHAnsi"/>
          <w:color w:val="auto"/>
          <w:sz w:val="22"/>
          <w:szCs w:val="22"/>
        </w:rPr>
        <w:t xml:space="preserve">  </w:t>
      </w:r>
    </w:p>
    <w:p w:rsidR="00CA7A38" w:rsidRPr="008909DD" w:rsidRDefault="00CA7A38" w:rsidP="00E70031">
      <w:pPr>
        <w:pStyle w:val="Default"/>
        <w:spacing w:after="240" w:line="276" w:lineRule="auto"/>
        <w:jc w:val="both"/>
        <w:rPr>
          <w:rFonts w:asciiTheme="minorHAnsi" w:hAnsiTheme="minorHAnsi"/>
          <w:color w:val="auto"/>
          <w:sz w:val="22"/>
          <w:szCs w:val="22"/>
        </w:rPr>
      </w:pPr>
      <w:r w:rsidRPr="003F4188">
        <w:rPr>
          <w:rFonts w:asciiTheme="minorHAnsi" w:hAnsiTheme="minorHAnsi"/>
          <w:color w:val="auto"/>
          <w:sz w:val="22"/>
          <w:szCs w:val="22"/>
        </w:rPr>
        <w:t xml:space="preserve">In PJSPV, a Deputy Partnership Coordinator role provided support to the </w:t>
      </w:r>
      <w:r>
        <w:rPr>
          <w:rFonts w:asciiTheme="minorHAnsi" w:hAnsiTheme="minorHAnsi"/>
          <w:color w:val="auto"/>
          <w:sz w:val="22"/>
          <w:szCs w:val="22"/>
        </w:rPr>
        <w:t xml:space="preserve">Justice Coordinator under SRBJ and also to the VAPP Coordinator after July 2014.  </w:t>
      </w:r>
      <w:r w:rsidRPr="003F4188">
        <w:rPr>
          <w:rFonts w:asciiTheme="minorHAnsi" w:hAnsiTheme="minorHAnsi"/>
          <w:color w:val="auto"/>
          <w:sz w:val="22"/>
          <w:szCs w:val="22"/>
        </w:rPr>
        <w:t>Over time, and based on the need for enhanced harmonisation and planning</w:t>
      </w:r>
      <w:r>
        <w:rPr>
          <w:rFonts w:asciiTheme="minorHAnsi" w:hAnsiTheme="minorHAnsi"/>
          <w:color w:val="auto"/>
          <w:sz w:val="22"/>
          <w:szCs w:val="22"/>
        </w:rPr>
        <w:t xml:space="preserve"> across the program, </w:t>
      </w:r>
      <w:r w:rsidRPr="003F4188">
        <w:rPr>
          <w:rFonts w:asciiTheme="minorHAnsi" w:hAnsiTheme="minorHAnsi"/>
          <w:color w:val="auto"/>
          <w:sz w:val="22"/>
          <w:szCs w:val="22"/>
        </w:rPr>
        <w:t xml:space="preserve">this position began to provide an integral cross-program support function.  For program coherence from </w:t>
      </w:r>
      <w:proofErr w:type="gramStart"/>
      <w:r w:rsidRPr="003F4188">
        <w:rPr>
          <w:rFonts w:asciiTheme="minorHAnsi" w:hAnsiTheme="minorHAnsi"/>
          <w:color w:val="auto"/>
          <w:sz w:val="22"/>
          <w:szCs w:val="22"/>
        </w:rPr>
        <w:t>both a</w:t>
      </w:r>
      <w:proofErr w:type="gramEnd"/>
      <w:r w:rsidRPr="003F4188">
        <w:rPr>
          <w:rFonts w:asciiTheme="minorHAnsi" w:hAnsiTheme="minorHAnsi"/>
          <w:color w:val="auto"/>
          <w:sz w:val="22"/>
          <w:szCs w:val="22"/>
        </w:rPr>
        <w:t xml:space="preserve"> technical and operations point-of-view, </w:t>
      </w:r>
      <w:r>
        <w:rPr>
          <w:rFonts w:asciiTheme="minorHAnsi" w:hAnsiTheme="minorHAnsi"/>
          <w:color w:val="auto"/>
          <w:sz w:val="22"/>
          <w:szCs w:val="22"/>
        </w:rPr>
        <w:t xml:space="preserve">this design formalises the cross-sector nature of this position to be known </w:t>
      </w:r>
      <w:r w:rsidRPr="008909DD">
        <w:rPr>
          <w:rFonts w:asciiTheme="minorHAnsi" w:hAnsiTheme="minorHAnsi"/>
          <w:color w:val="auto"/>
          <w:sz w:val="22"/>
          <w:szCs w:val="22"/>
        </w:rPr>
        <w:t xml:space="preserve">now as the </w:t>
      </w:r>
      <w:r>
        <w:rPr>
          <w:rFonts w:asciiTheme="minorHAnsi" w:hAnsiTheme="minorHAnsi"/>
          <w:color w:val="auto"/>
          <w:sz w:val="22"/>
          <w:szCs w:val="22"/>
        </w:rPr>
        <w:t>Senior Manager</w:t>
      </w:r>
      <w:r w:rsidRPr="008909DD">
        <w:rPr>
          <w:rFonts w:asciiTheme="minorHAnsi" w:hAnsiTheme="minorHAnsi"/>
          <w:color w:val="auto"/>
          <w:sz w:val="22"/>
          <w:szCs w:val="22"/>
        </w:rPr>
        <w:t>.</w:t>
      </w:r>
    </w:p>
    <w:p w:rsidR="00CA7A38" w:rsidRDefault="00CA7A38" w:rsidP="00E70031">
      <w:pPr>
        <w:pStyle w:val="Default"/>
        <w:spacing w:after="240" w:line="276" w:lineRule="auto"/>
        <w:jc w:val="both"/>
        <w:rPr>
          <w:rFonts w:asciiTheme="minorHAnsi" w:hAnsiTheme="minorHAnsi"/>
          <w:sz w:val="22"/>
          <w:szCs w:val="22"/>
        </w:rPr>
      </w:pPr>
      <w:r w:rsidRPr="003F4188">
        <w:rPr>
          <w:rFonts w:asciiTheme="minorHAnsi" w:hAnsiTheme="minorHAnsi"/>
          <w:sz w:val="22"/>
          <w:szCs w:val="22"/>
        </w:rPr>
        <w:t>A managing contractor manages, and will continue to manage, all program support for justice and community services.  The managing contractor will also continue to manage all program finances</w:t>
      </w:r>
      <w:r>
        <w:rPr>
          <w:rFonts w:asciiTheme="minorHAnsi" w:hAnsiTheme="minorHAnsi"/>
          <w:sz w:val="22"/>
          <w:szCs w:val="22"/>
        </w:rPr>
        <w:t>, AFP in-country non-salary benefits (housing, communications etc.),</w:t>
      </w:r>
      <w:r w:rsidRPr="003F4188">
        <w:rPr>
          <w:rFonts w:asciiTheme="minorHAnsi" w:hAnsiTheme="minorHAnsi"/>
          <w:sz w:val="22"/>
          <w:szCs w:val="22"/>
        </w:rPr>
        <w:t xml:space="preserve"> and have overall responsibility for recruitment of all international and national program staff and advisers, other than AFP personnel.  AFP personnel</w:t>
      </w:r>
      <w:r>
        <w:rPr>
          <w:rFonts w:asciiTheme="minorHAnsi" w:hAnsiTheme="minorHAnsi"/>
          <w:sz w:val="22"/>
          <w:szCs w:val="22"/>
        </w:rPr>
        <w:t xml:space="preserve"> will be</w:t>
      </w:r>
      <w:r w:rsidRPr="003F4188">
        <w:rPr>
          <w:rFonts w:asciiTheme="minorHAnsi" w:hAnsiTheme="minorHAnsi"/>
          <w:sz w:val="22"/>
          <w:szCs w:val="22"/>
        </w:rPr>
        <w:t xml:space="preserve"> jointly selected by AFP, GoV and DFAT</w:t>
      </w:r>
      <w:r>
        <w:rPr>
          <w:rFonts w:asciiTheme="minorHAnsi" w:hAnsiTheme="minorHAnsi"/>
          <w:sz w:val="22"/>
          <w:szCs w:val="22"/>
        </w:rPr>
        <w:t>.  AFP</w:t>
      </w:r>
      <w:r w:rsidRPr="003F4188">
        <w:rPr>
          <w:rFonts w:asciiTheme="minorHAnsi" w:hAnsiTheme="minorHAnsi"/>
          <w:sz w:val="22"/>
          <w:szCs w:val="22"/>
        </w:rPr>
        <w:t xml:space="preserve"> </w:t>
      </w:r>
      <w:r>
        <w:rPr>
          <w:rFonts w:asciiTheme="minorHAnsi" w:hAnsiTheme="minorHAnsi"/>
          <w:sz w:val="22"/>
          <w:szCs w:val="22"/>
        </w:rPr>
        <w:t xml:space="preserve">will be </w:t>
      </w:r>
      <w:r w:rsidRPr="003F4188">
        <w:rPr>
          <w:rFonts w:asciiTheme="minorHAnsi" w:hAnsiTheme="minorHAnsi"/>
          <w:sz w:val="22"/>
          <w:szCs w:val="22"/>
        </w:rPr>
        <w:t>responsible for the management of AFP personnel.  AFP manages, and will continue to manage, assistance provided to the VPF by AFP personnel</w:t>
      </w:r>
      <w:r>
        <w:rPr>
          <w:rFonts w:asciiTheme="minorHAnsi" w:hAnsiTheme="minorHAnsi"/>
          <w:sz w:val="22"/>
          <w:szCs w:val="22"/>
        </w:rPr>
        <w:t xml:space="preserve">.  </w:t>
      </w:r>
      <w:proofErr w:type="gramStart"/>
      <w:r>
        <w:rPr>
          <w:rFonts w:asciiTheme="minorHAnsi" w:hAnsiTheme="minorHAnsi"/>
          <w:sz w:val="22"/>
          <w:szCs w:val="22"/>
        </w:rPr>
        <w:t xml:space="preserve">Also, there will be reporting through the Head of Mission, as the </w:t>
      </w:r>
      <w:r>
        <w:rPr>
          <w:rFonts w:asciiTheme="minorHAnsi" w:hAnsiTheme="minorHAnsi"/>
          <w:sz w:val="22"/>
          <w:szCs w:val="22"/>
        </w:rPr>
        <w:lastRenderedPageBreak/>
        <w:t>person responsible for the Australian aid budget in Vanuatu.</w:t>
      </w:r>
      <w:proofErr w:type="gramEnd"/>
      <w:r>
        <w:rPr>
          <w:rFonts w:asciiTheme="minorHAnsi" w:hAnsiTheme="minorHAnsi"/>
          <w:sz w:val="22"/>
          <w:szCs w:val="22"/>
        </w:rPr>
        <w:t xml:space="preserve">  </w:t>
      </w:r>
      <w:r w:rsidRPr="003F4188">
        <w:rPr>
          <w:rFonts w:asciiTheme="minorHAnsi" w:hAnsiTheme="minorHAnsi"/>
          <w:sz w:val="22"/>
          <w:szCs w:val="22"/>
        </w:rPr>
        <w:t>The AFP and the managing contractor</w:t>
      </w:r>
      <w:r>
        <w:rPr>
          <w:rFonts w:asciiTheme="minorHAnsi" w:hAnsiTheme="minorHAnsi"/>
          <w:sz w:val="22"/>
          <w:szCs w:val="22"/>
        </w:rPr>
        <w:t xml:space="preserve"> </w:t>
      </w:r>
      <w:r w:rsidRPr="00917386">
        <w:rPr>
          <w:rFonts w:asciiTheme="minorHAnsi" w:hAnsiTheme="minorHAnsi"/>
          <w:sz w:val="22"/>
          <w:szCs w:val="22"/>
        </w:rPr>
        <w:t xml:space="preserve">will jointly coordinate support provided by advisers that work across the </w:t>
      </w:r>
      <w:r>
        <w:rPr>
          <w:rFonts w:asciiTheme="minorHAnsi" w:hAnsiTheme="minorHAnsi"/>
          <w:sz w:val="22"/>
          <w:szCs w:val="22"/>
        </w:rPr>
        <w:t>program (that is, that provide expert advice across policing, justice and community services)</w:t>
      </w:r>
      <w:r w:rsidRPr="00917386">
        <w:rPr>
          <w:rFonts w:asciiTheme="minorHAnsi" w:hAnsiTheme="minorHAnsi"/>
          <w:sz w:val="22"/>
          <w:szCs w:val="22"/>
        </w:rPr>
        <w:t xml:space="preserve">.  This management model facilitates program cohesion and efficiency while requiring a proportionate level of DFAT oversight relative to the program’s value and risk profile. </w:t>
      </w:r>
    </w:p>
    <w:p w:rsidR="00CA7A38" w:rsidRDefault="00CA7A38" w:rsidP="00E70031">
      <w:pPr>
        <w:pStyle w:val="Default"/>
        <w:spacing w:after="240" w:line="276" w:lineRule="auto"/>
        <w:jc w:val="both"/>
        <w:rPr>
          <w:rFonts w:asciiTheme="minorHAnsi" w:hAnsiTheme="minorHAnsi"/>
          <w:sz w:val="22"/>
          <w:szCs w:val="22"/>
        </w:rPr>
      </w:pPr>
      <w:r>
        <w:rPr>
          <w:rFonts w:asciiTheme="minorHAnsi" w:hAnsiTheme="minorHAnsi"/>
          <w:sz w:val="22"/>
          <w:szCs w:val="22"/>
        </w:rPr>
        <w:t xml:space="preserve">For clarity, an organigram is provided as an annex (Annex </w:t>
      </w:r>
      <w:r w:rsidR="00AA0FAA">
        <w:rPr>
          <w:rFonts w:asciiTheme="minorHAnsi" w:hAnsiTheme="minorHAnsi"/>
          <w:sz w:val="22"/>
          <w:szCs w:val="22"/>
        </w:rPr>
        <w:t>2</w:t>
      </w:r>
      <w:r>
        <w:rPr>
          <w:rFonts w:asciiTheme="minorHAnsi" w:hAnsiTheme="minorHAnsi"/>
          <w:sz w:val="22"/>
          <w:szCs w:val="22"/>
        </w:rPr>
        <w:t>).  It is a visual representation of the program management and reporting structure.  As part of this it shows the key program positions detailed below in section 4.2 (ii).</w:t>
      </w:r>
    </w:p>
    <w:p w:rsidR="00CA7A38" w:rsidRPr="00917386" w:rsidRDefault="00CA7A38" w:rsidP="00E70031">
      <w:pPr>
        <w:pStyle w:val="Default"/>
        <w:spacing w:after="240" w:line="276" w:lineRule="auto"/>
        <w:jc w:val="both"/>
        <w:rPr>
          <w:rFonts w:asciiTheme="minorHAnsi" w:hAnsiTheme="minorHAnsi"/>
          <w:sz w:val="22"/>
          <w:szCs w:val="22"/>
        </w:rPr>
      </w:pPr>
    </w:p>
    <w:p w:rsidR="00CA7A38" w:rsidRPr="00917386" w:rsidRDefault="00CA7A38" w:rsidP="00E70031">
      <w:pPr>
        <w:pStyle w:val="Heading3"/>
        <w:numPr>
          <w:ilvl w:val="0"/>
          <w:numId w:val="54"/>
        </w:numPr>
        <w:spacing w:after="240" w:line="276" w:lineRule="auto"/>
        <w:jc w:val="both"/>
        <w:rPr>
          <w:rFonts w:asciiTheme="minorHAnsi" w:hAnsiTheme="minorHAnsi"/>
          <w:color w:val="auto"/>
          <w:sz w:val="22"/>
          <w:szCs w:val="22"/>
        </w:rPr>
      </w:pPr>
      <w:r w:rsidRPr="00917386">
        <w:rPr>
          <w:rFonts w:asciiTheme="minorHAnsi" w:hAnsiTheme="minorHAnsi"/>
          <w:color w:val="auto"/>
          <w:sz w:val="22"/>
          <w:szCs w:val="22"/>
        </w:rPr>
        <w:t>Management Structure</w:t>
      </w:r>
    </w:p>
    <w:p w:rsidR="00CA7A38" w:rsidRPr="00917386" w:rsidRDefault="00CA7A38" w:rsidP="00E70031">
      <w:pPr>
        <w:pStyle w:val="Default"/>
        <w:spacing w:after="22" w:line="276" w:lineRule="auto"/>
        <w:jc w:val="both"/>
        <w:rPr>
          <w:rFonts w:asciiTheme="minorHAnsi" w:hAnsiTheme="minorHAnsi"/>
          <w:color w:val="auto"/>
          <w:sz w:val="22"/>
          <w:szCs w:val="22"/>
        </w:rPr>
      </w:pPr>
      <w:r w:rsidRPr="00917386">
        <w:rPr>
          <w:rFonts w:asciiTheme="minorHAnsi" w:hAnsiTheme="minorHAnsi"/>
          <w:color w:val="auto"/>
          <w:sz w:val="22"/>
          <w:szCs w:val="22"/>
        </w:rPr>
        <w:t>The program will use the following three-tiered management structure:</w:t>
      </w:r>
    </w:p>
    <w:p w:rsidR="00CA7A38" w:rsidRPr="00917386" w:rsidRDefault="00CA7A38" w:rsidP="00E70031">
      <w:pPr>
        <w:pStyle w:val="Default"/>
        <w:numPr>
          <w:ilvl w:val="0"/>
          <w:numId w:val="8"/>
        </w:numPr>
        <w:spacing w:before="240" w:after="22" w:line="276" w:lineRule="auto"/>
        <w:ind w:left="714" w:hanging="357"/>
        <w:jc w:val="both"/>
        <w:rPr>
          <w:rFonts w:asciiTheme="minorHAnsi" w:hAnsiTheme="minorHAnsi"/>
          <w:color w:val="auto"/>
          <w:sz w:val="22"/>
          <w:szCs w:val="22"/>
        </w:rPr>
      </w:pPr>
      <w:r>
        <w:rPr>
          <w:rFonts w:asciiTheme="minorHAnsi" w:hAnsiTheme="minorHAnsi"/>
          <w:color w:val="auto"/>
          <w:sz w:val="22"/>
          <w:szCs w:val="22"/>
        </w:rPr>
        <w:t>The two Program Coordinators (</w:t>
      </w:r>
      <w:r w:rsidRPr="00917386">
        <w:rPr>
          <w:rFonts w:asciiTheme="minorHAnsi" w:hAnsiTheme="minorHAnsi"/>
          <w:color w:val="auto"/>
          <w:sz w:val="22"/>
          <w:szCs w:val="22"/>
        </w:rPr>
        <w:t>Policing</w:t>
      </w:r>
      <w:r>
        <w:rPr>
          <w:rFonts w:asciiTheme="minorHAnsi" w:hAnsiTheme="minorHAnsi"/>
          <w:color w:val="auto"/>
          <w:sz w:val="22"/>
          <w:szCs w:val="22"/>
        </w:rPr>
        <w:t>)</w:t>
      </w:r>
      <w:r w:rsidRPr="00917386">
        <w:rPr>
          <w:rFonts w:asciiTheme="minorHAnsi" w:hAnsiTheme="minorHAnsi"/>
          <w:color w:val="auto"/>
          <w:sz w:val="22"/>
          <w:szCs w:val="22"/>
        </w:rPr>
        <w:t xml:space="preserve"> and </w:t>
      </w:r>
      <w:r>
        <w:rPr>
          <w:rFonts w:asciiTheme="minorHAnsi" w:hAnsiTheme="minorHAnsi"/>
          <w:color w:val="auto"/>
          <w:sz w:val="22"/>
          <w:szCs w:val="22"/>
        </w:rPr>
        <w:t>(</w:t>
      </w:r>
      <w:r w:rsidRPr="00917386">
        <w:rPr>
          <w:rFonts w:asciiTheme="minorHAnsi" w:hAnsiTheme="minorHAnsi"/>
          <w:color w:val="auto"/>
          <w:sz w:val="22"/>
          <w:szCs w:val="22"/>
        </w:rPr>
        <w:t>Justice</w:t>
      </w:r>
      <w:r>
        <w:rPr>
          <w:rFonts w:asciiTheme="minorHAnsi" w:hAnsiTheme="minorHAnsi"/>
          <w:color w:val="auto"/>
          <w:sz w:val="22"/>
          <w:szCs w:val="22"/>
        </w:rPr>
        <w:t>)</w:t>
      </w:r>
      <w:r w:rsidRPr="00917386">
        <w:rPr>
          <w:rFonts w:asciiTheme="minorHAnsi" w:hAnsiTheme="minorHAnsi"/>
          <w:color w:val="auto"/>
          <w:sz w:val="22"/>
          <w:szCs w:val="22"/>
        </w:rPr>
        <w:t xml:space="preserve"> are responsible for the technical implementation</w:t>
      </w:r>
      <w:r>
        <w:rPr>
          <w:rFonts w:asciiTheme="minorHAnsi" w:hAnsiTheme="minorHAnsi"/>
          <w:color w:val="auto"/>
          <w:sz w:val="22"/>
          <w:szCs w:val="22"/>
        </w:rPr>
        <w:t xml:space="preserve"> and strategic direction</w:t>
      </w:r>
      <w:r w:rsidRPr="00917386">
        <w:rPr>
          <w:rFonts w:asciiTheme="minorHAnsi" w:hAnsiTheme="minorHAnsi"/>
          <w:color w:val="auto"/>
          <w:sz w:val="22"/>
          <w:szCs w:val="22"/>
        </w:rPr>
        <w:t xml:space="preserve"> of the program</w:t>
      </w:r>
      <w:r>
        <w:rPr>
          <w:rFonts w:asciiTheme="minorHAnsi" w:hAnsiTheme="minorHAnsi"/>
          <w:color w:val="auto"/>
          <w:sz w:val="22"/>
          <w:szCs w:val="22"/>
        </w:rPr>
        <w:t>,</w:t>
      </w:r>
      <w:r w:rsidRPr="00917386">
        <w:rPr>
          <w:rFonts w:asciiTheme="minorHAnsi" w:hAnsiTheme="minorHAnsi"/>
          <w:color w:val="auto"/>
          <w:sz w:val="22"/>
          <w:szCs w:val="22"/>
        </w:rPr>
        <w:t xml:space="preserve"> including the technical output of advisers.  The</w:t>
      </w:r>
      <w:r>
        <w:rPr>
          <w:rFonts w:asciiTheme="minorHAnsi" w:hAnsiTheme="minorHAnsi"/>
          <w:color w:val="auto"/>
          <w:sz w:val="22"/>
          <w:szCs w:val="22"/>
        </w:rPr>
        <w:t xml:space="preserve"> Senior Manager</w:t>
      </w:r>
      <w:r w:rsidRPr="00917386">
        <w:rPr>
          <w:rFonts w:asciiTheme="minorHAnsi" w:hAnsiTheme="minorHAnsi"/>
          <w:color w:val="auto"/>
          <w:sz w:val="22"/>
          <w:szCs w:val="22"/>
        </w:rPr>
        <w:t xml:space="preserve"> is responsible for technical</w:t>
      </w:r>
      <w:r>
        <w:rPr>
          <w:rFonts w:asciiTheme="minorHAnsi" w:hAnsiTheme="minorHAnsi"/>
          <w:color w:val="auto"/>
          <w:sz w:val="22"/>
          <w:szCs w:val="22"/>
        </w:rPr>
        <w:t xml:space="preserve"> and management</w:t>
      </w:r>
      <w:r w:rsidRPr="00917386">
        <w:rPr>
          <w:rFonts w:asciiTheme="minorHAnsi" w:hAnsiTheme="minorHAnsi"/>
          <w:color w:val="auto"/>
          <w:sz w:val="22"/>
          <w:szCs w:val="22"/>
        </w:rPr>
        <w:t xml:space="preserve"> support to the two </w:t>
      </w:r>
      <w:r>
        <w:rPr>
          <w:rFonts w:asciiTheme="minorHAnsi" w:hAnsiTheme="minorHAnsi"/>
          <w:color w:val="auto"/>
          <w:sz w:val="22"/>
          <w:szCs w:val="22"/>
        </w:rPr>
        <w:t>Program</w:t>
      </w:r>
      <w:r w:rsidRPr="00917386">
        <w:rPr>
          <w:rFonts w:asciiTheme="minorHAnsi" w:hAnsiTheme="minorHAnsi"/>
          <w:color w:val="auto"/>
          <w:sz w:val="22"/>
          <w:szCs w:val="22"/>
        </w:rPr>
        <w:t xml:space="preserve"> Coordinators</w:t>
      </w:r>
      <w:r>
        <w:rPr>
          <w:rFonts w:asciiTheme="minorHAnsi" w:hAnsiTheme="minorHAnsi"/>
          <w:color w:val="auto"/>
          <w:sz w:val="22"/>
          <w:szCs w:val="22"/>
        </w:rPr>
        <w:t xml:space="preserve"> (</w:t>
      </w:r>
      <w:r w:rsidRPr="00917386">
        <w:rPr>
          <w:rFonts w:asciiTheme="minorHAnsi" w:hAnsiTheme="minorHAnsi"/>
          <w:color w:val="auto"/>
          <w:sz w:val="22"/>
          <w:szCs w:val="22"/>
        </w:rPr>
        <w:t>Policing</w:t>
      </w:r>
      <w:r>
        <w:rPr>
          <w:rFonts w:asciiTheme="minorHAnsi" w:hAnsiTheme="minorHAnsi"/>
          <w:color w:val="auto"/>
          <w:sz w:val="22"/>
          <w:szCs w:val="22"/>
        </w:rPr>
        <w:t>)</w:t>
      </w:r>
      <w:r w:rsidRPr="00917386">
        <w:rPr>
          <w:rFonts w:asciiTheme="minorHAnsi" w:hAnsiTheme="minorHAnsi"/>
          <w:color w:val="auto"/>
          <w:sz w:val="22"/>
          <w:szCs w:val="22"/>
        </w:rPr>
        <w:t xml:space="preserve"> and </w:t>
      </w:r>
      <w:r>
        <w:rPr>
          <w:rFonts w:asciiTheme="minorHAnsi" w:hAnsiTheme="minorHAnsi"/>
          <w:color w:val="auto"/>
          <w:sz w:val="22"/>
          <w:szCs w:val="22"/>
        </w:rPr>
        <w:t>(</w:t>
      </w:r>
      <w:r w:rsidRPr="00917386">
        <w:rPr>
          <w:rFonts w:asciiTheme="minorHAnsi" w:hAnsiTheme="minorHAnsi"/>
          <w:color w:val="auto"/>
          <w:sz w:val="22"/>
          <w:szCs w:val="22"/>
        </w:rPr>
        <w:t>Justice</w:t>
      </w:r>
      <w:r>
        <w:rPr>
          <w:rFonts w:asciiTheme="minorHAnsi" w:hAnsiTheme="minorHAnsi"/>
          <w:color w:val="auto"/>
          <w:sz w:val="22"/>
          <w:szCs w:val="22"/>
        </w:rPr>
        <w:t>),</w:t>
      </w:r>
      <w:r w:rsidRPr="00917386">
        <w:rPr>
          <w:rFonts w:asciiTheme="minorHAnsi" w:hAnsiTheme="minorHAnsi"/>
          <w:color w:val="auto"/>
          <w:sz w:val="22"/>
          <w:szCs w:val="22"/>
        </w:rPr>
        <w:t xml:space="preserve"> management of program administration and finances</w:t>
      </w:r>
      <w:r>
        <w:rPr>
          <w:rFonts w:asciiTheme="minorHAnsi" w:hAnsiTheme="minorHAnsi"/>
          <w:color w:val="auto"/>
          <w:sz w:val="22"/>
          <w:szCs w:val="22"/>
        </w:rPr>
        <w:t>,</w:t>
      </w:r>
      <w:r w:rsidRPr="00917386">
        <w:rPr>
          <w:rFonts w:asciiTheme="minorHAnsi" w:hAnsiTheme="minorHAnsi"/>
          <w:color w:val="auto"/>
          <w:sz w:val="22"/>
          <w:szCs w:val="22"/>
        </w:rPr>
        <w:t xml:space="preserve"> and harmonisation</w:t>
      </w:r>
      <w:r>
        <w:rPr>
          <w:rFonts w:asciiTheme="minorHAnsi" w:hAnsiTheme="minorHAnsi"/>
          <w:color w:val="auto"/>
          <w:sz w:val="22"/>
          <w:szCs w:val="22"/>
        </w:rPr>
        <w:t>/cohesion</w:t>
      </w:r>
      <w:r w:rsidRPr="00917386">
        <w:rPr>
          <w:rFonts w:asciiTheme="minorHAnsi" w:hAnsiTheme="minorHAnsi"/>
          <w:color w:val="auto"/>
          <w:sz w:val="22"/>
          <w:szCs w:val="22"/>
        </w:rPr>
        <w:t xml:space="preserve"> </w:t>
      </w:r>
      <w:r>
        <w:rPr>
          <w:rFonts w:asciiTheme="minorHAnsi" w:hAnsiTheme="minorHAnsi"/>
          <w:color w:val="auto"/>
          <w:sz w:val="22"/>
          <w:szCs w:val="22"/>
        </w:rPr>
        <w:t>of the program across the sector.</w:t>
      </w:r>
    </w:p>
    <w:p w:rsidR="00CA7A38" w:rsidRPr="00917386" w:rsidRDefault="00CA7A38" w:rsidP="00E70031">
      <w:pPr>
        <w:pStyle w:val="Default"/>
        <w:numPr>
          <w:ilvl w:val="0"/>
          <w:numId w:val="8"/>
        </w:numPr>
        <w:spacing w:before="240" w:after="22" w:line="276" w:lineRule="auto"/>
        <w:jc w:val="both"/>
        <w:rPr>
          <w:rFonts w:asciiTheme="minorHAnsi" w:hAnsiTheme="minorHAnsi"/>
          <w:color w:val="auto"/>
          <w:sz w:val="22"/>
          <w:szCs w:val="22"/>
        </w:rPr>
      </w:pPr>
      <w:r w:rsidRPr="00917386">
        <w:rPr>
          <w:rFonts w:asciiTheme="minorHAnsi" w:hAnsiTheme="minorHAnsi"/>
          <w:color w:val="auto"/>
          <w:sz w:val="22"/>
          <w:szCs w:val="22"/>
        </w:rPr>
        <w:t>Partnership Management Groups (PMG) have primary responsibility for management decisions for program implementation*</w:t>
      </w:r>
    </w:p>
    <w:p w:rsidR="00CA7A38" w:rsidRPr="00917386" w:rsidRDefault="00CA7A38" w:rsidP="00E70031">
      <w:pPr>
        <w:pStyle w:val="Default"/>
        <w:numPr>
          <w:ilvl w:val="0"/>
          <w:numId w:val="8"/>
        </w:numPr>
        <w:spacing w:before="240" w:after="22" w:line="276" w:lineRule="auto"/>
        <w:jc w:val="both"/>
        <w:rPr>
          <w:rFonts w:asciiTheme="minorHAnsi" w:hAnsiTheme="minorHAnsi"/>
          <w:color w:val="auto"/>
          <w:sz w:val="22"/>
          <w:szCs w:val="22"/>
        </w:rPr>
      </w:pPr>
      <w:r>
        <w:rPr>
          <w:rFonts w:asciiTheme="minorHAnsi" w:hAnsiTheme="minorHAnsi"/>
          <w:color w:val="auto"/>
          <w:sz w:val="22"/>
          <w:szCs w:val="22"/>
        </w:rPr>
        <w:t>HOAG</w:t>
      </w:r>
      <w:r w:rsidRPr="00917386">
        <w:rPr>
          <w:rStyle w:val="FootnoteReference"/>
          <w:rFonts w:asciiTheme="minorHAnsi" w:hAnsiTheme="minorHAnsi"/>
          <w:sz w:val="22"/>
          <w:szCs w:val="22"/>
        </w:rPr>
        <w:footnoteReference w:id="78"/>
      </w:r>
      <w:r w:rsidRPr="00917386">
        <w:rPr>
          <w:rFonts w:asciiTheme="minorHAnsi" w:hAnsiTheme="minorHAnsi"/>
          <w:color w:val="auto"/>
          <w:sz w:val="22"/>
          <w:szCs w:val="22"/>
        </w:rPr>
        <w:t xml:space="preserve"> </w:t>
      </w:r>
      <w:r w:rsidRPr="00917386">
        <w:rPr>
          <w:rFonts w:asciiTheme="minorHAnsi" w:hAnsiTheme="minorHAnsi"/>
          <w:sz w:val="22"/>
          <w:szCs w:val="22"/>
        </w:rPr>
        <w:t>meets quarterly and is responsible for the high-level governance and oversight of the program.  The HOAG includes all heads of agencies from across the policing, justice and community services sector</w:t>
      </w:r>
    </w:p>
    <w:p w:rsidR="00CA7A38" w:rsidRDefault="00CA7A38" w:rsidP="00E70031">
      <w:pPr>
        <w:spacing w:before="240" w:after="240" w:line="276" w:lineRule="auto"/>
        <w:jc w:val="both"/>
      </w:pPr>
      <w:r>
        <w:t xml:space="preserve">*There are </w:t>
      </w:r>
      <w:r w:rsidRPr="00917386">
        <w:t xml:space="preserve">separate </w:t>
      </w:r>
      <w:r>
        <w:t>PMGs</w:t>
      </w:r>
      <w:r w:rsidRPr="00917386">
        <w:t xml:space="preserve"> for </w:t>
      </w:r>
      <w:r>
        <w:t xml:space="preserve">policing and for justice and community services </w:t>
      </w:r>
      <w:r w:rsidRPr="00917386">
        <w:t xml:space="preserve">— this approach will be retained in </w:t>
      </w:r>
      <w:r>
        <w:t>SRBJS</w:t>
      </w:r>
      <w:r w:rsidRPr="00917386">
        <w:t xml:space="preserve">.  The PMG for justice and community services is comprised of the Director </w:t>
      </w:r>
      <w:r>
        <w:t xml:space="preserve">General of MJCS, DFAT and managing contractor representatives; meetings will be </w:t>
      </w:r>
      <w:r w:rsidRPr="00917386">
        <w:t>held monthly</w:t>
      </w:r>
      <w:r>
        <w:t xml:space="preserve">.  Program Coordinator (Policing) and the Commissioner of the VPF will be invited to attend.  </w:t>
      </w:r>
      <w:r w:rsidRPr="00917386">
        <w:t>The PMG for policing is comprised of the VPF Commissioner, DFAT representatives and AFP personnel; meetings are held on a quarterly basis.  Issues discussed at PMG meetings may be elevated to HOAG as required.</w:t>
      </w:r>
    </w:p>
    <w:p w:rsidR="00CA7A38" w:rsidRPr="00917386" w:rsidRDefault="00CA7A38" w:rsidP="00E70031">
      <w:pPr>
        <w:spacing w:before="240" w:after="240" w:line="276" w:lineRule="auto"/>
        <w:jc w:val="both"/>
      </w:pPr>
    </w:p>
    <w:p w:rsidR="00CA7A38" w:rsidRPr="00917386" w:rsidRDefault="00CA7A38" w:rsidP="00E70031">
      <w:pPr>
        <w:pStyle w:val="Heading3"/>
        <w:numPr>
          <w:ilvl w:val="0"/>
          <w:numId w:val="54"/>
        </w:numPr>
        <w:spacing w:after="240" w:line="276" w:lineRule="auto"/>
        <w:jc w:val="both"/>
        <w:rPr>
          <w:rFonts w:asciiTheme="minorHAnsi" w:hAnsiTheme="minorHAnsi"/>
          <w:color w:val="auto"/>
          <w:sz w:val="22"/>
          <w:szCs w:val="22"/>
        </w:rPr>
      </w:pPr>
      <w:r>
        <w:rPr>
          <w:rFonts w:asciiTheme="minorHAnsi" w:hAnsiTheme="minorHAnsi"/>
          <w:color w:val="auto"/>
          <w:sz w:val="22"/>
          <w:szCs w:val="22"/>
        </w:rPr>
        <w:t xml:space="preserve">DFAT-AFP-Managing Contractor </w:t>
      </w:r>
      <w:r w:rsidRPr="00917386">
        <w:rPr>
          <w:rFonts w:asciiTheme="minorHAnsi" w:hAnsiTheme="minorHAnsi"/>
          <w:color w:val="auto"/>
          <w:sz w:val="22"/>
          <w:szCs w:val="22"/>
        </w:rPr>
        <w:t xml:space="preserve">Joint-Planning </w:t>
      </w:r>
    </w:p>
    <w:p w:rsidR="00CA7A38" w:rsidRPr="00917386" w:rsidRDefault="00CA7A38" w:rsidP="00E70031">
      <w:pPr>
        <w:pStyle w:val="Default"/>
        <w:spacing w:after="240" w:line="276" w:lineRule="auto"/>
        <w:jc w:val="both"/>
        <w:rPr>
          <w:rFonts w:asciiTheme="minorHAnsi" w:hAnsiTheme="minorHAnsi"/>
          <w:sz w:val="22"/>
          <w:szCs w:val="22"/>
        </w:rPr>
      </w:pPr>
      <w:r w:rsidRPr="00917386">
        <w:rPr>
          <w:rFonts w:asciiTheme="minorHAnsi" w:hAnsiTheme="minorHAnsi"/>
          <w:sz w:val="22"/>
          <w:szCs w:val="22"/>
        </w:rPr>
        <w:t xml:space="preserve">To strengthen program cohesion and collaboration, </w:t>
      </w:r>
      <w:r>
        <w:rPr>
          <w:rFonts w:asciiTheme="minorHAnsi" w:hAnsiTheme="minorHAnsi"/>
          <w:sz w:val="22"/>
          <w:szCs w:val="22"/>
        </w:rPr>
        <w:t>the managing contractor</w:t>
      </w:r>
      <w:r w:rsidRPr="00917386">
        <w:rPr>
          <w:rFonts w:asciiTheme="minorHAnsi" w:hAnsiTheme="minorHAnsi"/>
          <w:sz w:val="22"/>
          <w:szCs w:val="22"/>
        </w:rPr>
        <w:t xml:space="preserve">, AFP and DFAT will establish an annual joint-planning process to progress whole-of-sector outcomes.  A priority early in </w:t>
      </w:r>
      <w:r w:rsidRPr="00917386">
        <w:rPr>
          <w:rFonts w:asciiTheme="minorHAnsi" w:hAnsiTheme="minorHAnsi"/>
          <w:sz w:val="22"/>
          <w:szCs w:val="22"/>
        </w:rPr>
        <w:lastRenderedPageBreak/>
        <w:t xml:space="preserve">the first year of </w:t>
      </w:r>
      <w:r>
        <w:rPr>
          <w:rFonts w:asciiTheme="minorHAnsi" w:hAnsiTheme="minorHAnsi"/>
          <w:sz w:val="22"/>
          <w:szCs w:val="22"/>
        </w:rPr>
        <w:t>SRBJS</w:t>
      </w:r>
      <w:r w:rsidRPr="00917386">
        <w:rPr>
          <w:rFonts w:asciiTheme="minorHAnsi" w:hAnsiTheme="minorHAnsi"/>
          <w:sz w:val="22"/>
          <w:szCs w:val="22"/>
        </w:rPr>
        <w:t xml:space="preserve"> will be to jointly develop and agree to a </w:t>
      </w:r>
      <w:r>
        <w:rPr>
          <w:rFonts w:asciiTheme="minorHAnsi" w:hAnsiTheme="minorHAnsi"/>
          <w:sz w:val="22"/>
          <w:szCs w:val="22"/>
        </w:rPr>
        <w:t xml:space="preserve">one year </w:t>
      </w:r>
      <w:r w:rsidRPr="00917386">
        <w:rPr>
          <w:rFonts w:asciiTheme="minorHAnsi" w:hAnsiTheme="minorHAnsi"/>
          <w:sz w:val="22"/>
          <w:szCs w:val="22"/>
        </w:rPr>
        <w:t xml:space="preserve">work plan (or implementation plan).  This should include an overview of how shared resources (human and financial) should be allocated.  Planning should be informed by monitoring and evaluation data and capture relevant work undertaken by agencies and organisations across the sector.  The joint work plan should be sufficiently flexible so to allow for responsiveness to emerging and/or unanticipated issues. </w:t>
      </w:r>
      <w:r>
        <w:rPr>
          <w:rFonts w:asciiTheme="minorHAnsi" w:hAnsiTheme="minorHAnsi"/>
          <w:sz w:val="22"/>
          <w:szCs w:val="22"/>
        </w:rPr>
        <w:t>This will then be done on an annual basis.</w:t>
      </w:r>
    </w:p>
    <w:p w:rsidR="00CA7A38" w:rsidRDefault="00CA7A38" w:rsidP="00E70031">
      <w:pPr>
        <w:pStyle w:val="Default"/>
        <w:spacing w:after="240" w:line="276" w:lineRule="auto"/>
        <w:jc w:val="both"/>
        <w:rPr>
          <w:rFonts w:asciiTheme="minorHAnsi" w:hAnsiTheme="minorHAnsi"/>
          <w:sz w:val="22"/>
          <w:szCs w:val="22"/>
        </w:rPr>
      </w:pPr>
      <w:r w:rsidRPr="00917386">
        <w:rPr>
          <w:rFonts w:asciiTheme="minorHAnsi" w:hAnsiTheme="minorHAnsi"/>
          <w:sz w:val="22"/>
          <w:szCs w:val="22"/>
        </w:rPr>
        <w:t xml:space="preserve">DFAT will chair monthly meetings with the </w:t>
      </w:r>
      <w:r>
        <w:rPr>
          <w:rFonts w:asciiTheme="minorHAnsi" w:hAnsiTheme="minorHAnsi"/>
          <w:sz w:val="22"/>
          <w:szCs w:val="22"/>
        </w:rPr>
        <w:t>two Program Coordinators and Senior Manager</w:t>
      </w:r>
      <w:r w:rsidRPr="00917386">
        <w:rPr>
          <w:rFonts w:asciiTheme="minorHAnsi" w:hAnsiTheme="minorHAnsi"/>
          <w:sz w:val="22"/>
          <w:szCs w:val="22"/>
        </w:rPr>
        <w:t xml:space="preserve"> to discuss joint work plan implementation, strategic issues, and opportunities for increased cohesion and collaboration.</w:t>
      </w:r>
    </w:p>
    <w:p w:rsidR="00CA7A38" w:rsidRPr="00917386" w:rsidRDefault="00CA7A38" w:rsidP="00E70031">
      <w:pPr>
        <w:pStyle w:val="Default"/>
        <w:spacing w:after="240" w:line="276" w:lineRule="auto"/>
        <w:jc w:val="both"/>
        <w:rPr>
          <w:rFonts w:asciiTheme="minorHAnsi" w:hAnsiTheme="minorHAnsi"/>
          <w:sz w:val="22"/>
          <w:szCs w:val="22"/>
        </w:rPr>
      </w:pPr>
    </w:p>
    <w:p w:rsidR="00CA7A38" w:rsidRPr="00917386" w:rsidRDefault="00CA7A38" w:rsidP="00E70031">
      <w:pPr>
        <w:pStyle w:val="Heading3"/>
        <w:numPr>
          <w:ilvl w:val="0"/>
          <w:numId w:val="54"/>
        </w:numPr>
        <w:spacing w:after="240" w:line="276" w:lineRule="auto"/>
        <w:jc w:val="both"/>
        <w:rPr>
          <w:rFonts w:asciiTheme="minorHAnsi" w:hAnsiTheme="minorHAnsi"/>
          <w:color w:val="auto"/>
          <w:sz w:val="22"/>
          <w:szCs w:val="22"/>
        </w:rPr>
      </w:pPr>
      <w:r w:rsidRPr="00917386">
        <w:rPr>
          <w:rFonts w:asciiTheme="minorHAnsi" w:hAnsiTheme="minorHAnsi"/>
          <w:color w:val="auto"/>
          <w:sz w:val="22"/>
          <w:szCs w:val="22"/>
        </w:rPr>
        <w:t>Procurement Arrangements and Program Operations</w:t>
      </w:r>
    </w:p>
    <w:p w:rsidR="00CA7A38" w:rsidRPr="00917386" w:rsidRDefault="00CA7A38" w:rsidP="00E70031">
      <w:pPr>
        <w:spacing w:line="276" w:lineRule="auto"/>
        <w:jc w:val="both"/>
      </w:pPr>
      <w:r>
        <w:t>The managing contractor</w:t>
      </w:r>
      <w:r w:rsidRPr="00917386">
        <w:t xml:space="preserve"> will be selected by open international tender.</w:t>
      </w:r>
      <w:r w:rsidRPr="00917386">
        <w:rPr>
          <w:b/>
        </w:rPr>
        <w:t xml:space="preserve">  </w:t>
      </w:r>
      <w:r w:rsidRPr="00917386">
        <w:t xml:space="preserve">The contract will be for a four year period, from January 2017 until December 2020, </w:t>
      </w:r>
      <w:r w:rsidRPr="00BE5644">
        <w:t xml:space="preserve">with the option for a </w:t>
      </w:r>
      <w:r>
        <w:t>four</w:t>
      </w:r>
      <w:r w:rsidRPr="00BE5644">
        <w:t xml:space="preserve"> year extension subject to </w:t>
      </w:r>
      <w:r>
        <w:t xml:space="preserve">a review of </w:t>
      </w:r>
      <w:r w:rsidRPr="00BE5644">
        <w:t>program effectiveness, continued relevance, contractor performance</w:t>
      </w:r>
      <w:r>
        <w:t xml:space="preserve">, </w:t>
      </w:r>
      <w:r w:rsidRPr="00BE5644">
        <w:t>and available funding.</w:t>
      </w:r>
    </w:p>
    <w:p w:rsidR="00CA7A38" w:rsidRPr="00917386" w:rsidRDefault="00CA7A38" w:rsidP="00E70031">
      <w:pPr>
        <w:spacing w:line="276" w:lineRule="auto"/>
        <w:jc w:val="both"/>
      </w:pPr>
      <w:r w:rsidRPr="00917386">
        <w:t xml:space="preserve">All procurement will be consistent with the principles of the Australian Commonwealth Procurement Rules.  An initial task for the </w:t>
      </w:r>
      <w:r>
        <w:t xml:space="preserve">managing contractor </w:t>
      </w:r>
      <w:r w:rsidRPr="00917386">
        <w:t xml:space="preserve">will be to update the program operations manual for </w:t>
      </w:r>
      <w:r>
        <w:t>DFAT</w:t>
      </w:r>
      <w:r w:rsidRPr="00917386">
        <w:t xml:space="preserve"> to review and endorse.  This will involve updating/confirming, among other things, the financial management and procurement processes for the program.</w:t>
      </w:r>
      <w:r>
        <w:rPr>
          <w:rStyle w:val="FootnoteReference"/>
        </w:rPr>
        <w:footnoteReference w:id="79"/>
      </w:r>
      <w:r w:rsidRPr="00917386">
        <w:t xml:space="preserve">  </w:t>
      </w:r>
    </w:p>
    <w:p w:rsidR="00CA7A38" w:rsidRPr="00917386" w:rsidRDefault="00CA7A38" w:rsidP="00E70031">
      <w:pPr>
        <w:spacing w:after="240" w:line="276" w:lineRule="auto"/>
        <w:jc w:val="both"/>
        <w:rPr>
          <w:rFonts w:eastAsia="Times New Roman" w:cs="Times New Roman"/>
          <w:color w:val="222222"/>
          <w:lang w:eastAsia="en-AU"/>
        </w:rPr>
      </w:pPr>
      <w:r>
        <w:rPr>
          <w:rFonts w:eastAsia="Times New Roman" w:cs="Times New Roman"/>
          <w:color w:val="222222"/>
          <w:lang w:eastAsia="en-AU"/>
        </w:rPr>
        <w:t xml:space="preserve">The </w:t>
      </w:r>
      <w:r>
        <w:t>managing contractor</w:t>
      </w:r>
      <w:r w:rsidRPr="00917386">
        <w:rPr>
          <w:rFonts w:eastAsia="Times New Roman" w:cs="Times New Roman"/>
          <w:color w:val="222222"/>
          <w:lang w:eastAsia="en-AU"/>
        </w:rPr>
        <w:t xml:space="preserve"> will provide a flexible management and administrative capability to deploy and manage a team of national and international advisers (other than AFP personnel, as per the above).  The </w:t>
      </w:r>
      <w:r>
        <w:t>managing contractor</w:t>
      </w:r>
      <w:r w:rsidRPr="00917386">
        <w:rPr>
          <w:rFonts w:eastAsia="Times New Roman" w:cs="Times New Roman"/>
          <w:color w:val="222222"/>
          <w:lang w:eastAsia="en-AU"/>
        </w:rPr>
        <w:t xml:space="preserve"> will also manage contracts for technical assistance and other services, procurement of goods, and infrastructure.  Implement</w:t>
      </w:r>
      <w:r>
        <w:rPr>
          <w:rFonts w:eastAsia="Times New Roman" w:cs="Times New Roman"/>
          <w:color w:val="222222"/>
          <w:lang w:eastAsia="en-AU"/>
        </w:rPr>
        <w:t>ation arrangements will</w:t>
      </w:r>
      <w:r w:rsidRPr="00917386">
        <w:rPr>
          <w:rFonts w:eastAsia="Times New Roman" w:cs="Times New Roman"/>
          <w:color w:val="222222"/>
          <w:lang w:eastAsia="en-AU"/>
        </w:rPr>
        <w:t xml:space="preserve"> promote high levels of administrative efficiency while gua</w:t>
      </w:r>
      <w:r>
        <w:rPr>
          <w:rFonts w:eastAsia="Times New Roman" w:cs="Times New Roman"/>
          <w:color w:val="222222"/>
          <w:lang w:eastAsia="en-AU"/>
        </w:rPr>
        <w:t xml:space="preserve">rding against fraud risk.  The </w:t>
      </w:r>
      <w:r>
        <w:t>managing contractor</w:t>
      </w:r>
      <w:r w:rsidRPr="00917386">
        <w:rPr>
          <w:rFonts w:eastAsia="Times New Roman" w:cs="Times New Roman"/>
          <w:color w:val="222222"/>
          <w:lang w:eastAsia="en-AU"/>
        </w:rPr>
        <w:t xml:space="preserve"> will also provide technical, managerial and administrative resources to support delivery of the program.  </w:t>
      </w:r>
    </w:p>
    <w:p w:rsidR="00CA7A38" w:rsidRPr="00917386" w:rsidRDefault="00CA7A38" w:rsidP="00E70031">
      <w:pPr>
        <w:spacing w:after="240" w:line="276" w:lineRule="auto"/>
        <w:jc w:val="both"/>
        <w:rPr>
          <w:rFonts w:eastAsia="Times New Roman" w:cs="Times New Roman"/>
          <w:color w:val="222222"/>
          <w:lang w:eastAsia="en-AU"/>
        </w:rPr>
      </w:pPr>
      <w:r>
        <w:rPr>
          <w:rFonts w:eastAsia="Times New Roman" w:cs="Times New Roman"/>
          <w:color w:val="222222"/>
          <w:lang w:eastAsia="en-AU"/>
        </w:rPr>
        <w:t xml:space="preserve">For efficiency, the </w:t>
      </w:r>
      <w:r>
        <w:t>managing contractor</w:t>
      </w:r>
      <w:r w:rsidRPr="00917386">
        <w:rPr>
          <w:rFonts w:eastAsia="Times New Roman" w:cs="Times New Roman"/>
          <w:color w:val="222222"/>
          <w:lang w:eastAsia="en-AU"/>
        </w:rPr>
        <w:t xml:space="preserve"> will manage non salary expenses associated with the deployment of AFP personnel within agreed terms and conditions with </w:t>
      </w:r>
      <w:r>
        <w:rPr>
          <w:rFonts w:eastAsia="Times New Roman" w:cs="Times New Roman"/>
          <w:color w:val="222222"/>
          <w:lang w:eastAsia="en-AU"/>
        </w:rPr>
        <w:t>the DFAT</w:t>
      </w:r>
      <w:r w:rsidRPr="00917386">
        <w:rPr>
          <w:rFonts w:eastAsia="Times New Roman" w:cs="Times New Roman"/>
          <w:color w:val="222222"/>
          <w:lang w:eastAsia="en-AU"/>
        </w:rPr>
        <w:t xml:space="preserve">.  AFP personnel will continue to manage the </w:t>
      </w:r>
      <w:r>
        <w:rPr>
          <w:rFonts w:eastAsia="Times New Roman" w:cs="Times New Roman"/>
          <w:color w:val="222222"/>
          <w:lang w:eastAsia="en-AU"/>
        </w:rPr>
        <w:t xml:space="preserve">support to </w:t>
      </w:r>
      <w:r w:rsidRPr="00917386">
        <w:rPr>
          <w:rFonts w:eastAsia="Times New Roman" w:cs="Times New Roman"/>
          <w:color w:val="222222"/>
          <w:lang w:eastAsia="en-AU"/>
        </w:rPr>
        <w:t xml:space="preserve">policing in accordance with </w:t>
      </w:r>
      <w:r>
        <w:rPr>
          <w:rFonts w:eastAsia="Times New Roman" w:cs="Times New Roman"/>
          <w:color w:val="222222"/>
          <w:lang w:eastAsia="en-AU"/>
        </w:rPr>
        <w:t>DFAT</w:t>
      </w:r>
      <w:r w:rsidRPr="00917386">
        <w:rPr>
          <w:rFonts w:eastAsia="Times New Roman" w:cs="Times New Roman"/>
          <w:color w:val="222222"/>
          <w:lang w:eastAsia="en-AU"/>
        </w:rPr>
        <w:t xml:space="preserve"> and internal AFP requirements.</w:t>
      </w:r>
      <w:r>
        <w:rPr>
          <w:rFonts w:eastAsia="Times New Roman" w:cs="Times New Roman"/>
          <w:color w:val="222222"/>
          <w:lang w:eastAsia="en-AU"/>
        </w:rPr>
        <w:t xml:space="preserve">  </w:t>
      </w:r>
      <w:r w:rsidRPr="00917386">
        <w:rPr>
          <w:rFonts w:eastAsia="Times New Roman" w:cs="Times New Roman"/>
          <w:color w:val="222222"/>
          <w:lang w:eastAsia="en-AU"/>
        </w:rPr>
        <w:t xml:space="preserve">AFP will be responsible for the technical performance of the </w:t>
      </w:r>
      <w:r>
        <w:rPr>
          <w:rFonts w:eastAsia="Times New Roman" w:cs="Times New Roman"/>
          <w:color w:val="222222"/>
          <w:lang w:eastAsia="en-AU"/>
        </w:rPr>
        <w:t xml:space="preserve">program support to </w:t>
      </w:r>
      <w:r w:rsidRPr="00917386">
        <w:rPr>
          <w:rFonts w:eastAsia="Times New Roman" w:cs="Times New Roman"/>
          <w:color w:val="222222"/>
          <w:lang w:eastAsia="en-AU"/>
        </w:rPr>
        <w:t xml:space="preserve">policing, </w:t>
      </w:r>
      <w:r>
        <w:rPr>
          <w:rFonts w:eastAsia="Times New Roman" w:cs="Times New Roman"/>
          <w:color w:val="222222"/>
          <w:lang w:eastAsia="en-AU"/>
        </w:rPr>
        <w:t xml:space="preserve">and </w:t>
      </w:r>
      <w:r w:rsidRPr="00917386">
        <w:rPr>
          <w:rFonts w:eastAsia="Times New Roman" w:cs="Times New Roman"/>
          <w:color w:val="222222"/>
          <w:lang w:eastAsia="en-AU"/>
        </w:rPr>
        <w:t>will have the administrative and managem</w:t>
      </w:r>
      <w:r>
        <w:rPr>
          <w:rFonts w:eastAsia="Times New Roman" w:cs="Times New Roman"/>
          <w:color w:val="222222"/>
          <w:lang w:eastAsia="en-AU"/>
        </w:rPr>
        <w:t xml:space="preserve">ent capacity of the </w:t>
      </w:r>
      <w:r>
        <w:t>managing contractor</w:t>
      </w:r>
      <w:r w:rsidRPr="00917386">
        <w:rPr>
          <w:rFonts w:eastAsia="Times New Roman" w:cs="Times New Roman"/>
          <w:color w:val="222222"/>
          <w:lang w:eastAsia="en-AU"/>
        </w:rPr>
        <w:t xml:space="preserve"> for non-AFP staff and </w:t>
      </w:r>
      <w:r w:rsidRPr="00917386">
        <w:rPr>
          <w:rFonts w:eastAsia="Times New Roman" w:cs="Times New Roman"/>
          <w:color w:val="222222"/>
          <w:lang w:eastAsia="en-AU"/>
        </w:rPr>
        <w:lastRenderedPageBreak/>
        <w:t>all financial services.</w:t>
      </w:r>
      <w:r>
        <w:rPr>
          <w:rFonts w:eastAsia="Times New Roman" w:cs="Times New Roman"/>
          <w:color w:val="222222"/>
          <w:lang w:eastAsia="en-AU"/>
        </w:rPr>
        <w:t xml:space="preserve">  AFP will pay for AFP adviser costs and seek reimbursement from DFAT on a quarterly basis.</w:t>
      </w:r>
    </w:p>
    <w:p w:rsidR="00CA7A38" w:rsidRPr="00917386" w:rsidRDefault="00CA7A38" w:rsidP="00E70031">
      <w:pPr>
        <w:spacing w:after="240" w:line="276" w:lineRule="auto"/>
        <w:jc w:val="both"/>
        <w:rPr>
          <w:rFonts w:eastAsia="Times New Roman" w:cs="Times New Roman"/>
          <w:color w:val="222222"/>
          <w:lang w:eastAsia="en-AU"/>
        </w:rPr>
      </w:pPr>
      <w:r>
        <w:rPr>
          <w:rFonts w:eastAsia="Times New Roman" w:cs="Times New Roman"/>
          <w:color w:val="222222"/>
          <w:lang w:eastAsia="en-AU"/>
        </w:rPr>
        <w:t xml:space="preserve">The </w:t>
      </w:r>
      <w:r>
        <w:t>managing contractor</w:t>
      </w:r>
      <w:r w:rsidRPr="00917386">
        <w:rPr>
          <w:rFonts w:eastAsia="Times New Roman" w:cs="Times New Roman"/>
          <w:color w:val="222222"/>
          <w:lang w:eastAsia="en-AU"/>
        </w:rPr>
        <w:t xml:space="preserve"> will also assist partners to manage program funding, grants, and support for small scale infrastructure and refurbishments.  Emphasis will be on providing a supportive and strengths-based approach to implementation and partner engagement, particularly around shared administrative arrangements with </w:t>
      </w:r>
      <w:proofErr w:type="spellStart"/>
      <w:r w:rsidRPr="00917386">
        <w:rPr>
          <w:rFonts w:eastAsia="Times New Roman" w:cs="Times New Roman"/>
          <w:color w:val="222222"/>
          <w:lang w:eastAsia="en-AU"/>
        </w:rPr>
        <w:t>GoV.</w:t>
      </w:r>
      <w:proofErr w:type="spellEnd"/>
      <w:r w:rsidRPr="00917386">
        <w:rPr>
          <w:rFonts w:eastAsia="Times New Roman" w:cs="Times New Roman"/>
          <w:color w:val="222222"/>
          <w:lang w:eastAsia="en-AU"/>
        </w:rPr>
        <w:t xml:space="preserve">  The </w:t>
      </w:r>
      <w:r>
        <w:t>managing contractor</w:t>
      </w:r>
      <w:r w:rsidRPr="00917386">
        <w:rPr>
          <w:rFonts w:eastAsia="Times New Roman" w:cs="Times New Roman"/>
          <w:color w:val="222222"/>
          <w:lang w:eastAsia="en-AU"/>
        </w:rPr>
        <w:t xml:space="preserve"> will also manage the VPF Operational Fund in conjunction with the </w:t>
      </w:r>
      <w:r>
        <w:rPr>
          <w:rFonts w:eastAsia="Times New Roman" w:cs="Times New Roman"/>
          <w:color w:val="222222"/>
          <w:lang w:eastAsia="en-AU"/>
        </w:rPr>
        <w:t>Program Coordinator (</w:t>
      </w:r>
      <w:r w:rsidRPr="00917386">
        <w:rPr>
          <w:rFonts w:eastAsia="Times New Roman" w:cs="Times New Roman"/>
          <w:color w:val="222222"/>
          <w:lang w:eastAsia="en-AU"/>
        </w:rPr>
        <w:t>Policing</w:t>
      </w:r>
      <w:r>
        <w:rPr>
          <w:rFonts w:eastAsia="Times New Roman" w:cs="Times New Roman"/>
          <w:color w:val="222222"/>
          <w:lang w:eastAsia="en-AU"/>
        </w:rPr>
        <w:t>)</w:t>
      </w:r>
      <w:r w:rsidRPr="00917386">
        <w:rPr>
          <w:rFonts w:eastAsia="Times New Roman" w:cs="Times New Roman"/>
          <w:color w:val="222222"/>
          <w:lang w:eastAsia="en-AU"/>
        </w:rPr>
        <w:t xml:space="preserve">.  Where GoV financial systems are used for the management of aid funds, this must be informed by </w:t>
      </w:r>
      <w:proofErr w:type="spellStart"/>
      <w:r w:rsidRPr="00917386">
        <w:rPr>
          <w:rFonts w:eastAsia="Times New Roman" w:cs="Times New Roman"/>
          <w:color w:val="222222"/>
          <w:lang w:eastAsia="en-AU"/>
        </w:rPr>
        <w:t>AusAID’s</w:t>
      </w:r>
      <w:proofErr w:type="spellEnd"/>
      <w:r w:rsidRPr="00917386">
        <w:rPr>
          <w:rFonts w:eastAsia="Times New Roman" w:cs="Times New Roman"/>
          <w:color w:val="222222"/>
          <w:lang w:eastAsia="en-AU"/>
        </w:rPr>
        <w:t xml:space="preserve"> Assessment of Public Financial Management Systems (2013) and the findings of a new DFAT assessment (due in 2017).  It is intended that GoV financial systems will be used increasingly as public financial management capacity increases.  It is, however, anticipated that stricter financial controls will need to be put in place by GoV before this can occur.  Any use of </w:t>
      </w:r>
      <w:r>
        <w:rPr>
          <w:rFonts w:eastAsia="Times New Roman" w:cs="Times New Roman"/>
          <w:color w:val="222222"/>
          <w:lang w:eastAsia="en-AU"/>
        </w:rPr>
        <w:t>GoV</w:t>
      </w:r>
      <w:r w:rsidRPr="00917386">
        <w:rPr>
          <w:rFonts w:eastAsia="Times New Roman" w:cs="Times New Roman"/>
          <w:color w:val="222222"/>
          <w:lang w:eastAsia="en-AU"/>
        </w:rPr>
        <w:t xml:space="preserve"> systems will be conducted in close collaboration with DFAT.</w:t>
      </w:r>
      <w:r>
        <w:rPr>
          <w:rFonts w:eastAsia="Times New Roman" w:cs="Times New Roman"/>
          <w:color w:val="222222"/>
          <w:lang w:eastAsia="en-AU"/>
        </w:rPr>
        <w:t xml:space="preserve"> (Use of partner systems is discussed in more detail above at section 3.7.)</w:t>
      </w:r>
    </w:p>
    <w:p w:rsidR="00CA7A38" w:rsidRDefault="00CA7A38" w:rsidP="00E70031">
      <w:pPr>
        <w:spacing w:after="240" w:line="276" w:lineRule="auto"/>
        <w:jc w:val="both"/>
        <w:rPr>
          <w:rFonts w:ascii="Calibri" w:eastAsia="Times New Roman" w:hAnsi="Calibri" w:cs="Times New Roman"/>
          <w:color w:val="222222"/>
          <w:lang w:eastAsia="en-AU"/>
        </w:rPr>
      </w:pPr>
      <w:r>
        <w:rPr>
          <w:rFonts w:eastAsia="Times New Roman" w:cs="Times New Roman"/>
          <w:color w:val="222222"/>
          <w:lang w:eastAsia="en-AU"/>
        </w:rPr>
        <w:t xml:space="preserve">The </w:t>
      </w:r>
      <w:r>
        <w:t>managing contractor</w:t>
      </w:r>
      <w:r>
        <w:rPr>
          <w:rFonts w:eastAsia="Times New Roman" w:cs="Times New Roman"/>
          <w:color w:val="222222"/>
          <w:lang w:eastAsia="en-AU"/>
        </w:rPr>
        <w:t xml:space="preserve"> will manage official development a</w:t>
      </w:r>
      <w:r w:rsidRPr="00917386">
        <w:rPr>
          <w:rFonts w:eastAsia="Times New Roman" w:cs="Times New Roman"/>
          <w:color w:val="222222"/>
          <w:lang w:eastAsia="en-AU"/>
        </w:rPr>
        <w:t xml:space="preserve">ssistance funding on a reimbursable basis.  The </w:t>
      </w:r>
      <w:r>
        <w:t>managing contractor</w:t>
      </w:r>
      <w:r w:rsidRPr="00917386">
        <w:rPr>
          <w:rFonts w:eastAsia="Times New Roman" w:cs="Times New Roman"/>
          <w:color w:val="222222"/>
          <w:lang w:eastAsia="en-AU"/>
        </w:rPr>
        <w:t xml:space="preserve"> will use </w:t>
      </w:r>
      <w:r>
        <w:rPr>
          <w:rFonts w:eastAsia="Times New Roman" w:cs="Times New Roman"/>
          <w:color w:val="222222"/>
          <w:lang w:eastAsia="en-AU"/>
        </w:rPr>
        <w:t xml:space="preserve">its funds for all </w:t>
      </w:r>
      <w:r w:rsidRPr="00917386">
        <w:rPr>
          <w:rFonts w:eastAsia="Times New Roman" w:cs="Times New Roman"/>
          <w:color w:val="222222"/>
          <w:lang w:eastAsia="en-AU"/>
        </w:rPr>
        <w:t xml:space="preserve">implementation and then seek reimbursement.  </w:t>
      </w:r>
      <w:r>
        <w:rPr>
          <w:rFonts w:ascii="Calibri" w:eastAsia="Times New Roman" w:hAnsi="Calibri" w:cs="Times New Roman"/>
          <w:color w:val="222222"/>
          <w:lang w:eastAsia="en-AU"/>
        </w:rPr>
        <w:t>R</w:t>
      </w:r>
      <w:r w:rsidRPr="00FC64FE">
        <w:rPr>
          <w:rFonts w:ascii="Calibri" w:eastAsia="Times New Roman" w:hAnsi="Calibri" w:cs="Times New Roman"/>
          <w:color w:val="222222"/>
          <w:lang w:eastAsia="en-AU"/>
        </w:rPr>
        <w:t xml:space="preserve">isk associated with fraud and financial mismanagement generally will be borne by the </w:t>
      </w:r>
      <w:r>
        <w:t>managing contractor</w:t>
      </w:r>
      <w:r w:rsidRPr="00FC64FE">
        <w:rPr>
          <w:rFonts w:ascii="Calibri" w:eastAsia="Times New Roman" w:hAnsi="Calibri" w:cs="Times New Roman"/>
          <w:color w:val="222222"/>
          <w:lang w:eastAsia="en-AU"/>
        </w:rPr>
        <w:t xml:space="preserve"> in the first instance.  Funds will only be reimbursed by DFAT with evidence of effective management.</w:t>
      </w:r>
      <w:r>
        <w:rPr>
          <w:rFonts w:ascii="Calibri" w:eastAsia="Times New Roman" w:hAnsi="Calibri" w:cs="Times New Roman"/>
          <w:color w:val="222222"/>
          <w:lang w:eastAsia="en-AU"/>
        </w:rPr>
        <w:t xml:space="preserve">  </w:t>
      </w:r>
      <w:r w:rsidRPr="00FC64FE">
        <w:rPr>
          <w:rFonts w:ascii="Calibri" w:eastAsia="Times New Roman" w:hAnsi="Calibri" w:cs="Times New Roman"/>
          <w:color w:val="222222"/>
          <w:lang w:eastAsia="en-AU"/>
        </w:rPr>
        <w:t>Also, adequate cash flow and funds to support the needs of the program will be at the</w:t>
      </w:r>
      <w:r>
        <w:rPr>
          <w:rFonts w:ascii="Calibri" w:eastAsia="Times New Roman" w:hAnsi="Calibri" w:cs="Times New Roman"/>
          <w:color w:val="222222"/>
          <w:lang w:eastAsia="en-AU"/>
        </w:rPr>
        <w:t xml:space="preserve"> risks of the </w:t>
      </w:r>
      <w:r>
        <w:t>managing contractor</w:t>
      </w:r>
      <w:r>
        <w:rPr>
          <w:rFonts w:ascii="Calibri" w:eastAsia="Times New Roman" w:hAnsi="Calibri" w:cs="Times New Roman"/>
          <w:color w:val="222222"/>
          <w:lang w:eastAsia="en-AU"/>
        </w:rPr>
        <w:t>.</w:t>
      </w:r>
    </w:p>
    <w:p w:rsidR="00CA7A38" w:rsidRPr="00917386" w:rsidRDefault="00CA7A38" w:rsidP="00E70031">
      <w:pPr>
        <w:pStyle w:val="Heading3"/>
        <w:numPr>
          <w:ilvl w:val="0"/>
          <w:numId w:val="54"/>
        </w:numPr>
        <w:spacing w:after="240" w:line="276" w:lineRule="auto"/>
        <w:jc w:val="both"/>
        <w:rPr>
          <w:rFonts w:asciiTheme="minorHAnsi" w:hAnsiTheme="minorHAnsi"/>
          <w:color w:val="auto"/>
          <w:sz w:val="22"/>
          <w:szCs w:val="22"/>
        </w:rPr>
      </w:pPr>
      <w:r w:rsidRPr="00917386">
        <w:rPr>
          <w:rFonts w:asciiTheme="minorHAnsi" w:hAnsiTheme="minorHAnsi"/>
          <w:color w:val="auto"/>
          <w:sz w:val="22"/>
          <w:szCs w:val="22"/>
        </w:rPr>
        <w:t>Review of Implementation Arrangements</w:t>
      </w:r>
    </w:p>
    <w:p w:rsidR="00CA7A38" w:rsidRDefault="00CA7A38" w:rsidP="00E70031">
      <w:pPr>
        <w:pStyle w:val="Default"/>
        <w:spacing w:after="240" w:line="276" w:lineRule="auto"/>
        <w:jc w:val="both"/>
        <w:rPr>
          <w:rFonts w:asciiTheme="minorHAnsi" w:hAnsiTheme="minorHAnsi"/>
          <w:sz w:val="22"/>
          <w:szCs w:val="22"/>
        </w:rPr>
      </w:pPr>
      <w:r w:rsidRPr="00917386">
        <w:rPr>
          <w:rFonts w:asciiTheme="minorHAnsi" w:hAnsiTheme="minorHAnsi"/>
          <w:sz w:val="22"/>
          <w:szCs w:val="22"/>
        </w:rPr>
        <w:t>After two years of program implementation, DFAT will review</w:t>
      </w:r>
      <w:r w:rsidR="000B0E1F">
        <w:rPr>
          <w:rFonts w:asciiTheme="minorHAnsi" w:hAnsiTheme="minorHAnsi"/>
          <w:sz w:val="22"/>
          <w:szCs w:val="22"/>
        </w:rPr>
        <w:t xml:space="preserve"> through an evaluation process</w:t>
      </w:r>
      <w:r w:rsidRPr="00917386">
        <w:rPr>
          <w:rFonts w:asciiTheme="minorHAnsi" w:hAnsiTheme="minorHAnsi"/>
          <w:sz w:val="22"/>
          <w:szCs w:val="22"/>
        </w:rPr>
        <w:t xml:space="preserve"> the implementation arrangements: program governance and management arrangements, personnel, and risk.  This is intended to help ensure that implementation arrangements are and remain fit-for-purpose.</w:t>
      </w:r>
      <w:r>
        <w:rPr>
          <w:rStyle w:val="FootnoteReference"/>
          <w:rFonts w:asciiTheme="minorHAnsi" w:hAnsiTheme="minorHAnsi"/>
          <w:sz w:val="22"/>
          <w:szCs w:val="22"/>
        </w:rPr>
        <w:footnoteReference w:id="80"/>
      </w:r>
      <w:r w:rsidRPr="00917386">
        <w:rPr>
          <w:rFonts w:asciiTheme="minorHAnsi" w:hAnsiTheme="minorHAnsi"/>
          <w:sz w:val="22"/>
          <w:szCs w:val="22"/>
        </w:rPr>
        <w:t xml:space="preserve">  </w:t>
      </w:r>
    </w:p>
    <w:p w:rsidR="00CA7A38" w:rsidRPr="00917386" w:rsidRDefault="00CA7A38" w:rsidP="00E70031">
      <w:pPr>
        <w:pStyle w:val="Heading2"/>
        <w:numPr>
          <w:ilvl w:val="1"/>
          <w:numId w:val="1"/>
        </w:numPr>
        <w:spacing w:after="240" w:line="276" w:lineRule="auto"/>
        <w:jc w:val="both"/>
        <w:rPr>
          <w:rFonts w:asciiTheme="minorHAnsi" w:hAnsiTheme="minorHAnsi"/>
          <w:color w:val="000000" w:themeColor="text1"/>
          <w:sz w:val="22"/>
          <w:szCs w:val="22"/>
        </w:rPr>
      </w:pPr>
      <w:bookmarkStart w:id="24" w:name="_Toc458698427"/>
      <w:r w:rsidRPr="00917386">
        <w:rPr>
          <w:rFonts w:asciiTheme="minorHAnsi" w:hAnsiTheme="minorHAnsi"/>
          <w:color w:val="000000" w:themeColor="text1"/>
          <w:sz w:val="22"/>
          <w:szCs w:val="22"/>
        </w:rPr>
        <w:t>Resourcing</w:t>
      </w:r>
      <w:bookmarkEnd w:id="24"/>
    </w:p>
    <w:p w:rsidR="00E32A34" w:rsidRDefault="00E32A34" w:rsidP="00E32A34">
      <w:pPr>
        <w:pStyle w:val="ListParagraph"/>
        <w:numPr>
          <w:ilvl w:val="0"/>
          <w:numId w:val="55"/>
        </w:numPr>
        <w:spacing w:line="276" w:lineRule="auto"/>
        <w:jc w:val="both"/>
      </w:pPr>
      <w:r w:rsidRPr="00917386">
        <w:t>Personnel</w:t>
      </w:r>
    </w:p>
    <w:p w:rsidR="00CA7A38" w:rsidRPr="00917386" w:rsidRDefault="00CA7A38" w:rsidP="00E70031">
      <w:pPr>
        <w:spacing w:before="240" w:line="276" w:lineRule="auto"/>
        <w:jc w:val="both"/>
        <w:rPr>
          <w:rFonts w:cstheme="minorHAnsi"/>
        </w:rPr>
      </w:pPr>
      <w:r w:rsidRPr="00917386">
        <w:rPr>
          <w:rFonts w:cstheme="minorHAnsi"/>
        </w:rPr>
        <w:t xml:space="preserve">As in the previous phase/iterations of the program, technical assistance (also referred to as advisers) will be recruited jointly with DFAT, GoV representatives, counterparts and implementing partners.  While this approach means the recruitment process is more time consuming, joint participation in all aspects of recruitment — developing terms of reference, shortlisting candidates, interviewing and ranking applicants, selecting advisers and managing performance of those personnel — has proven beneficial.  It has resulted in strong engagement with and ownership of technical assistance provided.  </w:t>
      </w:r>
    </w:p>
    <w:p w:rsidR="00CA7A38" w:rsidRPr="00917386" w:rsidRDefault="00CA7A38" w:rsidP="00E70031">
      <w:pPr>
        <w:pStyle w:val="ListParagraph"/>
        <w:spacing w:line="276" w:lineRule="auto"/>
        <w:ind w:left="0"/>
        <w:contextualSpacing w:val="0"/>
        <w:jc w:val="both"/>
        <w:rPr>
          <w:rFonts w:cstheme="minorHAnsi"/>
        </w:rPr>
      </w:pPr>
      <w:r w:rsidRPr="00917386">
        <w:rPr>
          <w:rFonts w:cstheme="minorHAnsi"/>
        </w:rPr>
        <w:t xml:space="preserve">Counterparts will play a role in determining the appropriate type of person for the position in addition to the technical skills of the adviser.  </w:t>
      </w:r>
      <w:r>
        <w:rPr>
          <w:rFonts w:cstheme="minorHAnsi"/>
        </w:rPr>
        <w:t>Equal</w:t>
      </w:r>
      <w:r w:rsidRPr="00917386">
        <w:rPr>
          <w:rFonts w:cstheme="minorHAnsi"/>
        </w:rPr>
        <w:t xml:space="preserve"> importance will be placed on the technical skills of the adviser as on their ability to communicate effectively, build productive working relationships, </w:t>
      </w:r>
      <w:r w:rsidRPr="00917386">
        <w:rPr>
          <w:rFonts w:cstheme="minorHAnsi"/>
        </w:rPr>
        <w:lastRenderedPageBreak/>
        <w:t xml:space="preserve">transfer knowledge and skills, and build confidence and self-reliance, not dependence, of counterparts.  </w:t>
      </w:r>
      <w:r>
        <w:rPr>
          <w:rFonts w:cstheme="minorHAnsi"/>
        </w:rPr>
        <w:t>SRBJS</w:t>
      </w:r>
      <w:r w:rsidRPr="00917386">
        <w:rPr>
          <w:rFonts w:cstheme="minorHAnsi"/>
        </w:rPr>
        <w:t xml:space="preserve"> will work on the basis and recognition that relationships of mutual understanding and trust are </w:t>
      </w:r>
      <w:proofErr w:type="gramStart"/>
      <w:r w:rsidRPr="00917386">
        <w:rPr>
          <w:rFonts w:cstheme="minorHAnsi"/>
        </w:rPr>
        <w:t>key</w:t>
      </w:r>
      <w:proofErr w:type="gramEnd"/>
      <w:r w:rsidRPr="00917386">
        <w:rPr>
          <w:rFonts w:cstheme="minorHAnsi"/>
        </w:rPr>
        <w:t xml:space="preserve"> for effective partnership in learning and development.  Continuous change of personnel can be disruptive, demotivating and disengaging for counterparts so that every effort will be made to foster continuity of advisers.</w:t>
      </w:r>
    </w:p>
    <w:p w:rsidR="00CA7A38" w:rsidRPr="00917386" w:rsidRDefault="00CA7A38" w:rsidP="00E70031">
      <w:pPr>
        <w:pStyle w:val="ListParagraph"/>
        <w:spacing w:line="276" w:lineRule="auto"/>
        <w:ind w:left="0"/>
        <w:jc w:val="both"/>
        <w:rPr>
          <w:rFonts w:cstheme="minorHAnsi"/>
        </w:rPr>
      </w:pPr>
      <w:r w:rsidRPr="00917386">
        <w:rPr>
          <w:rFonts w:cstheme="minorHAnsi"/>
          <w:b/>
        </w:rPr>
        <w:t xml:space="preserve">International advisers: </w:t>
      </w:r>
      <w:r w:rsidRPr="00917386">
        <w:rPr>
          <w:rFonts w:cstheme="minorHAnsi"/>
        </w:rPr>
        <w:t xml:space="preserve">The team of proposed international advisers will remain largely unchanged.  As in the previous iteration of the program (PJSPV), the team will be comprised of advisers engaged by the </w:t>
      </w:r>
      <w:r>
        <w:t xml:space="preserve">managing contractor </w:t>
      </w:r>
      <w:r w:rsidRPr="00917386">
        <w:rPr>
          <w:rFonts w:cstheme="minorHAnsi"/>
        </w:rPr>
        <w:t>and AFP personnel.  The main changes proposed relate to:</w:t>
      </w:r>
    </w:p>
    <w:p w:rsidR="00CA7A38" w:rsidRDefault="00CA7A38" w:rsidP="00E70031">
      <w:pPr>
        <w:pStyle w:val="ListParagraph"/>
        <w:numPr>
          <w:ilvl w:val="0"/>
          <w:numId w:val="6"/>
        </w:numPr>
        <w:spacing w:before="240" w:after="200" w:line="276" w:lineRule="auto"/>
        <w:contextualSpacing w:val="0"/>
        <w:jc w:val="both"/>
        <w:rPr>
          <w:rFonts w:cstheme="minorHAnsi"/>
        </w:rPr>
      </w:pPr>
      <w:r>
        <w:rPr>
          <w:rFonts w:cstheme="minorHAnsi"/>
        </w:rPr>
        <w:t>N</w:t>
      </w:r>
      <w:r w:rsidRPr="00917386">
        <w:rPr>
          <w:rFonts w:cstheme="minorHAnsi"/>
        </w:rPr>
        <w:t xml:space="preserve">ovation of the role of </w:t>
      </w:r>
      <w:r>
        <w:rPr>
          <w:rFonts w:cstheme="minorHAnsi"/>
        </w:rPr>
        <w:t>Program</w:t>
      </w:r>
      <w:r w:rsidRPr="00917386">
        <w:rPr>
          <w:rFonts w:cstheme="minorHAnsi"/>
        </w:rPr>
        <w:t xml:space="preserve"> Coordinator</w:t>
      </w:r>
      <w:r>
        <w:rPr>
          <w:rFonts w:cstheme="minorHAnsi"/>
        </w:rPr>
        <w:t xml:space="preserve"> (Justice)</w:t>
      </w:r>
      <w:r w:rsidRPr="00917386">
        <w:rPr>
          <w:rFonts w:cstheme="minorHAnsi"/>
        </w:rPr>
        <w:t>.  A</w:t>
      </w:r>
      <w:r>
        <w:rPr>
          <w:rFonts w:cstheme="minorHAnsi"/>
        </w:rPr>
        <w:t xml:space="preserve"> </w:t>
      </w:r>
      <w:proofErr w:type="spellStart"/>
      <w:r w:rsidRPr="00917386">
        <w:rPr>
          <w:rFonts w:cstheme="minorHAnsi"/>
        </w:rPr>
        <w:t>ni</w:t>
      </w:r>
      <w:proofErr w:type="spellEnd"/>
      <w:r w:rsidRPr="00917386">
        <w:rPr>
          <w:rFonts w:cstheme="minorHAnsi"/>
        </w:rPr>
        <w:t xml:space="preserve">-Vanuatu team leader (for </w:t>
      </w:r>
      <w:r>
        <w:rPr>
          <w:rFonts w:cstheme="minorHAnsi"/>
        </w:rPr>
        <w:t xml:space="preserve">program support to </w:t>
      </w:r>
      <w:r w:rsidRPr="00917386">
        <w:rPr>
          <w:rFonts w:cstheme="minorHAnsi"/>
        </w:rPr>
        <w:t xml:space="preserve">justice </w:t>
      </w:r>
      <w:r>
        <w:rPr>
          <w:rFonts w:cstheme="minorHAnsi"/>
        </w:rPr>
        <w:t>and community services</w:t>
      </w:r>
      <w:r w:rsidRPr="00917386">
        <w:rPr>
          <w:rFonts w:cstheme="minorHAnsi"/>
        </w:rPr>
        <w:t xml:space="preserve">) was recruited </w:t>
      </w:r>
      <w:r>
        <w:rPr>
          <w:rFonts w:cstheme="minorHAnsi"/>
        </w:rPr>
        <w:t>during PJSPV</w:t>
      </w:r>
      <w:r w:rsidRPr="00917386">
        <w:rPr>
          <w:rFonts w:cstheme="minorHAnsi"/>
        </w:rPr>
        <w:t>.  By novating this role, there is potential to ensure stable and consistent leadership of the program through donor funded program cycles</w:t>
      </w:r>
    </w:p>
    <w:p w:rsidR="00CA7A38" w:rsidRPr="00814E13" w:rsidRDefault="00CA7A38" w:rsidP="00E70031">
      <w:pPr>
        <w:pStyle w:val="ListParagraph"/>
        <w:numPr>
          <w:ilvl w:val="0"/>
          <w:numId w:val="6"/>
        </w:numPr>
        <w:spacing w:before="240" w:after="200" w:line="276" w:lineRule="auto"/>
        <w:contextualSpacing w:val="0"/>
        <w:jc w:val="both"/>
        <w:rPr>
          <w:rFonts w:cstheme="minorHAnsi"/>
        </w:rPr>
      </w:pPr>
      <w:r>
        <w:rPr>
          <w:rFonts w:cstheme="minorHAnsi"/>
        </w:rPr>
        <w:t xml:space="preserve">Inclusion of a Technical Director (Justice) role to provide support to the Program Coordinator (Justice).  They may also provide </w:t>
      </w:r>
      <w:r>
        <w:rPr>
          <w:rFonts w:ascii="Calibri" w:hAnsi="Calibri"/>
          <w:color w:val="222222"/>
          <w:shd w:val="clear" w:color="auto" w:fill="FFFFFF"/>
        </w:rPr>
        <w:t>support for strategic planning, reporting, evaluations as well as ongoing program risk management</w:t>
      </w:r>
    </w:p>
    <w:p w:rsidR="00CA7A38" w:rsidRPr="00917386" w:rsidRDefault="00CA7A38" w:rsidP="00E70031">
      <w:pPr>
        <w:pStyle w:val="ListParagraph"/>
        <w:numPr>
          <w:ilvl w:val="0"/>
          <w:numId w:val="6"/>
        </w:numPr>
        <w:spacing w:before="240" w:after="200" w:line="276" w:lineRule="auto"/>
        <w:contextualSpacing w:val="0"/>
        <w:jc w:val="both"/>
        <w:rPr>
          <w:rFonts w:cstheme="minorHAnsi"/>
        </w:rPr>
      </w:pPr>
      <w:r w:rsidRPr="00917386">
        <w:rPr>
          <w:rFonts w:cstheme="minorHAnsi"/>
        </w:rPr>
        <w:t xml:space="preserve">Creation of the role of </w:t>
      </w:r>
      <w:r>
        <w:rPr>
          <w:rFonts w:cstheme="minorHAnsi"/>
        </w:rPr>
        <w:t>Senior Manager</w:t>
      </w:r>
      <w:r w:rsidRPr="00917386">
        <w:rPr>
          <w:rFonts w:cstheme="minorHAnsi"/>
        </w:rPr>
        <w:t xml:space="preserve"> </w:t>
      </w:r>
      <w:r>
        <w:rPr>
          <w:rFonts w:cstheme="minorHAnsi"/>
        </w:rPr>
        <w:t>which replaces the former Deputy Partnership Coordinator position and recognises the cross-sectoral role of that position</w:t>
      </w:r>
      <w:r w:rsidRPr="00917386">
        <w:rPr>
          <w:rFonts w:cstheme="minorHAnsi"/>
        </w:rPr>
        <w:t>.  The</w:t>
      </w:r>
      <w:r>
        <w:rPr>
          <w:rFonts w:cstheme="minorHAnsi"/>
        </w:rPr>
        <w:t xml:space="preserve">y </w:t>
      </w:r>
      <w:r w:rsidRPr="00917386">
        <w:rPr>
          <w:rFonts w:cstheme="minorHAnsi"/>
        </w:rPr>
        <w:t xml:space="preserve">should have </w:t>
      </w:r>
      <w:r w:rsidRPr="00573CAF">
        <w:rPr>
          <w:rFonts w:cstheme="minorHAnsi"/>
        </w:rPr>
        <w:t>strong</w:t>
      </w:r>
      <w:r w:rsidRPr="00917386">
        <w:rPr>
          <w:rFonts w:cstheme="minorHAnsi"/>
        </w:rPr>
        <w:t xml:space="preserve"> technical (policing and/or justice) </w:t>
      </w:r>
      <w:r>
        <w:rPr>
          <w:rFonts w:cstheme="minorHAnsi"/>
        </w:rPr>
        <w:t>and</w:t>
      </w:r>
      <w:r w:rsidRPr="00917386">
        <w:rPr>
          <w:rFonts w:cstheme="minorHAnsi"/>
        </w:rPr>
        <w:t xml:space="preserve"> operations skills.  The</w:t>
      </w:r>
      <w:r>
        <w:rPr>
          <w:rFonts w:cstheme="minorHAnsi"/>
        </w:rPr>
        <w:t>y</w:t>
      </w:r>
      <w:r w:rsidRPr="00917386">
        <w:rPr>
          <w:rFonts w:cstheme="minorHAnsi"/>
        </w:rPr>
        <w:t xml:space="preserve"> should also have a strong aid and development background and </w:t>
      </w:r>
      <w:r>
        <w:rPr>
          <w:rFonts w:cstheme="minorHAnsi"/>
        </w:rPr>
        <w:t>excellent</w:t>
      </w:r>
      <w:r w:rsidRPr="00917386">
        <w:rPr>
          <w:rFonts w:cstheme="minorHAnsi"/>
        </w:rPr>
        <w:t xml:space="preserve"> communication and interpersonal skills</w:t>
      </w:r>
    </w:p>
    <w:p w:rsidR="00CA7A38" w:rsidRPr="00917386" w:rsidRDefault="00B87A3D" w:rsidP="00E70031">
      <w:pPr>
        <w:pStyle w:val="ListParagraph"/>
        <w:numPr>
          <w:ilvl w:val="0"/>
          <w:numId w:val="6"/>
        </w:numPr>
        <w:spacing w:before="240" w:after="200" w:line="276" w:lineRule="auto"/>
        <w:contextualSpacing w:val="0"/>
        <w:jc w:val="both"/>
        <w:rPr>
          <w:rFonts w:cstheme="minorHAnsi"/>
        </w:rPr>
      </w:pPr>
      <w:r>
        <w:rPr>
          <w:rFonts w:cstheme="minorHAnsi"/>
        </w:rPr>
        <w:t>Creation of a s</w:t>
      </w:r>
      <w:r w:rsidR="00CA7A38" w:rsidRPr="00917386">
        <w:rPr>
          <w:rFonts w:cstheme="minorHAnsi"/>
        </w:rPr>
        <w:t xml:space="preserve">hort term technical </w:t>
      </w:r>
      <w:r>
        <w:rPr>
          <w:rFonts w:cstheme="minorHAnsi"/>
        </w:rPr>
        <w:t>advisor</w:t>
      </w:r>
      <w:r w:rsidR="00CA7A38" w:rsidRPr="00917386">
        <w:rPr>
          <w:rFonts w:cstheme="minorHAnsi"/>
        </w:rPr>
        <w:t xml:space="preserve"> to the Magistrates’ Court and possibly also the Island Courts, subject to the agreement and priorities of the Chief Justice.  For the Magistrates’ Court, technical assistance will aim to reduce backlog of cases (through provision of an in-line Magistrate), strengthen the institutional capacity of the Magistrate’s Court through training of Magistrates (in laws and procedure), and support for the administrative, managerial and operational functions of the Magistrates’ Court.  For the Island Courts, assistance might include support for Magistrates to train Island Court Justices as well as targeted training delivered by international technical expert(s) to Island Court Justices</w:t>
      </w:r>
    </w:p>
    <w:p w:rsidR="00CA7A38" w:rsidRPr="00917386" w:rsidRDefault="00B87A3D" w:rsidP="00E70031">
      <w:pPr>
        <w:pStyle w:val="ListParagraph"/>
        <w:numPr>
          <w:ilvl w:val="0"/>
          <w:numId w:val="6"/>
        </w:numPr>
        <w:spacing w:before="240" w:after="200" w:line="276" w:lineRule="auto"/>
        <w:ind w:left="760" w:hanging="357"/>
        <w:contextualSpacing w:val="0"/>
        <w:jc w:val="both"/>
        <w:rPr>
          <w:rFonts w:cstheme="minorHAnsi"/>
        </w:rPr>
      </w:pPr>
      <w:r>
        <w:rPr>
          <w:rFonts w:cstheme="minorHAnsi"/>
        </w:rPr>
        <w:t>A new, d</w:t>
      </w:r>
      <w:r w:rsidR="00CA7A38">
        <w:rPr>
          <w:rFonts w:cstheme="minorHAnsi"/>
        </w:rPr>
        <w:t>edicated a</w:t>
      </w:r>
      <w:r w:rsidR="00CA7A38" w:rsidRPr="00917386">
        <w:rPr>
          <w:rFonts w:cstheme="minorHAnsi"/>
        </w:rPr>
        <w:t>dvisory support to the VPF to improve handling of dome</w:t>
      </w:r>
      <w:r w:rsidR="00CA7A38">
        <w:rPr>
          <w:rFonts w:cstheme="minorHAnsi"/>
        </w:rPr>
        <w:t>stic violence offences, including</w:t>
      </w:r>
      <w:r w:rsidR="00CA7A38" w:rsidRPr="00917386">
        <w:rPr>
          <w:rFonts w:cstheme="minorHAnsi"/>
        </w:rPr>
        <w:t xml:space="preserve"> support to the Family Protection Unit</w:t>
      </w:r>
    </w:p>
    <w:p w:rsidR="00CA7A38" w:rsidRPr="00917386" w:rsidRDefault="00CA7A38" w:rsidP="00E70031">
      <w:pPr>
        <w:pStyle w:val="ListParagraph"/>
        <w:numPr>
          <w:ilvl w:val="0"/>
          <w:numId w:val="6"/>
        </w:numPr>
        <w:spacing w:before="240" w:after="200" w:line="276" w:lineRule="auto"/>
        <w:ind w:left="760" w:hanging="357"/>
        <w:contextualSpacing w:val="0"/>
        <w:jc w:val="both"/>
        <w:rPr>
          <w:rFonts w:cstheme="minorHAnsi"/>
        </w:rPr>
      </w:pPr>
      <w:r w:rsidRPr="00917386">
        <w:rPr>
          <w:rFonts w:cstheme="minorHAnsi"/>
        </w:rPr>
        <w:t>A long term Public Financial Management (PFM) Adviser to support improved PFM in policing and justice sector agencies and to facilitate the increasing use, over time, of GoV financial systems in accordance with the 2013 PFM assessment</w:t>
      </w:r>
      <w:r w:rsidRPr="00917386">
        <w:rPr>
          <w:rStyle w:val="FootnoteReference"/>
          <w:rFonts w:cstheme="minorHAnsi"/>
        </w:rPr>
        <w:footnoteReference w:id="81"/>
      </w:r>
      <w:r w:rsidR="00B87A3D">
        <w:rPr>
          <w:rFonts w:cstheme="minorHAnsi"/>
        </w:rPr>
        <w:t xml:space="preserve"> (this is an existing position)</w:t>
      </w:r>
    </w:p>
    <w:p w:rsidR="00CA7A38" w:rsidRPr="00917386" w:rsidRDefault="00CA7A38" w:rsidP="00E70031">
      <w:pPr>
        <w:pStyle w:val="ListParagraph"/>
        <w:numPr>
          <w:ilvl w:val="0"/>
          <w:numId w:val="6"/>
        </w:numPr>
        <w:spacing w:before="240" w:after="200" w:line="276" w:lineRule="auto"/>
        <w:contextualSpacing w:val="0"/>
        <w:jc w:val="both"/>
        <w:rPr>
          <w:rFonts w:cstheme="minorHAnsi"/>
        </w:rPr>
      </w:pPr>
      <w:r w:rsidRPr="00917386">
        <w:rPr>
          <w:rFonts w:cstheme="minorHAnsi"/>
        </w:rPr>
        <w:t xml:space="preserve">A short term Human Resource Management (HRM) Adviser to support improved human resource management in policing and justice sector agencies, including </w:t>
      </w:r>
      <w:r>
        <w:rPr>
          <w:rFonts w:cstheme="minorHAnsi"/>
        </w:rPr>
        <w:t xml:space="preserve">expert </w:t>
      </w:r>
      <w:r w:rsidRPr="00917386">
        <w:rPr>
          <w:rFonts w:cstheme="minorHAnsi"/>
        </w:rPr>
        <w:t xml:space="preserve">advice and support </w:t>
      </w:r>
      <w:r>
        <w:rPr>
          <w:rFonts w:cstheme="minorHAnsi"/>
        </w:rPr>
        <w:t xml:space="preserve">in implementing the applicable HR Plan, </w:t>
      </w:r>
      <w:r w:rsidRPr="00917386">
        <w:rPr>
          <w:rFonts w:cstheme="minorHAnsi"/>
        </w:rPr>
        <w:t xml:space="preserve">advice and support for enhancing women’s </w:t>
      </w:r>
      <w:r w:rsidRPr="00917386">
        <w:rPr>
          <w:rFonts w:cstheme="minorHAnsi"/>
        </w:rPr>
        <w:lastRenderedPageBreak/>
        <w:t>professional participation in the VPF</w:t>
      </w:r>
      <w:r>
        <w:rPr>
          <w:rFonts w:cstheme="minorHAnsi"/>
        </w:rPr>
        <w:t xml:space="preserve"> and justice agencies, and situational leadership in key HR initiatives such as performance management, succession planning, employee profile regeneration, and salary structure refinement and management</w:t>
      </w:r>
      <w:r w:rsidR="00B87A3D">
        <w:rPr>
          <w:rFonts w:cstheme="minorHAnsi"/>
        </w:rPr>
        <w:t xml:space="preserve"> (this is an existing position)</w:t>
      </w:r>
    </w:p>
    <w:p w:rsidR="00CA7A38" w:rsidRPr="00917386" w:rsidRDefault="00CA7A38" w:rsidP="00E70031">
      <w:pPr>
        <w:pStyle w:val="ListParagraph"/>
        <w:numPr>
          <w:ilvl w:val="0"/>
          <w:numId w:val="6"/>
        </w:numPr>
        <w:spacing w:before="240" w:after="200" w:line="276" w:lineRule="auto"/>
        <w:contextualSpacing w:val="0"/>
        <w:jc w:val="both"/>
        <w:rPr>
          <w:rFonts w:cstheme="minorHAnsi"/>
        </w:rPr>
      </w:pPr>
      <w:r w:rsidRPr="00917386">
        <w:rPr>
          <w:rFonts w:cstheme="minorHAnsi"/>
        </w:rPr>
        <w:t>Transition of the Capacity Development and Leadership Adviser (CD&amp;LA) role to a short term (rather tha</w:t>
      </w:r>
      <w:r w:rsidR="00B87A3D">
        <w:rPr>
          <w:rFonts w:cstheme="minorHAnsi"/>
        </w:rPr>
        <w:t>n</w:t>
      </w:r>
      <w:r w:rsidRPr="00917386">
        <w:rPr>
          <w:rFonts w:cstheme="minorHAnsi"/>
        </w:rPr>
        <w:t xml:space="preserve"> long term) position</w:t>
      </w:r>
      <w:r>
        <w:rPr>
          <w:rFonts w:cstheme="minorHAnsi"/>
        </w:rPr>
        <w:t xml:space="preserve"> with inputs relating to </w:t>
      </w:r>
      <w:r w:rsidRPr="00917386">
        <w:rPr>
          <w:rFonts w:cstheme="minorHAnsi"/>
        </w:rPr>
        <w:t xml:space="preserve">strategic planning, oversight and </w:t>
      </w:r>
      <w:r>
        <w:rPr>
          <w:rFonts w:cstheme="minorHAnsi"/>
        </w:rPr>
        <w:t>quality assurance</w:t>
      </w:r>
      <w:r w:rsidRPr="00917386">
        <w:rPr>
          <w:rFonts w:cstheme="minorHAnsi"/>
        </w:rPr>
        <w:t xml:space="preserve"> of capacity development activities.  This is intended to allow for greater </w:t>
      </w:r>
      <w:r>
        <w:rPr>
          <w:rFonts w:cstheme="minorHAnsi"/>
        </w:rPr>
        <w:t xml:space="preserve">involvement and </w:t>
      </w:r>
      <w:r w:rsidRPr="00917386">
        <w:rPr>
          <w:rFonts w:cstheme="minorHAnsi"/>
        </w:rPr>
        <w:t>ownership of the capacity development portfolio by the MJCS</w:t>
      </w:r>
      <w:r>
        <w:rPr>
          <w:rStyle w:val="FootnoteReference"/>
          <w:rFonts w:cstheme="minorHAnsi"/>
        </w:rPr>
        <w:footnoteReference w:id="82"/>
      </w:r>
    </w:p>
    <w:p w:rsidR="00CA7A38" w:rsidRPr="00113E34" w:rsidRDefault="00CA7A38" w:rsidP="00E70031">
      <w:pPr>
        <w:pStyle w:val="ListParagraph"/>
        <w:numPr>
          <w:ilvl w:val="0"/>
          <w:numId w:val="6"/>
        </w:numPr>
        <w:spacing w:before="240" w:after="200" w:line="276" w:lineRule="auto"/>
        <w:contextualSpacing w:val="0"/>
        <w:jc w:val="both"/>
        <w:rPr>
          <w:rFonts w:cstheme="minorHAnsi"/>
        </w:rPr>
      </w:pPr>
      <w:r>
        <w:rPr>
          <w:rFonts w:cstheme="minorHAnsi"/>
        </w:rPr>
        <w:t>A</w:t>
      </w:r>
      <w:r w:rsidR="00B87A3D">
        <w:rPr>
          <w:rFonts w:cstheme="minorHAnsi"/>
        </w:rPr>
        <w:t xml:space="preserve"> new</w:t>
      </w:r>
      <w:r>
        <w:rPr>
          <w:rFonts w:cstheme="minorHAnsi"/>
        </w:rPr>
        <w:t xml:space="preserve"> long</w:t>
      </w:r>
      <w:r w:rsidR="00B87A3D">
        <w:rPr>
          <w:rFonts w:cstheme="minorHAnsi"/>
        </w:rPr>
        <w:t>-</w:t>
      </w:r>
      <w:r>
        <w:rPr>
          <w:rFonts w:cstheme="minorHAnsi"/>
        </w:rPr>
        <w:t>term advisory position is envisaged to provide support to the VPF’s CSU.  This position could be an enhanced position working with senior members of staff, and it could be in-line position with high level management responsibility.  While the position is budgeted for and supported by the design, the program will liaise with the VPF early in the program to resolve the details of this advisory support</w:t>
      </w:r>
    </w:p>
    <w:p w:rsidR="00CA7A38" w:rsidRDefault="00CA7A38" w:rsidP="00E70031">
      <w:pPr>
        <w:pStyle w:val="ListParagraph"/>
        <w:numPr>
          <w:ilvl w:val="0"/>
          <w:numId w:val="6"/>
        </w:numPr>
        <w:spacing w:before="240" w:after="200" w:line="276" w:lineRule="auto"/>
        <w:contextualSpacing w:val="0"/>
        <w:jc w:val="both"/>
        <w:rPr>
          <w:rFonts w:cstheme="minorHAnsi"/>
        </w:rPr>
      </w:pPr>
      <w:r w:rsidRPr="00917386">
        <w:rPr>
          <w:rFonts w:cstheme="minorHAnsi"/>
        </w:rPr>
        <w:t xml:space="preserve">A </w:t>
      </w:r>
      <w:r w:rsidR="00B87A3D">
        <w:rPr>
          <w:rFonts w:cstheme="minorHAnsi"/>
        </w:rPr>
        <w:t xml:space="preserve">new </w:t>
      </w:r>
      <w:r w:rsidRPr="00917386">
        <w:rPr>
          <w:rFonts w:cstheme="minorHAnsi"/>
        </w:rPr>
        <w:t>short-term Legal and Policy Adviser to provide</w:t>
      </w:r>
      <w:r>
        <w:rPr>
          <w:rFonts w:cstheme="minorHAnsi"/>
        </w:rPr>
        <w:t xml:space="preserve"> legal skills development for all of the lawyers across the sector as well as</w:t>
      </w:r>
      <w:r w:rsidRPr="00917386">
        <w:rPr>
          <w:rFonts w:cstheme="minorHAnsi"/>
        </w:rPr>
        <w:t xml:space="preserve"> advice on a range of issues</w:t>
      </w:r>
      <w:r>
        <w:rPr>
          <w:rFonts w:cstheme="minorHAnsi"/>
        </w:rPr>
        <w:t xml:space="preserve"> such as </w:t>
      </w:r>
      <w:r w:rsidRPr="00917386">
        <w:rPr>
          <w:rFonts w:cstheme="minorHAnsi"/>
        </w:rPr>
        <w:t xml:space="preserve">legislative reform, </w:t>
      </w:r>
      <w:r>
        <w:rPr>
          <w:rFonts w:cstheme="minorHAnsi"/>
        </w:rPr>
        <w:t xml:space="preserve">victim support, </w:t>
      </w:r>
      <w:r w:rsidRPr="00917386">
        <w:rPr>
          <w:rFonts w:cstheme="minorHAnsi"/>
        </w:rPr>
        <w:t>juvenile justice, support for vulnerable and at-risk grou</w:t>
      </w:r>
      <w:r>
        <w:rPr>
          <w:rFonts w:cstheme="minorHAnsi"/>
        </w:rPr>
        <w:t>ps</w:t>
      </w:r>
      <w:r>
        <w:rPr>
          <w:rStyle w:val="FootnoteReference"/>
          <w:rFonts w:cstheme="minorHAnsi"/>
        </w:rPr>
        <w:footnoteReference w:id="83"/>
      </w:r>
    </w:p>
    <w:p w:rsidR="00CA7A38" w:rsidRPr="00917386" w:rsidRDefault="00CA7A38" w:rsidP="00E70031">
      <w:pPr>
        <w:pStyle w:val="ListParagraph"/>
        <w:spacing w:line="276" w:lineRule="auto"/>
        <w:ind w:left="0"/>
        <w:jc w:val="both"/>
        <w:rPr>
          <w:rFonts w:cstheme="minorHAnsi"/>
        </w:rPr>
      </w:pPr>
      <w:r w:rsidRPr="00917386">
        <w:rPr>
          <w:rFonts w:cstheme="minorHAnsi"/>
        </w:rPr>
        <w:t xml:space="preserve">International advisers will be remunerated according to the DFAT </w:t>
      </w:r>
      <w:r>
        <w:rPr>
          <w:rFonts w:cstheme="minorHAnsi"/>
        </w:rPr>
        <w:t>Adviser Remuneration Framework</w:t>
      </w:r>
      <w:r w:rsidRPr="00917386">
        <w:rPr>
          <w:rFonts w:cstheme="minorHAnsi"/>
        </w:rPr>
        <w:t>.</w:t>
      </w:r>
    </w:p>
    <w:p w:rsidR="00CA7A38" w:rsidRPr="00917386" w:rsidRDefault="00CA7A38" w:rsidP="00E70031">
      <w:pPr>
        <w:spacing w:line="276" w:lineRule="auto"/>
        <w:jc w:val="both"/>
        <w:rPr>
          <w:rFonts w:cstheme="minorHAnsi"/>
        </w:rPr>
      </w:pPr>
      <w:r w:rsidRPr="00917386">
        <w:rPr>
          <w:rFonts w:cstheme="minorHAnsi"/>
          <w:b/>
        </w:rPr>
        <w:t xml:space="preserve">Locally engaged personnel </w:t>
      </w:r>
      <w:r w:rsidRPr="00917386">
        <w:rPr>
          <w:rFonts w:cstheme="minorHAnsi"/>
        </w:rPr>
        <w:t xml:space="preserve">will </w:t>
      </w:r>
      <w:r>
        <w:rPr>
          <w:rFonts w:cstheme="minorHAnsi"/>
        </w:rPr>
        <w:t>also</w:t>
      </w:r>
      <w:r w:rsidRPr="00917386">
        <w:rPr>
          <w:rFonts w:cstheme="minorHAnsi"/>
        </w:rPr>
        <w:t xml:space="preserve"> be selected jointly by </w:t>
      </w:r>
      <w:r>
        <w:rPr>
          <w:rFonts w:cstheme="minorHAnsi"/>
        </w:rPr>
        <w:t>SRBJS</w:t>
      </w:r>
      <w:r w:rsidRPr="00917386">
        <w:rPr>
          <w:rFonts w:cstheme="minorHAnsi"/>
        </w:rPr>
        <w:t xml:space="preserve">, </w:t>
      </w:r>
      <w:proofErr w:type="spellStart"/>
      <w:r w:rsidRPr="00917386">
        <w:rPr>
          <w:rFonts w:cstheme="minorHAnsi"/>
        </w:rPr>
        <w:t>GoV</w:t>
      </w:r>
      <w:proofErr w:type="spellEnd"/>
      <w:r w:rsidRPr="00917386">
        <w:rPr>
          <w:rFonts w:cstheme="minorHAnsi"/>
        </w:rPr>
        <w:t xml:space="preserve"> and DFAT and contracted by the </w:t>
      </w:r>
      <w:r>
        <w:t>managing contractor</w:t>
      </w:r>
      <w:r w:rsidRPr="00917386">
        <w:rPr>
          <w:rFonts w:cstheme="minorHAnsi"/>
        </w:rPr>
        <w:t>.</w:t>
      </w:r>
      <w:r w:rsidR="00AA0B46">
        <w:rPr>
          <w:rFonts w:cstheme="minorHAnsi"/>
        </w:rPr>
        <w:t xml:space="preserve"> It is expected that these positions would be engaged after any contract is signed.</w:t>
      </w:r>
      <w:r w:rsidRPr="00917386">
        <w:rPr>
          <w:rFonts w:cstheme="minorHAnsi"/>
        </w:rPr>
        <w:t xml:space="preserve">  Remuneration for personnel not subject to the ARF will be </w:t>
      </w:r>
      <w:r>
        <w:rPr>
          <w:rFonts w:cstheme="minorHAnsi"/>
        </w:rPr>
        <w:t>agreed with GoV and DFAT.  K</w:t>
      </w:r>
      <w:r w:rsidRPr="00917386">
        <w:rPr>
          <w:rFonts w:cstheme="minorHAnsi"/>
        </w:rPr>
        <w:t>ey locally engaged personnel roles are set out in the table below</w:t>
      </w:r>
      <w:r>
        <w:rPr>
          <w:rFonts w:cstheme="minorHAnsi"/>
        </w:rPr>
        <w:t>.</w:t>
      </w:r>
      <w:r w:rsidRPr="00917386">
        <w:rPr>
          <w:rFonts w:cstheme="minorHAnsi"/>
        </w:rPr>
        <w:t xml:space="preserve"> </w:t>
      </w:r>
      <w:r>
        <w:rPr>
          <w:rFonts w:cstheme="minorHAnsi"/>
        </w:rPr>
        <w:t>T</w:t>
      </w:r>
      <w:r w:rsidRPr="00917386">
        <w:rPr>
          <w:rFonts w:cstheme="minorHAnsi"/>
        </w:rPr>
        <w:t>he main changes relate to:</w:t>
      </w:r>
    </w:p>
    <w:p w:rsidR="00CA7A38" w:rsidRPr="00917386" w:rsidRDefault="00CA7A38" w:rsidP="00E70031">
      <w:pPr>
        <w:pStyle w:val="ListParagraph"/>
        <w:numPr>
          <w:ilvl w:val="0"/>
          <w:numId w:val="7"/>
        </w:numPr>
        <w:spacing w:line="276" w:lineRule="auto"/>
        <w:jc w:val="both"/>
        <w:rPr>
          <w:rFonts w:cstheme="minorHAnsi"/>
        </w:rPr>
      </w:pPr>
      <w:r>
        <w:rPr>
          <w:rFonts w:cstheme="minorHAnsi"/>
        </w:rPr>
        <w:t>Creation of a f</w:t>
      </w:r>
      <w:r w:rsidRPr="00917386">
        <w:rPr>
          <w:rFonts w:cstheme="minorHAnsi"/>
        </w:rPr>
        <w:t xml:space="preserve">ull-time Systems Officer </w:t>
      </w:r>
      <w:r>
        <w:rPr>
          <w:rFonts w:cstheme="minorHAnsi"/>
        </w:rPr>
        <w:t xml:space="preserve">role </w:t>
      </w:r>
      <w:r w:rsidRPr="00917386">
        <w:rPr>
          <w:rFonts w:cstheme="minorHAnsi"/>
        </w:rPr>
        <w:t>to work with the part-time international Case and Data Management Adviser to support sector agencies to implement and use systems</w:t>
      </w:r>
    </w:p>
    <w:p w:rsidR="00CA7A38" w:rsidRPr="00917386" w:rsidRDefault="00CA7A38" w:rsidP="00E70031">
      <w:pPr>
        <w:pStyle w:val="ListParagraph"/>
        <w:numPr>
          <w:ilvl w:val="0"/>
          <w:numId w:val="7"/>
        </w:numPr>
        <w:spacing w:before="240" w:line="276" w:lineRule="auto"/>
        <w:ind w:left="771" w:hanging="357"/>
        <w:contextualSpacing w:val="0"/>
        <w:jc w:val="both"/>
        <w:rPr>
          <w:rFonts w:cstheme="minorHAnsi"/>
        </w:rPr>
      </w:pPr>
      <w:r>
        <w:rPr>
          <w:rFonts w:cstheme="minorHAnsi"/>
        </w:rPr>
        <w:t xml:space="preserve">Creation of a </w:t>
      </w:r>
      <w:r w:rsidRPr="00917386">
        <w:rPr>
          <w:rFonts w:cstheme="minorHAnsi"/>
        </w:rPr>
        <w:t xml:space="preserve">Project Officer (Access to Justice) </w:t>
      </w:r>
      <w:r>
        <w:rPr>
          <w:rFonts w:cstheme="minorHAnsi"/>
        </w:rPr>
        <w:t xml:space="preserve">role </w:t>
      </w:r>
      <w:r w:rsidRPr="00917386">
        <w:rPr>
          <w:rFonts w:cstheme="minorHAnsi"/>
        </w:rPr>
        <w:t>to lead on implementation of select program activities addressing access to justice, including for survivors of violence against women and children</w:t>
      </w:r>
      <w:r>
        <w:rPr>
          <w:rFonts w:cstheme="minorHAnsi"/>
        </w:rPr>
        <w:t xml:space="preserve">. </w:t>
      </w:r>
      <w:r w:rsidRPr="00917386">
        <w:rPr>
          <w:rFonts w:cstheme="minorHAnsi"/>
        </w:rPr>
        <w:t xml:space="preserve">The role </w:t>
      </w:r>
      <w:r>
        <w:rPr>
          <w:rFonts w:cstheme="minorHAnsi"/>
        </w:rPr>
        <w:t>has</w:t>
      </w:r>
      <w:r w:rsidRPr="00917386">
        <w:rPr>
          <w:rFonts w:cstheme="minorHAnsi"/>
        </w:rPr>
        <w:t xml:space="preserve"> responsibility for coordinating program support in this area</w:t>
      </w:r>
    </w:p>
    <w:p w:rsidR="00CA7A38" w:rsidRPr="00917386" w:rsidRDefault="00CA7A38" w:rsidP="00E70031">
      <w:pPr>
        <w:spacing w:before="240" w:line="276" w:lineRule="auto"/>
        <w:jc w:val="both"/>
        <w:rPr>
          <w:rFonts w:cstheme="minorHAnsi"/>
        </w:rPr>
      </w:pPr>
      <w:r w:rsidRPr="00917386">
        <w:rPr>
          <w:rFonts w:cstheme="minorHAnsi"/>
        </w:rPr>
        <w:t>The table below does not list program administration roles.  Proposals</w:t>
      </w:r>
      <w:r>
        <w:rPr>
          <w:rFonts w:cstheme="minorHAnsi"/>
        </w:rPr>
        <w:t xml:space="preserve"> (in the tender selection process)</w:t>
      </w:r>
      <w:r w:rsidRPr="00917386">
        <w:rPr>
          <w:rFonts w:cstheme="minorHAnsi"/>
        </w:rPr>
        <w:t xml:space="preserve"> should address (and cost) how program administration/operations functions will be executed.</w:t>
      </w:r>
    </w:p>
    <w:p w:rsidR="00E32A34" w:rsidRDefault="00CA7A38" w:rsidP="00E70031">
      <w:pPr>
        <w:spacing w:line="276" w:lineRule="auto"/>
        <w:jc w:val="both"/>
        <w:rPr>
          <w:rFonts w:cstheme="minorHAnsi"/>
        </w:rPr>
      </w:pPr>
      <w:r w:rsidRPr="00917386">
        <w:rPr>
          <w:rFonts w:cstheme="minorHAnsi"/>
        </w:rPr>
        <w:t>Position descriptions (terms of reference) for all positions are provided in Annex</w:t>
      </w:r>
      <w:r>
        <w:rPr>
          <w:rFonts w:cstheme="minorHAnsi"/>
        </w:rPr>
        <w:t xml:space="preserve"> </w:t>
      </w:r>
      <w:r w:rsidR="00AA0FAA">
        <w:rPr>
          <w:rFonts w:cstheme="minorHAnsi"/>
        </w:rPr>
        <w:t>4</w:t>
      </w:r>
      <w:r w:rsidRPr="00917386">
        <w:rPr>
          <w:rFonts w:cstheme="minorHAnsi"/>
        </w:rPr>
        <w:t>.</w:t>
      </w:r>
    </w:p>
    <w:p w:rsidR="00E32A34" w:rsidRPr="00917386" w:rsidRDefault="00E32A34" w:rsidP="00E70031">
      <w:pPr>
        <w:spacing w:line="276" w:lineRule="auto"/>
        <w:jc w:val="both"/>
        <w:rPr>
          <w:rFonts w:cstheme="minorHAnsi"/>
        </w:rPr>
      </w:pPr>
    </w:p>
    <w:tbl>
      <w:tblPr>
        <w:tblStyle w:val="TableGrid"/>
        <w:tblW w:w="0" w:type="auto"/>
        <w:tblLook w:val="04A0" w:firstRow="1" w:lastRow="0" w:firstColumn="1" w:lastColumn="0" w:noHBand="0" w:noVBand="1"/>
      </w:tblPr>
      <w:tblGrid>
        <w:gridCol w:w="2955"/>
        <w:gridCol w:w="2325"/>
        <w:gridCol w:w="2167"/>
        <w:gridCol w:w="1795"/>
      </w:tblGrid>
      <w:tr w:rsidR="00B87A3D" w:rsidRPr="00917386" w:rsidTr="00E32A34">
        <w:trPr>
          <w:tblHeader/>
        </w:trPr>
        <w:tc>
          <w:tcPr>
            <w:tcW w:w="2955" w:type="dxa"/>
            <w:shd w:val="clear" w:color="auto" w:fill="A6A6A6" w:themeFill="background1" w:themeFillShade="A6"/>
          </w:tcPr>
          <w:p w:rsidR="00B87A3D" w:rsidRPr="00917386" w:rsidRDefault="00B87A3D" w:rsidP="00E70031">
            <w:pPr>
              <w:pStyle w:val="ListParagraph"/>
              <w:ind w:left="0"/>
              <w:jc w:val="both"/>
              <w:rPr>
                <w:rFonts w:cstheme="minorHAnsi"/>
                <w:b/>
                <w:lang w:val="en-AU"/>
              </w:rPr>
            </w:pPr>
            <w:r w:rsidRPr="00917386">
              <w:rPr>
                <w:rFonts w:cstheme="minorHAnsi"/>
                <w:b/>
                <w:lang w:val="en-AU"/>
              </w:rPr>
              <w:lastRenderedPageBreak/>
              <w:t>Personnel</w:t>
            </w:r>
          </w:p>
        </w:tc>
        <w:tc>
          <w:tcPr>
            <w:tcW w:w="2325" w:type="dxa"/>
            <w:shd w:val="clear" w:color="auto" w:fill="A6A6A6" w:themeFill="background1" w:themeFillShade="A6"/>
          </w:tcPr>
          <w:p w:rsidR="00B87A3D" w:rsidRPr="00917386" w:rsidRDefault="00B87A3D" w:rsidP="00E70031">
            <w:pPr>
              <w:pStyle w:val="ListParagraph"/>
              <w:ind w:left="0"/>
              <w:jc w:val="both"/>
              <w:rPr>
                <w:rFonts w:cstheme="minorHAnsi"/>
                <w:b/>
              </w:rPr>
            </w:pPr>
            <w:r>
              <w:rPr>
                <w:rFonts w:cstheme="minorHAnsi"/>
                <w:b/>
              </w:rPr>
              <w:t>Indicative ARF</w:t>
            </w:r>
            <w:r w:rsidRPr="00917386">
              <w:rPr>
                <w:rFonts w:cstheme="minorHAnsi"/>
                <w:b/>
              </w:rPr>
              <w:t xml:space="preserve"> </w:t>
            </w:r>
            <w:r>
              <w:rPr>
                <w:rFonts w:cstheme="minorHAnsi"/>
                <w:b/>
              </w:rPr>
              <w:t xml:space="preserve">or other </w:t>
            </w:r>
            <w:r w:rsidRPr="00917386">
              <w:rPr>
                <w:rFonts w:cstheme="minorHAnsi"/>
                <w:b/>
              </w:rPr>
              <w:t>Level</w:t>
            </w:r>
          </w:p>
        </w:tc>
        <w:tc>
          <w:tcPr>
            <w:tcW w:w="2167" w:type="dxa"/>
            <w:shd w:val="clear" w:color="auto" w:fill="A6A6A6" w:themeFill="background1" w:themeFillShade="A6"/>
          </w:tcPr>
          <w:p w:rsidR="00B87A3D" w:rsidRDefault="00B87A3D" w:rsidP="000B0E1F">
            <w:pPr>
              <w:pStyle w:val="ListParagraph"/>
              <w:ind w:left="0"/>
              <w:jc w:val="both"/>
              <w:rPr>
                <w:rFonts w:cstheme="minorHAnsi"/>
                <w:b/>
              </w:rPr>
            </w:pPr>
            <w:r>
              <w:rPr>
                <w:rFonts w:cstheme="minorHAnsi"/>
                <w:b/>
              </w:rPr>
              <w:t>Managing Contractor required to engage (Y/N)</w:t>
            </w:r>
          </w:p>
        </w:tc>
        <w:tc>
          <w:tcPr>
            <w:tcW w:w="1795" w:type="dxa"/>
            <w:shd w:val="clear" w:color="auto" w:fill="A6A6A6" w:themeFill="background1" w:themeFillShade="A6"/>
          </w:tcPr>
          <w:p w:rsidR="00B87A3D" w:rsidRDefault="00B87A3D" w:rsidP="00E32A34">
            <w:pPr>
              <w:pStyle w:val="ListParagraph"/>
              <w:ind w:left="0"/>
              <w:jc w:val="both"/>
              <w:rPr>
                <w:rFonts w:cstheme="minorHAnsi"/>
                <w:b/>
              </w:rPr>
            </w:pPr>
            <w:r>
              <w:rPr>
                <w:rFonts w:cstheme="minorHAnsi"/>
                <w:b/>
              </w:rPr>
              <w:t xml:space="preserve">Selected in consultation with DFAT, AFP and </w:t>
            </w:r>
            <w:proofErr w:type="spellStart"/>
            <w:r>
              <w:rPr>
                <w:rFonts w:cstheme="minorHAnsi"/>
                <w:b/>
              </w:rPr>
              <w:t>GoV</w:t>
            </w:r>
            <w:proofErr w:type="spellEnd"/>
            <w:r>
              <w:rPr>
                <w:rFonts w:cstheme="minorHAnsi"/>
                <w:b/>
              </w:rPr>
              <w:t xml:space="preserve"> (Y/N)</w:t>
            </w:r>
          </w:p>
        </w:tc>
      </w:tr>
      <w:tr w:rsidR="00B87A3D" w:rsidRPr="00917386" w:rsidTr="00E32A34">
        <w:tc>
          <w:tcPr>
            <w:tcW w:w="2955" w:type="dxa"/>
            <w:shd w:val="clear" w:color="auto" w:fill="F2F2F2" w:themeFill="background1" w:themeFillShade="F2"/>
          </w:tcPr>
          <w:p w:rsidR="00B87A3D" w:rsidRPr="008A0C92" w:rsidRDefault="00B87A3D" w:rsidP="00E70031">
            <w:pPr>
              <w:pStyle w:val="ListParagraph"/>
              <w:ind w:left="0"/>
              <w:jc w:val="both"/>
              <w:rPr>
                <w:rFonts w:cstheme="minorHAnsi"/>
                <w:b/>
              </w:rPr>
            </w:pPr>
            <w:r>
              <w:rPr>
                <w:rFonts w:cstheme="minorHAnsi"/>
                <w:b/>
              </w:rPr>
              <w:t>International Long Term</w:t>
            </w:r>
          </w:p>
        </w:tc>
        <w:tc>
          <w:tcPr>
            <w:tcW w:w="2325" w:type="dxa"/>
            <w:shd w:val="clear" w:color="auto" w:fill="F2F2F2" w:themeFill="background1" w:themeFillShade="F2"/>
          </w:tcPr>
          <w:p w:rsidR="00B87A3D" w:rsidRDefault="00B87A3D" w:rsidP="00E70031">
            <w:pPr>
              <w:pStyle w:val="ListParagraph"/>
              <w:ind w:left="0"/>
              <w:jc w:val="both"/>
              <w:rPr>
                <w:rFonts w:cstheme="minorHAnsi"/>
                <w:b/>
              </w:rPr>
            </w:pPr>
          </w:p>
        </w:tc>
        <w:tc>
          <w:tcPr>
            <w:tcW w:w="2167" w:type="dxa"/>
            <w:shd w:val="clear" w:color="auto" w:fill="F2F2F2" w:themeFill="background1" w:themeFillShade="F2"/>
          </w:tcPr>
          <w:p w:rsidR="00B87A3D" w:rsidRDefault="00B87A3D" w:rsidP="00E70031">
            <w:pPr>
              <w:pStyle w:val="ListParagraph"/>
              <w:ind w:left="0"/>
              <w:jc w:val="both"/>
              <w:rPr>
                <w:rFonts w:cstheme="minorHAnsi"/>
                <w:b/>
              </w:rPr>
            </w:pPr>
          </w:p>
        </w:tc>
        <w:tc>
          <w:tcPr>
            <w:tcW w:w="1795" w:type="dxa"/>
            <w:shd w:val="clear" w:color="auto" w:fill="F2F2F2" w:themeFill="background1" w:themeFillShade="F2"/>
          </w:tcPr>
          <w:p w:rsidR="00B87A3D" w:rsidRDefault="00B87A3D" w:rsidP="00E70031">
            <w:pPr>
              <w:pStyle w:val="ListParagraph"/>
              <w:ind w:left="0"/>
              <w:jc w:val="both"/>
              <w:rPr>
                <w:rFonts w:cstheme="minorHAnsi"/>
                <w:b/>
              </w:rPr>
            </w:pPr>
          </w:p>
        </w:tc>
      </w:tr>
      <w:tr w:rsidR="00B87A3D" w:rsidRPr="00917386" w:rsidTr="00E32A34">
        <w:tc>
          <w:tcPr>
            <w:tcW w:w="2955" w:type="dxa"/>
          </w:tcPr>
          <w:p w:rsidR="00B87A3D" w:rsidRPr="00917386" w:rsidRDefault="00B87A3D" w:rsidP="00E70031">
            <w:pPr>
              <w:pStyle w:val="ListParagraph"/>
              <w:ind w:left="0"/>
              <w:rPr>
                <w:rFonts w:cstheme="minorHAnsi"/>
                <w:lang w:val="en-AU"/>
              </w:rPr>
            </w:pPr>
            <w:r>
              <w:rPr>
                <w:rFonts w:cstheme="minorHAnsi"/>
                <w:lang w:val="en-AU"/>
              </w:rPr>
              <w:t>Program Coordinator - Justice*</w:t>
            </w:r>
          </w:p>
        </w:tc>
        <w:tc>
          <w:tcPr>
            <w:tcW w:w="2325" w:type="dxa"/>
          </w:tcPr>
          <w:p w:rsidR="00B87A3D" w:rsidRDefault="00E32A34" w:rsidP="00E70031">
            <w:pPr>
              <w:pStyle w:val="ListParagraph"/>
              <w:ind w:left="0"/>
              <w:rPr>
                <w:rFonts w:cstheme="minorHAnsi"/>
              </w:rPr>
            </w:pPr>
            <w:r>
              <w:rPr>
                <w:rFonts w:cstheme="minorHAnsi"/>
              </w:rPr>
              <w:t>D3 (</w:t>
            </w:r>
            <w:r w:rsidR="00B87A3D">
              <w:rPr>
                <w:rFonts w:cstheme="minorHAnsi"/>
              </w:rPr>
              <w:t>novated position)</w:t>
            </w:r>
          </w:p>
        </w:tc>
        <w:tc>
          <w:tcPr>
            <w:tcW w:w="2167" w:type="dxa"/>
          </w:tcPr>
          <w:p w:rsidR="00B87A3D" w:rsidRDefault="00B87A3D" w:rsidP="00E70031">
            <w:pPr>
              <w:pStyle w:val="ListParagraph"/>
              <w:ind w:left="0"/>
              <w:rPr>
                <w:rFonts w:cstheme="minorHAnsi"/>
              </w:rPr>
            </w:pPr>
            <w:r>
              <w:rPr>
                <w:rFonts w:cstheme="minorHAnsi"/>
              </w:rPr>
              <w:t>N</w:t>
            </w:r>
          </w:p>
        </w:tc>
        <w:tc>
          <w:tcPr>
            <w:tcW w:w="1795" w:type="dxa"/>
          </w:tcPr>
          <w:p w:rsidR="00B87A3D" w:rsidRDefault="00B87A3D" w:rsidP="00E70031">
            <w:pPr>
              <w:pStyle w:val="ListParagraph"/>
              <w:ind w:left="0"/>
              <w:rPr>
                <w:rFonts w:cstheme="minorHAnsi"/>
              </w:rPr>
            </w:pPr>
            <w:r>
              <w:rPr>
                <w:rFonts w:cstheme="minorHAnsi"/>
              </w:rPr>
              <w:t>N</w:t>
            </w:r>
          </w:p>
        </w:tc>
      </w:tr>
      <w:tr w:rsidR="00B87A3D" w:rsidRPr="00917386" w:rsidTr="00E32A34">
        <w:tc>
          <w:tcPr>
            <w:tcW w:w="2955" w:type="dxa"/>
          </w:tcPr>
          <w:p w:rsidR="00B87A3D" w:rsidRPr="00917386" w:rsidRDefault="00B87A3D" w:rsidP="00E70031">
            <w:pPr>
              <w:pStyle w:val="ListParagraph"/>
              <w:ind w:left="0"/>
              <w:rPr>
                <w:rFonts w:cstheme="minorHAnsi"/>
                <w:lang w:val="en-AU"/>
              </w:rPr>
            </w:pPr>
            <w:r>
              <w:rPr>
                <w:rFonts w:cstheme="minorHAnsi"/>
                <w:lang w:val="en-AU"/>
              </w:rPr>
              <w:t>Program Coordinator – Policing</w:t>
            </w:r>
          </w:p>
        </w:tc>
        <w:tc>
          <w:tcPr>
            <w:tcW w:w="2325" w:type="dxa"/>
          </w:tcPr>
          <w:p w:rsidR="00B87A3D" w:rsidRDefault="00B87A3D" w:rsidP="00E01C80">
            <w:pPr>
              <w:pStyle w:val="ListParagraph"/>
              <w:ind w:left="0"/>
              <w:rPr>
                <w:rFonts w:cstheme="minorHAnsi"/>
              </w:rPr>
            </w:pPr>
            <w:r w:rsidRPr="00917386">
              <w:rPr>
                <w:rFonts w:cstheme="minorHAnsi"/>
              </w:rPr>
              <w:t>AFP designated position</w:t>
            </w:r>
          </w:p>
          <w:p w:rsidR="00B87A3D" w:rsidRDefault="00B87A3D" w:rsidP="00E01C80">
            <w:pPr>
              <w:pStyle w:val="ListParagraph"/>
              <w:ind w:left="0"/>
              <w:rPr>
                <w:rFonts w:cstheme="minorHAnsi"/>
              </w:rPr>
            </w:pPr>
            <w:r>
              <w:rPr>
                <w:rFonts w:cs="Arial"/>
              </w:rPr>
              <w:t>Superintendent (Band 9)</w:t>
            </w:r>
          </w:p>
        </w:tc>
        <w:tc>
          <w:tcPr>
            <w:tcW w:w="2167" w:type="dxa"/>
          </w:tcPr>
          <w:p w:rsidR="00B87A3D" w:rsidRPr="00917386" w:rsidRDefault="00B87A3D" w:rsidP="00E01C80">
            <w:pPr>
              <w:pStyle w:val="ListParagraph"/>
              <w:ind w:left="0"/>
              <w:rPr>
                <w:rFonts w:cstheme="minorHAnsi"/>
              </w:rPr>
            </w:pPr>
            <w:r>
              <w:rPr>
                <w:rFonts w:cstheme="minorHAnsi"/>
              </w:rPr>
              <w:t>N</w:t>
            </w:r>
          </w:p>
        </w:tc>
        <w:tc>
          <w:tcPr>
            <w:tcW w:w="1795" w:type="dxa"/>
          </w:tcPr>
          <w:p w:rsidR="00B87A3D" w:rsidRDefault="00B87A3D" w:rsidP="00E01C80">
            <w:pPr>
              <w:pStyle w:val="ListParagraph"/>
              <w:ind w:left="0"/>
              <w:rPr>
                <w:rFonts w:cstheme="minorHAnsi"/>
              </w:rPr>
            </w:pPr>
            <w:r>
              <w:rPr>
                <w:rFonts w:cstheme="minorHAnsi"/>
              </w:rPr>
              <w:t>N</w:t>
            </w:r>
          </w:p>
        </w:tc>
      </w:tr>
      <w:tr w:rsidR="00B87A3D" w:rsidRPr="00917386" w:rsidTr="00E32A34">
        <w:tc>
          <w:tcPr>
            <w:tcW w:w="2955" w:type="dxa"/>
          </w:tcPr>
          <w:p w:rsidR="00B87A3D" w:rsidRPr="00917386" w:rsidRDefault="00B87A3D" w:rsidP="00E70031">
            <w:pPr>
              <w:pStyle w:val="ListParagraph"/>
              <w:ind w:left="0"/>
              <w:rPr>
                <w:rFonts w:cstheme="minorHAnsi"/>
                <w:lang w:val="en-AU"/>
              </w:rPr>
            </w:pPr>
            <w:r>
              <w:rPr>
                <w:rFonts w:cstheme="minorHAnsi"/>
                <w:lang w:val="en-AU"/>
              </w:rPr>
              <w:t>Senior Manager</w:t>
            </w:r>
          </w:p>
        </w:tc>
        <w:tc>
          <w:tcPr>
            <w:tcW w:w="2325" w:type="dxa"/>
          </w:tcPr>
          <w:p w:rsidR="00B87A3D" w:rsidRDefault="00B87A3D" w:rsidP="00E01C80">
            <w:pPr>
              <w:pStyle w:val="ListParagraph"/>
              <w:ind w:left="0"/>
              <w:rPr>
                <w:rFonts w:cstheme="minorHAnsi"/>
              </w:rPr>
            </w:pPr>
            <w:r w:rsidRPr="00917386">
              <w:rPr>
                <w:rFonts w:cstheme="minorHAnsi"/>
              </w:rPr>
              <w:t>C3</w:t>
            </w:r>
          </w:p>
        </w:tc>
        <w:tc>
          <w:tcPr>
            <w:tcW w:w="2167" w:type="dxa"/>
          </w:tcPr>
          <w:p w:rsidR="00B87A3D" w:rsidRPr="00917386" w:rsidRDefault="00B87A3D" w:rsidP="00E01C80">
            <w:pPr>
              <w:pStyle w:val="ListParagraph"/>
              <w:ind w:left="0"/>
              <w:rPr>
                <w:rFonts w:cstheme="minorHAnsi"/>
              </w:rPr>
            </w:pPr>
            <w:r>
              <w:rPr>
                <w:rFonts w:cstheme="minorHAnsi"/>
              </w:rPr>
              <w:t>Y</w:t>
            </w:r>
          </w:p>
        </w:tc>
        <w:tc>
          <w:tcPr>
            <w:tcW w:w="1795" w:type="dxa"/>
          </w:tcPr>
          <w:p w:rsidR="00B87A3D" w:rsidRDefault="00B87A3D" w:rsidP="00E01C80">
            <w:pPr>
              <w:pStyle w:val="ListParagraph"/>
              <w:ind w:left="0"/>
              <w:rPr>
                <w:rFonts w:cstheme="minorHAnsi"/>
              </w:rPr>
            </w:pPr>
            <w:r>
              <w:rPr>
                <w:rFonts w:cstheme="minorHAnsi"/>
              </w:rPr>
              <w:t>N</w:t>
            </w:r>
          </w:p>
        </w:tc>
      </w:tr>
      <w:tr w:rsidR="00B87A3D" w:rsidRPr="00917386" w:rsidTr="00E32A34">
        <w:tc>
          <w:tcPr>
            <w:tcW w:w="2955" w:type="dxa"/>
          </w:tcPr>
          <w:p w:rsidR="00B87A3D" w:rsidRPr="00917386" w:rsidRDefault="00B87A3D" w:rsidP="00E70031">
            <w:pPr>
              <w:pStyle w:val="ListParagraph"/>
              <w:ind w:left="0"/>
              <w:rPr>
                <w:rFonts w:cstheme="minorHAnsi"/>
                <w:lang w:val="en-AU"/>
              </w:rPr>
            </w:pPr>
            <w:r w:rsidRPr="00917386">
              <w:rPr>
                <w:rFonts w:cstheme="minorHAnsi"/>
                <w:lang w:val="en-AU"/>
              </w:rPr>
              <w:t>Adviser to the Public Solicitor’s Office*</w:t>
            </w:r>
            <w:r>
              <w:rPr>
                <w:rFonts w:cstheme="minorHAnsi"/>
                <w:lang w:val="en-AU"/>
              </w:rPr>
              <w:t>*</w:t>
            </w:r>
          </w:p>
        </w:tc>
        <w:tc>
          <w:tcPr>
            <w:tcW w:w="2325" w:type="dxa"/>
          </w:tcPr>
          <w:p w:rsidR="00B87A3D" w:rsidRPr="00917386" w:rsidRDefault="00B87A3D" w:rsidP="00E01C80">
            <w:pPr>
              <w:pStyle w:val="ListParagraph"/>
              <w:ind w:left="0"/>
              <w:rPr>
                <w:rFonts w:cstheme="minorHAnsi"/>
              </w:rPr>
            </w:pPr>
            <w:r w:rsidRPr="00917386">
              <w:rPr>
                <w:rFonts w:cstheme="minorHAnsi"/>
              </w:rPr>
              <w:t>D2</w:t>
            </w:r>
          </w:p>
        </w:tc>
        <w:tc>
          <w:tcPr>
            <w:tcW w:w="2167" w:type="dxa"/>
          </w:tcPr>
          <w:p w:rsidR="00B87A3D" w:rsidRPr="00917386" w:rsidRDefault="00B87A3D" w:rsidP="00E01C80">
            <w:pPr>
              <w:pStyle w:val="ListParagraph"/>
              <w:ind w:left="0"/>
              <w:rPr>
                <w:rFonts w:cstheme="minorHAnsi"/>
              </w:rPr>
            </w:pPr>
            <w:r w:rsidRPr="00CD5BE4">
              <w:rPr>
                <w:rFonts w:cstheme="minorHAnsi"/>
              </w:rPr>
              <w:t>Y</w:t>
            </w:r>
          </w:p>
        </w:tc>
        <w:tc>
          <w:tcPr>
            <w:tcW w:w="1795" w:type="dxa"/>
          </w:tcPr>
          <w:p w:rsidR="00B87A3D" w:rsidRPr="00CD5BE4" w:rsidRDefault="00B87A3D" w:rsidP="00E01C80">
            <w:pPr>
              <w:pStyle w:val="ListParagraph"/>
              <w:ind w:left="0"/>
              <w:rPr>
                <w:rFonts w:cstheme="minorHAnsi"/>
              </w:rPr>
            </w:pPr>
            <w:r>
              <w:rPr>
                <w:rFonts w:cstheme="minorHAnsi"/>
              </w:rPr>
              <w:t>Y</w:t>
            </w:r>
          </w:p>
        </w:tc>
      </w:tr>
      <w:tr w:rsidR="00B87A3D" w:rsidRPr="00917386" w:rsidTr="00E32A34">
        <w:tc>
          <w:tcPr>
            <w:tcW w:w="2955" w:type="dxa"/>
          </w:tcPr>
          <w:p w:rsidR="00B87A3D" w:rsidRPr="00917386" w:rsidRDefault="00B87A3D" w:rsidP="00E70031">
            <w:pPr>
              <w:pStyle w:val="ListParagraph"/>
              <w:ind w:left="0"/>
              <w:rPr>
                <w:rFonts w:cstheme="minorHAnsi"/>
                <w:lang w:val="en-AU"/>
              </w:rPr>
            </w:pPr>
            <w:r w:rsidRPr="00917386">
              <w:rPr>
                <w:rFonts w:cstheme="minorHAnsi"/>
                <w:lang w:val="en-AU"/>
              </w:rPr>
              <w:t xml:space="preserve">Adviser to the </w:t>
            </w:r>
            <w:r>
              <w:rPr>
                <w:rFonts w:cstheme="minorHAnsi"/>
                <w:lang w:val="en-AU"/>
              </w:rPr>
              <w:t xml:space="preserve">Office of the </w:t>
            </w:r>
            <w:r w:rsidRPr="00917386">
              <w:rPr>
                <w:rFonts w:cstheme="minorHAnsi"/>
                <w:lang w:val="en-AU"/>
              </w:rPr>
              <w:t>Public Prosecutor*</w:t>
            </w:r>
            <w:r>
              <w:rPr>
                <w:rFonts w:cstheme="minorHAnsi"/>
                <w:lang w:val="en-AU"/>
              </w:rPr>
              <w:t>*</w:t>
            </w:r>
          </w:p>
        </w:tc>
        <w:tc>
          <w:tcPr>
            <w:tcW w:w="2325" w:type="dxa"/>
          </w:tcPr>
          <w:p w:rsidR="00B87A3D" w:rsidRPr="00917386" w:rsidRDefault="00B87A3D" w:rsidP="00E01C80">
            <w:pPr>
              <w:pStyle w:val="ListParagraph"/>
              <w:ind w:left="0"/>
              <w:rPr>
                <w:rFonts w:cstheme="minorHAnsi"/>
              </w:rPr>
            </w:pPr>
            <w:r w:rsidRPr="00917386">
              <w:rPr>
                <w:rFonts w:cstheme="minorHAnsi"/>
              </w:rPr>
              <w:t>D2</w:t>
            </w:r>
          </w:p>
        </w:tc>
        <w:tc>
          <w:tcPr>
            <w:tcW w:w="2167" w:type="dxa"/>
          </w:tcPr>
          <w:p w:rsidR="00B87A3D" w:rsidRPr="00917386" w:rsidRDefault="00B87A3D" w:rsidP="00E01C80">
            <w:pPr>
              <w:pStyle w:val="ListParagraph"/>
              <w:ind w:left="0"/>
              <w:rPr>
                <w:rFonts w:cstheme="minorHAnsi"/>
              </w:rPr>
            </w:pPr>
            <w:r w:rsidRPr="00CD5BE4">
              <w:rPr>
                <w:rFonts w:cstheme="minorHAnsi"/>
              </w:rPr>
              <w:t>Y</w:t>
            </w:r>
          </w:p>
        </w:tc>
        <w:tc>
          <w:tcPr>
            <w:tcW w:w="1795" w:type="dxa"/>
          </w:tcPr>
          <w:p w:rsidR="00B87A3D" w:rsidRPr="00CD5BE4" w:rsidRDefault="00B87A3D" w:rsidP="00E01C80">
            <w:pPr>
              <w:pStyle w:val="ListParagraph"/>
              <w:ind w:left="0"/>
              <w:rPr>
                <w:rFonts w:cstheme="minorHAnsi"/>
              </w:rPr>
            </w:pPr>
            <w:r>
              <w:rPr>
                <w:rFonts w:cstheme="minorHAnsi"/>
              </w:rPr>
              <w:t>Y</w:t>
            </w:r>
          </w:p>
        </w:tc>
      </w:tr>
      <w:tr w:rsidR="00B87A3D" w:rsidRPr="00917386" w:rsidTr="00E32A34">
        <w:tc>
          <w:tcPr>
            <w:tcW w:w="2955" w:type="dxa"/>
          </w:tcPr>
          <w:p w:rsidR="00B87A3D" w:rsidRPr="00917386" w:rsidRDefault="00B87A3D" w:rsidP="00E70031">
            <w:pPr>
              <w:pStyle w:val="ListParagraph"/>
              <w:ind w:left="0"/>
              <w:rPr>
                <w:rFonts w:cstheme="minorHAnsi"/>
              </w:rPr>
            </w:pPr>
            <w:r w:rsidRPr="00917386">
              <w:rPr>
                <w:rFonts w:cstheme="minorHAnsi"/>
              </w:rPr>
              <w:t>Police Professional Standards and Learning Adviser</w:t>
            </w:r>
          </w:p>
        </w:tc>
        <w:tc>
          <w:tcPr>
            <w:tcW w:w="2325" w:type="dxa"/>
          </w:tcPr>
          <w:p w:rsidR="00B87A3D" w:rsidRDefault="00B87A3D" w:rsidP="00E01C80">
            <w:pPr>
              <w:pStyle w:val="ListParagraph"/>
              <w:ind w:left="0"/>
              <w:rPr>
                <w:rFonts w:cstheme="minorHAnsi"/>
              </w:rPr>
            </w:pPr>
            <w:r w:rsidRPr="00917386">
              <w:rPr>
                <w:rFonts w:cstheme="minorHAnsi"/>
              </w:rPr>
              <w:t>AFP designated position</w:t>
            </w:r>
          </w:p>
          <w:p w:rsidR="00B87A3D" w:rsidRPr="00917386" w:rsidRDefault="00B87A3D" w:rsidP="00E01C80">
            <w:pPr>
              <w:pStyle w:val="ListParagraph"/>
              <w:ind w:left="0"/>
              <w:rPr>
                <w:rFonts w:cstheme="minorHAnsi"/>
              </w:rPr>
            </w:pPr>
            <w:r>
              <w:rPr>
                <w:rFonts w:cs="Arial"/>
              </w:rPr>
              <w:t>Sergeant (Band 6 – 7)</w:t>
            </w:r>
          </w:p>
        </w:tc>
        <w:tc>
          <w:tcPr>
            <w:tcW w:w="2167" w:type="dxa"/>
          </w:tcPr>
          <w:p w:rsidR="00B87A3D" w:rsidRPr="00917386" w:rsidRDefault="00B87A3D" w:rsidP="00E01C80">
            <w:pPr>
              <w:pStyle w:val="ListParagraph"/>
              <w:ind w:left="0"/>
              <w:rPr>
                <w:rFonts w:cstheme="minorHAnsi"/>
              </w:rPr>
            </w:pPr>
            <w:r>
              <w:rPr>
                <w:rFonts w:cstheme="minorHAnsi"/>
              </w:rPr>
              <w:t>N</w:t>
            </w:r>
          </w:p>
        </w:tc>
        <w:tc>
          <w:tcPr>
            <w:tcW w:w="1795" w:type="dxa"/>
          </w:tcPr>
          <w:p w:rsidR="00B87A3D" w:rsidRDefault="00B87A3D" w:rsidP="00E01C80">
            <w:pPr>
              <w:pStyle w:val="ListParagraph"/>
              <w:ind w:left="0"/>
              <w:rPr>
                <w:rFonts w:cstheme="minorHAnsi"/>
              </w:rPr>
            </w:pPr>
            <w:r>
              <w:rPr>
                <w:rFonts w:cstheme="minorHAnsi"/>
              </w:rPr>
              <w:t>N</w:t>
            </w:r>
          </w:p>
        </w:tc>
      </w:tr>
      <w:tr w:rsidR="00B87A3D" w:rsidRPr="00917386" w:rsidTr="00E32A34">
        <w:tc>
          <w:tcPr>
            <w:tcW w:w="2955" w:type="dxa"/>
          </w:tcPr>
          <w:p w:rsidR="00B87A3D" w:rsidRPr="00917386" w:rsidRDefault="00B87A3D" w:rsidP="00E70031">
            <w:pPr>
              <w:pStyle w:val="ListParagraph"/>
              <w:ind w:left="0"/>
              <w:rPr>
                <w:rFonts w:cstheme="minorHAnsi"/>
                <w:lang w:val="en-AU"/>
              </w:rPr>
            </w:pPr>
            <w:r w:rsidRPr="00917386">
              <w:rPr>
                <w:rFonts w:cstheme="minorHAnsi"/>
                <w:lang w:val="en-AU"/>
              </w:rPr>
              <w:t>Police Prosecutions and Investigations Adviser</w:t>
            </w:r>
          </w:p>
        </w:tc>
        <w:tc>
          <w:tcPr>
            <w:tcW w:w="2325" w:type="dxa"/>
          </w:tcPr>
          <w:p w:rsidR="00B87A3D" w:rsidRDefault="00B87A3D" w:rsidP="00E01C80">
            <w:pPr>
              <w:pStyle w:val="ListParagraph"/>
              <w:ind w:left="0"/>
              <w:rPr>
                <w:rFonts w:cstheme="minorHAnsi"/>
              </w:rPr>
            </w:pPr>
            <w:r w:rsidRPr="00917386">
              <w:rPr>
                <w:rFonts w:cstheme="minorHAnsi"/>
              </w:rPr>
              <w:t>AFP designated position</w:t>
            </w:r>
          </w:p>
          <w:p w:rsidR="00B87A3D" w:rsidRPr="00917386" w:rsidRDefault="00B87A3D" w:rsidP="00E01C80">
            <w:pPr>
              <w:pStyle w:val="ListParagraph"/>
              <w:ind w:left="0"/>
              <w:rPr>
                <w:rFonts w:cstheme="minorHAnsi"/>
              </w:rPr>
            </w:pPr>
            <w:r>
              <w:rPr>
                <w:rFonts w:cs="Arial"/>
              </w:rPr>
              <w:t>Sergeant (Band 6 – 7)</w:t>
            </w:r>
          </w:p>
        </w:tc>
        <w:tc>
          <w:tcPr>
            <w:tcW w:w="2167" w:type="dxa"/>
          </w:tcPr>
          <w:p w:rsidR="00B87A3D" w:rsidRPr="00917386" w:rsidRDefault="00B87A3D" w:rsidP="00E01C80">
            <w:pPr>
              <w:pStyle w:val="ListParagraph"/>
              <w:ind w:left="0"/>
              <w:rPr>
                <w:rFonts w:cstheme="minorHAnsi"/>
              </w:rPr>
            </w:pPr>
            <w:r>
              <w:rPr>
                <w:rFonts w:cstheme="minorHAnsi"/>
              </w:rPr>
              <w:t>N</w:t>
            </w:r>
          </w:p>
        </w:tc>
        <w:tc>
          <w:tcPr>
            <w:tcW w:w="1795" w:type="dxa"/>
          </w:tcPr>
          <w:p w:rsidR="00B87A3D" w:rsidRDefault="00B87A3D" w:rsidP="00E01C80">
            <w:pPr>
              <w:pStyle w:val="ListParagraph"/>
              <w:ind w:left="0"/>
              <w:rPr>
                <w:rFonts w:cstheme="minorHAnsi"/>
              </w:rPr>
            </w:pPr>
            <w:r>
              <w:rPr>
                <w:rFonts w:cstheme="minorHAnsi"/>
              </w:rPr>
              <w:t>N</w:t>
            </w:r>
          </w:p>
        </w:tc>
      </w:tr>
      <w:tr w:rsidR="00B87A3D" w:rsidRPr="00917386" w:rsidTr="00E32A34">
        <w:tc>
          <w:tcPr>
            <w:tcW w:w="2955" w:type="dxa"/>
          </w:tcPr>
          <w:p w:rsidR="00B87A3D" w:rsidRPr="00917386" w:rsidRDefault="00B87A3D" w:rsidP="00E70031">
            <w:pPr>
              <w:pStyle w:val="ListParagraph"/>
              <w:ind w:left="0"/>
              <w:rPr>
                <w:rFonts w:cstheme="minorHAnsi"/>
              </w:rPr>
            </w:pPr>
            <w:r w:rsidRPr="00917386">
              <w:rPr>
                <w:rFonts w:cstheme="minorHAnsi"/>
              </w:rPr>
              <w:t>Police Family Protection and C</w:t>
            </w:r>
            <w:r>
              <w:rPr>
                <w:rFonts w:cstheme="minorHAnsi"/>
              </w:rPr>
              <w:t>ommunity Engagement</w:t>
            </w:r>
            <w:r w:rsidRPr="00917386">
              <w:rPr>
                <w:rFonts w:cstheme="minorHAnsi"/>
              </w:rPr>
              <w:t xml:space="preserve"> Adviser**</w:t>
            </w:r>
            <w:r>
              <w:rPr>
                <w:rFonts w:cstheme="minorHAnsi"/>
              </w:rPr>
              <w:t>*</w:t>
            </w:r>
          </w:p>
        </w:tc>
        <w:tc>
          <w:tcPr>
            <w:tcW w:w="2325" w:type="dxa"/>
          </w:tcPr>
          <w:p w:rsidR="00B87A3D" w:rsidRDefault="00B87A3D" w:rsidP="00E01C80">
            <w:pPr>
              <w:pStyle w:val="ListParagraph"/>
              <w:ind w:left="0"/>
              <w:rPr>
                <w:rFonts w:cstheme="minorHAnsi"/>
              </w:rPr>
            </w:pPr>
            <w:r>
              <w:rPr>
                <w:rFonts w:cstheme="minorHAnsi"/>
              </w:rPr>
              <w:t xml:space="preserve">D2 </w:t>
            </w:r>
          </w:p>
          <w:p w:rsidR="00B87A3D" w:rsidRPr="00917386" w:rsidRDefault="00B87A3D" w:rsidP="00E01C80">
            <w:pPr>
              <w:pStyle w:val="ListParagraph"/>
              <w:ind w:left="0"/>
              <w:rPr>
                <w:rFonts w:cstheme="minorHAnsi"/>
              </w:rPr>
            </w:pPr>
            <w:r w:rsidRPr="00917386">
              <w:rPr>
                <w:rFonts w:cstheme="minorHAnsi"/>
              </w:rPr>
              <w:t xml:space="preserve">  </w:t>
            </w:r>
          </w:p>
        </w:tc>
        <w:tc>
          <w:tcPr>
            <w:tcW w:w="2167" w:type="dxa"/>
          </w:tcPr>
          <w:p w:rsidR="00B87A3D" w:rsidRPr="00917386" w:rsidRDefault="00B87A3D" w:rsidP="00E01C80">
            <w:pPr>
              <w:pStyle w:val="ListParagraph"/>
              <w:ind w:left="0"/>
              <w:rPr>
                <w:rFonts w:cstheme="minorHAnsi"/>
              </w:rPr>
            </w:pPr>
            <w:r>
              <w:rPr>
                <w:rFonts w:cstheme="minorHAnsi"/>
              </w:rPr>
              <w:t>Y</w:t>
            </w:r>
          </w:p>
        </w:tc>
        <w:tc>
          <w:tcPr>
            <w:tcW w:w="1795" w:type="dxa"/>
          </w:tcPr>
          <w:p w:rsidR="00B87A3D" w:rsidRDefault="00B87A3D" w:rsidP="00E01C80">
            <w:pPr>
              <w:pStyle w:val="ListParagraph"/>
              <w:ind w:left="0"/>
              <w:rPr>
                <w:rFonts w:cstheme="minorHAnsi"/>
              </w:rPr>
            </w:pPr>
            <w:r w:rsidRPr="00173FFB">
              <w:rPr>
                <w:rFonts w:cstheme="minorHAnsi"/>
              </w:rPr>
              <w:t>Y</w:t>
            </w:r>
          </w:p>
        </w:tc>
      </w:tr>
      <w:tr w:rsidR="00B87A3D" w:rsidRPr="00917386" w:rsidTr="00E32A34">
        <w:trPr>
          <w:trHeight w:val="135"/>
        </w:trPr>
        <w:tc>
          <w:tcPr>
            <w:tcW w:w="2955" w:type="dxa"/>
          </w:tcPr>
          <w:p w:rsidR="00B87A3D" w:rsidRPr="00917386" w:rsidRDefault="00B87A3D" w:rsidP="00E70031">
            <w:pPr>
              <w:pStyle w:val="ListParagraph"/>
              <w:ind w:left="0"/>
              <w:rPr>
                <w:rFonts w:cstheme="minorHAnsi"/>
              </w:rPr>
            </w:pPr>
            <w:r>
              <w:rPr>
                <w:rFonts w:cstheme="minorHAnsi"/>
              </w:rPr>
              <w:t>Adviser</w:t>
            </w:r>
            <w:r w:rsidRPr="00917386">
              <w:rPr>
                <w:rFonts w:cstheme="minorHAnsi"/>
              </w:rPr>
              <w:t>, VPF Corporate Services Unit</w:t>
            </w:r>
          </w:p>
        </w:tc>
        <w:tc>
          <w:tcPr>
            <w:tcW w:w="2325" w:type="dxa"/>
          </w:tcPr>
          <w:p w:rsidR="00B87A3D" w:rsidRPr="00917386" w:rsidRDefault="00B87A3D" w:rsidP="00E01C80">
            <w:pPr>
              <w:pStyle w:val="ListParagraph"/>
              <w:ind w:left="0"/>
              <w:rPr>
                <w:rFonts w:cstheme="minorHAnsi"/>
              </w:rPr>
            </w:pPr>
            <w:r w:rsidRPr="00917386">
              <w:rPr>
                <w:rFonts w:cstheme="minorHAnsi"/>
              </w:rPr>
              <w:t>C3</w:t>
            </w:r>
          </w:p>
        </w:tc>
        <w:tc>
          <w:tcPr>
            <w:tcW w:w="2167" w:type="dxa"/>
          </w:tcPr>
          <w:p w:rsidR="00B87A3D" w:rsidRPr="00917386" w:rsidRDefault="00B87A3D" w:rsidP="00E01C80">
            <w:pPr>
              <w:pStyle w:val="ListParagraph"/>
              <w:ind w:left="0"/>
              <w:rPr>
                <w:rFonts w:cstheme="minorHAnsi"/>
              </w:rPr>
            </w:pPr>
            <w:r w:rsidRPr="0007297B">
              <w:rPr>
                <w:rFonts w:cstheme="minorHAnsi"/>
              </w:rPr>
              <w:t>Y</w:t>
            </w:r>
          </w:p>
        </w:tc>
        <w:tc>
          <w:tcPr>
            <w:tcW w:w="1795" w:type="dxa"/>
          </w:tcPr>
          <w:p w:rsidR="00B87A3D" w:rsidRPr="0007297B" w:rsidRDefault="00B87A3D" w:rsidP="00E01C80">
            <w:pPr>
              <w:pStyle w:val="ListParagraph"/>
              <w:ind w:left="0"/>
              <w:rPr>
                <w:rFonts w:cstheme="minorHAnsi"/>
              </w:rPr>
            </w:pPr>
            <w:r w:rsidRPr="00173FFB">
              <w:rPr>
                <w:rFonts w:cstheme="minorHAnsi"/>
              </w:rPr>
              <w:t>Y</w:t>
            </w:r>
          </w:p>
        </w:tc>
      </w:tr>
      <w:tr w:rsidR="00B87A3D" w:rsidRPr="00917386" w:rsidTr="00E32A34">
        <w:tc>
          <w:tcPr>
            <w:tcW w:w="2955" w:type="dxa"/>
          </w:tcPr>
          <w:p w:rsidR="00B87A3D" w:rsidRPr="00917386" w:rsidRDefault="00B87A3D" w:rsidP="00E70031">
            <w:pPr>
              <w:pStyle w:val="ListParagraph"/>
              <w:ind w:left="0"/>
              <w:rPr>
                <w:rFonts w:cstheme="minorHAnsi"/>
              </w:rPr>
            </w:pPr>
            <w:r w:rsidRPr="00917386">
              <w:rPr>
                <w:rFonts w:cstheme="minorHAnsi"/>
              </w:rPr>
              <w:t>Public Financial Management Adviser</w:t>
            </w:r>
          </w:p>
        </w:tc>
        <w:tc>
          <w:tcPr>
            <w:tcW w:w="2325" w:type="dxa"/>
          </w:tcPr>
          <w:p w:rsidR="00B87A3D" w:rsidRPr="00917386" w:rsidRDefault="00B87A3D" w:rsidP="00E01C80">
            <w:pPr>
              <w:pStyle w:val="ListParagraph"/>
              <w:ind w:left="0"/>
              <w:rPr>
                <w:rFonts w:cstheme="minorHAnsi"/>
              </w:rPr>
            </w:pPr>
            <w:r w:rsidRPr="00917386">
              <w:rPr>
                <w:rFonts w:cstheme="minorHAnsi"/>
              </w:rPr>
              <w:t>C2</w:t>
            </w:r>
          </w:p>
        </w:tc>
        <w:tc>
          <w:tcPr>
            <w:tcW w:w="2167" w:type="dxa"/>
          </w:tcPr>
          <w:p w:rsidR="00B87A3D" w:rsidRPr="00917386" w:rsidRDefault="00B87A3D" w:rsidP="00E01C80">
            <w:pPr>
              <w:pStyle w:val="ListParagraph"/>
              <w:ind w:left="0"/>
              <w:rPr>
                <w:rFonts w:cstheme="minorHAnsi"/>
              </w:rPr>
            </w:pPr>
            <w:r w:rsidRPr="0007297B">
              <w:rPr>
                <w:rFonts w:cstheme="minorHAnsi"/>
              </w:rPr>
              <w:t>Y</w:t>
            </w:r>
          </w:p>
        </w:tc>
        <w:tc>
          <w:tcPr>
            <w:tcW w:w="1795" w:type="dxa"/>
          </w:tcPr>
          <w:p w:rsidR="00B87A3D" w:rsidRPr="0007297B" w:rsidRDefault="00B87A3D" w:rsidP="00E01C80">
            <w:pPr>
              <w:pStyle w:val="ListParagraph"/>
              <w:ind w:left="0"/>
              <w:rPr>
                <w:rFonts w:cstheme="minorHAnsi"/>
              </w:rPr>
            </w:pPr>
            <w:r w:rsidRPr="00173FFB">
              <w:rPr>
                <w:rFonts w:cstheme="minorHAnsi"/>
              </w:rPr>
              <w:t>Y</w:t>
            </w:r>
          </w:p>
        </w:tc>
      </w:tr>
      <w:tr w:rsidR="00B87A3D" w:rsidRPr="00917386" w:rsidTr="00E32A34">
        <w:tc>
          <w:tcPr>
            <w:tcW w:w="2955" w:type="dxa"/>
            <w:shd w:val="clear" w:color="auto" w:fill="F2F2F2" w:themeFill="background1" w:themeFillShade="F2"/>
          </w:tcPr>
          <w:p w:rsidR="00B87A3D" w:rsidRPr="008A0C92" w:rsidRDefault="00B87A3D" w:rsidP="00E70031">
            <w:pPr>
              <w:pStyle w:val="ListParagraph"/>
              <w:ind w:left="0"/>
              <w:rPr>
                <w:rFonts w:cstheme="minorHAnsi"/>
                <w:b/>
              </w:rPr>
            </w:pPr>
            <w:r w:rsidRPr="008A0C92">
              <w:rPr>
                <w:rFonts w:cstheme="minorHAnsi"/>
                <w:b/>
              </w:rPr>
              <w:t>International Short Term</w:t>
            </w:r>
          </w:p>
        </w:tc>
        <w:tc>
          <w:tcPr>
            <w:tcW w:w="2325" w:type="dxa"/>
            <w:shd w:val="clear" w:color="auto" w:fill="F2F2F2" w:themeFill="background1" w:themeFillShade="F2"/>
          </w:tcPr>
          <w:p w:rsidR="00B87A3D" w:rsidRPr="008A0C92" w:rsidRDefault="00B87A3D" w:rsidP="00E70031">
            <w:pPr>
              <w:pStyle w:val="ListParagraph"/>
              <w:ind w:left="0"/>
              <w:rPr>
                <w:rFonts w:cstheme="minorHAnsi"/>
                <w:b/>
              </w:rPr>
            </w:pPr>
          </w:p>
        </w:tc>
        <w:tc>
          <w:tcPr>
            <w:tcW w:w="2167" w:type="dxa"/>
            <w:shd w:val="clear" w:color="auto" w:fill="F2F2F2" w:themeFill="background1" w:themeFillShade="F2"/>
          </w:tcPr>
          <w:p w:rsidR="00B87A3D" w:rsidRPr="008A0C92" w:rsidRDefault="00B87A3D" w:rsidP="00E70031">
            <w:pPr>
              <w:pStyle w:val="ListParagraph"/>
              <w:ind w:left="0"/>
              <w:rPr>
                <w:rFonts w:cstheme="minorHAnsi"/>
                <w:b/>
              </w:rPr>
            </w:pPr>
          </w:p>
        </w:tc>
        <w:tc>
          <w:tcPr>
            <w:tcW w:w="1795" w:type="dxa"/>
            <w:shd w:val="clear" w:color="auto" w:fill="F2F2F2" w:themeFill="background1" w:themeFillShade="F2"/>
          </w:tcPr>
          <w:p w:rsidR="00B87A3D" w:rsidRPr="008A0C92" w:rsidRDefault="00B87A3D" w:rsidP="00E70031">
            <w:pPr>
              <w:pStyle w:val="ListParagraph"/>
              <w:ind w:left="0"/>
              <w:rPr>
                <w:rFonts w:cstheme="minorHAnsi"/>
                <w:b/>
              </w:rPr>
            </w:pPr>
          </w:p>
        </w:tc>
      </w:tr>
      <w:tr w:rsidR="00B87A3D" w:rsidRPr="00917386" w:rsidTr="00E32A34">
        <w:tc>
          <w:tcPr>
            <w:tcW w:w="2955" w:type="dxa"/>
          </w:tcPr>
          <w:p w:rsidR="00B87A3D" w:rsidRPr="00917386" w:rsidRDefault="00B87A3D" w:rsidP="00E70031">
            <w:pPr>
              <w:pStyle w:val="ListParagraph"/>
              <w:ind w:left="0"/>
              <w:rPr>
                <w:rFonts w:cstheme="minorHAnsi"/>
              </w:rPr>
            </w:pPr>
            <w:r>
              <w:rPr>
                <w:rFonts w:cstheme="minorHAnsi"/>
              </w:rPr>
              <w:t>Technical Director – Justice</w:t>
            </w:r>
          </w:p>
        </w:tc>
        <w:tc>
          <w:tcPr>
            <w:tcW w:w="2325" w:type="dxa"/>
          </w:tcPr>
          <w:p w:rsidR="00B87A3D" w:rsidRDefault="00B87A3D" w:rsidP="00E01C80">
            <w:pPr>
              <w:pStyle w:val="ListParagraph"/>
              <w:ind w:left="0"/>
              <w:rPr>
                <w:rFonts w:cstheme="minorHAnsi"/>
              </w:rPr>
            </w:pPr>
            <w:r>
              <w:rPr>
                <w:rFonts w:cstheme="minorHAnsi"/>
              </w:rPr>
              <w:t>D4</w:t>
            </w:r>
          </w:p>
        </w:tc>
        <w:tc>
          <w:tcPr>
            <w:tcW w:w="2167" w:type="dxa"/>
          </w:tcPr>
          <w:p w:rsidR="00B87A3D" w:rsidRDefault="00B87A3D" w:rsidP="00E01C80">
            <w:pPr>
              <w:pStyle w:val="ListParagraph"/>
              <w:ind w:left="0"/>
              <w:rPr>
                <w:rFonts w:cstheme="minorHAnsi"/>
              </w:rPr>
            </w:pPr>
            <w:r w:rsidRPr="00E50CCF">
              <w:rPr>
                <w:rFonts w:cstheme="minorHAnsi"/>
              </w:rPr>
              <w:t>Y</w:t>
            </w:r>
          </w:p>
        </w:tc>
        <w:tc>
          <w:tcPr>
            <w:tcW w:w="1795" w:type="dxa"/>
          </w:tcPr>
          <w:p w:rsidR="00B87A3D" w:rsidRPr="00E50CCF" w:rsidRDefault="00B87A3D" w:rsidP="00E01C80">
            <w:pPr>
              <w:pStyle w:val="ListParagraph"/>
              <w:ind w:left="0"/>
              <w:rPr>
                <w:rFonts w:cstheme="minorHAnsi"/>
              </w:rPr>
            </w:pPr>
            <w:r>
              <w:rPr>
                <w:rFonts w:cstheme="minorHAnsi"/>
              </w:rPr>
              <w:t>N</w:t>
            </w:r>
          </w:p>
        </w:tc>
      </w:tr>
      <w:tr w:rsidR="00B87A3D" w:rsidRPr="00917386" w:rsidTr="00E32A34">
        <w:tc>
          <w:tcPr>
            <w:tcW w:w="2955" w:type="dxa"/>
          </w:tcPr>
          <w:p w:rsidR="00B87A3D" w:rsidRPr="00917386" w:rsidRDefault="00B87A3D" w:rsidP="00E70031">
            <w:pPr>
              <w:pStyle w:val="ListParagraph"/>
              <w:ind w:left="0"/>
              <w:rPr>
                <w:rFonts w:cstheme="minorHAnsi"/>
                <w:lang w:val="en-AU"/>
              </w:rPr>
            </w:pPr>
            <w:r w:rsidRPr="00917386">
              <w:rPr>
                <w:rFonts w:cstheme="minorHAnsi"/>
                <w:lang w:val="en-AU"/>
              </w:rPr>
              <w:t>Case and Data Management Adviser</w:t>
            </w:r>
          </w:p>
        </w:tc>
        <w:tc>
          <w:tcPr>
            <w:tcW w:w="2325" w:type="dxa"/>
          </w:tcPr>
          <w:p w:rsidR="00B87A3D" w:rsidRPr="00917386" w:rsidRDefault="00B87A3D" w:rsidP="00E01C80">
            <w:pPr>
              <w:pStyle w:val="ListParagraph"/>
              <w:ind w:left="0"/>
              <w:rPr>
                <w:rFonts w:cstheme="minorHAnsi"/>
              </w:rPr>
            </w:pPr>
            <w:r w:rsidRPr="00917386">
              <w:rPr>
                <w:rFonts w:cstheme="minorHAnsi"/>
              </w:rPr>
              <w:t>D4</w:t>
            </w:r>
          </w:p>
        </w:tc>
        <w:tc>
          <w:tcPr>
            <w:tcW w:w="2167" w:type="dxa"/>
          </w:tcPr>
          <w:p w:rsidR="00B87A3D" w:rsidRPr="00917386" w:rsidRDefault="00B87A3D" w:rsidP="00E01C80">
            <w:pPr>
              <w:pStyle w:val="ListParagraph"/>
              <w:ind w:left="0"/>
              <w:rPr>
                <w:rFonts w:cstheme="minorHAnsi"/>
              </w:rPr>
            </w:pPr>
            <w:r w:rsidRPr="00E50CCF">
              <w:rPr>
                <w:rFonts w:cstheme="minorHAnsi"/>
              </w:rPr>
              <w:t>Y</w:t>
            </w:r>
          </w:p>
        </w:tc>
        <w:tc>
          <w:tcPr>
            <w:tcW w:w="1795" w:type="dxa"/>
          </w:tcPr>
          <w:p w:rsidR="00B87A3D" w:rsidRPr="00E50CCF" w:rsidRDefault="00B87A3D" w:rsidP="00E01C80">
            <w:pPr>
              <w:pStyle w:val="ListParagraph"/>
              <w:ind w:left="0"/>
              <w:rPr>
                <w:rFonts w:cstheme="minorHAnsi"/>
              </w:rPr>
            </w:pPr>
            <w:r w:rsidRPr="00E64D32">
              <w:rPr>
                <w:rFonts w:cstheme="minorHAnsi"/>
              </w:rPr>
              <w:t>Y</w:t>
            </w:r>
          </w:p>
        </w:tc>
      </w:tr>
      <w:tr w:rsidR="00B87A3D" w:rsidRPr="00917386" w:rsidTr="00E32A34">
        <w:tc>
          <w:tcPr>
            <w:tcW w:w="2955" w:type="dxa"/>
          </w:tcPr>
          <w:p w:rsidR="00B87A3D" w:rsidRPr="00917386" w:rsidRDefault="00B87A3D" w:rsidP="00E70031">
            <w:pPr>
              <w:pStyle w:val="ListParagraph"/>
              <w:ind w:left="0"/>
              <w:rPr>
                <w:rFonts w:cstheme="minorHAnsi"/>
              </w:rPr>
            </w:pPr>
            <w:r w:rsidRPr="00917386">
              <w:rPr>
                <w:rFonts w:cstheme="minorHAnsi"/>
              </w:rPr>
              <w:t>Adviser to the Magistrate’s Court</w:t>
            </w:r>
          </w:p>
        </w:tc>
        <w:tc>
          <w:tcPr>
            <w:tcW w:w="2325" w:type="dxa"/>
          </w:tcPr>
          <w:p w:rsidR="00B87A3D" w:rsidRPr="00917386" w:rsidRDefault="00B87A3D" w:rsidP="00E01C80">
            <w:pPr>
              <w:pStyle w:val="ListParagraph"/>
              <w:ind w:left="0"/>
              <w:rPr>
                <w:rFonts w:cstheme="minorHAnsi"/>
              </w:rPr>
            </w:pPr>
            <w:r w:rsidRPr="00917386">
              <w:rPr>
                <w:rFonts w:cstheme="minorHAnsi"/>
              </w:rPr>
              <w:t>D3</w:t>
            </w:r>
          </w:p>
        </w:tc>
        <w:tc>
          <w:tcPr>
            <w:tcW w:w="2167" w:type="dxa"/>
          </w:tcPr>
          <w:p w:rsidR="00B87A3D" w:rsidRPr="00917386" w:rsidRDefault="00B87A3D" w:rsidP="00E01C80">
            <w:pPr>
              <w:pStyle w:val="ListParagraph"/>
              <w:ind w:left="0"/>
              <w:rPr>
                <w:rFonts w:cstheme="minorHAnsi"/>
              </w:rPr>
            </w:pPr>
            <w:r w:rsidRPr="00E50CCF">
              <w:rPr>
                <w:rFonts w:cstheme="minorHAnsi"/>
              </w:rPr>
              <w:t>Y</w:t>
            </w:r>
          </w:p>
        </w:tc>
        <w:tc>
          <w:tcPr>
            <w:tcW w:w="1795" w:type="dxa"/>
          </w:tcPr>
          <w:p w:rsidR="00B87A3D" w:rsidRPr="00E50CCF" w:rsidRDefault="00B87A3D" w:rsidP="00E01C80">
            <w:pPr>
              <w:pStyle w:val="ListParagraph"/>
              <w:ind w:left="0"/>
              <w:rPr>
                <w:rFonts w:cstheme="minorHAnsi"/>
              </w:rPr>
            </w:pPr>
            <w:r w:rsidRPr="00E64D32">
              <w:rPr>
                <w:rFonts w:cstheme="minorHAnsi"/>
              </w:rPr>
              <w:t>Y</w:t>
            </w:r>
          </w:p>
        </w:tc>
      </w:tr>
      <w:tr w:rsidR="00B87A3D" w:rsidRPr="00917386" w:rsidTr="00E32A34">
        <w:tc>
          <w:tcPr>
            <w:tcW w:w="2955" w:type="dxa"/>
          </w:tcPr>
          <w:p w:rsidR="00B87A3D" w:rsidRPr="00917386" w:rsidRDefault="00B87A3D" w:rsidP="00E70031">
            <w:pPr>
              <w:pStyle w:val="ListParagraph"/>
              <w:ind w:left="0"/>
              <w:rPr>
                <w:rFonts w:cstheme="minorHAnsi"/>
              </w:rPr>
            </w:pPr>
            <w:r w:rsidRPr="00917386">
              <w:rPr>
                <w:rFonts w:cstheme="minorHAnsi"/>
              </w:rPr>
              <w:t>Legal and Policy Adviser</w:t>
            </w:r>
          </w:p>
        </w:tc>
        <w:tc>
          <w:tcPr>
            <w:tcW w:w="2325" w:type="dxa"/>
          </w:tcPr>
          <w:p w:rsidR="00B87A3D" w:rsidRPr="00917386" w:rsidRDefault="00B87A3D" w:rsidP="00E01C80">
            <w:pPr>
              <w:pStyle w:val="ListParagraph"/>
              <w:ind w:left="0"/>
              <w:rPr>
                <w:rFonts w:cstheme="minorHAnsi"/>
              </w:rPr>
            </w:pPr>
            <w:r w:rsidRPr="00917386">
              <w:rPr>
                <w:rFonts w:cstheme="minorHAnsi"/>
              </w:rPr>
              <w:t>D2</w:t>
            </w:r>
          </w:p>
        </w:tc>
        <w:tc>
          <w:tcPr>
            <w:tcW w:w="2167" w:type="dxa"/>
          </w:tcPr>
          <w:p w:rsidR="00B87A3D" w:rsidRPr="00917386" w:rsidRDefault="00B87A3D" w:rsidP="00E01C80">
            <w:pPr>
              <w:pStyle w:val="ListParagraph"/>
              <w:ind w:left="0"/>
              <w:rPr>
                <w:rFonts w:cstheme="minorHAnsi"/>
              </w:rPr>
            </w:pPr>
            <w:r w:rsidRPr="00E50CCF">
              <w:rPr>
                <w:rFonts w:cstheme="minorHAnsi"/>
              </w:rPr>
              <w:t>Y</w:t>
            </w:r>
          </w:p>
        </w:tc>
        <w:tc>
          <w:tcPr>
            <w:tcW w:w="1795" w:type="dxa"/>
          </w:tcPr>
          <w:p w:rsidR="00B87A3D" w:rsidRPr="00E50CCF" w:rsidRDefault="00B87A3D" w:rsidP="00E01C80">
            <w:pPr>
              <w:pStyle w:val="ListParagraph"/>
              <w:ind w:left="0"/>
              <w:rPr>
                <w:rFonts w:cstheme="minorHAnsi"/>
              </w:rPr>
            </w:pPr>
            <w:r w:rsidRPr="00E64D32">
              <w:rPr>
                <w:rFonts w:cstheme="minorHAnsi"/>
              </w:rPr>
              <w:t>Y</w:t>
            </w:r>
          </w:p>
        </w:tc>
      </w:tr>
      <w:tr w:rsidR="00B87A3D" w:rsidRPr="00917386" w:rsidTr="00E32A34">
        <w:tc>
          <w:tcPr>
            <w:tcW w:w="2955" w:type="dxa"/>
          </w:tcPr>
          <w:p w:rsidR="00B87A3D" w:rsidRPr="00917386" w:rsidRDefault="00B87A3D" w:rsidP="00E70031">
            <w:r w:rsidRPr="00917386">
              <w:t xml:space="preserve">Human Resource Management Adviser </w:t>
            </w:r>
          </w:p>
        </w:tc>
        <w:tc>
          <w:tcPr>
            <w:tcW w:w="2325" w:type="dxa"/>
          </w:tcPr>
          <w:p w:rsidR="00B87A3D" w:rsidRPr="00917386" w:rsidRDefault="00B87A3D" w:rsidP="00E01C80">
            <w:r w:rsidRPr="00917386">
              <w:t>B2</w:t>
            </w:r>
          </w:p>
        </w:tc>
        <w:tc>
          <w:tcPr>
            <w:tcW w:w="2167" w:type="dxa"/>
          </w:tcPr>
          <w:p w:rsidR="00B87A3D" w:rsidRPr="00917386" w:rsidRDefault="00B87A3D" w:rsidP="00E01C80">
            <w:r w:rsidRPr="00E50CCF">
              <w:rPr>
                <w:rFonts w:cstheme="minorHAnsi"/>
              </w:rPr>
              <w:t>Y</w:t>
            </w:r>
          </w:p>
        </w:tc>
        <w:tc>
          <w:tcPr>
            <w:tcW w:w="1795" w:type="dxa"/>
          </w:tcPr>
          <w:p w:rsidR="00B87A3D" w:rsidRPr="00E50CCF" w:rsidRDefault="00B87A3D" w:rsidP="00E01C80">
            <w:pPr>
              <w:rPr>
                <w:rFonts w:cstheme="minorHAnsi"/>
              </w:rPr>
            </w:pPr>
            <w:r w:rsidRPr="00E64D32">
              <w:rPr>
                <w:rFonts w:cstheme="minorHAnsi"/>
              </w:rPr>
              <w:t>Y</w:t>
            </w:r>
          </w:p>
        </w:tc>
      </w:tr>
      <w:tr w:rsidR="00B87A3D" w:rsidRPr="00917386" w:rsidTr="00E32A34">
        <w:tc>
          <w:tcPr>
            <w:tcW w:w="2955" w:type="dxa"/>
          </w:tcPr>
          <w:p w:rsidR="00B87A3D" w:rsidRPr="00917386" w:rsidRDefault="00B87A3D" w:rsidP="00E70031">
            <w:r w:rsidRPr="00917386">
              <w:t xml:space="preserve">Technical and </w:t>
            </w:r>
            <w:r>
              <w:t>Monitoring and Evaluation</w:t>
            </w:r>
            <w:r w:rsidRPr="00917386">
              <w:t xml:space="preserve"> Adviser </w:t>
            </w:r>
          </w:p>
        </w:tc>
        <w:tc>
          <w:tcPr>
            <w:tcW w:w="2325" w:type="dxa"/>
          </w:tcPr>
          <w:p w:rsidR="00B87A3D" w:rsidRPr="00917386" w:rsidRDefault="00B87A3D" w:rsidP="00E01C80">
            <w:r w:rsidRPr="00917386">
              <w:t>C3</w:t>
            </w:r>
          </w:p>
        </w:tc>
        <w:tc>
          <w:tcPr>
            <w:tcW w:w="2167" w:type="dxa"/>
          </w:tcPr>
          <w:p w:rsidR="00B87A3D" w:rsidRPr="00917386" w:rsidRDefault="00B87A3D" w:rsidP="00E01C80">
            <w:r w:rsidRPr="00E50CCF">
              <w:rPr>
                <w:rFonts w:cstheme="minorHAnsi"/>
              </w:rPr>
              <w:t>Y</w:t>
            </w:r>
          </w:p>
        </w:tc>
        <w:tc>
          <w:tcPr>
            <w:tcW w:w="1795" w:type="dxa"/>
          </w:tcPr>
          <w:p w:rsidR="00B87A3D" w:rsidRPr="00E50CCF" w:rsidRDefault="00B87A3D" w:rsidP="00E01C80">
            <w:pPr>
              <w:rPr>
                <w:rFonts w:cstheme="minorHAnsi"/>
              </w:rPr>
            </w:pPr>
            <w:r w:rsidRPr="00E64D32">
              <w:rPr>
                <w:rFonts w:cstheme="minorHAnsi"/>
              </w:rPr>
              <w:t>Y</w:t>
            </w:r>
          </w:p>
        </w:tc>
      </w:tr>
      <w:tr w:rsidR="00B87A3D" w:rsidRPr="00917386" w:rsidTr="00E32A34">
        <w:tc>
          <w:tcPr>
            <w:tcW w:w="2955" w:type="dxa"/>
          </w:tcPr>
          <w:p w:rsidR="00B87A3D" w:rsidRPr="00917386" w:rsidRDefault="00B87A3D" w:rsidP="00E70031">
            <w:r w:rsidRPr="00917386">
              <w:rPr>
                <w:rFonts w:cstheme="minorHAnsi"/>
                <w:lang w:val="en-AU"/>
              </w:rPr>
              <w:t>Capacity Development &amp; Leadership Adviser</w:t>
            </w:r>
            <w:r>
              <w:rPr>
                <w:rFonts w:cstheme="minorHAnsi"/>
                <w:lang w:val="en-AU"/>
              </w:rPr>
              <w:t xml:space="preserve"> - Justice</w:t>
            </w:r>
          </w:p>
        </w:tc>
        <w:tc>
          <w:tcPr>
            <w:tcW w:w="2325" w:type="dxa"/>
          </w:tcPr>
          <w:p w:rsidR="00B87A3D" w:rsidRPr="00917386" w:rsidRDefault="00B87A3D" w:rsidP="00E01C80">
            <w:pPr>
              <w:rPr>
                <w:rFonts w:cstheme="minorHAnsi"/>
              </w:rPr>
            </w:pPr>
            <w:r w:rsidRPr="00917386">
              <w:rPr>
                <w:rFonts w:cstheme="minorHAnsi"/>
              </w:rPr>
              <w:t>C3</w:t>
            </w:r>
            <w:r>
              <w:rPr>
                <w:rFonts w:cstheme="minorHAnsi"/>
              </w:rPr>
              <w:t xml:space="preserve"> </w:t>
            </w:r>
            <w:r>
              <w:rPr>
                <w:rFonts w:cs="Arial"/>
              </w:rPr>
              <w:t>– D3</w:t>
            </w:r>
          </w:p>
        </w:tc>
        <w:tc>
          <w:tcPr>
            <w:tcW w:w="2167" w:type="dxa"/>
          </w:tcPr>
          <w:p w:rsidR="00B87A3D" w:rsidRPr="00917386" w:rsidRDefault="00B87A3D" w:rsidP="00E01C80">
            <w:pPr>
              <w:rPr>
                <w:rFonts w:cstheme="minorHAnsi"/>
              </w:rPr>
            </w:pPr>
            <w:r w:rsidRPr="00E50CCF">
              <w:rPr>
                <w:rFonts w:cstheme="minorHAnsi"/>
              </w:rPr>
              <w:t>Y</w:t>
            </w:r>
          </w:p>
        </w:tc>
        <w:tc>
          <w:tcPr>
            <w:tcW w:w="1795" w:type="dxa"/>
          </w:tcPr>
          <w:p w:rsidR="00B87A3D" w:rsidRPr="00E50CCF" w:rsidRDefault="00B87A3D" w:rsidP="00E01C80">
            <w:pPr>
              <w:rPr>
                <w:rFonts w:cstheme="minorHAnsi"/>
              </w:rPr>
            </w:pPr>
            <w:r w:rsidRPr="00E64D32">
              <w:rPr>
                <w:rFonts w:cstheme="minorHAnsi"/>
              </w:rPr>
              <w:t>Y</w:t>
            </w:r>
          </w:p>
        </w:tc>
      </w:tr>
      <w:tr w:rsidR="00B87A3D" w:rsidRPr="00917386" w:rsidTr="00E32A34">
        <w:tc>
          <w:tcPr>
            <w:tcW w:w="2955" w:type="dxa"/>
            <w:shd w:val="clear" w:color="auto" w:fill="F2F2F2" w:themeFill="background1" w:themeFillShade="F2"/>
          </w:tcPr>
          <w:p w:rsidR="00B87A3D" w:rsidRPr="00917386" w:rsidRDefault="00B87A3D" w:rsidP="00E70031">
            <w:pPr>
              <w:rPr>
                <w:rFonts w:cstheme="minorHAnsi"/>
              </w:rPr>
            </w:pPr>
            <w:r w:rsidRPr="00917386">
              <w:rPr>
                <w:b/>
              </w:rPr>
              <w:t>National/Locally Engaged Long Term</w:t>
            </w:r>
          </w:p>
        </w:tc>
        <w:tc>
          <w:tcPr>
            <w:tcW w:w="2325" w:type="dxa"/>
            <w:shd w:val="clear" w:color="auto" w:fill="F2F2F2" w:themeFill="background1" w:themeFillShade="F2"/>
          </w:tcPr>
          <w:p w:rsidR="00B87A3D" w:rsidRPr="00917386" w:rsidRDefault="00B87A3D" w:rsidP="00E70031">
            <w:pPr>
              <w:rPr>
                <w:b/>
              </w:rPr>
            </w:pPr>
          </w:p>
        </w:tc>
        <w:tc>
          <w:tcPr>
            <w:tcW w:w="2167" w:type="dxa"/>
            <w:shd w:val="clear" w:color="auto" w:fill="F2F2F2" w:themeFill="background1" w:themeFillShade="F2"/>
          </w:tcPr>
          <w:p w:rsidR="00B87A3D" w:rsidRPr="00917386" w:rsidRDefault="00B87A3D" w:rsidP="00E70031">
            <w:pPr>
              <w:rPr>
                <w:b/>
              </w:rPr>
            </w:pPr>
          </w:p>
        </w:tc>
        <w:tc>
          <w:tcPr>
            <w:tcW w:w="1795" w:type="dxa"/>
            <w:shd w:val="clear" w:color="auto" w:fill="F2F2F2" w:themeFill="background1" w:themeFillShade="F2"/>
          </w:tcPr>
          <w:p w:rsidR="00B87A3D" w:rsidRPr="00917386" w:rsidRDefault="00B87A3D" w:rsidP="00E70031">
            <w:pPr>
              <w:rPr>
                <w:b/>
              </w:rPr>
            </w:pPr>
          </w:p>
        </w:tc>
      </w:tr>
      <w:tr w:rsidR="00B87A3D" w:rsidRPr="00917386" w:rsidTr="00E32A34">
        <w:tc>
          <w:tcPr>
            <w:tcW w:w="2955" w:type="dxa"/>
          </w:tcPr>
          <w:p w:rsidR="00B87A3D" w:rsidRPr="00917386" w:rsidRDefault="00B87A3D" w:rsidP="00E70031">
            <w:r w:rsidRPr="00917386">
              <w:t xml:space="preserve">Systems Officer </w:t>
            </w:r>
          </w:p>
        </w:tc>
        <w:tc>
          <w:tcPr>
            <w:tcW w:w="2325" w:type="dxa"/>
          </w:tcPr>
          <w:p w:rsidR="00B87A3D" w:rsidRPr="00917386" w:rsidRDefault="00B87A3D" w:rsidP="00E70031">
            <w:r>
              <w:t>N/A</w:t>
            </w:r>
          </w:p>
        </w:tc>
        <w:tc>
          <w:tcPr>
            <w:tcW w:w="2167" w:type="dxa"/>
          </w:tcPr>
          <w:p w:rsidR="00B87A3D" w:rsidRDefault="00B87A3D" w:rsidP="00E70031">
            <w:r>
              <w:t>Y</w:t>
            </w:r>
          </w:p>
        </w:tc>
        <w:tc>
          <w:tcPr>
            <w:tcW w:w="1795" w:type="dxa"/>
          </w:tcPr>
          <w:p w:rsidR="00B87A3D" w:rsidRDefault="00B87A3D" w:rsidP="00E70031">
            <w:r w:rsidRPr="00506BF8">
              <w:rPr>
                <w:rFonts w:cstheme="minorHAnsi"/>
              </w:rPr>
              <w:t>Y</w:t>
            </w:r>
          </w:p>
        </w:tc>
      </w:tr>
      <w:tr w:rsidR="00B87A3D" w:rsidRPr="00917386" w:rsidTr="00E32A34">
        <w:tc>
          <w:tcPr>
            <w:tcW w:w="2955" w:type="dxa"/>
          </w:tcPr>
          <w:p w:rsidR="00B87A3D" w:rsidRPr="00917386" w:rsidRDefault="00B87A3D" w:rsidP="00E70031">
            <w:r w:rsidRPr="00917386">
              <w:t>Pro</w:t>
            </w:r>
            <w:r>
              <w:t>ject Officer - Access to Justice</w:t>
            </w:r>
          </w:p>
        </w:tc>
        <w:tc>
          <w:tcPr>
            <w:tcW w:w="2325" w:type="dxa"/>
          </w:tcPr>
          <w:p w:rsidR="00B87A3D" w:rsidRPr="00917386" w:rsidRDefault="00B87A3D" w:rsidP="00E70031">
            <w:r>
              <w:t>N/A</w:t>
            </w:r>
          </w:p>
        </w:tc>
        <w:tc>
          <w:tcPr>
            <w:tcW w:w="2167" w:type="dxa"/>
          </w:tcPr>
          <w:p w:rsidR="00B87A3D" w:rsidRDefault="00B87A3D" w:rsidP="00E70031">
            <w:r>
              <w:t>Y</w:t>
            </w:r>
          </w:p>
        </w:tc>
        <w:tc>
          <w:tcPr>
            <w:tcW w:w="1795" w:type="dxa"/>
          </w:tcPr>
          <w:p w:rsidR="00B87A3D" w:rsidRDefault="00B87A3D" w:rsidP="00E70031">
            <w:r w:rsidRPr="00506BF8">
              <w:rPr>
                <w:rFonts w:cstheme="minorHAnsi"/>
              </w:rPr>
              <w:t>Y</w:t>
            </w:r>
          </w:p>
        </w:tc>
      </w:tr>
      <w:tr w:rsidR="00B87A3D" w:rsidRPr="00917386" w:rsidTr="00E32A34">
        <w:tc>
          <w:tcPr>
            <w:tcW w:w="2955" w:type="dxa"/>
            <w:shd w:val="clear" w:color="auto" w:fill="F2F2F2" w:themeFill="background1" w:themeFillShade="F2"/>
          </w:tcPr>
          <w:p w:rsidR="00B87A3D" w:rsidRPr="00917386" w:rsidRDefault="00B87A3D" w:rsidP="00E70031">
            <w:r w:rsidRPr="00917386">
              <w:rPr>
                <w:b/>
              </w:rPr>
              <w:t>Discretionary Technical Assistance Pool (National and International)</w:t>
            </w:r>
          </w:p>
        </w:tc>
        <w:tc>
          <w:tcPr>
            <w:tcW w:w="2325" w:type="dxa"/>
            <w:shd w:val="clear" w:color="auto" w:fill="F2F2F2" w:themeFill="background1" w:themeFillShade="F2"/>
          </w:tcPr>
          <w:p w:rsidR="00B87A3D" w:rsidRPr="00917386" w:rsidRDefault="00B87A3D" w:rsidP="00E70031">
            <w:pPr>
              <w:rPr>
                <w:b/>
              </w:rPr>
            </w:pPr>
          </w:p>
        </w:tc>
        <w:tc>
          <w:tcPr>
            <w:tcW w:w="2167" w:type="dxa"/>
            <w:shd w:val="clear" w:color="auto" w:fill="F2F2F2" w:themeFill="background1" w:themeFillShade="F2"/>
          </w:tcPr>
          <w:p w:rsidR="00B87A3D" w:rsidRPr="00917386" w:rsidRDefault="00B87A3D" w:rsidP="00E70031">
            <w:pPr>
              <w:rPr>
                <w:b/>
              </w:rPr>
            </w:pPr>
          </w:p>
        </w:tc>
        <w:tc>
          <w:tcPr>
            <w:tcW w:w="1795" w:type="dxa"/>
            <w:shd w:val="clear" w:color="auto" w:fill="F2F2F2" w:themeFill="background1" w:themeFillShade="F2"/>
          </w:tcPr>
          <w:p w:rsidR="00B87A3D" w:rsidRPr="00917386" w:rsidRDefault="00B87A3D" w:rsidP="00E70031">
            <w:pPr>
              <w:rPr>
                <w:b/>
              </w:rPr>
            </w:pPr>
          </w:p>
        </w:tc>
      </w:tr>
      <w:tr w:rsidR="00B87A3D" w:rsidRPr="00917386" w:rsidTr="00E32A34">
        <w:tc>
          <w:tcPr>
            <w:tcW w:w="2955" w:type="dxa"/>
          </w:tcPr>
          <w:p w:rsidR="00B87A3D" w:rsidRPr="00917386" w:rsidRDefault="00B87A3D" w:rsidP="00E70031">
            <w:r w:rsidRPr="00917386">
              <w:t>TBC***</w:t>
            </w:r>
            <w:r>
              <w:t>*</w:t>
            </w:r>
          </w:p>
        </w:tc>
        <w:tc>
          <w:tcPr>
            <w:tcW w:w="2325" w:type="dxa"/>
          </w:tcPr>
          <w:p w:rsidR="00B87A3D" w:rsidRPr="00917386" w:rsidRDefault="00B87A3D" w:rsidP="00E70031"/>
        </w:tc>
        <w:tc>
          <w:tcPr>
            <w:tcW w:w="2167" w:type="dxa"/>
          </w:tcPr>
          <w:p w:rsidR="00B87A3D" w:rsidRPr="00917386" w:rsidRDefault="00B87A3D" w:rsidP="00E70031"/>
        </w:tc>
        <w:tc>
          <w:tcPr>
            <w:tcW w:w="1795" w:type="dxa"/>
          </w:tcPr>
          <w:p w:rsidR="00B87A3D" w:rsidRPr="00917386" w:rsidRDefault="00B87A3D" w:rsidP="00E70031"/>
        </w:tc>
      </w:tr>
    </w:tbl>
    <w:p w:rsidR="00CA7A38" w:rsidRPr="00113E34" w:rsidRDefault="00CA7A38" w:rsidP="00E70031">
      <w:pPr>
        <w:spacing w:before="240" w:after="0" w:line="276" w:lineRule="auto"/>
        <w:jc w:val="both"/>
        <w:rPr>
          <w:rFonts w:cstheme="minorHAnsi"/>
        </w:rPr>
      </w:pPr>
      <w:r>
        <w:rPr>
          <w:rFonts w:cstheme="minorHAnsi"/>
        </w:rPr>
        <w:lastRenderedPageBreak/>
        <w:t xml:space="preserve">*This position is not currently an international position.  </w:t>
      </w:r>
      <w:r w:rsidRPr="00113E34">
        <w:rPr>
          <w:rFonts w:cstheme="minorHAnsi"/>
        </w:rPr>
        <w:t xml:space="preserve">If, for any </w:t>
      </w:r>
      <w:r w:rsidR="0047319B">
        <w:rPr>
          <w:rFonts w:cstheme="minorHAnsi"/>
        </w:rPr>
        <w:t>reason, the incumbent is</w:t>
      </w:r>
      <w:r w:rsidRPr="00113E34">
        <w:rPr>
          <w:rFonts w:cstheme="minorHAnsi"/>
        </w:rPr>
        <w:t xml:space="preserve"> no longer able to continue in this role a new Co</w:t>
      </w:r>
      <w:r>
        <w:rPr>
          <w:rFonts w:cstheme="minorHAnsi"/>
        </w:rPr>
        <w:t>ordinator would</w:t>
      </w:r>
      <w:r w:rsidRPr="00113E34">
        <w:rPr>
          <w:rFonts w:cstheme="minorHAnsi"/>
        </w:rPr>
        <w:t xml:space="preserve"> need to be recruit</w:t>
      </w:r>
      <w:r>
        <w:rPr>
          <w:rFonts w:cstheme="minorHAnsi"/>
        </w:rPr>
        <w:t>ed.  I</w:t>
      </w:r>
      <w:r w:rsidRPr="00113E34">
        <w:rPr>
          <w:rFonts w:cstheme="minorHAnsi"/>
        </w:rPr>
        <w:t>t is quite likely they would be international</w:t>
      </w:r>
      <w:r>
        <w:rPr>
          <w:rFonts w:cstheme="minorHAnsi"/>
        </w:rPr>
        <w:t xml:space="preserve"> given the small pool of suitably qualified people who are willing and available to fill the role within Vanuatu.</w:t>
      </w:r>
    </w:p>
    <w:p w:rsidR="00CA7A38" w:rsidRDefault="00CA7A38" w:rsidP="00E70031">
      <w:pPr>
        <w:spacing w:before="240" w:after="0" w:line="276" w:lineRule="auto"/>
        <w:jc w:val="both"/>
        <w:rPr>
          <w:rFonts w:cstheme="minorHAnsi"/>
        </w:rPr>
      </w:pPr>
      <w:r>
        <w:rPr>
          <w:rFonts w:cstheme="minorHAnsi"/>
        </w:rPr>
        <w:t>**</w:t>
      </w:r>
      <w:r w:rsidRPr="00917386">
        <w:rPr>
          <w:rFonts w:cstheme="minorHAnsi"/>
        </w:rPr>
        <w:t>Advisers to the PSO and</w:t>
      </w:r>
      <w:r>
        <w:rPr>
          <w:rFonts w:cstheme="minorHAnsi"/>
        </w:rPr>
        <w:t xml:space="preserve"> OPP</w:t>
      </w:r>
      <w:r w:rsidRPr="00917386">
        <w:rPr>
          <w:rFonts w:cstheme="minorHAnsi"/>
        </w:rPr>
        <w:t xml:space="preserve"> will also have</w:t>
      </w:r>
      <w:r>
        <w:rPr>
          <w:rFonts w:cstheme="minorHAnsi"/>
        </w:rPr>
        <w:t xml:space="preserve"> responsibility for institutional strengthening of their offices beyond legal advice; and</w:t>
      </w:r>
      <w:r w:rsidRPr="00917386">
        <w:rPr>
          <w:rFonts w:cstheme="minorHAnsi"/>
        </w:rPr>
        <w:t xml:space="preserve"> some responsibility for providing targeted skills development </w:t>
      </w:r>
      <w:r>
        <w:rPr>
          <w:rFonts w:cstheme="minorHAnsi"/>
        </w:rPr>
        <w:t xml:space="preserve">and learning </w:t>
      </w:r>
      <w:r w:rsidRPr="00917386">
        <w:rPr>
          <w:rFonts w:cstheme="minorHAnsi"/>
        </w:rPr>
        <w:t>opportunities for</w:t>
      </w:r>
      <w:r>
        <w:rPr>
          <w:rFonts w:cstheme="minorHAnsi"/>
        </w:rPr>
        <w:t xml:space="preserve"> all</w:t>
      </w:r>
      <w:r w:rsidRPr="00917386">
        <w:rPr>
          <w:rFonts w:cstheme="minorHAnsi"/>
        </w:rPr>
        <w:t xml:space="preserve"> lawyers from across the sector</w:t>
      </w:r>
      <w:r>
        <w:rPr>
          <w:rFonts w:cstheme="minorHAnsi"/>
        </w:rPr>
        <w:t xml:space="preserve"> to build legal skills and knowledge</w:t>
      </w:r>
      <w:r w:rsidRPr="00917386">
        <w:rPr>
          <w:rFonts w:cstheme="minorHAnsi"/>
        </w:rPr>
        <w:t xml:space="preserve"> (for example, </w:t>
      </w:r>
      <w:r>
        <w:rPr>
          <w:rFonts w:cstheme="minorHAnsi"/>
        </w:rPr>
        <w:t xml:space="preserve">designing and/or </w:t>
      </w:r>
      <w:r w:rsidRPr="00917386">
        <w:rPr>
          <w:rFonts w:cstheme="minorHAnsi"/>
        </w:rPr>
        <w:t xml:space="preserve">running trainings/workshops </w:t>
      </w:r>
      <w:r>
        <w:rPr>
          <w:rFonts w:cstheme="minorHAnsi"/>
        </w:rPr>
        <w:t xml:space="preserve">on aspects of legal practice).  </w:t>
      </w:r>
      <w:r w:rsidRPr="00917386">
        <w:rPr>
          <w:rFonts w:cstheme="minorHAnsi"/>
        </w:rPr>
        <w:t>Both advisers will also have some responsibility for identifying law reform needs and may play a role in progressing law reform initiatives as appropriate.  Further, both advisers may also support other legal and policy activities.  These functions are in addition to each adviser’s regular support to PSO/</w:t>
      </w:r>
      <w:r>
        <w:rPr>
          <w:rFonts w:cstheme="minorHAnsi"/>
        </w:rPr>
        <w:t>OPP</w:t>
      </w:r>
      <w:r w:rsidRPr="00917386">
        <w:rPr>
          <w:rFonts w:cstheme="minorHAnsi"/>
        </w:rPr>
        <w:t xml:space="preserve"> and should be reflected in terms of reference for both advisers.  These functions should be carried out in a way that preserves</w:t>
      </w:r>
      <w:r>
        <w:rPr>
          <w:rFonts w:cstheme="minorHAnsi"/>
        </w:rPr>
        <w:t xml:space="preserve"> the</w:t>
      </w:r>
      <w:r w:rsidRPr="00917386">
        <w:rPr>
          <w:rFonts w:cstheme="minorHAnsi"/>
        </w:rPr>
        <w:t xml:space="preserve"> independence of the offices and does not risk creating any conflict-of-interest, perceived or actual.</w:t>
      </w:r>
      <w:r>
        <w:rPr>
          <w:rFonts w:cstheme="minorHAnsi"/>
        </w:rPr>
        <w:t xml:space="preserve">  </w:t>
      </w:r>
    </w:p>
    <w:p w:rsidR="00CA7A38" w:rsidRPr="00917386" w:rsidRDefault="00CA7A38" w:rsidP="00E70031">
      <w:pPr>
        <w:spacing w:before="240" w:after="0" w:line="276" w:lineRule="auto"/>
        <w:jc w:val="both"/>
        <w:rPr>
          <w:rFonts w:cstheme="minorHAnsi"/>
        </w:rPr>
      </w:pPr>
      <w:r w:rsidRPr="00917386">
        <w:rPr>
          <w:rFonts w:cstheme="minorHAnsi"/>
        </w:rPr>
        <w:t>**</w:t>
      </w:r>
      <w:r>
        <w:rPr>
          <w:rFonts w:cstheme="minorHAnsi"/>
        </w:rPr>
        <w:t>*</w:t>
      </w:r>
      <w:r w:rsidRPr="00917386">
        <w:rPr>
          <w:rFonts w:cstheme="minorHAnsi"/>
        </w:rPr>
        <w:t xml:space="preserve"> If AFP i</w:t>
      </w:r>
      <w:r>
        <w:rPr>
          <w:rFonts w:cstheme="minorHAnsi"/>
        </w:rPr>
        <w:t>s able to cover the cost of the</w:t>
      </w:r>
      <w:r w:rsidRPr="00917386">
        <w:rPr>
          <w:rFonts w:cstheme="minorHAnsi"/>
        </w:rPr>
        <w:t xml:space="preserve"> </w:t>
      </w:r>
      <w:r>
        <w:rPr>
          <w:rFonts w:cstheme="minorHAnsi"/>
        </w:rPr>
        <w:t>position</w:t>
      </w:r>
      <w:r w:rsidRPr="00917386">
        <w:rPr>
          <w:rFonts w:cstheme="minorHAnsi"/>
        </w:rPr>
        <w:t xml:space="preserve">, or make a substantial contribution, then it is recommended </w:t>
      </w:r>
      <w:r>
        <w:rPr>
          <w:rFonts w:cstheme="minorHAnsi"/>
        </w:rPr>
        <w:t xml:space="preserve">as an AFP-designated position.  Alternatively, the </w:t>
      </w:r>
      <w:r>
        <w:t xml:space="preserve">managing </w:t>
      </w:r>
      <w:r w:rsidRPr="003F4188">
        <w:t>contractor</w:t>
      </w:r>
      <w:r w:rsidRPr="003F4188">
        <w:rPr>
          <w:rFonts w:cstheme="minorHAnsi"/>
        </w:rPr>
        <w:t xml:space="preserve"> </w:t>
      </w:r>
      <w:r>
        <w:rPr>
          <w:rFonts w:cstheme="minorHAnsi"/>
        </w:rPr>
        <w:t xml:space="preserve">can </w:t>
      </w:r>
      <w:r w:rsidRPr="003F4188">
        <w:rPr>
          <w:rFonts w:cstheme="minorHAnsi"/>
        </w:rPr>
        <w:t xml:space="preserve">engage and manage </w:t>
      </w:r>
      <w:r>
        <w:rPr>
          <w:rFonts w:cstheme="minorHAnsi"/>
        </w:rPr>
        <w:t xml:space="preserve">an appropriately experienced adviser </w:t>
      </w:r>
      <w:r w:rsidRPr="003F4188">
        <w:rPr>
          <w:rFonts w:cstheme="minorHAnsi"/>
        </w:rPr>
        <w:t xml:space="preserve">through a competitive selection process.  Either way, the position should be engaged through a joint recruitment process involving AFP, DFAT and </w:t>
      </w:r>
      <w:proofErr w:type="spellStart"/>
      <w:r w:rsidRPr="003F4188">
        <w:rPr>
          <w:rFonts w:cstheme="minorHAnsi"/>
        </w:rPr>
        <w:t>GoV</w:t>
      </w:r>
      <w:r>
        <w:rPr>
          <w:rFonts w:cstheme="minorHAnsi"/>
        </w:rPr>
        <w:t>.</w:t>
      </w:r>
      <w:proofErr w:type="spellEnd"/>
    </w:p>
    <w:p w:rsidR="00CA7A38" w:rsidRDefault="00CA7A38" w:rsidP="00E70031">
      <w:pPr>
        <w:spacing w:before="240" w:line="276" w:lineRule="auto"/>
        <w:jc w:val="both"/>
        <w:rPr>
          <w:rFonts w:cstheme="minorHAnsi"/>
        </w:rPr>
      </w:pPr>
      <w:r w:rsidRPr="00917386">
        <w:rPr>
          <w:rFonts w:cstheme="minorHAnsi"/>
        </w:rPr>
        <w:t>***</w:t>
      </w:r>
      <w:r>
        <w:rPr>
          <w:rFonts w:cstheme="minorHAnsi"/>
        </w:rPr>
        <w:t>*</w:t>
      </w:r>
      <w:r w:rsidRPr="00917386">
        <w:rPr>
          <w:rFonts w:cstheme="minorHAnsi"/>
        </w:rPr>
        <w:t xml:space="preserve"> Flexible mechanism </w:t>
      </w:r>
      <w:r>
        <w:rPr>
          <w:rFonts w:cstheme="minorHAnsi"/>
        </w:rPr>
        <w:t>for engaging</w:t>
      </w:r>
      <w:r w:rsidRPr="00917386">
        <w:rPr>
          <w:rFonts w:cstheme="minorHAnsi"/>
        </w:rPr>
        <w:t xml:space="preserve"> technical assistance as needs/opportunities </w:t>
      </w:r>
      <w:proofErr w:type="gramStart"/>
      <w:r w:rsidRPr="00917386">
        <w:rPr>
          <w:rFonts w:cstheme="minorHAnsi"/>
        </w:rPr>
        <w:t>arise</w:t>
      </w:r>
      <w:proofErr w:type="gramEnd"/>
      <w:r w:rsidRPr="00917386">
        <w:rPr>
          <w:rFonts w:cstheme="minorHAnsi"/>
        </w:rPr>
        <w:t>.  For example, it may be used to engage advisers to assist on, for example, specific l</w:t>
      </w:r>
      <w:r>
        <w:rPr>
          <w:rFonts w:cstheme="minorHAnsi"/>
        </w:rPr>
        <w:t xml:space="preserve">aw reform initiatives, access to justice and </w:t>
      </w:r>
      <w:r w:rsidRPr="00917386">
        <w:rPr>
          <w:rFonts w:cstheme="minorHAnsi"/>
        </w:rPr>
        <w:t>child protection-related activities</w:t>
      </w:r>
      <w:r>
        <w:rPr>
          <w:rFonts w:cstheme="minorHAnsi"/>
        </w:rPr>
        <w:t>, pilot initiatives, and evaluation and survey work</w:t>
      </w:r>
      <w:r w:rsidRPr="00917386">
        <w:rPr>
          <w:rFonts w:cstheme="minorHAnsi"/>
        </w:rPr>
        <w:t xml:space="preserve">. </w:t>
      </w:r>
    </w:p>
    <w:p w:rsidR="00CA7A38" w:rsidRPr="004F754F" w:rsidRDefault="00CA7A38" w:rsidP="00E70031">
      <w:pPr>
        <w:spacing w:before="240" w:line="276" w:lineRule="auto"/>
        <w:jc w:val="both"/>
        <w:rPr>
          <w:rFonts w:cstheme="minorHAnsi"/>
        </w:rPr>
      </w:pPr>
    </w:p>
    <w:p w:rsidR="00CA7A38" w:rsidRPr="00917386" w:rsidRDefault="00CA7A38" w:rsidP="00E70031">
      <w:pPr>
        <w:pStyle w:val="Heading2"/>
        <w:numPr>
          <w:ilvl w:val="1"/>
          <w:numId w:val="1"/>
        </w:numPr>
        <w:spacing w:after="240" w:line="276" w:lineRule="auto"/>
        <w:jc w:val="both"/>
        <w:rPr>
          <w:rFonts w:asciiTheme="minorHAnsi" w:hAnsiTheme="minorHAnsi"/>
          <w:color w:val="000000" w:themeColor="text1"/>
          <w:sz w:val="22"/>
          <w:szCs w:val="22"/>
        </w:rPr>
      </w:pPr>
      <w:bookmarkStart w:id="25" w:name="_Toc458698428"/>
      <w:r w:rsidRPr="00917386">
        <w:rPr>
          <w:rFonts w:asciiTheme="minorHAnsi" w:hAnsiTheme="minorHAnsi"/>
          <w:color w:val="000000" w:themeColor="text1"/>
          <w:sz w:val="22"/>
          <w:szCs w:val="22"/>
        </w:rPr>
        <w:t>Monitoring and Evaluation</w:t>
      </w:r>
      <w:bookmarkEnd w:id="25"/>
    </w:p>
    <w:p w:rsidR="00CA7A38" w:rsidRPr="00917386" w:rsidRDefault="00CA7A38" w:rsidP="00E70031">
      <w:pPr>
        <w:pStyle w:val="Heading3"/>
        <w:numPr>
          <w:ilvl w:val="0"/>
          <w:numId w:val="17"/>
        </w:numPr>
        <w:spacing w:line="276" w:lineRule="auto"/>
        <w:jc w:val="both"/>
        <w:rPr>
          <w:rFonts w:asciiTheme="minorHAnsi" w:hAnsiTheme="minorHAnsi"/>
          <w:color w:val="000000" w:themeColor="text1"/>
          <w:sz w:val="22"/>
          <w:szCs w:val="22"/>
        </w:rPr>
      </w:pPr>
      <w:r w:rsidRPr="00917386">
        <w:rPr>
          <w:rFonts w:asciiTheme="minorHAnsi" w:hAnsiTheme="minorHAnsi"/>
          <w:color w:val="000000" w:themeColor="text1"/>
          <w:sz w:val="22"/>
          <w:szCs w:val="22"/>
        </w:rPr>
        <w:t>Monitoring and Evaluation Approach and System Design</w:t>
      </w:r>
    </w:p>
    <w:p w:rsidR="00CA7A38" w:rsidRPr="00917386" w:rsidRDefault="00CA7A38" w:rsidP="00E70031">
      <w:pPr>
        <w:spacing w:before="240" w:after="0" w:line="276" w:lineRule="auto"/>
        <w:jc w:val="both"/>
      </w:pPr>
      <w:r w:rsidRPr="00917386">
        <w:t>PJSPV’s Monitoring and Evaluation (M&amp;E) Plan sets out the M&amp;E approach to tracking the progress and effectiveness of the program.</w:t>
      </w:r>
      <w:r w:rsidRPr="00917386">
        <w:rPr>
          <w:rStyle w:val="FootnoteReference"/>
        </w:rPr>
        <w:footnoteReference w:id="84"/>
      </w:r>
      <w:r w:rsidRPr="00917386">
        <w:t xml:space="preserve">  PJSPV’s M&amp;E Plan was designed with the following intentions:</w:t>
      </w:r>
    </w:p>
    <w:p w:rsidR="00CA7A38" w:rsidRPr="00FC0A72" w:rsidRDefault="00CA7A38" w:rsidP="00E70031">
      <w:pPr>
        <w:pStyle w:val="ListParagraph"/>
        <w:numPr>
          <w:ilvl w:val="0"/>
          <w:numId w:val="14"/>
        </w:numPr>
        <w:spacing w:before="240" w:after="0" w:line="276" w:lineRule="auto"/>
        <w:ind w:left="714" w:hanging="357"/>
        <w:jc w:val="both"/>
      </w:pPr>
      <w:r w:rsidRPr="00917386">
        <w:t>To support management</w:t>
      </w:r>
      <w:r w:rsidRPr="00FC0A72">
        <w:t xml:space="preserve"> </w:t>
      </w:r>
      <w:r>
        <w:t>evaluate the</w:t>
      </w:r>
      <w:r w:rsidRPr="00FC0A72">
        <w:t xml:space="preserve"> contribution to </w:t>
      </w:r>
      <w:r>
        <w:t>EOPOs</w:t>
      </w:r>
    </w:p>
    <w:p w:rsidR="00CA7A38" w:rsidRPr="00FC0A72" w:rsidRDefault="00CA7A38" w:rsidP="00E70031">
      <w:pPr>
        <w:pStyle w:val="ListParagraph"/>
        <w:numPr>
          <w:ilvl w:val="0"/>
          <w:numId w:val="14"/>
        </w:numPr>
        <w:spacing w:before="240" w:line="276" w:lineRule="auto"/>
        <w:ind w:left="714" w:hanging="357"/>
        <w:jc w:val="both"/>
      </w:pPr>
      <w:r w:rsidRPr="00FC0A72">
        <w:t xml:space="preserve">To </w:t>
      </w:r>
      <w:r>
        <w:t xml:space="preserve">capture </w:t>
      </w:r>
      <w:r w:rsidRPr="00FC0A72">
        <w:t>evidence for use to inform performance management and improvement, and accountability and reporting requirements</w:t>
      </w:r>
    </w:p>
    <w:p w:rsidR="00CA7A38" w:rsidRPr="00FC0A72" w:rsidRDefault="00CA7A38" w:rsidP="00E70031">
      <w:pPr>
        <w:pStyle w:val="ListParagraph"/>
        <w:numPr>
          <w:ilvl w:val="0"/>
          <w:numId w:val="14"/>
        </w:numPr>
        <w:spacing w:before="240" w:line="276" w:lineRule="auto"/>
        <w:ind w:left="714" w:hanging="357"/>
        <w:jc w:val="both"/>
      </w:pPr>
      <w:r w:rsidRPr="00FC0A72">
        <w:t>To enable program management to provide robust reporting on the outcomes of effort and investment to the donor and counterparts</w:t>
      </w:r>
    </w:p>
    <w:p w:rsidR="00CA7A38" w:rsidRDefault="00CA7A38" w:rsidP="00E70031">
      <w:pPr>
        <w:pStyle w:val="ListParagraph"/>
        <w:numPr>
          <w:ilvl w:val="0"/>
          <w:numId w:val="14"/>
        </w:numPr>
        <w:spacing w:before="240" w:line="276" w:lineRule="auto"/>
        <w:ind w:left="714" w:hanging="357"/>
        <w:jc w:val="both"/>
      </w:pPr>
      <w:r w:rsidRPr="00FC0A72">
        <w:t>To provide advisers and management with sound information to support and refine capacity development effort</w:t>
      </w:r>
    </w:p>
    <w:p w:rsidR="00CA7A38" w:rsidRPr="00FC0A72" w:rsidRDefault="00CA7A38" w:rsidP="00E70031">
      <w:pPr>
        <w:pStyle w:val="ListParagraph"/>
        <w:numPr>
          <w:ilvl w:val="0"/>
          <w:numId w:val="14"/>
        </w:numPr>
        <w:spacing w:before="240" w:line="276" w:lineRule="auto"/>
        <w:ind w:left="714" w:hanging="357"/>
        <w:jc w:val="both"/>
      </w:pPr>
      <w:r w:rsidRPr="00FC0A72">
        <w:t>To reinforce the importance of evidence based decision-making for the program team</w:t>
      </w:r>
    </w:p>
    <w:p w:rsidR="00CA7A38" w:rsidRPr="00FC0A72" w:rsidRDefault="00CA7A38" w:rsidP="00E70031">
      <w:pPr>
        <w:spacing w:before="240" w:after="0" w:line="276" w:lineRule="auto"/>
        <w:jc w:val="both"/>
      </w:pPr>
      <w:r w:rsidRPr="00FC0A72">
        <w:lastRenderedPageBreak/>
        <w:t xml:space="preserve">These intentions remain relevant for M&amp;E in </w:t>
      </w:r>
      <w:r>
        <w:t>SRBJS</w:t>
      </w:r>
      <w:r w:rsidRPr="00FC0A72">
        <w:t>.</w:t>
      </w:r>
    </w:p>
    <w:p w:rsidR="00CA7A38" w:rsidRPr="00FC0A72" w:rsidRDefault="00CA7A38" w:rsidP="00E70031">
      <w:pPr>
        <w:spacing w:before="240" w:after="0" w:line="276" w:lineRule="auto"/>
        <w:jc w:val="both"/>
      </w:pPr>
      <w:r w:rsidRPr="00FC0A72">
        <w:t>While PJSPV’s M&amp;E Plan was designed to cover the period November 2014 – December 2016, it provides a sound basis</w:t>
      </w:r>
      <w:r>
        <w:t xml:space="preserve"> on which to build the</w:t>
      </w:r>
      <w:r w:rsidRPr="00FC0A72">
        <w:t xml:space="preserve"> </w:t>
      </w:r>
      <w:r>
        <w:t xml:space="preserve">M&amp;E in SRBJS.  </w:t>
      </w:r>
      <w:r w:rsidRPr="00FC0A72">
        <w:t xml:space="preserve">In the inception phase of </w:t>
      </w:r>
      <w:r>
        <w:t>SRBJS</w:t>
      </w:r>
      <w:r w:rsidRPr="00FC0A72">
        <w:t xml:space="preserve">, the </w:t>
      </w:r>
      <w:r>
        <w:t>managing contractor</w:t>
      </w:r>
      <w:r w:rsidRPr="00FC0A72">
        <w:t xml:space="preserve"> will be required to develop a new M&amp;E Plan.  This should draw on the ap</w:t>
      </w:r>
      <w:r>
        <w:t>proach used in PJSPV’s M&amp;E Plan and</w:t>
      </w:r>
      <w:r w:rsidRPr="00FC0A72">
        <w:t xml:space="preserve"> it must also comply with DFAT’s Monitoring and </w:t>
      </w:r>
      <w:r w:rsidRPr="00FC0A72">
        <w:rPr>
          <w:spacing w:val="-1"/>
        </w:rPr>
        <w:t>Evaluation Standards.</w:t>
      </w:r>
      <w:r w:rsidRPr="00FC0A72">
        <w:rPr>
          <w:rStyle w:val="FootnoteReference"/>
          <w:spacing w:val="-1"/>
        </w:rPr>
        <w:footnoteReference w:id="85"/>
      </w:r>
    </w:p>
    <w:p w:rsidR="00CA7A38" w:rsidRPr="00FC0A72" w:rsidRDefault="00CA7A38" w:rsidP="00E70031">
      <w:pPr>
        <w:spacing w:before="240" w:after="0" w:line="276" w:lineRule="auto"/>
        <w:jc w:val="both"/>
        <w:rPr>
          <w:spacing w:val="-1"/>
        </w:rPr>
      </w:pPr>
      <w:r w:rsidRPr="00FC0A72">
        <w:rPr>
          <w:spacing w:val="-1"/>
        </w:rPr>
        <w:t xml:space="preserve">In particular, the PJSPV M&amp;E Plan incorporates the following features </w:t>
      </w:r>
      <w:r>
        <w:rPr>
          <w:spacing w:val="-1"/>
        </w:rPr>
        <w:t>recommended for continuation</w:t>
      </w:r>
      <w:r w:rsidRPr="00FC0A72">
        <w:rPr>
          <w:spacing w:val="-1"/>
        </w:rPr>
        <w:t>:</w:t>
      </w:r>
    </w:p>
    <w:p w:rsidR="00CA7A38" w:rsidRPr="00FC0A72" w:rsidRDefault="00CA7A38" w:rsidP="00E70031">
      <w:pPr>
        <w:pStyle w:val="ListParagraph"/>
        <w:numPr>
          <w:ilvl w:val="0"/>
          <w:numId w:val="15"/>
        </w:numPr>
        <w:spacing w:before="240" w:line="276" w:lineRule="auto"/>
        <w:ind w:left="714" w:hanging="357"/>
        <w:contextualSpacing w:val="0"/>
        <w:jc w:val="both"/>
      </w:pPr>
      <w:r w:rsidRPr="00FC0A72">
        <w:rPr>
          <w:b/>
        </w:rPr>
        <w:t>Response to contextual and sector complexity</w:t>
      </w:r>
      <w:r w:rsidRPr="00FC0A72">
        <w:t xml:space="preserve">: the context to which M&amp;E responds </w:t>
      </w:r>
      <w:r>
        <w:t>features</w:t>
      </w:r>
      <w:r w:rsidRPr="00FC0A72">
        <w:t xml:space="preserve"> </w:t>
      </w:r>
      <w:r>
        <w:t xml:space="preserve">many </w:t>
      </w:r>
      <w:r w:rsidRPr="00FC0A72">
        <w:t xml:space="preserve">diverse actors and institutions.  The M&amp;E approach also takes into consideration GoV international legal commitments as a State Party to international </w:t>
      </w:r>
      <w:r>
        <w:t>conventions</w:t>
      </w:r>
      <w:r w:rsidRPr="00FC0A72">
        <w:t xml:space="preserve">.  </w:t>
      </w:r>
    </w:p>
    <w:p w:rsidR="00CA7A38" w:rsidRPr="00FC0A72" w:rsidRDefault="00CA7A38" w:rsidP="00E70031">
      <w:pPr>
        <w:pStyle w:val="ListParagraph"/>
        <w:numPr>
          <w:ilvl w:val="0"/>
          <w:numId w:val="15"/>
        </w:numPr>
        <w:spacing w:before="240" w:after="0" w:line="276" w:lineRule="auto"/>
        <w:ind w:left="714" w:hanging="357"/>
        <w:contextualSpacing w:val="0"/>
        <w:jc w:val="both"/>
      </w:pPr>
      <w:r w:rsidRPr="00FC0A72">
        <w:rPr>
          <w:b/>
        </w:rPr>
        <w:t xml:space="preserve">Capture of information for JCSS, VPF and </w:t>
      </w:r>
      <w:r>
        <w:rPr>
          <w:b/>
        </w:rPr>
        <w:t>SRBJS</w:t>
      </w:r>
      <w:r w:rsidRPr="00FC0A72">
        <w:t>: information is intended to inform management, accountability and reporting require</w:t>
      </w:r>
      <w:r>
        <w:t>ments for VPF, JCSS and program.  This could increasingly include supporting the provision of an evidence base for decision making by counterparts</w:t>
      </w:r>
    </w:p>
    <w:p w:rsidR="00CA7A38" w:rsidRPr="00FC0A72" w:rsidRDefault="00CA7A38" w:rsidP="00E70031">
      <w:pPr>
        <w:pStyle w:val="ListParagraph"/>
        <w:numPr>
          <w:ilvl w:val="0"/>
          <w:numId w:val="15"/>
        </w:numPr>
        <w:spacing w:before="240" w:after="0" w:line="276" w:lineRule="auto"/>
        <w:ind w:left="714" w:hanging="357"/>
        <w:contextualSpacing w:val="0"/>
        <w:jc w:val="both"/>
      </w:pPr>
      <w:r w:rsidRPr="00FC0A72">
        <w:rPr>
          <w:b/>
        </w:rPr>
        <w:t xml:space="preserve">Alignment with GoV priorities </w:t>
      </w:r>
      <w:r w:rsidRPr="00FC0A72">
        <w:t>including sector priorities articulated in the JCSSS and GoV Priority Action Agenda.  The M&amp;E Framework contains a number of outcomes and indicators which service the priorities and intentions of these strategic documents</w:t>
      </w:r>
    </w:p>
    <w:p w:rsidR="00CA7A38" w:rsidRPr="00FC0A72" w:rsidRDefault="00CA7A38" w:rsidP="00E70031">
      <w:pPr>
        <w:pStyle w:val="ListParagraph"/>
        <w:numPr>
          <w:ilvl w:val="0"/>
          <w:numId w:val="15"/>
        </w:numPr>
        <w:spacing w:before="240" w:after="0" w:line="276" w:lineRule="auto"/>
        <w:ind w:left="714" w:hanging="357"/>
        <w:contextualSpacing w:val="0"/>
        <w:jc w:val="both"/>
      </w:pPr>
      <w:r w:rsidRPr="00FC0A72">
        <w:rPr>
          <w:b/>
        </w:rPr>
        <w:t xml:space="preserve">Measuring program contribution: </w:t>
      </w:r>
      <w:r w:rsidRPr="00FC0A72">
        <w:t xml:space="preserve">the focus is on monitoring outcomes, on the assumption that activity completion (outputs) is the responsibility of program managers to monitor through other mechanisms.  Yet it is essential to capture the extent to which the inputs and outputs delivered by the program have </w:t>
      </w:r>
      <w:r w:rsidRPr="00FC0A72">
        <w:rPr>
          <w:i/>
        </w:rPr>
        <w:t>contributed</w:t>
      </w:r>
      <w:r w:rsidRPr="00FC0A72">
        <w:t xml:space="preserve"> to achieving agency and sector objectives.  This is done through targeted evaluations and drawing on information gathered by advisers as part of their activity implementation</w:t>
      </w:r>
    </w:p>
    <w:p w:rsidR="00CA7A38" w:rsidRPr="00530707" w:rsidRDefault="00CA7A38" w:rsidP="00E70031">
      <w:pPr>
        <w:pStyle w:val="ListParagraph"/>
        <w:numPr>
          <w:ilvl w:val="0"/>
          <w:numId w:val="15"/>
        </w:numPr>
        <w:spacing w:before="240" w:after="0" w:line="276" w:lineRule="auto"/>
        <w:ind w:left="714" w:hanging="357"/>
        <w:contextualSpacing w:val="0"/>
        <w:jc w:val="both"/>
      </w:pPr>
      <w:r w:rsidRPr="00FC0A72">
        <w:rPr>
          <w:b/>
        </w:rPr>
        <w:t xml:space="preserve">Working in partner government systems: </w:t>
      </w:r>
      <w:r w:rsidRPr="00FC0A72">
        <w:rPr>
          <w:spacing w:val="-1"/>
        </w:rPr>
        <w:t>the M&amp;E Plan uses</w:t>
      </w:r>
      <w:r w:rsidRPr="00FC0A72">
        <w:rPr>
          <w:spacing w:val="4"/>
        </w:rPr>
        <w:t xml:space="preserve"> </w:t>
      </w:r>
      <w:r w:rsidRPr="00FC0A72">
        <w:rPr>
          <w:spacing w:val="-1"/>
        </w:rPr>
        <w:t>agency</w:t>
      </w:r>
      <w:r w:rsidRPr="00FC0A72">
        <w:rPr>
          <w:spacing w:val="5"/>
        </w:rPr>
        <w:t xml:space="preserve"> </w:t>
      </w:r>
      <w:r w:rsidRPr="00FC0A72">
        <w:rPr>
          <w:spacing w:val="-1"/>
        </w:rPr>
        <w:t>systems</w:t>
      </w:r>
      <w:r w:rsidRPr="00FC0A72">
        <w:rPr>
          <w:spacing w:val="3"/>
        </w:rPr>
        <w:t xml:space="preserve"> </w:t>
      </w:r>
      <w:r w:rsidRPr="00FC0A72">
        <w:rPr>
          <w:spacing w:val="-1"/>
        </w:rPr>
        <w:t>to</w:t>
      </w:r>
      <w:r w:rsidRPr="00FC0A72">
        <w:rPr>
          <w:spacing w:val="6"/>
        </w:rPr>
        <w:t xml:space="preserve"> </w:t>
      </w:r>
      <w:r w:rsidRPr="00FC0A72">
        <w:rPr>
          <w:spacing w:val="-1"/>
        </w:rPr>
        <w:t>collect,</w:t>
      </w:r>
      <w:r w:rsidRPr="00FC0A72">
        <w:rPr>
          <w:spacing w:val="5"/>
        </w:rPr>
        <w:t xml:space="preserve"> </w:t>
      </w:r>
      <w:r w:rsidRPr="00FC0A72">
        <w:rPr>
          <w:spacing w:val="-1"/>
        </w:rPr>
        <w:t>store</w:t>
      </w:r>
      <w:r w:rsidRPr="00FC0A72">
        <w:rPr>
          <w:spacing w:val="3"/>
        </w:rPr>
        <w:t xml:space="preserve"> </w:t>
      </w:r>
      <w:r w:rsidRPr="00FC0A72">
        <w:rPr>
          <w:spacing w:val="-2"/>
        </w:rPr>
        <w:t>and</w:t>
      </w:r>
      <w:r w:rsidRPr="00FC0A72">
        <w:rPr>
          <w:spacing w:val="4"/>
        </w:rPr>
        <w:t xml:space="preserve"> </w:t>
      </w:r>
      <w:r w:rsidRPr="00FC0A72">
        <w:rPr>
          <w:spacing w:val="-1"/>
        </w:rPr>
        <w:t>analyse</w:t>
      </w:r>
      <w:r w:rsidRPr="00FC0A72">
        <w:rPr>
          <w:spacing w:val="5"/>
        </w:rPr>
        <w:t xml:space="preserve"> </w:t>
      </w:r>
      <w:r w:rsidRPr="00FC0A72">
        <w:rPr>
          <w:spacing w:val="-1"/>
        </w:rPr>
        <w:t>data on relevant indicators.  Advisers have</w:t>
      </w:r>
      <w:r w:rsidRPr="00FC0A72">
        <w:rPr>
          <w:spacing w:val="-2"/>
        </w:rPr>
        <w:t xml:space="preserve"> </w:t>
      </w:r>
      <w:r w:rsidRPr="00FC0A72">
        <w:t>a</w:t>
      </w:r>
      <w:r w:rsidRPr="00FC0A72">
        <w:rPr>
          <w:spacing w:val="-2"/>
        </w:rPr>
        <w:t xml:space="preserve"> </w:t>
      </w:r>
      <w:r w:rsidRPr="00FC0A72">
        <w:rPr>
          <w:spacing w:val="-1"/>
        </w:rPr>
        <w:t>role</w:t>
      </w:r>
      <w:r w:rsidRPr="00FC0A72">
        <w:rPr>
          <w:spacing w:val="-2"/>
        </w:rPr>
        <w:t xml:space="preserve"> </w:t>
      </w:r>
      <w:r w:rsidRPr="00FC0A72">
        <w:rPr>
          <w:spacing w:val="-1"/>
        </w:rPr>
        <w:t>in</w:t>
      </w:r>
      <w:r w:rsidRPr="00FC0A72">
        <w:rPr>
          <w:spacing w:val="-3"/>
        </w:rPr>
        <w:t xml:space="preserve"> </w:t>
      </w:r>
      <w:r w:rsidRPr="00FC0A72">
        <w:rPr>
          <w:spacing w:val="-1"/>
        </w:rPr>
        <w:t>developing the</w:t>
      </w:r>
      <w:r w:rsidRPr="00FC0A72">
        <w:rPr>
          <w:spacing w:val="-2"/>
        </w:rPr>
        <w:t xml:space="preserve"> </w:t>
      </w:r>
      <w:r w:rsidRPr="00FC0A72">
        <w:rPr>
          <w:spacing w:val="-1"/>
        </w:rPr>
        <w:t xml:space="preserve">capacity </w:t>
      </w:r>
      <w:r w:rsidRPr="00FC0A72">
        <w:t>of</w:t>
      </w:r>
      <w:r w:rsidRPr="00FC0A72">
        <w:rPr>
          <w:spacing w:val="-2"/>
        </w:rPr>
        <w:t xml:space="preserve"> </w:t>
      </w:r>
      <w:r w:rsidRPr="00FC0A72">
        <w:rPr>
          <w:spacing w:val="-1"/>
        </w:rPr>
        <w:t xml:space="preserve">agency </w:t>
      </w:r>
      <w:r w:rsidRPr="00FC0A72">
        <w:t>staff</w:t>
      </w:r>
      <w:r w:rsidRPr="00FC0A72">
        <w:rPr>
          <w:spacing w:val="-2"/>
        </w:rPr>
        <w:t xml:space="preserve"> </w:t>
      </w:r>
      <w:r w:rsidRPr="00FC0A72">
        <w:rPr>
          <w:spacing w:val="-1"/>
        </w:rPr>
        <w:t>in</w:t>
      </w:r>
      <w:r w:rsidRPr="00FC0A72">
        <w:rPr>
          <w:spacing w:val="-3"/>
        </w:rPr>
        <w:t xml:space="preserve"> </w:t>
      </w:r>
      <w:r w:rsidRPr="00FC0A72">
        <w:t>evidence based performance</w:t>
      </w:r>
      <w:r>
        <w:t xml:space="preserve">.  </w:t>
      </w:r>
      <w:r>
        <w:rPr>
          <w:rFonts w:cstheme="minorHAnsi"/>
        </w:rPr>
        <w:t>M&amp;E</w:t>
      </w:r>
      <w:r w:rsidRPr="003C1B19">
        <w:rPr>
          <w:rFonts w:cstheme="minorHAnsi"/>
        </w:rPr>
        <w:t xml:space="preserve"> will be transparent, jointly implemented, mutually supportive and conducted in cycles that support the</w:t>
      </w:r>
      <w:r>
        <w:rPr>
          <w:rFonts w:cstheme="minorHAnsi"/>
        </w:rPr>
        <w:t xml:space="preserve"> GoV budget and planning cycles</w:t>
      </w:r>
    </w:p>
    <w:p w:rsidR="00CA7A38" w:rsidRPr="00916A5F" w:rsidRDefault="00CA7A38" w:rsidP="00E70031">
      <w:pPr>
        <w:pStyle w:val="ListParagraph"/>
        <w:numPr>
          <w:ilvl w:val="0"/>
          <w:numId w:val="15"/>
        </w:numPr>
        <w:spacing w:before="240" w:after="0" w:line="276" w:lineRule="auto"/>
        <w:ind w:left="714" w:hanging="357"/>
        <w:contextualSpacing w:val="0"/>
        <w:jc w:val="both"/>
      </w:pPr>
      <w:r w:rsidRPr="00F632CB">
        <w:rPr>
          <w:b/>
        </w:rPr>
        <w:t xml:space="preserve">Capture of disaggregated information: </w:t>
      </w:r>
      <w:r>
        <w:t xml:space="preserve">while the program already seeks to capture information disaggregated according to gender and geographic location wherever possible, greater emphasis could be placed in SRJBS on </w:t>
      </w:r>
      <w:r w:rsidRPr="00F632CB">
        <w:rPr>
          <w:lang w:val="en-IE"/>
        </w:rPr>
        <w:t xml:space="preserve">collecting </w:t>
      </w:r>
      <w:r w:rsidRPr="00F632CB">
        <w:rPr>
          <w:b/>
          <w:lang w:val="en-IE"/>
        </w:rPr>
        <w:t>disability-disaggregated</w:t>
      </w:r>
      <w:r w:rsidRPr="00F632CB">
        <w:rPr>
          <w:lang w:val="en-IE"/>
        </w:rPr>
        <w:t xml:space="preserve"> data.  This would be intended to provide evidence about the extent to which people with disabilities are participating in and benefiting from sector and/or program initiatives</w:t>
      </w:r>
      <w:r>
        <w:rPr>
          <w:lang w:val="en-IE"/>
        </w:rPr>
        <w:t xml:space="preserve">.  A greater emphasis more generally, through program and sector M&amp;E, on the experiences of persons with disabilities and the local disability context, could help the sector and program respond more effectively to the needs of persons with disabilities.  </w:t>
      </w:r>
    </w:p>
    <w:p w:rsidR="00CA7A38" w:rsidRPr="00FC0A72" w:rsidRDefault="00CA7A38" w:rsidP="00E70031">
      <w:pPr>
        <w:pStyle w:val="ListParagraph"/>
        <w:spacing w:before="240" w:after="0" w:line="276" w:lineRule="auto"/>
        <w:ind w:left="714"/>
        <w:contextualSpacing w:val="0"/>
        <w:jc w:val="both"/>
      </w:pPr>
    </w:p>
    <w:p w:rsidR="00CA7A38" w:rsidRPr="00FC0A72" w:rsidRDefault="00CA7A38" w:rsidP="00E70031">
      <w:pPr>
        <w:pStyle w:val="Heading3"/>
        <w:numPr>
          <w:ilvl w:val="0"/>
          <w:numId w:val="17"/>
        </w:numPr>
        <w:spacing w:after="240" w:line="276" w:lineRule="auto"/>
        <w:jc w:val="both"/>
        <w:rPr>
          <w:rFonts w:asciiTheme="minorHAnsi" w:hAnsiTheme="minorHAnsi"/>
          <w:color w:val="000000" w:themeColor="text1"/>
          <w:sz w:val="22"/>
          <w:szCs w:val="22"/>
        </w:rPr>
      </w:pPr>
      <w:r w:rsidRPr="00FC0A72">
        <w:rPr>
          <w:rFonts w:asciiTheme="minorHAnsi" w:hAnsiTheme="minorHAnsi"/>
          <w:color w:val="000000" w:themeColor="text1"/>
          <w:sz w:val="22"/>
          <w:szCs w:val="22"/>
        </w:rPr>
        <w:t xml:space="preserve">Scope of the Monitoring and Evaluation Plan </w:t>
      </w:r>
    </w:p>
    <w:p w:rsidR="00CA7A38" w:rsidRDefault="00CA7A38" w:rsidP="00E70031">
      <w:pPr>
        <w:spacing w:before="240" w:line="276" w:lineRule="auto"/>
        <w:jc w:val="both"/>
      </w:pPr>
      <w:r w:rsidRPr="00FC0A72">
        <w:t xml:space="preserve">The </w:t>
      </w:r>
      <w:r>
        <w:t>SRBJS</w:t>
      </w:r>
      <w:r w:rsidRPr="00FC0A72">
        <w:t xml:space="preserve"> M&amp;E Plan will be designed to guide measurement of the </w:t>
      </w:r>
      <w:r>
        <w:t xml:space="preserve">EOPOs and IOs contained in the </w:t>
      </w:r>
      <w:r w:rsidRPr="00FC0A72">
        <w:t xml:space="preserve">program logic (set out in section 3.3 above).  Outcomes in the program logic are indicative and should be tested at the time of development of the </w:t>
      </w:r>
      <w:r>
        <w:t>SRBJS</w:t>
      </w:r>
      <w:r w:rsidRPr="00FC0A72">
        <w:t xml:space="preserve"> M&amp;E Plan.</w:t>
      </w:r>
      <w:r>
        <w:t xml:space="preserve">  This could involve revisiting select parts of the theory of change</w:t>
      </w:r>
      <w:r>
        <w:rPr>
          <w:rStyle w:val="FootnoteReference"/>
        </w:rPr>
        <w:footnoteReference w:id="86"/>
      </w:r>
      <w:r>
        <w:t xml:space="preserve"> (which sits behind the program logic), for example, where the program is expanding into new areas.  Also, </w:t>
      </w:r>
      <w:r w:rsidRPr="00FC0A72">
        <w:t>performance indicators should be developed</w:t>
      </w:r>
      <w:r>
        <w:t xml:space="preserve"> and corresponding data sources identified, together with</w:t>
      </w:r>
      <w:r w:rsidRPr="00FC0A72">
        <w:t xml:space="preserve"> the arrangements for gathering and reporting on the data.  </w:t>
      </w:r>
      <w:r>
        <w:t>Part of the process of developing the M&amp;E Plan should be to define the three EOPOs in terms of precisely that which is meant by ‘quality’, ‘access’ and ‘service delivery capacity’ in the context of the program.  Precisely defining these terms from the outset will be a crucial step in facilitating tracking of sector and program progress towards the EOPOs over the four year program period.</w:t>
      </w:r>
    </w:p>
    <w:p w:rsidR="00CA7A38" w:rsidRDefault="00CA7A38" w:rsidP="00E70031">
      <w:pPr>
        <w:spacing w:before="240" w:line="276" w:lineRule="auto"/>
        <w:jc w:val="both"/>
      </w:pPr>
      <w:r w:rsidRPr="00FC0A72">
        <w:t xml:space="preserve">The intention in developing the M&amp;E Plan should be to have a limited but sufficient number of indicators, evaluations and surveys with suitable buy-in from sector agencies and program personnel.  Given the substantial number of </w:t>
      </w:r>
      <w:r>
        <w:t>IOs</w:t>
      </w:r>
      <w:r w:rsidRPr="00FC0A72">
        <w:t xml:space="preserve"> in the </w:t>
      </w:r>
      <w:r>
        <w:t>SRBJS program logic</w:t>
      </w:r>
      <w:r w:rsidRPr="00FC0A72">
        <w:t>, coupled with the number of stakeholders who may wish to see particular measures included, a careful balance will be required to ensure the M&amp;E Plan is fit for purpose.  Th</w:t>
      </w:r>
      <w:r>
        <w:t>is is a lesson identified from PJSPV and should be incorporated into SRBJS.</w:t>
      </w:r>
    </w:p>
    <w:p w:rsidR="00CA7A38" w:rsidRPr="00FC0A72" w:rsidRDefault="00CA7A38" w:rsidP="00E70031">
      <w:pPr>
        <w:spacing w:before="240" w:line="276" w:lineRule="auto"/>
        <w:jc w:val="both"/>
      </w:pPr>
    </w:p>
    <w:p w:rsidR="00CA7A38" w:rsidRPr="00FC0A72" w:rsidRDefault="00CA7A38" w:rsidP="00E70031">
      <w:pPr>
        <w:pStyle w:val="Heading3"/>
        <w:numPr>
          <w:ilvl w:val="0"/>
          <w:numId w:val="17"/>
        </w:numPr>
        <w:spacing w:line="276" w:lineRule="auto"/>
        <w:jc w:val="both"/>
        <w:rPr>
          <w:rFonts w:asciiTheme="minorHAnsi" w:hAnsiTheme="minorHAnsi"/>
          <w:color w:val="000000" w:themeColor="text1"/>
          <w:sz w:val="22"/>
          <w:szCs w:val="22"/>
        </w:rPr>
      </w:pPr>
      <w:r w:rsidRPr="00FC0A72">
        <w:rPr>
          <w:rFonts w:asciiTheme="minorHAnsi" w:hAnsiTheme="minorHAnsi"/>
          <w:color w:val="000000" w:themeColor="text1"/>
          <w:sz w:val="22"/>
          <w:szCs w:val="22"/>
        </w:rPr>
        <w:t>Evaluation Questions</w:t>
      </w:r>
    </w:p>
    <w:p w:rsidR="00CA7A38" w:rsidRPr="00FC0A72" w:rsidRDefault="00CA7A38" w:rsidP="00E70031">
      <w:pPr>
        <w:spacing w:before="240" w:line="276" w:lineRule="auto"/>
        <w:jc w:val="both"/>
        <w:rPr>
          <w:rFonts w:eastAsia="Times New Roman"/>
        </w:rPr>
      </w:pPr>
      <w:r w:rsidRPr="00FC0A72">
        <w:rPr>
          <w:rFonts w:eastAsia="Times New Roman"/>
        </w:rPr>
        <w:t>The following are suggested as the key overarching evaluation questions that stakeholders would wish to know by the end of the investment:</w:t>
      </w:r>
    </w:p>
    <w:p w:rsidR="00CA7A38" w:rsidRPr="00FC0A72" w:rsidRDefault="00CA7A38" w:rsidP="00E70031">
      <w:pPr>
        <w:pStyle w:val="ListParagraph"/>
        <w:numPr>
          <w:ilvl w:val="0"/>
          <w:numId w:val="19"/>
        </w:numPr>
        <w:spacing w:before="120" w:after="120" w:line="276" w:lineRule="auto"/>
        <w:ind w:left="714" w:hanging="357"/>
        <w:contextualSpacing w:val="0"/>
        <w:jc w:val="both"/>
      </w:pPr>
      <w:r w:rsidRPr="00FC0A72">
        <w:rPr>
          <w:b/>
        </w:rPr>
        <w:t>Delivering policing and justice services</w:t>
      </w:r>
      <w:r w:rsidRPr="00FC0A72">
        <w:t>: To what extent have policing, justice and community services to women, children and youth improved across the period of the investment, and what has been the program contribution to this?</w:t>
      </w:r>
    </w:p>
    <w:p w:rsidR="00CA7A38" w:rsidRPr="00FC0A72" w:rsidRDefault="00CA7A38" w:rsidP="00E70031">
      <w:pPr>
        <w:pStyle w:val="ListParagraph"/>
        <w:numPr>
          <w:ilvl w:val="0"/>
          <w:numId w:val="19"/>
        </w:numPr>
        <w:spacing w:before="120" w:after="120" w:line="276" w:lineRule="auto"/>
        <w:ind w:left="714" w:hanging="357"/>
        <w:contextualSpacing w:val="0"/>
        <w:jc w:val="both"/>
      </w:pPr>
      <w:r w:rsidRPr="00FC0A72">
        <w:rPr>
          <w:b/>
        </w:rPr>
        <w:t xml:space="preserve">Reach of service delivery: </w:t>
      </w:r>
      <w:r w:rsidRPr="00FC0A72">
        <w:t xml:space="preserve">To what extent have sector agencies expanded the reach of their services to targeted provincial locations, and what has </w:t>
      </w:r>
      <w:r>
        <w:t>been SRBJS’s</w:t>
      </w:r>
      <w:r w:rsidRPr="00FC0A72">
        <w:t xml:space="preserve"> contribution to this? </w:t>
      </w:r>
    </w:p>
    <w:p w:rsidR="00CA7A38" w:rsidRPr="00FC0A72" w:rsidRDefault="00CA7A38" w:rsidP="00E70031">
      <w:pPr>
        <w:pStyle w:val="ListParagraph"/>
        <w:numPr>
          <w:ilvl w:val="0"/>
          <w:numId w:val="19"/>
        </w:numPr>
        <w:spacing w:before="120" w:after="120" w:line="276" w:lineRule="auto"/>
        <w:ind w:left="714" w:hanging="357"/>
        <w:contextualSpacing w:val="0"/>
        <w:jc w:val="both"/>
      </w:pPr>
      <w:r w:rsidRPr="00FC0A72">
        <w:rPr>
          <w:b/>
        </w:rPr>
        <w:t>Responses to survivors of violence against women and children</w:t>
      </w:r>
      <w:r w:rsidRPr="00FC0A72">
        <w:t xml:space="preserve">: To what extent are </w:t>
      </w:r>
      <w:r>
        <w:t xml:space="preserve">sector </w:t>
      </w:r>
      <w:r w:rsidRPr="00FC0A72">
        <w:t xml:space="preserve">agencies and targeted non-state actors </w:t>
      </w:r>
      <w:r w:rsidRPr="00FC0A72">
        <w:rPr>
          <w:spacing w:val="-1"/>
        </w:rPr>
        <w:t>responding</w:t>
      </w:r>
      <w:r>
        <w:rPr>
          <w:spacing w:val="53"/>
        </w:rPr>
        <w:t xml:space="preserve"> </w:t>
      </w:r>
      <w:r w:rsidRPr="00FC0A72">
        <w:rPr>
          <w:spacing w:val="-1"/>
        </w:rPr>
        <w:t>more</w:t>
      </w:r>
      <w:r w:rsidRPr="00FC0A72">
        <w:rPr>
          <w:spacing w:val="1"/>
        </w:rPr>
        <w:t xml:space="preserve"> </w:t>
      </w:r>
      <w:r w:rsidRPr="00FC0A72">
        <w:t xml:space="preserve">effectively to cases involving violence against women and </w:t>
      </w:r>
      <w:r>
        <w:t>children?</w:t>
      </w:r>
    </w:p>
    <w:p w:rsidR="00CA7A38" w:rsidRPr="00FC0A72" w:rsidRDefault="00CA7A38" w:rsidP="00E70031">
      <w:pPr>
        <w:pStyle w:val="ListParagraph"/>
        <w:numPr>
          <w:ilvl w:val="0"/>
          <w:numId w:val="19"/>
        </w:numPr>
        <w:spacing w:before="120" w:after="120" w:line="276" w:lineRule="auto"/>
        <w:ind w:left="714" w:hanging="357"/>
        <w:contextualSpacing w:val="0"/>
        <w:jc w:val="both"/>
        <w:rPr>
          <w:b/>
        </w:rPr>
      </w:pPr>
      <w:r w:rsidRPr="00FC0A72">
        <w:rPr>
          <w:b/>
        </w:rPr>
        <w:t xml:space="preserve">Support to vulnerable and at-risk groups: </w:t>
      </w:r>
      <w:r w:rsidRPr="00FC0A72">
        <w:t>How well do sector agencies and targeted non-state actors respond to the needs of vulnerable and at-risk groups?</w:t>
      </w:r>
    </w:p>
    <w:p w:rsidR="00CA7A38" w:rsidRDefault="00CA7A38" w:rsidP="00E70031">
      <w:pPr>
        <w:pStyle w:val="ListParagraph"/>
        <w:numPr>
          <w:ilvl w:val="0"/>
          <w:numId w:val="19"/>
        </w:numPr>
        <w:spacing w:before="120" w:after="120" w:line="276" w:lineRule="auto"/>
        <w:ind w:left="714" w:hanging="357"/>
        <w:contextualSpacing w:val="0"/>
        <w:jc w:val="both"/>
      </w:pPr>
      <w:r w:rsidRPr="00FC0A72">
        <w:rPr>
          <w:b/>
        </w:rPr>
        <w:t>Capacity development</w:t>
      </w:r>
      <w:r w:rsidRPr="00FC0A72">
        <w:t>: Are capacity development initiatives supported by the program leading to sector actors and institutions more effectively performing their functions?</w:t>
      </w:r>
    </w:p>
    <w:p w:rsidR="00CA7A38" w:rsidRPr="00FC0A72" w:rsidRDefault="00CA7A38" w:rsidP="00E70031">
      <w:pPr>
        <w:pStyle w:val="ListParagraph"/>
        <w:numPr>
          <w:ilvl w:val="0"/>
          <w:numId w:val="19"/>
        </w:numPr>
        <w:spacing w:before="120" w:after="120" w:line="276" w:lineRule="auto"/>
        <w:ind w:left="714" w:hanging="357"/>
        <w:contextualSpacing w:val="0"/>
        <w:jc w:val="both"/>
      </w:pPr>
      <w:r>
        <w:rPr>
          <w:b/>
        </w:rPr>
        <w:lastRenderedPageBreak/>
        <w:t xml:space="preserve">Management of human and financial resources: </w:t>
      </w:r>
      <w:r>
        <w:t>How, and to what extent, has program support for human and financial resource management improved sector performance?</w:t>
      </w:r>
    </w:p>
    <w:p w:rsidR="00CA7A38" w:rsidRPr="00FC0A72" w:rsidRDefault="00CA7A38" w:rsidP="00E70031">
      <w:pPr>
        <w:pStyle w:val="ListParagraph"/>
        <w:numPr>
          <w:ilvl w:val="0"/>
          <w:numId w:val="19"/>
        </w:numPr>
        <w:spacing w:before="120" w:after="120" w:line="276" w:lineRule="auto"/>
        <w:ind w:left="714" w:hanging="357"/>
        <w:contextualSpacing w:val="0"/>
        <w:jc w:val="both"/>
      </w:pPr>
      <w:r w:rsidRPr="00FC0A72">
        <w:rPr>
          <w:b/>
        </w:rPr>
        <w:t>Information systems</w:t>
      </w:r>
      <w:r w:rsidRPr="00FC0A72">
        <w:t xml:space="preserve">: What influence has the investment in information systems (such as case and data management systems) had on the quality and use of data in the sector? </w:t>
      </w:r>
    </w:p>
    <w:p w:rsidR="00CA7A38" w:rsidRDefault="00CA7A38" w:rsidP="00E70031">
      <w:pPr>
        <w:spacing w:before="120" w:line="276" w:lineRule="auto"/>
        <w:jc w:val="both"/>
      </w:pPr>
      <w:r w:rsidRPr="00FC0A72">
        <w:t>These themes will be assessed using a mixture of the methodologies described directly below.</w:t>
      </w:r>
    </w:p>
    <w:p w:rsidR="00CA7A38" w:rsidRPr="00FC0A72" w:rsidRDefault="00CA7A38" w:rsidP="00E70031">
      <w:pPr>
        <w:spacing w:before="120" w:line="276" w:lineRule="auto"/>
        <w:jc w:val="both"/>
      </w:pPr>
    </w:p>
    <w:p w:rsidR="00CA7A38" w:rsidRPr="00FC0A72" w:rsidRDefault="00CA7A38" w:rsidP="00E70031">
      <w:pPr>
        <w:pStyle w:val="Heading3"/>
        <w:numPr>
          <w:ilvl w:val="0"/>
          <w:numId w:val="17"/>
        </w:numPr>
        <w:spacing w:line="276" w:lineRule="auto"/>
        <w:jc w:val="both"/>
        <w:rPr>
          <w:rFonts w:asciiTheme="minorHAnsi" w:hAnsiTheme="minorHAnsi"/>
          <w:color w:val="000000" w:themeColor="text1"/>
          <w:sz w:val="22"/>
          <w:szCs w:val="22"/>
        </w:rPr>
      </w:pPr>
      <w:r w:rsidRPr="00FC0A72">
        <w:rPr>
          <w:rFonts w:asciiTheme="minorHAnsi" w:hAnsiTheme="minorHAnsi"/>
          <w:color w:val="000000" w:themeColor="text1"/>
          <w:sz w:val="22"/>
          <w:szCs w:val="22"/>
        </w:rPr>
        <w:t>Methodologies</w:t>
      </w:r>
    </w:p>
    <w:p w:rsidR="00CA7A38" w:rsidRPr="00FC0A72" w:rsidRDefault="00CA7A38" w:rsidP="00E70031">
      <w:pPr>
        <w:spacing w:before="240" w:line="276" w:lineRule="auto"/>
        <w:jc w:val="both"/>
        <w:rPr>
          <w:rFonts w:eastAsia="Times New Roman"/>
        </w:rPr>
      </w:pPr>
      <w:r w:rsidRPr="00FC0A72">
        <w:rPr>
          <w:rFonts w:eastAsia="Times New Roman"/>
        </w:rPr>
        <w:t>The following methodologies are proposed to measure changes created by the investment:</w:t>
      </w:r>
    </w:p>
    <w:p w:rsidR="00CA7A38" w:rsidRPr="00FC0A72" w:rsidRDefault="00CA7A38" w:rsidP="00E70031">
      <w:pPr>
        <w:pStyle w:val="ListParagraph"/>
        <w:numPr>
          <w:ilvl w:val="0"/>
          <w:numId w:val="18"/>
        </w:numPr>
        <w:spacing w:before="240" w:line="276" w:lineRule="auto"/>
        <w:ind w:left="714" w:hanging="357"/>
        <w:jc w:val="both"/>
      </w:pPr>
      <w:r w:rsidRPr="00FC0A72">
        <w:t>Analysis of records and data kept by agencies, including meeting minutes and reports drawn from agency information systems</w:t>
      </w:r>
    </w:p>
    <w:p w:rsidR="00CA7A38" w:rsidRPr="00FC0A72" w:rsidRDefault="00CA7A38" w:rsidP="00E70031">
      <w:pPr>
        <w:pStyle w:val="ListParagraph"/>
        <w:numPr>
          <w:ilvl w:val="0"/>
          <w:numId w:val="18"/>
        </w:numPr>
        <w:spacing w:before="240" w:line="276" w:lineRule="auto"/>
        <w:ind w:left="714" w:hanging="357"/>
        <w:jc w:val="both"/>
      </w:pPr>
      <w:r w:rsidRPr="00FC0A72">
        <w:t>Analysis of statistics drawn from agency data</w:t>
      </w:r>
    </w:p>
    <w:p w:rsidR="00CA7A38" w:rsidRDefault="00CA7A38" w:rsidP="00E70031">
      <w:pPr>
        <w:pStyle w:val="ListParagraph"/>
        <w:numPr>
          <w:ilvl w:val="0"/>
          <w:numId w:val="18"/>
        </w:numPr>
        <w:spacing w:before="240" w:line="276" w:lineRule="auto"/>
        <w:ind w:left="714" w:hanging="357"/>
        <w:jc w:val="both"/>
      </w:pPr>
      <w:r w:rsidRPr="00FC0A72">
        <w:t>Six monthly reports provided</w:t>
      </w:r>
      <w:r>
        <w:t xml:space="preserve"> by advisers in relation to </w:t>
      </w:r>
      <w:r w:rsidRPr="00FC0A72">
        <w:t>outcomes of their interventions and capacity development focus</w:t>
      </w:r>
      <w:r>
        <w:t xml:space="preserve"> (involves advisers reporting on indicators relevant to their work)</w:t>
      </w:r>
    </w:p>
    <w:p w:rsidR="00CA7A38" w:rsidRPr="00FC0A72" w:rsidRDefault="00CA7A38" w:rsidP="00E70031">
      <w:pPr>
        <w:pStyle w:val="ListParagraph"/>
        <w:numPr>
          <w:ilvl w:val="0"/>
          <w:numId w:val="18"/>
        </w:numPr>
        <w:spacing w:after="120" w:line="240" w:lineRule="auto"/>
        <w:ind w:left="714" w:hanging="357"/>
        <w:jc w:val="both"/>
      </w:pPr>
      <w:r w:rsidRPr="00FC0A72">
        <w:t xml:space="preserve">Document review – documents prepared by </w:t>
      </w:r>
      <w:r>
        <w:t>SRBJS</w:t>
      </w:r>
      <w:r w:rsidRPr="00FC0A72">
        <w:t>, imp</w:t>
      </w:r>
      <w:r>
        <w:t xml:space="preserve">lementing partners, </w:t>
      </w:r>
      <w:proofErr w:type="spellStart"/>
      <w:r>
        <w:t>GoV</w:t>
      </w:r>
      <w:proofErr w:type="spellEnd"/>
      <w:r>
        <w:t xml:space="preserve">, </w:t>
      </w:r>
      <w:proofErr w:type="spellStart"/>
      <w:r>
        <w:t>GoA</w:t>
      </w:r>
      <w:proofErr w:type="spellEnd"/>
      <w:r w:rsidRPr="00FC0A72">
        <w:t>, UN organisations and other stakeholder agencies</w:t>
      </w:r>
    </w:p>
    <w:p w:rsidR="00CA7A38" w:rsidRPr="00FC0A72" w:rsidRDefault="00CA7A38" w:rsidP="00E70031">
      <w:pPr>
        <w:pStyle w:val="ListParagraph"/>
        <w:numPr>
          <w:ilvl w:val="0"/>
          <w:numId w:val="18"/>
        </w:numPr>
        <w:spacing w:before="240" w:line="276" w:lineRule="auto"/>
        <w:ind w:left="714" w:hanging="357"/>
        <w:jc w:val="both"/>
      </w:pPr>
      <w:r w:rsidRPr="00FC0A72">
        <w:t>Evaluations of key program themes, for example, the quality of service delivery, access to services, and service deliver</w:t>
      </w:r>
      <w:r>
        <w:t>y</w:t>
      </w:r>
      <w:r w:rsidRPr="00FC0A72">
        <w:t xml:space="preserve"> capacity (see below)</w:t>
      </w:r>
    </w:p>
    <w:p w:rsidR="00CA7A38" w:rsidRPr="00FC0A72" w:rsidRDefault="00CA7A38" w:rsidP="00E70031">
      <w:pPr>
        <w:pStyle w:val="ListParagraph"/>
        <w:numPr>
          <w:ilvl w:val="0"/>
          <w:numId w:val="18"/>
        </w:numPr>
        <w:spacing w:before="240" w:line="276" w:lineRule="auto"/>
        <w:ind w:left="714" w:hanging="357"/>
        <w:jc w:val="both"/>
      </w:pPr>
      <w:r w:rsidRPr="00FC0A72">
        <w:t>Surveys to capture the perceptions of agency and community actors (see below)</w:t>
      </w:r>
    </w:p>
    <w:p w:rsidR="00CA7A38" w:rsidRPr="00FC0A72" w:rsidRDefault="00CA7A38" w:rsidP="00E70031">
      <w:pPr>
        <w:pStyle w:val="ListParagraph"/>
        <w:numPr>
          <w:ilvl w:val="0"/>
          <w:numId w:val="18"/>
        </w:numPr>
        <w:spacing w:after="120" w:line="276" w:lineRule="auto"/>
        <w:ind w:left="714" w:hanging="357"/>
        <w:jc w:val="both"/>
      </w:pPr>
      <w:r w:rsidRPr="00FC0A72">
        <w:t>Analysis of emerging themes from monitoring and research may identify common opportunities for change as part of continuous improvement at agency or sector levels</w:t>
      </w:r>
    </w:p>
    <w:p w:rsidR="00CA7A38" w:rsidRDefault="00CA7A38" w:rsidP="00E70031">
      <w:pPr>
        <w:pStyle w:val="ListParagraph"/>
        <w:numPr>
          <w:ilvl w:val="0"/>
          <w:numId w:val="18"/>
        </w:numPr>
        <w:spacing w:before="240" w:after="120" w:line="240" w:lineRule="auto"/>
        <w:ind w:left="714" w:hanging="357"/>
        <w:jc w:val="both"/>
      </w:pPr>
      <w:r>
        <w:t>Collation of lessons learned</w:t>
      </w:r>
      <w:r w:rsidRPr="00FC0A72">
        <w:t xml:space="preserve"> from M&amp;E initiatives after the first 18 months </w:t>
      </w:r>
      <w:r>
        <w:t xml:space="preserve">of SRBJS </w:t>
      </w:r>
      <w:r w:rsidRPr="00FC0A72">
        <w:t xml:space="preserve">might allow identification of common issues and opportunities for change </w:t>
      </w:r>
    </w:p>
    <w:p w:rsidR="00CA7A38" w:rsidRPr="00FC0A72" w:rsidRDefault="00CA7A38" w:rsidP="00E70031">
      <w:pPr>
        <w:pStyle w:val="ListParagraph"/>
        <w:spacing w:before="240" w:after="120" w:line="240" w:lineRule="auto"/>
        <w:ind w:left="714"/>
        <w:jc w:val="both"/>
      </w:pPr>
    </w:p>
    <w:p w:rsidR="00CA7A38" w:rsidRPr="00FC0A72" w:rsidRDefault="00CA7A38" w:rsidP="00E70031">
      <w:pPr>
        <w:pStyle w:val="Heading4"/>
        <w:spacing w:after="240" w:line="276" w:lineRule="auto"/>
        <w:jc w:val="both"/>
        <w:rPr>
          <w:rFonts w:asciiTheme="minorHAnsi" w:hAnsiTheme="minorHAnsi"/>
          <w:color w:val="000000" w:themeColor="text1"/>
        </w:rPr>
      </w:pPr>
      <w:r w:rsidRPr="00FC0A72">
        <w:rPr>
          <w:rFonts w:asciiTheme="minorHAnsi" w:hAnsiTheme="minorHAnsi"/>
          <w:color w:val="000000" w:themeColor="text1"/>
        </w:rPr>
        <w:t>Evaluations</w:t>
      </w:r>
    </w:p>
    <w:p w:rsidR="00CA7A38" w:rsidRPr="00FC0A72" w:rsidRDefault="00CA7A38" w:rsidP="00E70031">
      <w:pPr>
        <w:spacing w:line="276" w:lineRule="auto"/>
        <w:jc w:val="both"/>
      </w:pPr>
      <w:r w:rsidRPr="00FC0A72">
        <w:rPr>
          <w:b/>
        </w:rPr>
        <w:t xml:space="preserve">DFAT Mid-Term Review: </w:t>
      </w:r>
      <w:r>
        <w:t xml:space="preserve">As set out in section 4.1 </w:t>
      </w:r>
      <w:r w:rsidRPr="00FC0A72">
        <w:t xml:space="preserve">(v), after two years of program implementation, DFAT will review the implementation arrangements: program governance and management arrangements, personnel, and risk.  This is intended to help ensure that implementation arrangements are fit-for-purpose.  This could be combined with one of the evaluations proposed.  </w:t>
      </w:r>
    </w:p>
    <w:p w:rsidR="00CA7A38" w:rsidRPr="00FC0A72" w:rsidRDefault="00CA7A38" w:rsidP="00E70031">
      <w:pPr>
        <w:spacing w:line="276" w:lineRule="auto"/>
        <w:jc w:val="both"/>
      </w:pPr>
      <w:r w:rsidRPr="00FC0A72">
        <w:rPr>
          <w:b/>
        </w:rPr>
        <w:t xml:space="preserve">Evaluations: </w:t>
      </w:r>
      <w:r w:rsidRPr="00FC0A72">
        <w:t>A small number of focused evaluatio</w:t>
      </w:r>
      <w:r>
        <w:t>ns</w:t>
      </w:r>
      <w:r w:rsidRPr="00FC0A72">
        <w:t xml:space="preserve"> are proposed to measure progress against key program themes, and the e</w:t>
      </w:r>
      <w:r>
        <w:t xml:space="preserve">xtent of program contribution.  </w:t>
      </w:r>
      <w:r w:rsidRPr="00FC0A72">
        <w:t xml:space="preserve">One option might be to evaluate against the three themes central to the three </w:t>
      </w:r>
      <w:r>
        <w:t>EOPOs</w:t>
      </w:r>
      <w:r w:rsidRPr="00FC0A72">
        <w:t>: service delivery capacity, accessibility of services,</w:t>
      </w:r>
      <w:r>
        <w:t xml:space="preserve"> and quality.  Each evaluation c</w:t>
      </w:r>
      <w:r w:rsidRPr="00FC0A72">
        <w:t xml:space="preserve">ould look at a select number of </w:t>
      </w:r>
      <w:r>
        <w:t>IOs</w:t>
      </w:r>
      <w:r w:rsidRPr="00FC0A72">
        <w:t xml:space="preserve"> across the three pillars in an integrated way, illustrating the interdependence between the pillars for improved service delivery.</w:t>
      </w:r>
      <w:r>
        <w:t xml:space="preserve">  For example, the evaluation of accessibility of services (EOPO 2) could look at the cumulative impact of work around four IOs: IO 3 (human and financial resource management for service delivery), IO 9 (sector agencies are delivering more services, including expanded reach), IO 10 (community understanding of the policing and justice system), and IO 13 (more effective handling of cases involving violence against women and children).  Evaluations should consider impact and progress of pilot initiatives.</w:t>
      </w:r>
    </w:p>
    <w:p w:rsidR="00CA7A38" w:rsidRPr="00FC0A72" w:rsidRDefault="00CA7A38" w:rsidP="00E70031">
      <w:pPr>
        <w:pStyle w:val="Heading4"/>
        <w:spacing w:after="240" w:line="276" w:lineRule="auto"/>
        <w:jc w:val="both"/>
        <w:rPr>
          <w:rFonts w:asciiTheme="minorHAnsi" w:hAnsiTheme="minorHAnsi"/>
          <w:color w:val="000000" w:themeColor="text1"/>
        </w:rPr>
      </w:pPr>
      <w:r w:rsidRPr="00FC0A72">
        <w:rPr>
          <w:rFonts w:asciiTheme="minorHAnsi" w:hAnsiTheme="minorHAnsi"/>
          <w:color w:val="000000" w:themeColor="text1"/>
        </w:rPr>
        <w:lastRenderedPageBreak/>
        <w:t>Surveys</w:t>
      </w:r>
    </w:p>
    <w:p w:rsidR="00CA7A38" w:rsidRPr="00FC0A72" w:rsidRDefault="00CA7A38" w:rsidP="00E70031">
      <w:pPr>
        <w:spacing w:line="276" w:lineRule="auto"/>
        <w:jc w:val="both"/>
      </w:pPr>
      <w:r w:rsidRPr="00FC0A72">
        <w:rPr>
          <w:rStyle w:val="Heading5Char"/>
          <w:b/>
        </w:rPr>
        <w:t>Sector Perception Survey</w:t>
      </w:r>
      <w:r w:rsidRPr="00FC0A72">
        <w:rPr>
          <w:b/>
        </w:rPr>
        <w:t xml:space="preserve">: </w:t>
      </w:r>
      <w:r w:rsidRPr="00FC0A72">
        <w:t>In 2015 and 2016, MJCS, with program support,</w:t>
      </w:r>
      <w:r>
        <w:t xml:space="preserve"> surveyed sector agencies about </w:t>
      </w:r>
      <w:r w:rsidRPr="00FC0A72">
        <w:t>participation in sector processes, quality of sector governance, extent and quality of collaboration and information sharing, and satisfaction with</w:t>
      </w:r>
      <w:r>
        <w:t xml:space="preserve"> JCSSS</w:t>
      </w:r>
      <w:r w:rsidRPr="00FC0A72">
        <w:t xml:space="preserve"> implementation.  If there is appetite from MJCS and</w:t>
      </w:r>
      <w:r>
        <w:t xml:space="preserve"> the</w:t>
      </w:r>
      <w:r w:rsidRPr="00FC0A72">
        <w:t xml:space="preserve"> sector for the survey to be repeated, </w:t>
      </w:r>
      <w:r>
        <w:t>SRBJS could</w:t>
      </w:r>
      <w:r w:rsidRPr="00FC0A72">
        <w:t xml:space="preserve"> p</w:t>
      </w:r>
      <w:r>
        <w:t>rovide support to MJCS for this</w:t>
      </w:r>
      <w:r w:rsidRPr="00FC0A72">
        <w:t>.</w:t>
      </w:r>
      <w:r w:rsidRPr="00FC0A72">
        <w:rPr>
          <w:rStyle w:val="FootnoteReference"/>
        </w:rPr>
        <w:footnoteReference w:id="87"/>
      </w:r>
      <w:r w:rsidRPr="00FC0A72">
        <w:t xml:space="preserve">  </w:t>
      </w:r>
    </w:p>
    <w:p w:rsidR="00CA7A38" w:rsidRPr="00FC0A72" w:rsidRDefault="00CA7A38" w:rsidP="00E70031">
      <w:pPr>
        <w:spacing w:line="276" w:lineRule="auto"/>
        <w:jc w:val="both"/>
      </w:pPr>
      <w:r w:rsidRPr="00FC0A72">
        <w:rPr>
          <w:b/>
        </w:rPr>
        <w:t xml:space="preserve">Policing Perception Survey: </w:t>
      </w:r>
      <w:r w:rsidRPr="00FC0A72">
        <w:t>To measure intermediate outcome 8</w:t>
      </w:r>
      <w:r w:rsidRPr="00FC0A72">
        <w:rPr>
          <w:i/>
        </w:rPr>
        <w:t>: Targeted communities have greater trust and confidence in the VPF</w:t>
      </w:r>
      <w:r w:rsidRPr="00FC0A72">
        <w:t>,</w:t>
      </w:r>
      <w:r w:rsidRPr="00FC0A72">
        <w:rPr>
          <w:i/>
        </w:rPr>
        <w:t xml:space="preserve"> </w:t>
      </w:r>
      <w:r w:rsidRPr="00FC0A72">
        <w:t xml:space="preserve">the program could adapt the survey tool used for PJSPV research conducted in </w:t>
      </w:r>
      <w:proofErr w:type="spellStart"/>
      <w:r w:rsidRPr="00FC0A72">
        <w:t>Malekula</w:t>
      </w:r>
      <w:proofErr w:type="spellEnd"/>
      <w:r w:rsidRPr="00FC0A72">
        <w:t xml:space="preserve"> and </w:t>
      </w:r>
      <w:proofErr w:type="spellStart"/>
      <w:r w:rsidRPr="00FC0A72">
        <w:t>Blacksands</w:t>
      </w:r>
      <w:proofErr w:type="spellEnd"/>
      <w:r w:rsidRPr="00FC0A72">
        <w:t xml:space="preserve">.  This research established a benchmark, or baseline, against intermediate outcome 8 in the two research locations.  The survey tool incorporates questions intended to capture community perceptions of the VPF.  </w:t>
      </w:r>
    </w:p>
    <w:p w:rsidR="00CA7A38" w:rsidRDefault="00CA7A38" w:rsidP="00E70031">
      <w:pPr>
        <w:spacing w:line="276" w:lineRule="auto"/>
        <w:jc w:val="both"/>
      </w:pPr>
      <w:r w:rsidRPr="00FC0A72">
        <w:t xml:space="preserve">There are advantages in using the existing survey tool (from the </w:t>
      </w:r>
      <w:proofErr w:type="spellStart"/>
      <w:r w:rsidRPr="00FC0A72">
        <w:t>Malekula</w:t>
      </w:r>
      <w:proofErr w:type="spellEnd"/>
      <w:r w:rsidRPr="00FC0A72">
        <w:t xml:space="preserve"> and </w:t>
      </w:r>
      <w:proofErr w:type="spellStart"/>
      <w:r w:rsidRPr="00FC0A72">
        <w:t>Blacksands</w:t>
      </w:r>
      <w:proofErr w:type="spellEnd"/>
      <w:r w:rsidRPr="00FC0A72">
        <w:t xml:space="preserve"> research), rather than another community-police perception survey methodology.  Specifically, enumerators have been trained to use the survey tool, and a Bislama translation already exists.  Repeating the same questions in the same locations also allows for more consistent measurement of change, or progress, against the baseline.  Further, repeating the survey in one rural location (</w:t>
      </w:r>
      <w:proofErr w:type="spellStart"/>
      <w:r w:rsidRPr="00FC0A72">
        <w:t>Malekula</w:t>
      </w:r>
      <w:proofErr w:type="spellEnd"/>
      <w:r w:rsidRPr="00FC0A72">
        <w:t>) and one peri-urban location (</w:t>
      </w:r>
      <w:proofErr w:type="spellStart"/>
      <w:r w:rsidRPr="00FC0A72">
        <w:t>Blacksands</w:t>
      </w:r>
      <w:proofErr w:type="spellEnd"/>
      <w:r w:rsidRPr="00FC0A72">
        <w:t>) allows for analysis of the influence of geography on perce</w:t>
      </w:r>
      <w:r>
        <w:t xml:space="preserve">ptions of policing services.  </w:t>
      </w:r>
      <w:r w:rsidRPr="00FC0A72">
        <w:t xml:space="preserve">The focus here on community perceptions </w:t>
      </w:r>
      <w:r>
        <w:t xml:space="preserve">of police (and not other sector </w:t>
      </w:r>
      <w:r w:rsidRPr="00FC0A72">
        <w:t>institutions such as courts) is justified with reference to the findings of research showing that 98% of women and children experiencing violence in Vanuatu do not access the formal justice system.</w:t>
      </w:r>
      <w:r w:rsidRPr="00FC0A72">
        <w:rPr>
          <w:rStyle w:val="FootnoteReference"/>
        </w:rPr>
        <w:footnoteReference w:id="88"/>
      </w:r>
      <w:r w:rsidRPr="00FC0A72">
        <w:t xml:space="preserve">  As such, it is recommended that consideration first be given to community perceptions of police as the frontline and first point-of-contact </w:t>
      </w:r>
      <w:r>
        <w:t>with the formal justice system.</w:t>
      </w:r>
      <w:r w:rsidRPr="00FC0A72">
        <w:t xml:space="preserve"> </w:t>
      </w:r>
    </w:p>
    <w:p w:rsidR="00CA7A38" w:rsidRPr="00FC0A72" w:rsidRDefault="00CA7A38" w:rsidP="00E70031">
      <w:pPr>
        <w:spacing w:line="276" w:lineRule="auto"/>
        <w:jc w:val="both"/>
      </w:pPr>
      <w:r>
        <w:t>This survey approach is not intended to be prescriptive and is one suggested method that SRBJS might consider, subject to their being appetite for such a survey from key program partners.  The program could instead consider other more user-centric approaches such as supporting the VPF (victim support team or equivalent) to track cases and people’s experiences of policing services.  This could involve surveying a cross-section of end users of the system to gauge their actual, lived experiences of service delivery.  Similar user-</w:t>
      </w:r>
      <w:proofErr w:type="spellStart"/>
      <w:r>
        <w:t>centered</w:t>
      </w:r>
      <w:proofErr w:type="spellEnd"/>
      <w:r>
        <w:t xml:space="preserve"> survey methods have been used in the health and education sectors in Vanuatu.</w:t>
      </w:r>
    </w:p>
    <w:p w:rsidR="00CA7A38" w:rsidRDefault="00CA7A38" w:rsidP="00E70031">
      <w:pPr>
        <w:spacing w:line="276" w:lineRule="auto"/>
        <w:jc w:val="both"/>
      </w:pPr>
      <w:r>
        <w:rPr>
          <w:b/>
        </w:rPr>
        <w:t>Police Open Days</w:t>
      </w:r>
      <w:r w:rsidRPr="00FC0A72">
        <w:rPr>
          <w:b/>
        </w:rPr>
        <w:t xml:space="preserve">: </w:t>
      </w:r>
      <w:r>
        <w:t>VPF are planning their first ‘open day’ for the second half of 2016.  SRBJS could leverage off this</w:t>
      </w:r>
      <w:r w:rsidRPr="00FC0A72">
        <w:t xml:space="preserve"> initiative and </w:t>
      </w:r>
      <w:r>
        <w:t>support the VPF to collect feedback about people’s views of the</w:t>
      </w:r>
      <w:r w:rsidRPr="00FC0A72">
        <w:t xml:space="preserve"> services provided by p</w:t>
      </w:r>
      <w:r>
        <w:t xml:space="preserve">olice.  </w:t>
      </w:r>
      <w:r w:rsidRPr="00FC0A72">
        <w:t>Besides giving civilians the opportunity to become better acquainted with the police, it</w:t>
      </w:r>
      <w:r>
        <w:t xml:space="preserve"> </w:t>
      </w:r>
      <w:r w:rsidRPr="00FC0A72">
        <w:t xml:space="preserve">gives police insight into how their services are perceived and how to further improve them.  This initiative is both an activity and an M&amp;E </w:t>
      </w:r>
      <w:r>
        <w:t>tool</w:t>
      </w:r>
      <w:r w:rsidRPr="00FC0A72">
        <w:t xml:space="preserve">.  </w:t>
      </w:r>
      <w:r>
        <w:t xml:space="preserve"> This survey approach draws on the global Altus Police Station Visitors Program methodology.</w:t>
      </w:r>
    </w:p>
    <w:p w:rsidR="00CA7A38" w:rsidRPr="00FC0A72" w:rsidRDefault="00CA7A38" w:rsidP="00E70031">
      <w:pPr>
        <w:spacing w:line="276" w:lineRule="auto"/>
        <w:jc w:val="both"/>
      </w:pPr>
    </w:p>
    <w:p w:rsidR="00CA7A38" w:rsidRPr="00FC0A72" w:rsidRDefault="00CA7A38" w:rsidP="00E70031">
      <w:pPr>
        <w:pStyle w:val="Heading3"/>
        <w:numPr>
          <w:ilvl w:val="0"/>
          <w:numId w:val="17"/>
        </w:numPr>
        <w:spacing w:after="240" w:line="276" w:lineRule="auto"/>
        <w:jc w:val="both"/>
        <w:rPr>
          <w:rFonts w:asciiTheme="minorHAnsi" w:hAnsiTheme="minorHAnsi"/>
          <w:color w:val="000000" w:themeColor="text1"/>
          <w:sz w:val="22"/>
          <w:szCs w:val="22"/>
        </w:rPr>
      </w:pPr>
      <w:r w:rsidRPr="00FC0A72">
        <w:rPr>
          <w:rFonts w:asciiTheme="minorHAnsi" w:hAnsiTheme="minorHAnsi"/>
          <w:color w:val="000000" w:themeColor="text1"/>
          <w:sz w:val="22"/>
          <w:szCs w:val="22"/>
        </w:rPr>
        <w:lastRenderedPageBreak/>
        <w:t>Resourcing for Monitoring and Evaluation</w:t>
      </w:r>
    </w:p>
    <w:p w:rsidR="00CA7A38" w:rsidRPr="00FC0A72" w:rsidRDefault="00CA7A38" w:rsidP="00E70031">
      <w:pPr>
        <w:spacing w:line="276" w:lineRule="auto"/>
        <w:jc w:val="both"/>
      </w:pPr>
      <w:r w:rsidRPr="00FC0A72">
        <w:t xml:space="preserve">M&amp;E will be resourced with a short-term adviser — Technical and </w:t>
      </w:r>
      <w:r>
        <w:t>Monitoring and Evaluation</w:t>
      </w:r>
      <w:r w:rsidRPr="00FC0A72">
        <w:t xml:space="preserve"> Adviser (position description in Annex</w:t>
      </w:r>
      <w:r>
        <w:t xml:space="preserve"> </w:t>
      </w:r>
      <w:r w:rsidR="00AA0FAA">
        <w:t>4</w:t>
      </w:r>
      <w:r w:rsidRPr="00FC0A72">
        <w:t xml:space="preserve">) — engaged by the </w:t>
      </w:r>
      <w:r>
        <w:t>managing contractor</w:t>
      </w:r>
      <w:r w:rsidRPr="00FC0A72">
        <w:t xml:space="preserve">.  The adviser will work closely with and support (as </w:t>
      </w:r>
      <w:r>
        <w:t xml:space="preserve">requested and </w:t>
      </w:r>
      <w:r w:rsidRPr="00FC0A72">
        <w:t>required) the MJCS Monitoring Officer, VPF CSU M&amp;E Unit and M&amp;E Unit of the P</w:t>
      </w:r>
      <w:r>
        <w:t xml:space="preserve">rime </w:t>
      </w:r>
      <w:r w:rsidRPr="00FC0A72">
        <w:t>M</w:t>
      </w:r>
      <w:r>
        <w:t xml:space="preserve">inister’s </w:t>
      </w:r>
      <w:r w:rsidRPr="00FC0A72">
        <w:t>O</w:t>
      </w:r>
      <w:r>
        <w:t>ffice</w:t>
      </w:r>
      <w:r w:rsidRPr="00FC0A72">
        <w:t xml:space="preserve">.  Together, they will provide M&amp;E capacity development on an ongoing basis through the planning and reporting cycle of the MJCS and government sector agencies.  Independent evaluators will be required for </w:t>
      </w:r>
      <w:r>
        <w:t xml:space="preserve">some of the </w:t>
      </w:r>
      <w:r w:rsidRPr="00FC0A72">
        <w:t>evaluations and surveys listed above</w:t>
      </w:r>
      <w:r>
        <w:t xml:space="preserve"> — this could be resourced through the discretionary technical assistance pool</w:t>
      </w:r>
      <w:r w:rsidRPr="00FC0A72">
        <w:t>.</w:t>
      </w:r>
    </w:p>
    <w:p w:rsidR="00CA7A38" w:rsidRDefault="00CA7A38" w:rsidP="00E70031">
      <w:pPr>
        <w:spacing w:line="276" w:lineRule="auto"/>
        <w:jc w:val="both"/>
        <w:rPr>
          <w:sz w:val="24"/>
          <w:szCs w:val="24"/>
        </w:rPr>
      </w:pPr>
      <w:r w:rsidRPr="00FC0A72">
        <w:t xml:space="preserve">In </w:t>
      </w:r>
      <w:r>
        <w:t xml:space="preserve">line </w:t>
      </w:r>
      <w:r w:rsidRPr="00FC0A72">
        <w:t xml:space="preserve">with good practice, </w:t>
      </w:r>
      <w:r>
        <w:t>approximately</w:t>
      </w:r>
      <w:r w:rsidRPr="00FC0A72">
        <w:t xml:space="preserve"> five percent of the budget has been dedicated to the M&amp;E initiatives outlined above. </w:t>
      </w:r>
      <w:r w:rsidRPr="008D5497">
        <w:rPr>
          <w:sz w:val="24"/>
          <w:szCs w:val="24"/>
        </w:rPr>
        <w:t xml:space="preserve"> </w:t>
      </w:r>
    </w:p>
    <w:p w:rsidR="00CA7A38" w:rsidRPr="0098658E" w:rsidRDefault="00CA7A38" w:rsidP="00E70031">
      <w:pPr>
        <w:rPr>
          <w:sz w:val="24"/>
          <w:szCs w:val="24"/>
        </w:rPr>
        <w:sectPr w:rsidR="00CA7A38" w:rsidRPr="0098658E" w:rsidSect="00E70031">
          <w:pgSz w:w="11906" w:h="16838"/>
          <w:pgMar w:top="1440" w:right="1440" w:bottom="1440" w:left="1440" w:header="708" w:footer="708" w:gutter="0"/>
          <w:cols w:space="708"/>
          <w:docGrid w:linePitch="360"/>
        </w:sectPr>
      </w:pPr>
    </w:p>
    <w:p w:rsidR="00CA7A38" w:rsidRPr="001E385E" w:rsidRDefault="00CA7A38" w:rsidP="00E70031">
      <w:pPr>
        <w:pStyle w:val="Heading2"/>
        <w:numPr>
          <w:ilvl w:val="1"/>
          <w:numId w:val="1"/>
        </w:numPr>
        <w:rPr>
          <w:rFonts w:asciiTheme="minorHAnsi" w:hAnsiTheme="minorHAnsi"/>
          <w:color w:val="000000" w:themeColor="text1"/>
          <w:sz w:val="22"/>
          <w:szCs w:val="22"/>
        </w:rPr>
      </w:pPr>
      <w:bookmarkStart w:id="26" w:name="_Toc458698429"/>
      <w:r w:rsidRPr="00917386">
        <w:rPr>
          <w:rFonts w:asciiTheme="minorHAnsi" w:hAnsiTheme="minorHAnsi"/>
          <w:color w:val="000000" w:themeColor="text1"/>
          <w:sz w:val="22"/>
          <w:szCs w:val="22"/>
        </w:rPr>
        <w:lastRenderedPageBreak/>
        <w:t>Critical Risks and Risk Management</w:t>
      </w:r>
      <w:bookmarkEnd w:id="26"/>
      <w:r w:rsidRPr="00917386">
        <w:rPr>
          <w:rFonts w:asciiTheme="minorHAnsi" w:hAnsiTheme="minorHAnsi"/>
          <w:color w:val="000000" w:themeColor="text1"/>
          <w:sz w:val="22"/>
          <w:szCs w:val="22"/>
        </w:rPr>
        <w:t xml:space="preserve"> </w:t>
      </w:r>
    </w:p>
    <w:p w:rsidR="00CA7A38" w:rsidRPr="001E385E" w:rsidRDefault="00CA7A38" w:rsidP="00E70031">
      <w:pPr>
        <w:spacing w:before="240" w:line="276" w:lineRule="auto"/>
        <w:jc w:val="both"/>
        <w:rPr>
          <w:rFonts w:eastAsia="Calibri"/>
          <w:lang w:eastAsia="en-AU"/>
        </w:rPr>
      </w:pPr>
      <w:r>
        <w:rPr>
          <w:rFonts w:eastAsia="Calibri"/>
          <w:lang w:eastAsia="en-AU"/>
        </w:rPr>
        <w:t xml:space="preserve">The </w:t>
      </w:r>
      <w:r w:rsidRPr="008B1134">
        <w:rPr>
          <w:rFonts w:eastAsia="Calibri"/>
          <w:lang w:eastAsia="en-AU"/>
        </w:rPr>
        <w:t>risk matrix (below) outlines a range o</w:t>
      </w:r>
      <w:r>
        <w:rPr>
          <w:rFonts w:eastAsia="Calibri"/>
          <w:lang w:eastAsia="en-AU"/>
        </w:rPr>
        <w:t>f development and context risks,</w:t>
      </w:r>
      <w:r w:rsidRPr="008B1134">
        <w:rPr>
          <w:rFonts w:eastAsia="Calibri"/>
          <w:lang w:eastAsia="en-AU"/>
        </w:rPr>
        <w:t xml:space="preserve"> implementation risks and r</w:t>
      </w:r>
      <w:r>
        <w:rPr>
          <w:rFonts w:eastAsia="Calibri"/>
          <w:lang w:eastAsia="en-AU"/>
        </w:rPr>
        <w:t>eputational/institutional risks for the program.  It incorporates an assessment of</w:t>
      </w:r>
      <w:r w:rsidRPr="008B1134">
        <w:rPr>
          <w:rFonts w:eastAsia="Calibri"/>
          <w:lang w:eastAsia="en-AU"/>
        </w:rPr>
        <w:t xml:space="preserve"> </w:t>
      </w:r>
      <w:r>
        <w:rPr>
          <w:rFonts w:eastAsia="Calibri"/>
          <w:lang w:eastAsia="en-AU"/>
        </w:rPr>
        <w:t>their potential impact on EOPOs</w:t>
      </w:r>
      <w:r w:rsidRPr="008B1134">
        <w:rPr>
          <w:rFonts w:eastAsia="Calibri"/>
          <w:lang w:eastAsia="en-AU"/>
        </w:rPr>
        <w:t xml:space="preserve"> an</w:t>
      </w:r>
      <w:r>
        <w:rPr>
          <w:rFonts w:eastAsia="Calibri"/>
          <w:lang w:eastAsia="en-AU"/>
        </w:rPr>
        <w:t>d suggests mitigation measures.  Risk should be assessed on a regular and ongoing basis; t</w:t>
      </w:r>
      <w:r w:rsidRPr="008B1134">
        <w:rPr>
          <w:rFonts w:eastAsia="Calibri"/>
          <w:lang w:eastAsia="en-AU"/>
        </w:rPr>
        <w:t>he risk matrix will be reviewed and revised as required.</w:t>
      </w:r>
      <w:r>
        <w:rPr>
          <w:rFonts w:eastAsia="Calibri"/>
          <w:lang w:eastAsia="en-AU"/>
        </w:rPr>
        <w:t xml:space="preserve">  </w:t>
      </w:r>
      <w:r>
        <w:rPr>
          <w:rFonts w:cstheme="minorHAnsi"/>
        </w:rPr>
        <w:t xml:space="preserve">The program </w:t>
      </w:r>
      <w:r w:rsidRPr="00FD0D01">
        <w:rPr>
          <w:rFonts w:cstheme="minorHAnsi"/>
        </w:rPr>
        <w:t xml:space="preserve">faces a number of interdependent risks </w:t>
      </w:r>
      <w:r>
        <w:rPr>
          <w:rFonts w:cstheme="minorHAnsi"/>
        </w:rPr>
        <w:t xml:space="preserve">that </w:t>
      </w:r>
      <w:r w:rsidRPr="00FD0D01">
        <w:rPr>
          <w:rFonts w:cstheme="minorHAnsi"/>
        </w:rPr>
        <w:t xml:space="preserve">are best mitigated by mutual accountability, ownership and engagement in </w:t>
      </w:r>
      <w:r>
        <w:rPr>
          <w:rFonts w:cstheme="minorHAnsi"/>
        </w:rPr>
        <w:t xml:space="preserve">SRBJS </w:t>
      </w:r>
      <w:r w:rsidRPr="00FD0D01">
        <w:rPr>
          <w:rFonts w:cstheme="minorHAnsi"/>
        </w:rPr>
        <w:t>interventions</w:t>
      </w:r>
      <w:r>
        <w:rPr>
          <w:rFonts w:cstheme="minorHAnsi"/>
        </w:rPr>
        <w:t xml:space="preserve">.  </w:t>
      </w:r>
      <w:r w:rsidRPr="00FD0D01">
        <w:rPr>
          <w:rFonts w:cstheme="minorHAnsi"/>
        </w:rPr>
        <w:t xml:space="preserve">This is of particular significance given the nature of </w:t>
      </w:r>
      <w:r>
        <w:rPr>
          <w:rFonts w:cstheme="minorHAnsi"/>
        </w:rPr>
        <w:t>the policing and justice sector</w:t>
      </w:r>
      <w:r w:rsidRPr="00FD0D01">
        <w:rPr>
          <w:rFonts w:cstheme="minorHAnsi"/>
        </w:rPr>
        <w:t xml:space="preserve"> and importance of consensus for collaboration.</w:t>
      </w:r>
    </w:p>
    <w:p w:rsidR="00CA7A38" w:rsidRPr="00BA1E27" w:rsidRDefault="00CA7A38" w:rsidP="00E70031">
      <w:pPr>
        <w:pStyle w:val="Heading3"/>
        <w:spacing w:after="240"/>
        <w:rPr>
          <w:rFonts w:asciiTheme="minorHAnsi" w:hAnsiTheme="minorHAnsi"/>
          <w:color w:val="auto"/>
          <w:sz w:val="22"/>
          <w:szCs w:val="22"/>
        </w:rPr>
      </w:pPr>
      <w:r w:rsidRPr="00BA1E27">
        <w:rPr>
          <w:rFonts w:asciiTheme="minorHAnsi" w:hAnsiTheme="minorHAnsi"/>
          <w:color w:val="auto"/>
          <w:sz w:val="22"/>
          <w:szCs w:val="22"/>
        </w:rPr>
        <w:t>Risk Matrix</w:t>
      </w:r>
    </w:p>
    <w:p w:rsidR="00CA7A38" w:rsidRPr="00FD0D01" w:rsidRDefault="00CA7A38" w:rsidP="00E70031">
      <w:pPr>
        <w:autoSpaceDE w:val="0"/>
        <w:autoSpaceDN w:val="0"/>
        <w:adjustRightInd w:val="0"/>
        <w:spacing w:after="0"/>
        <w:rPr>
          <w:rFonts w:cstheme="minorHAnsi"/>
        </w:rPr>
      </w:pPr>
      <w:r w:rsidRPr="00FD0D01">
        <w:rPr>
          <w:rFonts w:cstheme="minorHAnsi"/>
          <w:b/>
        </w:rPr>
        <w:t>L</w:t>
      </w:r>
      <w:r w:rsidRPr="00FD0D01">
        <w:rPr>
          <w:rFonts w:cstheme="minorHAnsi"/>
        </w:rPr>
        <w:t xml:space="preserve"> = Likelihood (5 = almost certain, 4 = likely, 3 = pos</w:t>
      </w:r>
      <w:r>
        <w:rPr>
          <w:rFonts w:cstheme="minorHAnsi"/>
        </w:rPr>
        <w:t>sible, 2 = unlikely, 1 = rare)</w:t>
      </w:r>
    </w:p>
    <w:p w:rsidR="00CA7A38" w:rsidRDefault="00CA7A38" w:rsidP="00E70031">
      <w:pPr>
        <w:autoSpaceDE w:val="0"/>
        <w:autoSpaceDN w:val="0"/>
        <w:adjustRightInd w:val="0"/>
        <w:spacing w:after="0"/>
        <w:rPr>
          <w:rFonts w:cstheme="minorHAnsi"/>
        </w:rPr>
      </w:pPr>
      <w:r w:rsidRPr="00FD0D01">
        <w:rPr>
          <w:rFonts w:cstheme="minorHAnsi"/>
          <w:b/>
        </w:rPr>
        <w:t>C</w:t>
      </w:r>
      <w:r w:rsidRPr="00FD0D01">
        <w:rPr>
          <w:rFonts w:cstheme="minorHAnsi"/>
        </w:rPr>
        <w:t xml:space="preserve"> = Consequences (5 = severe, 4 = major, 3 = mode</w:t>
      </w:r>
      <w:r>
        <w:rPr>
          <w:rFonts w:cstheme="minorHAnsi"/>
        </w:rPr>
        <w:t>rate, 2 = minor, 1 =negligible</w:t>
      </w:r>
      <w:r w:rsidRPr="00FD0D01">
        <w:rPr>
          <w:rFonts w:cstheme="minorHAnsi"/>
        </w:rPr>
        <w:t xml:space="preserve"> </w:t>
      </w:r>
    </w:p>
    <w:p w:rsidR="00CA7A38" w:rsidRDefault="00CA7A38" w:rsidP="00E70031">
      <w:pPr>
        <w:autoSpaceDE w:val="0"/>
        <w:autoSpaceDN w:val="0"/>
        <w:adjustRightInd w:val="0"/>
        <w:spacing w:after="0"/>
        <w:rPr>
          <w:rFonts w:cstheme="minorHAnsi"/>
        </w:rPr>
      </w:pPr>
      <w:r w:rsidRPr="00FD0D01">
        <w:rPr>
          <w:rFonts w:cstheme="minorHAnsi"/>
          <w:b/>
        </w:rPr>
        <w:t>R</w:t>
      </w:r>
      <w:r w:rsidRPr="00FD0D01">
        <w:rPr>
          <w:rFonts w:cstheme="minorHAnsi"/>
        </w:rPr>
        <w:t xml:space="preserve"> = Risk Level (5 = extreme, 4 = very high 3 = high, 2 = medium, 1 = low)</w:t>
      </w:r>
    </w:p>
    <w:p w:rsidR="00CA7A38" w:rsidRDefault="00CA7A38" w:rsidP="00E70031">
      <w:pPr>
        <w:autoSpaceDE w:val="0"/>
        <w:autoSpaceDN w:val="0"/>
        <w:adjustRightInd w:val="0"/>
        <w:spacing w:after="0"/>
        <w:rPr>
          <w:rFonts w:cstheme="minorHAnsi"/>
        </w:rPr>
      </w:pPr>
    </w:p>
    <w:tbl>
      <w:tblPr>
        <w:tblStyle w:val="GridTable1Light-Accent11"/>
        <w:tblW w:w="0" w:type="auto"/>
        <w:tblLook w:val="04A0" w:firstRow="1" w:lastRow="0" w:firstColumn="1" w:lastColumn="0" w:noHBand="0" w:noVBand="1"/>
      </w:tblPr>
      <w:tblGrid>
        <w:gridCol w:w="3710"/>
        <w:gridCol w:w="4166"/>
        <w:gridCol w:w="3437"/>
        <w:gridCol w:w="318"/>
        <w:gridCol w:w="427"/>
        <w:gridCol w:w="329"/>
        <w:gridCol w:w="1787"/>
      </w:tblGrid>
      <w:tr w:rsidR="00CA7A38" w:rsidTr="00E700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rsidR="00CA7A38" w:rsidRPr="0014056C" w:rsidRDefault="00CA7A38" w:rsidP="00E70031">
            <w:pPr>
              <w:autoSpaceDE w:val="0"/>
              <w:autoSpaceDN w:val="0"/>
              <w:adjustRightInd w:val="0"/>
              <w:rPr>
                <w:rFonts w:cstheme="minorHAnsi"/>
                <w:sz w:val="20"/>
                <w:szCs w:val="20"/>
              </w:rPr>
            </w:pPr>
            <w:r w:rsidRPr="0014056C">
              <w:rPr>
                <w:rFonts w:cstheme="minorHAnsi"/>
                <w:sz w:val="20"/>
                <w:szCs w:val="20"/>
              </w:rPr>
              <w:t xml:space="preserve">Risk </w:t>
            </w:r>
          </w:p>
        </w:tc>
        <w:tc>
          <w:tcPr>
            <w:tcW w:w="0" w:type="auto"/>
            <w:shd w:val="clear" w:color="auto" w:fill="DEEAF6" w:themeFill="accent1" w:themeFillTint="33"/>
          </w:tcPr>
          <w:p w:rsidR="00CA7A38" w:rsidRPr="0014056C" w:rsidRDefault="00CA7A38" w:rsidP="00E70031">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14056C">
              <w:rPr>
                <w:rFonts w:cstheme="minorHAnsi"/>
                <w:sz w:val="20"/>
                <w:szCs w:val="20"/>
              </w:rPr>
              <w:t>Impact on end</w:t>
            </w:r>
            <w:r w:rsidRPr="0014056C">
              <w:rPr>
                <w:rFonts w:cstheme="minorHAnsi"/>
                <w:b w:val="0"/>
                <w:sz w:val="20"/>
                <w:szCs w:val="20"/>
              </w:rPr>
              <w:t xml:space="preserve"> </w:t>
            </w:r>
            <w:r w:rsidRPr="0014056C">
              <w:rPr>
                <w:rFonts w:cstheme="minorHAnsi"/>
                <w:sz w:val="20"/>
                <w:szCs w:val="20"/>
              </w:rPr>
              <w:t>of</w:t>
            </w:r>
            <w:r w:rsidRPr="0014056C">
              <w:rPr>
                <w:rFonts w:cstheme="minorHAnsi"/>
                <w:b w:val="0"/>
                <w:sz w:val="20"/>
                <w:szCs w:val="20"/>
              </w:rPr>
              <w:t xml:space="preserve"> </w:t>
            </w:r>
            <w:r w:rsidRPr="0014056C">
              <w:rPr>
                <w:rFonts w:cstheme="minorHAnsi"/>
                <w:sz w:val="20"/>
                <w:szCs w:val="20"/>
              </w:rPr>
              <w:t>program outcomes</w:t>
            </w:r>
          </w:p>
          <w:p w:rsidR="00CA7A38" w:rsidRPr="0014056C" w:rsidRDefault="00CA7A38" w:rsidP="00E700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c>
          <w:tcPr>
            <w:tcW w:w="0" w:type="auto"/>
            <w:shd w:val="clear" w:color="auto" w:fill="DEEAF6" w:themeFill="accent1" w:themeFillTint="33"/>
          </w:tcPr>
          <w:p w:rsidR="00CA7A38" w:rsidRPr="0014056C" w:rsidRDefault="00CA7A38" w:rsidP="00E700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056C">
              <w:rPr>
                <w:rFonts w:cstheme="minorHAnsi"/>
                <w:sz w:val="20"/>
                <w:szCs w:val="20"/>
              </w:rPr>
              <w:t>Mitigation measures</w:t>
            </w:r>
          </w:p>
        </w:tc>
        <w:tc>
          <w:tcPr>
            <w:tcW w:w="0" w:type="auto"/>
            <w:shd w:val="clear" w:color="auto" w:fill="DEEAF6" w:themeFill="accent1" w:themeFillTint="33"/>
          </w:tcPr>
          <w:p w:rsidR="00CA7A38" w:rsidRPr="0014056C" w:rsidRDefault="00CA7A38" w:rsidP="00E700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14056C">
              <w:rPr>
                <w:rFonts w:cstheme="minorHAnsi"/>
                <w:sz w:val="20"/>
                <w:szCs w:val="20"/>
              </w:rPr>
              <w:t>L</w:t>
            </w:r>
          </w:p>
        </w:tc>
        <w:tc>
          <w:tcPr>
            <w:tcW w:w="0" w:type="auto"/>
            <w:shd w:val="clear" w:color="auto" w:fill="DEEAF6" w:themeFill="accent1" w:themeFillTint="33"/>
          </w:tcPr>
          <w:p w:rsidR="00CA7A38" w:rsidRPr="0014056C" w:rsidRDefault="00CA7A38" w:rsidP="00E7003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14056C">
              <w:rPr>
                <w:rFonts w:cstheme="minorHAnsi"/>
                <w:sz w:val="20"/>
                <w:szCs w:val="20"/>
              </w:rPr>
              <w:t>C</w:t>
            </w:r>
          </w:p>
        </w:tc>
        <w:tc>
          <w:tcPr>
            <w:tcW w:w="0" w:type="auto"/>
            <w:shd w:val="clear" w:color="auto" w:fill="DEEAF6" w:themeFill="accent1" w:themeFillTint="33"/>
          </w:tcPr>
          <w:p w:rsidR="00CA7A38" w:rsidRPr="0014056C" w:rsidRDefault="00CA7A38" w:rsidP="00E7003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14056C">
              <w:rPr>
                <w:rFonts w:cstheme="minorHAnsi"/>
                <w:sz w:val="20"/>
                <w:szCs w:val="20"/>
              </w:rPr>
              <w:t>R</w:t>
            </w:r>
          </w:p>
        </w:tc>
        <w:tc>
          <w:tcPr>
            <w:tcW w:w="0" w:type="auto"/>
            <w:shd w:val="clear" w:color="auto" w:fill="DEEAF6" w:themeFill="accent1" w:themeFillTint="33"/>
          </w:tcPr>
          <w:p w:rsidR="00CA7A38" w:rsidRPr="0014056C" w:rsidRDefault="00CA7A38" w:rsidP="00E7003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056C">
              <w:rPr>
                <w:rFonts w:cstheme="minorHAnsi"/>
                <w:sz w:val="20"/>
                <w:szCs w:val="20"/>
              </w:rPr>
              <w:t>Responsibility</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DEEAF6" w:themeFill="accent1" w:themeFillTint="33"/>
          </w:tcPr>
          <w:p w:rsidR="00CA7A38" w:rsidRPr="0014056C" w:rsidRDefault="00CA7A38" w:rsidP="00E70031">
            <w:pPr>
              <w:autoSpaceDE w:val="0"/>
              <w:autoSpaceDN w:val="0"/>
              <w:adjustRightInd w:val="0"/>
              <w:rPr>
                <w:rFonts w:cstheme="minorHAnsi"/>
                <w:sz w:val="20"/>
                <w:szCs w:val="20"/>
              </w:rPr>
            </w:pPr>
            <w:r w:rsidRPr="0014056C">
              <w:rPr>
                <w:rFonts w:cstheme="minorHAnsi"/>
                <w:sz w:val="20"/>
                <w:szCs w:val="20"/>
              </w:rPr>
              <w:t>Development and context risks</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Pr>
                <w:rFonts w:cstheme="minorHAnsi"/>
                <w:b w:val="0"/>
                <w:sz w:val="20"/>
                <w:szCs w:val="20"/>
              </w:rPr>
              <w:t>Fluidity of political environment</w:t>
            </w:r>
          </w:p>
        </w:tc>
        <w:tc>
          <w:tcPr>
            <w:tcW w:w="0" w:type="auto"/>
          </w:tcPr>
          <w:p w:rsidR="00CA7A38" w:rsidRDefault="00CA7A38" w:rsidP="00CA7A3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 xml:space="preserve">Impact on Ministerial </w:t>
            </w:r>
            <w:r>
              <w:rPr>
                <w:rFonts w:cstheme="minorHAnsi"/>
                <w:sz w:val="20"/>
                <w:szCs w:val="20"/>
              </w:rPr>
              <w:t xml:space="preserve">(MJCS and </w:t>
            </w:r>
            <w:proofErr w:type="spellStart"/>
            <w:r>
              <w:rPr>
                <w:rFonts w:cstheme="minorHAnsi"/>
                <w:sz w:val="20"/>
                <w:szCs w:val="20"/>
              </w:rPr>
              <w:t>MoIA</w:t>
            </w:r>
            <w:proofErr w:type="spellEnd"/>
            <w:r>
              <w:rPr>
                <w:rFonts w:cstheme="minorHAnsi"/>
                <w:sz w:val="20"/>
                <w:szCs w:val="20"/>
              </w:rPr>
              <w:t xml:space="preserve">) </w:t>
            </w:r>
            <w:r w:rsidRPr="00FD0D01">
              <w:rPr>
                <w:rFonts w:cstheme="minorHAnsi"/>
                <w:sz w:val="20"/>
                <w:szCs w:val="20"/>
              </w:rPr>
              <w:t xml:space="preserve">ownership of </w:t>
            </w:r>
            <w:r>
              <w:rPr>
                <w:rFonts w:cstheme="minorHAnsi"/>
                <w:sz w:val="20"/>
                <w:szCs w:val="20"/>
              </w:rPr>
              <w:t xml:space="preserve">program, </w:t>
            </w:r>
            <w:r w:rsidRPr="00FD0D01">
              <w:rPr>
                <w:rFonts w:cstheme="minorHAnsi"/>
                <w:sz w:val="20"/>
                <w:szCs w:val="20"/>
              </w:rPr>
              <w:t xml:space="preserve">consistency of understanding and therefore engagement on the achievement of </w:t>
            </w:r>
            <w:r>
              <w:rPr>
                <w:rFonts w:cstheme="minorHAnsi"/>
                <w:sz w:val="20"/>
                <w:szCs w:val="20"/>
              </w:rPr>
              <w:t>SRBJS outcomes</w:t>
            </w:r>
          </w:p>
          <w:p w:rsidR="00CA7A38" w:rsidRPr="0014056C" w:rsidRDefault="00CA7A38" w:rsidP="00CA7A3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056C">
              <w:rPr>
                <w:rFonts w:cstheme="minorHAnsi"/>
                <w:sz w:val="20"/>
                <w:szCs w:val="20"/>
              </w:rPr>
              <w:t>Impact on leadership of D</w:t>
            </w:r>
            <w:r>
              <w:rPr>
                <w:rFonts w:cstheme="minorHAnsi"/>
                <w:sz w:val="20"/>
                <w:szCs w:val="20"/>
              </w:rPr>
              <w:t xml:space="preserve">irector </w:t>
            </w:r>
            <w:r w:rsidRPr="0014056C">
              <w:rPr>
                <w:rFonts w:cstheme="minorHAnsi"/>
                <w:sz w:val="20"/>
                <w:szCs w:val="20"/>
              </w:rPr>
              <w:t>G</w:t>
            </w:r>
            <w:r>
              <w:rPr>
                <w:rFonts w:cstheme="minorHAnsi"/>
                <w:sz w:val="20"/>
                <w:szCs w:val="20"/>
              </w:rPr>
              <w:t>eneral</w:t>
            </w:r>
            <w:r w:rsidRPr="0014056C">
              <w:rPr>
                <w:rFonts w:cstheme="minorHAnsi"/>
                <w:sz w:val="20"/>
                <w:szCs w:val="20"/>
              </w:rPr>
              <w:t>s</w:t>
            </w:r>
            <w:r>
              <w:rPr>
                <w:rFonts w:cstheme="minorHAnsi"/>
                <w:sz w:val="20"/>
                <w:szCs w:val="20"/>
              </w:rPr>
              <w:t xml:space="preserve"> (DGs)</w:t>
            </w:r>
            <w:r w:rsidRPr="0014056C">
              <w:rPr>
                <w:rFonts w:cstheme="minorHAnsi"/>
                <w:sz w:val="20"/>
                <w:szCs w:val="20"/>
              </w:rPr>
              <w:t xml:space="preserve"> and VPF Executive, and momentum for strengthening of VPF and MJCS</w:t>
            </w:r>
          </w:p>
        </w:tc>
        <w:tc>
          <w:tcPr>
            <w:tcW w:w="0" w:type="auto"/>
          </w:tcPr>
          <w:p w:rsidR="00CA7A38" w:rsidRPr="00A20258" w:rsidRDefault="00CA7A38" w:rsidP="00CA7A3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Program remaining flexible and responsive to changes in political leadership </w:t>
            </w:r>
          </w:p>
          <w:p w:rsidR="00CA7A38" w:rsidRPr="00A20258" w:rsidRDefault="00CA7A38" w:rsidP="00CA7A3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Keep Ministers informed about the program</w:t>
            </w:r>
          </w:p>
          <w:p w:rsidR="00CA7A38" w:rsidRPr="00A20258" w:rsidRDefault="00CA7A38" w:rsidP="00CA7A3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Build leadership across the sector, and strengthen whole-of-sector mechanisms such as HOAG to encourage continuity and stability in bureaucracy</w:t>
            </w:r>
          </w:p>
        </w:tc>
        <w:tc>
          <w:tcPr>
            <w:tcW w:w="0" w:type="auto"/>
          </w:tcPr>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r>
              <w:rPr>
                <w:rFonts w:cstheme="minorHAnsi"/>
                <w:sz w:val="20"/>
                <w:szCs w:val="20"/>
              </w:rPr>
              <w:t>–</w:t>
            </w:r>
            <w:r w:rsidRPr="00FD0D01">
              <w:rPr>
                <w:rFonts w:cstheme="minorHAnsi"/>
                <w:sz w:val="20"/>
                <w:szCs w:val="20"/>
              </w:rPr>
              <w:t>4</w:t>
            </w:r>
          </w:p>
        </w:tc>
        <w:tc>
          <w:tcPr>
            <w:tcW w:w="0" w:type="auto"/>
          </w:tcPr>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Program Leadership Team,</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VPF Executive and DGs </w:t>
            </w:r>
            <w:r w:rsidRPr="00FD0D01">
              <w:rPr>
                <w:rFonts w:cstheme="minorHAnsi"/>
                <w:sz w:val="20"/>
                <w:szCs w:val="20"/>
              </w:rPr>
              <w:t>MJCS</w:t>
            </w:r>
            <w:r>
              <w:rPr>
                <w:rFonts w:cstheme="minorHAnsi"/>
                <w:sz w:val="20"/>
                <w:szCs w:val="20"/>
              </w:rPr>
              <w:t xml:space="preserve">, </w:t>
            </w:r>
            <w:proofErr w:type="spellStart"/>
            <w:r>
              <w:rPr>
                <w:rFonts w:cstheme="minorHAnsi"/>
                <w:sz w:val="20"/>
                <w:szCs w:val="20"/>
              </w:rPr>
              <w:t>MoIA</w:t>
            </w:r>
            <w:proofErr w:type="spellEnd"/>
          </w:p>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sidRPr="0014056C">
              <w:rPr>
                <w:rFonts w:cstheme="minorHAnsi"/>
                <w:b w:val="0"/>
                <w:sz w:val="20"/>
                <w:szCs w:val="20"/>
              </w:rPr>
              <w:t>Workforce and other structural issues in VPF remain unaddressed for</w:t>
            </w:r>
            <w:r>
              <w:rPr>
                <w:rFonts w:cstheme="minorHAnsi"/>
                <w:b w:val="0"/>
                <w:sz w:val="20"/>
                <w:szCs w:val="20"/>
              </w:rPr>
              <w:t xml:space="preserve"> the duration of the investment</w:t>
            </w:r>
          </w:p>
        </w:tc>
        <w:tc>
          <w:tcPr>
            <w:tcW w:w="0" w:type="auto"/>
          </w:tcPr>
          <w:p w:rsidR="00CA7A3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Proportion of VPF budget available for operations continues to decline  </w:t>
            </w:r>
          </w:p>
          <w:p w:rsidR="00CA7A3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GoA</w:t>
            </w:r>
            <w:proofErr w:type="spellEnd"/>
            <w:r>
              <w:rPr>
                <w:rFonts w:cstheme="minorHAnsi"/>
                <w:sz w:val="20"/>
                <w:szCs w:val="20"/>
              </w:rPr>
              <w:t xml:space="preserve">/program under pressure to increase </w:t>
            </w:r>
            <w:r w:rsidRPr="00B80588">
              <w:rPr>
                <w:rFonts w:cstheme="minorHAnsi"/>
                <w:sz w:val="20"/>
                <w:szCs w:val="20"/>
              </w:rPr>
              <w:t xml:space="preserve">contribution to </w:t>
            </w:r>
            <w:r>
              <w:rPr>
                <w:rFonts w:cstheme="minorHAnsi"/>
                <w:sz w:val="20"/>
                <w:szCs w:val="20"/>
              </w:rPr>
              <w:t xml:space="preserve">VPF </w:t>
            </w:r>
            <w:r w:rsidRPr="00B80588">
              <w:rPr>
                <w:rFonts w:cstheme="minorHAnsi"/>
                <w:sz w:val="20"/>
                <w:szCs w:val="20"/>
              </w:rPr>
              <w:t xml:space="preserve">operational budget </w:t>
            </w:r>
            <w:r>
              <w:rPr>
                <w:rFonts w:cstheme="minorHAnsi"/>
                <w:sz w:val="20"/>
                <w:szCs w:val="20"/>
              </w:rPr>
              <w:t>to fund urgent responses</w:t>
            </w:r>
          </w:p>
          <w:p w:rsidR="00CA7A38" w:rsidRPr="00BB3CBC"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B3CBC">
              <w:rPr>
                <w:rFonts w:cstheme="minorHAnsi"/>
                <w:sz w:val="20"/>
                <w:szCs w:val="20"/>
              </w:rPr>
              <w:t>Diverts resources from other program</w:t>
            </w:r>
            <w:r>
              <w:rPr>
                <w:rFonts w:cstheme="minorHAnsi"/>
                <w:sz w:val="20"/>
                <w:szCs w:val="20"/>
              </w:rPr>
              <w:t xml:space="preserve"> areas</w:t>
            </w:r>
          </w:p>
        </w:tc>
        <w:tc>
          <w:tcPr>
            <w:tcW w:w="0" w:type="auto"/>
          </w:tcPr>
          <w:p w:rsidR="00CA7A38" w:rsidRPr="00A2025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Closely monitor situation</w:t>
            </w:r>
          </w:p>
          <w:p w:rsidR="00CA7A38" w:rsidRPr="00A2025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Multi-level dialogue with GoV and VPF leadership</w:t>
            </w:r>
          </w:p>
          <w:p w:rsidR="00CA7A3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Develop plans with VPF to address structur</w:t>
            </w:r>
            <w:r>
              <w:rPr>
                <w:rFonts w:cstheme="minorHAnsi"/>
                <w:sz w:val="20"/>
                <w:szCs w:val="20"/>
              </w:rPr>
              <w:t>al issues through budget and human resource management capacity development streams</w:t>
            </w:r>
          </w:p>
          <w:p w:rsidR="00CA7A38" w:rsidRPr="00A2025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D</w:t>
            </w:r>
            <w:r w:rsidRPr="00A20258">
              <w:rPr>
                <w:rFonts w:cstheme="minorHAnsi"/>
                <w:sz w:val="20"/>
                <w:szCs w:val="20"/>
              </w:rPr>
              <w:t>iscussions with</w:t>
            </w:r>
            <w:r>
              <w:rPr>
                <w:rFonts w:cstheme="minorHAnsi"/>
                <w:sz w:val="20"/>
                <w:szCs w:val="20"/>
              </w:rPr>
              <w:t xml:space="preserve"> GoV, VPF Executive</w:t>
            </w:r>
            <w:r w:rsidRPr="00A20258">
              <w:rPr>
                <w:rFonts w:cstheme="minorHAnsi"/>
                <w:sz w:val="20"/>
                <w:szCs w:val="20"/>
              </w:rPr>
              <w:t xml:space="preserve"> </w:t>
            </w:r>
          </w:p>
        </w:tc>
        <w:tc>
          <w:tcPr>
            <w:tcW w:w="0" w:type="auto"/>
          </w:tcPr>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4</w:t>
            </w:r>
          </w:p>
        </w:tc>
        <w:tc>
          <w:tcPr>
            <w:tcW w:w="0" w:type="auto"/>
          </w:tcPr>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w:t>
            </w:r>
          </w:p>
        </w:tc>
        <w:tc>
          <w:tcPr>
            <w:tcW w:w="0" w:type="auto"/>
          </w:tcPr>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w:t>
            </w:r>
          </w:p>
        </w:tc>
        <w:tc>
          <w:tcPr>
            <w:tcW w:w="0" w:type="auto"/>
          </w:tcPr>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DFAT</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AFP</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MJCS</w:t>
            </w:r>
          </w:p>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PFM and HRM Advisers</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proofErr w:type="spellStart"/>
            <w:r w:rsidRPr="0014056C">
              <w:rPr>
                <w:rFonts w:cstheme="minorHAnsi"/>
                <w:b w:val="0"/>
                <w:sz w:val="20"/>
                <w:szCs w:val="20"/>
              </w:rPr>
              <w:lastRenderedPageBreak/>
              <w:t>GoV</w:t>
            </w:r>
            <w:proofErr w:type="spellEnd"/>
            <w:r w:rsidRPr="0014056C">
              <w:rPr>
                <w:rFonts w:cstheme="minorHAnsi"/>
                <w:b w:val="0"/>
                <w:sz w:val="20"/>
                <w:szCs w:val="20"/>
              </w:rPr>
              <w:t xml:space="preserve"> authorise</w:t>
            </w:r>
            <w:r>
              <w:rPr>
                <w:rFonts w:cstheme="minorHAnsi"/>
                <w:b w:val="0"/>
                <w:sz w:val="20"/>
                <w:szCs w:val="20"/>
              </w:rPr>
              <w:t>s</w:t>
            </w:r>
            <w:r w:rsidRPr="0014056C">
              <w:rPr>
                <w:rFonts w:cstheme="minorHAnsi"/>
                <w:b w:val="0"/>
                <w:sz w:val="20"/>
                <w:szCs w:val="20"/>
              </w:rPr>
              <w:t xml:space="preserve"> ‘polis </w:t>
            </w:r>
            <w:proofErr w:type="spellStart"/>
            <w:r w:rsidRPr="0014056C">
              <w:rPr>
                <w:rFonts w:cstheme="minorHAnsi"/>
                <w:b w:val="0"/>
                <w:sz w:val="20"/>
                <w:szCs w:val="20"/>
              </w:rPr>
              <w:t>blong</w:t>
            </w:r>
            <w:proofErr w:type="spellEnd"/>
            <w:r w:rsidRPr="0014056C">
              <w:rPr>
                <w:rFonts w:cstheme="minorHAnsi"/>
                <w:b w:val="0"/>
                <w:sz w:val="20"/>
                <w:szCs w:val="20"/>
              </w:rPr>
              <w:t xml:space="preserve"> chief’</w:t>
            </w:r>
          </w:p>
        </w:tc>
        <w:tc>
          <w:tcPr>
            <w:tcW w:w="0" w:type="auto"/>
          </w:tcPr>
          <w:p w:rsidR="00CA7A3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Undermines authority of VPF</w:t>
            </w:r>
          </w:p>
          <w:p w:rsidR="00CA7A3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Unaccountable non-state actors (risk of their acting in a way that conflicts with the law and human rights standards)</w:t>
            </w:r>
          </w:p>
          <w:p w:rsidR="00CA7A38" w:rsidRPr="009C453F"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C453F">
              <w:rPr>
                <w:rFonts w:cstheme="minorHAnsi"/>
                <w:sz w:val="20"/>
                <w:szCs w:val="20"/>
              </w:rPr>
              <w:t xml:space="preserve">VPF attention diverted </w:t>
            </w:r>
          </w:p>
        </w:tc>
        <w:tc>
          <w:tcPr>
            <w:tcW w:w="0" w:type="auto"/>
          </w:tcPr>
          <w:p w:rsidR="00CA7A38" w:rsidRPr="00A20258" w:rsidRDefault="00CA7A38" w:rsidP="00CA7A38">
            <w:pPr>
              <w:pStyle w:val="ListParagraph"/>
              <w:numPr>
                <w:ilvl w:val="0"/>
                <w:numId w:val="3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High-level dialogue with GoV and VPF leadership</w:t>
            </w:r>
          </w:p>
        </w:tc>
        <w:tc>
          <w:tcPr>
            <w:tcW w:w="0" w:type="auto"/>
          </w:tcPr>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w:t>
            </w:r>
          </w:p>
        </w:tc>
        <w:tc>
          <w:tcPr>
            <w:tcW w:w="0" w:type="auto"/>
          </w:tcPr>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w:t>
            </w:r>
          </w:p>
        </w:tc>
        <w:tc>
          <w:tcPr>
            <w:tcW w:w="0" w:type="auto"/>
          </w:tcPr>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w:t>
            </w:r>
          </w:p>
        </w:tc>
        <w:tc>
          <w:tcPr>
            <w:tcW w:w="0" w:type="auto"/>
          </w:tcPr>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DFAT</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AFP</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MJCS</w:t>
            </w:r>
          </w:p>
          <w:p w:rsidR="00CA7A38" w:rsidRPr="0014056C"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VPF</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sidRPr="0014056C">
              <w:rPr>
                <w:rFonts w:cstheme="minorHAnsi"/>
                <w:b w:val="0"/>
                <w:sz w:val="20"/>
                <w:szCs w:val="20"/>
              </w:rPr>
              <w:t>Inadequate revenue generation and collection by GoV</w:t>
            </w:r>
          </w:p>
        </w:tc>
        <w:tc>
          <w:tcPr>
            <w:tcW w:w="0" w:type="auto"/>
          </w:tcPr>
          <w:p w:rsidR="00CA7A3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Sustainability of GoV support</w:t>
            </w:r>
          </w:p>
          <w:p w:rsidR="00CA7A3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Sustainability</w:t>
            </w:r>
            <w:r>
              <w:rPr>
                <w:rFonts w:cstheme="minorHAnsi"/>
                <w:sz w:val="20"/>
                <w:szCs w:val="20"/>
              </w:rPr>
              <w:t xml:space="preserve"> of any scale up of initiatives</w:t>
            </w:r>
          </w:p>
        </w:tc>
        <w:tc>
          <w:tcPr>
            <w:tcW w:w="0" w:type="auto"/>
          </w:tcPr>
          <w:p w:rsidR="00CA7A38" w:rsidRPr="00A654C4" w:rsidRDefault="00CA7A38" w:rsidP="00CA7A38">
            <w:pPr>
              <w:pStyle w:val="ListParagraph"/>
              <w:numPr>
                <w:ilvl w:val="0"/>
                <w:numId w:val="3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54C4">
              <w:rPr>
                <w:rFonts w:cstheme="minorHAnsi"/>
                <w:sz w:val="20"/>
                <w:szCs w:val="20"/>
              </w:rPr>
              <w:t>Absorptive capacity monitored and activities balanced accordingly</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VPF </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MJCS</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MFEM</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PFM Adviser</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sidRPr="0014056C">
              <w:rPr>
                <w:rFonts w:cstheme="minorHAnsi"/>
                <w:b w:val="0"/>
                <w:sz w:val="20"/>
                <w:szCs w:val="20"/>
              </w:rPr>
              <w:t>Inadequate budget allocation within the sector and government generally, small size of institutions</w:t>
            </w:r>
          </w:p>
        </w:tc>
        <w:tc>
          <w:tcPr>
            <w:tcW w:w="0" w:type="auto"/>
          </w:tcPr>
          <w:p w:rsidR="00CA7A38" w:rsidRPr="00FD0D01"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 xml:space="preserve">Sustainability of GoV </w:t>
            </w:r>
            <w:r>
              <w:rPr>
                <w:rFonts w:cstheme="minorHAnsi"/>
                <w:sz w:val="20"/>
                <w:szCs w:val="20"/>
              </w:rPr>
              <w:t>support/take up for initiatives</w:t>
            </w:r>
          </w:p>
          <w:p w:rsidR="00CA7A38" w:rsidRPr="00FD0D01"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 xml:space="preserve">Sustainability of any </w:t>
            </w:r>
            <w:proofErr w:type="gramStart"/>
            <w:r w:rsidRPr="00FD0D01">
              <w:rPr>
                <w:rFonts w:cstheme="minorHAnsi"/>
                <w:sz w:val="20"/>
                <w:szCs w:val="20"/>
              </w:rPr>
              <w:t>scale</w:t>
            </w:r>
            <w:proofErr w:type="gramEnd"/>
            <w:r w:rsidRPr="00FD0D01">
              <w:rPr>
                <w:rFonts w:cstheme="minorHAnsi"/>
                <w:sz w:val="20"/>
                <w:szCs w:val="20"/>
              </w:rPr>
              <w:t xml:space="preserve"> up of initiatives.</w:t>
            </w:r>
          </w:p>
          <w:p w:rsidR="00CA7A3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Absorptive capacity</w:t>
            </w:r>
          </w:p>
          <w:p w:rsidR="00CA7A3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Substitution </w:t>
            </w:r>
            <w:r w:rsidRPr="00AE3A0D">
              <w:rPr>
                <w:rFonts w:cstheme="minorHAnsi"/>
                <w:sz w:val="20"/>
                <w:szCs w:val="20"/>
              </w:rPr>
              <w:t>with the GoV knowing that there is operational budget support</w:t>
            </w:r>
            <w:r>
              <w:rPr>
                <w:rFonts w:cstheme="minorHAnsi"/>
                <w:sz w:val="20"/>
                <w:szCs w:val="20"/>
              </w:rPr>
              <w:t>, and in particular for the VPF</w:t>
            </w:r>
          </w:p>
        </w:tc>
        <w:tc>
          <w:tcPr>
            <w:tcW w:w="0" w:type="auto"/>
          </w:tcPr>
          <w:p w:rsidR="00CA7A38" w:rsidRPr="00A2025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Harmonisation with donors and programs.</w:t>
            </w:r>
          </w:p>
          <w:p w:rsidR="00CA7A38" w:rsidRPr="00A2025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Support for VPF and MJCS with donor coordination and collaboration</w:t>
            </w:r>
          </w:p>
          <w:p w:rsidR="00CA7A38" w:rsidRPr="00A2025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Absorptive capacity monitored and activities balanced accordingly</w:t>
            </w:r>
          </w:p>
          <w:p w:rsidR="00CA7A38" w:rsidRPr="00A2025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Working with finance areas of VPF, MJCS and in partnership with MFEM</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VPF, </w:t>
            </w:r>
            <w:r w:rsidRPr="00FD0D01">
              <w:rPr>
                <w:rFonts w:cstheme="minorHAnsi"/>
                <w:sz w:val="20"/>
                <w:szCs w:val="20"/>
              </w:rPr>
              <w:t xml:space="preserve">MJCS, MFEM </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Public Financial Management (PFM) Adviser;</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w:t>
            </w:r>
            <w:r w:rsidRPr="00FD0D01">
              <w:rPr>
                <w:rFonts w:cstheme="minorHAnsi"/>
                <w:sz w:val="20"/>
                <w:szCs w:val="20"/>
              </w:rPr>
              <w:t xml:space="preserve">upport from </w:t>
            </w:r>
            <w:r>
              <w:rPr>
                <w:rFonts w:cstheme="minorHAnsi"/>
                <w:sz w:val="20"/>
                <w:szCs w:val="20"/>
              </w:rPr>
              <w:t xml:space="preserve">SRBJS </w:t>
            </w:r>
            <w:r w:rsidRPr="00FD0D01">
              <w:rPr>
                <w:rFonts w:cstheme="minorHAnsi"/>
                <w:sz w:val="20"/>
                <w:szCs w:val="20"/>
              </w:rPr>
              <w:t>re</w:t>
            </w:r>
            <w:r>
              <w:rPr>
                <w:rFonts w:cstheme="minorHAnsi"/>
                <w:sz w:val="20"/>
                <w:szCs w:val="20"/>
              </w:rPr>
              <w:t>:</w:t>
            </w:r>
            <w:r w:rsidRPr="00FD0D01">
              <w:rPr>
                <w:rFonts w:cstheme="minorHAnsi"/>
                <w:sz w:val="20"/>
                <w:szCs w:val="20"/>
              </w:rPr>
              <w:t xml:space="preserve"> donor </w:t>
            </w:r>
            <w:r>
              <w:rPr>
                <w:rFonts w:cstheme="minorHAnsi"/>
                <w:sz w:val="20"/>
                <w:szCs w:val="20"/>
              </w:rPr>
              <w:t>harmonisation</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rPr>
                <w:rFonts w:cstheme="minorHAnsi"/>
                <w:b w:val="0"/>
                <w:sz w:val="20"/>
                <w:szCs w:val="20"/>
              </w:rPr>
            </w:pPr>
            <w:r w:rsidRPr="0014056C">
              <w:rPr>
                <w:rFonts w:cstheme="minorHAnsi"/>
                <w:b w:val="0"/>
                <w:sz w:val="20"/>
                <w:szCs w:val="20"/>
              </w:rPr>
              <w:t>Low status of women continues without improvement</w:t>
            </w:r>
          </w:p>
          <w:p w:rsidR="00CA7A38" w:rsidRPr="0014056C" w:rsidRDefault="00CA7A38" w:rsidP="00E70031">
            <w:pPr>
              <w:rPr>
                <w:rFonts w:cstheme="minorHAnsi"/>
                <w:b w:val="0"/>
                <w:sz w:val="20"/>
                <w:szCs w:val="20"/>
              </w:rPr>
            </w:pPr>
          </w:p>
          <w:p w:rsidR="00CA7A38" w:rsidRPr="0014056C" w:rsidRDefault="00CA7A38" w:rsidP="00E70031">
            <w:pPr>
              <w:autoSpaceDE w:val="0"/>
              <w:autoSpaceDN w:val="0"/>
              <w:adjustRightInd w:val="0"/>
              <w:rPr>
                <w:rFonts w:cstheme="minorHAnsi"/>
                <w:b w:val="0"/>
                <w:sz w:val="20"/>
                <w:szCs w:val="20"/>
              </w:rPr>
            </w:pPr>
            <w:r>
              <w:rPr>
                <w:rFonts w:cstheme="minorHAnsi"/>
                <w:b w:val="0"/>
                <w:sz w:val="20"/>
                <w:szCs w:val="20"/>
              </w:rPr>
              <w:t>Low GoV engagement:</w:t>
            </w:r>
            <w:r w:rsidRPr="0014056C">
              <w:rPr>
                <w:rFonts w:cstheme="minorHAnsi"/>
                <w:b w:val="0"/>
                <w:sz w:val="20"/>
                <w:szCs w:val="20"/>
              </w:rPr>
              <w:t xml:space="preserve">  DWA / VWC cont</w:t>
            </w:r>
            <w:r>
              <w:rPr>
                <w:rFonts w:cstheme="minorHAnsi"/>
                <w:b w:val="0"/>
                <w:sz w:val="20"/>
                <w:szCs w:val="20"/>
              </w:rPr>
              <w:t>inues to receive no/very limited GoV funding</w:t>
            </w:r>
          </w:p>
        </w:tc>
        <w:tc>
          <w:tcPr>
            <w:tcW w:w="0" w:type="auto"/>
          </w:tcPr>
          <w:p w:rsidR="00CA7A38" w:rsidRDefault="00CA7A38" w:rsidP="00CA7A3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r w:rsidRPr="00B04728">
              <w:rPr>
                <w:rFonts w:cstheme="minorHAnsi"/>
                <w:sz w:val="20"/>
                <w:szCs w:val="20"/>
              </w:rPr>
              <w:t xml:space="preserve">Australia’s </w:t>
            </w:r>
            <w:r>
              <w:rPr>
                <w:rFonts w:cstheme="minorHAnsi"/>
                <w:sz w:val="20"/>
                <w:szCs w:val="20"/>
              </w:rPr>
              <w:t>efforts on GBV objectives undermined</w:t>
            </w:r>
          </w:p>
        </w:tc>
        <w:tc>
          <w:tcPr>
            <w:tcW w:w="0" w:type="auto"/>
          </w:tcPr>
          <w:p w:rsidR="00CA7A38" w:rsidRPr="00A20258" w:rsidRDefault="00CA7A38" w:rsidP="00CA7A3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Continued proactive inclusion of activities for women and youth in </w:t>
            </w:r>
            <w:r>
              <w:rPr>
                <w:rFonts w:cstheme="minorHAnsi"/>
                <w:sz w:val="20"/>
                <w:szCs w:val="20"/>
              </w:rPr>
              <w:t>SRBJS</w:t>
            </w:r>
            <w:r w:rsidRPr="00A20258">
              <w:rPr>
                <w:rFonts w:cstheme="minorHAnsi"/>
                <w:sz w:val="20"/>
                <w:szCs w:val="20"/>
              </w:rPr>
              <w:t xml:space="preserve"> programming</w:t>
            </w:r>
          </w:p>
          <w:p w:rsidR="00CA7A38" w:rsidRPr="00A20258" w:rsidRDefault="00CA7A38" w:rsidP="00CA7A3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Support selection of women for capacity development opportunities</w:t>
            </w:r>
          </w:p>
          <w:p w:rsidR="00CA7A38" w:rsidRPr="00A20258" w:rsidRDefault="00CA7A38" w:rsidP="00CA7A3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Strengthen agency</w:t>
            </w:r>
            <w:r w:rsidRPr="00A20258">
              <w:rPr>
                <w:rFonts w:cstheme="minorHAnsi"/>
                <w:sz w:val="20"/>
                <w:szCs w:val="20"/>
              </w:rPr>
              <w:t xml:space="preserve"> capacity </w:t>
            </w:r>
            <w:r>
              <w:rPr>
                <w:rFonts w:cstheme="minorHAnsi"/>
                <w:sz w:val="20"/>
                <w:szCs w:val="20"/>
              </w:rPr>
              <w:t>for</w:t>
            </w:r>
            <w:r w:rsidRPr="00A20258">
              <w:rPr>
                <w:rFonts w:cstheme="minorHAnsi"/>
                <w:sz w:val="20"/>
                <w:szCs w:val="20"/>
              </w:rPr>
              <w:t xml:space="preserve"> crime prevention, support of victims of crime, </w:t>
            </w:r>
            <w:r>
              <w:rPr>
                <w:rFonts w:cstheme="minorHAnsi"/>
                <w:sz w:val="20"/>
                <w:szCs w:val="20"/>
              </w:rPr>
              <w:t>and prevention and response to gender-based violence</w:t>
            </w:r>
            <w:r w:rsidRPr="00A20258">
              <w:rPr>
                <w:rFonts w:cstheme="minorHAnsi"/>
                <w:sz w:val="20"/>
                <w:szCs w:val="20"/>
              </w:rPr>
              <w:t xml:space="preserve"> </w:t>
            </w:r>
          </w:p>
          <w:p w:rsidR="00CA7A38" w:rsidRPr="00A20258" w:rsidRDefault="00CA7A38" w:rsidP="00CA7A3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Support gender mainstreaming in strategic planning</w:t>
            </w:r>
          </w:p>
          <w:p w:rsidR="00CA7A38" w:rsidRPr="00A20258" w:rsidRDefault="00CA7A38" w:rsidP="00CA7A3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lastRenderedPageBreak/>
              <w:t>Refine gender mainstreaming strategy</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lastRenderedPageBreak/>
              <w:t>5</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VPF</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MJCS</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DWA</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SRBJS (all advisers/project officers)</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sidRPr="0014056C">
              <w:rPr>
                <w:rFonts w:cstheme="minorHAnsi"/>
                <w:b w:val="0"/>
                <w:sz w:val="20"/>
                <w:szCs w:val="20"/>
              </w:rPr>
              <w:lastRenderedPageBreak/>
              <w:t>C</w:t>
            </w:r>
            <w:r>
              <w:rPr>
                <w:rFonts w:cstheme="minorHAnsi"/>
                <w:b w:val="0"/>
                <w:sz w:val="20"/>
                <w:szCs w:val="20"/>
              </w:rPr>
              <w:t>omplex</w:t>
            </w:r>
            <w:r w:rsidRPr="0014056C">
              <w:rPr>
                <w:rFonts w:cstheme="minorHAnsi"/>
                <w:b w:val="0"/>
                <w:sz w:val="20"/>
                <w:szCs w:val="20"/>
              </w:rPr>
              <w:t xml:space="preserve"> relationship </w:t>
            </w:r>
            <w:r>
              <w:rPr>
                <w:rFonts w:cstheme="minorHAnsi"/>
                <w:b w:val="0"/>
                <w:sz w:val="20"/>
                <w:szCs w:val="20"/>
              </w:rPr>
              <w:t xml:space="preserve">and </w:t>
            </w:r>
            <w:r w:rsidRPr="0014056C">
              <w:rPr>
                <w:rFonts w:cstheme="minorHAnsi"/>
                <w:b w:val="0"/>
                <w:sz w:val="20"/>
                <w:szCs w:val="20"/>
              </w:rPr>
              <w:t>interplay</w:t>
            </w:r>
            <w:r>
              <w:rPr>
                <w:rFonts w:cstheme="minorHAnsi"/>
                <w:b w:val="0"/>
                <w:sz w:val="20"/>
                <w:szCs w:val="20"/>
              </w:rPr>
              <w:t xml:space="preserve"> between state and non-state systems. This also includes the impact of an external actor (such as the program) influencing  the dynamics of that relationship</w:t>
            </w:r>
          </w:p>
        </w:tc>
        <w:tc>
          <w:tcPr>
            <w:tcW w:w="0" w:type="auto"/>
          </w:tcPr>
          <w:p w:rsidR="00CA7A38" w:rsidRPr="009C453F" w:rsidRDefault="00CA7A38" w:rsidP="00CA7A38">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C453F">
              <w:rPr>
                <w:rFonts w:cstheme="minorHAnsi"/>
                <w:sz w:val="20"/>
                <w:szCs w:val="20"/>
              </w:rPr>
              <w:t xml:space="preserve">Program causes harm / unintended consequences , particularly in pilot regions </w:t>
            </w:r>
            <w:proofErr w:type="spellStart"/>
            <w:r w:rsidRPr="009C453F">
              <w:rPr>
                <w:rFonts w:cstheme="minorHAnsi"/>
                <w:sz w:val="20"/>
                <w:szCs w:val="20"/>
              </w:rPr>
              <w:t>Malekula</w:t>
            </w:r>
            <w:proofErr w:type="spellEnd"/>
            <w:r w:rsidRPr="009C453F">
              <w:rPr>
                <w:rFonts w:cstheme="minorHAnsi"/>
                <w:sz w:val="20"/>
                <w:szCs w:val="20"/>
              </w:rPr>
              <w:t xml:space="preserve">, </w:t>
            </w:r>
            <w:proofErr w:type="spellStart"/>
            <w:r w:rsidRPr="009C453F">
              <w:rPr>
                <w:rFonts w:cstheme="minorHAnsi"/>
                <w:sz w:val="20"/>
                <w:szCs w:val="20"/>
              </w:rPr>
              <w:t>Tanna</w:t>
            </w:r>
            <w:proofErr w:type="spellEnd"/>
            <w:r w:rsidRPr="009C453F">
              <w:rPr>
                <w:rFonts w:cstheme="minorHAnsi"/>
                <w:sz w:val="20"/>
                <w:szCs w:val="20"/>
              </w:rPr>
              <w:t xml:space="preserve">, </w:t>
            </w:r>
            <w:proofErr w:type="spellStart"/>
            <w:r w:rsidRPr="009C453F">
              <w:rPr>
                <w:rFonts w:cstheme="minorHAnsi"/>
                <w:sz w:val="20"/>
                <w:szCs w:val="20"/>
              </w:rPr>
              <w:t>Blacksands</w:t>
            </w:r>
            <w:proofErr w:type="spellEnd"/>
          </w:p>
          <w:p w:rsidR="00CA7A38" w:rsidRPr="009C453F" w:rsidRDefault="00CA7A38" w:rsidP="00CA7A38">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C453F">
              <w:rPr>
                <w:rFonts w:cstheme="minorHAnsi"/>
                <w:sz w:val="20"/>
                <w:szCs w:val="20"/>
              </w:rPr>
              <w:t xml:space="preserve">Often described as two separate systems of dispute resolution, but rather is intermixed and sometimes in conflict and sometimes mutually reinforcing </w:t>
            </w:r>
          </w:p>
        </w:tc>
        <w:tc>
          <w:tcPr>
            <w:tcW w:w="0" w:type="auto"/>
          </w:tcPr>
          <w:p w:rsidR="00CA7A38" w:rsidRPr="00A20258" w:rsidRDefault="00CA7A38" w:rsidP="00CA7A3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Develop programing informed by research on </w:t>
            </w:r>
            <w:proofErr w:type="spellStart"/>
            <w:r w:rsidRPr="00A20258">
              <w:rPr>
                <w:rFonts w:cstheme="minorHAnsi"/>
                <w:sz w:val="20"/>
                <w:szCs w:val="20"/>
              </w:rPr>
              <w:t>Malekula</w:t>
            </w:r>
            <w:proofErr w:type="spellEnd"/>
            <w:r w:rsidRPr="00A20258">
              <w:rPr>
                <w:rFonts w:cstheme="minorHAnsi"/>
                <w:sz w:val="20"/>
                <w:szCs w:val="20"/>
              </w:rPr>
              <w:t xml:space="preserve"> and </w:t>
            </w:r>
            <w:proofErr w:type="spellStart"/>
            <w:r w:rsidRPr="00A20258">
              <w:rPr>
                <w:rFonts w:cstheme="minorHAnsi"/>
                <w:sz w:val="20"/>
                <w:szCs w:val="20"/>
              </w:rPr>
              <w:t>Blacksands</w:t>
            </w:r>
            <w:proofErr w:type="spellEnd"/>
          </w:p>
          <w:p w:rsidR="00CA7A38" w:rsidRPr="00A20258" w:rsidRDefault="00CA7A38" w:rsidP="00CA7A3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Use a sensitive, appropriately paced, iterative approach, guided by key </w:t>
            </w:r>
            <w:proofErr w:type="spellStart"/>
            <w:r w:rsidRPr="00A20258">
              <w:rPr>
                <w:rFonts w:cstheme="minorHAnsi"/>
                <w:sz w:val="20"/>
                <w:szCs w:val="20"/>
              </w:rPr>
              <w:t>ni</w:t>
            </w:r>
            <w:proofErr w:type="spellEnd"/>
            <w:r w:rsidRPr="00A20258">
              <w:rPr>
                <w:rFonts w:cstheme="minorHAnsi"/>
                <w:sz w:val="20"/>
                <w:szCs w:val="20"/>
              </w:rPr>
              <w:t>–Vanuatu stakeholders</w:t>
            </w:r>
          </w:p>
          <w:p w:rsidR="00CA7A38" w:rsidRPr="00A20258" w:rsidRDefault="00CA7A38" w:rsidP="00CA7A3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Work in close collaboration with </w:t>
            </w:r>
            <w:proofErr w:type="spellStart"/>
            <w:r w:rsidRPr="00A20258">
              <w:rPr>
                <w:rFonts w:cstheme="minorHAnsi"/>
                <w:sz w:val="20"/>
                <w:szCs w:val="20"/>
              </w:rPr>
              <w:t>ni</w:t>
            </w:r>
            <w:proofErr w:type="spellEnd"/>
            <w:r w:rsidRPr="00A20258">
              <w:rPr>
                <w:rFonts w:cstheme="minorHAnsi"/>
                <w:sz w:val="20"/>
                <w:szCs w:val="20"/>
              </w:rPr>
              <w:t>–Vanuatu organisations, individuals</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5</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SRBJS</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VWC</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WSB</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SRBJS (all advisers/project officers)</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DEEAF6" w:themeFill="accent1" w:themeFillTint="33"/>
          </w:tcPr>
          <w:p w:rsidR="00CA7A38" w:rsidRPr="00A20258" w:rsidRDefault="00CA7A38" w:rsidP="00E70031">
            <w:pPr>
              <w:rPr>
                <w:rFonts w:cstheme="minorHAnsi"/>
                <w:sz w:val="20"/>
                <w:szCs w:val="20"/>
              </w:rPr>
            </w:pPr>
            <w:r w:rsidRPr="00A20258">
              <w:rPr>
                <w:rFonts w:cstheme="minorHAnsi"/>
                <w:sz w:val="20"/>
                <w:szCs w:val="20"/>
              </w:rPr>
              <w:t>Implementation risks</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sidRPr="0014056C">
              <w:rPr>
                <w:rFonts w:cstheme="minorHAnsi"/>
                <w:b w:val="0"/>
                <w:sz w:val="20"/>
                <w:szCs w:val="20"/>
              </w:rPr>
              <w:t>Heavy reliance on lea</w:t>
            </w:r>
            <w:r>
              <w:rPr>
                <w:rFonts w:cstheme="minorHAnsi"/>
                <w:b w:val="0"/>
                <w:sz w:val="20"/>
                <w:szCs w:val="20"/>
              </w:rPr>
              <w:t>dership of VPF Executive and Director General, MJCS</w:t>
            </w:r>
            <w:r w:rsidRPr="0014056C">
              <w:rPr>
                <w:rFonts w:cstheme="minorHAnsi"/>
                <w:b w:val="0"/>
                <w:sz w:val="20"/>
                <w:szCs w:val="20"/>
              </w:rPr>
              <w:t xml:space="preserve"> </w:t>
            </w:r>
          </w:p>
        </w:tc>
        <w:tc>
          <w:tcPr>
            <w:tcW w:w="0" w:type="auto"/>
          </w:tcPr>
          <w:p w:rsidR="00CA7A38" w:rsidRPr="00A654C4" w:rsidRDefault="00CA7A38" w:rsidP="00CA7A38">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54C4">
              <w:rPr>
                <w:rFonts w:cstheme="minorHAnsi"/>
                <w:sz w:val="20"/>
                <w:szCs w:val="20"/>
              </w:rPr>
              <w:t>If MJCS / VPF leadership change and poor leadership ensues, reform agenda likely to stall / regress</w:t>
            </w:r>
          </w:p>
        </w:tc>
        <w:tc>
          <w:tcPr>
            <w:tcW w:w="0" w:type="auto"/>
          </w:tcPr>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Support leadership within the sector at multiple levels </w:t>
            </w:r>
          </w:p>
          <w:p w:rsidR="00CA7A38" w:rsidRPr="00A20258" w:rsidRDefault="00CA7A38" w:rsidP="00CA7A3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Strengthen </w:t>
            </w:r>
            <w:r>
              <w:rPr>
                <w:rFonts w:cstheme="minorHAnsi"/>
                <w:sz w:val="20"/>
                <w:szCs w:val="20"/>
              </w:rPr>
              <w:t>cross-sector</w:t>
            </w:r>
            <w:r w:rsidRPr="00A20258">
              <w:rPr>
                <w:rFonts w:cstheme="minorHAnsi"/>
                <w:sz w:val="20"/>
                <w:szCs w:val="20"/>
              </w:rPr>
              <w:t xml:space="preserve"> mechanisms where possible such as HOAG</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SRBJS</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 xml:space="preserve"> </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sidRPr="0014056C">
              <w:rPr>
                <w:rFonts w:cstheme="minorHAnsi"/>
                <w:b w:val="0"/>
                <w:sz w:val="20"/>
                <w:szCs w:val="20"/>
              </w:rPr>
              <w:t>Weak financial management and internal audit capacity in the VPF and MJCS</w:t>
            </w:r>
          </w:p>
        </w:tc>
        <w:tc>
          <w:tcPr>
            <w:tcW w:w="0" w:type="auto"/>
          </w:tcPr>
          <w:p w:rsidR="00CA7A3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Financial maladministration/mi</w:t>
            </w:r>
            <w:r>
              <w:rPr>
                <w:rFonts w:cstheme="minorHAnsi"/>
                <w:sz w:val="20"/>
                <w:szCs w:val="20"/>
              </w:rPr>
              <w:t>smanagement (rather than fraud)</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Slow uptake of financial management responsibility for program </w:t>
            </w:r>
            <w:r>
              <w:rPr>
                <w:rFonts w:cstheme="minorHAnsi"/>
                <w:sz w:val="20"/>
                <w:szCs w:val="20"/>
              </w:rPr>
              <w:t>funds</w:t>
            </w:r>
          </w:p>
        </w:tc>
        <w:tc>
          <w:tcPr>
            <w:tcW w:w="0" w:type="auto"/>
          </w:tcPr>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Active implementation of Vanuatu Fraud Control and Anti-Corruption plan</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Continue to provide support for the implementation of the PFM assessment recommendations </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Provide targeted capacity development</w:t>
            </w:r>
            <w:r w:rsidRPr="00A20258">
              <w:rPr>
                <w:rFonts w:cstheme="minorHAnsi"/>
                <w:sz w:val="20"/>
                <w:szCs w:val="20"/>
              </w:rPr>
              <w:t xml:space="preserve"> </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Work with counterparts wherever possible for </w:t>
            </w:r>
            <w:r>
              <w:rPr>
                <w:rFonts w:cstheme="minorHAnsi"/>
                <w:sz w:val="20"/>
                <w:szCs w:val="20"/>
              </w:rPr>
              <w:t>SRBJS</w:t>
            </w:r>
            <w:r w:rsidRPr="00A20258">
              <w:rPr>
                <w:rFonts w:cstheme="minorHAnsi"/>
                <w:sz w:val="20"/>
                <w:szCs w:val="20"/>
              </w:rPr>
              <w:t xml:space="preserve"> financial management.</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Strengthen monitoring.</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Activities enhance accountability and transparency.</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Require CSOs/NGOs to be externally audited annually.</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PFM Adviser</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CD&amp;LA Adviser</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VPF</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MJCS</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sidRPr="0014056C">
              <w:rPr>
                <w:rFonts w:cstheme="minorHAnsi"/>
                <w:b w:val="0"/>
                <w:sz w:val="20"/>
                <w:szCs w:val="20"/>
              </w:rPr>
              <w:lastRenderedPageBreak/>
              <w:t xml:space="preserve">Lack of </w:t>
            </w:r>
            <w:r>
              <w:rPr>
                <w:rFonts w:cstheme="minorHAnsi"/>
                <w:b w:val="0"/>
                <w:sz w:val="20"/>
                <w:szCs w:val="20"/>
              </w:rPr>
              <w:t>collaboration/</w:t>
            </w:r>
            <w:r w:rsidRPr="0014056C">
              <w:rPr>
                <w:rFonts w:cstheme="minorHAnsi"/>
                <w:b w:val="0"/>
                <w:sz w:val="20"/>
                <w:szCs w:val="20"/>
              </w:rPr>
              <w:t>coordination between agency heads</w:t>
            </w:r>
          </w:p>
        </w:tc>
        <w:tc>
          <w:tcPr>
            <w:tcW w:w="0" w:type="auto"/>
          </w:tcPr>
          <w:p w:rsidR="00CA7A38" w:rsidRPr="00FD0D01" w:rsidRDefault="00CA7A38" w:rsidP="00CA7A38">
            <w:pPr>
              <w:numPr>
                <w:ilvl w:val="0"/>
                <w:numId w:val="3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Impact on delivery, effectiveness and efficiency of cross-sectoral work</w:t>
            </w:r>
          </w:p>
        </w:tc>
        <w:tc>
          <w:tcPr>
            <w:tcW w:w="0" w:type="auto"/>
          </w:tcPr>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Remain flexible and responsive to modes of possible engagement</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Maintain regular dialogue and consultation with heads who collaborating optimally</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Program Leadership Team</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CD&amp;LA</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VPF, MPO and </w:t>
            </w:r>
            <w:r w:rsidRPr="00FD0D01">
              <w:rPr>
                <w:rFonts w:cstheme="minorHAnsi"/>
                <w:sz w:val="20"/>
                <w:szCs w:val="20"/>
              </w:rPr>
              <w:t>MJCS</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Pr>
                <w:rFonts w:cstheme="minorHAnsi"/>
                <w:b w:val="0"/>
                <w:sz w:val="20"/>
                <w:szCs w:val="20"/>
              </w:rPr>
              <w:t xml:space="preserve">Sector agencies and/or key individuals reluctant </w:t>
            </w:r>
            <w:r w:rsidRPr="0014056C">
              <w:rPr>
                <w:rFonts w:cstheme="minorHAnsi"/>
                <w:b w:val="0"/>
                <w:sz w:val="20"/>
                <w:szCs w:val="20"/>
              </w:rPr>
              <w:t>to engage</w:t>
            </w:r>
            <w:r>
              <w:rPr>
                <w:rFonts w:cstheme="minorHAnsi"/>
                <w:b w:val="0"/>
                <w:sz w:val="20"/>
                <w:szCs w:val="20"/>
              </w:rPr>
              <w:t xml:space="preserve"> in program-supported work in </w:t>
            </w:r>
            <w:proofErr w:type="spellStart"/>
            <w:r>
              <w:rPr>
                <w:rFonts w:cstheme="minorHAnsi"/>
                <w:b w:val="0"/>
                <w:sz w:val="20"/>
                <w:szCs w:val="20"/>
              </w:rPr>
              <w:t>Malekula</w:t>
            </w:r>
            <w:proofErr w:type="spellEnd"/>
            <w:r>
              <w:rPr>
                <w:rFonts w:cstheme="minorHAnsi"/>
                <w:b w:val="0"/>
                <w:sz w:val="20"/>
                <w:szCs w:val="20"/>
              </w:rPr>
              <w:t xml:space="preserve"> (domestic violence) and in </w:t>
            </w:r>
            <w:proofErr w:type="spellStart"/>
            <w:r>
              <w:rPr>
                <w:rFonts w:cstheme="minorHAnsi"/>
                <w:b w:val="0"/>
                <w:sz w:val="20"/>
                <w:szCs w:val="20"/>
              </w:rPr>
              <w:t>Blacksands</w:t>
            </w:r>
            <w:proofErr w:type="spellEnd"/>
            <w:r>
              <w:rPr>
                <w:rFonts w:cstheme="minorHAnsi"/>
                <w:b w:val="0"/>
                <w:sz w:val="20"/>
                <w:szCs w:val="20"/>
              </w:rPr>
              <w:t xml:space="preserve"> (youth</w:t>
            </w:r>
            <w:r w:rsidRPr="0014056C">
              <w:rPr>
                <w:rFonts w:cstheme="minorHAnsi"/>
                <w:b w:val="0"/>
                <w:sz w:val="20"/>
                <w:szCs w:val="20"/>
              </w:rPr>
              <w:t xml:space="preserve"> </w:t>
            </w:r>
            <w:r>
              <w:rPr>
                <w:rFonts w:cstheme="minorHAnsi"/>
                <w:b w:val="0"/>
                <w:sz w:val="20"/>
                <w:szCs w:val="20"/>
              </w:rPr>
              <w:t>in conflict with the law)</w:t>
            </w:r>
          </w:p>
        </w:tc>
        <w:tc>
          <w:tcPr>
            <w:tcW w:w="0" w:type="auto"/>
          </w:tcPr>
          <w:p w:rsidR="00CA7A3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 xml:space="preserve">Limits the strength of the </w:t>
            </w:r>
            <w:r>
              <w:rPr>
                <w:rFonts w:cstheme="minorHAnsi"/>
                <w:sz w:val="20"/>
                <w:szCs w:val="20"/>
              </w:rPr>
              <w:t>work and any possible scale up</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Reduces the effectiveness of domestic violence responsiveness and reduction strategies</w:t>
            </w:r>
          </w:p>
        </w:tc>
        <w:tc>
          <w:tcPr>
            <w:tcW w:w="0" w:type="auto"/>
          </w:tcPr>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Use a sensitive, iterative approach, guided by key </w:t>
            </w:r>
            <w:proofErr w:type="spellStart"/>
            <w:r w:rsidRPr="00A20258">
              <w:rPr>
                <w:rFonts w:cstheme="minorHAnsi"/>
                <w:sz w:val="20"/>
                <w:szCs w:val="20"/>
              </w:rPr>
              <w:t>ni</w:t>
            </w:r>
            <w:proofErr w:type="spellEnd"/>
            <w:r w:rsidRPr="00A20258">
              <w:rPr>
                <w:rFonts w:cstheme="minorHAnsi"/>
                <w:sz w:val="20"/>
                <w:szCs w:val="20"/>
              </w:rPr>
              <w:t>–Vanuatu stakeholders.</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Work in close collaboration with </w:t>
            </w:r>
            <w:proofErr w:type="spellStart"/>
            <w:r w:rsidRPr="00A20258">
              <w:rPr>
                <w:rFonts w:cstheme="minorHAnsi"/>
                <w:sz w:val="20"/>
                <w:szCs w:val="20"/>
              </w:rPr>
              <w:t>ni</w:t>
            </w:r>
            <w:proofErr w:type="spellEnd"/>
            <w:r w:rsidRPr="00A20258">
              <w:rPr>
                <w:rFonts w:cstheme="minorHAnsi"/>
                <w:sz w:val="20"/>
                <w:szCs w:val="20"/>
              </w:rPr>
              <w:t>–Vanuatu organisations, individuals.</w:t>
            </w:r>
          </w:p>
          <w:p w:rsidR="00CA7A3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Do not</w:t>
            </w:r>
            <w:r w:rsidRPr="00A20258">
              <w:rPr>
                <w:rFonts w:cstheme="minorHAnsi"/>
                <w:sz w:val="20"/>
                <w:szCs w:val="20"/>
              </w:rPr>
              <w:t xml:space="preserve"> assume simple transpla</w:t>
            </w:r>
            <w:r>
              <w:rPr>
                <w:rFonts w:cstheme="minorHAnsi"/>
                <w:sz w:val="20"/>
                <w:szCs w:val="20"/>
              </w:rPr>
              <w:t>nt of international models work</w:t>
            </w:r>
          </w:p>
          <w:p w:rsidR="00CA7A38" w:rsidRPr="00F266B2"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66B2">
              <w:rPr>
                <w:rFonts w:cstheme="minorHAnsi"/>
                <w:sz w:val="20"/>
                <w:szCs w:val="20"/>
              </w:rPr>
              <w:t xml:space="preserve">Engage in selection of </w:t>
            </w:r>
            <w:r>
              <w:rPr>
                <w:rFonts w:cstheme="minorHAnsi"/>
                <w:sz w:val="20"/>
                <w:szCs w:val="20"/>
              </w:rPr>
              <w:t xml:space="preserve">key stakeholders, including police for the </w:t>
            </w:r>
            <w:proofErr w:type="spellStart"/>
            <w:r>
              <w:rPr>
                <w:rFonts w:cstheme="minorHAnsi"/>
                <w:sz w:val="20"/>
                <w:szCs w:val="20"/>
              </w:rPr>
              <w:t>Blacksands</w:t>
            </w:r>
            <w:proofErr w:type="spellEnd"/>
            <w:r>
              <w:rPr>
                <w:rFonts w:cstheme="minorHAnsi"/>
                <w:sz w:val="20"/>
                <w:szCs w:val="20"/>
              </w:rPr>
              <w:t xml:space="preserve"> pilot</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SRBJS (advisers and project staff)</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Pr>
                <w:rFonts w:cstheme="minorHAnsi"/>
                <w:b w:val="0"/>
                <w:sz w:val="20"/>
                <w:szCs w:val="20"/>
              </w:rPr>
              <w:t xml:space="preserve">Limited commitment to whole-of-sector </w:t>
            </w:r>
            <w:r w:rsidRPr="0014056C">
              <w:rPr>
                <w:rFonts w:cstheme="minorHAnsi"/>
                <w:b w:val="0"/>
                <w:sz w:val="20"/>
                <w:szCs w:val="20"/>
              </w:rPr>
              <w:t xml:space="preserve">work </w:t>
            </w:r>
          </w:p>
        </w:tc>
        <w:tc>
          <w:tcPr>
            <w:tcW w:w="0" w:type="auto"/>
          </w:tcPr>
          <w:p w:rsidR="00CA7A38" w:rsidRPr="00FD0D01"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L</w:t>
            </w:r>
            <w:r>
              <w:rPr>
                <w:rFonts w:cstheme="minorHAnsi"/>
                <w:sz w:val="20"/>
                <w:szCs w:val="20"/>
              </w:rPr>
              <w:t xml:space="preserve">imits </w:t>
            </w:r>
            <w:r w:rsidRPr="00FD0D01">
              <w:rPr>
                <w:rFonts w:cstheme="minorHAnsi"/>
                <w:sz w:val="20"/>
                <w:szCs w:val="20"/>
              </w:rPr>
              <w:t xml:space="preserve">achievement of </w:t>
            </w:r>
            <w:r>
              <w:rPr>
                <w:rFonts w:cstheme="minorHAnsi"/>
                <w:sz w:val="20"/>
                <w:szCs w:val="20"/>
              </w:rPr>
              <w:t>whole-of-sector activities, and resulting gains in momentum</w:t>
            </w:r>
          </w:p>
          <w:p w:rsidR="00CA7A3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More d</w:t>
            </w:r>
            <w:r>
              <w:rPr>
                <w:rFonts w:cstheme="minorHAnsi"/>
                <w:sz w:val="20"/>
                <w:szCs w:val="20"/>
              </w:rPr>
              <w:t>ifficult to maintain engagement</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Pr>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Cross-</w:t>
            </w:r>
            <w:r w:rsidRPr="00A20258">
              <w:rPr>
                <w:rFonts w:cstheme="minorHAnsi"/>
                <w:sz w:val="20"/>
                <w:szCs w:val="20"/>
              </w:rPr>
              <w:t xml:space="preserve">sector work will be supported jointly by </w:t>
            </w:r>
            <w:r>
              <w:rPr>
                <w:rFonts w:cstheme="minorHAnsi"/>
                <w:sz w:val="20"/>
                <w:szCs w:val="20"/>
              </w:rPr>
              <w:t>SRBJS</w:t>
            </w:r>
            <w:r w:rsidRPr="00A20258">
              <w:rPr>
                <w:rFonts w:cstheme="minorHAnsi"/>
                <w:sz w:val="20"/>
                <w:szCs w:val="20"/>
              </w:rPr>
              <w:t xml:space="preserve"> and MJCS in</w:t>
            </w:r>
            <w:r>
              <w:rPr>
                <w:rFonts w:cstheme="minorHAnsi"/>
                <w:sz w:val="20"/>
                <w:szCs w:val="20"/>
              </w:rPr>
              <w:t xml:space="preserve"> terms of secretariat functions</w:t>
            </w:r>
          </w:p>
          <w:p w:rsidR="00CA7A3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Encourage consideration of activities that might provide some immedia</w:t>
            </w:r>
            <w:r>
              <w:rPr>
                <w:rFonts w:cstheme="minorHAnsi"/>
                <w:sz w:val="20"/>
                <w:szCs w:val="20"/>
              </w:rPr>
              <w:t>te benefits to support momentum</w:t>
            </w:r>
          </w:p>
          <w:p w:rsidR="00CA7A38" w:rsidRPr="00A654C4"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Celebrate and highlight achievements</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SRBJS</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MJCS</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VPF</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sidRPr="0014056C">
              <w:rPr>
                <w:rFonts w:cstheme="minorHAnsi"/>
                <w:b w:val="0"/>
                <w:sz w:val="20"/>
                <w:szCs w:val="20"/>
              </w:rPr>
              <w:t>Lack of support and engagement by agencies across the sector</w:t>
            </w:r>
          </w:p>
        </w:tc>
        <w:tc>
          <w:tcPr>
            <w:tcW w:w="0" w:type="auto"/>
          </w:tcPr>
          <w:p w:rsidR="00CA7A3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Activities and outputs delayed meaning that outcomes unlikely to be met</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Pr>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Regular meetings on progress against targets</w:t>
            </w:r>
          </w:p>
          <w:p w:rsidR="00CA7A38" w:rsidRPr="00A20258" w:rsidRDefault="00CA7A38" w:rsidP="00CA7A38">
            <w:pPr>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Regular communication with sector agency counterparts and leaders</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w:t>
            </w:r>
          </w:p>
        </w:tc>
        <w:tc>
          <w:tcPr>
            <w:tcW w:w="0" w:type="auto"/>
          </w:tcPr>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SRBJS</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sidRPr="0014056C">
              <w:rPr>
                <w:rFonts w:cstheme="minorHAnsi"/>
                <w:b w:val="0"/>
                <w:sz w:val="20"/>
                <w:szCs w:val="20"/>
              </w:rPr>
              <w:t>Judiciary reluctant to collaborate to any extent with the sector</w:t>
            </w:r>
          </w:p>
        </w:tc>
        <w:tc>
          <w:tcPr>
            <w:tcW w:w="0" w:type="auto"/>
          </w:tcPr>
          <w:p w:rsidR="00CA7A3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Limits the capacity of the remainder of the sector to fulfil its sector strategies</w:t>
            </w:r>
            <w:r>
              <w:rPr>
                <w:rFonts w:cstheme="minorHAnsi"/>
                <w:sz w:val="20"/>
                <w:szCs w:val="20"/>
              </w:rPr>
              <w:t xml:space="preserve"> and reduces the speed of progress</w:t>
            </w:r>
          </w:p>
          <w:p w:rsidR="00CA7A38" w:rsidRPr="00A654C4"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54C4">
              <w:rPr>
                <w:rFonts w:cstheme="minorHAnsi"/>
                <w:sz w:val="20"/>
                <w:szCs w:val="20"/>
              </w:rPr>
              <w:lastRenderedPageBreak/>
              <w:t>Judiciary out of sync with executive justice agencies</w:t>
            </w:r>
          </w:p>
        </w:tc>
        <w:tc>
          <w:tcPr>
            <w:tcW w:w="0" w:type="auto"/>
          </w:tcPr>
          <w:p w:rsidR="00CA7A3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lastRenderedPageBreak/>
              <w:t xml:space="preserve">Provide flexible support to collaboration with the judiciary in whatever forms it sees as most </w:t>
            </w:r>
            <w:r w:rsidRPr="00A20258">
              <w:rPr>
                <w:rFonts w:cstheme="minorHAnsi"/>
                <w:sz w:val="20"/>
                <w:szCs w:val="20"/>
              </w:rPr>
              <w:lastRenderedPageBreak/>
              <w:t>appropriate</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Support for a sector governance mechanism in which the Judiciary is comfortable to participate</w:t>
            </w:r>
          </w:p>
          <w:p w:rsidR="00CA7A38" w:rsidRPr="00A654C4"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Support to Federal Court of Australia MOU may provide additional basis for col</w:t>
            </w:r>
            <w:r>
              <w:rPr>
                <w:rFonts w:cstheme="minorHAnsi"/>
                <w:sz w:val="20"/>
                <w:szCs w:val="20"/>
              </w:rPr>
              <w:t xml:space="preserve">laboration with sector </w:t>
            </w:r>
            <w:r w:rsidRPr="00A654C4">
              <w:rPr>
                <w:rFonts w:cstheme="minorHAnsi"/>
                <w:sz w:val="20"/>
                <w:szCs w:val="20"/>
              </w:rPr>
              <w:t>Case and Data Management Adviser work in late 2013 may be another basis for strengthened collaboration</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lastRenderedPageBreak/>
              <w:t>4</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SRBJS</w:t>
            </w:r>
            <w:r w:rsidRPr="00FD0D01">
              <w:rPr>
                <w:rFonts w:cstheme="minorHAnsi"/>
                <w:sz w:val="20"/>
                <w:szCs w:val="20"/>
              </w:rPr>
              <w:t xml:space="preserve"> </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MJCS</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Case and Data </w:t>
            </w:r>
            <w:r>
              <w:rPr>
                <w:rFonts w:cstheme="minorHAnsi"/>
                <w:sz w:val="20"/>
                <w:szCs w:val="20"/>
              </w:rPr>
              <w:lastRenderedPageBreak/>
              <w:t>Management Adviser</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DEEAF6" w:themeFill="accent1" w:themeFillTint="33"/>
          </w:tcPr>
          <w:p w:rsidR="00CA7A38" w:rsidRPr="00A20258" w:rsidRDefault="00CA7A38" w:rsidP="00E70031">
            <w:pPr>
              <w:rPr>
                <w:rFonts w:cstheme="minorHAnsi"/>
                <w:b w:val="0"/>
                <w:sz w:val="20"/>
                <w:szCs w:val="20"/>
              </w:rPr>
            </w:pPr>
            <w:r w:rsidRPr="00A20258">
              <w:rPr>
                <w:rFonts w:cstheme="minorHAnsi"/>
                <w:b w:val="0"/>
                <w:sz w:val="20"/>
                <w:szCs w:val="20"/>
              </w:rPr>
              <w:lastRenderedPageBreak/>
              <w:t>Institutional /reputational risk</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sidRPr="0014056C">
              <w:rPr>
                <w:rFonts w:cstheme="minorHAnsi"/>
                <w:b w:val="0"/>
                <w:sz w:val="20"/>
                <w:szCs w:val="20"/>
              </w:rPr>
              <w:t xml:space="preserve">Unwarranted political accusations of advisers/program </w:t>
            </w:r>
          </w:p>
        </w:tc>
        <w:tc>
          <w:tcPr>
            <w:tcW w:w="0" w:type="auto"/>
          </w:tcPr>
          <w:p w:rsidR="00CA7A3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 xml:space="preserve">Impacts on reputation of </w:t>
            </w:r>
            <w:r>
              <w:rPr>
                <w:rFonts w:cstheme="minorHAnsi"/>
                <w:sz w:val="20"/>
                <w:szCs w:val="20"/>
              </w:rPr>
              <w:t>program and donor</w:t>
            </w:r>
          </w:p>
          <w:p w:rsidR="00CA7A38" w:rsidRPr="00FD0D01"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GoA-GoV</w:t>
            </w:r>
            <w:proofErr w:type="spellEnd"/>
            <w:r>
              <w:rPr>
                <w:rFonts w:cstheme="minorHAnsi"/>
                <w:sz w:val="20"/>
                <w:szCs w:val="20"/>
              </w:rPr>
              <w:t xml:space="preserve"> relations impacted</w:t>
            </w:r>
          </w:p>
        </w:tc>
        <w:tc>
          <w:tcPr>
            <w:tcW w:w="0" w:type="auto"/>
          </w:tcPr>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Monitor political sensitivities</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Develop and review communication and engagement strategy to respond to</w:t>
            </w:r>
            <w:r>
              <w:rPr>
                <w:rFonts w:cstheme="minorHAnsi"/>
                <w:sz w:val="20"/>
                <w:szCs w:val="20"/>
              </w:rPr>
              <w:t xml:space="preserve"> accusations</w:t>
            </w:r>
            <w:r>
              <w:t xml:space="preserve"> </w:t>
            </w:r>
            <w:r>
              <w:rPr>
                <w:rFonts w:cstheme="minorHAnsi"/>
                <w:sz w:val="20"/>
                <w:szCs w:val="20"/>
              </w:rPr>
              <w:t>and proactively provide program information to DFAT Communications Officer</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3</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SRBJS</w:t>
            </w:r>
            <w:r w:rsidRPr="00FD0D01">
              <w:rPr>
                <w:rFonts w:cstheme="minorHAnsi"/>
                <w:sz w:val="20"/>
                <w:szCs w:val="20"/>
              </w:rPr>
              <w:t xml:space="preserve"> </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communications strategy</w:t>
            </w:r>
          </w:p>
        </w:tc>
      </w:tr>
      <w:tr w:rsidR="00CA7A38" w:rsidTr="00E70031">
        <w:tc>
          <w:tcPr>
            <w:cnfStyle w:val="001000000000" w:firstRow="0" w:lastRow="0" w:firstColumn="1" w:lastColumn="0" w:oddVBand="0" w:evenVBand="0" w:oddHBand="0" w:evenHBand="0" w:firstRowFirstColumn="0" w:firstRowLastColumn="0" w:lastRowFirstColumn="0" w:lastRowLastColumn="0"/>
            <w:tcW w:w="0" w:type="auto"/>
          </w:tcPr>
          <w:p w:rsidR="00CA7A38" w:rsidRPr="0014056C" w:rsidRDefault="00CA7A38" w:rsidP="00E70031">
            <w:pPr>
              <w:autoSpaceDE w:val="0"/>
              <w:autoSpaceDN w:val="0"/>
              <w:adjustRightInd w:val="0"/>
              <w:rPr>
                <w:rFonts w:cstheme="minorHAnsi"/>
                <w:b w:val="0"/>
                <w:sz w:val="20"/>
                <w:szCs w:val="20"/>
              </w:rPr>
            </w:pPr>
            <w:r w:rsidRPr="0014056C">
              <w:rPr>
                <w:rFonts w:cstheme="minorHAnsi"/>
                <w:b w:val="0"/>
                <w:sz w:val="20"/>
                <w:szCs w:val="20"/>
              </w:rPr>
              <w:t xml:space="preserve">Unaccountable behaviour, corruption, fraud or child protection issues in implementation of </w:t>
            </w:r>
            <w:r>
              <w:rPr>
                <w:rFonts w:cstheme="minorHAnsi"/>
                <w:b w:val="0"/>
                <w:sz w:val="20"/>
                <w:szCs w:val="20"/>
              </w:rPr>
              <w:t>SRBJS</w:t>
            </w:r>
          </w:p>
        </w:tc>
        <w:tc>
          <w:tcPr>
            <w:tcW w:w="0" w:type="auto"/>
          </w:tcPr>
          <w:p w:rsidR="00CA7A3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Adverse media coverage on DFAT</w:t>
            </w:r>
          </w:p>
          <w:p w:rsidR="00CA7A38" w:rsidRPr="00FD0D01"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Program seen as unaccountable</w:t>
            </w:r>
          </w:p>
          <w:p w:rsidR="00CA7A38" w:rsidRPr="00FD0D01"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DFAT</w:t>
            </w:r>
            <w:r w:rsidRPr="00FD0D01">
              <w:rPr>
                <w:rFonts w:cstheme="minorHAnsi"/>
                <w:sz w:val="20"/>
                <w:szCs w:val="20"/>
              </w:rPr>
              <w:t xml:space="preserve"> capacity to ma</w:t>
            </w:r>
            <w:r>
              <w:rPr>
                <w:rFonts w:cstheme="minorHAnsi"/>
                <w:sz w:val="20"/>
                <w:szCs w:val="20"/>
              </w:rPr>
              <w:t>nage funds questioned</w:t>
            </w:r>
          </w:p>
          <w:p w:rsidR="00CA7A3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Impact on child and families</w:t>
            </w:r>
          </w:p>
          <w:p w:rsidR="00CA7A38" w:rsidRPr="00A654C4" w:rsidRDefault="00CA7A38" w:rsidP="00E70031">
            <w:pPr>
              <w:pStyle w:val="ListParagraph"/>
              <w:ind w:left="3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Pr>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Review fraud policy</w:t>
            </w:r>
            <w:r w:rsidRPr="00A20258">
              <w:rPr>
                <w:rFonts w:cstheme="minorHAnsi"/>
                <w:sz w:val="20"/>
                <w:szCs w:val="20"/>
              </w:rPr>
              <w:t xml:space="preserve"> </w:t>
            </w:r>
          </w:p>
          <w:p w:rsidR="00CA7A38" w:rsidRPr="00A20258"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Ensure awareness of fraud p</w:t>
            </w:r>
            <w:r>
              <w:rPr>
                <w:rFonts w:cstheme="minorHAnsi"/>
                <w:sz w:val="20"/>
                <w:szCs w:val="20"/>
              </w:rPr>
              <w:t>olicy with any funds recipients</w:t>
            </w:r>
          </w:p>
          <w:p w:rsidR="00CA7A38" w:rsidRPr="00A654C4" w:rsidRDefault="00CA7A38" w:rsidP="00CA7A3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0258">
              <w:rPr>
                <w:rFonts w:cstheme="minorHAnsi"/>
                <w:sz w:val="20"/>
                <w:szCs w:val="20"/>
              </w:rPr>
              <w:t xml:space="preserve">Strict enforcement of child protection policy </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2</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5</w:t>
            </w:r>
          </w:p>
        </w:tc>
        <w:tc>
          <w:tcPr>
            <w:tcW w:w="0" w:type="auto"/>
          </w:tcPr>
          <w:p w:rsidR="00CA7A38" w:rsidRPr="00FD0D01" w:rsidRDefault="00CA7A38" w:rsidP="00E700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4</w:t>
            </w:r>
          </w:p>
        </w:tc>
        <w:tc>
          <w:tcPr>
            <w:tcW w:w="0" w:type="auto"/>
          </w:tcPr>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SRBJS</w:t>
            </w:r>
            <w:r w:rsidRPr="00FD0D01">
              <w:rPr>
                <w:rFonts w:cstheme="minorHAnsi"/>
                <w:sz w:val="20"/>
                <w:szCs w:val="20"/>
              </w:rPr>
              <w:t xml:space="preserve"> </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VPF</w:t>
            </w:r>
          </w:p>
          <w:p w:rsidR="00CA7A38" w:rsidRPr="00FD0D01"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MJCS</w:t>
            </w:r>
          </w:p>
          <w:p w:rsidR="00CA7A38" w:rsidRDefault="00CA7A38" w:rsidP="00E700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D01">
              <w:rPr>
                <w:rFonts w:cstheme="minorHAnsi"/>
                <w:sz w:val="20"/>
                <w:szCs w:val="20"/>
              </w:rPr>
              <w:t>VWC</w:t>
            </w:r>
          </w:p>
        </w:tc>
      </w:tr>
    </w:tbl>
    <w:p w:rsidR="00CA7A38" w:rsidRDefault="00CA7A38" w:rsidP="00E70031">
      <w:pPr>
        <w:sectPr w:rsidR="00CA7A38" w:rsidSect="00E70031">
          <w:pgSz w:w="16838" w:h="11906" w:orient="landscape"/>
          <w:pgMar w:top="1440" w:right="1440" w:bottom="1440" w:left="1440" w:header="709" w:footer="709" w:gutter="0"/>
          <w:cols w:space="708"/>
          <w:docGrid w:linePitch="360"/>
        </w:sectPr>
      </w:pPr>
    </w:p>
    <w:p w:rsidR="00CA7A38" w:rsidRDefault="00CA7A38" w:rsidP="00E70031">
      <w:pPr>
        <w:pStyle w:val="Heading2"/>
        <w:numPr>
          <w:ilvl w:val="1"/>
          <w:numId w:val="1"/>
        </w:numPr>
        <w:rPr>
          <w:rFonts w:asciiTheme="minorHAnsi" w:hAnsiTheme="minorHAnsi"/>
          <w:color w:val="000000" w:themeColor="text1"/>
          <w:sz w:val="22"/>
          <w:szCs w:val="22"/>
        </w:rPr>
      </w:pPr>
      <w:bookmarkStart w:id="27" w:name="_Toc458698430"/>
      <w:r w:rsidRPr="00917386">
        <w:rPr>
          <w:rFonts w:asciiTheme="minorHAnsi" w:hAnsiTheme="minorHAnsi"/>
          <w:color w:val="000000" w:themeColor="text1"/>
          <w:sz w:val="22"/>
          <w:szCs w:val="22"/>
        </w:rPr>
        <w:lastRenderedPageBreak/>
        <w:t>Indicative Implementation Plan</w:t>
      </w:r>
      <w:bookmarkEnd w:id="27"/>
    </w:p>
    <w:p w:rsidR="00CA7A38" w:rsidRPr="000D31AB" w:rsidRDefault="00CA7A38" w:rsidP="00E70031">
      <w:pPr>
        <w:spacing w:before="240" w:line="276" w:lineRule="auto"/>
        <w:jc w:val="both"/>
      </w:pPr>
      <w:r>
        <w:t xml:space="preserve">An indicative implementation plan, including critical pathways for the first 12 months of the program, is set out in Annex </w:t>
      </w:r>
      <w:r w:rsidR="00AA0FAA">
        <w:t>1</w:t>
      </w:r>
      <w:r>
        <w:t xml:space="preserve">.  The plan serves as a template to build upon during the joint annual planning process by the managing contractor, DFAT and the AFP.  To ensure current PJSPV experience and knowledge is captured and to mitigate risks associated with program effectiveness, the current implementing partners and DFAT will finalise this plan prior to the start of SRBJS.   </w:t>
      </w:r>
    </w:p>
    <w:p w:rsidR="00CA7A38" w:rsidRDefault="00CA7A38" w:rsidP="00E70031">
      <w:pPr>
        <w:pStyle w:val="Heading1"/>
        <w:spacing w:after="240"/>
        <w:jc w:val="both"/>
        <w:rPr>
          <w:rFonts w:asciiTheme="minorHAnsi" w:hAnsiTheme="minorHAnsi"/>
          <w:b/>
          <w:color w:val="auto"/>
          <w:sz w:val="22"/>
          <w:szCs w:val="22"/>
        </w:rPr>
      </w:pPr>
      <w:bookmarkStart w:id="28" w:name="_Toc458698431"/>
      <w:r w:rsidRPr="00917386">
        <w:rPr>
          <w:rFonts w:asciiTheme="minorHAnsi" w:hAnsiTheme="minorHAnsi"/>
          <w:b/>
          <w:color w:val="auto"/>
          <w:sz w:val="22"/>
          <w:szCs w:val="22"/>
        </w:rPr>
        <w:t>Annexes</w:t>
      </w:r>
      <w:bookmarkEnd w:id="28"/>
    </w:p>
    <w:p w:rsidR="00CA7A38" w:rsidRPr="00972604" w:rsidRDefault="00CA7A38" w:rsidP="00E70031">
      <w:r>
        <w:t>Annexes are available in separate documents and can be provided on request.</w:t>
      </w:r>
    </w:p>
    <w:p w:rsidR="00CA7A38" w:rsidRDefault="00CA7A38" w:rsidP="00E70031">
      <w:pPr>
        <w:pStyle w:val="Heading2"/>
        <w:jc w:val="both"/>
        <w:rPr>
          <w:rFonts w:asciiTheme="minorHAnsi" w:hAnsiTheme="minorHAnsi"/>
          <w:color w:val="auto"/>
          <w:sz w:val="22"/>
          <w:szCs w:val="22"/>
        </w:rPr>
      </w:pPr>
      <w:bookmarkStart w:id="29" w:name="_Toc458698432"/>
      <w:r>
        <w:rPr>
          <w:rFonts w:asciiTheme="minorHAnsi" w:hAnsiTheme="minorHAnsi"/>
          <w:color w:val="auto"/>
          <w:sz w:val="22"/>
          <w:szCs w:val="22"/>
        </w:rPr>
        <w:t xml:space="preserve">Annex </w:t>
      </w:r>
      <w:r w:rsidR="00CC0273">
        <w:rPr>
          <w:rFonts w:asciiTheme="minorHAnsi" w:hAnsiTheme="minorHAnsi"/>
          <w:color w:val="auto"/>
          <w:sz w:val="22"/>
          <w:szCs w:val="22"/>
        </w:rPr>
        <w:t>1</w:t>
      </w:r>
      <w:r>
        <w:rPr>
          <w:rFonts w:asciiTheme="minorHAnsi" w:hAnsiTheme="minorHAnsi"/>
          <w:color w:val="auto"/>
          <w:sz w:val="22"/>
          <w:szCs w:val="22"/>
        </w:rPr>
        <w:t xml:space="preserve">: </w:t>
      </w:r>
      <w:r w:rsidRPr="00917386">
        <w:rPr>
          <w:rFonts w:asciiTheme="minorHAnsi" w:hAnsiTheme="minorHAnsi"/>
          <w:color w:val="auto"/>
          <w:sz w:val="22"/>
          <w:szCs w:val="22"/>
        </w:rPr>
        <w:t>Indicative Implementation Plan</w:t>
      </w:r>
      <w:bookmarkEnd w:id="29"/>
    </w:p>
    <w:p w:rsidR="00CA7A38" w:rsidRDefault="00CA7A38" w:rsidP="00E70031">
      <w:pPr>
        <w:pStyle w:val="Heading2"/>
        <w:jc w:val="both"/>
        <w:rPr>
          <w:rFonts w:asciiTheme="minorHAnsi" w:hAnsiTheme="minorHAnsi"/>
          <w:color w:val="auto"/>
          <w:sz w:val="22"/>
          <w:szCs w:val="22"/>
        </w:rPr>
      </w:pPr>
      <w:bookmarkStart w:id="30" w:name="_Toc458698433"/>
      <w:r>
        <w:rPr>
          <w:rFonts w:asciiTheme="minorHAnsi" w:hAnsiTheme="minorHAnsi"/>
          <w:color w:val="auto"/>
          <w:sz w:val="22"/>
          <w:szCs w:val="22"/>
        </w:rPr>
        <w:t xml:space="preserve">Annex </w:t>
      </w:r>
      <w:r w:rsidR="00CC0273">
        <w:rPr>
          <w:rFonts w:asciiTheme="minorHAnsi" w:hAnsiTheme="minorHAnsi"/>
          <w:color w:val="auto"/>
          <w:sz w:val="22"/>
          <w:szCs w:val="22"/>
        </w:rPr>
        <w:t>2</w:t>
      </w:r>
      <w:r>
        <w:rPr>
          <w:rFonts w:asciiTheme="minorHAnsi" w:hAnsiTheme="minorHAnsi"/>
          <w:color w:val="auto"/>
          <w:sz w:val="22"/>
          <w:szCs w:val="22"/>
        </w:rPr>
        <w:t>: SRBJS Organigram</w:t>
      </w:r>
      <w:bookmarkEnd w:id="30"/>
      <w:r>
        <w:rPr>
          <w:rFonts w:asciiTheme="minorHAnsi" w:hAnsiTheme="minorHAnsi"/>
          <w:color w:val="auto"/>
          <w:sz w:val="22"/>
          <w:szCs w:val="22"/>
        </w:rPr>
        <w:t xml:space="preserve"> </w:t>
      </w:r>
    </w:p>
    <w:p w:rsidR="00CA7A38" w:rsidRDefault="00CA7A38" w:rsidP="00E70031">
      <w:pPr>
        <w:pStyle w:val="Heading2"/>
        <w:jc w:val="both"/>
        <w:rPr>
          <w:rFonts w:asciiTheme="minorHAnsi" w:hAnsiTheme="minorHAnsi"/>
          <w:color w:val="auto"/>
          <w:sz w:val="22"/>
          <w:szCs w:val="22"/>
        </w:rPr>
      </w:pPr>
      <w:bookmarkStart w:id="31" w:name="_Toc458698434"/>
      <w:r>
        <w:rPr>
          <w:rFonts w:asciiTheme="minorHAnsi" w:hAnsiTheme="minorHAnsi"/>
          <w:color w:val="auto"/>
          <w:sz w:val="22"/>
          <w:szCs w:val="22"/>
        </w:rPr>
        <w:t xml:space="preserve">Annex </w:t>
      </w:r>
      <w:r w:rsidR="00CC0273">
        <w:rPr>
          <w:rFonts w:asciiTheme="minorHAnsi" w:hAnsiTheme="minorHAnsi"/>
          <w:color w:val="auto"/>
          <w:sz w:val="22"/>
          <w:szCs w:val="22"/>
        </w:rPr>
        <w:t>3</w:t>
      </w:r>
      <w:r>
        <w:rPr>
          <w:rFonts w:asciiTheme="minorHAnsi" w:hAnsiTheme="minorHAnsi"/>
          <w:color w:val="auto"/>
          <w:sz w:val="22"/>
          <w:szCs w:val="22"/>
        </w:rPr>
        <w:t>: Disability Analysis Annex</w:t>
      </w:r>
      <w:bookmarkEnd w:id="31"/>
    </w:p>
    <w:p w:rsidR="00CC0273" w:rsidRDefault="00CC0273" w:rsidP="00CC0273">
      <w:pPr>
        <w:pStyle w:val="Heading2"/>
        <w:jc w:val="both"/>
        <w:rPr>
          <w:rFonts w:asciiTheme="minorHAnsi" w:hAnsiTheme="minorHAnsi"/>
          <w:color w:val="auto"/>
          <w:sz w:val="22"/>
          <w:szCs w:val="22"/>
        </w:rPr>
      </w:pPr>
      <w:bookmarkStart w:id="32" w:name="_Toc458698435"/>
      <w:r>
        <w:rPr>
          <w:rFonts w:asciiTheme="minorHAnsi" w:hAnsiTheme="minorHAnsi"/>
          <w:color w:val="auto"/>
          <w:sz w:val="22"/>
          <w:szCs w:val="22"/>
        </w:rPr>
        <w:t xml:space="preserve">Annex 4: </w:t>
      </w:r>
      <w:r w:rsidRPr="00917386">
        <w:rPr>
          <w:rFonts w:asciiTheme="minorHAnsi" w:hAnsiTheme="minorHAnsi"/>
          <w:color w:val="auto"/>
          <w:sz w:val="22"/>
          <w:szCs w:val="22"/>
        </w:rPr>
        <w:t>Position Descriptions for Personnel</w:t>
      </w:r>
      <w:bookmarkEnd w:id="32"/>
    </w:p>
    <w:p w:rsidR="00CA7A38" w:rsidRPr="001D6156" w:rsidRDefault="00FD655E" w:rsidP="00E70031">
      <w:pPr>
        <w:pStyle w:val="Heading2"/>
        <w:jc w:val="both"/>
        <w:rPr>
          <w:rFonts w:asciiTheme="minorHAnsi" w:hAnsiTheme="minorHAnsi"/>
          <w:color w:val="auto"/>
          <w:sz w:val="22"/>
          <w:szCs w:val="22"/>
        </w:rPr>
      </w:pPr>
      <w:r>
        <w:rPr>
          <w:rFonts w:asciiTheme="minorHAnsi" w:hAnsiTheme="minorHAnsi"/>
          <w:color w:val="auto"/>
          <w:sz w:val="22"/>
          <w:szCs w:val="22"/>
        </w:rPr>
        <w:t>Annex 5: Policing and Justice Support Program – Vanuatu (PJSPV) Design Document (2014-2016)</w:t>
      </w:r>
    </w:p>
    <w:p w:rsidR="00C11387" w:rsidRDefault="00C11387"/>
    <w:sectPr w:rsidR="00C11387" w:rsidSect="00E700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51" w:rsidRDefault="00DC3551" w:rsidP="00CA7A38">
      <w:pPr>
        <w:spacing w:after="0" w:line="240" w:lineRule="auto"/>
      </w:pPr>
      <w:r>
        <w:separator/>
      </w:r>
    </w:p>
  </w:endnote>
  <w:endnote w:type="continuationSeparator" w:id="0">
    <w:p w:rsidR="00DC3551" w:rsidRDefault="00DC3551" w:rsidP="00CA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Light">
    <w:altName w:val="Microsoft YaHei"/>
    <w:charset w:val="00"/>
    <w:family w:val="auto"/>
    <w:pitch w:val="variable"/>
    <w:sig w:usb0="00000001" w:usb1="0000000A" w:usb2="00000000" w:usb3="00000000" w:csb0="00000007" w:csb1="00000000"/>
  </w:font>
  <w:font w:name="Verdana">
    <w:panose1 w:val="020B0604030504040204"/>
    <w:charset w:val="00"/>
    <w:family w:val="swiss"/>
    <w:pitch w:val="variable"/>
    <w:sig w:usb0="A10006FF" w:usb1="4000205B" w:usb2="00000010" w:usb3="00000000" w:csb0="0000019F" w:csb1="00000000"/>
  </w:font>
  <w:font w:name="Scal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6E" w:rsidRDefault="008E166E">
    <w:pPr>
      <w:pStyle w:val="Footer"/>
    </w:pPr>
  </w:p>
  <w:p w:rsidR="008E166E" w:rsidRDefault="008E166E" w:rsidP="00E7003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6E" w:rsidRDefault="008E166E" w:rsidP="00E70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47C">
      <w:rPr>
        <w:rStyle w:val="PageNumber"/>
        <w:noProof/>
      </w:rPr>
      <w:t>4</w:t>
    </w:r>
    <w:r>
      <w:rPr>
        <w:rStyle w:val="PageNumber"/>
      </w:rPr>
      <w:fldChar w:fldCharType="end"/>
    </w:r>
  </w:p>
  <w:p w:rsidR="008E166E" w:rsidRDefault="008E166E" w:rsidP="00E7003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680542"/>
      <w:docPartObj>
        <w:docPartGallery w:val="Page Numbers (Bottom of Page)"/>
        <w:docPartUnique/>
      </w:docPartObj>
    </w:sdtPr>
    <w:sdtEndPr>
      <w:rPr>
        <w:noProof/>
      </w:rPr>
    </w:sdtEndPr>
    <w:sdtContent>
      <w:p w:rsidR="008E166E" w:rsidRDefault="008E166E">
        <w:pPr>
          <w:pStyle w:val="Footer"/>
          <w:jc w:val="center"/>
        </w:pPr>
        <w:r>
          <w:fldChar w:fldCharType="begin"/>
        </w:r>
        <w:r>
          <w:instrText xml:space="preserve"> PAGE   \* MERGEFORMAT </w:instrText>
        </w:r>
        <w:r>
          <w:fldChar w:fldCharType="separate"/>
        </w:r>
        <w:r w:rsidR="003D647C">
          <w:rPr>
            <w:noProof/>
          </w:rPr>
          <w:t>67</w:t>
        </w:r>
        <w:r>
          <w:rPr>
            <w:noProof/>
          </w:rPr>
          <w:fldChar w:fldCharType="end"/>
        </w:r>
      </w:p>
    </w:sdtContent>
  </w:sdt>
  <w:p w:rsidR="008E166E" w:rsidRDefault="008E1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51" w:rsidRDefault="00DC3551" w:rsidP="00CA7A38">
      <w:pPr>
        <w:spacing w:after="0" w:line="240" w:lineRule="auto"/>
      </w:pPr>
      <w:r>
        <w:separator/>
      </w:r>
    </w:p>
  </w:footnote>
  <w:footnote w:type="continuationSeparator" w:id="0">
    <w:p w:rsidR="00DC3551" w:rsidRDefault="00DC3551" w:rsidP="00CA7A38">
      <w:pPr>
        <w:spacing w:after="0" w:line="240" w:lineRule="auto"/>
      </w:pPr>
      <w:r>
        <w:continuationSeparator/>
      </w:r>
    </w:p>
  </w:footnote>
  <w:footnote w:id="1">
    <w:p w:rsidR="008E166E" w:rsidRPr="00E04761" w:rsidRDefault="008E166E" w:rsidP="00E70031">
      <w:pPr>
        <w:pStyle w:val="FootnoteText"/>
        <w:jc w:val="both"/>
        <w:rPr>
          <w:lang w:val="en-AU"/>
        </w:rPr>
      </w:pPr>
      <w:r>
        <w:rPr>
          <w:rStyle w:val="FootnoteReference"/>
        </w:rPr>
        <w:footnoteRef/>
      </w:r>
      <w:r>
        <w:t xml:space="preserve"> The literal translation of </w:t>
      </w:r>
      <w:proofErr w:type="spellStart"/>
      <w:r w:rsidRPr="00C75E10">
        <w:rPr>
          <w:i/>
        </w:rPr>
        <w:t>Stretem</w:t>
      </w:r>
      <w:proofErr w:type="spellEnd"/>
      <w:r w:rsidRPr="00C75E10">
        <w:rPr>
          <w:i/>
        </w:rPr>
        <w:t xml:space="preserve"> Rod </w:t>
      </w:r>
      <w:proofErr w:type="spellStart"/>
      <w:r w:rsidRPr="00C75E10">
        <w:rPr>
          <w:i/>
        </w:rPr>
        <w:t>Blong</w:t>
      </w:r>
      <w:proofErr w:type="spellEnd"/>
      <w:r w:rsidRPr="00C75E10">
        <w:rPr>
          <w:i/>
        </w:rPr>
        <w:t xml:space="preserve"> </w:t>
      </w:r>
      <w:proofErr w:type="spellStart"/>
      <w:r w:rsidRPr="00C75E10">
        <w:rPr>
          <w:i/>
        </w:rPr>
        <w:t>Jastis</w:t>
      </w:r>
      <w:proofErr w:type="spellEnd"/>
      <w:r w:rsidRPr="00C75E10">
        <w:rPr>
          <w:i/>
        </w:rPr>
        <w:t xml:space="preserve"> </w:t>
      </w:r>
      <w:proofErr w:type="spellStart"/>
      <w:r w:rsidRPr="00C75E10">
        <w:rPr>
          <w:i/>
        </w:rPr>
        <w:t>mo</w:t>
      </w:r>
      <w:proofErr w:type="spellEnd"/>
      <w:r w:rsidRPr="00C75E10">
        <w:rPr>
          <w:i/>
        </w:rPr>
        <w:t xml:space="preserve"> </w:t>
      </w:r>
      <w:proofErr w:type="spellStart"/>
      <w:r w:rsidRPr="00C75E10">
        <w:rPr>
          <w:i/>
        </w:rPr>
        <w:t>Sefti</w:t>
      </w:r>
      <w:proofErr w:type="spellEnd"/>
      <w:r w:rsidRPr="00C75E10">
        <w:rPr>
          <w:i/>
        </w:rPr>
        <w:t xml:space="preserve"> long Vanuatu</w:t>
      </w:r>
      <w:r>
        <w:t xml:space="preserve"> is a straight road to justice and safety in Vanuatu.  Justice is understood in its broadest sense, accounting for local, contextualised conceptions of the term.</w:t>
      </w:r>
    </w:p>
  </w:footnote>
  <w:footnote w:id="2">
    <w:p w:rsidR="008E166E" w:rsidRPr="00B13D2C" w:rsidRDefault="008E166E" w:rsidP="00E70031">
      <w:pPr>
        <w:pStyle w:val="FootnoteText"/>
        <w:jc w:val="both"/>
        <w:rPr>
          <w:lang w:val="en-AU"/>
        </w:rPr>
      </w:pPr>
      <w:r>
        <w:rPr>
          <w:rStyle w:val="FootnoteReference"/>
        </w:rPr>
        <w:footnoteRef/>
      </w:r>
      <w:r>
        <w:t xml:space="preserve"> </w:t>
      </w:r>
      <w:proofErr w:type="gramStart"/>
      <w:r w:rsidRPr="00CE717F">
        <w:rPr>
          <w:lang w:val="en-AU"/>
        </w:rPr>
        <w:t>Justice, safety, dignity, respe</w:t>
      </w:r>
      <w:r>
        <w:rPr>
          <w:lang w:val="en-AU"/>
        </w:rPr>
        <w:t>ct and a good way for everyone.</w:t>
      </w:r>
      <w:proofErr w:type="gramEnd"/>
    </w:p>
  </w:footnote>
  <w:footnote w:id="3">
    <w:p w:rsidR="008E166E" w:rsidRPr="009A3BFE" w:rsidRDefault="008E166E" w:rsidP="00E70031">
      <w:pPr>
        <w:pStyle w:val="FootnoteText"/>
        <w:jc w:val="both"/>
        <w:rPr>
          <w:lang w:val="en-AU"/>
        </w:rPr>
      </w:pPr>
      <w:r>
        <w:rPr>
          <w:rStyle w:val="FootnoteReference"/>
        </w:rPr>
        <w:footnoteRef/>
      </w:r>
      <w:r>
        <w:t xml:space="preserve"> </w:t>
      </w:r>
      <w:proofErr w:type="gramStart"/>
      <w:r>
        <w:rPr>
          <w:noProof/>
        </w:rPr>
        <w:t>James McGovern, 'Indepedent Review of Vanuatu Policing and Justice Support Program' (2016)</w:t>
      </w:r>
      <w:r>
        <w:t>.</w:t>
      </w:r>
      <w:proofErr w:type="gramEnd"/>
    </w:p>
  </w:footnote>
  <w:footnote w:id="4">
    <w:p w:rsidR="008E166E" w:rsidRPr="009A3BFE" w:rsidRDefault="008E166E" w:rsidP="00E70031">
      <w:pPr>
        <w:pStyle w:val="FootnoteText"/>
        <w:jc w:val="both"/>
        <w:rPr>
          <w:lang w:val="en-AU"/>
        </w:rPr>
      </w:pPr>
      <w:r>
        <w:rPr>
          <w:rStyle w:val="FootnoteReference"/>
        </w:rPr>
        <w:footnoteRef/>
      </w:r>
      <w:r>
        <w:t xml:space="preserve"> </w:t>
      </w:r>
      <w:r>
        <w:rPr>
          <w:noProof/>
        </w:rPr>
        <w:t>DFAT and AFP, 'Policing and Justice Support Program (Vanuatu) (PJSPV) Program Design' (Department of Foreign Affairs and Trade and Australian Federal Police, 2014)</w:t>
      </w:r>
      <w:r>
        <w:t xml:space="preserve">. This design document also draws on </w:t>
      </w:r>
      <w:r>
        <w:rPr>
          <w:noProof/>
        </w:rPr>
        <w:t>DFAT, 'Stretem Rod Blong Jastis Program Design Document' (Department of Foreign Affairs and Trade, 2013)</w:t>
      </w:r>
      <w:r>
        <w:t>.</w:t>
      </w:r>
    </w:p>
  </w:footnote>
  <w:footnote w:id="5">
    <w:p w:rsidR="008E166E" w:rsidRPr="00E00273" w:rsidRDefault="008E166E" w:rsidP="00E70031">
      <w:pPr>
        <w:pStyle w:val="FootnoteText"/>
        <w:jc w:val="both"/>
        <w:rPr>
          <w:lang w:val="en-AU"/>
        </w:rPr>
      </w:pPr>
      <w:r>
        <w:rPr>
          <w:rStyle w:val="FootnoteReference"/>
        </w:rPr>
        <w:footnoteRef/>
      </w:r>
      <w:r>
        <w:t xml:space="preserve"> </w:t>
      </w:r>
      <w:r>
        <w:rPr>
          <w:noProof/>
        </w:rPr>
        <w:t>VPF, 'Vanuatu Police Force Strategic Plan 2016 - 2020' (Vanuatu Police Force, 2015); MJCS, 'Strategy for the Justice and Community Services Sector: 2014-2017' (Ministry of Justice and Community Services, 2013)</w:t>
      </w:r>
      <w:r>
        <w:t>.  The NSDP is currently pending approval and will replace the PAA.</w:t>
      </w:r>
    </w:p>
  </w:footnote>
  <w:footnote w:id="6">
    <w:p w:rsidR="008E166E" w:rsidRPr="00FB0260" w:rsidRDefault="008E166E" w:rsidP="00E70031">
      <w:pPr>
        <w:pStyle w:val="FootnoteText"/>
        <w:contextualSpacing/>
        <w:jc w:val="both"/>
        <w:rPr>
          <w:lang w:val="en-AU"/>
        </w:rPr>
      </w:pPr>
      <w:r w:rsidRPr="00FB0260">
        <w:rPr>
          <w:rStyle w:val="FootnoteReference"/>
        </w:rPr>
        <w:footnoteRef/>
      </w:r>
      <w:r w:rsidRPr="00FB0260">
        <w:t xml:space="preserve"> </w:t>
      </w:r>
      <w:proofErr w:type="gramStart"/>
      <w:r>
        <w:rPr>
          <w:noProof/>
        </w:rPr>
        <w:t xml:space="preserve">McGovern, above n </w:t>
      </w:r>
      <w:r>
        <w:t>3</w:t>
      </w:r>
      <w:r w:rsidRPr="00FB0260">
        <w:t>.</w:t>
      </w:r>
      <w:proofErr w:type="gramEnd"/>
    </w:p>
  </w:footnote>
  <w:footnote w:id="7">
    <w:p w:rsidR="008E166E" w:rsidRPr="00FB0260" w:rsidRDefault="008E166E" w:rsidP="00E70031">
      <w:pPr>
        <w:pStyle w:val="FootnoteText"/>
        <w:jc w:val="both"/>
        <w:rPr>
          <w:lang w:val="en-AU"/>
        </w:rPr>
      </w:pPr>
      <w:r>
        <w:rPr>
          <w:rStyle w:val="FootnoteReference"/>
        </w:rPr>
        <w:footnoteRef/>
      </w:r>
      <w:r>
        <w:t xml:space="preserve"> </w:t>
      </w:r>
      <w:proofErr w:type="gramStart"/>
      <w:r w:rsidRPr="00CE717F">
        <w:rPr>
          <w:lang w:val="en-AU"/>
        </w:rPr>
        <w:t>Justice, safety, dignity, respe</w:t>
      </w:r>
      <w:r>
        <w:rPr>
          <w:lang w:val="en-AU"/>
        </w:rPr>
        <w:t>ct and a good way for everyone.</w:t>
      </w:r>
      <w:proofErr w:type="gramEnd"/>
    </w:p>
  </w:footnote>
  <w:footnote w:id="8">
    <w:p w:rsidR="008E166E" w:rsidRPr="00694A4D" w:rsidRDefault="008E166E" w:rsidP="00E70031">
      <w:pPr>
        <w:pStyle w:val="FootnoteText"/>
        <w:jc w:val="both"/>
        <w:rPr>
          <w:lang w:val="en-AU"/>
        </w:rPr>
      </w:pPr>
      <w:r>
        <w:rPr>
          <w:rStyle w:val="FootnoteReference"/>
        </w:rPr>
        <w:footnoteRef/>
      </w:r>
      <w:r>
        <w:t xml:space="preserve"> </w:t>
      </w:r>
      <w:proofErr w:type="gramStart"/>
      <w:r>
        <w:rPr>
          <w:noProof/>
        </w:rPr>
        <w:t xml:space="preserve">MJCS, above n </w:t>
      </w:r>
      <w:r>
        <w:t>5.</w:t>
      </w:r>
      <w:proofErr w:type="gramEnd"/>
      <w:r>
        <w:t xml:space="preserve">  </w:t>
      </w:r>
      <w:r>
        <w:rPr>
          <w:lang w:val="en-AU"/>
        </w:rPr>
        <w:t>‘Access to Justice’ was subsequently removed as a separate cross-cutting issue by the Heads of Agencies Group (HOAG) at its meeting of 30 September 2015.  It is instead now considered the outcome of the progress of the other seven issues.</w:t>
      </w:r>
    </w:p>
  </w:footnote>
  <w:footnote w:id="9">
    <w:p w:rsidR="008E166E" w:rsidRPr="00694A4D" w:rsidRDefault="008E166E" w:rsidP="00E70031">
      <w:pPr>
        <w:spacing w:after="0" w:line="240" w:lineRule="auto"/>
        <w:jc w:val="both"/>
        <w:rPr>
          <w:sz w:val="20"/>
          <w:szCs w:val="20"/>
        </w:rPr>
      </w:pPr>
      <w:r w:rsidRPr="00694A4D">
        <w:rPr>
          <w:rStyle w:val="FootnoteReference"/>
          <w:sz w:val="20"/>
          <w:szCs w:val="20"/>
        </w:rPr>
        <w:footnoteRef/>
      </w:r>
      <w:r w:rsidRPr="00694A4D">
        <w:rPr>
          <w:sz w:val="20"/>
          <w:szCs w:val="20"/>
        </w:rPr>
        <w:t xml:space="preserve"> A National Strategic Development Plan is currently being finalised which will replace the PAA.  </w:t>
      </w:r>
    </w:p>
  </w:footnote>
  <w:footnote w:id="10">
    <w:p w:rsidR="008E166E" w:rsidRPr="00FC18E0" w:rsidRDefault="008E166E" w:rsidP="00E70031">
      <w:pPr>
        <w:pStyle w:val="FootnoteText"/>
        <w:jc w:val="both"/>
        <w:rPr>
          <w:lang w:val="en-AU"/>
        </w:rPr>
      </w:pPr>
      <w:r>
        <w:rPr>
          <w:rStyle w:val="FootnoteReference"/>
        </w:rPr>
        <w:footnoteRef/>
      </w:r>
      <w:r>
        <w:t xml:space="preserve"> </w:t>
      </w:r>
      <w:r>
        <w:rPr>
          <w:noProof/>
        </w:rPr>
        <w:t>DFAT, 'Australian Aid: Promoting Prosperity, Reducing Poverty, Enhancing Stability' (Department of Foreign Affairs and Trade, 2014)</w:t>
      </w:r>
      <w:r>
        <w:t>.</w:t>
      </w:r>
    </w:p>
  </w:footnote>
  <w:footnote w:id="11">
    <w:p w:rsidR="008E166E" w:rsidRPr="0054735A" w:rsidRDefault="008E166E" w:rsidP="00E70031">
      <w:pPr>
        <w:pStyle w:val="FootnoteText"/>
        <w:jc w:val="both"/>
        <w:rPr>
          <w:lang w:val="en-AU"/>
        </w:rPr>
      </w:pPr>
      <w:r>
        <w:rPr>
          <w:rStyle w:val="FootnoteReference"/>
        </w:rPr>
        <w:footnoteRef/>
      </w:r>
      <w:r>
        <w:t xml:space="preserve"> </w:t>
      </w:r>
      <w:r>
        <w:rPr>
          <w:noProof/>
        </w:rPr>
        <w:t>DFAT, 'Aid Investment Plan Vanuatu: 2015-16 to 2018-19' (Department of Foreign Affairs and Trade, 2015)</w:t>
      </w:r>
      <w:r>
        <w:t>.</w:t>
      </w:r>
    </w:p>
  </w:footnote>
  <w:footnote w:id="12">
    <w:p w:rsidR="008E166E" w:rsidRPr="0054735A" w:rsidRDefault="008E166E" w:rsidP="00E70031">
      <w:pPr>
        <w:pStyle w:val="FootnoteText"/>
        <w:jc w:val="both"/>
        <w:rPr>
          <w:lang w:val="en-AU"/>
        </w:rPr>
      </w:pPr>
      <w:r>
        <w:rPr>
          <w:rStyle w:val="FootnoteReference"/>
        </w:rPr>
        <w:footnoteRef/>
      </w:r>
      <w:r>
        <w:t xml:space="preserve"> </w:t>
      </w:r>
      <w:proofErr w:type="gramStart"/>
      <w:r>
        <w:rPr>
          <w:noProof/>
        </w:rPr>
        <w:t>DFAT, 'Gender Equality and Women’s Empowerment Strategy' (Department of Foreign Affairs and Trade, 2016)</w:t>
      </w:r>
      <w:r>
        <w:t>.</w:t>
      </w:r>
      <w:proofErr w:type="gramEnd"/>
    </w:p>
  </w:footnote>
  <w:footnote w:id="13">
    <w:p w:rsidR="008E166E" w:rsidRPr="0054735A" w:rsidRDefault="008E166E" w:rsidP="00E70031">
      <w:pPr>
        <w:pStyle w:val="FootnoteText"/>
        <w:jc w:val="both"/>
        <w:rPr>
          <w:lang w:val="en-AU"/>
        </w:rPr>
      </w:pPr>
      <w:r>
        <w:rPr>
          <w:rStyle w:val="FootnoteReference"/>
        </w:rPr>
        <w:footnoteRef/>
      </w:r>
      <w:r>
        <w:t xml:space="preserve"> </w:t>
      </w:r>
      <w:r>
        <w:rPr>
          <w:noProof/>
        </w:rPr>
        <w:t>DFAT, 'Effective Governance: Strategy for Australia's aid investments' (Department of Foreign Affairs and Trade, 2015)</w:t>
      </w:r>
      <w:r>
        <w:t>.</w:t>
      </w:r>
    </w:p>
  </w:footnote>
  <w:footnote w:id="14">
    <w:p w:rsidR="008E166E" w:rsidRPr="00812047" w:rsidRDefault="008E166E" w:rsidP="00E70031">
      <w:pPr>
        <w:pStyle w:val="FootnoteText"/>
        <w:jc w:val="both"/>
        <w:rPr>
          <w:lang w:val="en-AU"/>
        </w:rPr>
      </w:pPr>
      <w:r>
        <w:rPr>
          <w:rStyle w:val="FootnoteReference"/>
        </w:rPr>
        <w:footnoteRef/>
      </w:r>
      <w:r>
        <w:t xml:space="preserve"> </w:t>
      </w:r>
      <w:r>
        <w:rPr>
          <w:noProof/>
        </w:rPr>
        <w:t>DFAT, 'Development for All 2015-2020' (Department of Foreign Affairs and Trade, 2015)</w:t>
      </w:r>
      <w:r>
        <w:t>.</w:t>
      </w:r>
    </w:p>
  </w:footnote>
  <w:footnote w:id="15">
    <w:p w:rsidR="008E166E" w:rsidRPr="00985E87" w:rsidRDefault="008E166E" w:rsidP="00E70031">
      <w:pPr>
        <w:pStyle w:val="FootnoteText"/>
        <w:jc w:val="both"/>
        <w:rPr>
          <w:sz w:val="16"/>
          <w:szCs w:val="16"/>
        </w:rPr>
      </w:pPr>
      <w:r w:rsidRPr="00694A4D">
        <w:rPr>
          <w:rStyle w:val="FootnoteReference"/>
        </w:rPr>
        <w:footnoteRef/>
      </w:r>
      <w:r w:rsidRPr="00694A4D">
        <w:t xml:space="preserve"> </w:t>
      </w:r>
      <w:proofErr w:type="gramStart"/>
      <w:r>
        <w:rPr>
          <w:noProof/>
        </w:rPr>
        <w:t xml:space="preserve">MJCS, above n </w:t>
      </w:r>
      <w:r>
        <w:t>5.</w:t>
      </w:r>
      <w:proofErr w:type="gramEnd"/>
    </w:p>
  </w:footnote>
  <w:footnote w:id="16">
    <w:p w:rsidR="008E166E" w:rsidRPr="00A90876" w:rsidRDefault="008E166E" w:rsidP="00E70031">
      <w:pPr>
        <w:pStyle w:val="FootnoteText"/>
        <w:jc w:val="both"/>
        <w:rPr>
          <w:lang w:val="en-AU"/>
        </w:rPr>
      </w:pPr>
      <w:r w:rsidRPr="00A90876">
        <w:rPr>
          <w:rStyle w:val="FootnoteReference"/>
        </w:rPr>
        <w:footnoteRef/>
      </w:r>
      <w:r w:rsidRPr="00A90876">
        <w:t xml:space="preserve"> </w:t>
      </w:r>
      <w:r>
        <w:rPr>
          <w:lang w:val="en-AU"/>
        </w:rPr>
        <w:t xml:space="preserve">For </w:t>
      </w:r>
      <w:r w:rsidRPr="00A90876">
        <w:rPr>
          <w:lang w:val="en-AU"/>
        </w:rPr>
        <w:t xml:space="preserve">further discussion on this point see </w:t>
      </w:r>
      <w:r>
        <w:rPr>
          <w:noProof/>
          <w:lang w:val="en-AU"/>
        </w:rPr>
        <w:t xml:space="preserve">Brian Z Tamanaha, Caroline Sage and Michael Woolcock, </w:t>
      </w:r>
      <w:r w:rsidRPr="002973BF">
        <w:rPr>
          <w:i/>
          <w:noProof/>
          <w:lang w:val="en-AU"/>
        </w:rPr>
        <w:t>Legal pluralism and development: scholars and practitioners in dialogue</w:t>
      </w:r>
      <w:r>
        <w:rPr>
          <w:noProof/>
          <w:lang w:val="en-AU"/>
        </w:rPr>
        <w:t xml:space="preserve"> (Cambridge University Press, 2012)</w:t>
      </w:r>
      <w:r w:rsidRPr="00A90876">
        <w:rPr>
          <w:lang w:val="en-AU"/>
        </w:rPr>
        <w:t xml:space="preserve">. </w:t>
      </w:r>
    </w:p>
  </w:footnote>
  <w:footnote w:id="17">
    <w:p w:rsidR="008E166E" w:rsidRPr="00571BF7" w:rsidRDefault="008E166E" w:rsidP="00E70031">
      <w:pPr>
        <w:pStyle w:val="FootnoteText"/>
        <w:jc w:val="both"/>
        <w:rPr>
          <w:lang w:val="en-AU"/>
        </w:rPr>
      </w:pPr>
      <w:r>
        <w:rPr>
          <w:rStyle w:val="FootnoteReference"/>
        </w:rPr>
        <w:footnoteRef/>
      </w:r>
      <w:r>
        <w:t xml:space="preserve"> In 2015, </w:t>
      </w:r>
      <w:r w:rsidRPr="009F033A">
        <w:t>15 MP</w:t>
      </w:r>
      <w:r>
        <w:t>s</w:t>
      </w:r>
      <w:r w:rsidRPr="009F033A">
        <w:t xml:space="preserve"> </w:t>
      </w:r>
      <w:r>
        <w:t xml:space="preserve">were </w:t>
      </w:r>
      <w:r w:rsidRPr="009F033A">
        <w:t>convicted of bribery and corruption</w:t>
      </w:r>
      <w:r>
        <w:t>,</w:t>
      </w:r>
      <w:r w:rsidRPr="009F033A">
        <w:t xml:space="preserve"> </w:t>
      </w:r>
      <w:r>
        <w:t xml:space="preserve">and charges against the </w:t>
      </w:r>
      <w:r w:rsidRPr="009F033A">
        <w:t>leadership code</w:t>
      </w:r>
      <w:r>
        <w:t xml:space="preserve">.  </w:t>
      </w:r>
      <w:r w:rsidRPr="009F033A">
        <w:t xml:space="preserve">14 of </w:t>
      </w:r>
      <w:r>
        <w:t xml:space="preserve">the former MPs </w:t>
      </w:r>
      <w:r w:rsidRPr="009F033A">
        <w:t xml:space="preserve">were given jail </w:t>
      </w:r>
      <w:r>
        <w:t>sentences, putting a focus on the sector and the Judiciary.</w:t>
      </w:r>
    </w:p>
  </w:footnote>
  <w:footnote w:id="18">
    <w:p w:rsidR="008E166E" w:rsidRPr="00A90876" w:rsidRDefault="008E166E" w:rsidP="00E70031">
      <w:pPr>
        <w:spacing w:after="0" w:line="240" w:lineRule="auto"/>
        <w:contextualSpacing/>
        <w:jc w:val="both"/>
      </w:pPr>
      <w:r w:rsidRPr="00A90876">
        <w:rPr>
          <w:rStyle w:val="FootnoteReference"/>
          <w:sz w:val="20"/>
          <w:szCs w:val="20"/>
        </w:rPr>
        <w:footnoteRef/>
      </w:r>
      <w:r w:rsidRPr="00A90876">
        <w:rPr>
          <w:sz w:val="20"/>
          <w:szCs w:val="20"/>
        </w:rPr>
        <w:t xml:space="preserve"> </w:t>
      </w:r>
      <w:r>
        <w:rPr>
          <w:sz w:val="20"/>
          <w:szCs w:val="20"/>
        </w:rPr>
        <w:t xml:space="preserve">For example, </w:t>
      </w:r>
      <w:r w:rsidRPr="00A90876">
        <w:rPr>
          <w:sz w:val="20"/>
          <w:szCs w:val="20"/>
        </w:rPr>
        <w:t xml:space="preserve">PSO lawyers now routinely conduct </w:t>
      </w:r>
      <w:proofErr w:type="spellStart"/>
      <w:r w:rsidRPr="00A90876">
        <w:rPr>
          <w:sz w:val="20"/>
          <w:szCs w:val="20"/>
        </w:rPr>
        <w:t>voir</w:t>
      </w:r>
      <w:proofErr w:type="spellEnd"/>
      <w:r w:rsidRPr="00A90876">
        <w:rPr>
          <w:sz w:val="20"/>
          <w:szCs w:val="20"/>
        </w:rPr>
        <w:t xml:space="preserve"> </w:t>
      </w:r>
      <w:proofErr w:type="spellStart"/>
      <w:r w:rsidRPr="00A90876">
        <w:rPr>
          <w:sz w:val="20"/>
          <w:szCs w:val="20"/>
        </w:rPr>
        <w:t>dires</w:t>
      </w:r>
      <w:proofErr w:type="spellEnd"/>
      <w:r w:rsidRPr="00A90876">
        <w:rPr>
          <w:sz w:val="20"/>
          <w:szCs w:val="20"/>
        </w:rPr>
        <w:t xml:space="preserve"> in Supreme Court criminal trials to challenge the admissibility of confessions obtained by police.  Also, at least three successful ‘fitness to plead’ applications have been made in the Supreme Court</w:t>
      </w:r>
      <w:r>
        <w:rPr>
          <w:sz w:val="20"/>
          <w:szCs w:val="20"/>
        </w:rPr>
        <w:t>.  By comparison, in 2012 (when the current PJSPV PSO Adviser commenced their support to PSO), lawyers did not have knowledge of/were not following these criminal procedures.</w:t>
      </w:r>
    </w:p>
  </w:footnote>
  <w:footnote w:id="19">
    <w:p w:rsidR="008E166E" w:rsidRPr="00B76F89" w:rsidRDefault="008E166E" w:rsidP="00E70031">
      <w:pPr>
        <w:pStyle w:val="FootnoteText"/>
        <w:jc w:val="both"/>
        <w:rPr>
          <w:lang w:val="en-AU"/>
        </w:rPr>
      </w:pPr>
      <w:r>
        <w:rPr>
          <w:rStyle w:val="FootnoteReference"/>
        </w:rPr>
        <w:footnoteRef/>
      </w:r>
      <w:r>
        <w:t xml:space="preserve"> </w:t>
      </w:r>
      <w:r>
        <w:rPr>
          <w:noProof/>
        </w:rPr>
        <w:t>PJSPV, 'Monitoring and Evaluation (M&amp;E) Update Report January – June 2016' (2015)</w:t>
      </w:r>
      <w:r>
        <w:t xml:space="preserve"> 69-70.</w:t>
      </w:r>
    </w:p>
  </w:footnote>
  <w:footnote w:id="20">
    <w:p w:rsidR="008E166E" w:rsidRPr="00FE6E33" w:rsidRDefault="008E166E" w:rsidP="00E70031">
      <w:pPr>
        <w:pStyle w:val="FootnoteText"/>
        <w:jc w:val="both"/>
      </w:pPr>
      <w:r w:rsidRPr="00FE6E33">
        <w:rPr>
          <w:rStyle w:val="FootnoteReference"/>
        </w:rPr>
        <w:footnoteRef/>
      </w:r>
      <w:r w:rsidRPr="00FE6E33">
        <w:t xml:space="preserve"> </w:t>
      </w:r>
      <w:proofErr w:type="gramStart"/>
      <w:r>
        <w:rPr>
          <w:noProof/>
        </w:rPr>
        <w:t xml:space="preserve">VPF, above n </w:t>
      </w:r>
      <w:r>
        <w:t>5.</w:t>
      </w:r>
      <w:proofErr w:type="gramEnd"/>
    </w:p>
  </w:footnote>
  <w:footnote w:id="21">
    <w:p w:rsidR="008E166E" w:rsidRPr="001D4801" w:rsidRDefault="008E166E" w:rsidP="00E70031">
      <w:pPr>
        <w:autoSpaceDE w:val="0"/>
        <w:autoSpaceDN w:val="0"/>
        <w:adjustRightInd w:val="0"/>
        <w:spacing w:after="0" w:line="240" w:lineRule="auto"/>
        <w:contextualSpacing/>
        <w:jc w:val="both"/>
        <w:rPr>
          <w:sz w:val="20"/>
          <w:szCs w:val="20"/>
        </w:rPr>
      </w:pPr>
      <w:r w:rsidRPr="001D4801">
        <w:rPr>
          <w:rStyle w:val="FootnoteReference"/>
          <w:sz w:val="20"/>
          <w:szCs w:val="20"/>
        </w:rPr>
        <w:footnoteRef/>
      </w:r>
      <w:r w:rsidRPr="001D4801">
        <w:rPr>
          <w:sz w:val="20"/>
          <w:szCs w:val="20"/>
        </w:rPr>
        <w:t xml:space="preserve"> </w:t>
      </w:r>
      <w:r>
        <w:rPr>
          <w:noProof/>
          <w:sz w:val="20"/>
          <w:szCs w:val="20"/>
        </w:rPr>
        <w:t xml:space="preserve">Marcus Cox et al, </w:t>
      </w:r>
      <w:r w:rsidRPr="002973BF">
        <w:rPr>
          <w:i/>
          <w:noProof/>
          <w:sz w:val="20"/>
          <w:szCs w:val="20"/>
        </w:rPr>
        <w:t>The unfinished state: drivers of change in Vanuatu</w:t>
      </w:r>
      <w:r>
        <w:rPr>
          <w:noProof/>
          <w:sz w:val="20"/>
          <w:szCs w:val="20"/>
        </w:rPr>
        <w:t xml:space="preserve"> (Australian Agency for International Development, 2007)</w:t>
      </w:r>
      <w:r>
        <w:rPr>
          <w:sz w:val="20"/>
          <w:szCs w:val="20"/>
        </w:rPr>
        <w:t xml:space="preserve"> </w:t>
      </w:r>
      <w:r w:rsidRPr="001D4801">
        <w:rPr>
          <w:sz w:val="20"/>
          <w:szCs w:val="20"/>
        </w:rPr>
        <w:t>xi</w:t>
      </w:r>
      <w:r>
        <w:rPr>
          <w:sz w:val="20"/>
          <w:szCs w:val="20"/>
        </w:rPr>
        <w:t>.</w:t>
      </w:r>
    </w:p>
  </w:footnote>
  <w:footnote w:id="22">
    <w:p w:rsidR="008E166E" w:rsidRPr="00B83BB7" w:rsidRDefault="008E166E" w:rsidP="00E70031">
      <w:pPr>
        <w:pStyle w:val="FootnoteText"/>
        <w:jc w:val="both"/>
        <w:rPr>
          <w:lang w:val="en-AU"/>
        </w:rPr>
      </w:pPr>
      <w:r w:rsidRPr="00B83BB7">
        <w:rPr>
          <w:rStyle w:val="FootnoteReference"/>
        </w:rPr>
        <w:footnoteRef/>
      </w:r>
      <w:r>
        <w:t xml:space="preserve"> </w:t>
      </w:r>
      <w:proofErr w:type="gramStart"/>
      <w:r>
        <w:rPr>
          <w:noProof/>
        </w:rPr>
        <w:t>Leisha  Lister, Indira  Rosenthal and Cate Sumner, 'Women and Children’s Access to the Formal Justice System in Vanuatu' (UN Women, 2016)</w:t>
      </w:r>
      <w:r w:rsidRPr="00B83BB7">
        <w:t>.</w:t>
      </w:r>
      <w:proofErr w:type="gramEnd"/>
    </w:p>
  </w:footnote>
  <w:footnote w:id="23">
    <w:p w:rsidR="008E166E" w:rsidRPr="00B83BB7" w:rsidRDefault="008E166E" w:rsidP="00E70031">
      <w:pPr>
        <w:pStyle w:val="HeidiBody"/>
        <w:spacing w:line="240" w:lineRule="auto"/>
        <w:jc w:val="both"/>
        <w:rPr>
          <w:rFonts w:asciiTheme="minorHAnsi" w:hAnsiTheme="minorHAnsi"/>
          <w:sz w:val="20"/>
          <w:lang w:val="en-AU"/>
        </w:rPr>
      </w:pPr>
      <w:r w:rsidRPr="00B83BB7">
        <w:rPr>
          <w:rStyle w:val="FootnoteReference"/>
          <w:rFonts w:asciiTheme="minorHAnsi" w:hAnsiTheme="minorHAnsi"/>
          <w:sz w:val="20"/>
        </w:rPr>
        <w:footnoteRef/>
      </w:r>
      <w:r w:rsidRPr="00B83BB7">
        <w:rPr>
          <w:rFonts w:asciiTheme="minorHAnsi" w:hAnsiTheme="minorHAnsi"/>
          <w:sz w:val="20"/>
        </w:rPr>
        <w:t xml:space="preserve"> </w:t>
      </w:r>
      <w:r>
        <w:rPr>
          <w:rFonts w:asciiTheme="minorHAnsi" w:hAnsiTheme="minorHAnsi"/>
          <w:noProof/>
          <w:sz w:val="20"/>
        </w:rPr>
        <w:t>VWC, 'Vanuatu National Survey on Women’s Lives and Family Relationships' (Vanuatu Women’s Centre in partnership with the National Statistics Office, 2011)</w:t>
      </w:r>
      <w:r w:rsidRPr="00B83BB7">
        <w:rPr>
          <w:rFonts w:asciiTheme="minorHAnsi" w:hAnsiTheme="minorHAnsi"/>
          <w:sz w:val="20"/>
        </w:rPr>
        <w:t>.</w:t>
      </w:r>
    </w:p>
  </w:footnote>
  <w:footnote w:id="24">
    <w:p w:rsidR="008E166E" w:rsidRPr="00FE6E33" w:rsidRDefault="008E166E" w:rsidP="00E70031">
      <w:pPr>
        <w:pStyle w:val="FootnoteText"/>
        <w:jc w:val="both"/>
      </w:pPr>
      <w:r w:rsidRPr="00FE6E33">
        <w:rPr>
          <w:rStyle w:val="FootnoteReference"/>
        </w:rPr>
        <w:footnoteRef/>
      </w:r>
      <w:r w:rsidRPr="00FE6E33">
        <w:t xml:space="preserve"> </w:t>
      </w:r>
      <w:r>
        <w:rPr>
          <w:noProof/>
        </w:rPr>
        <w:t>Ibid</w:t>
      </w:r>
      <w:r w:rsidRPr="00FE6E33">
        <w:t>.</w:t>
      </w:r>
    </w:p>
  </w:footnote>
  <w:footnote w:id="25">
    <w:p w:rsidR="008E166E" w:rsidRPr="00FE6E33" w:rsidRDefault="008E166E" w:rsidP="00E70031">
      <w:pPr>
        <w:pStyle w:val="FootnoteText"/>
        <w:jc w:val="both"/>
      </w:pPr>
      <w:r w:rsidRPr="00FE6E33">
        <w:rPr>
          <w:rStyle w:val="FootnoteReference"/>
        </w:rPr>
        <w:footnoteRef/>
      </w:r>
      <w:r w:rsidRPr="00FE6E33">
        <w:t xml:space="preserve"> </w:t>
      </w:r>
      <w:r>
        <w:rPr>
          <w:noProof/>
        </w:rPr>
        <w:t>AusAID, 'Violence Against Women in Melanesia and East Timor: Building on Global and Regional Promising Approaches' (Australian Agency for International Development, 2008)</w:t>
      </w:r>
      <w:r>
        <w:t xml:space="preserve"> </w:t>
      </w:r>
      <w:r w:rsidRPr="00FE6E33">
        <w:rPr>
          <w:rFonts w:cs="Helvetica"/>
        </w:rPr>
        <w:t>vii</w:t>
      </w:r>
      <w:r>
        <w:rPr>
          <w:rFonts w:cs="Helvetica"/>
        </w:rPr>
        <w:t>.</w:t>
      </w:r>
    </w:p>
  </w:footnote>
  <w:footnote w:id="26">
    <w:p w:rsidR="008E166E" w:rsidRPr="00A7766C" w:rsidRDefault="008E166E" w:rsidP="00E70031">
      <w:pPr>
        <w:pStyle w:val="FootnoteText"/>
        <w:jc w:val="both"/>
        <w:rPr>
          <w:lang w:val="en-AU"/>
        </w:rPr>
      </w:pPr>
      <w:r>
        <w:rPr>
          <w:rStyle w:val="FootnoteReference"/>
        </w:rPr>
        <w:footnoteRef/>
      </w:r>
      <w:r>
        <w:t xml:space="preserve"> </w:t>
      </w:r>
      <w:proofErr w:type="gramStart"/>
      <w:r>
        <w:rPr>
          <w:noProof/>
        </w:rPr>
        <w:t xml:space="preserve">VWC, above n </w:t>
      </w:r>
      <w:r>
        <w:t>23.</w:t>
      </w:r>
      <w:proofErr w:type="gramEnd"/>
    </w:p>
  </w:footnote>
  <w:footnote w:id="27">
    <w:p w:rsidR="008E166E" w:rsidRPr="00626605" w:rsidRDefault="008E166E" w:rsidP="00E70031">
      <w:pPr>
        <w:pStyle w:val="FootnoteText"/>
        <w:jc w:val="both"/>
        <w:rPr>
          <w:lang w:val="en-AU"/>
        </w:rPr>
      </w:pPr>
      <w:r>
        <w:rPr>
          <w:rStyle w:val="FootnoteReference"/>
        </w:rPr>
        <w:footnoteRef/>
      </w:r>
      <w:r>
        <w:t xml:space="preserve"> </w:t>
      </w:r>
      <w:r>
        <w:rPr>
          <w:noProof/>
        </w:rPr>
        <w:t>DCS, 'Sexual Offenders: An Analysis of 50 Offenders and Their Offences' (Department of Corrections, 2011)</w:t>
      </w:r>
      <w:r>
        <w:t>.</w:t>
      </w:r>
    </w:p>
  </w:footnote>
  <w:footnote w:id="28">
    <w:p w:rsidR="008E166E" w:rsidRPr="0030256D" w:rsidRDefault="008E166E" w:rsidP="00E70031">
      <w:pPr>
        <w:pStyle w:val="FootnoteText"/>
        <w:jc w:val="both"/>
        <w:rPr>
          <w:lang w:val="en-AU"/>
        </w:rPr>
      </w:pPr>
      <w:r>
        <w:rPr>
          <w:rStyle w:val="FootnoteReference"/>
        </w:rPr>
        <w:footnoteRef/>
      </w:r>
      <w:r>
        <w:t xml:space="preserve"> See, </w:t>
      </w:r>
      <w:proofErr w:type="spellStart"/>
      <w:r>
        <w:t>eg</w:t>
      </w:r>
      <w:proofErr w:type="spellEnd"/>
      <w:r>
        <w:t xml:space="preserve">, </w:t>
      </w:r>
      <w:r>
        <w:rPr>
          <w:noProof/>
        </w:rPr>
        <w:t xml:space="preserve">Heidi Tyedmers, 'Access to Justice, Pathways to Action for Women Experiencing Family Violence' (2013); Lister, Rosenthal and Sumner, above n </w:t>
      </w:r>
      <w:r>
        <w:t>22.</w:t>
      </w:r>
    </w:p>
  </w:footnote>
  <w:footnote w:id="29">
    <w:p w:rsidR="008E166E" w:rsidRPr="00B83BB7" w:rsidRDefault="008E166E" w:rsidP="00E70031">
      <w:pPr>
        <w:pStyle w:val="FootnoteText"/>
        <w:contextualSpacing/>
        <w:jc w:val="both"/>
      </w:pPr>
      <w:r w:rsidRPr="00B83BB7">
        <w:rPr>
          <w:rStyle w:val="FootnoteReference"/>
        </w:rPr>
        <w:footnoteRef/>
      </w:r>
      <w:r w:rsidRPr="00B83BB7">
        <w:t xml:space="preserve"> </w:t>
      </w:r>
      <w:proofErr w:type="gramStart"/>
      <w:r>
        <w:rPr>
          <w:noProof/>
        </w:rPr>
        <w:t xml:space="preserve">Tyedmers, above n </w:t>
      </w:r>
      <w:r>
        <w:t>28</w:t>
      </w:r>
      <w:r w:rsidRPr="00B83BB7">
        <w:t>.</w:t>
      </w:r>
      <w:proofErr w:type="gramEnd"/>
      <w:r w:rsidRPr="00B83BB7">
        <w:t xml:space="preserve">  </w:t>
      </w:r>
    </w:p>
  </w:footnote>
  <w:footnote w:id="30">
    <w:p w:rsidR="008E166E" w:rsidRPr="00B83BB7" w:rsidRDefault="008E166E" w:rsidP="00E70031">
      <w:pPr>
        <w:autoSpaceDE w:val="0"/>
        <w:autoSpaceDN w:val="0"/>
        <w:adjustRightInd w:val="0"/>
        <w:spacing w:after="0" w:line="240" w:lineRule="auto"/>
        <w:jc w:val="both"/>
        <w:rPr>
          <w:rFonts w:ascii="Calibri" w:hAnsi="Calibri" w:cs="Calibri"/>
          <w:color w:val="000000"/>
          <w:sz w:val="20"/>
          <w:szCs w:val="20"/>
        </w:rPr>
      </w:pPr>
      <w:r w:rsidRPr="00B83BB7">
        <w:rPr>
          <w:rStyle w:val="FootnoteReference"/>
          <w:sz w:val="20"/>
          <w:szCs w:val="20"/>
        </w:rPr>
        <w:footnoteRef/>
      </w:r>
      <w:r w:rsidRPr="00B83BB7">
        <w:rPr>
          <w:sz w:val="20"/>
          <w:szCs w:val="20"/>
        </w:rPr>
        <w:t xml:space="preserve"> </w:t>
      </w:r>
      <w:r>
        <w:rPr>
          <w:sz w:val="20"/>
          <w:szCs w:val="20"/>
        </w:rPr>
        <w:t xml:space="preserve">For a more detailed discussion on this point see </w:t>
      </w:r>
      <w:r>
        <w:rPr>
          <w:noProof/>
          <w:sz w:val="20"/>
          <w:szCs w:val="20"/>
        </w:rPr>
        <w:t xml:space="preserve">DFAT, above n </w:t>
      </w:r>
      <w:r>
        <w:rPr>
          <w:sz w:val="20"/>
          <w:szCs w:val="20"/>
        </w:rPr>
        <w:t>5</w:t>
      </w:r>
      <w:r w:rsidRPr="00B83BB7">
        <w:rPr>
          <w:rFonts w:ascii="Calibri" w:hAnsi="Calibri" w:cs="Calibri"/>
          <w:color w:val="000000"/>
          <w:sz w:val="20"/>
          <w:szCs w:val="20"/>
        </w:rPr>
        <w:t xml:space="preserve">. </w:t>
      </w:r>
    </w:p>
  </w:footnote>
  <w:footnote w:id="31">
    <w:p w:rsidR="008E166E" w:rsidRPr="00BB0554" w:rsidRDefault="008E166E" w:rsidP="00E70031">
      <w:pPr>
        <w:pStyle w:val="FootnoteText"/>
        <w:jc w:val="both"/>
        <w:rPr>
          <w:lang w:val="en-AU"/>
        </w:rPr>
      </w:pPr>
      <w:r>
        <w:rPr>
          <w:rStyle w:val="FootnoteReference"/>
        </w:rPr>
        <w:footnoteRef/>
      </w:r>
      <w:r>
        <w:t xml:space="preserve"> </w:t>
      </w:r>
      <w:r>
        <w:rPr>
          <w:noProof/>
        </w:rPr>
        <w:t xml:space="preserve">Miranda Forsyth, </w:t>
      </w:r>
      <w:r w:rsidRPr="00433853">
        <w:rPr>
          <w:i/>
          <w:noProof/>
        </w:rPr>
        <w:t>A Bird that Flies with Two Wings: the Kastom and State Justice Systems in Vanuatu</w:t>
      </w:r>
      <w:r>
        <w:rPr>
          <w:noProof/>
        </w:rPr>
        <w:t xml:space="preserve"> (Doctor of Philosophy Thesis, Australian National University, 2007)</w:t>
      </w:r>
      <w:r>
        <w:t>.</w:t>
      </w:r>
    </w:p>
  </w:footnote>
  <w:footnote w:id="32">
    <w:p w:rsidR="008E166E" w:rsidRPr="00587A52" w:rsidRDefault="008E166E" w:rsidP="00E70031">
      <w:pPr>
        <w:pStyle w:val="FootnoteText"/>
        <w:jc w:val="both"/>
        <w:rPr>
          <w:lang w:val="en-AU"/>
        </w:rPr>
      </w:pPr>
      <w:r>
        <w:rPr>
          <w:rStyle w:val="FootnoteReference"/>
        </w:rPr>
        <w:footnoteRef/>
      </w:r>
      <w:r>
        <w:t xml:space="preserve"> </w:t>
      </w:r>
      <w:r>
        <w:rPr>
          <w:lang w:val="en-AU"/>
        </w:rPr>
        <w:t>PJSPV research described below in section 3.1.</w:t>
      </w:r>
    </w:p>
  </w:footnote>
  <w:footnote w:id="33">
    <w:p w:rsidR="008E166E" w:rsidRPr="005234A4" w:rsidRDefault="008E166E" w:rsidP="00E70031">
      <w:pPr>
        <w:pStyle w:val="FootnoteText"/>
        <w:jc w:val="both"/>
        <w:rPr>
          <w:lang w:val="en-AU"/>
        </w:rPr>
      </w:pPr>
      <w:r>
        <w:rPr>
          <w:rStyle w:val="FootnoteReference"/>
        </w:rPr>
        <w:footnoteRef/>
      </w:r>
      <w:r>
        <w:t xml:space="preserve"> </w:t>
      </w:r>
      <w:r>
        <w:rPr>
          <w:noProof/>
        </w:rPr>
        <w:t xml:space="preserve">Forsyth, above n </w:t>
      </w:r>
      <w:r>
        <w:t xml:space="preserve"> 182</w:t>
      </w:r>
    </w:p>
  </w:footnote>
  <w:footnote w:id="34">
    <w:p w:rsidR="008E166E" w:rsidRPr="00FE6E33" w:rsidRDefault="008E166E" w:rsidP="00E70031">
      <w:pPr>
        <w:pStyle w:val="FootnoteText"/>
        <w:jc w:val="both"/>
      </w:pPr>
      <w:r w:rsidRPr="00FE6E33">
        <w:rPr>
          <w:rStyle w:val="FootnoteReference"/>
        </w:rPr>
        <w:footnoteRef/>
      </w:r>
      <w:r w:rsidRPr="00FE6E33">
        <w:t xml:space="preserve"> </w:t>
      </w:r>
      <w:r>
        <w:t xml:space="preserve"> 368.</w:t>
      </w:r>
      <w:r w:rsidRPr="00FE6E33">
        <w:t xml:space="preserve">  </w:t>
      </w:r>
    </w:p>
  </w:footnote>
  <w:footnote w:id="35">
    <w:p w:rsidR="008E166E" w:rsidRPr="00266402" w:rsidRDefault="008E166E" w:rsidP="00E70031">
      <w:pPr>
        <w:pStyle w:val="FootnoteText"/>
        <w:jc w:val="both"/>
        <w:rPr>
          <w:lang w:val="en-AU"/>
        </w:rPr>
      </w:pPr>
      <w:r>
        <w:rPr>
          <w:rStyle w:val="FootnoteReference"/>
        </w:rPr>
        <w:footnoteRef/>
      </w:r>
      <w:r>
        <w:t xml:space="preserve"> </w:t>
      </w:r>
      <w:r>
        <w:rPr>
          <w:lang w:val="en-AU"/>
        </w:rPr>
        <w:t>PJSPV research described below in section 3.1, above n 32.</w:t>
      </w:r>
    </w:p>
  </w:footnote>
  <w:footnote w:id="36">
    <w:p w:rsidR="008E166E" w:rsidRPr="00266402" w:rsidRDefault="008E166E" w:rsidP="00E70031">
      <w:pPr>
        <w:pStyle w:val="FootnoteText"/>
        <w:jc w:val="both"/>
        <w:rPr>
          <w:lang w:val="en-AU"/>
        </w:rPr>
      </w:pPr>
      <w:r>
        <w:rPr>
          <w:rStyle w:val="FootnoteReference"/>
        </w:rPr>
        <w:footnoteRef/>
      </w:r>
      <w:r>
        <w:t xml:space="preserve"> </w:t>
      </w:r>
      <w:r>
        <w:rPr>
          <w:lang w:val="en-AU"/>
        </w:rPr>
        <w:t>Ibid.</w:t>
      </w:r>
    </w:p>
  </w:footnote>
  <w:footnote w:id="37">
    <w:p w:rsidR="008E166E" w:rsidRPr="00AA21EA" w:rsidRDefault="008E166E" w:rsidP="00E70031">
      <w:pPr>
        <w:pStyle w:val="FootnoteText"/>
        <w:jc w:val="both"/>
      </w:pPr>
      <w:r w:rsidRPr="00AA21EA">
        <w:rPr>
          <w:rStyle w:val="FootnoteReference"/>
        </w:rPr>
        <w:footnoteRef/>
      </w:r>
      <w:r w:rsidRPr="00AA21EA">
        <w:t xml:space="preserve"> </w:t>
      </w:r>
      <w:r>
        <w:rPr>
          <w:noProof/>
        </w:rPr>
        <w:t>PJSPV, 'Evaluation of the Participation of Women in the Vanuatu Police Force' (2015)</w:t>
      </w:r>
      <w:r w:rsidRPr="00AA21EA">
        <w:t>.</w:t>
      </w:r>
    </w:p>
  </w:footnote>
  <w:footnote w:id="38">
    <w:p w:rsidR="008E166E" w:rsidRPr="00AA21EA" w:rsidRDefault="008E166E" w:rsidP="00E70031">
      <w:pPr>
        <w:pStyle w:val="FootnoteText"/>
        <w:jc w:val="both"/>
        <w:rPr>
          <w:lang w:val="en-AU"/>
        </w:rPr>
      </w:pPr>
      <w:r w:rsidRPr="00AA21EA">
        <w:rPr>
          <w:rStyle w:val="FootnoteReference"/>
        </w:rPr>
        <w:footnoteRef/>
      </w:r>
      <w:r w:rsidRPr="00AA21EA">
        <w:t xml:space="preserve"> </w:t>
      </w:r>
      <w:r>
        <w:rPr>
          <w:noProof/>
        </w:rPr>
        <w:t>PJSPV, 'Working Together: Evaluation of PJSPV Support for Cross-Sector Collaboration' (2016)</w:t>
      </w:r>
      <w:r>
        <w:t>.</w:t>
      </w:r>
    </w:p>
  </w:footnote>
  <w:footnote w:id="39">
    <w:p w:rsidR="008E166E" w:rsidRPr="00AA21EA" w:rsidRDefault="008E166E" w:rsidP="00E70031">
      <w:pPr>
        <w:pStyle w:val="FootnoteText"/>
        <w:jc w:val="both"/>
        <w:rPr>
          <w:i/>
        </w:rPr>
      </w:pPr>
      <w:r w:rsidRPr="00AA21EA">
        <w:rPr>
          <w:rStyle w:val="FootnoteReference"/>
        </w:rPr>
        <w:footnoteRef/>
      </w:r>
      <w:r w:rsidRPr="00AA21EA">
        <w:t xml:space="preserve"> </w:t>
      </w:r>
      <w:r>
        <w:rPr>
          <w:noProof/>
        </w:rPr>
        <w:t xml:space="preserve">DFAT and AFP, above n </w:t>
      </w:r>
      <w:r>
        <w:t xml:space="preserve">4, </w:t>
      </w:r>
      <w:r w:rsidRPr="00AA21EA">
        <w:t>47-48</w:t>
      </w:r>
      <w:r>
        <w:t>;</w:t>
      </w:r>
      <w:r w:rsidRPr="00AA21EA">
        <w:t xml:space="preserve"> </w:t>
      </w:r>
      <w:r>
        <w:rPr>
          <w:noProof/>
        </w:rPr>
        <w:t>Marcus Cox, Emele Duituturaga and Eric Scheye, 'Building on Local Strengths: Evaluation of Australian Law and Justice Assistance' (Office of Development Effectiveness, 2012)</w:t>
      </w:r>
      <w:r w:rsidRPr="00AA21EA">
        <w:t>.</w:t>
      </w:r>
    </w:p>
  </w:footnote>
  <w:footnote w:id="40">
    <w:p w:rsidR="008E166E" w:rsidRPr="00FB0260" w:rsidRDefault="008E166E" w:rsidP="00E70031">
      <w:pPr>
        <w:pStyle w:val="FootnoteText"/>
        <w:contextualSpacing/>
        <w:jc w:val="both"/>
        <w:rPr>
          <w:lang w:val="en-AU"/>
        </w:rPr>
      </w:pPr>
      <w:r w:rsidRPr="00FB0260">
        <w:rPr>
          <w:rStyle w:val="FootnoteReference"/>
        </w:rPr>
        <w:footnoteRef/>
      </w:r>
      <w:r w:rsidRPr="00FB0260">
        <w:t xml:space="preserve"> </w:t>
      </w:r>
      <w:proofErr w:type="gramStart"/>
      <w:r>
        <w:rPr>
          <w:noProof/>
        </w:rPr>
        <w:t xml:space="preserve">McGovern, above n </w:t>
      </w:r>
      <w:r>
        <w:t>3</w:t>
      </w:r>
      <w:r w:rsidRPr="00FB0260">
        <w:t>.</w:t>
      </w:r>
      <w:proofErr w:type="gramEnd"/>
    </w:p>
  </w:footnote>
  <w:footnote w:id="41">
    <w:p w:rsidR="008E166E" w:rsidRPr="00782A26" w:rsidRDefault="008E166E" w:rsidP="00E70031">
      <w:pPr>
        <w:pStyle w:val="FootnoteText"/>
        <w:jc w:val="both"/>
        <w:rPr>
          <w:lang w:val="en-AU"/>
        </w:rPr>
      </w:pPr>
      <w:r>
        <w:rPr>
          <w:rStyle w:val="FootnoteReference"/>
        </w:rPr>
        <w:footnoteRef/>
      </w:r>
      <w:r>
        <w:t xml:space="preserve"> </w:t>
      </w:r>
      <w:proofErr w:type="gramStart"/>
      <w:r>
        <w:rPr>
          <w:noProof/>
        </w:rPr>
        <w:t>Ibid</w:t>
      </w:r>
      <w:r>
        <w:t xml:space="preserve"> ii.</w:t>
      </w:r>
      <w:proofErr w:type="gramEnd"/>
    </w:p>
  </w:footnote>
  <w:footnote w:id="42">
    <w:p w:rsidR="008E166E" w:rsidRPr="005234A4" w:rsidRDefault="008E166E" w:rsidP="00E70031">
      <w:pPr>
        <w:pStyle w:val="FootnoteText"/>
        <w:jc w:val="both"/>
        <w:rPr>
          <w:lang w:val="en-AU"/>
        </w:rPr>
      </w:pPr>
      <w:r w:rsidRPr="005234A4">
        <w:rPr>
          <w:rStyle w:val="FootnoteReference"/>
        </w:rPr>
        <w:footnoteRef/>
      </w:r>
      <w:r w:rsidRPr="005234A4">
        <w:t xml:space="preserve"> </w:t>
      </w:r>
      <w:proofErr w:type="gramStart"/>
      <w:r w:rsidRPr="005234A4">
        <w:rPr>
          <w:noProof/>
        </w:rPr>
        <w:t xml:space="preserve">DFAT, above n </w:t>
      </w:r>
      <w:r>
        <w:t>10</w:t>
      </w:r>
      <w:r w:rsidRPr="005234A4">
        <w:t>.</w:t>
      </w:r>
      <w:proofErr w:type="gramEnd"/>
    </w:p>
  </w:footnote>
  <w:footnote w:id="43">
    <w:p w:rsidR="008E166E" w:rsidRPr="00BA39FF" w:rsidRDefault="008E166E" w:rsidP="00E70031">
      <w:pPr>
        <w:pStyle w:val="FootnoteText"/>
        <w:jc w:val="both"/>
        <w:rPr>
          <w:lang w:val="en-AU"/>
        </w:rPr>
      </w:pPr>
      <w:r w:rsidRPr="005234A4">
        <w:rPr>
          <w:rStyle w:val="FootnoteReference"/>
        </w:rPr>
        <w:footnoteRef/>
      </w:r>
      <w:r w:rsidRPr="005234A4">
        <w:t xml:space="preserve"> </w:t>
      </w:r>
      <w:r w:rsidRPr="005234A4">
        <w:rPr>
          <w:lang w:val="en-AU"/>
        </w:rPr>
        <w:t>Note that transnational, serious and organised crime cooperation is non-ODA eligible.</w:t>
      </w:r>
      <w:r>
        <w:rPr>
          <w:lang w:val="en-AU"/>
        </w:rPr>
        <w:t xml:space="preserve"> </w:t>
      </w:r>
      <w:r w:rsidRPr="005234A4">
        <w:rPr>
          <w:lang w:val="en-AU"/>
        </w:rPr>
        <w:t xml:space="preserve">For transnational crime, the exception to this is where its primary purpose </w:t>
      </w:r>
      <w:r w:rsidRPr="005234A4">
        <w:t>is to improve the economic development and welfare of people in the recipient country.</w:t>
      </w:r>
    </w:p>
  </w:footnote>
  <w:footnote w:id="44">
    <w:p w:rsidR="008E166E" w:rsidRPr="00286937" w:rsidRDefault="008E166E" w:rsidP="00E70031">
      <w:pPr>
        <w:pStyle w:val="FootnoteText"/>
        <w:jc w:val="both"/>
      </w:pPr>
      <w:r>
        <w:rPr>
          <w:rStyle w:val="FootnoteReference"/>
        </w:rPr>
        <w:footnoteRef/>
      </w:r>
      <w:r>
        <w:t xml:space="preserve"> </w:t>
      </w:r>
      <w:proofErr w:type="gramStart"/>
      <w:r>
        <w:rPr>
          <w:noProof/>
        </w:rPr>
        <w:t xml:space="preserve">Lister, Rosenthal and Sumner, above n </w:t>
      </w:r>
      <w:r>
        <w:t>22.</w:t>
      </w:r>
      <w:proofErr w:type="gramEnd"/>
      <w:r>
        <w:t xml:space="preserve">  This UN Women research found that there is some disconnect between the sector agencies including the police and courts, especially as they relate to decisions along the justice chain in domestic violence cases. So it is appropriate to support the sector as a whole.</w:t>
      </w:r>
    </w:p>
  </w:footnote>
  <w:footnote w:id="45">
    <w:p w:rsidR="008E166E" w:rsidRPr="00DB479D" w:rsidRDefault="008E166E" w:rsidP="00E70031">
      <w:pPr>
        <w:pStyle w:val="FootnoteText"/>
        <w:jc w:val="both"/>
        <w:rPr>
          <w:lang w:val="en-AU"/>
        </w:rPr>
      </w:pPr>
      <w:r>
        <w:rPr>
          <w:rStyle w:val="FootnoteReference"/>
        </w:rPr>
        <w:footnoteRef/>
      </w:r>
      <w:r>
        <w:t xml:space="preserve"> </w:t>
      </w:r>
      <w:proofErr w:type="gramStart"/>
      <w:r>
        <w:rPr>
          <w:noProof/>
        </w:rPr>
        <w:t xml:space="preserve">Cox, Duituturaga and Scheye, above n </w:t>
      </w:r>
      <w:r>
        <w:t>39.</w:t>
      </w:r>
      <w:proofErr w:type="gramEnd"/>
    </w:p>
  </w:footnote>
  <w:footnote w:id="46">
    <w:p w:rsidR="008E166E" w:rsidRPr="00D76C0D" w:rsidRDefault="008E166E" w:rsidP="00E70031">
      <w:pPr>
        <w:pStyle w:val="FootnoteText"/>
        <w:jc w:val="both"/>
        <w:rPr>
          <w:lang w:val="en-AU"/>
        </w:rPr>
      </w:pPr>
      <w:r>
        <w:rPr>
          <w:rStyle w:val="FootnoteReference"/>
        </w:rPr>
        <w:footnoteRef/>
      </w:r>
      <w:r>
        <w:t xml:space="preserve"> </w:t>
      </w:r>
      <w:r>
        <w:rPr>
          <w:lang w:val="en-AU"/>
        </w:rPr>
        <w:t xml:space="preserve">This draws on the program approach articulated in </w:t>
      </w:r>
      <w:r>
        <w:rPr>
          <w:noProof/>
          <w:lang w:val="en-AU"/>
        </w:rPr>
        <w:t xml:space="preserve">DFAT, above n </w:t>
      </w:r>
      <w:r>
        <w:rPr>
          <w:lang w:val="en-AU"/>
        </w:rPr>
        <w:t xml:space="preserve">4.  This point was confirmed in UN Women research conducted by </w:t>
      </w:r>
      <w:r>
        <w:rPr>
          <w:noProof/>
          <w:lang w:val="en-AU"/>
        </w:rPr>
        <w:t xml:space="preserve">Lister, Rosenthal and Sumner, above n </w:t>
      </w:r>
      <w:r>
        <w:rPr>
          <w:lang w:val="en-AU"/>
        </w:rPr>
        <w:t>22.</w:t>
      </w:r>
    </w:p>
  </w:footnote>
  <w:footnote w:id="47">
    <w:p w:rsidR="008E166E" w:rsidRPr="00DB479D" w:rsidRDefault="008E166E" w:rsidP="00E70031">
      <w:pPr>
        <w:pStyle w:val="FootnoteText"/>
        <w:jc w:val="both"/>
        <w:rPr>
          <w:lang w:val="en-AU"/>
        </w:rPr>
      </w:pPr>
      <w:r>
        <w:rPr>
          <w:rStyle w:val="FootnoteReference"/>
        </w:rPr>
        <w:footnoteRef/>
      </w:r>
      <w:r>
        <w:t xml:space="preserve"> </w:t>
      </w:r>
      <w:proofErr w:type="gramStart"/>
      <w:r>
        <w:rPr>
          <w:lang w:val="en-AU"/>
        </w:rPr>
        <w:t>Through implementation of the findings of the above-mentioned PJSPV evaluation of women’s professional participation in the VPF.</w:t>
      </w:r>
      <w:proofErr w:type="gramEnd"/>
      <w:r>
        <w:rPr>
          <w:lang w:val="en-AU"/>
        </w:rPr>
        <w:t xml:space="preserve"> </w:t>
      </w:r>
    </w:p>
  </w:footnote>
  <w:footnote w:id="48">
    <w:p w:rsidR="008E166E" w:rsidRPr="003F4188" w:rsidRDefault="008E166E" w:rsidP="00E70031">
      <w:pPr>
        <w:pStyle w:val="FootnoteText"/>
        <w:jc w:val="both"/>
        <w:rPr>
          <w:lang w:val="en-AU"/>
        </w:rPr>
      </w:pPr>
      <w:r>
        <w:rPr>
          <w:rStyle w:val="FootnoteReference"/>
        </w:rPr>
        <w:footnoteRef/>
      </w:r>
      <w:r>
        <w:t xml:space="preserve"> </w:t>
      </w:r>
      <w:r w:rsidRPr="00917386">
        <w:rPr>
          <w:rFonts w:cstheme="minorHAnsi"/>
        </w:rPr>
        <w:t>If AFP is able to cover the cost of this position, or otherwise make a substantial contribution, then it is recommended as an AFP-designated position.  Otherwise this p</w:t>
      </w:r>
      <w:r>
        <w:rPr>
          <w:rFonts w:cstheme="minorHAnsi"/>
        </w:rPr>
        <w:t xml:space="preserve">osition will be </w:t>
      </w:r>
      <w:r w:rsidRPr="003F4188">
        <w:rPr>
          <w:rFonts w:cstheme="minorHAnsi"/>
        </w:rPr>
        <w:t xml:space="preserve">for the </w:t>
      </w:r>
      <w:r w:rsidRPr="003F4188">
        <w:t>managing contractor</w:t>
      </w:r>
      <w:r w:rsidRPr="003F4188">
        <w:rPr>
          <w:rFonts w:cstheme="minorHAnsi"/>
        </w:rPr>
        <w:t xml:space="preserve"> to engage and manage through a competitive selection process.  Either way, the position should be engaged through a joint recruitment process involving AFP, DFAT and </w:t>
      </w:r>
      <w:proofErr w:type="spellStart"/>
      <w:r w:rsidRPr="003F4188">
        <w:rPr>
          <w:rFonts w:cstheme="minorHAnsi"/>
        </w:rPr>
        <w:t>GoV.</w:t>
      </w:r>
      <w:proofErr w:type="spellEnd"/>
    </w:p>
  </w:footnote>
  <w:footnote w:id="49">
    <w:p w:rsidR="008E166E" w:rsidRPr="00540E4B" w:rsidRDefault="008E166E" w:rsidP="00E70031">
      <w:pPr>
        <w:pStyle w:val="FootnoteText"/>
        <w:jc w:val="both"/>
        <w:rPr>
          <w:lang w:val="en-AU"/>
        </w:rPr>
      </w:pPr>
      <w:r>
        <w:rPr>
          <w:rStyle w:val="FootnoteReference"/>
        </w:rPr>
        <w:footnoteRef/>
      </w:r>
      <w:r>
        <w:t xml:space="preserve"> See, </w:t>
      </w:r>
      <w:proofErr w:type="spellStart"/>
      <w:r>
        <w:t>eg</w:t>
      </w:r>
      <w:proofErr w:type="spellEnd"/>
      <w:r>
        <w:t xml:space="preserve">, </w:t>
      </w:r>
      <w:r>
        <w:rPr>
          <w:noProof/>
        </w:rPr>
        <w:t xml:space="preserve">Sally Engle Merry, 'Anthropology, law, and transnational processes' (1992)  </w:t>
      </w:r>
      <w:r w:rsidRPr="002973BF">
        <w:rPr>
          <w:i/>
          <w:noProof/>
        </w:rPr>
        <w:t>Annual Review of Anthropology</w:t>
      </w:r>
      <w:r>
        <w:rPr>
          <w:noProof/>
        </w:rPr>
        <w:t xml:space="preserve"> 357; Sally Engle Merry, 'Legal pluralism' (1988)  </w:t>
      </w:r>
      <w:r w:rsidRPr="002973BF">
        <w:rPr>
          <w:i/>
          <w:noProof/>
        </w:rPr>
        <w:t>Law and society review</w:t>
      </w:r>
      <w:r>
        <w:rPr>
          <w:noProof/>
        </w:rPr>
        <w:t xml:space="preserve"> 869</w:t>
      </w:r>
      <w:r>
        <w:t>.</w:t>
      </w:r>
    </w:p>
  </w:footnote>
  <w:footnote w:id="50">
    <w:p w:rsidR="008E166E" w:rsidRPr="00CE717F" w:rsidRDefault="008E166E" w:rsidP="00E70031">
      <w:pPr>
        <w:pStyle w:val="FootnoteText"/>
        <w:jc w:val="both"/>
        <w:rPr>
          <w:lang w:val="en-AU"/>
        </w:rPr>
      </w:pPr>
      <w:r w:rsidRPr="00CE717F">
        <w:rPr>
          <w:rStyle w:val="FootnoteReference"/>
        </w:rPr>
        <w:footnoteRef/>
      </w:r>
      <w:r w:rsidRPr="00CE717F">
        <w:t xml:space="preserve"> </w:t>
      </w:r>
      <w:proofErr w:type="gramStart"/>
      <w:r w:rsidRPr="00CE717F">
        <w:rPr>
          <w:lang w:val="en-AU"/>
        </w:rPr>
        <w:t>Justice, safety, dignity, respect and a good way for everyone.</w:t>
      </w:r>
      <w:proofErr w:type="gramEnd"/>
    </w:p>
  </w:footnote>
  <w:footnote w:id="51">
    <w:p w:rsidR="008E166E" w:rsidRPr="00540E4B" w:rsidRDefault="008E166E" w:rsidP="00E70031">
      <w:pPr>
        <w:pStyle w:val="FootnoteText"/>
        <w:jc w:val="both"/>
        <w:rPr>
          <w:lang w:val="en-AU"/>
        </w:rPr>
      </w:pPr>
      <w:r>
        <w:rPr>
          <w:rStyle w:val="FootnoteReference"/>
        </w:rPr>
        <w:footnoteRef/>
      </w:r>
      <w:r>
        <w:t xml:space="preserve"> </w:t>
      </w:r>
      <w:r>
        <w:rPr>
          <w:lang w:val="en-AU"/>
        </w:rPr>
        <w:t>Australian assistance will seek to support the high-level goal (and objective) of improved services (aligned with GoV priorities). However, SRBJS is not responsible for achieving the high-level goal: SRBJS will seek to contribute to its achievement over time.</w:t>
      </w:r>
    </w:p>
  </w:footnote>
  <w:footnote w:id="52">
    <w:p w:rsidR="008E166E" w:rsidRPr="0007699C" w:rsidRDefault="008E166E" w:rsidP="00E70031">
      <w:pPr>
        <w:spacing w:after="0" w:line="240" w:lineRule="auto"/>
        <w:jc w:val="both"/>
        <w:rPr>
          <w:sz w:val="18"/>
          <w:szCs w:val="18"/>
        </w:rPr>
      </w:pPr>
      <w:r w:rsidRPr="00CE717F">
        <w:rPr>
          <w:rStyle w:val="FootnoteReference"/>
          <w:sz w:val="20"/>
          <w:szCs w:val="20"/>
        </w:rPr>
        <w:footnoteRef/>
      </w:r>
      <w:r w:rsidRPr="00CE717F">
        <w:rPr>
          <w:sz w:val="20"/>
          <w:szCs w:val="20"/>
        </w:rPr>
        <w:t xml:space="preserve"> </w:t>
      </w:r>
      <w:proofErr w:type="gramStart"/>
      <w:r>
        <w:rPr>
          <w:noProof/>
          <w:sz w:val="20"/>
          <w:szCs w:val="20"/>
        </w:rPr>
        <w:t xml:space="preserve">MJCS, above n </w:t>
      </w:r>
      <w:r>
        <w:rPr>
          <w:sz w:val="20"/>
          <w:szCs w:val="20"/>
        </w:rPr>
        <w:t xml:space="preserve">5, </w:t>
      </w:r>
      <w:r w:rsidRPr="00CE717F">
        <w:rPr>
          <w:sz w:val="20"/>
          <w:szCs w:val="20"/>
        </w:rPr>
        <w:t>endorsed by the Council of Ministers, May 2013.</w:t>
      </w:r>
      <w:proofErr w:type="gramEnd"/>
      <w:r w:rsidRPr="00CE717F">
        <w:rPr>
          <w:sz w:val="20"/>
          <w:szCs w:val="20"/>
        </w:rPr>
        <w:t xml:space="preserve"> </w:t>
      </w:r>
    </w:p>
  </w:footnote>
  <w:footnote w:id="53">
    <w:p w:rsidR="008E166E" w:rsidRPr="00A678CD" w:rsidRDefault="008E166E" w:rsidP="00E70031">
      <w:pPr>
        <w:pStyle w:val="FootnoteText"/>
        <w:jc w:val="both"/>
        <w:rPr>
          <w:lang w:val="en-AU"/>
        </w:rPr>
      </w:pPr>
      <w:r>
        <w:rPr>
          <w:rStyle w:val="FootnoteReference"/>
        </w:rPr>
        <w:footnoteRef/>
      </w:r>
      <w:r>
        <w:t xml:space="preserve"> </w:t>
      </w:r>
      <w:proofErr w:type="gramStart"/>
      <w:r>
        <w:rPr>
          <w:noProof/>
        </w:rPr>
        <w:t xml:space="preserve">VPF, above n </w:t>
      </w:r>
      <w:r>
        <w:t>5.</w:t>
      </w:r>
      <w:proofErr w:type="gramEnd"/>
    </w:p>
  </w:footnote>
  <w:footnote w:id="54">
    <w:p w:rsidR="008E166E" w:rsidRPr="009809B5" w:rsidRDefault="008E166E" w:rsidP="00E70031">
      <w:pPr>
        <w:pStyle w:val="FootnoteText"/>
        <w:jc w:val="both"/>
        <w:rPr>
          <w:lang w:val="en-AU"/>
        </w:rPr>
      </w:pPr>
      <w:r w:rsidRPr="009809B5">
        <w:rPr>
          <w:rStyle w:val="FootnoteReference"/>
        </w:rPr>
        <w:footnoteRef/>
      </w:r>
      <w:r w:rsidRPr="009809B5">
        <w:t xml:space="preserve"> </w:t>
      </w:r>
      <w:r w:rsidRPr="009809B5">
        <w:rPr>
          <w:lang w:val="en-AU"/>
        </w:rPr>
        <w:t xml:space="preserve">Identified through capacity assessments, </w:t>
      </w:r>
      <w:r>
        <w:rPr>
          <w:lang w:val="en-AU"/>
        </w:rPr>
        <w:t>cross-sector</w:t>
      </w:r>
      <w:r w:rsidRPr="009809B5">
        <w:rPr>
          <w:lang w:val="en-AU"/>
        </w:rPr>
        <w:t xml:space="preserve">al planning, agency planning, implementation of grant related activities and broad consultations over the breadth of the purview of the </w:t>
      </w:r>
      <w:proofErr w:type="spellStart"/>
      <w:r w:rsidRPr="009809B5">
        <w:rPr>
          <w:i/>
          <w:lang w:val="en-AU"/>
        </w:rPr>
        <w:t>Stretem</w:t>
      </w:r>
      <w:proofErr w:type="spellEnd"/>
      <w:r w:rsidRPr="009809B5">
        <w:rPr>
          <w:i/>
          <w:lang w:val="en-AU"/>
        </w:rPr>
        <w:t xml:space="preserve"> Rod </w:t>
      </w:r>
      <w:proofErr w:type="spellStart"/>
      <w:r w:rsidRPr="009809B5">
        <w:rPr>
          <w:i/>
          <w:lang w:val="en-AU"/>
        </w:rPr>
        <w:t>Blong</w:t>
      </w:r>
      <w:proofErr w:type="spellEnd"/>
      <w:r w:rsidRPr="009809B5">
        <w:rPr>
          <w:i/>
          <w:lang w:val="en-AU"/>
        </w:rPr>
        <w:t xml:space="preserve"> </w:t>
      </w:r>
      <w:proofErr w:type="spellStart"/>
      <w:r w:rsidRPr="009809B5">
        <w:rPr>
          <w:i/>
          <w:lang w:val="en-AU"/>
        </w:rPr>
        <w:t>Jastis</w:t>
      </w:r>
      <w:proofErr w:type="spellEnd"/>
      <w:r w:rsidRPr="009809B5">
        <w:rPr>
          <w:lang w:val="en-AU"/>
        </w:rPr>
        <w:t xml:space="preserve"> Partnership stage 1.</w:t>
      </w:r>
    </w:p>
  </w:footnote>
  <w:footnote w:id="55">
    <w:p w:rsidR="008E166E" w:rsidRPr="00185A65" w:rsidRDefault="008E166E" w:rsidP="00E70031">
      <w:pPr>
        <w:pStyle w:val="FootnoteText"/>
        <w:jc w:val="both"/>
        <w:rPr>
          <w:lang w:val="en-AU"/>
        </w:rPr>
      </w:pPr>
      <w:r>
        <w:rPr>
          <w:rStyle w:val="FootnoteReference"/>
        </w:rPr>
        <w:footnoteRef/>
      </w:r>
      <w:r>
        <w:t xml:space="preserve"> </w:t>
      </w:r>
      <w:r>
        <w:rPr>
          <w:rFonts w:cstheme="minorHAnsi"/>
        </w:rPr>
        <w:t>This research built on t</w:t>
      </w:r>
      <w:r w:rsidRPr="00FD0D01">
        <w:rPr>
          <w:rFonts w:cstheme="minorHAnsi"/>
        </w:rPr>
        <w:t>wo specific case studies undertaken by SRBJ</w:t>
      </w:r>
      <w:r>
        <w:rPr>
          <w:rFonts w:cstheme="minorHAnsi"/>
        </w:rPr>
        <w:t xml:space="preserve"> (during Stage 1)</w:t>
      </w:r>
      <w:r w:rsidRPr="00FD0D01">
        <w:rPr>
          <w:rFonts w:cstheme="minorHAnsi"/>
        </w:rPr>
        <w:t xml:space="preserve"> to investigate pathways to action for women experiencing family violence in </w:t>
      </w:r>
      <w:proofErr w:type="spellStart"/>
      <w:r w:rsidRPr="00FD0D01">
        <w:rPr>
          <w:rFonts w:cstheme="minorHAnsi"/>
        </w:rPr>
        <w:t>Malekula</w:t>
      </w:r>
      <w:proofErr w:type="spellEnd"/>
      <w:r w:rsidRPr="00FD0D01">
        <w:rPr>
          <w:rFonts w:cstheme="minorHAnsi"/>
        </w:rPr>
        <w:t xml:space="preserve"> and access to justice for urban youth in conflict with the law</w:t>
      </w:r>
      <w:r>
        <w:rPr>
          <w:rFonts w:cstheme="minorHAnsi"/>
        </w:rPr>
        <w:t xml:space="preserve"> </w:t>
      </w:r>
      <w:r w:rsidRPr="00FD0D01">
        <w:rPr>
          <w:rFonts w:cstheme="minorHAnsi"/>
        </w:rPr>
        <w:t>and possible targeted interventions that the program could make in these thematic areas</w:t>
      </w:r>
      <w:r>
        <w:rPr>
          <w:rFonts w:cstheme="minorHAnsi"/>
        </w:rPr>
        <w:t>.</w:t>
      </w:r>
    </w:p>
  </w:footnote>
  <w:footnote w:id="56">
    <w:p w:rsidR="008E166E" w:rsidRPr="004F7DCC" w:rsidRDefault="008E166E" w:rsidP="00E70031">
      <w:pPr>
        <w:pStyle w:val="FootnoteText"/>
        <w:jc w:val="both"/>
        <w:rPr>
          <w:lang w:val="en-AU"/>
        </w:rPr>
      </w:pPr>
      <w:r>
        <w:rPr>
          <w:rStyle w:val="FootnoteReference"/>
        </w:rPr>
        <w:footnoteRef/>
      </w:r>
      <w:r>
        <w:t xml:space="preserve"> See, </w:t>
      </w:r>
      <w:proofErr w:type="spellStart"/>
      <w:r>
        <w:t>eg</w:t>
      </w:r>
      <w:proofErr w:type="spellEnd"/>
      <w:r>
        <w:t xml:space="preserve">, </w:t>
      </w:r>
      <w:r>
        <w:rPr>
          <w:noProof/>
        </w:rPr>
        <w:t xml:space="preserve">Livingston Armytage, </w:t>
      </w:r>
      <w:r w:rsidRPr="00587A52">
        <w:rPr>
          <w:i/>
          <w:noProof/>
        </w:rPr>
        <w:t>Reforming Justice: A Journey to Fairness in Asia</w:t>
      </w:r>
      <w:r>
        <w:rPr>
          <w:noProof/>
        </w:rPr>
        <w:t xml:space="preserve"> (Cambridge University Press, 2012); Cox, Duituturaga and Scheye, above n 39; Rumu Sarkar, </w:t>
      </w:r>
      <w:r w:rsidRPr="00587A52">
        <w:rPr>
          <w:i/>
          <w:noProof/>
        </w:rPr>
        <w:t>International Development Law: Rule of Law, Human Rights, &amp; Global Finance</w:t>
      </w:r>
      <w:r>
        <w:rPr>
          <w:noProof/>
        </w:rPr>
        <w:t xml:space="preserve"> (Oxford University Press, 2009)</w:t>
      </w:r>
      <w:r>
        <w:t>.</w:t>
      </w:r>
    </w:p>
  </w:footnote>
  <w:footnote w:id="57">
    <w:p w:rsidR="008E166E" w:rsidRPr="005A5540" w:rsidRDefault="008E166E">
      <w:pPr>
        <w:pStyle w:val="FootnoteText"/>
        <w:rPr>
          <w:lang w:val="en-AU"/>
        </w:rPr>
      </w:pPr>
      <w:r>
        <w:rPr>
          <w:rStyle w:val="FootnoteReference"/>
        </w:rPr>
        <w:footnoteRef/>
      </w:r>
      <w:r>
        <w:t xml:space="preserve"> </w:t>
      </w:r>
      <w:r>
        <w:rPr>
          <w:noProof/>
        </w:rPr>
        <w:t xml:space="preserve">PJSPV, above n </w:t>
      </w:r>
      <w:r>
        <w:t>38: the evaluation report provides additional recommendations for program support.</w:t>
      </w:r>
    </w:p>
  </w:footnote>
  <w:footnote w:id="58">
    <w:p w:rsidR="008E166E" w:rsidRPr="00270D8A" w:rsidRDefault="008E166E" w:rsidP="00E70031">
      <w:pPr>
        <w:pStyle w:val="ListParagraph"/>
        <w:spacing w:after="0" w:line="240" w:lineRule="auto"/>
        <w:ind w:left="0"/>
        <w:contextualSpacing w:val="0"/>
        <w:jc w:val="both"/>
        <w:rPr>
          <w:sz w:val="20"/>
          <w:szCs w:val="20"/>
          <w:lang w:val="en-NZ"/>
        </w:rPr>
      </w:pPr>
      <w:r>
        <w:rPr>
          <w:rStyle w:val="FootnoteReference"/>
        </w:rPr>
        <w:footnoteRef/>
      </w:r>
      <w:r>
        <w:t xml:space="preserve"> </w:t>
      </w:r>
      <w:r w:rsidRPr="00270D8A">
        <w:rPr>
          <w:sz w:val="20"/>
          <w:szCs w:val="20"/>
          <w:lang w:val="en-NZ"/>
        </w:rPr>
        <w:t>One aspect that has been i</w:t>
      </w:r>
      <w:r>
        <w:rPr>
          <w:sz w:val="20"/>
          <w:szCs w:val="20"/>
          <w:lang w:val="en-NZ"/>
        </w:rPr>
        <w:t xml:space="preserve">dentified as needing attention </w:t>
      </w:r>
      <w:r w:rsidRPr="00270D8A">
        <w:rPr>
          <w:sz w:val="20"/>
          <w:szCs w:val="20"/>
          <w:lang w:val="en-NZ"/>
        </w:rPr>
        <w:t>is</w:t>
      </w:r>
      <w:r>
        <w:rPr>
          <w:sz w:val="20"/>
          <w:szCs w:val="20"/>
          <w:lang w:val="en-NZ"/>
        </w:rPr>
        <w:t xml:space="preserve"> that of</w:t>
      </w:r>
      <w:r w:rsidRPr="00270D8A">
        <w:rPr>
          <w:sz w:val="20"/>
          <w:szCs w:val="20"/>
          <w:lang w:val="en-NZ"/>
        </w:rPr>
        <w:t xml:space="preserve"> the </w:t>
      </w:r>
      <w:r>
        <w:rPr>
          <w:sz w:val="20"/>
          <w:szCs w:val="20"/>
          <w:lang w:val="en-NZ"/>
        </w:rPr>
        <w:t>detention of persons convicted in C</w:t>
      </w:r>
      <w:r w:rsidRPr="00270D8A">
        <w:rPr>
          <w:sz w:val="20"/>
          <w:szCs w:val="20"/>
          <w:lang w:val="en-NZ"/>
        </w:rPr>
        <w:t>ircuit</w:t>
      </w:r>
      <w:r>
        <w:rPr>
          <w:sz w:val="20"/>
          <w:szCs w:val="20"/>
          <w:lang w:val="en-NZ"/>
        </w:rPr>
        <w:t xml:space="preserve"> Courts.  That is, once a person is convicted, where are they taken to and by whom?  The program should be aware of and alert to this issue in its support for Circuit Courts.</w:t>
      </w:r>
      <w:r w:rsidRPr="00270D8A">
        <w:rPr>
          <w:sz w:val="20"/>
          <w:szCs w:val="20"/>
          <w:lang w:val="en-NZ"/>
        </w:rPr>
        <w:t> </w:t>
      </w:r>
    </w:p>
  </w:footnote>
  <w:footnote w:id="59">
    <w:p w:rsidR="008E166E" w:rsidRPr="00DE698E" w:rsidRDefault="008E166E" w:rsidP="00E70031">
      <w:pPr>
        <w:pStyle w:val="FootnoteText"/>
        <w:jc w:val="both"/>
        <w:rPr>
          <w:lang w:val="en-AU"/>
        </w:rPr>
      </w:pPr>
      <w:r>
        <w:rPr>
          <w:rStyle w:val="FootnoteReference"/>
        </w:rPr>
        <w:footnoteRef/>
      </w:r>
      <w:r>
        <w:t xml:space="preserve"> </w:t>
      </w:r>
      <w:proofErr w:type="gramStart"/>
      <w:r>
        <w:rPr>
          <w:noProof/>
        </w:rPr>
        <w:t xml:space="preserve">Tyedmers, above n </w:t>
      </w:r>
      <w:r>
        <w:t>28.</w:t>
      </w:r>
      <w:proofErr w:type="gramEnd"/>
    </w:p>
  </w:footnote>
  <w:footnote w:id="60">
    <w:p w:rsidR="008E166E" w:rsidRPr="00AC6E73" w:rsidRDefault="008E166E" w:rsidP="00E70031">
      <w:pPr>
        <w:pStyle w:val="FootnoteText"/>
        <w:jc w:val="both"/>
        <w:rPr>
          <w:lang w:val="en-AU"/>
        </w:rPr>
      </w:pPr>
      <w:r w:rsidRPr="00AC6E73">
        <w:rPr>
          <w:rStyle w:val="FootnoteReference"/>
        </w:rPr>
        <w:footnoteRef/>
      </w:r>
      <w:r w:rsidRPr="00AC6E73">
        <w:t xml:space="preserve"> </w:t>
      </w:r>
      <w:proofErr w:type="gramStart"/>
      <w:r>
        <w:rPr>
          <w:noProof/>
        </w:rPr>
        <w:t>PJSPV, 'Justice and Community Services Sector Capacity Development Strategy 2014-2016' (2014)</w:t>
      </w:r>
      <w:r w:rsidRPr="00AC6E73">
        <w:t>.</w:t>
      </w:r>
      <w:proofErr w:type="gramEnd"/>
      <w:r w:rsidRPr="00AC6E73">
        <w:t xml:space="preserve"> </w:t>
      </w:r>
    </w:p>
  </w:footnote>
  <w:footnote w:id="61">
    <w:p w:rsidR="008E166E" w:rsidRPr="00AC6E73" w:rsidRDefault="008E166E" w:rsidP="00E70031">
      <w:pPr>
        <w:pStyle w:val="FootnoteText"/>
        <w:jc w:val="both"/>
      </w:pPr>
      <w:r w:rsidRPr="00AC6E73">
        <w:rPr>
          <w:rStyle w:val="FootnoteReference"/>
        </w:rPr>
        <w:footnoteRef/>
      </w:r>
      <w:r w:rsidRPr="00AC6E73">
        <w:t xml:space="preserve"> </w:t>
      </w:r>
      <w:proofErr w:type="gramStart"/>
      <w:r>
        <w:rPr>
          <w:noProof/>
        </w:rPr>
        <w:t xml:space="preserve">PJSPV, 'Capacity Development Evaluation' (2015); McGovern, above n </w:t>
      </w:r>
      <w:r>
        <w:t>3.</w:t>
      </w:r>
      <w:proofErr w:type="gramEnd"/>
    </w:p>
  </w:footnote>
  <w:footnote w:id="62">
    <w:p w:rsidR="008E166E" w:rsidRDefault="008E166E" w:rsidP="00E70031">
      <w:pPr>
        <w:pStyle w:val="FootnoteText"/>
        <w:jc w:val="both"/>
      </w:pPr>
      <w:r w:rsidRPr="00AC6E73">
        <w:rPr>
          <w:rStyle w:val="FootnoteReference"/>
        </w:rPr>
        <w:footnoteRef/>
      </w:r>
      <w:r w:rsidRPr="00AC6E73">
        <w:t xml:space="preserve"> </w:t>
      </w:r>
      <w:proofErr w:type="gramStart"/>
      <w:r>
        <w:rPr>
          <w:noProof/>
        </w:rPr>
        <w:t xml:space="preserve">Cox, Duituturaga and Scheye, above n </w:t>
      </w:r>
      <w:r>
        <w:t>39.</w:t>
      </w:r>
      <w:proofErr w:type="gramEnd"/>
    </w:p>
  </w:footnote>
  <w:footnote w:id="63">
    <w:p w:rsidR="008E166E" w:rsidRPr="00FA4B7D" w:rsidRDefault="008E166E" w:rsidP="00E70031">
      <w:pPr>
        <w:pStyle w:val="FootnoteText"/>
        <w:jc w:val="both"/>
      </w:pPr>
      <w:r w:rsidRPr="00FA4B7D">
        <w:rPr>
          <w:rStyle w:val="FootnoteReference"/>
        </w:rPr>
        <w:footnoteRef/>
      </w:r>
      <w:r w:rsidRPr="00FA4B7D">
        <w:rPr>
          <w:rFonts w:cs="Arial"/>
          <w:lang w:val="en"/>
        </w:rPr>
        <w:t xml:space="preserve"> The 70:20:10 Model for Learning and Development used by APF advisers in PJSPV holds that individuals obtain 70 per cent of their knowledge from job-related experiences, 20 percent from interactions with others and mentoring, and 10 percent from formal educational events.</w:t>
      </w:r>
    </w:p>
  </w:footnote>
  <w:footnote w:id="64">
    <w:p w:rsidR="008E166E" w:rsidRPr="00FE40FB" w:rsidRDefault="008E166E" w:rsidP="00E70031">
      <w:pPr>
        <w:pStyle w:val="FootnoteText"/>
        <w:jc w:val="both"/>
        <w:rPr>
          <w:lang w:val="en-AU"/>
        </w:rPr>
      </w:pPr>
      <w:r w:rsidRPr="00FA4B7D">
        <w:rPr>
          <w:rStyle w:val="FootnoteReference"/>
        </w:rPr>
        <w:footnoteRef/>
      </w:r>
      <w:r w:rsidRPr="00FA4B7D">
        <w:t xml:space="preserve"> </w:t>
      </w:r>
      <w:proofErr w:type="gramStart"/>
      <w:r>
        <w:rPr>
          <w:noProof/>
        </w:rPr>
        <w:t xml:space="preserve">PJSPV, above n </w:t>
      </w:r>
      <w:r>
        <w:t>61.</w:t>
      </w:r>
      <w:proofErr w:type="gramEnd"/>
    </w:p>
  </w:footnote>
  <w:footnote w:id="65">
    <w:p w:rsidR="008E166E" w:rsidRPr="007E4B59" w:rsidRDefault="008E166E" w:rsidP="00E70031">
      <w:pPr>
        <w:pStyle w:val="FootnoteText"/>
        <w:jc w:val="both"/>
      </w:pPr>
      <w:r w:rsidRPr="007E4B59">
        <w:rPr>
          <w:rStyle w:val="FootnoteReference"/>
        </w:rPr>
        <w:footnoteRef/>
      </w:r>
      <w:r w:rsidRPr="007E4B59">
        <w:t xml:space="preserve"> The</w:t>
      </w:r>
      <w:r w:rsidRPr="007E4B59">
        <w:rPr>
          <w:rStyle w:val="apple-converted-space"/>
        </w:rPr>
        <w:t> </w:t>
      </w:r>
      <w:r w:rsidRPr="007E4B59">
        <w:rPr>
          <w:rStyle w:val="Emphasis"/>
          <w:bdr w:val="none" w:sz="0" w:space="0" w:color="auto" w:frame="1"/>
        </w:rPr>
        <w:t>DAC Principles for the Evaluation of Development Assistance</w:t>
      </w:r>
      <w:r w:rsidRPr="007E4B59">
        <w:t>, OECD (1991), Glossary of Terms Used in Evaluation, in 'Methods and Procedures in Aid Evaluation', OECD (1986), and the</w:t>
      </w:r>
      <w:r w:rsidRPr="007E4B59">
        <w:rPr>
          <w:rStyle w:val="apple-converted-space"/>
        </w:rPr>
        <w:t> </w:t>
      </w:r>
      <w:r w:rsidRPr="007E4B59">
        <w:rPr>
          <w:rStyle w:val="Emphasis"/>
          <w:bdr w:val="none" w:sz="0" w:space="0" w:color="auto" w:frame="1"/>
        </w:rPr>
        <w:t>Glossary of Evaluation and Results Based Management (RBM) Terms</w:t>
      </w:r>
      <w:r w:rsidRPr="007E4B59">
        <w:t>, OECD (2000).  There are varied understandings of the term, for example, some definitions focus on the endurance of the project or post-project activities alone, rather than the endurance of the results.</w:t>
      </w:r>
    </w:p>
  </w:footnote>
  <w:footnote w:id="66">
    <w:p w:rsidR="008E166E" w:rsidRPr="00725D96" w:rsidRDefault="008E166E" w:rsidP="00E70031">
      <w:pPr>
        <w:pStyle w:val="FootnoteText"/>
        <w:jc w:val="both"/>
        <w:rPr>
          <w:lang w:val="en-AU"/>
        </w:rPr>
      </w:pPr>
      <w:r w:rsidRPr="007E4B59">
        <w:rPr>
          <w:rStyle w:val="FootnoteReference"/>
        </w:rPr>
        <w:footnoteRef/>
      </w:r>
      <w:r w:rsidRPr="007E4B59">
        <w:t xml:space="preserve"> </w:t>
      </w:r>
      <w:r w:rsidRPr="007E4B59">
        <w:rPr>
          <w:lang w:val="en-AU"/>
        </w:rPr>
        <w:t>PJSPV is providing support through the Legal Salary Review, to be finalised in 2016.</w:t>
      </w:r>
    </w:p>
  </w:footnote>
  <w:footnote w:id="67">
    <w:p w:rsidR="008E166E" w:rsidRPr="006E28BD" w:rsidRDefault="008E166E" w:rsidP="00E70031">
      <w:pPr>
        <w:pStyle w:val="FootnoteText"/>
        <w:jc w:val="both"/>
        <w:rPr>
          <w:lang w:val="en-AU"/>
        </w:rPr>
      </w:pPr>
      <w:r w:rsidRPr="006E28BD">
        <w:rPr>
          <w:rStyle w:val="FootnoteReference"/>
        </w:rPr>
        <w:footnoteRef/>
      </w:r>
      <w:r w:rsidRPr="006E28BD">
        <w:t xml:space="preserve"> </w:t>
      </w:r>
      <w:r>
        <w:rPr>
          <w:noProof/>
        </w:rPr>
        <w:t xml:space="preserve">Elinor Ostrom, </w:t>
      </w:r>
      <w:r w:rsidRPr="002973BF">
        <w:rPr>
          <w:i/>
          <w:noProof/>
        </w:rPr>
        <w:t xml:space="preserve">Aid, incentives, and sustainability: an institutional analysis of development cooperation. </w:t>
      </w:r>
      <w:proofErr w:type="gramStart"/>
      <w:r w:rsidRPr="002973BF">
        <w:rPr>
          <w:i/>
          <w:noProof/>
        </w:rPr>
        <w:t>Main report</w:t>
      </w:r>
      <w:r>
        <w:rPr>
          <w:noProof/>
        </w:rPr>
        <w:t xml:space="preserve"> (Sida, 2002)</w:t>
      </w:r>
      <w:r w:rsidRPr="006E28BD">
        <w:t>.</w:t>
      </w:r>
      <w:proofErr w:type="gramEnd"/>
    </w:p>
  </w:footnote>
  <w:footnote w:id="68">
    <w:p w:rsidR="008E166E" w:rsidRPr="005B10D5" w:rsidRDefault="008E166E" w:rsidP="00E70031">
      <w:pPr>
        <w:pStyle w:val="FootnoteText"/>
        <w:jc w:val="both"/>
        <w:rPr>
          <w:lang w:val="en-AU"/>
        </w:rPr>
      </w:pPr>
      <w:r w:rsidRPr="005B10D5">
        <w:rPr>
          <w:rStyle w:val="FootnoteReference"/>
        </w:rPr>
        <w:footnoteRef/>
      </w:r>
      <w:r w:rsidRPr="005B10D5">
        <w:t xml:space="preserve"> </w:t>
      </w:r>
      <w:proofErr w:type="gramStart"/>
      <w:r>
        <w:rPr>
          <w:noProof/>
        </w:rPr>
        <w:t xml:space="preserve">DFAT, above n </w:t>
      </w:r>
      <w:r>
        <w:t>12.</w:t>
      </w:r>
      <w:proofErr w:type="gramEnd"/>
    </w:p>
  </w:footnote>
  <w:footnote w:id="69">
    <w:p w:rsidR="008E166E" w:rsidRPr="005B10D5" w:rsidRDefault="008E166E" w:rsidP="00E70031">
      <w:pPr>
        <w:pStyle w:val="FootnoteText"/>
        <w:jc w:val="both"/>
        <w:rPr>
          <w:lang w:val="en-AU"/>
        </w:rPr>
      </w:pPr>
      <w:r w:rsidRPr="005B10D5">
        <w:rPr>
          <w:rStyle w:val="FootnoteReference"/>
        </w:rPr>
        <w:footnoteRef/>
      </w:r>
      <w:r w:rsidRPr="005B10D5">
        <w:t xml:space="preserve"> </w:t>
      </w:r>
      <w:proofErr w:type="gramStart"/>
      <w:r>
        <w:rPr>
          <w:noProof/>
        </w:rPr>
        <w:t>DWA, 'National Gender Equality Policy 2015-2019' (Department of Women's Affairs, 2015)</w:t>
      </w:r>
      <w:r w:rsidRPr="005B10D5">
        <w:t>.</w:t>
      </w:r>
      <w:proofErr w:type="gramEnd"/>
    </w:p>
  </w:footnote>
  <w:footnote w:id="70">
    <w:p w:rsidR="008E166E" w:rsidRPr="005B10D5" w:rsidRDefault="008E166E" w:rsidP="00E70031">
      <w:pPr>
        <w:pStyle w:val="FootnoteText"/>
        <w:jc w:val="both"/>
      </w:pPr>
      <w:r w:rsidRPr="005B10D5">
        <w:rPr>
          <w:rStyle w:val="FootnoteReference"/>
        </w:rPr>
        <w:footnoteRef/>
      </w:r>
      <w:r w:rsidRPr="005B10D5">
        <w:t xml:space="preserve"> </w:t>
      </w:r>
      <w:proofErr w:type="gramStart"/>
      <w:r>
        <w:rPr>
          <w:noProof/>
        </w:rPr>
        <w:t>DFAT, above n ; Ministry of Justice and Social Welfare and National Disability Committee, 'National Disability Policy and Plan of Action 2008-2015' (2008)</w:t>
      </w:r>
      <w:r w:rsidRPr="005B10D5">
        <w:t>.</w:t>
      </w:r>
      <w:proofErr w:type="gramEnd"/>
      <w:r w:rsidRPr="005B10D5">
        <w:t xml:space="preserve">  Disability Desk, MJCS is currently developing a new policy on the promotion and protection on the rights of people living with disabilities.  Vanuatu ratified the </w:t>
      </w:r>
      <w:r w:rsidRPr="005B10D5">
        <w:rPr>
          <w:shd w:val="clear" w:color="auto" w:fill="FFFFFF"/>
        </w:rPr>
        <w:t>UN Convention on the Rights of Persons with Disabilities (UNCRPD) in 2008.</w:t>
      </w:r>
    </w:p>
  </w:footnote>
  <w:footnote w:id="71">
    <w:p w:rsidR="008E166E" w:rsidRPr="00B01421" w:rsidRDefault="008E166E" w:rsidP="00E70031">
      <w:pPr>
        <w:pStyle w:val="FootnoteText"/>
        <w:jc w:val="both"/>
        <w:rPr>
          <w:lang w:val="en-AU"/>
        </w:rPr>
      </w:pPr>
      <w:r>
        <w:rPr>
          <w:rStyle w:val="FootnoteReference"/>
        </w:rPr>
        <w:footnoteRef/>
      </w:r>
      <w:r>
        <w:t xml:space="preserve"> See especially articles 3 and 40.</w:t>
      </w:r>
    </w:p>
  </w:footnote>
  <w:footnote w:id="72">
    <w:p w:rsidR="008E166E" w:rsidRPr="00B01421" w:rsidRDefault="008E166E" w:rsidP="00E70031">
      <w:pPr>
        <w:pStyle w:val="FootnoteText"/>
        <w:jc w:val="both"/>
        <w:rPr>
          <w:lang w:val="en-AU"/>
        </w:rPr>
      </w:pPr>
      <w:r>
        <w:rPr>
          <w:rStyle w:val="FootnoteReference"/>
        </w:rPr>
        <w:footnoteRef/>
      </w:r>
      <w:r>
        <w:t xml:space="preserve"> </w:t>
      </w:r>
      <w:r>
        <w:rPr>
          <w:noProof/>
        </w:rPr>
        <w:t>DFAT, 'Child Protection Policy for the Australian Government’s aid program' (Department of Foreign Affairs and Trade</w:t>
      </w:r>
      <w:proofErr w:type="gramStart"/>
      <w:r>
        <w:rPr>
          <w:noProof/>
        </w:rPr>
        <w:t xml:space="preserve">, </w:t>
      </w:r>
      <w:r>
        <w:t>)</w:t>
      </w:r>
      <w:proofErr w:type="gramEnd"/>
      <w:r>
        <w:t>.</w:t>
      </w:r>
    </w:p>
  </w:footnote>
  <w:footnote w:id="73">
    <w:p w:rsidR="008E166E" w:rsidRPr="00211E9D" w:rsidRDefault="008E166E" w:rsidP="00E70031">
      <w:pPr>
        <w:pStyle w:val="FootnoteText"/>
        <w:jc w:val="both"/>
        <w:rPr>
          <w:lang w:val="en-AU"/>
        </w:rPr>
      </w:pPr>
      <w:r>
        <w:rPr>
          <w:rStyle w:val="FootnoteReference"/>
        </w:rPr>
        <w:footnoteRef/>
      </w:r>
      <w:r>
        <w:t xml:space="preserve"> </w:t>
      </w:r>
      <w:proofErr w:type="gramStart"/>
      <w:r>
        <w:rPr>
          <w:noProof/>
        </w:rPr>
        <w:t xml:space="preserve">DFAT, above n </w:t>
      </w:r>
      <w:r>
        <w:t>13.</w:t>
      </w:r>
      <w:proofErr w:type="gramEnd"/>
    </w:p>
  </w:footnote>
  <w:footnote w:id="74">
    <w:p w:rsidR="008E166E" w:rsidRPr="00B40930" w:rsidRDefault="008E166E">
      <w:pPr>
        <w:pStyle w:val="FootnoteText"/>
        <w:rPr>
          <w:lang w:val="en-AU"/>
        </w:rPr>
      </w:pPr>
      <w:r>
        <w:rPr>
          <w:rStyle w:val="FootnoteReference"/>
        </w:rPr>
        <w:footnoteRef/>
      </w:r>
      <w:r>
        <w:t xml:space="preserve"> </w:t>
      </w:r>
      <w:r>
        <w:rPr>
          <w:lang w:val="en-AU"/>
        </w:rPr>
        <w:t>This has been the approach with Australian assistance to the VPF and in tenders for information systems.</w:t>
      </w:r>
    </w:p>
  </w:footnote>
  <w:footnote w:id="75">
    <w:p w:rsidR="008E166E" w:rsidRPr="00A06C03" w:rsidRDefault="008E166E" w:rsidP="00E70031">
      <w:pPr>
        <w:pStyle w:val="FootnoteText"/>
        <w:jc w:val="both"/>
        <w:rPr>
          <w:lang w:val="en-AU"/>
        </w:rPr>
      </w:pPr>
      <w:r>
        <w:rPr>
          <w:rStyle w:val="FootnoteReference"/>
        </w:rPr>
        <w:footnoteRef/>
      </w:r>
      <w:r>
        <w:t xml:space="preserve"> </w:t>
      </w:r>
      <w:proofErr w:type="gramStart"/>
      <w:r>
        <w:rPr>
          <w:noProof/>
        </w:rPr>
        <w:t>AusAID, 'Assessment of the Law and Justice Sector and Vanuatu Police Force Public Financial Management Systems' (Australian Agency for International Development, 2013)</w:t>
      </w:r>
      <w:r>
        <w:t>.</w:t>
      </w:r>
      <w:proofErr w:type="gramEnd"/>
    </w:p>
  </w:footnote>
  <w:footnote w:id="76">
    <w:p w:rsidR="008E166E" w:rsidRPr="00125951" w:rsidRDefault="008E166E">
      <w:pPr>
        <w:pStyle w:val="FootnoteText"/>
        <w:rPr>
          <w:lang w:val="en-AU"/>
        </w:rPr>
      </w:pPr>
      <w:r>
        <w:rPr>
          <w:rStyle w:val="FootnoteReference"/>
        </w:rPr>
        <w:footnoteRef/>
      </w:r>
      <w:r>
        <w:t xml:space="preserve"> </w:t>
      </w:r>
      <w:proofErr w:type="gramStart"/>
      <w:r>
        <w:rPr>
          <w:noProof/>
        </w:rPr>
        <w:t xml:space="preserve">Lister, Rosenthal and Sumner, above n </w:t>
      </w:r>
      <w:r>
        <w:t>22.</w:t>
      </w:r>
      <w:proofErr w:type="gramEnd"/>
    </w:p>
  </w:footnote>
  <w:footnote w:id="77">
    <w:p w:rsidR="008E166E" w:rsidRPr="008909DD" w:rsidRDefault="008E166E">
      <w:pPr>
        <w:pStyle w:val="FootnoteText"/>
        <w:rPr>
          <w:lang w:val="en-AU"/>
        </w:rPr>
      </w:pPr>
      <w:r>
        <w:rPr>
          <w:rStyle w:val="FootnoteReference"/>
        </w:rPr>
        <w:footnoteRef/>
      </w:r>
      <w:r>
        <w:t xml:space="preserve"> </w:t>
      </w:r>
      <w:r>
        <w:rPr>
          <w:lang w:val="en-AU"/>
        </w:rPr>
        <w:t>The job titles for these three roles are suggestions only and should be discussed and confirmed so that the job titles accurately reflect the functions of each position.</w:t>
      </w:r>
    </w:p>
  </w:footnote>
  <w:footnote w:id="78">
    <w:p w:rsidR="008E166E" w:rsidRPr="00CD5238" w:rsidRDefault="008E166E" w:rsidP="00E70031">
      <w:pPr>
        <w:pStyle w:val="BuFootnote"/>
      </w:pPr>
      <w:r w:rsidRPr="00872085">
        <w:rPr>
          <w:rStyle w:val="FootnoteReference"/>
        </w:rPr>
        <w:footnoteRef/>
      </w:r>
      <w:r w:rsidRPr="00872085">
        <w:t xml:space="preserve"> The HOAG </w:t>
      </w:r>
      <w:r>
        <w:t xml:space="preserve">is comprised of GoV </w:t>
      </w:r>
      <w:r w:rsidRPr="00872085">
        <w:t xml:space="preserve">representatives from the MJCS, the </w:t>
      </w:r>
      <w:proofErr w:type="spellStart"/>
      <w:r w:rsidRPr="00872085">
        <w:t>Malvatumauri</w:t>
      </w:r>
      <w:proofErr w:type="spellEnd"/>
      <w:r w:rsidRPr="00872085">
        <w:t>, National Council of Chiefs, the Judiciary, the PPO, the PSO, the SPD, the SLO, the VPF, the Ombudsman, the Auditor–General’s Office</w:t>
      </w:r>
      <w:r>
        <w:t xml:space="preserve">, the DWA, the DCS and the VLC.  On occasion, representatives of civil society </w:t>
      </w:r>
      <w:proofErr w:type="spellStart"/>
      <w:r>
        <w:t>organisations</w:t>
      </w:r>
      <w:proofErr w:type="spellEnd"/>
      <w:r>
        <w:t xml:space="preserve"> are invited to attend.</w:t>
      </w:r>
    </w:p>
  </w:footnote>
  <w:footnote w:id="79">
    <w:p w:rsidR="008E166E" w:rsidRPr="00A4683D" w:rsidRDefault="008E166E" w:rsidP="00E70031">
      <w:pPr>
        <w:pStyle w:val="FootnoteText"/>
        <w:jc w:val="both"/>
        <w:rPr>
          <w:lang w:val="en-AU"/>
        </w:rPr>
      </w:pPr>
      <w:r>
        <w:rPr>
          <w:rStyle w:val="FootnoteReference"/>
        </w:rPr>
        <w:footnoteRef/>
      </w:r>
      <w:r>
        <w:t xml:space="preserve"> </w:t>
      </w:r>
      <w:r>
        <w:rPr>
          <w:lang w:val="en-AU"/>
        </w:rPr>
        <w:t>Examples of ways in which program systems and processes will guard against fraud, nepotism and corruption include: using transparent processes in the selection of local service providers or entering into any other contractual arrangements; procedures to minimise perceived or actual undue influence and corruption where activities are conducted in the community of any program personnel; clearly articulated financial management and operating procedures that are followed by management and operational staff and continually monitored for accuracy and completeness (with a ‘zero tolerance’ position on fraud).  This includes financial management processes that enable all funds to be tracked, justified, reported on and audited (where required) to confirm approvals for expenditure and use of value-for-money criteria; and encourage use of merit-based selection processes for recruitment, promotion and selection for training programs with all partners.</w:t>
      </w:r>
    </w:p>
  </w:footnote>
  <w:footnote w:id="80">
    <w:p w:rsidR="008E166E" w:rsidRPr="00A63F7B" w:rsidRDefault="008E166E" w:rsidP="00E70031">
      <w:pPr>
        <w:pStyle w:val="FootnoteText"/>
        <w:jc w:val="both"/>
        <w:rPr>
          <w:lang w:val="en-AU"/>
        </w:rPr>
      </w:pPr>
      <w:r>
        <w:rPr>
          <w:rStyle w:val="FootnoteReference"/>
        </w:rPr>
        <w:footnoteRef/>
      </w:r>
      <w:r>
        <w:t xml:space="preserve"> </w:t>
      </w:r>
      <w:r>
        <w:rPr>
          <w:lang w:val="en-AU"/>
        </w:rPr>
        <w:t>This review will be covered under separate DFAT funding to the funding allocated to the program.  It may be broader than governance and management arrangements and also consider program effectiveness/progress.</w:t>
      </w:r>
    </w:p>
  </w:footnote>
  <w:footnote w:id="81">
    <w:p w:rsidR="008E166E" w:rsidRPr="005427D0" w:rsidRDefault="008E166E" w:rsidP="00E70031">
      <w:pPr>
        <w:pStyle w:val="FootnoteText"/>
        <w:rPr>
          <w:lang w:val="en-AU"/>
        </w:rPr>
      </w:pPr>
      <w:r>
        <w:rPr>
          <w:rStyle w:val="FootnoteReference"/>
        </w:rPr>
        <w:footnoteRef/>
      </w:r>
      <w:r>
        <w:t xml:space="preserve"> </w:t>
      </w:r>
      <w:proofErr w:type="gramStart"/>
      <w:r>
        <w:rPr>
          <w:noProof/>
        </w:rPr>
        <w:t xml:space="preserve">AusAID, above n </w:t>
      </w:r>
      <w:r>
        <w:t>75.</w:t>
      </w:r>
      <w:proofErr w:type="gramEnd"/>
    </w:p>
  </w:footnote>
  <w:footnote w:id="82">
    <w:p w:rsidR="008E166E" w:rsidRPr="00CD294C" w:rsidRDefault="008E166E" w:rsidP="00E70031">
      <w:pPr>
        <w:pStyle w:val="FootnoteText"/>
        <w:jc w:val="both"/>
        <w:rPr>
          <w:lang w:val="en-AU"/>
        </w:rPr>
      </w:pPr>
      <w:r>
        <w:rPr>
          <w:rStyle w:val="FootnoteReference"/>
        </w:rPr>
        <w:footnoteRef/>
      </w:r>
      <w:r>
        <w:t xml:space="preserve"> </w:t>
      </w:r>
      <w:r>
        <w:rPr>
          <w:lang w:val="en-AU"/>
        </w:rPr>
        <w:t xml:space="preserve">This change is in line with the findings of the PJSPV evaluation of capacity development support: </w:t>
      </w:r>
      <w:r>
        <w:rPr>
          <w:noProof/>
          <w:lang w:val="en-AU"/>
        </w:rPr>
        <w:t xml:space="preserve">PJSPV, above n </w:t>
      </w:r>
      <w:r>
        <w:rPr>
          <w:lang w:val="en-AU"/>
        </w:rPr>
        <w:t>61.  It also reflects progress made in this area during PJSPV.</w:t>
      </w:r>
    </w:p>
  </w:footnote>
  <w:footnote w:id="83">
    <w:p w:rsidR="008E166E" w:rsidRPr="00925BA6" w:rsidRDefault="008E166E" w:rsidP="00E70031">
      <w:pPr>
        <w:pStyle w:val="FootnoteText"/>
        <w:jc w:val="both"/>
        <w:rPr>
          <w:lang w:val="en-AU"/>
        </w:rPr>
      </w:pPr>
      <w:r>
        <w:rPr>
          <w:rStyle w:val="FootnoteReference"/>
        </w:rPr>
        <w:footnoteRef/>
      </w:r>
      <w:r>
        <w:t xml:space="preserve"> This position should work closely and collaboratively with the PSO and OPP Advisers who also have some responsibility for legal skills development for lawyers (both in the respective agencies and across the sector).</w:t>
      </w:r>
    </w:p>
  </w:footnote>
  <w:footnote w:id="84">
    <w:p w:rsidR="008E166E" w:rsidRPr="00C4220F" w:rsidRDefault="008E166E" w:rsidP="00E70031">
      <w:pPr>
        <w:pStyle w:val="FootnoteText"/>
        <w:jc w:val="both"/>
        <w:rPr>
          <w:lang w:val="en-AU"/>
        </w:rPr>
      </w:pPr>
      <w:r w:rsidRPr="00C4220F">
        <w:rPr>
          <w:rStyle w:val="FootnoteReference"/>
        </w:rPr>
        <w:footnoteRef/>
      </w:r>
      <w:r w:rsidRPr="00C4220F">
        <w:t xml:space="preserve"> </w:t>
      </w:r>
      <w:proofErr w:type="gramStart"/>
      <w:r>
        <w:rPr>
          <w:lang w:val="en-AU"/>
        </w:rPr>
        <w:t>PJSPV</w:t>
      </w:r>
      <w:r w:rsidRPr="00C4220F">
        <w:rPr>
          <w:lang w:val="en-AU"/>
        </w:rPr>
        <w:t xml:space="preserve"> Monitoring &amp; Evaluation Plan (Novembe</w:t>
      </w:r>
      <w:r>
        <w:rPr>
          <w:lang w:val="en-AU"/>
        </w:rPr>
        <w:t>r 2014), updated October 2015.</w:t>
      </w:r>
      <w:proofErr w:type="gramEnd"/>
      <w:r>
        <w:rPr>
          <w:lang w:val="en-AU"/>
        </w:rPr>
        <w:t xml:space="preserve">  </w:t>
      </w:r>
      <w:r w:rsidRPr="00C4220F">
        <w:rPr>
          <w:lang w:val="en-AU"/>
        </w:rPr>
        <w:t xml:space="preserve">The term M&amp;E Plan </w:t>
      </w:r>
      <w:r>
        <w:rPr>
          <w:lang w:val="en-AU"/>
        </w:rPr>
        <w:t>r</w:t>
      </w:r>
      <w:r w:rsidRPr="00C4220F">
        <w:rPr>
          <w:lang w:val="en-AU"/>
        </w:rPr>
        <w:t>epresent</w:t>
      </w:r>
      <w:r>
        <w:rPr>
          <w:lang w:val="en-AU"/>
        </w:rPr>
        <w:t>s the overall approach to M&amp;E. T</w:t>
      </w:r>
      <w:r w:rsidRPr="00C4220F">
        <w:rPr>
          <w:lang w:val="en-AU"/>
        </w:rPr>
        <w:t xml:space="preserve">he term </w:t>
      </w:r>
      <w:r>
        <w:rPr>
          <w:lang w:val="en-AU"/>
        </w:rPr>
        <w:t>M&amp;E</w:t>
      </w:r>
      <w:r w:rsidRPr="00C4220F">
        <w:rPr>
          <w:lang w:val="en-AU"/>
        </w:rPr>
        <w:t xml:space="preserve"> Framework represents the frameworks of indicators.</w:t>
      </w:r>
    </w:p>
  </w:footnote>
  <w:footnote w:id="85">
    <w:p w:rsidR="008E166E" w:rsidRPr="00B724C2" w:rsidRDefault="008E166E" w:rsidP="00E70031">
      <w:pPr>
        <w:pStyle w:val="FootnoteText"/>
        <w:jc w:val="both"/>
      </w:pPr>
      <w:r w:rsidRPr="00C4220F">
        <w:rPr>
          <w:rStyle w:val="FootnoteReference"/>
        </w:rPr>
        <w:footnoteRef/>
      </w:r>
      <w:r w:rsidRPr="00C4220F">
        <w:t xml:space="preserve"> </w:t>
      </w:r>
      <w:proofErr w:type="gramStart"/>
      <w:r w:rsidRPr="00C4220F">
        <w:t xml:space="preserve">DFAT Monitoring and Evaluation Standards, 2014, </w:t>
      </w:r>
      <w:r w:rsidRPr="00C4220F">
        <w:rPr>
          <w:spacing w:val="-1"/>
        </w:rPr>
        <w:t xml:space="preserve">in particular Standard 2 on Initiative </w:t>
      </w:r>
      <w:r>
        <w:rPr>
          <w:spacing w:val="-1"/>
        </w:rPr>
        <w:t>M&amp;E Systems.</w:t>
      </w:r>
      <w:proofErr w:type="gramEnd"/>
    </w:p>
  </w:footnote>
  <w:footnote w:id="86">
    <w:p w:rsidR="008E166E" w:rsidRPr="00086F00" w:rsidRDefault="008E166E" w:rsidP="00E70031">
      <w:pPr>
        <w:pStyle w:val="FootnoteText"/>
        <w:jc w:val="both"/>
        <w:rPr>
          <w:lang w:val="en-AU"/>
        </w:rPr>
      </w:pPr>
      <w:r>
        <w:rPr>
          <w:rStyle w:val="FootnoteReference"/>
        </w:rPr>
        <w:footnoteRef/>
      </w:r>
      <w:r>
        <w:t xml:space="preserve"> </w:t>
      </w:r>
      <w:r>
        <w:rPr>
          <w:lang w:val="en-AU"/>
        </w:rPr>
        <w:t>The theory of change for the program was developed and refined through the design processes for SRBJ and PJSPV.  Generally it remains relevant for SRBJS but could be reviewed when the M&amp;E Plan for SRBJS is developed.</w:t>
      </w:r>
    </w:p>
  </w:footnote>
  <w:footnote w:id="87">
    <w:p w:rsidR="008E166E" w:rsidRPr="00BC3AB6" w:rsidRDefault="008E166E" w:rsidP="00E70031">
      <w:pPr>
        <w:spacing w:after="0" w:line="240" w:lineRule="auto"/>
        <w:jc w:val="both"/>
        <w:rPr>
          <w:sz w:val="20"/>
          <w:szCs w:val="20"/>
        </w:rPr>
      </w:pPr>
      <w:r w:rsidRPr="00121B78">
        <w:rPr>
          <w:rStyle w:val="FootnoteReference"/>
          <w:sz w:val="20"/>
          <w:szCs w:val="20"/>
        </w:rPr>
        <w:footnoteRef/>
      </w:r>
      <w:r w:rsidRPr="00121B78">
        <w:rPr>
          <w:sz w:val="20"/>
          <w:szCs w:val="20"/>
        </w:rPr>
        <w:t xml:space="preserve"> </w:t>
      </w:r>
      <w:r w:rsidRPr="00BC3AB6">
        <w:rPr>
          <w:sz w:val="20"/>
          <w:szCs w:val="20"/>
        </w:rPr>
        <w:t xml:space="preserve">The survey is most relevant for tracking intermediate outcome 5: </w:t>
      </w:r>
      <w:r w:rsidRPr="00BC3AB6">
        <w:rPr>
          <w:i/>
          <w:sz w:val="20"/>
          <w:szCs w:val="20"/>
        </w:rPr>
        <w:t>Sector agencies are working together more effectively to achieve and sustain improvements in service delivery</w:t>
      </w:r>
      <w:r w:rsidRPr="00BC3AB6">
        <w:rPr>
          <w:sz w:val="20"/>
          <w:szCs w:val="20"/>
        </w:rPr>
        <w:t>.  But it does also have broader application to other intermediate outcomes that reflect JCSSS priorities, for example, reduction in delay in progress of cases, juvenile justice, and customary disputes.</w:t>
      </w:r>
    </w:p>
  </w:footnote>
  <w:footnote w:id="88">
    <w:p w:rsidR="008E166E" w:rsidRPr="00F0698A" w:rsidRDefault="008E166E" w:rsidP="00E70031">
      <w:pPr>
        <w:pStyle w:val="FootnoteText"/>
        <w:jc w:val="both"/>
        <w:rPr>
          <w:lang w:val="en-AU"/>
        </w:rPr>
      </w:pPr>
      <w:r w:rsidRPr="00BC3AB6">
        <w:rPr>
          <w:rStyle w:val="FootnoteReference"/>
        </w:rPr>
        <w:footnoteRef/>
      </w:r>
      <w:r w:rsidRPr="00BC3AB6">
        <w:t xml:space="preserve"> </w:t>
      </w:r>
      <w:proofErr w:type="gramStart"/>
      <w:r>
        <w:rPr>
          <w:noProof/>
        </w:rPr>
        <w:t xml:space="preserve">Lister, Rosenthal and Sumner, above n </w:t>
      </w:r>
      <w:r>
        <w:t>22.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28B"/>
    <w:multiLevelType w:val="hybridMultilevel"/>
    <w:tmpl w:val="C1CA0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877102"/>
    <w:multiLevelType w:val="hybridMultilevel"/>
    <w:tmpl w:val="52A26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7C7F77"/>
    <w:multiLevelType w:val="hybridMultilevel"/>
    <w:tmpl w:val="C366C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6CA2EA7"/>
    <w:multiLevelType w:val="hybridMultilevel"/>
    <w:tmpl w:val="EE2CA922"/>
    <w:lvl w:ilvl="0" w:tplc="F4748920">
      <w:start w:val="1"/>
      <w:numFmt w:val="decimal"/>
      <w:lvlText w:val="%1."/>
      <w:lvlJc w:val="left"/>
      <w:pPr>
        <w:tabs>
          <w:tab w:val="num" w:pos="720"/>
        </w:tabs>
        <w:ind w:left="720" w:hanging="360"/>
      </w:pPr>
    </w:lvl>
    <w:lvl w:ilvl="1" w:tplc="F4ECB8A8" w:tentative="1">
      <w:start w:val="1"/>
      <w:numFmt w:val="decimal"/>
      <w:lvlText w:val="%2."/>
      <w:lvlJc w:val="left"/>
      <w:pPr>
        <w:tabs>
          <w:tab w:val="num" w:pos="1440"/>
        </w:tabs>
        <w:ind w:left="1440" w:hanging="360"/>
      </w:pPr>
    </w:lvl>
    <w:lvl w:ilvl="2" w:tplc="A6E2CBE4" w:tentative="1">
      <w:start w:val="1"/>
      <w:numFmt w:val="decimal"/>
      <w:lvlText w:val="%3."/>
      <w:lvlJc w:val="left"/>
      <w:pPr>
        <w:tabs>
          <w:tab w:val="num" w:pos="2160"/>
        </w:tabs>
        <w:ind w:left="2160" w:hanging="360"/>
      </w:pPr>
    </w:lvl>
    <w:lvl w:ilvl="3" w:tplc="844491BC" w:tentative="1">
      <w:start w:val="1"/>
      <w:numFmt w:val="decimal"/>
      <w:lvlText w:val="%4."/>
      <w:lvlJc w:val="left"/>
      <w:pPr>
        <w:tabs>
          <w:tab w:val="num" w:pos="2880"/>
        </w:tabs>
        <w:ind w:left="2880" w:hanging="360"/>
      </w:pPr>
    </w:lvl>
    <w:lvl w:ilvl="4" w:tplc="691A66A8" w:tentative="1">
      <w:start w:val="1"/>
      <w:numFmt w:val="decimal"/>
      <w:lvlText w:val="%5."/>
      <w:lvlJc w:val="left"/>
      <w:pPr>
        <w:tabs>
          <w:tab w:val="num" w:pos="3600"/>
        </w:tabs>
        <w:ind w:left="3600" w:hanging="360"/>
      </w:pPr>
    </w:lvl>
    <w:lvl w:ilvl="5" w:tplc="DACAF6CE" w:tentative="1">
      <w:start w:val="1"/>
      <w:numFmt w:val="decimal"/>
      <w:lvlText w:val="%6."/>
      <w:lvlJc w:val="left"/>
      <w:pPr>
        <w:tabs>
          <w:tab w:val="num" w:pos="4320"/>
        </w:tabs>
        <w:ind w:left="4320" w:hanging="360"/>
      </w:pPr>
    </w:lvl>
    <w:lvl w:ilvl="6" w:tplc="011284E2" w:tentative="1">
      <w:start w:val="1"/>
      <w:numFmt w:val="decimal"/>
      <w:lvlText w:val="%7."/>
      <w:lvlJc w:val="left"/>
      <w:pPr>
        <w:tabs>
          <w:tab w:val="num" w:pos="5040"/>
        </w:tabs>
        <w:ind w:left="5040" w:hanging="360"/>
      </w:pPr>
    </w:lvl>
    <w:lvl w:ilvl="7" w:tplc="61021A96" w:tentative="1">
      <w:start w:val="1"/>
      <w:numFmt w:val="decimal"/>
      <w:lvlText w:val="%8."/>
      <w:lvlJc w:val="left"/>
      <w:pPr>
        <w:tabs>
          <w:tab w:val="num" w:pos="5760"/>
        </w:tabs>
        <w:ind w:left="5760" w:hanging="360"/>
      </w:pPr>
    </w:lvl>
    <w:lvl w:ilvl="8" w:tplc="3D9E1F18" w:tentative="1">
      <w:start w:val="1"/>
      <w:numFmt w:val="decimal"/>
      <w:lvlText w:val="%9."/>
      <w:lvlJc w:val="left"/>
      <w:pPr>
        <w:tabs>
          <w:tab w:val="num" w:pos="6480"/>
        </w:tabs>
        <w:ind w:left="6480" w:hanging="360"/>
      </w:pPr>
    </w:lvl>
  </w:abstractNum>
  <w:abstractNum w:abstractNumId="4">
    <w:nsid w:val="073655CC"/>
    <w:multiLevelType w:val="hybridMultilevel"/>
    <w:tmpl w:val="64742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80B47FA"/>
    <w:multiLevelType w:val="hybridMultilevel"/>
    <w:tmpl w:val="1D907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3C108A"/>
    <w:multiLevelType w:val="hybridMultilevel"/>
    <w:tmpl w:val="201897C0"/>
    <w:lvl w:ilvl="0" w:tplc="1AD0F7AE">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5E6301"/>
    <w:multiLevelType w:val="hybridMultilevel"/>
    <w:tmpl w:val="D83AAE8C"/>
    <w:lvl w:ilvl="0" w:tplc="07941BF6">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830341"/>
    <w:multiLevelType w:val="hybridMultilevel"/>
    <w:tmpl w:val="DC7E5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ED94634"/>
    <w:multiLevelType w:val="hybridMultilevel"/>
    <w:tmpl w:val="6A6C278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nsid w:val="1866493E"/>
    <w:multiLevelType w:val="hybridMultilevel"/>
    <w:tmpl w:val="3AAA1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AA733E5"/>
    <w:multiLevelType w:val="hybridMultilevel"/>
    <w:tmpl w:val="54104826"/>
    <w:lvl w:ilvl="0" w:tplc="28DA76C8">
      <w:start w:val="1"/>
      <w:numFmt w:val="lowerRoman"/>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4700A2"/>
    <w:multiLevelType w:val="hybridMultilevel"/>
    <w:tmpl w:val="C7E2A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AE7E16"/>
    <w:multiLevelType w:val="hybridMultilevel"/>
    <w:tmpl w:val="839C9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EA64E6"/>
    <w:multiLevelType w:val="hybridMultilevel"/>
    <w:tmpl w:val="40B4A90E"/>
    <w:lvl w:ilvl="0" w:tplc="21D402B2">
      <w:start w:val="2"/>
      <w:numFmt w:val="decimal"/>
      <w:lvlText w:val="%1."/>
      <w:lvlJc w:val="left"/>
      <w:pPr>
        <w:tabs>
          <w:tab w:val="num" w:pos="720"/>
        </w:tabs>
        <w:ind w:left="720" w:hanging="360"/>
      </w:pPr>
    </w:lvl>
    <w:lvl w:ilvl="1" w:tplc="E9FAD86A" w:tentative="1">
      <w:start w:val="1"/>
      <w:numFmt w:val="decimal"/>
      <w:lvlText w:val="%2."/>
      <w:lvlJc w:val="left"/>
      <w:pPr>
        <w:tabs>
          <w:tab w:val="num" w:pos="1440"/>
        </w:tabs>
        <w:ind w:left="1440" w:hanging="360"/>
      </w:pPr>
    </w:lvl>
    <w:lvl w:ilvl="2" w:tplc="097C3AAE" w:tentative="1">
      <w:start w:val="1"/>
      <w:numFmt w:val="decimal"/>
      <w:lvlText w:val="%3."/>
      <w:lvlJc w:val="left"/>
      <w:pPr>
        <w:tabs>
          <w:tab w:val="num" w:pos="2160"/>
        </w:tabs>
        <w:ind w:left="2160" w:hanging="360"/>
      </w:pPr>
    </w:lvl>
    <w:lvl w:ilvl="3" w:tplc="86063094" w:tentative="1">
      <w:start w:val="1"/>
      <w:numFmt w:val="decimal"/>
      <w:lvlText w:val="%4."/>
      <w:lvlJc w:val="left"/>
      <w:pPr>
        <w:tabs>
          <w:tab w:val="num" w:pos="2880"/>
        </w:tabs>
        <w:ind w:left="2880" w:hanging="360"/>
      </w:pPr>
    </w:lvl>
    <w:lvl w:ilvl="4" w:tplc="1A768464" w:tentative="1">
      <w:start w:val="1"/>
      <w:numFmt w:val="decimal"/>
      <w:lvlText w:val="%5."/>
      <w:lvlJc w:val="left"/>
      <w:pPr>
        <w:tabs>
          <w:tab w:val="num" w:pos="3600"/>
        </w:tabs>
        <w:ind w:left="3600" w:hanging="360"/>
      </w:pPr>
    </w:lvl>
    <w:lvl w:ilvl="5" w:tplc="695A0B3E" w:tentative="1">
      <w:start w:val="1"/>
      <w:numFmt w:val="decimal"/>
      <w:lvlText w:val="%6."/>
      <w:lvlJc w:val="left"/>
      <w:pPr>
        <w:tabs>
          <w:tab w:val="num" w:pos="4320"/>
        </w:tabs>
        <w:ind w:left="4320" w:hanging="360"/>
      </w:pPr>
    </w:lvl>
    <w:lvl w:ilvl="6" w:tplc="B5AE548C" w:tentative="1">
      <w:start w:val="1"/>
      <w:numFmt w:val="decimal"/>
      <w:lvlText w:val="%7."/>
      <w:lvlJc w:val="left"/>
      <w:pPr>
        <w:tabs>
          <w:tab w:val="num" w:pos="5040"/>
        </w:tabs>
        <w:ind w:left="5040" w:hanging="360"/>
      </w:pPr>
    </w:lvl>
    <w:lvl w:ilvl="7" w:tplc="E74E23BC" w:tentative="1">
      <w:start w:val="1"/>
      <w:numFmt w:val="decimal"/>
      <w:lvlText w:val="%8."/>
      <w:lvlJc w:val="left"/>
      <w:pPr>
        <w:tabs>
          <w:tab w:val="num" w:pos="5760"/>
        </w:tabs>
        <w:ind w:left="5760" w:hanging="360"/>
      </w:pPr>
    </w:lvl>
    <w:lvl w:ilvl="8" w:tplc="6BB0B856" w:tentative="1">
      <w:start w:val="1"/>
      <w:numFmt w:val="decimal"/>
      <w:lvlText w:val="%9."/>
      <w:lvlJc w:val="left"/>
      <w:pPr>
        <w:tabs>
          <w:tab w:val="num" w:pos="6480"/>
        </w:tabs>
        <w:ind w:left="6480" w:hanging="360"/>
      </w:pPr>
    </w:lvl>
  </w:abstractNum>
  <w:abstractNum w:abstractNumId="15">
    <w:nsid w:val="2A4B4C9A"/>
    <w:multiLevelType w:val="hybridMultilevel"/>
    <w:tmpl w:val="F0CEBDEE"/>
    <w:lvl w:ilvl="0" w:tplc="0C090001">
      <w:start w:val="1"/>
      <w:numFmt w:val="bullet"/>
      <w:lvlText w:val=""/>
      <w:lvlJc w:val="left"/>
      <w:pPr>
        <w:ind w:left="1080" w:hanging="720"/>
      </w:pPr>
      <w:rPr>
        <w:rFonts w:ascii="Symbol" w:hAnsi="Symbol" w:hint="default"/>
      </w:rPr>
    </w:lvl>
    <w:lvl w:ilvl="1" w:tplc="0C090001">
      <w:start w:val="1"/>
      <w:numFmt w:val="bullet"/>
      <w:lvlText w:val=""/>
      <w:lvlJc w:val="left"/>
      <w:pPr>
        <w:ind w:left="1680" w:hanging="60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A997886"/>
    <w:multiLevelType w:val="hybridMultilevel"/>
    <w:tmpl w:val="F18ACA7E"/>
    <w:lvl w:ilvl="0" w:tplc="0C09001B">
      <w:start w:val="1"/>
      <w:numFmt w:val="lowerRoman"/>
      <w:lvlText w:val="%1."/>
      <w:lvlJc w:val="righ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7">
    <w:nsid w:val="2D28183B"/>
    <w:multiLevelType w:val="hybridMultilevel"/>
    <w:tmpl w:val="43A8E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D6422EA"/>
    <w:multiLevelType w:val="hybridMultilevel"/>
    <w:tmpl w:val="254EAB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2D902FAE"/>
    <w:multiLevelType w:val="hybridMultilevel"/>
    <w:tmpl w:val="B050A0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26F0F90"/>
    <w:multiLevelType w:val="hybridMultilevel"/>
    <w:tmpl w:val="737CB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F23BC2"/>
    <w:multiLevelType w:val="hybridMultilevel"/>
    <w:tmpl w:val="639CE704"/>
    <w:lvl w:ilvl="0" w:tplc="4926A556">
      <w:start w:val="3"/>
      <w:numFmt w:val="decimal"/>
      <w:lvlText w:val="%1."/>
      <w:lvlJc w:val="left"/>
      <w:pPr>
        <w:tabs>
          <w:tab w:val="num" w:pos="720"/>
        </w:tabs>
        <w:ind w:left="720" w:hanging="360"/>
      </w:pPr>
    </w:lvl>
    <w:lvl w:ilvl="1" w:tplc="554E18F0" w:tentative="1">
      <w:start w:val="1"/>
      <w:numFmt w:val="decimal"/>
      <w:lvlText w:val="%2."/>
      <w:lvlJc w:val="left"/>
      <w:pPr>
        <w:tabs>
          <w:tab w:val="num" w:pos="1440"/>
        </w:tabs>
        <w:ind w:left="1440" w:hanging="360"/>
      </w:pPr>
    </w:lvl>
    <w:lvl w:ilvl="2" w:tplc="0A1086FA" w:tentative="1">
      <w:start w:val="1"/>
      <w:numFmt w:val="decimal"/>
      <w:lvlText w:val="%3."/>
      <w:lvlJc w:val="left"/>
      <w:pPr>
        <w:tabs>
          <w:tab w:val="num" w:pos="2160"/>
        </w:tabs>
        <w:ind w:left="2160" w:hanging="360"/>
      </w:pPr>
    </w:lvl>
    <w:lvl w:ilvl="3" w:tplc="AE1A89D0" w:tentative="1">
      <w:start w:val="1"/>
      <w:numFmt w:val="decimal"/>
      <w:lvlText w:val="%4."/>
      <w:lvlJc w:val="left"/>
      <w:pPr>
        <w:tabs>
          <w:tab w:val="num" w:pos="2880"/>
        </w:tabs>
        <w:ind w:left="2880" w:hanging="360"/>
      </w:pPr>
    </w:lvl>
    <w:lvl w:ilvl="4" w:tplc="6408FF4A" w:tentative="1">
      <w:start w:val="1"/>
      <w:numFmt w:val="decimal"/>
      <w:lvlText w:val="%5."/>
      <w:lvlJc w:val="left"/>
      <w:pPr>
        <w:tabs>
          <w:tab w:val="num" w:pos="3600"/>
        </w:tabs>
        <w:ind w:left="3600" w:hanging="360"/>
      </w:pPr>
    </w:lvl>
    <w:lvl w:ilvl="5" w:tplc="53FC6ED2" w:tentative="1">
      <w:start w:val="1"/>
      <w:numFmt w:val="decimal"/>
      <w:lvlText w:val="%6."/>
      <w:lvlJc w:val="left"/>
      <w:pPr>
        <w:tabs>
          <w:tab w:val="num" w:pos="4320"/>
        </w:tabs>
        <w:ind w:left="4320" w:hanging="360"/>
      </w:pPr>
    </w:lvl>
    <w:lvl w:ilvl="6" w:tplc="DD245954" w:tentative="1">
      <w:start w:val="1"/>
      <w:numFmt w:val="decimal"/>
      <w:lvlText w:val="%7."/>
      <w:lvlJc w:val="left"/>
      <w:pPr>
        <w:tabs>
          <w:tab w:val="num" w:pos="5040"/>
        </w:tabs>
        <w:ind w:left="5040" w:hanging="360"/>
      </w:pPr>
    </w:lvl>
    <w:lvl w:ilvl="7" w:tplc="45DEC51E" w:tentative="1">
      <w:start w:val="1"/>
      <w:numFmt w:val="decimal"/>
      <w:lvlText w:val="%8."/>
      <w:lvlJc w:val="left"/>
      <w:pPr>
        <w:tabs>
          <w:tab w:val="num" w:pos="5760"/>
        </w:tabs>
        <w:ind w:left="5760" w:hanging="360"/>
      </w:pPr>
    </w:lvl>
    <w:lvl w:ilvl="8" w:tplc="B58A17EE" w:tentative="1">
      <w:start w:val="1"/>
      <w:numFmt w:val="decimal"/>
      <w:lvlText w:val="%9."/>
      <w:lvlJc w:val="left"/>
      <w:pPr>
        <w:tabs>
          <w:tab w:val="num" w:pos="6480"/>
        </w:tabs>
        <w:ind w:left="6480" w:hanging="360"/>
      </w:pPr>
    </w:lvl>
  </w:abstractNum>
  <w:abstractNum w:abstractNumId="22">
    <w:nsid w:val="33225B3A"/>
    <w:multiLevelType w:val="hybridMultilevel"/>
    <w:tmpl w:val="0DB43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0761F4"/>
    <w:multiLevelType w:val="hybridMultilevel"/>
    <w:tmpl w:val="4E3CC8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B7A7EB0"/>
    <w:multiLevelType w:val="hybridMultilevel"/>
    <w:tmpl w:val="D946C9E2"/>
    <w:lvl w:ilvl="0" w:tplc="F12EF2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D867FC9"/>
    <w:multiLevelType w:val="hybridMultilevel"/>
    <w:tmpl w:val="3DBCA55E"/>
    <w:lvl w:ilvl="0" w:tplc="0C090001">
      <w:start w:val="1"/>
      <w:numFmt w:val="bullet"/>
      <w:lvlText w:val=""/>
      <w:lvlJc w:val="left"/>
      <w:pPr>
        <w:ind w:left="774" w:hanging="360"/>
      </w:pPr>
      <w:rPr>
        <w:rFonts w:ascii="Symbol" w:hAnsi="Symbol"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6">
    <w:nsid w:val="3F880C48"/>
    <w:multiLevelType w:val="hybridMultilevel"/>
    <w:tmpl w:val="B71051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nsid w:val="425D3020"/>
    <w:multiLevelType w:val="hybridMultilevel"/>
    <w:tmpl w:val="D9E47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A74E08"/>
    <w:multiLevelType w:val="hybridMultilevel"/>
    <w:tmpl w:val="708AE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9DC369E"/>
    <w:multiLevelType w:val="hybridMultilevel"/>
    <w:tmpl w:val="EEAA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496F14"/>
    <w:multiLevelType w:val="hybridMultilevel"/>
    <w:tmpl w:val="D3028D42"/>
    <w:lvl w:ilvl="0" w:tplc="4A2283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D9C21E7"/>
    <w:multiLevelType w:val="hybridMultilevel"/>
    <w:tmpl w:val="9E22258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DE87E3E"/>
    <w:multiLevelType w:val="hybridMultilevel"/>
    <w:tmpl w:val="C00899FC"/>
    <w:lvl w:ilvl="0" w:tplc="8528E63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F4D71F9"/>
    <w:multiLevelType w:val="hybridMultilevel"/>
    <w:tmpl w:val="CB0E6B50"/>
    <w:lvl w:ilvl="0" w:tplc="6E24CC4A">
      <w:start w:val="1"/>
      <w:numFmt w:val="lowerRoman"/>
      <w:lvlText w:val="(%1)"/>
      <w:lvlJc w:val="left"/>
      <w:pPr>
        <w:ind w:left="1080" w:hanging="720"/>
      </w:pPr>
      <w:rPr>
        <w:rFonts w:hint="default"/>
      </w:rPr>
    </w:lvl>
    <w:lvl w:ilvl="1" w:tplc="64BE5112">
      <w:numFmt w:val="bullet"/>
      <w:lvlText w:val="·"/>
      <w:lvlJc w:val="left"/>
      <w:pPr>
        <w:ind w:left="1680" w:hanging="60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2A9611C"/>
    <w:multiLevelType w:val="hybridMultilevel"/>
    <w:tmpl w:val="040C92BC"/>
    <w:lvl w:ilvl="0" w:tplc="BAB2DC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3AE7D50"/>
    <w:multiLevelType w:val="hybridMultilevel"/>
    <w:tmpl w:val="2CBC72EE"/>
    <w:lvl w:ilvl="0" w:tplc="386E3E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66D4901"/>
    <w:multiLevelType w:val="hybridMultilevel"/>
    <w:tmpl w:val="D1D46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8A63088"/>
    <w:multiLevelType w:val="hybridMultilevel"/>
    <w:tmpl w:val="AA762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D0669C5"/>
    <w:multiLevelType w:val="hybridMultilevel"/>
    <w:tmpl w:val="6B807E18"/>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E1171D9"/>
    <w:multiLevelType w:val="hybridMultilevel"/>
    <w:tmpl w:val="D946C9E2"/>
    <w:lvl w:ilvl="0" w:tplc="F12EF2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E4701D9"/>
    <w:multiLevelType w:val="hybridMultilevel"/>
    <w:tmpl w:val="279E56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nsid w:val="5FEF0D18"/>
    <w:multiLevelType w:val="hybridMultilevel"/>
    <w:tmpl w:val="F87C3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3F0117"/>
    <w:multiLevelType w:val="hybridMultilevel"/>
    <w:tmpl w:val="8682B24C"/>
    <w:lvl w:ilvl="0" w:tplc="BABEB6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4944804"/>
    <w:multiLevelType w:val="hybridMultilevel"/>
    <w:tmpl w:val="F43A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53D321A"/>
    <w:multiLevelType w:val="hybridMultilevel"/>
    <w:tmpl w:val="69901698"/>
    <w:lvl w:ilvl="0" w:tplc="B178B50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571763D"/>
    <w:multiLevelType w:val="hybridMultilevel"/>
    <w:tmpl w:val="799CF8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6A7666E"/>
    <w:multiLevelType w:val="hybridMultilevel"/>
    <w:tmpl w:val="C092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B19664C"/>
    <w:multiLevelType w:val="hybridMultilevel"/>
    <w:tmpl w:val="8E249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C2B012D"/>
    <w:multiLevelType w:val="hybridMultilevel"/>
    <w:tmpl w:val="91E6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C3B5AB4"/>
    <w:multiLevelType w:val="hybridMultilevel"/>
    <w:tmpl w:val="6DEA4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EE939DD"/>
    <w:multiLevelType w:val="hybridMultilevel"/>
    <w:tmpl w:val="83D4CF70"/>
    <w:lvl w:ilvl="0" w:tplc="CDF611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3393380"/>
    <w:multiLevelType w:val="hybridMultilevel"/>
    <w:tmpl w:val="C09CA3C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2">
    <w:nsid w:val="76CD613D"/>
    <w:multiLevelType w:val="hybridMultilevel"/>
    <w:tmpl w:val="3782D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92D7A92"/>
    <w:multiLevelType w:val="hybridMultilevel"/>
    <w:tmpl w:val="727A5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BCD4658"/>
    <w:multiLevelType w:val="multilevel"/>
    <w:tmpl w:val="91B089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4"/>
  </w:num>
  <w:num w:numId="2">
    <w:abstractNumId w:val="47"/>
  </w:num>
  <w:num w:numId="3">
    <w:abstractNumId w:val="22"/>
  </w:num>
  <w:num w:numId="4">
    <w:abstractNumId w:val="20"/>
  </w:num>
  <w:num w:numId="5">
    <w:abstractNumId w:val="38"/>
  </w:num>
  <w:num w:numId="6">
    <w:abstractNumId w:val="40"/>
  </w:num>
  <w:num w:numId="7">
    <w:abstractNumId w:val="51"/>
  </w:num>
  <w:num w:numId="8">
    <w:abstractNumId w:val="23"/>
  </w:num>
  <w:num w:numId="9">
    <w:abstractNumId w:val="32"/>
  </w:num>
  <w:num w:numId="10">
    <w:abstractNumId w:val="11"/>
  </w:num>
  <w:num w:numId="11">
    <w:abstractNumId w:val="28"/>
  </w:num>
  <w:num w:numId="12">
    <w:abstractNumId w:val="9"/>
  </w:num>
  <w:num w:numId="13">
    <w:abstractNumId w:val="36"/>
  </w:num>
  <w:num w:numId="14">
    <w:abstractNumId w:val="12"/>
  </w:num>
  <w:num w:numId="15">
    <w:abstractNumId w:val="29"/>
  </w:num>
  <w:num w:numId="16">
    <w:abstractNumId w:val="50"/>
  </w:num>
  <w:num w:numId="17">
    <w:abstractNumId w:val="30"/>
  </w:num>
  <w:num w:numId="18">
    <w:abstractNumId w:val="52"/>
  </w:num>
  <w:num w:numId="19">
    <w:abstractNumId w:val="6"/>
  </w:num>
  <w:num w:numId="20">
    <w:abstractNumId w:val="1"/>
  </w:num>
  <w:num w:numId="21">
    <w:abstractNumId w:val="16"/>
  </w:num>
  <w:num w:numId="22">
    <w:abstractNumId w:val="0"/>
  </w:num>
  <w:num w:numId="23">
    <w:abstractNumId w:val="18"/>
  </w:num>
  <w:num w:numId="24">
    <w:abstractNumId w:val="3"/>
  </w:num>
  <w:num w:numId="25">
    <w:abstractNumId w:val="14"/>
  </w:num>
  <w:num w:numId="26">
    <w:abstractNumId w:val="21"/>
  </w:num>
  <w:num w:numId="27">
    <w:abstractNumId w:val="45"/>
  </w:num>
  <w:num w:numId="28">
    <w:abstractNumId w:val="35"/>
  </w:num>
  <w:num w:numId="29">
    <w:abstractNumId w:val="34"/>
  </w:num>
  <w:num w:numId="30">
    <w:abstractNumId w:val="46"/>
  </w:num>
  <w:num w:numId="31">
    <w:abstractNumId w:val="8"/>
  </w:num>
  <w:num w:numId="32">
    <w:abstractNumId w:val="10"/>
  </w:num>
  <w:num w:numId="33">
    <w:abstractNumId w:val="49"/>
  </w:num>
  <w:num w:numId="34">
    <w:abstractNumId w:val="37"/>
  </w:num>
  <w:num w:numId="35">
    <w:abstractNumId w:val="53"/>
  </w:num>
  <w:num w:numId="36">
    <w:abstractNumId w:val="17"/>
  </w:num>
  <w:num w:numId="37">
    <w:abstractNumId w:val="2"/>
  </w:num>
  <w:num w:numId="38">
    <w:abstractNumId w:val="4"/>
  </w:num>
  <w:num w:numId="39">
    <w:abstractNumId w:val="13"/>
  </w:num>
  <w:num w:numId="40">
    <w:abstractNumId w:val="42"/>
  </w:num>
  <w:num w:numId="41">
    <w:abstractNumId w:val="5"/>
  </w:num>
  <w:num w:numId="42">
    <w:abstractNumId w:val="25"/>
  </w:num>
  <w:num w:numId="43">
    <w:abstractNumId w:val="41"/>
  </w:num>
  <w:num w:numId="44">
    <w:abstractNumId w:val="31"/>
  </w:num>
  <w:num w:numId="45">
    <w:abstractNumId w:val="44"/>
  </w:num>
  <w:num w:numId="46">
    <w:abstractNumId w:val="33"/>
  </w:num>
  <w:num w:numId="47">
    <w:abstractNumId w:val="7"/>
  </w:num>
  <w:num w:numId="48">
    <w:abstractNumId w:val="27"/>
  </w:num>
  <w:num w:numId="49">
    <w:abstractNumId w:val="15"/>
  </w:num>
  <w:num w:numId="50">
    <w:abstractNumId w:val="48"/>
  </w:num>
  <w:num w:numId="51">
    <w:abstractNumId w:val="43"/>
  </w:num>
  <w:num w:numId="52">
    <w:abstractNumId w:val="19"/>
  </w:num>
  <w:num w:numId="53">
    <w:abstractNumId w:val="26"/>
  </w:num>
  <w:num w:numId="54">
    <w:abstractNumId w:val="39"/>
  </w:num>
  <w:num w:numId="55">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A7A38"/>
    <w:rsid w:val="0006730F"/>
    <w:rsid w:val="000B0E1F"/>
    <w:rsid w:val="000C0B46"/>
    <w:rsid w:val="000F5624"/>
    <w:rsid w:val="00102D2C"/>
    <w:rsid w:val="001546B0"/>
    <w:rsid w:val="00173606"/>
    <w:rsid w:val="001C1CE9"/>
    <w:rsid w:val="001D3998"/>
    <w:rsid w:val="001D5931"/>
    <w:rsid w:val="00243BFF"/>
    <w:rsid w:val="002724AE"/>
    <w:rsid w:val="002F062B"/>
    <w:rsid w:val="00332D1B"/>
    <w:rsid w:val="00367796"/>
    <w:rsid w:val="0039333D"/>
    <w:rsid w:val="003C5075"/>
    <w:rsid w:val="003D647C"/>
    <w:rsid w:val="00453310"/>
    <w:rsid w:val="0047319B"/>
    <w:rsid w:val="004F7CA3"/>
    <w:rsid w:val="005E17D5"/>
    <w:rsid w:val="006451D0"/>
    <w:rsid w:val="006823B0"/>
    <w:rsid w:val="0072397E"/>
    <w:rsid w:val="00771C3B"/>
    <w:rsid w:val="007E1A34"/>
    <w:rsid w:val="008179EE"/>
    <w:rsid w:val="008E166E"/>
    <w:rsid w:val="008E663C"/>
    <w:rsid w:val="00941FA8"/>
    <w:rsid w:val="0097310F"/>
    <w:rsid w:val="009E7253"/>
    <w:rsid w:val="00A352DF"/>
    <w:rsid w:val="00AA0B46"/>
    <w:rsid w:val="00AA0FAA"/>
    <w:rsid w:val="00AE69FF"/>
    <w:rsid w:val="00B40473"/>
    <w:rsid w:val="00B73FFF"/>
    <w:rsid w:val="00B87A3D"/>
    <w:rsid w:val="00BB302F"/>
    <w:rsid w:val="00BE17A3"/>
    <w:rsid w:val="00C11387"/>
    <w:rsid w:val="00C43691"/>
    <w:rsid w:val="00CA7A38"/>
    <w:rsid w:val="00CC0273"/>
    <w:rsid w:val="00D7340E"/>
    <w:rsid w:val="00D93CE4"/>
    <w:rsid w:val="00DC3551"/>
    <w:rsid w:val="00E0159C"/>
    <w:rsid w:val="00E01C80"/>
    <w:rsid w:val="00E32A34"/>
    <w:rsid w:val="00E54420"/>
    <w:rsid w:val="00E70031"/>
    <w:rsid w:val="00E948C3"/>
    <w:rsid w:val="00EE306D"/>
    <w:rsid w:val="00FB68CF"/>
    <w:rsid w:val="00FD6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38"/>
  </w:style>
  <w:style w:type="paragraph" w:styleId="Heading1">
    <w:name w:val="heading 1"/>
    <w:basedOn w:val="Normal"/>
    <w:next w:val="Normal"/>
    <w:link w:val="Heading1Char"/>
    <w:uiPriority w:val="9"/>
    <w:qFormat/>
    <w:rsid w:val="00CA7A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7A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7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7A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7A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rsid w:val="00CA7A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7A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7A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A7A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A7A38"/>
    <w:rPr>
      <w:rFonts w:asciiTheme="majorHAnsi" w:eastAsiaTheme="majorEastAsia" w:hAnsiTheme="majorHAnsi" w:cstheme="majorBidi"/>
      <w:color w:val="2E74B5" w:themeColor="accent1" w:themeShade="BF"/>
    </w:rPr>
  </w:style>
  <w:style w:type="character" w:customStyle="1" w:styleId="Heading9Char">
    <w:name w:val="Heading 9 Char"/>
    <w:basedOn w:val="DefaultParagraphFont"/>
    <w:link w:val="Heading9"/>
    <w:rsid w:val="00CA7A38"/>
    <w:rPr>
      <w:rFonts w:asciiTheme="majorHAnsi" w:eastAsiaTheme="majorEastAsia" w:hAnsiTheme="majorHAnsi" w:cstheme="majorBidi"/>
      <w:i/>
      <w:iCs/>
      <w:color w:val="404040" w:themeColor="text1" w:themeTint="BF"/>
      <w:sz w:val="20"/>
      <w:szCs w:val="20"/>
    </w:rPr>
  </w:style>
  <w:style w:type="paragraph" w:styleId="ListParagraph">
    <w:name w:val="List Paragraph"/>
    <w:aliases w:val="List Paragraph1,Recommendation,List Paragraph11,List Paragraph2,L,CV text,Table text,F5 List Paragraph,Dot pt,List Paragraph111,Medium Grid 1 - Accent 21,Numbered Paragraph,Bullet text,Bulleted Para,NFP GP Bulleted List,FooterText,Bullets"/>
    <w:basedOn w:val="Normal"/>
    <w:link w:val="ListParagraphChar"/>
    <w:uiPriority w:val="34"/>
    <w:qFormat/>
    <w:rsid w:val="00CA7A38"/>
    <w:pPr>
      <w:ind w:left="720"/>
      <w:contextualSpacing/>
    </w:pPr>
  </w:style>
  <w:style w:type="paragraph" w:styleId="Header">
    <w:name w:val="header"/>
    <w:basedOn w:val="Normal"/>
    <w:link w:val="HeaderChar"/>
    <w:uiPriority w:val="99"/>
    <w:unhideWhenUsed/>
    <w:rsid w:val="00CA7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A38"/>
  </w:style>
  <w:style w:type="paragraph" w:styleId="Footer">
    <w:name w:val="footer"/>
    <w:basedOn w:val="Normal"/>
    <w:link w:val="FooterChar"/>
    <w:uiPriority w:val="99"/>
    <w:unhideWhenUsed/>
    <w:rsid w:val="00CA7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A38"/>
  </w:style>
  <w:style w:type="character" w:styleId="CommentReference">
    <w:name w:val="annotation reference"/>
    <w:basedOn w:val="DefaultParagraphFont"/>
    <w:uiPriority w:val="99"/>
    <w:semiHidden/>
    <w:unhideWhenUsed/>
    <w:rsid w:val="00CA7A38"/>
    <w:rPr>
      <w:sz w:val="16"/>
      <w:szCs w:val="16"/>
    </w:rPr>
  </w:style>
  <w:style w:type="paragraph" w:styleId="CommentText">
    <w:name w:val="annotation text"/>
    <w:basedOn w:val="Normal"/>
    <w:link w:val="CommentTextChar"/>
    <w:uiPriority w:val="99"/>
    <w:unhideWhenUsed/>
    <w:rsid w:val="00CA7A38"/>
    <w:pPr>
      <w:spacing w:line="240" w:lineRule="auto"/>
    </w:pPr>
    <w:rPr>
      <w:sz w:val="20"/>
      <w:szCs w:val="20"/>
    </w:rPr>
  </w:style>
  <w:style w:type="character" w:customStyle="1" w:styleId="CommentTextChar">
    <w:name w:val="Comment Text Char"/>
    <w:basedOn w:val="DefaultParagraphFont"/>
    <w:link w:val="CommentText"/>
    <w:uiPriority w:val="99"/>
    <w:rsid w:val="00CA7A38"/>
    <w:rPr>
      <w:sz w:val="20"/>
      <w:szCs w:val="20"/>
    </w:rPr>
  </w:style>
  <w:style w:type="paragraph" w:styleId="CommentSubject">
    <w:name w:val="annotation subject"/>
    <w:basedOn w:val="CommentText"/>
    <w:next w:val="CommentText"/>
    <w:link w:val="CommentSubjectChar"/>
    <w:uiPriority w:val="99"/>
    <w:semiHidden/>
    <w:unhideWhenUsed/>
    <w:rsid w:val="00CA7A38"/>
    <w:rPr>
      <w:b/>
      <w:bCs/>
    </w:rPr>
  </w:style>
  <w:style w:type="character" w:customStyle="1" w:styleId="CommentSubjectChar">
    <w:name w:val="Comment Subject Char"/>
    <w:basedOn w:val="CommentTextChar"/>
    <w:link w:val="CommentSubject"/>
    <w:uiPriority w:val="99"/>
    <w:semiHidden/>
    <w:rsid w:val="00CA7A38"/>
    <w:rPr>
      <w:b/>
      <w:bCs/>
      <w:sz w:val="20"/>
      <w:szCs w:val="20"/>
    </w:rPr>
  </w:style>
  <w:style w:type="paragraph" w:styleId="BalloonText">
    <w:name w:val="Balloon Text"/>
    <w:basedOn w:val="Normal"/>
    <w:link w:val="BalloonTextChar"/>
    <w:uiPriority w:val="99"/>
    <w:semiHidden/>
    <w:unhideWhenUsed/>
    <w:rsid w:val="00CA7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A38"/>
    <w:rPr>
      <w:rFonts w:ascii="Segoe UI" w:hAnsi="Segoe UI" w:cs="Segoe UI"/>
      <w:sz w:val="18"/>
      <w:szCs w:val="18"/>
    </w:rPr>
  </w:style>
  <w:style w:type="table" w:styleId="TableGrid">
    <w:name w:val="Table Grid"/>
    <w:basedOn w:val="TableNormal"/>
    <w:uiPriority w:val="59"/>
    <w:rsid w:val="00CA7A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A7A38"/>
  </w:style>
  <w:style w:type="paragraph" w:styleId="TOC1">
    <w:name w:val="toc 1"/>
    <w:basedOn w:val="Normal"/>
    <w:next w:val="Normal"/>
    <w:autoRedefine/>
    <w:uiPriority w:val="39"/>
    <w:unhideWhenUsed/>
    <w:rsid w:val="00CA7A38"/>
    <w:pPr>
      <w:spacing w:after="100"/>
    </w:pPr>
  </w:style>
  <w:style w:type="paragraph" w:styleId="TOC2">
    <w:name w:val="toc 2"/>
    <w:basedOn w:val="Normal"/>
    <w:next w:val="Normal"/>
    <w:autoRedefine/>
    <w:uiPriority w:val="39"/>
    <w:unhideWhenUsed/>
    <w:rsid w:val="00CA7A38"/>
    <w:pPr>
      <w:spacing w:after="100"/>
      <w:ind w:left="220"/>
    </w:pPr>
  </w:style>
  <w:style w:type="character" w:styleId="Hyperlink">
    <w:name w:val="Hyperlink"/>
    <w:basedOn w:val="DefaultParagraphFont"/>
    <w:uiPriority w:val="99"/>
    <w:unhideWhenUsed/>
    <w:rsid w:val="00CA7A38"/>
    <w:rPr>
      <w:color w:val="0563C1" w:themeColor="hyperlink"/>
      <w:u w:val="single"/>
    </w:rPr>
  </w:style>
  <w:style w:type="paragraph" w:styleId="Title">
    <w:name w:val="Title"/>
    <w:basedOn w:val="Normal"/>
    <w:next w:val="Normal"/>
    <w:link w:val="TitleChar"/>
    <w:qFormat/>
    <w:rsid w:val="00CA7A38"/>
    <w:pPr>
      <w:pBdr>
        <w:bottom w:val="single" w:sz="8" w:space="4" w:color="4F81BD"/>
      </w:pBdr>
      <w:spacing w:after="300" w:line="240" w:lineRule="auto"/>
      <w:contextualSpacing/>
      <w:jc w:val="both"/>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rsid w:val="00CA7A38"/>
    <w:rPr>
      <w:rFonts w:ascii="Cambria" w:eastAsia="Calibri" w:hAnsi="Cambria" w:cs="Times New Roman"/>
      <w:color w:val="17365D"/>
      <w:spacing w:val="5"/>
      <w:kern w:val="28"/>
      <w:sz w:val="52"/>
      <w:szCs w:val="52"/>
    </w:rPr>
  </w:style>
  <w:style w:type="table" w:styleId="MediumList1-Accent1">
    <w:name w:val="Medium List 1 Accent 1"/>
    <w:basedOn w:val="TableNormal"/>
    <w:uiPriority w:val="65"/>
    <w:rsid w:val="00CA7A3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character" w:customStyle="1" w:styleId="ListParagraphChar">
    <w:name w:val="List Paragraph Char"/>
    <w:aliases w:val="List Paragraph1 Char,Recommendation Char,List Paragraph11 Char,List Paragraph2 Char,L Char,CV text Char,Table text Char,F5 List Paragraph Char,Dot pt Char,List Paragraph111 Char,Medium Grid 1 - Accent 21 Char,Numbered Paragraph Char"/>
    <w:basedOn w:val="DefaultParagraphFont"/>
    <w:link w:val="ListParagraph"/>
    <w:uiPriority w:val="34"/>
    <w:qFormat/>
    <w:locked/>
    <w:rsid w:val="00CA7A38"/>
  </w:style>
  <w:style w:type="character" w:styleId="Emphasis">
    <w:name w:val="Emphasis"/>
    <w:basedOn w:val="DefaultParagraphFont"/>
    <w:uiPriority w:val="20"/>
    <w:qFormat/>
    <w:rsid w:val="00CA7A38"/>
    <w:rPr>
      <w:i/>
      <w:iCs/>
    </w:rPr>
  </w:style>
  <w:style w:type="paragraph" w:styleId="FootnoteText">
    <w:name w:val="footnote text"/>
    <w:aliases w:val="Footnote Text1,FOOTNOTES,fn,single space Char,single space,ft,Fußnote,ft Char Char,Footnote Text Char Char Char Char,Footnote Text Char Char Char Char Char,Footnote Text Char Char Char Char Char Char Char Char Char,Footnote Text Char1 Char"/>
    <w:basedOn w:val="Normal"/>
    <w:link w:val="FootnoteTextChar"/>
    <w:uiPriority w:val="99"/>
    <w:unhideWhenUsed/>
    <w:rsid w:val="00CA7A38"/>
    <w:pPr>
      <w:spacing w:after="0" w:line="240" w:lineRule="auto"/>
    </w:pPr>
    <w:rPr>
      <w:sz w:val="20"/>
      <w:szCs w:val="20"/>
      <w:lang w:val="en-GB"/>
    </w:rPr>
  </w:style>
  <w:style w:type="character" w:customStyle="1" w:styleId="FootnoteTextChar">
    <w:name w:val="Footnote Text Char"/>
    <w:aliases w:val="Footnote Text1 Char,FOOTNOTES Char,fn Char,single space Char Char,single space Char1,ft Char,Fußnote Char,ft Char Char Char,Footnote Text Char Char Char Char Char1,Footnote Text Char Char Char Char Char Char"/>
    <w:basedOn w:val="DefaultParagraphFont"/>
    <w:link w:val="FootnoteText"/>
    <w:uiPriority w:val="99"/>
    <w:rsid w:val="00CA7A38"/>
    <w:rPr>
      <w:sz w:val="20"/>
      <w:szCs w:val="20"/>
      <w:lang w:val="en-GB"/>
    </w:rPr>
  </w:style>
  <w:style w:type="character" w:styleId="FootnoteReference">
    <w:name w:val="footnote reference"/>
    <w:aliases w:val="ftref,16 Point,Superscript 6 Point,BVI fnr,Footnote text,Footnotes refss,Ref,de nota al pie,ftref1,ftref2,ftref11,SUPERS,referencia nota al pie Char Char,BVI fnr Char Char,BVI fnr Car Car Char Char,BVI fnr Car Char Char"/>
    <w:basedOn w:val="DefaultParagraphFont"/>
    <w:link w:val="referencianotaalpieChar"/>
    <w:uiPriority w:val="99"/>
    <w:unhideWhenUsed/>
    <w:qFormat/>
    <w:rsid w:val="00CA7A38"/>
    <w:rPr>
      <w:vertAlign w:val="superscript"/>
    </w:rPr>
  </w:style>
  <w:style w:type="table" w:customStyle="1" w:styleId="PlainTable11">
    <w:name w:val="Plain Table 11"/>
    <w:basedOn w:val="TableNormal"/>
    <w:uiPriority w:val="41"/>
    <w:rsid w:val="00CA7A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E2EFD9" w:themeFill="accent6"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Grid-Accent1">
    <w:name w:val="Light Grid Accent 1"/>
    <w:basedOn w:val="TableNormal"/>
    <w:uiPriority w:val="62"/>
    <w:rsid w:val="00CA7A38"/>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CA7A3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BuFootnote">
    <w:name w:val="Bu Footnote"/>
    <w:basedOn w:val="FootnoteText"/>
    <w:qFormat/>
    <w:rsid w:val="00CA7A38"/>
    <w:pPr>
      <w:jc w:val="both"/>
    </w:pPr>
    <w:rPr>
      <w:szCs w:val="24"/>
      <w:lang w:val="en-US"/>
    </w:rPr>
  </w:style>
  <w:style w:type="paragraph" w:styleId="NormalWeb">
    <w:name w:val="Normal (Web)"/>
    <w:basedOn w:val="Normal"/>
    <w:uiPriority w:val="99"/>
    <w:unhideWhenUsed/>
    <w:rsid w:val="00CA7A38"/>
    <w:pPr>
      <w:spacing w:before="240" w:after="240"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A7A38"/>
  </w:style>
  <w:style w:type="paragraph" w:styleId="BodyText">
    <w:name w:val="Body Text"/>
    <w:basedOn w:val="Normal"/>
    <w:link w:val="BodyTextChar"/>
    <w:uiPriority w:val="1"/>
    <w:qFormat/>
    <w:rsid w:val="00CA7A38"/>
    <w:pPr>
      <w:widowControl w:val="0"/>
      <w:spacing w:after="0" w:line="240" w:lineRule="auto"/>
      <w:ind w:left="160"/>
    </w:pPr>
    <w:rPr>
      <w:rFonts w:ascii="Calibri" w:eastAsia="Calibri" w:hAnsi="Calibri"/>
      <w:lang w:val="en-US" w:eastAsia="en-AU"/>
    </w:rPr>
  </w:style>
  <w:style w:type="character" w:customStyle="1" w:styleId="BodyTextChar">
    <w:name w:val="Body Text Char"/>
    <w:basedOn w:val="DefaultParagraphFont"/>
    <w:link w:val="BodyText"/>
    <w:uiPriority w:val="1"/>
    <w:rsid w:val="00CA7A38"/>
    <w:rPr>
      <w:rFonts w:ascii="Calibri" w:eastAsia="Calibri" w:hAnsi="Calibri"/>
      <w:lang w:val="en-US" w:eastAsia="en-AU"/>
    </w:rPr>
  </w:style>
  <w:style w:type="paragraph" w:customStyle="1" w:styleId="EndNoteBibliographyTitle">
    <w:name w:val="EndNote Bibliography Title"/>
    <w:basedOn w:val="Normal"/>
    <w:link w:val="EndNoteBibliographyTitleChar"/>
    <w:rsid w:val="00CA7A38"/>
    <w:pPr>
      <w:spacing w:after="0"/>
      <w:jc w:val="center"/>
    </w:pPr>
    <w:rPr>
      <w:rFonts w:ascii="Calibri" w:hAnsi="Calibri"/>
      <w:noProof/>
      <w:sz w:val="20"/>
      <w:szCs w:val="20"/>
      <w:lang w:val="en-US"/>
    </w:rPr>
  </w:style>
  <w:style w:type="character" w:customStyle="1" w:styleId="EndNoteBibliographyTitleChar">
    <w:name w:val="EndNote Bibliography Title Char"/>
    <w:basedOn w:val="FootnoteTextChar"/>
    <w:link w:val="EndNoteBibliographyTitle"/>
    <w:rsid w:val="00CA7A38"/>
    <w:rPr>
      <w:rFonts w:ascii="Calibri" w:hAnsi="Calibri"/>
      <w:noProof/>
      <w:sz w:val="20"/>
      <w:szCs w:val="20"/>
      <w:lang w:val="en-US"/>
    </w:rPr>
  </w:style>
  <w:style w:type="paragraph" w:customStyle="1" w:styleId="EndNoteBibliography">
    <w:name w:val="EndNote Bibliography"/>
    <w:basedOn w:val="Normal"/>
    <w:link w:val="EndNoteBibliographyChar"/>
    <w:rsid w:val="00CA7A38"/>
    <w:pPr>
      <w:spacing w:line="240" w:lineRule="auto"/>
    </w:pPr>
    <w:rPr>
      <w:rFonts w:ascii="Calibri" w:hAnsi="Calibri"/>
      <w:noProof/>
      <w:sz w:val="20"/>
      <w:szCs w:val="20"/>
      <w:lang w:val="en-US"/>
    </w:rPr>
  </w:style>
  <w:style w:type="character" w:customStyle="1" w:styleId="EndNoteBibliographyChar">
    <w:name w:val="EndNote Bibliography Char"/>
    <w:basedOn w:val="FootnoteTextChar"/>
    <w:link w:val="EndNoteBibliography"/>
    <w:rsid w:val="00CA7A38"/>
    <w:rPr>
      <w:rFonts w:ascii="Calibri" w:hAnsi="Calibri"/>
      <w:noProof/>
      <w:sz w:val="20"/>
      <w:szCs w:val="20"/>
      <w:lang w:val="en-US"/>
    </w:rPr>
  </w:style>
  <w:style w:type="paragraph" w:customStyle="1" w:styleId="HeidiBody">
    <w:name w:val="Heidi Body"/>
    <w:basedOn w:val="Normal"/>
    <w:qFormat/>
    <w:rsid w:val="00CA7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rPr>
      <w:rFonts w:ascii="Arial" w:hAnsi="Arial" w:cs="Helvetica Neue Light"/>
      <w:szCs w:val="20"/>
      <w:lang w:val="en-US"/>
    </w:rPr>
  </w:style>
  <w:style w:type="character" w:styleId="IntenseEmphasis">
    <w:name w:val="Intense Emphasis"/>
    <w:basedOn w:val="DefaultParagraphFont"/>
    <w:uiPriority w:val="21"/>
    <w:qFormat/>
    <w:rsid w:val="00CA7A38"/>
    <w:rPr>
      <w:b/>
      <w:bCs/>
      <w:i/>
      <w:iCs/>
      <w:color w:val="5B9BD5" w:themeColor="accent1"/>
    </w:rPr>
  </w:style>
  <w:style w:type="table" w:customStyle="1" w:styleId="GridTable1Light-Accent11">
    <w:name w:val="Grid Table 1 Light - Accent 11"/>
    <w:basedOn w:val="TableNormal"/>
    <w:uiPriority w:val="46"/>
    <w:rsid w:val="00CA7A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Bullet">
    <w:name w:val="List Bullet"/>
    <w:basedOn w:val="Normal"/>
    <w:qFormat/>
    <w:rsid w:val="00CA7A38"/>
    <w:pPr>
      <w:numPr>
        <w:numId w:val="47"/>
      </w:numPr>
      <w:adjustRightInd w:val="0"/>
      <w:spacing w:after="120" w:line="240" w:lineRule="auto"/>
      <w:ind w:left="340" w:hanging="340"/>
      <w:textAlignment w:val="baseline"/>
    </w:pPr>
    <w:rPr>
      <w:rFonts w:ascii="Arial" w:eastAsia="Times New Roman" w:hAnsi="Arial" w:cs="Times New Roman"/>
      <w:sz w:val="20"/>
      <w:szCs w:val="24"/>
    </w:rPr>
  </w:style>
  <w:style w:type="table" w:styleId="TableContemporary">
    <w:name w:val="Table Contemporary"/>
    <w:basedOn w:val="TableNormal"/>
    <w:rsid w:val="00CA7A38"/>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CA7A38"/>
    <w:pPr>
      <w:spacing w:after="0" w:line="240" w:lineRule="auto"/>
    </w:p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CA7A38"/>
    <w:pPr>
      <w:spacing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38"/>
  </w:style>
  <w:style w:type="paragraph" w:styleId="Heading1">
    <w:name w:val="heading 1"/>
    <w:basedOn w:val="Normal"/>
    <w:next w:val="Normal"/>
    <w:link w:val="Heading1Char"/>
    <w:uiPriority w:val="9"/>
    <w:qFormat/>
    <w:rsid w:val="00CA7A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7A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7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7A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7A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rsid w:val="00CA7A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7A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7A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A7A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A7A38"/>
    <w:rPr>
      <w:rFonts w:asciiTheme="majorHAnsi" w:eastAsiaTheme="majorEastAsia" w:hAnsiTheme="majorHAnsi" w:cstheme="majorBidi"/>
      <w:color w:val="2E74B5" w:themeColor="accent1" w:themeShade="BF"/>
    </w:rPr>
  </w:style>
  <w:style w:type="character" w:customStyle="1" w:styleId="Heading9Char">
    <w:name w:val="Heading 9 Char"/>
    <w:basedOn w:val="DefaultParagraphFont"/>
    <w:link w:val="Heading9"/>
    <w:rsid w:val="00CA7A38"/>
    <w:rPr>
      <w:rFonts w:asciiTheme="majorHAnsi" w:eastAsiaTheme="majorEastAsia" w:hAnsiTheme="majorHAnsi" w:cstheme="majorBidi"/>
      <w:i/>
      <w:iCs/>
      <w:color w:val="404040" w:themeColor="text1" w:themeTint="BF"/>
      <w:sz w:val="20"/>
      <w:szCs w:val="20"/>
    </w:rPr>
  </w:style>
  <w:style w:type="paragraph" w:styleId="ListParagraph">
    <w:name w:val="List Paragraph"/>
    <w:aliases w:val="List Paragraph1,Recommendation,List Paragraph11,List Paragraph2,L,CV text,Table text,F5 List Paragraph,Dot pt,List Paragraph111,Medium Grid 1 - Accent 21,Numbered Paragraph,Bullet text,Bulleted Para,NFP GP Bulleted List,FooterText,Bullets"/>
    <w:basedOn w:val="Normal"/>
    <w:link w:val="ListParagraphChar"/>
    <w:uiPriority w:val="34"/>
    <w:qFormat/>
    <w:rsid w:val="00CA7A38"/>
    <w:pPr>
      <w:ind w:left="720"/>
      <w:contextualSpacing/>
    </w:pPr>
  </w:style>
  <w:style w:type="paragraph" w:styleId="Header">
    <w:name w:val="header"/>
    <w:basedOn w:val="Normal"/>
    <w:link w:val="HeaderChar"/>
    <w:uiPriority w:val="99"/>
    <w:unhideWhenUsed/>
    <w:rsid w:val="00CA7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A38"/>
  </w:style>
  <w:style w:type="paragraph" w:styleId="Footer">
    <w:name w:val="footer"/>
    <w:basedOn w:val="Normal"/>
    <w:link w:val="FooterChar"/>
    <w:uiPriority w:val="99"/>
    <w:unhideWhenUsed/>
    <w:rsid w:val="00CA7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A38"/>
  </w:style>
  <w:style w:type="character" w:styleId="CommentReference">
    <w:name w:val="annotation reference"/>
    <w:basedOn w:val="DefaultParagraphFont"/>
    <w:uiPriority w:val="99"/>
    <w:semiHidden/>
    <w:unhideWhenUsed/>
    <w:rsid w:val="00CA7A38"/>
    <w:rPr>
      <w:sz w:val="16"/>
      <w:szCs w:val="16"/>
    </w:rPr>
  </w:style>
  <w:style w:type="paragraph" w:styleId="CommentText">
    <w:name w:val="annotation text"/>
    <w:basedOn w:val="Normal"/>
    <w:link w:val="CommentTextChar"/>
    <w:uiPriority w:val="99"/>
    <w:unhideWhenUsed/>
    <w:rsid w:val="00CA7A38"/>
    <w:pPr>
      <w:spacing w:line="240" w:lineRule="auto"/>
    </w:pPr>
    <w:rPr>
      <w:sz w:val="20"/>
      <w:szCs w:val="20"/>
    </w:rPr>
  </w:style>
  <w:style w:type="character" w:customStyle="1" w:styleId="CommentTextChar">
    <w:name w:val="Comment Text Char"/>
    <w:basedOn w:val="DefaultParagraphFont"/>
    <w:link w:val="CommentText"/>
    <w:uiPriority w:val="99"/>
    <w:rsid w:val="00CA7A38"/>
    <w:rPr>
      <w:sz w:val="20"/>
      <w:szCs w:val="20"/>
    </w:rPr>
  </w:style>
  <w:style w:type="paragraph" w:styleId="CommentSubject">
    <w:name w:val="annotation subject"/>
    <w:basedOn w:val="CommentText"/>
    <w:next w:val="CommentText"/>
    <w:link w:val="CommentSubjectChar"/>
    <w:uiPriority w:val="99"/>
    <w:semiHidden/>
    <w:unhideWhenUsed/>
    <w:rsid w:val="00CA7A38"/>
    <w:rPr>
      <w:b/>
      <w:bCs/>
    </w:rPr>
  </w:style>
  <w:style w:type="character" w:customStyle="1" w:styleId="CommentSubjectChar">
    <w:name w:val="Comment Subject Char"/>
    <w:basedOn w:val="CommentTextChar"/>
    <w:link w:val="CommentSubject"/>
    <w:uiPriority w:val="99"/>
    <w:semiHidden/>
    <w:rsid w:val="00CA7A38"/>
    <w:rPr>
      <w:b/>
      <w:bCs/>
      <w:sz w:val="20"/>
      <w:szCs w:val="20"/>
    </w:rPr>
  </w:style>
  <w:style w:type="paragraph" w:styleId="BalloonText">
    <w:name w:val="Balloon Text"/>
    <w:basedOn w:val="Normal"/>
    <w:link w:val="BalloonTextChar"/>
    <w:uiPriority w:val="99"/>
    <w:semiHidden/>
    <w:unhideWhenUsed/>
    <w:rsid w:val="00CA7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A38"/>
    <w:rPr>
      <w:rFonts w:ascii="Segoe UI" w:hAnsi="Segoe UI" w:cs="Segoe UI"/>
      <w:sz w:val="18"/>
      <w:szCs w:val="18"/>
    </w:rPr>
  </w:style>
  <w:style w:type="table" w:styleId="TableGrid">
    <w:name w:val="Table Grid"/>
    <w:basedOn w:val="TableNormal"/>
    <w:uiPriority w:val="59"/>
    <w:rsid w:val="00CA7A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A7A38"/>
  </w:style>
  <w:style w:type="paragraph" w:styleId="TOC1">
    <w:name w:val="toc 1"/>
    <w:basedOn w:val="Normal"/>
    <w:next w:val="Normal"/>
    <w:autoRedefine/>
    <w:uiPriority w:val="39"/>
    <w:unhideWhenUsed/>
    <w:rsid w:val="00CA7A38"/>
    <w:pPr>
      <w:spacing w:after="100"/>
    </w:pPr>
  </w:style>
  <w:style w:type="paragraph" w:styleId="TOC2">
    <w:name w:val="toc 2"/>
    <w:basedOn w:val="Normal"/>
    <w:next w:val="Normal"/>
    <w:autoRedefine/>
    <w:uiPriority w:val="39"/>
    <w:unhideWhenUsed/>
    <w:rsid w:val="00CA7A38"/>
    <w:pPr>
      <w:spacing w:after="100"/>
      <w:ind w:left="220"/>
    </w:pPr>
  </w:style>
  <w:style w:type="character" w:styleId="Hyperlink">
    <w:name w:val="Hyperlink"/>
    <w:basedOn w:val="DefaultParagraphFont"/>
    <w:uiPriority w:val="99"/>
    <w:unhideWhenUsed/>
    <w:rsid w:val="00CA7A38"/>
    <w:rPr>
      <w:color w:val="0563C1" w:themeColor="hyperlink"/>
      <w:u w:val="single"/>
    </w:rPr>
  </w:style>
  <w:style w:type="paragraph" w:styleId="Title">
    <w:name w:val="Title"/>
    <w:basedOn w:val="Normal"/>
    <w:next w:val="Normal"/>
    <w:link w:val="TitleChar"/>
    <w:qFormat/>
    <w:rsid w:val="00CA7A38"/>
    <w:pPr>
      <w:pBdr>
        <w:bottom w:val="single" w:sz="8" w:space="4" w:color="4F81BD"/>
      </w:pBdr>
      <w:spacing w:after="300" w:line="240" w:lineRule="auto"/>
      <w:contextualSpacing/>
      <w:jc w:val="both"/>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rsid w:val="00CA7A38"/>
    <w:rPr>
      <w:rFonts w:ascii="Cambria" w:eastAsia="Calibri" w:hAnsi="Cambria" w:cs="Times New Roman"/>
      <w:color w:val="17365D"/>
      <w:spacing w:val="5"/>
      <w:kern w:val="28"/>
      <w:sz w:val="52"/>
      <w:szCs w:val="52"/>
    </w:rPr>
  </w:style>
  <w:style w:type="table" w:styleId="MediumList1-Accent1">
    <w:name w:val="Medium List 1 Accent 1"/>
    <w:basedOn w:val="TableNormal"/>
    <w:uiPriority w:val="65"/>
    <w:rsid w:val="00CA7A3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character" w:customStyle="1" w:styleId="ListParagraphChar">
    <w:name w:val="List Paragraph Char"/>
    <w:aliases w:val="List Paragraph1 Char,Recommendation Char,List Paragraph11 Char,List Paragraph2 Char,L Char,CV text Char,Table text Char,F5 List Paragraph Char,Dot pt Char,List Paragraph111 Char,Medium Grid 1 - Accent 21 Char,Numbered Paragraph Char"/>
    <w:basedOn w:val="DefaultParagraphFont"/>
    <w:link w:val="ListParagraph"/>
    <w:uiPriority w:val="34"/>
    <w:qFormat/>
    <w:locked/>
    <w:rsid w:val="00CA7A38"/>
  </w:style>
  <w:style w:type="character" w:styleId="Emphasis">
    <w:name w:val="Emphasis"/>
    <w:basedOn w:val="DefaultParagraphFont"/>
    <w:uiPriority w:val="20"/>
    <w:qFormat/>
    <w:rsid w:val="00CA7A38"/>
    <w:rPr>
      <w:i/>
      <w:iCs/>
    </w:rPr>
  </w:style>
  <w:style w:type="paragraph" w:styleId="FootnoteText">
    <w:name w:val="footnote text"/>
    <w:aliases w:val="Footnote Text1,FOOTNOTES,fn,single space Char,single space,ft,Fußnote,ft Char Char,Footnote Text Char Char Char Char,Footnote Text Char Char Char Char Char,Footnote Text Char Char Char Char Char Char Char Char Char,Footnote Text Char1 Char"/>
    <w:basedOn w:val="Normal"/>
    <w:link w:val="FootnoteTextChar"/>
    <w:uiPriority w:val="99"/>
    <w:unhideWhenUsed/>
    <w:rsid w:val="00CA7A38"/>
    <w:pPr>
      <w:spacing w:after="0" w:line="240" w:lineRule="auto"/>
    </w:pPr>
    <w:rPr>
      <w:sz w:val="20"/>
      <w:szCs w:val="20"/>
      <w:lang w:val="en-GB"/>
    </w:rPr>
  </w:style>
  <w:style w:type="character" w:customStyle="1" w:styleId="FootnoteTextChar">
    <w:name w:val="Footnote Text Char"/>
    <w:aliases w:val="Footnote Text1 Char,FOOTNOTES Char,fn Char,single space Char Char,single space Char1,ft Char,Fußnote Char,ft Char Char Char,Footnote Text Char Char Char Char Char1,Footnote Text Char Char Char Char Char Char"/>
    <w:basedOn w:val="DefaultParagraphFont"/>
    <w:link w:val="FootnoteText"/>
    <w:uiPriority w:val="99"/>
    <w:rsid w:val="00CA7A38"/>
    <w:rPr>
      <w:sz w:val="20"/>
      <w:szCs w:val="20"/>
      <w:lang w:val="en-GB"/>
    </w:rPr>
  </w:style>
  <w:style w:type="character" w:styleId="FootnoteReference">
    <w:name w:val="footnote reference"/>
    <w:aliases w:val="ftref,16 Point,Superscript 6 Point,BVI fnr,Footnote text,Footnotes refss,Ref,de nota al pie,ftref1,ftref2,ftref11,SUPERS,referencia nota al pie Char Char,BVI fnr Char Char,BVI fnr Car Car Char Char,BVI fnr Car Char Char"/>
    <w:basedOn w:val="DefaultParagraphFont"/>
    <w:link w:val="referencianotaalpieChar"/>
    <w:uiPriority w:val="99"/>
    <w:unhideWhenUsed/>
    <w:qFormat/>
    <w:rsid w:val="00CA7A38"/>
    <w:rPr>
      <w:vertAlign w:val="superscript"/>
    </w:rPr>
  </w:style>
  <w:style w:type="table" w:customStyle="1" w:styleId="PlainTable11">
    <w:name w:val="Plain Table 11"/>
    <w:basedOn w:val="TableNormal"/>
    <w:uiPriority w:val="41"/>
    <w:rsid w:val="00CA7A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E2EFD9" w:themeFill="accent6"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Grid-Accent1">
    <w:name w:val="Light Grid Accent 1"/>
    <w:basedOn w:val="TableNormal"/>
    <w:uiPriority w:val="62"/>
    <w:rsid w:val="00CA7A38"/>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CA7A3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BuFootnote">
    <w:name w:val="Bu Footnote"/>
    <w:basedOn w:val="FootnoteText"/>
    <w:qFormat/>
    <w:rsid w:val="00CA7A38"/>
    <w:pPr>
      <w:jc w:val="both"/>
    </w:pPr>
    <w:rPr>
      <w:szCs w:val="24"/>
      <w:lang w:val="en-US"/>
    </w:rPr>
  </w:style>
  <w:style w:type="paragraph" w:styleId="NormalWeb">
    <w:name w:val="Normal (Web)"/>
    <w:basedOn w:val="Normal"/>
    <w:uiPriority w:val="99"/>
    <w:unhideWhenUsed/>
    <w:rsid w:val="00CA7A38"/>
    <w:pPr>
      <w:spacing w:before="240" w:after="240"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A7A38"/>
  </w:style>
  <w:style w:type="paragraph" w:styleId="BodyText">
    <w:name w:val="Body Text"/>
    <w:basedOn w:val="Normal"/>
    <w:link w:val="BodyTextChar"/>
    <w:uiPriority w:val="1"/>
    <w:qFormat/>
    <w:rsid w:val="00CA7A38"/>
    <w:pPr>
      <w:widowControl w:val="0"/>
      <w:spacing w:after="0" w:line="240" w:lineRule="auto"/>
      <w:ind w:left="160"/>
    </w:pPr>
    <w:rPr>
      <w:rFonts w:ascii="Calibri" w:eastAsia="Calibri" w:hAnsi="Calibri"/>
      <w:lang w:val="en-US" w:eastAsia="en-AU"/>
    </w:rPr>
  </w:style>
  <w:style w:type="character" w:customStyle="1" w:styleId="BodyTextChar">
    <w:name w:val="Body Text Char"/>
    <w:basedOn w:val="DefaultParagraphFont"/>
    <w:link w:val="BodyText"/>
    <w:uiPriority w:val="1"/>
    <w:rsid w:val="00CA7A38"/>
    <w:rPr>
      <w:rFonts w:ascii="Calibri" w:eastAsia="Calibri" w:hAnsi="Calibri"/>
      <w:lang w:val="en-US" w:eastAsia="en-AU"/>
    </w:rPr>
  </w:style>
  <w:style w:type="paragraph" w:customStyle="1" w:styleId="EndNoteBibliographyTitle">
    <w:name w:val="EndNote Bibliography Title"/>
    <w:basedOn w:val="Normal"/>
    <w:link w:val="EndNoteBibliographyTitleChar"/>
    <w:rsid w:val="00CA7A38"/>
    <w:pPr>
      <w:spacing w:after="0"/>
      <w:jc w:val="center"/>
    </w:pPr>
    <w:rPr>
      <w:rFonts w:ascii="Calibri" w:hAnsi="Calibri"/>
      <w:noProof/>
      <w:sz w:val="20"/>
      <w:szCs w:val="20"/>
      <w:lang w:val="en-US"/>
    </w:rPr>
  </w:style>
  <w:style w:type="character" w:customStyle="1" w:styleId="EndNoteBibliographyTitleChar">
    <w:name w:val="EndNote Bibliography Title Char"/>
    <w:basedOn w:val="FootnoteTextChar"/>
    <w:link w:val="EndNoteBibliographyTitle"/>
    <w:rsid w:val="00CA7A38"/>
    <w:rPr>
      <w:rFonts w:ascii="Calibri" w:hAnsi="Calibri"/>
      <w:noProof/>
      <w:sz w:val="20"/>
      <w:szCs w:val="20"/>
      <w:lang w:val="en-US"/>
    </w:rPr>
  </w:style>
  <w:style w:type="paragraph" w:customStyle="1" w:styleId="EndNoteBibliography">
    <w:name w:val="EndNote Bibliography"/>
    <w:basedOn w:val="Normal"/>
    <w:link w:val="EndNoteBibliographyChar"/>
    <w:rsid w:val="00CA7A38"/>
    <w:pPr>
      <w:spacing w:line="240" w:lineRule="auto"/>
    </w:pPr>
    <w:rPr>
      <w:rFonts w:ascii="Calibri" w:hAnsi="Calibri"/>
      <w:noProof/>
      <w:sz w:val="20"/>
      <w:szCs w:val="20"/>
      <w:lang w:val="en-US"/>
    </w:rPr>
  </w:style>
  <w:style w:type="character" w:customStyle="1" w:styleId="EndNoteBibliographyChar">
    <w:name w:val="EndNote Bibliography Char"/>
    <w:basedOn w:val="FootnoteTextChar"/>
    <w:link w:val="EndNoteBibliography"/>
    <w:rsid w:val="00CA7A38"/>
    <w:rPr>
      <w:rFonts w:ascii="Calibri" w:hAnsi="Calibri"/>
      <w:noProof/>
      <w:sz w:val="20"/>
      <w:szCs w:val="20"/>
      <w:lang w:val="en-US"/>
    </w:rPr>
  </w:style>
  <w:style w:type="paragraph" w:customStyle="1" w:styleId="HeidiBody">
    <w:name w:val="Heidi Body"/>
    <w:basedOn w:val="Normal"/>
    <w:qFormat/>
    <w:rsid w:val="00CA7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pPr>
    <w:rPr>
      <w:rFonts w:ascii="Arial" w:hAnsi="Arial" w:cs="Helvetica Neue Light"/>
      <w:szCs w:val="20"/>
      <w:lang w:val="en-US"/>
    </w:rPr>
  </w:style>
  <w:style w:type="character" w:styleId="IntenseEmphasis">
    <w:name w:val="Intense Emphasis"/>
    <w:basedOn w:val="DefaultParagraphFont"/>
    <w:uiPriority w:val="21"/>
    <w:qFormat/>
    <w:rsid w:val="00CA7A38"/>
    <w:rPr>
      <w:b/>
      <w:bCs/>
      <w:i/>
      <w:iCs/>
      <w:color w:val="5B9BD5" w:themeColor="accent1"/>
    </w:rPr>
  </w:style>
  <w:style w:type="table" w:customStyle="1" w:styleId="GridTable1Light-Accent11">
    <w:name w:val="Grid Table 1 Light - Accent 11"/>
    <w:basedOn w:val="TableNormal"/>
    <w:uiPriority w:val="46"/>
    <w:rsid w:val="00CA7A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Bullet">
    <w:name w:val="List Bullet"/>
    <w:basedOn w:val="Normal"/>
    <w:qFormat/>
    <w:rsid w:val="00CA7A38"/>
    <w:pPr>
      <w:numPr>
        <w:numId w:val="47"/>
      </w:numPr>
      <w:adjustRightInd w:val="0"/>
      <w:spacing w:after="120" w:line="240" w:lineRule="auto"/>
      <w:ind w:left="340" w:hanging="340"/>
      <w:textAlignment w:val="baseline"/>
    </w:pPr>
    <w:rPr>
      <w:rFonts w:ascii="Arial" w:eastAsia="Times New Roman" w:hAnsi="Arial" w:cs="Times New Roman"/>
      <w:sz w:val="20"/>
      <w:szCs w:val="24"/>
    </w:rPr>
  </w:style>
  <w:style w:type="table" w:styleId="TableContemporary">
    <w:name w:val="Table Contemporary"/>
    <w:basedOn w:val="TableNormal"/>
    <w:rsid w:val="00CA7A38"/>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CA7A38"/>
    <w:pPr>
      <w:spacing w:after="0" w:line="240" w:lineRule="auto"/>
    </w:p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CA7A38"/>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nsmolbag.org/DynamicPages.asp?cid=36&amp;navID=29"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ansmolbag.org/DynamicPages.asp?cid=24&amp;navID=29"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wansmolbag.org/DynamicPages.asp?cid=23&amp;navID=29" TargetMode="External"/><Relationship Id="rId10" Type="http://schemas.openxmlformats.org/officeDocument/2006/relationships/footer" Target="foot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wansmolbag.org/DynamicPages.asp?cid=21&amp;navID=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8E5768-49C1-4881-9AC5-30ECDD84ECB4}"/>
</file>

<file path=customXml/itemProps2.xml><?xml version="1.0" encoding="utf-8"?>
<ds:datastoreItem xmlns:ds="http://schemas.openxmlformats.org/officeDocument/2006/customXml" ds:itemID="{28498926-E143-49BB-857C-CBC3F6C84179}"/>
</file>

<file path=customXml/itemProps3.xml><?xml version="1.0" encoding="utf-8"?>
<ds:datastoreItem xmlns:ds="http://schemas.openxmlformats.org/officeDocument/2006/customXml" ds:itemID="{53A1A32D-85CE-4E6B-9D96-D8F1355BD9AC}"/>
</file>

<file path=customXml/itemProps4.xml><?xml version="1.0" encoding="utf-8"?>
<ds:datastoreItem xmlns:ds="http://schemas.openxmlformats.org/officeDocument/2006/customXml" ds:itemID="{F774CFF6-1330-4912-ABBE-88A752EC97EE}"/>
</file>

<file path=docProps/app.xml><?xml version="1.0" encoding="utf-8"?>
<Properties xmlns="http://schemas.openxmlformats.org/officeDocument/2006/extended-properties" xmlns:vt="http://schemas.openxmlformats.org/officeDocument/2006/docPropsVTypes">
  <Template>796F1586</Template>
  <TotalTime>80</TotalTime>
  <Pages>1</Pages>
  <Words>26259</Words>
  <Characters>149680</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175588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Dicker</dc:creator>
  <cp:lastModifiedBy>Robertson, Matthew</cp:lastModifiedBy>
  <cp:revision>7</cp:revision>
  <cp:lastPrinted>2016-09-05T03:31:00Z</cp:lastPrinted>
  <dcterms:created xsi:type="dcterms:W3CDTF">2016-09-12T01:47:00Z</dcterms:created>
  <dcterms:modified xsi:type="dcterms:W3CDTF">2016-09-12T04:01:00Z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1b0ba7ea-1be6-48e6-b061-a94df3bef98d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60200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