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3D352D" w:rsidRDefault="00145A3A" w:rsidP="00D146A2">
      <w:bookmarkStart w:id="0" w:name="_GoBack"/>
      <w:bookmarkEnd w:id="0"/>
      <w:r>
        <w:rPr>
          <w:noProof/>
          <w:lang w:val="en-AU" w:eastAsia="en-AU"/>
        </w:rPr>
        <w:drawing>
          <wp:anchor distT="0" distB="0" distL="114300" distR="114300" simplePos="0" relativeHeight="251686912" behindDoc="1" locked="1" layoutInCell="1" allowOverlap="1" wp14:anchorId="599014E2" wp14:editId="077DF80C">
            <wp:simplePos x="0" y="0"/>
            <wp:positionH relativeFrom="page">
              <wp:posOffset>872490</wp:posOffset>
            </wp:positionH>
            <wp:positionV relativeFrom="page">
              <wp:posOffset>1561465</wp:posOffset>
            </wp:positionV>
            <wp:extent cx="3167380" cy="5543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00A56F14">
        <w:rPr>
          <w:noProof/>
          <w:lang w:val="en-AU" w:eastAsia="en-AU"/>
        </w:rPr>
        <w:drawing>
          <wp:anchor distT="0" distB="0" distL="114300" distR="114300" simplePos="0" relativeHeight="251659264" behindDoc="1" locked="1" layoutInCell="1" allowOverlap="1" wp14:anchorId="619E8947" wp14:editId="50C277B9">
            <wp:simplePos x="0" y="0"/>
            <wp:positionH relativeFrom="page">
              <wp:posOffset>-23495</wp:posOffset>
            </wp:positionH>
            <wp:positionV relativeFrom="page">
              <wp:posOffset>25400</wp:posOffset>
            </wp:positionV>
            <wp:extent cx="7585075" cy="1069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585075" cy="10694035"/>
                    </a:xfrm>
                    <a:prstGeom prst="rect">
                      <a:avLst/>
                    </a:prstGeom>
                  </pic:spPr>
                </pic:pic>
              </a:graphicData>
            </a:graphic>
            <wp14:sizeRelH relativeFrom="margin">
              <wp14:pctWidth>0</wp14:pctWidth>
            </wp14:sizeRelH>
            <wp14:sizeRelV relativeFrom="margin">
              <wp14:pctHeight>0</wp14:pctHeight>
            </wp14:sizeRelV>
          </wp:anchor>
        </w:drawing>
      </w:r>
    </w:p>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A56F14" w:rsidRPr="0059146A" w:rsidRDefault="00A56F14" w:rsidP="00A56F14"/>
    <w:p w:rsidR="00A56F14" w:rsidRPr="0059146A" w:rsidRDefault="00A56F14" w:rsidP="0059146A"/>
    <w:p w:rsidR="00A56F14" w:rsidRDefault="00A56F14" w:rsidP="0059146A"/>
    <w:p w:rsidR="0059146A" w:rsidRDefault="0059146A" w:rsidP="0059146A"/>
    <w:p w:rsidR="0059146A" w:rsidRDefault="0059146A" w:rsidP="0059146A"/>
    <w:p w:rsidR="0059146A" w:rsidRDefault="0059146A" w:rsidP="0059146A"/>
    <w:p w:rsidR="0059146A" w:rsidRPr="0059146A" w:rsidRDefault="0059146A" w:rsidP="0059146A"/>
    <w:p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report 201</w:t>
      </w:r>
      <w:r w:rsidR="00550890">
        <w:rPr>
          <w:spacing w:val="-20"/>
          <w:sz w:val="60"/>
        </w:rPr>
        <w:t>8-19</w:t>
      </w:r>
    </w:p>
    <w:p w:rsidR="0059146A" w:rsidRDefault="009249E2" w:rsidP="00A56F14">
      <w:pPr>
        <w:rPr>
          <w:sz w:val="24"/>
        </w:rPr>
        <w:sectPr w:rsidR="0059146A" w:rsidSect="00A56F14">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titlePg/>
          <w:docGrid w:linePitch="360"/>
        </w:sectPr>
      </w:pPr>
      <w:r>
        <w:rPr>
          <w:sz w:val="40"/>
        </w:rPr>
        <w:t>Vanuatu</w:t>
      </w:r>
      <w:r w:rsidR="0059146A">
        <w:rPr>
          <w:sz w:val="40"/>
        </w:rPr>
        <w:br/>
      </w:r>
      <w:r w:rsidR="0059146A" w:rsidRPr="0059146A">
        <w:rPr>
          <w:sz w:val="24"/>
        </w:rPr>
        <w:t>September 201</w:t>
      </w:r>
      <w:r w:rsidR="00550890">
        <w:rPr>
          <w:sz w:val="24"/>
        </w:rPr>
        <w:t>9</w:t>
      </w:r>
    </w:p>
    <w:p w:rsidR="008D79E5" w:rsidRDefault="009249E2" w:rsidP="00E01C62">
      <w:pPr>
        <w:pStyle w:val="Title"/>
        <w:spacing w:before="120" w:after="240" w:line="300" w:lineRule="exact"/>
        <w:contextualSpacing w:val="0"/>
        <w:rPr>
          <w:szCs w:val="38"/>
        </w:rPr>
      </w:pPr>
      <w:r>
        <w:rPr>
          <w:szCs w:val="38"/>
        </w:rPr>
        <w:lastRenderedPageBreak/>
        <w:t>VANUATU A</w:t>
      </w:r>
      <w:r w:rsidR="005B5769" w:rsidRPr="00BB648A">
        <w:rPr>
          <w:szCs w:val="38"/>
        </w:rPr>
        <w:t>id Program Performance Information</w:t>
      </w:r>
    </w:p>
    <w:p w:rsidR="005B5769" w:rsidRPr="00BB648A" w:rsidRDefault="005B5769" w:rsidP="00E01C62">
      <w:pPr>
        <w:pStyle w:val="Title"/>
        <w:spacing w:before="120" w:after="240" w:line="300" w:lineRule="exact"/>
        <w:contextualSpacing w:val="0"/>
        <w:rPr>
          <w:szCs w:val="38"/>
        </w:rPr>
      </w:pPr>
      <w:r w:rsidRPr="00BB648A">
        <w:rPr>
          <w:szCs w:val="38"/>
        </w:rPr>
        <w:t>201</w:t>
      </w:r>
      <w:r w:rsidR="00272B5F">
        <w:rPr>
          <w:szCs w:val="38"/>
        </w:rPr>
        <w:t>8-19</w:t>
      </w:r>
    </w:p>
    <w:p w:rsidR="008D79E5" w:rsidRPr="00DE3DCB" w:rsidRDefault="008D79E5" w:rsidP="005C7A7A">
      <w:pPr>
        <w:pStyle w:val="ListBullet"/>
        <w:tabs>
          <w:tab w:val="clear" w:pos="284"/>
        </w:tabs>
        <w:spacing w:before="240" w:after="60" w:line="300" w:lineRule="exact"/>
        <w:rPr>
          <w:rFonts w:eastAsiaTheme="majorEastAsia"/>
          <w:kern w:val="28"/>
        </w:rPr>
      </w:pPr>
      <w:r w:rsidRPr="002A51CA">
        <w:rPr>
          <w:rFonts w:asciiTheme="majorHAnsi" w:eastAsiaTheme="majorEastAsia" w:hAnsiTheme="majorHAnsi" w:cstheme="majorBidi"/>
          <w:caps/>
          <w:color w:val="495965" w:themeColor="text2"/>
          <w:sz w:val="38"/>
          <w:szCs w:val="26"/>
          <w:lang w:val="en-GB" w:eastAsia="en-US"/>
        </w:rPr>
        <w:t>Key Messages</w:t>
      </w:r>
    </w:p>
    <w:p w:rsidR="00610F6A" w:rsidRPr="00BB3BB9" w:rsidRDefault="00610F6A" w:rsidP="00610F6A">
      <w:pPr>
        <w:spacing w:after="120"/>
        <w:rPr>
          <w:rFonts w:ascii="Calibri Light" w:hAnsi="Calibri Light"/>
          <w:color w:val="000000"/>
          <w:kern w:val="20"/>
        </w:rPr>
      </w:pPr>
      <w:r w:rsidRPr="00BB3BB9">
        <w:rPr>
          <w:rFonts w:ascii="Calibri Light" w:hAnsi="Calibri Light"/>
          <w:color w:val="000000"/>
          <w:kern w:val="20"/>
        </w:rPr>
        <w:t xml:space="preserve">This report summarises the performance of Australia’s aid program in Vanuatu from July 2018 to June 2019 against the Vanuatu Aid Investment Plan </w:t>
      </w:r>
      <w:r w:rsidR="00F73A03">
        <w:rPr>
          <w:rFonts w:ascii="Calibri Light" w:hAnsi="Calibri Light"/>
          <w:color w:val="000000"/>
          <w:kern w:val="20"/>
        </w:rPr>
        <w:t xml:space="preserve">(AIP) </w:t>
      </w:r>
      <w:r w:rsidRPr="00BB3BB9">
        <w:rPr>
          <w:rFonts w:ascii="Calibri Light" w:hAnsi="Calibri Light"/>
          <w:color w:val="000000"/>
          <w:kern w:val="20"/>
        </w:rPr>
        <w:t>2015-16 to 2018-19.</w:t>
      </w:r>
    </w:p>
    <w:p w:rsidR="0015328F" w:rsidRPr="0015328F" w:rsidRDefault="00610F6A" w:rsidP="0015328F">
      <w:pPr>
        <w:suppressAutoHyphens w:val="0"/>
        <w:spacing w:before="0" w:after="0" w:line="240" w:lineRule="auto"/>
        <w:rPr>
          <w:rFonts w:ascii="Calibri Light" w:eastAsia="Calibri" w:hAnsi="Calibri Light" w:cs="Times New Roman"/>
          <w:bCs/>
          <w:color w:val="000000"/>
          <w:kern w:val="20"/>
          <w:lang w:eastAsia="ja-JP"/>
        </w:rPr>
      </w:pPr>
      <w:r w:rsidRPr="001E2F69">
        <w:rPr>
          <w:rFonts w:ascii="Calibri Light" w:eastAsia="Calibri" w:hAnsi="Calibri Light" w:cs="Times New Roman"/>
          <w:b/>
          <w:color w:val="000000"/>
          <w:kern w:val="20"/>
          <w:lang w:eastAsia="ja-JP"/>
        </w:rPr>
        <w:t>Australia and Vanuatu have a strong and enduring bilateral relationship</w:t>
      </w:r>
      <w:r>
        <w:rPr>
          <w:rFonts w:ascii="Calibri Light" w:eastAsia="Calibri" w:hAnsi="Calibri Light" w:cs="Times New Roman"/>
          <w:b/>
          <w:color w:val="000000"/>
          <w:kern w:val="20"/>
          <w:lang w:eastAsia="ja-JP"/>
        </w:rPr>
        <w:t>,</w:t>
      </w:r>
      <w:r w:rsidRPr="00BB3BB9">
        <w:rPr>
          <w:rFonts w:ascii="Calibri Light" w:hAnsi="Calibri Light"/>
          <w:b/>
          <w:color w:val="000000"/>
          <w:kern w:val="20"/>
        </w:rPr>
        <w:t xml:space="preserve"> </w:t>
      </w:r>
      <w:r w:rsidRPr="004C1035">
        <w:rPr>
          <w:rFonts w:ascii="Calibri Light" w:eastAsia="Calibri" w:hAnsi="Calibri Light" w:cs="Times New Roman"/>
          <w:color w:val="000000"/>
          <w:kern w:val="20"/>
          <w:lang w:eastAsia="ja-JP"/>
        </w:rPr>
        <w:t>b</w:t>
      </w:r>
      <w:r w:rsidRPr="001E2F69">
        <w:rPr>
          <w:rFonts w:ascii="Calibri Light" w:eastAsia="Calibri" w:hAnsi="Calibri Light" w:cs="Times New Roman"/>
          <w:color w:val="000000"/>
          <w:kern w:val="20"/>
          <w:lang w:eastAsia="ja-JP"/>
        </w:rPr>
        <w:t xml:space="preserve">ased on shared </w:t>
      </w:r>
      <w:r>
        <w:rPr>
          <w:rFonts w:ascii="Calibri Light" w:eastAsia="Calibri" w:hAnsi="Calibri Light" w:cs="Times New Roman"/>
          <w:color w:val="000000"/>
          <w:kern w:val="20"/>
          <w:lang w:eastAsia="ja-JP"/>
        </w:rPr>
        <w:t xml:space="preserve">values and </w:t>
      </w:r>
      <w:r w:rsidRPr="001E2F69">
        <w:rPr>
          <w:rFonts w:ascii="Calibri Light" w:eastAsia="Calibri" w:hAnsi="Calibri Light" w:cs="Times New Roman"/>
          <w:color w:val="000000"/>
          <w:kern w:val="20"/>
          <w:lang w:eastAsia="ja-JP"/>
        </w:rPr>
        <w:t xml:space="preserve">mutual interests in a prosperous and stable Vanuatu. </w:t>
      </w:r>
      <w:r w:rsidR="002926FE">
        <w:rPr>
          <w:rFonts w:ascii="Calibri Light" w:eastAsia="Calibri" w:hAnsi="Calibri Light" w:cs="Times New Roman"/>
          <w:color w:val="000000"/>
          <w:kern w:val="20"/>
          <w:lang w:eastAsia="ja-JP"/>
        </w:rPr>
        <w:t>Australia</w:t>
      </w:r>
      <w:r w:rsidR="002926FE" w:rsidRPr="002926FE">
        <w:rPr>
          <w:rFonts w:ascii="Calibri Light" w:eastAsia="Calibri" w:hAnsi="Calibri Light" w:cs="Times New Roman"/>
          <w:color w:val="000000"/>
          <w:kern w:val="20"/>
          <w:lang w:eastAsia="ja-JP"/>
        </w:rPr>
        <w:t xml:space="preserve"> </w:t>
      </w:r>
      <w:r w:rsidR="0015328F" w:rsidRPr="002926FE">
        <w:rPr>
          <w:rFonts w:ascii="Calibri Light" w:eastAsia="Calibri" w:hAnsi="Calibri Light" w:cs="Times New Roman"/>
          <w:color w:val="000000"/>
          <w:kern w:val="20"/>
          <w:lang w:eastAsia="ja-JP"/>
        </w:rPr>
        <w:t>established diplomatic relations in 1978 and championed the case for Vanuatu’s independence in the United Nations and Pacific Forums in the lead up to independence</w:t>
      </w:r>
      <w:r w:rsidR="002926FE" w:rsidRPr="002926FE">
        <w:rPr>
          <w:rFonts w:ascii="Calibri Light" w:eastAsia="Calibri" w:hAnsi="Calibri Light" w:cs="Times New Roman"/>
          <w:color w:val="000000"/>
          <w:kern w:val="20"/>
          <w:lang w:eastAsia="ja-JP"/>
        </w:rPr>
        <w:t>. We continue to work closely with Vanuatu</w:t>
      </w:r>
      <w:r w:rsidR="0015328F" w:rsidRPr="002926FE">
        <w:rPr>
          <w:rFonts w:ascii="Calibri Light" w:eastAsia="Calibri" w:hAnsi="Calibri Light" w:cs="Times New Roman"/>
          <w:color w:val="000000"/>
          <w:kern w:val="20"/>
          <w:lang w:eastAsia="ja-JP"/>
        </w:rPr>
        <w:t xml:space="preserve">, </w:t>
      </w:r>
      <w:r w:rsidR="008B5AC8" w:rsidRPr="005C2DC3">
        <w:rPr>
          <w:rFonts w:ascii="Calibri Light" w:eastAsia="Calibri" w:hAnsi="Calibri Light" w:cs="Times New Roman"/>
          <w:color w:val="000000"/>
          <w:kern w:val="20"/>
          <w:lang w:val="en-AU" w:eastAsia="ja-JP"/>
        </w:rPr>
        <w:t>i</w:t>
      </w:r>
      <w:r w:rsidR="007752EE" w:rsidRPr="005C2DC3">
        <w:rPr>
          <w:rFonts w:ascii="Calibri Light" w:eastAsia="Calibri" w:hAnsi="Calibri Light" w:cs="Times New Roman"/>
          <w:color w:val="000000"/>
          <w:kern w:val="20"/>
          <w:lang w:val="en-AU" w:eastAsia="ja-JP"/>
        </w:rPr>
        <w:t>ncluding</w:t>
      </w:r>
      <w:r w:rsidR="00656A44" w:rsidRPr="005C2DC3">
        <w:rPr>
          <w:rFonts w:ascii="Calibri Light" w:eastAsia="Calibri" w:hAnsi="Calibri Light" w:cs="Times New Roman"/>
          <w:color w:val="000000"/>
          <w:kern w:val="20"/>
          <w:lang w:val="en-AU" w:eastAsia="ja-JP"/>
        </w:rPr>
        <w:t xml:space="preserve"> as</w:t>
      </w:r>
      <w:r w:rsidRPr="005C2DC3">
        <w:rPr>
          <w:rFonts w:ascii="Calibri Light" w:eastAsia="Calibri" w:hAnsi="Calibri Light" w:cs="Times New Roman"/>
          <w:color w:val="000000"/>
          <w:kern w:val="20"/>
          <w:lang w:val="en-AU" w:eastAsia="ja-JP"/>
        </w:rPr>
        <w:t xml:space="preserve"> a major foreign investment and trading partner, and principal security partner</w:t>
      </w:r>
      <w:r w:rsidRPr="00CA36EA">
        <w:rPr>
          <w:rFonts w:ascii="Calibri Light" w:eastAsia="Calibri" w:hAnsi="Calibri Light" w:cs="Times New Roman"/>
          <w:color w:val="000000"/>
          <w:kern w:val="20"/>
          <w:lang w:val="en-AU" w:eastAsia="ja-JP"/>
        </w:rPr>
        <w:t>.</w:t>
      </w:r>
      <w:r>
        <w:rPr>
          <w:rFonts w:ascii="Calibri Light" w:eastAsia="Calibri" w:hAnsi="Calibri Light" w:cs="Times New Roman"/>
          <w:color w:val="000000"/>
          <w:kern w:val="20"/>
          <w:lang w:val="en-AU" w:eastAsia="ja-JP"/>
        </w:rPr>
        <w:t xml:space="preserve"> </w:t>
      </w:r>
      <w:r w:rsidR="0015328F">
        <w:rPr>
          <w:rFonts w:ascii="Calibri Light" w:eastAsia="Calibri" w:hAnsi="Calibri Light" w:cs="Times New Roman"/>
          <w:color w:val="000000"/>
          <w:kern w:val="20"/>
          <w:lang w:val="en-AU" w:eastAsia="ja-JP"/>
        </w:rPr>
        <w:t>Australi</w:t>
      </w:r>
      <w:r w:rsidR="0015328F" w:rsidRPr="0015328F">
        <w:rPr>
          <w:rFonts w:ascii="Calibri Light" w:eastAsia="Calibri" w:hAnsi="Calibri Light" w:cs="Times New Roman"/>
          <w:color w:val="000000"/>
          <w:kern w:val="20"/>
          <w:lang w:val="en-AU" w:eastAsia="ja-JP"/>
        </w:rPr>
        <w:t xml:space="preserve">a’s engagement aligns with </w:t>
      </w:r>
      <w:r w:rsidR="0015328F" w:rsidRPr="0015328F">
        <w:rPr>
          <w:rFonts w:ascii="Calibri Light" w:eastAsia="Calibri" w:hAnsi="Calibri Light" w:cs="Times New Roman"/>
          <w:bCs/>
          <w:color w:val="000000"/>
          <w:kern w:val="20"/>
          <w:lang w:eastAsia="ja-JP"/>
        </w:rPr>
        <w:t xml:space="preserve">Vanuatu’s </w:t>
      </w:r>
      <w:r w:rsidR="0015328F" w:rsidRPr="000146E4">
        <w:rPr>
          <w:rFonts w:ascii="Calibri Light" w:eastAsia="Calibri" w:hAnsi="Calibri Light" w:cs="Times New Roman"/>
          <w:bCs/>
          <w:i/>
          <w:color w:val="000000"/>
          <w:kern w:val="20"/>
          <w:lang w:eastAsia="ja-JP"/>
        </w:rPr>
        <w:t>National Sus</w:t>
      </w:r>
      <w:r w:rsidR="004E0C79" w:rsidRPr="000146E4">
        <w:rPr>
          <w:rFonts w:ascii="Calibri Light" w:eastAsia="Calibri" w:hAnsi="Calibri Light" w:cs="Times New Roman"/>
          <w:bCs/>
          <w:i/>
          <w:color w:val="000000"/>
          <w:kern w:val="20"/>
          <w:lang w:eastAsia="ja-JP"/>
        </w:rPr>
        <w:t>t</w:t>
      </w:r>
      <w:r w:rsidR="0015328F" w:rsidRPr="000146E4">
        <w:rPr>
          <w:rFonts w:ascii="Calibri Light" w:eastAsia="Calibri" w:hAnsi="Calibri Light" w:cs="Times New Roman"/>
          <w:bCs/>
          <w:i/>
          <w:color w:val="000000"/>
          <w:kern w:val="20"/>
          <w:lang w:eastAsia="ja-JP"/>
        </w:rPr>
        <w:t xml:space="preserve">ainable Development </w:t>
      </w:r>
      <w:r w:rsidR="00FC0BB9">
        <w:rPr>
          <w:rFonts w:ascii="Calibri Light" w:eastAsia="Calibri" w:hAnsi="Calibri Light" w:cs="Times New Roman"/>
          <w:bCs/>
          <w:i/>
          <w:color w:val="000000"/>
          <w:kern w:val="20"/>
          <w:lang w:eastAsia="ja-JP"/>
        </w:rPr>
        <w:t>Plan</w:t>
      </w:r>
      <w:r w:rsidR="0015328F" w:rsidRPr="000146E4">
        <w:rPr>
          <w:rFonts w:ascii="Calibri Light" w:eastAsia="Calibri" w:hAnsi="Calibri Light" w:cs="Times New Roman"/>
          <w:bCs/>
          <w:i/>
          <w:color w:val="000000"/>
          <w:kern w:val="20"/>
          <w:lang w:eastAsia="ja-JP"/>
        </w:rPr>
        <w:t xml:space="preserve"> 2030</w:t>
      </w:r>
      <w:r w:rsidR="0015328F" w:rsidRPr="0015328F">
        <w:rPr>
          <w:rFonts w:ascii="Calibri Light" w:eastAsia="Calibri" w:hAnsi="Calibri Light" w:cs="Times New Roman"/>
          <w:bCs/>
          <w:color w:val="000000"/>
          <w:kern w:val="20"/>
          <w:lang w:eastAsia="ja-JP"/>
        </w:rPr>
        <w:t xml:space="preserve"> and Australia</w:t>
      </w:r>
      <w:r w:rsidR="002926FE">
        <w:rPr>
          <w:rFonts w:ascii="Calibri Light" w:eastAsia="Calibri" w:hAnsi="Calibri Light" w:cs="Times New Roman"/>
          <w:bCs/>
          <w:color w:val="000000"/>
          <w:kern w:val="20"/>
          <w:lang w:eastAsia="ja-JP"/>
        </w:rPr>
        <w:t>’s</w:t>
      </w:r>
      <w:r w:rsidR="0015328F" w:rsidRPr="0015328F">
        <w:rPr>
          <w:rFonts w:ascii="Calibri Light" w:eastAsia="Calibri" w:hAnsi="Calibri Light" w:cs="Times New Roman"/>
          <w:bCs/>
          <w:color w:val="000000"/>
          <w:kern w:val="20"/>
          <w:lang w:eastAsia="ja-JP"/>
        </w:rPr>
        <w:t xml:space="preserve"> 2017 </w:t>
      </w:r>
      <w:r w:rsidR="0015328F" w:rsidRPr="000146E4">
        <w:rPr>
          <w:rFonts w:ascii="Calibri Light" w:eastAsia="Calibri" w:hAnsi="Calibri Light" w:cs="Times New Roman"/>
          <w:bCs/>
          <w:i/>
          <w:color w:val="000000"/>
          <w:kern w:val="20"/>
          <w:lang w:eastAsia="ja-JP"/>
        </w:rPr>
        <w:t>Foreign Policy White Paper</w:t>
      </w:r>
      <w:r w:rsidR="0015328F" w:rsidRPr="0015328F">
        <w:rPr>
          <w:rFonts w:ascii="Calibri Light" w:eastAsia="Calibri" w:hAnsi="Calibri Light" w:cs="Times New Roman"/>
          <w:bCs/>
          <w:color w:val="000000"/>
          <w:kern w:val="20"/>
          <w:lang w:eastAsia="ja-JP"/>
        </w:rPr>
        <w:t xml:space="preserve"> and Pacific Step-up Strategy. Engagement in 2018-19 demonstrated Australia’s </w:t>
      </w:r>
      <w:r w:rsidR="000146E4">
        <w:rPr>
          <w:rFonts w:ascii="Calibri Light" w:eastAsia="Calibri" w:hAnsi="Calibri Light" w:cs="Times New Roman"/>
          <w:bCs/>
          <w:color w:val="000000"/>
          <w:kern w:val="20"/>
          <w:lang w:eastAsia="ja-JP"/>
        </w:rPr>
        <w:t xml:space="preserve">strengthened </w:t>
      </w:r>
      <w:r w:rsidR="0015328F" w:rsidRPr="0015328F">
        <w:rPr>
          <w:rFonts w:ascii="Calibri Light" w:eastAsia="Calibri" w:hAnsi="Calibri Light" w:cs="Times New Roman"/>
          <w:bCs/>
          <w:color w:val="000000"/>
          <w:kern w:val="20"/>
          <w:lang w:eastAsia="ja-JP"/>
        </w:rPr>
        <w:t>strategic partnership with Vanuatu.</w:t>
      </w:r>
    </w:p>
    <w:p w:rsidR="00610F6A" w:rsidRDefault="0015328F" w:rsidP="00341B2E">
      <w:pPr>
        <w:rPr>
          <w:rFonts w:ascii="Calibri Light" w:eastAsia="Calibri" w:hAnsi="Calibri Light" w:cs="Times New Roman"/>
          <w:color w:val="000000"/>
          <w:kern w:val="20"/>
          <w:lang w:val="en-AU" w:eastAsia="ja-JP"/>
        </w:rPr>
      </w:pPr>
      <w:r w:rsidRPr="0015328F">
        <w:rPr>
          <w:rFonts w:ascii="Calibri Light" w:eastAsia="Calibri" w:hAnsi="Calibri Light" w:cs="Times New Roman"/>
          <w:b/>
          <w:color w:val="000000"/>
          <w:kern w:val="20"/>
          <w:lang w:eastAsia="ja-JP"/>
        </w:rPr>
        <w:t>Australia is Vanuatu’s largest bilateral development partner</w:t>
      </w:r>
      <w:r>
        <w:rPr>
          <w:rFonts w:ascii="Calibri Light" w:eastAsia="Calibri" w:hAnsi="Calibri Light" w:cs="Times New Roman"/>
          <w:color w:val="000000"/>
          <w:kern w:val="20"/>
          <w:lang w:eastAsia="ja-JP"/>
        </w:rPr>
        <w:t xml:space="preserve">, </w:t>
      </w:r>
      <w:r w:rsidRPr="00A9369A">
        <w:rPr>
          <w:rFonts w:ascii="Calibri Light" w:eastAsia="Calibri" w:hAnsi="Calibri Light" w:cs="Times New Roman"/>
          <w:color w:val="000000"/>
          <w:kern w:val="20"/>
          <w:lang w:eastAsia="ja-JP"/>
        </w:rPr>
        <w:t xml:space="preserve">providing </w:t>
      </w:r>
      <w:r w:rsidR="00610F6A" w:rsidRPr="00A9369A">
        <w:rPr>
          <w:rFonts w:ascii="Calibri Light" w:eastAsia="Calibri" w:hAnsi="Calibri Light" w:cs="Times New Roman"/>
          <w:color w:val="000000"/>
          <w:kern w:val="20"/>
          <w:lang w:eastAsia="ja-JP"/>
        </w:rPr>
        <w:t>$63 million in grant</w:t>
      </w:r>
      <w:r w:rsidR="002926FE" w:rsidRPr="00A9369A">
        <w:rPr>
          <w:rFonts w:ascii="Calibri Light" w:eastAsia="Calibri" w:hAnsi="Calibri Light" w:cs="Times New Roman"/>
          <w:color w:val="000000"/>
          <w:kern w:val="20"/>
          <w:lang w:eastAsia="ja-JP"/>
        </w:rPr>
        <w:t>-</w:t>
      </w:r>
      <w:r w:rsidR="00610F6A" w:rsidRPr="00A9369A">
        <w:rPr>
          <w:rFonts w:ascii="Calibri Light" w:eastAsia="Calibri" w:hAnsi="Calibri Light" w:cs="Times New Roman"/>
          <w:color w:val="000000"/>
          <w:kern w:val="20"/>
          <w:lang w:eastAsia="ja-JP"/>
        </w:rPr>
        <w:t>based Official Development Assistance (ODA) to Vanuatu</w:t>
      </w:r>
      <w:r w:rsidR="00610F6A" w:rsidRPr="00A9369A">
        <w:rPr>
          <w:rFonts w:ascii="Calibri Light" w:eastAsia="Calibri" w:hAnsi="Calibri Light" w:cs="Times New Roman"/>
          <w:color w:val="000000"/>
          <w:kern w:val="20"/>
          <w:lang w:val="en-AU" w:eastAsia="ja-JP"/>
        </w:rPr>
        <w:t xml:space="preserve"> in 2018-19. The focus of </w:t>
      </w:r>
      <w:r w:rsidR="00A9369A" w:rsidRPr="00A9369A">
        <w:rPr>
          <w:rFonts w:ascii="Calibri Light" w:eastAsia="Calibri" w:hAnsi="Calibri Light" w:cs="Times New Roman"/>
          <w:color w:val="000000"/>
          <w:kern w:val="20"/>
          <w:lang w:val="en-AU" w:eastAsia="ja-JP"/>
        </w:rPr>
        <w:t>Australia’s</w:t>
      </w:r>
      <w:r w:rsidR="00610F6A" w:rsidRPr="00A9369A">
        <w:rPr>
          <w:rFonts w:ascii="Calibri Light" w:eastAsia="Calibri" w:hAnsi="Calibri Light" w:cs="Times New Roman"/>
          <w:color w:val="000000"/>
          <w:kern w:val="20"/>
          <w:lang w:val="en-AU" w:eastAsia="ja-JP"/>
        </w:rPr>
        <w:t xml:space="preserve"> </w:t>
      </w:r>
      <w:r w:rsidR="002926FE" w:rsidRPr="00A9369A">
        <w:rPr>
          <w:rFonts w:ascii="Calibri Light" w:eastAsia="Calibri" w:hAnsi="Calibri Light" w:cs="Times New Roman"/>
          <w:color w:val="000000"/>
          <w:kern w:val="20"/>
          <w:lang w:val="en-AU" w:eastAsia="ja-JP"/>
        </w:rPr>
        <w:t>aid program</w:t>
      </w:r>
      <w:r w:rsidR="00610F6A" w:rsidRPr="00A9369A">
        <w:rPr>
          <w:rFonts w:ascii="Calibri Light" w:eastAsia="Calibri" w:hAnsi="Calibri Light" w:cs="Times New Roman"/>
          <w:color w:val="000000"/>
          <w:kern w:val="20"/>
          <w:lang w:val="en-AU" w:eastAsia="ja-JP"/>
        </w:rPr>
        <w:t xml:space="preserve"> is to support the development of secure and effective governance systems and institutions and facilitate</w:t>
      </w:r>
      <w:r w:rsidR="00610F6A" w:rsidRPr="00207232">
        <w:rPr>
          <w:rFonts w:ascii="Calibri Light" w:eastAsia="Calibri" w:hAnsi="Calibri Light" w:cs="Times New Roman"/>
          <w:color w:val="000000"/>
          <w:kern w:val="20"/>
          <w:lang w:val="en-AU" w:eastAsia="ja-JP"/>
        </w:rPr>
        <w:t xml:space="preserve"> economic growth</w:t>
      </w:r>
      <w:r w:rsidR="00610F6A">
        <w:rPr>
          <w:rFonts w:ascii="Calibri Light" w:eastAsia="Calibri" w:hAnsi="Calibri Light" w:cs="Times New Roman"/>
          <w:color w:val="000000"/>
          <w:kern w:val="20"/>
          <w:lang w:val="en-AU" w:eastAsia="ja-JP"/>
        </w:rPr>
        <w:t xml:space="preserve">, to enable </w:t>
      </w:r>
      <w:r w:rsidR="000E17D7">
        <w:rPr>
          <w:rFonts w:ascii="Calibri Light" w:eastAsia="Calibri" w:hAnsi="Calibri Light" w:cs="Times New Roman"/>
          <w:color w:val="000000"/>
          <w:kern w:val="20"/>
          <w:lang w:val="en-AU" w:eastAsia="ja-JP"/>
        </w:rPr>
        <w:t>better-educated</w:t>
      </w:r>
      <w:r w:rsidR="00610F6A">
        <w:rPr>
          <w:rFonts w:ascii="Calibri Light" w:eastAsia="Calibri" w:hAnsi="Calibri Light" w:cs="Times New Roman"/>
          <w:color w:val="000000"/>
          <w:kern w:val="20"/>
          <w:lang w:val="en-AU" w:eastAsia="ja-JP"/>
        </w:rPr>
        <w:t xml:space="preserve">, healthier and more economically empowered ni-Vanuatu people. </w:t>
      </w:r>
    </w:p>
    <w:p w:rsidR="00610F6A" w:rsidRDefault="002926FE" w:rsidP="00610F6A">
      <w:pPr>
        <w:rPr>
          <w:rFonts w:ascii="Calibri Light" w:eastAsia="Calibri" w:hAnsi="Calibri Light" w:cs="Times New Roman"/>
          <w:color w:val="000000"/>
          <w:kern w:val="20"/>
          <w:lang w:eastAsia="ja-JP"/>
        </w:rPr>
      </w:pPr>
      <w:r>
        <w:rPr>
          <w:rFonts w:ascii="Calibri Light" w:eastAsia="Calibri" w:hAnsi="Calibri Light" w:cs="Times New Roman"/>
          <w:b/>
          <w:color w:val="000000"/>
          <w:kern w:val="20"/>
          <w:lang w:eastAsia="ja-JP"/>
        </w:rPr>
        <w:t>Program o</w:t>
      </w:r>
      <w:r w:rsidR="0015328F">
        <w:rPr>
          <w:rFonts w:ascii="Calibri Light" w:eastAsia="Calibri" w:hAnsi="Calibri Light" w:cs="Times New Roman"/>
          <w:b/>
          <w:color w:val="000000"/>
          <w:kern w:val="20"/>
          <w:lang w:eastAsia="ja-JP"/>
        </w:rPr>
        <w:t xml:space="preserve">utcomes in </w:t>
      </w:r>
      <w:r w:rsidR="00610F6A" w:rsidRPr="0018242B">
        <w:rPr>
          <w:rFonts w:ascii="Calibri Light" w:eastAsia="Calibri" w:hAnsi="Calibri Light" w:cs="Times New Roman"/>
          <w:b/>
          <w:color w:val="000000"/>
          <w:kern w:val="20"/>
          <w:lang w:eastAsia="ja-JP"/>
        </w:rPr>
        <w:t>2018-19 demonstrated the value of Australia and Vanuatu’s decades</w:t>
      </w:r>
      <w:r w:rsidR="00610F6A">
        <w:rPr>
          <w:rFonts w:ascii="Calibri Light" w:eastAsia="Calibri" w:hAnsi="Calibri Light" w:cs="Times New Roman"/>
          <w:b/>
          <w:color w:val="000000"/>
          <w:kern w:val="20"/>
          <w:lang w:eastAsia="ja-JP"/>
        </w:rPr>
        <w:t>-</w:t>
      </w:r>
      <w:r w:rsidR="00610F6A" w:rsidRPr="0018242B">
        <w:rPr>
          <w:rFonts w:ascii="Calibri Light" w:eastAsia="Calibri" w:hAnsi="Calibri Light" w:cs="Times New Roman"/>
          <w:b/>
          <w:color w:val="000000"/>
          <w:kern w:val="20"/>
          <w:lang w:eastAsia="ja-JP"/>
        </w:rPr>
        <w:t xml:space="preserve">long development partnership, with long-term investments delivering significant results toward mutual targets. </w:t>
      </w:r>
      <w:r w:rsidR="00610F6A" w:rsidRPr="0018242B">
        <w:rPr>
          <w:rFonts w:ascii="Calibri Light" w:eastAsia="Calibri" w:hAnsi="Calibri Light" w:cs="Times New Roman"/>
          <w:color w:val="000000"/>
          <w:kern w:val="20"/>
          <w:lang w:eastAsia="ja-JP"/>
        </w:rPr>
        <w:t xml:space="preserve">Ten years of </w:t>
      </w:r>
      <w:r w:rsidR="0015328F">
        <w:rPr>
          <w:rFonts w:ascii="Calibri Light" w:eastAsia="Calibri" w:hAnsi="Calibri Light" w:cs="Times New Roman"/>
          <w:color w:val="000000"/>
          <w:kern w:val="20"/>
          <w:lang w:eastAsia="ja-JP"/>
        </w:rPr>
        <w:t xml:space="preserve">governance </w:t>
      </w:r>
      <w:r w:rsidR="00610F6A" w:rsidRPr="0018242B">
        <w:rPr>
          <w:rFonts w:ascii="Calibri Light" w:eastAsia="Calibri" w:hAnsi="Calibri Light" w:cs="Times New Roman"/>
          <w:color w:val="000000"/>
          <w:kern w:val="20"/>
          <w:lang w:eastAsia="ja-JP"/>
        </w:rPr>
        <w:t xml:space="preserve">support for locally driven macroeconomic, fiscal and service delivery reforms </w:t>
      </w:r>
      <w:r w:rsidR="00610F6A">
        <w:rPr>
          <w:rFonts w:ascii="Calibri Light" w:eastAsia="Calibri" w:hAnsi="Calibri Light" w:cs="Times New Roman"/>
          <w:color w:val="000000"/>
          <w:kern w:val="20"/>
          <w:lang w:eastAsia="ja-JP"/>
        </w:rPr>
        <w:t xml:space="preserve">realised key results in progressing </w:t>
      </w:r>
      <w:r w:rsidR="00610F6A" w:rsidRPr="0018242B">
        <w:rPr>
          <w:rFonts w:ascii="Calibri Light" w:eastAsia="Calibri" w:hAnsi="Calibri Light" w:cs="Times New Roman"/>
          <w:color w:val="000000"/>
          <w:kern w:val="20"/>
          <w:lang w:eastAsia="ja-JP"/>
        </w:rPr>
        <w:t xml:space="preserve">Vanuatu’s economic reform </w:t>
      </w:r>
      <w:r w:rsidR="00610F6A">
        <w:rPr>
          <w:rFonts w:ascii="Calibri Light" w:eastAsia="Calibri" w:hAnsi="Calibri Light" w:cs="Times New Roman"/>
          <w:color w:val="000000"/>
          <w:kern w:val="20"/>
          <w:lang w:eastAsia="ja-JP"/>
        </w:rPr>
        <w:t>agenda. In 2018-19, progressive work on u</w:t>
      </w:r>
      <w:r w:rsidR="00610F6A" w:rsidRPr="0018242B">
        <w:rPr>
          <w:rFonts w:ascii="Calibri Light" w:eastAsia="Calibri" w:hAnsi="Calibri Light" w:cs="Times New Roman"/>
          <w:color w:val="000000"/>
          <w:kern w:val="20"/>
          <w:lang w:eastAsia="ja-JP"/>
        </w:rPr>
        <w:t xml:space="preserve">tilities </w:t>
      </w:r>
      <w:r w:rsidR="00610F6A">
        <w:rPr>
          <w:rFonts w:ascii="Calibri Light" w:eastAsia="Calibri" w:hAnsi="Calibri Light" w:cs="Times New Roman"/>
          <w:color w:val="000000"/>
          <w:kern w:val="20"/>
          <w:lang w:eastAsia="ja-JP"/>
        </w:rPr>
        <w:t xml:space="preserve">and telecommunication reforms culminated in </w:t>
      </w:r>
      <w:r w:rsidR="00610F6A" w:rsidRPr="0018242B">
        <w:rPr>
          <w:rFonts w:ascii="Calibri Light" w:eastAsia="Calibri" w:hAnsi="Calibri Light" w:cs="Times New Roman"/>
          <w:color w:val="000000"/>
          <w:kern w:val="20"/>
          <w:lang w:eastAsia="ja-JP"/>
        </w:rPr>
        <w:t>reduced electricity prices of up to 20 per cent in targeted provinces</w:t>
      </w:r>
      <w:r w:rsidR="005C2DC3">
        <w:rPr>
          <w:rFonts w:ascii="Calibri Light" w:eastAsia="Calibri" w:hAnsi="Calibri Light" w:cs="Times New Roman"/>
          <w:color w:val="000000"/>
          <w:kern w:val="20"/>
          <w:lang w:eastAsia="ja-JP"/>
        </w:rPr>
        <w:t>, with</w:t>
      </w:r>
      <w:r w:rsidR="00610F6A" w:rsidRPr="0018242B">
        <w:rPr>
          <w:rFonts w:ascii="Calibri Light" w:eastAsia="Calibri" w:hAnsi="Calibri Light" w:cs="Times New Roman"/>
          <w:color w:val="000000"/>
          <w:kern w:val="20"/>
          <w:lang w:eastAsia="ja-JP"/>
        </w:rPr>
        <w:t xml:space="preserve"> pre-paid data prices falling by</w:t>
      </w:r>
      <w:r w:rsidR="00610F6A">
        <w:rPr>
          <w:rFonts w:ascii="Calibri Light" w:eastAsia="Calibri" w:hAnsi="Calibri Light" w:cs="Times New Roman"/>
          <w:color w:val="000000"/>
          <w:kern w:val="20"/>
          <w:lang w:eastAsia="ja-JP"/>
        </w:rPr>
        <w:t xml:space="preserve"> over 30 per cent</w:t>
      </w:r>
      <w:r w:rsidR="00610F6A" w:rsidRPr="0018242B">
        <w:rPr>
          <w:rFonts w:ascii="Calibri Light" w:eastAsia="Calibri" w:hAnsi="Calibri Light" w:cs="Times New Roman"/>
          <w:color w:val="000000"/>
          <w:kern w:val="20"/>
          <w:lang w:eastAsia="ja-JP"/>
        </w:rPr>
        <w:t xml:space="preserve">. Customs and </w:t>
      </w:r>
      <w:r w:rsidR="0057609D">
        <w:rPr>
          <w:rFonts w:ascii="Calibri Light" w:eastAsia="Calibri" w:hAnsi="Calibri Light" w:cs="Times New Roman"/>
          <w:color w:val="000000"/>
          <w:kern w:val="20"/>
          <w:lang w:eastAsia="ja-JP"/>
        </w:rPr>
        <w:t>i</w:t>
      </w:r>
      <w:r w:rsidR="00610F6A" w:rsidRPr="0018242B">
        <w:rPr>
          <w:rFonts w:ascii="Calibri Light" w:eastAsia="Calibri" w:hAnsi="Calibri Light" w:cs="Times New Roman"/>
          <w:color w:val="000000"/>
          <w:kern w:val="20"/>
          <w:lang w:eastAsia="ja-JP"/>
        </w:rPr>
        <w:t xml:space="preserve">nland </w:t>
      </w:r>
      <w:r w:rsidR="0057609D">
        <w:rPr>
          <w:rFonts w:ascii="Calibri Light" w:eastAsia="Calibri" w:hAnsi="Calibri Light" w:cs="Times New Roman"/>
          <w:color w:val="000000"/>
          <w:kern w:val="20"/>
          <w:lang w:eastAsia="ja-JP"/>
        </w:rPr>
        <w:t>r</w:t>
      </w:r>
      <w:r w:rsidR="00610F6A" w:rsidRPr="0018242B">
        <w:rPr>
          <w:rFonts w:ascii="Calibri Light" w:eastAsia="Calibri" w:hAnsi="Calibri Light" w:cs="Times New Roman"/>
          <w:color w:val="000000"/>
          <w:kern w:val="20"/>
          <w:lang w:eastAsia="ja-JP"/>
        </w:rPr>
        <w:t xml:space="preserve">evenue </w:t>
      </w:r>
      <w:r w:rsidR="0057609D">
        <w:rPr>
          <w:rFonts w:ascii="Calibri Light" w:eastAsia="Calibri" w:hAnsi="Calibri Light" w:cs="Times New Roman"/>
          <w:color w:val="000000"/>
          <w:kern w:val="20"/>
          <w:lang w:eastAsia="ja-JP"/>
        </w:rPr>
        <w:t xml:space="preserve">reforms </w:t>
      </w:r>
      <w:r w:rsidR="00610F6A" w:rsidRPr="0018242B">
        <w:rPr>
          <w:rFonts w:ascii="Calibri Light" w:eastAsia="Calibri" w:hAnsi="Calibri Light" w:cs="Times New Roman"/>
          <w:color w:val="000000"/>
          <w:kern w:val="20"/>
          <w:lang w:eastAsia="ja-JP"/>
        </w:rPr>
        <w:t>contributed to improved revenue, with Value Add Tax</w:t>
      </w:r>
      <w:r w:rsidR="001F5FFD">
        <w:rPr>
          <w:rFonts w:ascii="Calibri Light" w:eastAsia="Calibri" w:hAnsi="Calibri Light" w:cs="Times New Roman"/>
          <w:color w:val="000000"/>
          <w:kern w:val="20"/>
          <w:lang w:eastAsia="ja-JP"/>
        </w:rPr>
        <w:t xml:space="preserve"> (VAT)</w:t>
      </w:r>
      <w:r w:rsidR="00610F6A" w:rsidRPr="0018242B">
        <w:rPr>
          <w:rFonts w:ascii="Calibri Light" w:eastAsia="Calibri" w:hAnsi="Calibri Light" w:cs="Times New Roman"/>
          <w:color w:val="000000"/>
          <w:kern w:val="20"/>
          <w:lang w:eastAsia="ja-JP"/>
        </w:rPr>
        <w:t xml:space="preserve"> receipts increasing by 20 per cent in 2018</w:t>
      </w:r>
      <w:r w:rsidR="007729A6">
        <w:rPr>
          <w:rFonts w:ascii="Calibri Light" w:eastAsia="Calibri" w:hAnsi="Calibri Light" w:cs="Times New Roman"/>
          <w:color w:val="000000"/>
          <w:kern w:val="20"/>
          <w:lang w:eastAsia="ja-JP"/>
        </w:rPr>
        <w:t xml:space="preserve">. </w:t>
      </w:r>
    </w:p>
    <w:p w:rsidR="00610F6A" w:rsidRDefault="0015328F" w:rsidP="00610F6A">
      <w:pPr>
        <w:suppressAutoHyphens w:val="0"/>
        <w:spacing w:before="70" w:after="0" w:line="240" w:lineRule="auto"/>
        <w:rPr>
          <w:rFonts w:ascii="Calibri Light" w:eastAsia="Calibri" w:hAnsi="Calibri Light" w:cs="Times New Roman"/>
          <w:color w:val="000000"/>
          <w:kern w:val="20"/>
          <w:lang w:eastAsia="ja-JP"/>
        </w:rPr>
      </w:pPr>
      <w:r>
        <w:rPr>
          <w:rFonts w:ascii="Calibri Light" w:eastAsia="Calibri" w:hAnsi="Calibri Light" w:cs="Times New Roman"/>
          <w:b/>
          <w:color w:val="000000"/>
          <w:kern w:val="20"/>
          <w:lang w:eastAsia="ja-JP"/>
        </w:rPr>
        <w:t xml:space="preserve">Australia increased its use of </w:t>
      </w:r>
      <w:r w:rsidR="0057609D">
        <w:rPr>
          <w:rFonts w:ascii="Calibri Light" w:eastAsia="Calibri" w:hAnsi="Calibri Light" w:cs="Times New Roman"/>
          <w:b/>
          <w:color w:val="000000"/>
          <w:kern w:val="20"/>
          <w:lang w:eastAsia="ja-JP"/>
        </w:rPr>
        <w:t xml:space="preserve">Vanuatu </w:t>
      </w:r>
      <w:r>
        <w:rPr>
          <w:rFonts w:ascii="Calibri Light" w:eastAsia="Calibri" w:hAnsi="Calibri Light" w:cs="Times New Roman"/>
          <w:b/>
          <w:color w:val="000000"/>
          <w:kern w:val="20"/>
          <w:lang w:eastAsia="ja-JP"/>
        </w:rPr>
        <w:t xml:space="preserve">government systems </w:t>
      </w:r>
      <w:r w:rsidRPr="0015328F">
        <w:rPr>
          <w:rFonts w:ascii="Calibri Light" w:eastAsia="Calibri" w:hAnsi="Calibri Light" w:cs="Times New Roman"/>
          <w:color w:val="000000"/>
          <w:kern w:val="20"/>
          <w:lang w:eastAsia="ja-JP"/>
        </w:rPr>
        <w:t>with</w:t>
      </w:r>
      <w:r>
        <w:rPr>
          <w:rFonts w:ascii="Calibri Light" w:eastAsia="Calibri" w:hAnsi="Calibri Light" w:cs="Times New Roman"/>
          <w:b/>
          <w:color w:val="000000"/>
          <w:kern w:val="20"/>
          <w:lang w:eastAsia="ja-JP"/>
        </w:rPr>
        <w:t xml:space="preserve"> </w:t>
      </w:r>
      <w:r w:rsidR="00610F6A" w:rsidRPr="003147FD">
        <w:rPr>
          <w:rFonts w:ascii="Calibri Light" w:eastAsia="Calibri" w:hAnsi="Calibri Light" w:cs="Times New Roman"/>
          <w:color w:val="000000"/>
          <w:kern w:val="20"/>
          <w:lang w:eastAsia="ja-JP"/>
        </w:rPr>
        <w:t xml:space="preserve">22 </w:t>
      </w:r>
      <w:r w:rsidR="00610F6A" w:rsidRPr="000E493E">
        <w:rPr>
          <w:rFonts w:ascii="Calibri Light" w:eastAsia="Calibri" w:hAnsi="Calibri Light" w:cs="Times New Roman"/>
          <w:color w:val="000000"/>
          <w:kern w:val="20"/>
          <w:lang w:eastAsia="ja-JP"/>
        </w:rPr>
        <w:t xml:space="preserve">per cent of bilateral aid funds delivered through government systems in 2018-19, </w:t>
      </w:r>
      <w:r w:rsidR="0057609D">
        <w:rPr>
          <w:rFonts w:ascii="Calibri Light" w:eastAsia="Calibri" w:hAnsi="Calibri Light" w:cs="Times New Roman"/>
          <w:color w:val="000000"/>
          <w:kern w:val="20"/>
          <w:lang w:eastAsia="ja-JP"/>
        </w:rPr>
        <w:t xml:space="preserve">up </w:t>
      </w:r>
      <w:r w:rsidR="00610F6A" w:rsidRPr="000E493E">
        <w:rPr>
          <w:rFonts w:ascii="Calibri Light" w:eastAsia="Calibri" w:hAnsi="Calibri Light" w:cs="Times New Roman"/>
          <w:color w:val="000000"/>
          <w:kern w:val="20"/>
          <w:lang w:eastAsia="ja-JP"/>
        </w:rPr>
        <w:t>from 13 per cent in 2017-18</w:t>
      </w:r>
      <w:r w:rsidR="005C2DC3">
        <w:rPr>
          <w:rFonts w:ascii="Calibri Light" w:eastAsia="Calibri" w:hAnsi="Calibri Light" w:cs="Times New Roman"/>
          <w:color w:val="000000"/>
          <w:kern w:val="20"/>
          <w:lang w:eastAsia="ja-JP"/>
        </w:rPr>
        <w:t xml:space="preserve">. This provided an </w:t>
      </w:r>
      <w:r w:rsidR="005C2DC3" w:rsidRPr="00C82F53">
        <w:rPr>
          <w:rFonts w:ascii="Calibri Light" w:eastAsia="Calibri" w:hAnsi="Calibri Light" w:cs="Times New Roman"/>
          <w:color w:val="000000"/>
          <w:kern w:val="20"/>
          <w:lang w:eastAsia="ja-JP"/>
        </w:rPr>
        <w:t>important avenue to engage in policy dialogue on reform priorities and budget allocations</w:t>
      </w:r>
      <w:r w:rsidR="000146E4" w:rsidRPr="00C82F53">
        <w:rPr>
          <w:rFonts w:ascii="Calibri Light" w:eastAsia="Calibri" w:hAnsi="Calibri Light" w:cs="Times New Roman"/>
          <w:color w:val="000000"/>
          <w:kern w:val="20"/>
          <w:lang w:eastAsia="ja-JP"/>
        </w:rPr>
        <w:t>.</w:t>
      </w:r>
      <w:r w:rsidR="00610F6A" w:rsidRPr="00EC2522">
        <w:rPr>
          <w:rFonts w:ascii="Calibri Light" w:eastAsia="Calibri" w:hAnsi="Calibri Light" w:cs="Times New Roman"/>
          <w:color w:val="000000"/>
          <w:kern w:val="20"/>
          <w:lang w:eastAsia="ja-JP"/>
        </w:rPr>
        <w:t xml:space="preserve"> </w:t>
      </w:r>
      <w:r w:rsidR="005C2DC3" w:rsidRPr="00EC2522">
        <w:rPr>
          <w:rFonts w:ascii="Calibri Light" w:eastAsia="Calibri" w:hAnsi="Calibri Light" w:cs="Times New Roman"/>
          <w:color w:val="000000"/>
          <w:kern w:val="20"/>
          <w:lang w:eastAsia="ja-JP"/>
        </w:rPr>
        <w:t>By d</w:t>
      </w:r>
      <w:r w:rsidR="00610F6A" w:rsidRPr="00EC2522">
        <w:rPr>
          <w:rFonts w:ascii="Calibri Light" w:eastAsia="Calibri" w:hAnsi="Calibri Light" w:cs="Times New Roman"/>
          <w:color w:val="000000"/>
          <w:kern w:val="20"/>
          <w:lang w:eastAsia="ja-JP"/>
        </w:rPr>
        <w:t>eliver</w:t>
      </w:r>
      <w:r w:rsidR="005C2DC3" w:rsidRPr="00EC2522">
        <w:rPr>
          <w:rFonts w:ascii="Calibri Light" w:eastAsia="Calibri" w:hAnsi="Calibri Light" w:cs="Times New Roman"/>
          <w:color w:val="000000"/>
          <w:kern w:val="20"/>
          <w:lang w:eastAsia="ja-JP"/>
        </w:rPr>
        <w:t>ing</w:t>
      </w:r>
      <w:r w:rsidR="00610F6A" w:rsidRPr="00EC2522">
        <w:rPr>
          <w:rFonts w:ascii="Calibri Light" w:eastAsia="Calibri" w:hAnsi="Calibri Light"/>
          <w:color w:val="000000"/>
          <w:kern w:val="20"/>
          <w:lang w:eastAsia="ja-JP"/>
        </w:rPr>
        <w:t xml:space="preserve"> rural road infrastructure works through government systems</w:t>
      </w:r>
      <w:r w:rsidR="00CA36EA" w:rsidRPr="00364037">
        <w:rPr>
          <w:rFonts w:ascii="Calibri Light" w:eastAsia="Calibri" w:hAnsi="Calibri Light"/>
          <w:color w:val="000000"/>
          <w:kern w:val="20"/>
          <w:lang w:eastAsia="ja-JP"/>
        </w:rPr>
        <w:t xml:space="preserve">, and by </w:t>
      </w:r>
      <w:r w:rsidR="005C2DC3" w:rsidRPr="00364037">
        <w:rPr>
          <w:rFonts w:ascii="Calibri Light" w:eastAsia="Calibri" w:hAnsi="Calibri Light"/>
          <w:color w:val="000000"/>
          <w:kern w:val="20"/>
          <w:lang w:eastAsia="ja-JP"/>
        </w:rPr>
        <w:t xml:space="preserve">using </w:t>
      </w:r>
      <w:r w:rsidR="00610F6A" w:rsidRPr="00755B26">
        <w:rPr>
          <w:rFonts w:ascii="Calibri Light" w:eastAsia="Calibri" w:hAnsi="Calibri Light"/>
          <w:color w:val="000000"/>
          <w:kern w:val="20"/>
          <w:lang w:eastAsia="ja-JP"/>
        </w:rPr>
        <w:t>local labour</w:t>
      </w:r>
      <w:r w:rsidR="005C2DC3" w:rsidRPr="00755B26">
        <w:rPr>
          <w:rFonts w:ascii="Calibri Light" w:eastAsia="Calibri" w:hAnsi="Calibri Light"/>
          <w:color w:val="000000"/>
          <w:kern w:val="20"/>
          <w:lang w:eastAsia="ja-JP"/>
        </w:rPr>
        <w:t>, we</w:t>
      </w:r>
      <w:r w:rsidR="00610F6A" w:rsidRPr="00105E09">
        <w:rPr>
          <w:rFonts w:ascii="Calibri Light" w:eastAsia="Calibri" w:hAnsi="Calibri Light"/>
          <w:color w:val="000000"/>
          <w:kern w:val="20"/>
          <w:lang w:eastAsia="ja-JP"/>
        </w:rPr>
        <w:t xml:space="preserve"> generated employment</w:t>
      </w:r>
      <w:r w:rsidR="00610F6A" w:rsidRPr="000E493E">
        <w:rPr>
          <w:rFonts w:ascii="Calibri Light" w:eastAsia="Calibri" w:hAnsi="Calibri Light"/>
          <w:color w:val="000000"/>
          <w:kern w:val="20"/>
          <w:lang w:eastAsia="ja-JP"/>
        </w:rPr>
        <w:t xml:space="preserve"> and business opportunities for ni-Vanuatu</w:t>
      </w:r>
      <w:r w:rsidRPr="000E493E">
        <w:rPr>
          <w:rFonts w:ascii="Calibri Light" w:eastAsia="Calibri" w:hAnsi="Calibri Light"/>
          <w:color w:val="000000"/>
          <w:kern w:val="20"/>
          <w:lang w:eastAsia="ja-JP"/>
        </w:rPr>
        <w:t xml:space="preserve">. </w:t>
      </w:r>
      <w:r w:rsidR="00610F6A" w:rsidRPr="000E493E">
        <w:rPr>
          <w:rFonts w:ascii="Calibri Light" w:eastAsia="Calibri" w:hAnsi="Calibri Light"/>
          <w:color w:val="000000"/>
          <w:kern w:val="20"/>
          <w:lang w:eastAsia="ja-JP"/>
        </w:rPr>
        <w:t xml:space="preserve">The disbursement of </w:t>
      </w:r>
      <w:r w:rsidR="00610F6A" w:rsidRPr="000E493E">
        <w:rPr>
          <w:rFonts w:ascii="Calibri Light" w:eastAsia="Calibri" w:hAnsi="Calibri Light" w:cs="Times New Roman"/>
          <w:color w:val="000000"/>
          <w:kern w:val="20"/>
          <w:lang w:eastAsia="ja-JP"/>
        </w:rPr>
        <w:t>Australia’s $35 million Tropical Cyclone Pam Recovery Program (2015-19) through Vanuatu government systems strengthened capacity and confidence</w:t>
      </w:r>
      <w:r w:rsidR="00610F6A">
        <w:rPr>
          <w:rFonts w:ascii="Calibri Light" w:eastAsia="Calibri" w:hAnsi="Calibri Light" w:cs="Times New Roman"/>
          <w:color w:val="000000"/>
          <w:kern w:val="20"/>
          <w:lang w:eastAsia="ja-JP"/>
        </w:rPr>
        <w:t xml:space="preserve"> in th</w:t>
      </w:r>
      <w:r w:rsidR="005C2DC3">
        <w:rPr>
          <w:rFonts w:ascii="Calibri Light" w:eastAsia="Calibri" w:hAnsi="Calibri Light" w:cs="Times New Roman"/>
          <w:color w:val="000000"/>
          <w:kern w:val="20"/>
          <w:lang w:eastAsia="ja-JP"/>
        </w:rPr>
        <w:t>o</w:t>
      </w:r>
      <w:r w:rsidR="00610F6A">
        <w:rPr>
          <w:rFonts w:ascii="Calibri Light" w:eastAsia="Calibri" w:hAnsi="Calibri Light" w:cs="Times New Roman"/>
          <w:color w:val="000000"/>
          <w:kern w:val="20"/>
          <w:lang w:eastAsia="ja-JP"/>
        </w:rPr>
        <w:t xml:space="preserve">se systems and boosted </w:t>
      </w:r>
      <w:r w:rsidR="00610F6A" w:rsidRPr="00BB3BB9">
        <w:rPr>
          <w:rFonts w:ascii="Calibri Light" w:hAnsi="Calibri Light"/>
          <w:color w:val="000000"/>
          <w:kern w:val="20"/>
        </w:rPr>
        <w:t>private sector</w:t>
      </w:r>
      <w:r w:rsidR="00610F6A">
        <w:rPr>
          <w:rFonts w:ascii="Calibri Light" w:eastAsia="Calibri" w:hAnsi="Calibri Light" w:cs="Times New Roman"/>
          <w:color w:val="000000"/>
          <w:kern w:val="20"/>
          <w:lang w:eastAsia="ja-JP"/>
        </w:rPr>
        <w:t xml:space="preserve"> growth and economic resilience</w:t>
      </w:r>
      <w:r w:rsidR="005C2DC3">
        <w:rPr>
          <w:rFonts w:ascii="Calibri Light" w:eastAsia="Calibri" w:hAnsi="Calibri Light" w:cs="Times New Roman"/>
          <w:color w:val="000000"/>
          <w:kern w:val="20"/>
          <w:lang w:eastAsia="ja-JP"/>
        </w:rPr>
        <w:t>. O</w:t>
      </w:r>
      <w:r w:rsidR="00610F6A">
        <w:rPr>
          <w:rFonts w:ascii="Calibri Light" w:eastAsia="Calibri" w:hAnsi="Calibri Light" w:cs="Times New Roman"/>
          <w:color w:val="000000"/>
          <w:kern w:val="20"/>
          <w:lang w:eastAsia="ja-JP"/>
        </w:rPr>
        <w:t xml:space="preserve">ver 50 per cent of Australia’s funds </w:t>
      </w:r>
      <w:r w:rsidR="000146E4">
        <w:rPr>
          <w:rFonts w:ascii="Calibri Light" w:eastAsia="Calibri" w:hAnsi="Calibri Light" w:cs="Times New Roman"/>
          <w:color w:val="000000"/>
          <w:kern w:val="20"/>
          <w:lang w:eastAsia="ja-JP"/>
        </w:rPr>
        <w:t xml:space="preserve">were </w:t>
      </w:r>
      <w:r w:rsidR="00610F6A">
        <w:rPr>
          <w:rFonts w:ascii="Calibri Light" w:eastAsia="Calibri" w:hAnsi="Calibri Light" w:cs="Times New Roman"/>
          <w:color w:val="000000"/>
          <w:kern w:val="20"/>
          <w:lang w:eastAsia="ja-JP"/>
        </w:rPr>
        <w:t>disbursed</w:t>
      </w:r>
      <w:r w:rsidR="00CA36EA">
        <w:rPr>
          <w:rFonts w:ascii="Calibri Light" w:eastAsia="Calibri" w:hAnsi="Calibri Light" w:cs="Times New Roman"/>
          <w:color w:val="000000"/>
          <w:kern w:val="20"/>
          <w:lang w:eastAsia="ja-JP"/>
        </w:rPr>
        <w:t xml:space="preserve"> </w:t>
      </w:r>
      <w:r w:rsidR="00610F6A">
        <w:rPr>
          <w:rFonts w:ascii="Calibri Light" w:eastAsia="Calibri" w:hAnsi="Calibri Light" w:cs="Times New Roman"/>
          <w:color w:val="000000"/>
          <w:kern w:val="20"/>
          <w:lang w:eastAsia="ja-JP"/>
        </w:rPr>
        <w:t xml:space="preserve">through contracts to local companies. </w:t>
      </w:r>
    </w:p>
    <w:p w:rsidR="0015328F" w:rsidRPr="006909CD" w:rsidRDefault="0015328F" w:rsidP="00AF4AAA">
      <w:pPr>
        <w:suppressAutoHyphens w:val="0"/>
        <w:spacing w:before="70" w:after="0" w:line="240" w:lineRule="auto"/>
        <w:rPr>
          <w:rFonts w:ascii="Calibri Light" w:eastAsia="Calibri" w:hAnsi="Calibri Light" w:cs="Calibri Light"/>
          <w:color w:val="000000"/>
        </w:rPr>
      </w:pPr>
      <w:r>
        <w:rPr>
          <w:rFonts w:ascii="Calibri Light" w:eastAsia="Calibri" w:hAnsi="Calibri Light" w:cs="Times New Roman"/>
          <w:b/>
          <w:color w:val="000000"/>
          <w:kern w:val="20"/>
          <w:lang w:eastAsia="ja-JP"/>
        </w:rPr>
        <w:t xml:space="preserve">Australia helped to </w:t>
      </w:r>
      <w:r w:rsidRPr="001E2F69">
        <w:rPr>
          <w:rFonts w:ascii="Calibri Light" w:eastAsia="Calibri" w:hAnsi="Calibri Light" w:cs="Times New Roman"/>
          <w:b/>
          <w:color w:val="000000"/>
          <w:kern w:val="20"/>
          <w:lang w:eastAsia="ja-JP"/>
        </w:rPr>
        <w:t xml:space="preserve">strengthen institutions </w:t>
      </w:r>
      <w:r>
        <w:rPr>
          <w:rFonts w:ascii="Calibri Light" w:eastAsia="Calibri" w:hAnsi="Calibri Light" w:cs="Times New Roman"/>
          <w:b/>
          <w:color w:val="000000"/>
          <w:kern w:val="20"/>
          <w:lang w:eastAsia="ja-JP"/>
        </w:rPr>
        <w:t>and improve</w:t>
      </w:r>
      <w:r w:rsidRPr="001E2F69">
        <w:rPr>
          <w:rFonts w:ascii="Calibri Light" w:eastAsia="Calibri" w:hAnsi="Calibri Light" w:cs="Times New Roman"/>
          <w:b/>
          <w:color w:val="000000"/>
          <w:kern w:val="20"/>
          <w:lang w:eastAsia="ja-JP"/>
        </w:rPr>
        <w:t xml:space="preserve"> access to </w:t>
      </w:r>
      <w:r>
        <w:rPr>
          <w:rFonts w:ascii="Calibri Light" w:eastAsia="Calibri" w:hAnsi="Calibri Light" w:cs="Times New Roman"/>
          <w:b/>
          <w:color w:val="000000"/>
          <w:kern w:val="20"/>
          <w:lang w:eastAsia="ja-JP"/>
        </w:rPr>
        <w:t>services for all ni-Vanuatu</w:t>
      </w:r>
      <w:r w:rsidRPr="001E2F69">
        <w:rPr>
          <w:rFonts w:ascii="Calibri Light" w:eastAsia="Calibri" w:hAnsi="Calibri Light" w:cs="Times New Roman"/>
          <w:b/>
          <w:color w:val="000000"/>
          <w:kern w:val="20"/>
          <w:lang w:eastAsia="ja-JP"/>
        </w:rPr>
        <w:t>.</w:t>
      </w:r>
      <w:r w:rsidRPr="001E2F69">
        <w:rPr>
          <w:rFonts w:ascii="Calibri Light" w:eastAsia="Calibri" w:hAnsi="Calibri Light" w:cs="Times New Roman"/>
          <w:color w:val="000000"/>
          <w:kern w:val="20"/>
          <w:lang w:eastAsia="ja-JP"/>
        </w:rPr>
        <w:t xml:space="preserve"> </w:t>
      </w:r>
      <w:r>
        <w:rPr>
          <w:rFonts w:ascii="Calibri Light" w:eastAsia="Calibri" w:hAnsi="Calibri Light" w:cs="Times New Roman"/>
          <w:color w:val="000000"/>
          <w:kern w:val="20"/>
          <w:lang w:eastAsia="ja-JP"/>
        </w:rPr>
        <w:t xml:space="preserve">Australia </w:t>
      </w:r>
      <w:r w:rsidR="00CA36EA">
        <w:rPr>
          <w:rFonts w:ascii="Calibri Light" w:eastAsia="Calibri" w:hAnsi="Calibri Light" w:cs="Times New Roman"/>
          <w:color w:val="000000"/>
          <w:kern w:val="20"/>
          <w:lang w:eastAsia="ja-JP"/>
        </w:rPr>
        <w:t xml:space="preserve">strengthened policing and justice services by </w:t>
      </w:r>
      <w:r>
        <w:rPr>
          <w:rFonts w:ascii="Calibri Light" w:eastAsia="Calibri" w:hAnsi="Calibri Light" w:cs="Times New Roman"/>
          <w:color w:val="000000"/>
          <w:kern w:val="20"/>
          <w:lang w:eastAsia="ja-JP"/>
        </w:rPr>
        <w:t>support</w:t>
      </w:r>
      <w:r w:rsidR="00CA36EA">
        <w:rPr>
          <w:rFonts w:ascii="Calibri Light" w:eastAsia="Calibri" w:hAnsi="Calibri Light" w:cs="Times New Roman"/>
          <w:color w:val="000000"/>
          <w:kern w:val="20"/>
          <w:lang w:eastAsia="ja-JP"/>
        </w:rPr>
        <w:t>ing</w:t>
      </w:r>
      <w:r>
        <w:rPr>
          <w:rFonts w:ascii="Calibri Light" w:eastAsia="Calibri" w:hAnsi="Calibri Light" w:cs="Times New Roman"/>
          <w:color w:val="000000"/>
          <w:kern w:val="20"/>
          <w:lang w:eastAsia="ja-JP"/>
        </w:rPr>
        <w:t xml:space="preserve"> training of </w:t>
      </w:r>
      <w:r w:rsidRPr="00215FED">
        <w:rPr>
          <w:rFonts w:ascii="Calibri Light" w:eastAsia="Calibri" w:hAnsi="Calibri Light" w:cs="Times New Roman"/>
          <w:color w:val="000000"/>
          <w:kern w:val="20"/>
          <w:lang w:eastAsia="ja-JP"/>
        </w:rPr>
        <w:t>187</w:t>
      </w:r>
      <w:r w:rsidRPr="0005309B">
        <w:rPr>
          <w:rFonts w:ascii="Calibri Light" w:eastAsia="Calibri" w:hAnsi="Calibri Light" w:cs="Times New Roman"/>
          <w:color w:val="000000"/>
          <w:kern w:val="20"/>
          <w:lang w:eastAsia="ja-JP"/>
        </w:rPr>
        <w:t xml:space="preserve"> (</w:t>
      </w:r>
      <w:r w:rsidRPr="00D367DD">
        <w:rPr>
          <w:rFonts w:ascii="Calibri Light" w:eastAsia="Calibri" w:hAnsi="Calibri Light" w:cs="Times New Roman"/>
          <w:color w:val="000000"/>
          <w:kern w:val="20"/>
          <w:lang w:eastAsia="ja-JP"/>
        </w:rPr>
        <w:t>50</w:t>
      </w:r>
      <w:r w:rsidRPr="0005309B">
        <w:rPr>
          <w:rFonts w:ascii="Calibri Light" w:eastAsia="Calibri" w:hAnsi="Calibri Light" w:cs="Times New Roman"/>
          <w:color w:val="000000"/>
          <w:kern w:val="20"/>
          <w:lang w:eastAsia="ja-JP"/>
        </w:rPr>
        <w:t xml:space="preserve"> </w:t>
      </w:r>
      <w:r w:rsidRPr="00215FED">
        <w:rPr>
          <w:rFonts w:ascii="Calibri Light" w:eastAsia="Calibri" w:hAnsi="Calibri Light" w:cs="Times New Roman"/>
          <w:color w:val="000000"/>
          <w:kern w:val="20"/>
          <w:lang w:eastAsia="ja-JP"/>
        </w:rPr>
        <w:t>women</w:t>
      </w:r>
      <w:r>
        <w:rPr>
          <w:rFonts w:ascii="Calibri Light" w:eastAsia="Calibri" w:hAnsi="Calibri Light" w:cs="Times New Roman"/>
          <w:color w:val="000000"/>
          <w:kern w:val="20"/>
          <w:lang w:eastAsia="ja-JP"/>
        </w:rPr>
        <w:t xml:space="preserve">) new recruits </w:t>
      </w:r>
      <w:r w:rsidRPr="001E2F69">
        <w:rPr>
          <w:rFonts w:ascii="Calibri Light" w:eastAsia="Calibri" w:hAnsi="Calibri Light" w:cs="Times New Roman"/>
          <w:color w:val="000000"/>
          <w:kern w:val="20"/>
          <w:lang w:eastAsia="ja-JP"/>
        </w:rPr>
        <w:t>to the Vanuatu Police Force</w:t>
      </w:r>
      <w:r>
        <w:rPr>
          <w:rFonts w:ascii="Calibri Light" w:eastAsia="Calibri" w:hAnsi="Calibri Light" w:cs="Times New Roman"/>
          <w:color w:val="000000"/>
          <w:kern w:val="20"/>
          <w:lang w:eastAsia="ja-JP"/>
        </w:rPr>
        <w:t xml:space="preserve"> and</w:t>
      </w:r>
      <w:r w:rsidRPr="001E2F69">
        <w:rPr>
          <w:rFonts w:ascii="Calibri Light" w:eastAsia="Calibri" w:hAnsi="Calibri Light" w:cs="Times New Roman"/>
          <w:color w:val="000000"/>
          <w:kern w:val="20"/>
          <w:lang w:eastAsia="ja-JP"/>
        </w:rPr>
        <w:t xml:space="preserve"> </w:t>
      </w:r>
      <w:r>
        <w:rPr>
          <w:rFonts w:ascii="Calibri Light" w:eastAsia="Calibri" w:hAnsi="Calibri Light" w:cs="Times New Roman"/>
          <w:color w:val="000000"/>
          <w:kern w:val="20"/>
          <w:lang w:eastAsia="ja-JP"/>
        </w:rPr>
        <w:t xml:space="preserve">over </w:t>
      </w:r>
      <w:r w:rsidRPr="001E2F69">
        <w:rPr>
          <w:rFonts w:ascii="Calibri Light" w:eastAsia="Calibri" w:hAnsi="Calibri Light" w:cs="Times New Roman"/>
          <w:color w:val="000000"/>
          <w:kern w:val="20"/>
          <w:lang w:eastAsia="ja-JP"/>
        </w:rPr>
        <w:t>433 law and justice officials</w:t>
      </w:r>
      <w:r w:rsidR="00CA36EA">
        <w:rPr>
          <w:rFonts w:ascii="Calibri Light" w:eastAsia="Calibri" w:hAnsi="Calibri Light" w:cs="Times New Roman"/>
          <w:color w:val="000000"/>
          <w:kern w:val="20"/>
          <w:lang w:eastAsia="ja-JP"/>
        </w:rPr>
        <w:t xml:space="preserve">. </w:t>
      </w:r>
      <w:r w:rsidR="005045F9">
        <w:rPr>
          <w:rFonts w:ascii="Calibri Light" w:eastAsia="Calibri" w:hAnsi="Calibri Light" w:cs="Times New Roman"/>
          <w:color w:val="000000"/>
          <w:kern w:val="20"/>
          <w:lang w:eastAsia="ja-JP"/>
        </w:rPr>
        <w:t>Australia</w:t>
      </w:r>
      <w:r w:rsidR="00CA36EA">
        <w:rPr>
          <w:rFonts w:ascii="Calibri Light" w:eastAsia="Calibri" w:hAnsi="Calibri Light" w:cs="Times New Roman"/>
          <w:color w:val="000000"/>
          <w:kern w:val="20"/>
          <w:lang w:eastAsia="ja-JP"/>
        </w:rPr>
        <w:t xml:space="preserve"> also </w:t>
      </w:r>
      <w:r>
        <w:rPr>
          <w:rFonts w:ascii="Calibri Light" w:eastAsia="Calibri" w:hAnsi="Calibri Light" w:cs="Times New Roman"/>
          <w:color w:val="000000"/>
          <w:kern w:val="20"/>
          <w:lang w:eastAsia="ja-JP"/>
        </w:rPr>
        <w:t>fund</w:t>
      </w:r>
      <w:r w:rsidR="00CA36EA">
        <w:rPr>
          <w:rFonts w:ascii="Calibri Light" w:eastAsia="Calibri" w:hAnsi="Calibri Light" w:cs="Times New Roman"/>
          <w:color w:val="000000"/>
          <w:kern w:val="20"/>
          <w:lang w:eastAsia="ja-JP"/>
        </w:rPr>
        <w:t>ed</w:t>
      </w:r>
      <w:r>
        <w:rPr>
          <w:rFonts w:ascii="Calibri Light" w:eastAsia="Calibri" w:hAnsi="Calibri Light" w:cs="Times New Roman"/>
          <w:color w:val="000000"/>
          <w:kern w:val="20"/>
          <w:lang w:eastAsia="ja-JP"/>
        </w:rPr>
        <w:t xml:space="preserve"> the Vanuatu Women’s Centre to deliver counselling, legal and crisis response services to 6,612</w:t>
      </w:r>
      <w:r w:rsidR="00CA36EA">
        <w:rPr>
          <w:rFonts w:ascii="Calibri Light" w:eastAsia="Calibri" w:hAnsi="Calibri Light" w:cs="Times New Roman"/>
          <w:color w:val="000000"/>
          <w:kern w:val="20"/>
          <w:lang w:eastAsia="ja-JP"/>
        </w:rPr>
        <w:t> </w:t>
      </w:r>
      <w:r>
        <w:rPr>
          <w:rFonts w:ascii="Calibri Light" w:eastAsia="Calibri" w:hAnsi="Calibri Light" w:cs="Times New Roman"/>
          <w:color w:val="000000"/>
          <w:kern w:val="20"/>
          <w:lang w:eastAsia="ja-JP"/>
        </w:rPr>
        <w:t>women and children survivors of violence</w:t>
      </w:r>
      <w:r w:rsidR="00CA36EA">
        <w:rPr>
          <w:rFonts w:ascii="Calibri Light" w:eastAsia="Calibri" w:hAnsi="Calibri Light" w:cs="Times New Roman"/>
          <w:color w:val="000000"/>
          <w:kern w:val="20"/>
          <w:lang w:eastAsia="ja-JP"/>
        </w:rPr>
        <w:t xml:space="preserve">. </w:t>
      </w:r>
      <w:r>
        <w:rPr>
          <w:rFonts w:ascii="Calibri Light" w:eastAsia="Calibri" w:hAnsi="Calibri Light" w:cs="Times New Roman"/>
          <w:color w:val="000000"/>
          <w:kern w:val="20"/>
          <w:lang w:eastAsia="ja-JP"/>
        </w:rPr>
        <w:t>Su</w:t>
      </w:r>
      <w:r w:rsidRPr="001E2F69">
        <w:rPr>
          <w:rFonts w:ascii="Calibri Light" w:eastAsia="Calibri" w:hAnsi="Calibri Light" w:cs="Times New Roman"/>
          <w:color w:val="000000"/>
        </w:rPr>
        <w:t xml:space="preserve">pport to </w:t>
      </w:r>
      <w:r>
        <w:rPr>
          <w:rFonts w:ascii="Calibri Light" w:eastAsia="Calibri" w:hAnsi="Calibri Light" w:cs="Times New Roman"/>
          <w:color w:val="000000"/>
        </w:rPr>
        <w:t xml:space="preserve">improve </w:t>
      </w:r>
      <w:r w:rsidRPr="001E2F69">
        <w:rPr>
          <w:rFonts w:ascii="Calibri Light" w:eastAsia="Calibri" w:hAnsi="Calibri Light" w:cs="Times New Roman"/>
          <w:color w:val="000000"/>
        </w:rPr>
        <w:t xml:space="preserve">provincial-level </w:t>
      </w:r>
      <w:r w:rsidRPr="00081454">
        <w:rPr>
          <w:rFonts w:ascii="Calibri Light" w:eastAsia="Calibri" w:hAnsi="Calibri Light" w:cs="Times New Roman"/>
          <w:color w:val="000000"/>
        </w:rPr>
        <w:t xml:space="preserve">management and planning helped to maximise the reach of health services at </w:t>
      </w:r>
      <w:r w:rsidRPr="00EC2522">
        <w:rPr>
          <w:rFonts w:ascii="Calibri Light" w:eastAsia="Calibri" w:hAnsi="Calibri Light" w:cs="Times New Roman"/>
          <w:color w:val="000000"/>
        </w:rPr>
        <w:t xml:space="preserve">community level, with more  provincial health leadership positions filled, no vaccine stock-outs, no malaria deaths, distribution of almost 80,000 condoms and renovation or construction of 92 health facilities. </w:t>
      </w:r>
      <w:r w:rsidRPr="00EC2522">
        <w:rPr>
          <w:rFonts w:ascii="Calibri Light" w:eastAsia="Calibri" w:hAnsi="Calibri Light" w:cs="Times New Roman"/>
          <w:color w:val="000000"/>
          <w:kern w:val="20"/>
          <w:lang w:eastAsia="ja-JP"/>
        </w:rPr>
        <w:t>Australia’s support for education</w:t>
      </w:r>
      <w:r w:rsidRPr="001E2F69">
        <w:rPr>
          <w:rFonts w:ascii="Calibri Light" w:eastAsia="Calibri" w:hAnsi="Calibri Light" w:cs="Times New Roman"/>
          <w:color w:val="000000"/>
          <w:kern w:val="20"/>
          <w:lang w:eastAsia="ja-JP"/>
        </w:rPr>
        <w:t xml:space="preserve"> benefited</w:t>
      </w:r>
      <w:r>
        <w:rPr>
          <w:rFonts w:ascii="Calibri Light" w:eastAsia="Calibri" w:hAnsi="Calibri Light" w:cs="Times New Roman"/>
          <w:color w:val="000000"/>
          <w:kern w:val="20"/>
          <w:lang w:eastAsia="ja-JP"/>
        </w:rPr>
        <w:t xml:space="preserve"> 51,690 primary</w:t>
      </w:r>
      <w:r w:rsidRPr="001E2F69">
        <w:rPr>
          <w:rFonts w:ascii="Calibri Light" w:eastAsia="Calibri" w:hAnsi="Calibri Light" w:cs="Times New Roman"/>
          <w:color w:val="000000"/>
          <w:kern w:val="20"/>
          <w:lang w:eastAsia="ja-JP"/>
        </w:rPr>
        <w:t xml:space="preserve"> students across all provinces, with new curriculum roll</w:t>
      </w:r>
      <w:r>
        <w:rPr>
          <w:rFonts w:ascii="Calibri Light" w:eastAsia="Calibri" w:hAnsi="Calibri Light" w:cs="Times New Roman"/>
          <w:color w:val="000000"/>
          <w:kern w:val="20"/>
          <w:lang w:eastAsia="ja-JP"/>
        </w:rPr>
        <w:t xml:space="preserve">ed out to 98 per cent </w:t>
      </w:r>
      <w:r w:rsidRPr="001E2F69">
        <w:rPr>
          <w:rFonts w:ascii="Calibri Light" w:eastAsia="Calibri" w:hAnsi="Calibri Light" w:cs="Times New Roman"/>
          <w:color w:val="000000"/>
          <w:kern w:val="20"/>
          <w:lang w:eastAsia="ja-JP"/>
        </w:rPr>
        <w:t xml:space="preserve">of primary schools, continuing professional </w:t>
      </w:r>
      <w:r w:rsidRPr="00D5052C">
        <w:rPr>
          <w:rFonts w:ascii="Calibri Light" w:eastAsia="Calibri" w:hAnsi="Calibri Light" w:cs="Times New Roman"/>
          <w:color w:val="000000"/>
          <w:kern w:val="20"/>
          <w:lang w:eastAsia="ja-JP"/>
        </w:rPr>
        <w:t>development for 1</w:t>
      </w:r>
      <w:r w:rsidR="003726D2" w:rsidRPr="00D5052C">
        <w:rPr>
          <w:rFonts w:ascii="Calibri Light" w:eastAsia="Calibri" w:hAnsi="Calibri Light" w:cs="Times New Roman"/>
          <w:color w:val="000000"/>
          <w:kern w:val="20"/>
          <w:lang w:eastAsia="ja-JP"/>
        </w:rPr>
        <w:t>,</w:t>
      </w:r>
      <w:r w:rsidR="00CF75BB" w:rsidRPr="00D5052C">
        <w:rPr>
          <w:rFonts w:ascii="Calibri Light" w:eastAsia="Calibri" w:hAnsi="Calibri Light" w:cs="Times New Roman"/>
          <w:color w:val="000000"/>
          <w:kern w:val="20"/>
          <w:lang w:eastAsia="ja-JP"/>
        </w:rPr>
        <w:t>3</w:t>
      </w:r>
      <w:r w:rsidRPr="00D5052C">
        <w:rPr>
          <w:rFonts w:ascii="Calibri Light" w:eastAsia="Calibri" w:hAnsi="Calibri Light" w:cs="Times New Roman"/>
          <w:color w:val="000000"/>
          <w:kern w:val="20"/>
          <w:lang w:eastAsia="ja-JP"/>
        </w:rPr>
        <w:t>99</w:t>
      </w:r>
      <w:r w:rsidR="00CA36EA" w:rsidRPr="00D5052C">
        <w:rPr>
          <w:rFonts w:ascii="Calibri Light" w:eastAsia="Calibri" w:hAnsi="Calibri Light" w:cs="Times New Roman"/>
          <w:color w:val="000000"/>
          <w:kern w:val="20"/>
          <w:lang w:eastAsia="ja-JP"/>
        </w:rPr>
        <w:t> </w:t>
      </w:r>
      <w:r w:rsidRPr="00D5052C">
        <w:rPr>
          <w:rFonts w:ascii="Calibri Light" w:eastAsia="Calibri" w:hAnsi="Calibri Light" w:cs="Times New Roman"/>
          <w:color w:val="000000"/>
          <w:kern w:val="20"/>
          <w:lang w:eastAsia="ja-JP"/>
        </w:rPr>
        <w:t>teachers and 4</w:t>
      </w:r>
      <w:r w:rsidR="00CF75BB" w:rsidRPr="00D5052C">
        <w:rPr>
          <w:rFonts w:ascii="Calibri Light" w:eastAsia="Calibri" w:hAnsi="Calibri Light" w:cs="Times New Roman"/>
          <w:color w:val="000000"/>
          <w:kern w:val="20"/>
          <w:lang w:eastAsia="ja-JP"/>
        </w:rPr>
        <w:t>15</w:t>
      </w:r>
      <w:r w:rsidR="00CA36EA" w:rsidRPr="00D5052C">
        <w:rPr>
          <w:rFonts w:ascii="Calibri Light" w:eastAsia="Calibri" w:hAnsi="Calibri Light" w:cs="Times New Roman"/>
          <w:color w:val="000000"/>
          <w:kern w:val="20"/>
          <w:lang w:eastAsia="ja-JP"/>
        </w:rPr>
        <w:t> </w:t>
      </w:r>
      <w:r w:rsidRPr="00D5052C">
        <w:rPr>
          <w:rFonts w:ascii="Calibri Light" w:eastAsia="Calibri" w:hAnsi="Calibri Light" w:cs="Times New Roman"/>
          <w:color w:val="000000"/>
          <w:kern w:val="20"/>
          <w:lang w:eastAsia="ja-JP"/>
        </w:rPr>
        <w:t>principals</w:t>
      </w:r>
      <w:r>
        <w:rPr>
          <w:rFonts w:ascii="Calibri Light" w:eastAsia="Calibri" w:hAnsi="Calibri Light" w:cs="Times New Roman"/>
          <w:color w:val="000000"/>
          <w:kern w:val="20"/>
          <w:lang w:eastAsia="ja-JP"/>
        </w:rPr>
        <w:t>, and c</w:t>
      </w:r>
      <w:r w:rsidRPr="001E2F69">
        <w:rPr>
          <w:rFonts w:ascii="Calibri Light" w:eastAsia="Times New Roman" w:hAnsi="Calibri Light" w:cs="Calibri Light"/>
          <w:color w:val="000000"/>
          <w:kern w:val="20"/>
          <w:lang w:eastAsia="ja-JP"/>
        </w:rPr>
        <w:t xml:space="preserve">lassroom resources delivered to </w:t>
      </w:r>
      <w:r w:rsidR="00CA36EA">
        <w:rPr>
          <w:rFonts w:ascii="Calibri Light" w:eastAsia="Times New Roman" w:hAnsi="Calibri Light" w:cs="Calibri Light"/>
          <w:color w:val="000000"/>
          <w:kern w:val="20"/>
          <w:lang w:eastAsia="ja-JP"/>
        </w:rPr>
        <w:t xml:space="preserve">all </w:t>
      </w:r>
      <w:r w:rsidRPr="001E2F69">
        <w:rPr>
          <w:rFonts w:ascii="Calibri Light" w:eastAsia="Times New Roman" w:hAnsi="Calibri Light" w:cs="Calibri Light"/>
          <w:color w:val="000000"/>
          <w:kern w:val="20"/>
          <w:lang w:eastAsia="ja-JP"/>
        </w:rPr>
        <w:t>432 primary schools</w:t>
      </w:r>
      <w:r>
        <w:rPr>
          <w:rFonts w:ascii="Calibri Light" w:eastAsia="Times New Roman" w:hAnsi="Calibri Light" w:cs="Calibri Light"/>
          <w:color w:val="000000"/>
          <w:kern w:val="20"/>
          <w:lang w:eastAsia="ja-JP"/>
        </w:rPr>
        <w:t>.</w:t>
      </w:r>
    </w:p>
    <w:p w:rsidR="0015328F" w:rsidRPr="00914599" w:rsidRDefault="0015328F" w:rsidP="00CB27A1">
      <w:pPr>
        <w:suppressAutoHyphens w:val="0"/>
        <w:spacing w:before="70" w:after="0" w:line="240" w:lineRule="auto"/>
        <w:rPr>
          <w:rFonts w:ascii="Calibri Light" w:eastAsia="Calibri" w:hAnsi="Calibri Light" w:cs="Times New Roman"/>
          <w:color w:val="000000"/>
        </w:rPr>
      </w:pPr>
      <w:r w:rsidRPr="005D1586">
        <w:rPr>
          <w:rFonts w:ascii="Calibri Light" w:eastAsia="Calibri" w:hAnsi="Calibri Light" w:cs="Times New Roman"/>
          <w:b/>
          <w:bCs/>
          <w:color w:val="000000"/>
          <w:kern w:val="20"/>
          <w:lang w:eastAsia="ja-JP"/>
        </w:rPr>
        <w:t>Australia</w:t>
      </w:r>
      <w:r>
        <w:rPr>
          <w:rFonts w:ascii="Calibri Light" w:eastAsia="Calibri" w:hAnsi="Calibri Light" w:cs="Times New Roman"/>
          <w:b/>
          <w:bCs/>
          <w:color w:val="000000"/>
          <w:kern w:val="20"/>
          <w:lang w:eastAsia="ja-JP"/>
        </w:rPr>
        <w:t>’s</w:t>
      </w:r>
      <w:r w:rsidRPr="005D1586">
        <w:rPr>
          <w:rFonts w:ascii="Calibri Light" w:eastAsia="Calibri" w:hAnsi="Calibri Light" w:cs="Times New Roman"/>
          <w:b/>
          <w:bCs/>
          <w:color w:val="000000"/>
          <w:kern w:val="20"/>
          <w:lang w:eastAsia="ja-JP"/>
        </w:rPr>
        <w:t xml:space="preserve"> </w:t>
      </w:r>
      <w:r w:rsidRPr="00CB27A1">
        <w:rPr>
          <w:rFonts w:ascii="Calibri Light" w:eastAsia="Calibri" w:hAnsi="Calibri Light" w:cs="Times New Roman"/>
          <w:b/>
          <w:color w:val="000000"/>
          <w:kern w:val="20"/>
          <w:lang w:eastAsia="ja-JP"/>
        </w:rPr>
        <w:t>commitment</w:t>
      </w:r>
      <w:r>
        <w:rPr>
          <w:rFonts w:ascii="Calibri Light" w:eastAsia="Calibri" w:hAnsi="Calibri Light" w:cs="Times New Roman"/>
          <w:b/>
          <w:bCs/>
          <w:color w:val="000000"/>
          <w:kern w:val="20"/>
          <w:lang w:eastAsia="ja-JP"/>
        </w:rPr>
        <w:t xml:space="preserve"> to enhanced </w:t>
      </w:r>
      <w:r w:rsidR="00CB27A1">
        <w:rPr>
          <w:rFonts w:ascii="Calibri Light" w:eastAsia="Calibri" w:hAnsi="Calibri Light" w:cs="Times New Roman"/>
          <w:b/>
          <w:bCs/>
          <w:color w:val="000000"/>
          <w:kern w:val="20"/>
          <w:lang w:eastAsia="ja-JP"/>
        </w:rPr>
        <w:t xml:space="preserve">whole of government </w:t>
      </w:r>
      <w:r w:rsidRPr="005D1586">
        <w:rPr>
          <w:rFonts w:ascii="Calibri Light" w:eastAsia="Calibri" w:hAnsi="Calibri Light" w:cs="Times New Roman"/>
          <w:b/>
          <w:bCs/>
          <w:color w:val="000000"/>
          <w:kern w:val="20"/>
          <w:lang w:eastAsia="ja-JP"/>
        </w:rPr>
        <w:t xml:space="preserve">engagement </w:t>
      </w:r>
      <w:r>
        <w:rPr>
          <w:rFonts w:ascii="Calibri Light" w:eastAsia="Calibri" w:hAnsi="Calibri Light" w:cs="Times New Roman"/>
          <w:b/>
          <w:bCs/>
          <w:color w:val="000000"/>
          <w:kern w:val="20"/>
          <w:lang w:eastAsia="ja-JP"/>
        </w:rPr>
        <w:t>with</w:t>
      </w:r>
      <w:r w:rsidRPr="005D1586">
        <w:rPr>
          <w:rFonts w:ascii="Calibri Light" w:eastAsia="Calibri" w:hAnsi="Calibri Light" w:cs="Times New Roman"/>
          <w:b/>
          <w:bCs/>
          <w:color w:val="000000"/>
          <w:kern w:val="20"/>
          <w:lang w:eastAsia="ja-JP"/>
        </w:rPr>
        <w:t xml:space="preserve"> Pacific countries </w:t>
      </w:r>
      <w:r>
        <w:rPr>
          <w:rFonts w:ascii="Calibri Light" w:eastAsia="Calibri" w:hAnsi="Calibri Light" w:cs="Times New Roman"/>
          <w:b/>
          <w:bCs/>
          <w:color w:val="000000"/>
          <w:kern w:val="20"/>
          <w:lang w:eastAsia="ja-JP"/>
        </w:rPr>
        <w:t xml:space="preserve">builds </w:t>
      </w:r>
      <w:r w:rsidRPr="00F97F85">
        <w:rPr>
          <w:rFonts w:ascii="Calibri Light" w:eastAsia="Calibri" w:hAnsi="Calibri Light" w:cs="Times New Roman"/>
          <w:b/>
          <w:bCs/>
          <w:color w:val="000000"/>
          <w:kern w:val="20"/>
          <w:lang w:eastAsia="ja-JP"/>
        </w:rPr>
        <w:t xml:space="preserve">on </w:t>
      </w:r>
      <w:r>
        <w:rPr>
          <w:rFonts w:ascii="Calibri Light" w:eastAsia="Calibri" w:hAnsi="Calibri Light" w:cs="Times New Roman"/>
          <w:b/>
          <w:bCs/>
          <w:color w:val="000000"/>
          <w:kern w:val="20"/>
          <w:lang w:eastAsia="ja-JP"/>
        </w:rPr>
        <w:t>Australia’s</w:t>
      </w:r>
      <w:r w:rsidRPr="00F97F85">
        <w:rPr>
          <w:rFonts w:ascii="Calibri Light" w:eastAsia="Calibri" w:hAnsi="Calibri Light" w:cs="Times New Roman"/>
          <w:b/>
          <w:bCs/>
          <w:color w:val="000000"/>
          <w:kern w:val="20"/>
          <w:lang w:eastAsia="ja-JP"/>
        </w:rPr>
        <w:t xml:space="preserve"> bilateral </w:t>
      </w:r>
      <w:r>
        <w:rPr>
          <w:rFonts w:ascii="Calibri Light" w:eastAsia="Calibri" w:hAnsi="Calibri Light" w:cs="Times New Roman"/>
          <w:b/>
          <w:bCs/>
          <w:color w:val="000000"/>
          <w:kern w:val="20"/>
          <w:lang w:eastAsia="ja-JP"/>
        </w:rPr>
        <w:t xml:space="preserve">partnership with Vanuatu. </w:t>
      </w:r>
      <w:r w:rsidRPr="00053830">
        <w:rPr>
          <w:rFonts w:ascii="Calibri Light" w:eastAsia="Calibri" w:hAnsi="Calibri Light" w:cs="Times New Roman"/>
          <w:color w:val="000000"/>
        </w:rPr>
        <w:t xml:space="preserve">Pacific Step-up initiatives </w:t>
      </w:r>
      <w:r w:rsidR="00CA36EA">
        <w:rPr>
          <w:rFonts w:ascii="Calibri Light" w:eastAsia="Calibri" w:hAnsi="Calibri Light" w:cs="Times New Roman"/>
          <w:color w:val="000000"/>
        </w:rPr>
        <w:t xml:space="preserve">in Vanuatu </w:t>
      </w:r>
      <w:r w:rsidRPr="00053830">
        <w:rPr>
          <w:rFonts w:ascii="Calibri Light" w:eastAsia="Calibri" w:hAnsi="Calibri Light" w:cs="Times New Roman"/>
          <w:color w:val="000000"/>
        </w:rPr>
        <w:t xml:space="preserve">include measures to further promote economic development, </w:t>
      </w:r>
      <w:r>
        <w:rPr>
          <w:rFonts w:ascii="Calibri Light" w:eastAsia="Calibri" w:hAnsi="Calibri Light" w:cs="Times New Roman"/>
          <w:color w:val="000000"/>
        </w:rPr>
        <w:t xml:space="preserve">such as </w:t>
      </w:r>
      <w:r w:rsidRPr="00053830">
        <w:rPr>
          <w:rFonts w:ascii="Calibri Light" w:eastAsia="Calibri" w:hAnsi="Calibri Light" w:cs="Times New Roman"/>
          <w:color w:val="000000"/>
        </w:rPr>
        <w:t xml:space="preserve">the expansion of </w:t>
      </w:r>
      <w:r>
        <w:rPr>
          <w:rFonts w:ascii="Calibri Light" w:eastAsia="Calibri" w:hAnsi="Calibri Light" w:cs="Times New Roman"/>
          <w:color w:val="000000"/>
        </w:rPr>
        <w:t xml:space="preserve">labour mobility </w:t>
      </w:r>
      <w:r w:rsidR="00CA36EA">
        <w:rPr>
          <w:rFonts w:ascii="Calibri Light" w:eastAsia="Calibri" w:hAnsi="Calibri Light" w:cs="Times New Roman"/>
          <w:color w:val="000000"/>
        </w:rPr>
        <w:t xml:space="preserve">programs </w:t>
      </w:r>
      <w:r>
        <w:rPr>
          <w:rFonts w:ascii="Calibri Light" w:eastAsia="Calibri" w:hAnsi="Calibri Light" w:cs="Times New Roman"/>
          <w:color w:val="000000"/>
        </w:rPr>
        <w:t>and enhanced regional security</w:t>
      </w:r>
      <w:r w:rsidR="00EC2522">
        <w:rPr>
          <w:rFonts w:ascii="Calibri Light" w:eastAsia="Calibri" w:hAnsi="Calibri Light" w:cs="Times New Roman"/>
          <w:color w:val="000000"/>
        </w:rPr>
        <w:t xml:space="preserve"> </w:t>
      </w:r>
      <w:r>
        <w:rPr>
          <w:rFonts w:ascii="Calibri Light" w:eastAsia="Calibri" w:hAnsi="Calibri Light" w:cs="Times New Roman"/>
          <w:color w:val="000000"/>
        </w:rPr>
        <w:t>in line with the Boe Declaration</w:t>
      </w:r>
      <w:r w:rsidRPr="00053830">
        <w:rPr>
          <w:rFonts w:ascii="Calibri Light" w:eastAsia="Calibri" w:hAnsi="Calibri Light" w:cs="Times New Roman"/>
          <w:color w:val="000000"/>
        </w:rPr>
        <w:t xml:space="preserve">. </w:t>
      </w:r>
      <w:r>
        <w:rPr>
          <w:rFonts w:ascii="Calibri Light" w:eastAsia="Calibri" w:hAnsi="Calibri Light" w:cs="Times New Roman"/>
          <w:color w:val="000000"/>
        </w:rPr>
        <w:t xml:space="preserve">Ni-Vanuatu workers represented </w:t>
      </w:r>
      <w:r w:rsidRPr="00053830">
        <w:rPr>
          <w:rFonts w:ascii="Calibri Light" w:eastAsia="Calibri" w:hAnsi="Calibri Light" w:cs="Times New Roman"/>
          <w:color w:val="000000"/>
        </w:rPr>
        <w:t xml:space="preserve">the largest cohort in the </w:t>
      </w:r>
      <w:r>
        <w:rPr>
          <w:rFonts w:ascii="Calibri Light" w:eastAsia="Calibri" w:hAnsi="Calibri Light" w:cs="Times New Roman"/>
          <w:color w:val="000000"/>
        </w:rPr>
        <w:lastRenderedPageBreak/>
        <w:t>Seasonal Workers Program in 2018-19 with 4,964</w:t>
      </w:r>
      <w:r w:rsidR="00CA36EA">
        <w:rPr>
          <w:rFonts w:ascii="Calibri Light" w:eastAsia="Calibri" w:hAnsi="Calibri Light" w:cs="Times New Roman"/>
          <w:color w:val="000000"/>
        </w:rPr>
        <w:t> </w:t>
      </w:r>
      <w:r>
        <w:rPr>
          <w:rFonts w:ascii="Calibri Light" w:eastAsia="Calibri" w:hAnsi="Calibri Light" w:cs="Times New Roman"/>
          <w:color w:val="000000"/>
        </w:rPr>
        <w:t>workers (889 women)</w:t>
      </w:r>
      <w:r w:rsidR="00CA36EA">
        <w:rPr>
          <w:rFonts w:ascii="Calibri Light" w:eastAsia="Calibri" w:hAnsi="Calibri Light" w:cs="Times New Roman"/>
          <w:color w:val="000000"/>
        </w:rPr>
        <w:t>. An additional 51 workers (14 women) were</w:t>
      </w:r>
      <w:r>
        <w:rPr>
          <w:rFonts w:ascii="Calibri Light" w:eastAsia="Calibri" w:hAnsi="Calibri Light" w:cs="Times New Roman"/>
          <w:color w:val="000000"/>
        </w:rPr>
        <w:t xml:space="preserve"> </w:t>
      </w:r>
      <w:r w:rsidRPr="00053830">
        <w:rPr>
          <w:rFonts w:ascii="Calibri Light" w:eastAsia="Calibri" w:hAnsi="Calibri Light" w:cs="Times New Roman"/>
          <w:color w:val="000000"/>
        </w:rPr>
        <w:t xml:space="preserve">mobilised </w:t>
      </w:r>
      <w:r>
        <w:rPr>
          <w:rFonts w:ascii="Calibri Light" w:eastAsia="Calibri" w:hAnsi="Calibri Light" w:cs="Times New Roman"/>
          <w:color w:val="000000"/>
        </w:rPr>
        <w:t xml:space="preserve">under the new </w:t>
      </w:r>
      <w:r w:rsidRPr="00053830">
        <w:rPr>
          <w:rFonts w:ascii="Calibri Light" w:eastAsia="Calibri" w:hAnsi="Calibri Light" w:cs="Times New Roman"/>
          <w:color w:val="000000"/>
        </w:rPr>
        <w:t>Pacific Labour Scheme</w:t>
      </w:r>
      <w:r>
        <w:rPr>
          <w:rFonts w:ascii="Calibri Light" w:eastAsia="Calibri" w:hAnsi="Calibri Light" w:cs="Times New Roman"/>
          <w:color w:val="000000"/>
        </w:rPr>
        <w:t>. Australia</w:t>
      </w:r>
      <w:r w:rsidR="00830A8A">
        <w:rPr>
          <w:rFonts w:ascii="Calibri Light" w:eastAsia="Calibri" w:hAnsi="Calibri Light" w:cs="Times New Roman"/>
          <w:color w:val="000000"/>
        </w:rPr>
        <w:t xml:space="preserve"> enhanced its security cooperation </w:t>
      </w:r>
      <w:r w:rsidR="00581C58">
        <w:rPr>
          <w:rFonts w:ascii="Calibri Light" w:eastAsia="Calibri" w:hAnsi="Calibri Light" w:cs="Times New Roman"/>
          <w:color w:val="000000"/>
        </w:rPr>
        <w:t xml:space="preserve">through greater whole of government engagement from the Department of Foreign Affairs, the Attorney General’s Department, the Australian Federal Police, the Department of Home Affairs and the Australian Defence Force. </w:t>
      </w:r>
      <w:r w:rsidR="00964099">
        <w:rPr>
          <w:rFonts w:ascii="Calibri Light" w:eastAsia="Calibri" w:hAnsi="Calibri Light" w:cs="Times New Roman"/>
          <w:color w:val="000000"/>
        </w:rPr>
        <w:t>We</w:t>
      </w:r>
      <w:r w:rsidR="00581C58">
        <w:rPr>
          <w:rFonts w:ascii="Calibri Light" w:eastAsia="Calibri" w:hAnsi="Calibri Light" w:cs="Times New Roman"/>
          <w:color w:val="000000"/>
        </w:rPr>
        <w:t xml:space="preserve"> supported</w:t>
      </w:r>
      <w:r w:rsidR="00830A8A">
        <w:rPr>
          <w:rFonts w:ascii="Calibri Light" w:eastAsia="Calibri" w:hAnsi="Calibri Light" w:cs="Times New Roman"/>
          <w:color w:val="000000"/>
        </w:rPr>
        <w:t xml:space="preserve"> the development of</w:t>
      </w:r>
      <w:r>
        <w:rPr>
          <w:rFonts w:ascii="Calibri Light" w:eastAsia="Calibri" w:hAnsi="Calibri Light" w:cs="Times New Roman"/>
          <w:color w:val="000000"/>
        </w:rPr>
        <w:t xml:space="preserve"> Vanuatu’s first National Security Strategy</w:t>
      </w:r>
      <w:r w:rsidR="00830A8A">
        <w:rPr>
          <w:rFonts w:ascii="Calibri Light" w:eastAsia="Calibri" w:hAnsi="Calibri Light" w:cs="Times New Roman"/>
          <w:color w:val="000000"/>
        </w:rPr>
        <w:t>, assist</w:t>
      </w:r>
      <w:r w:rsidR="00964099">
        <w:rPr>
          <w:rFonts w:ascii="Calibri Light" w:eastAsia="Calibri" w:hAnsi="Calibri Light" w:cs="Times New Roman"/>
          <w:color w:val="000000"/>
        </w:rPr>
        <w:t>ed</w:t>
      </w:r>
      <w:r w:rsidR="00830A8A">
        <w:rPr>
          <w:rFonts w:ascii="Calibri Light" w:eastAsia="Calibri" w:hAnsi="Calibri Light" w:cs="Times New Roman"/>
          <w:color w:val="000000"/>
        </w:rPr>
        <w:t xml:space="preserve"> with infrastructure upgrades for the Vanuatu Police Force and mobilis</w:t>
      </w:r>
      <w:r w:rsidR="00964099">
        <w:rPr>
          <w:rFonts w:ascii="Calibri Light" w:eastAsia="Calibri" w:hAnsi="Calibri Light" w:cs="Times New Roman"/>
          <w:color w:val="000000"/>
        </w:rPr>
        <w:t>ed</w:t>
      </w:r>
      <w:r w:rsidR="00830A8A">
        <w:rPr>
          <w:rFonts w:ascii="Calibri Light" w:eastAsia="Calibri" w:hAnsi="Calibri Light" w:cs="Times New Roman"/>
          <w:color w:val="000000"/>
        </w:rPr>
        <w:t xml:space="preserve"> additional Australian Federal Police</w:t>
      </w:r>
      <w:r w:rsidR="00EC2522">
        <w:rPr>
          <w:rFonts w:ascii="Calibri Light" w:eastAsia="Calibri" w:hAnsi="Calibri Light" w:cs="Times New Roman"/>
          <w:color w:val="000000"/>
        </w:rPr>
        <w:t xml:space="preserve"> advisers</w:t>
      </w:r>
      <w:r w:rsidR="00830A8A">
        <w:rPr>
          <w:rFonts w:ascii="Calibri Light" w:eastAsia="Calibri" w:hAnsi="Calibri Light" w:cs="Times New Roman"/>
          <w:color w:val="000000"/>
        </w:rPr>
        <w:t xml:space="preserve">.  We enhanced cyber security by supporting Vanuatu’s Computer Emergency Response Team. This new work complemented Australia’s long engagement in the policing and justice sector. </w:t>
      </w:r>
      <w:r>
        <w:rPr>
          <w:rFonts w:ascii="Calibri Light" w:eastAsia="Calibri" w:hAnsi="Calibri Light" w:cs="Times New Roman"/>
          <w:color w:val="000000"/>
        </w:rPr>
        <w:t xml:space="preserve">Vanuatu is a priority country for inclusion in the </w:t>
      </w:r>
      <w:r w:rsidRPr="00914599">
        <w:rPr>
          <w:rFonts w:ascii="Calibri Light" w:eastAsia="Calibri" w:hAnsi="Calibri Light" w:cs="Times New Roman"/>
          <w:color w:val="000000"/>
        </w:rPr>
        <w:t>new church partnerships, sports linkages and secondary school scholarships programs</w:t>
      </w:r>
      <w:r>
        <w:rPr>
          <w:rFonts w:ascii="Calibri Light" w:eastAsia="Calibri" w:hAnsi="Calibri Light" w:cs="Times New Roman"/>
          <w:color w:val="000000"/>
        </w:rPr>
        <w:t>, which will extend existing strong people-to-people links.</w:t>
      </w:r>
    </w:p>
    <w:p w:rsidR="00610F6A" w:rsidRPr="005456F8" w:rsidRDefault="00610F6A" w:rsidP="00AF4AAA">
      <w:pPr>
        <w:suppressAutoHyphens w:val="0"/>
        <w:spacing w:before="70" w:after="0" w:line="240" w:lineRule="auto"/>
        <w:rPr>
          <w:rFonts w:ascii="Calibri Light" w:eastAsia="Calibri" w:hAnsi="Calibri Light" w:cs="Times New Roman"/>
          <w:color w:val="000000"/>
          <w:kern w:val="20"/>
          <w:lang w:val="en-AU" w:eastAsia="ja-JP"/>
        </w:rPr>
      </w:pPr>
      <w:r w:rsidRPr="00AF4AAA">
        <w:rPr>
          <w:rFonts w:ascii="Calibri Light" w:eastAsia="Calibri" w:hAnsi="Calibri Light" w:cs="Times New Roman"/>
          <w:b/>
          <w:color w:val="000000"/>
          <w:kern w:val="20"/>
          <w:lang w:eastAsia="ja-JP"/>
        </w:rPr>
        <w:t>Australia’s</w:t>
      </w:r>
      <w:r>
        <w:rPr>
          <w:rFonts w:ascii="Calibri Light" w:eastAsia="Calibri" w:hAnsi="Calibri Light" w:cs="Times New Roman"/>
          <w:b/>
          <w:color w:val="000000"/>
          <w:kern w:val="20"/>
          <w:lang w:val="en-AU" w:eastAsia="ja-JP"/>
        </w:rPr>
        <w:t xml:space="preserve"> </w:t>
      </w:r>
      <w:r w:rsidRPr="00AF4AAA">
        <w:rPr>
          <w:rFonts w:ascii="Calibri Light" w:eastAsia="Calibri" w:hAnsi="Calibri Light" w:cs="Times New Roman"/>
          <w:b/>
          <w:bCs/>
          <w:color w:val="000000"/>
          <w:kern w:val="20"/>
          <w:lang w:eastAsia="ja-JP"/>
        </w:rPr>
        <w:t>support</w:t>
      </w:r>
      <w:r w:rsidRPr="001E2F69">
        <w:rPr>
          <w:rFonts w:ascii="Calibri Light" w:eastAsia="Calibri" w:hAnsi="Calibri Light" w:cs="Times New Roman"/>
          <w:b/>
          <w:color w:val="000000"/>
          <w:kern w:val="20"/>
          <w:lang w:val="en-AU" w:eastAsia="ja-JP"/>
        </w:rPr>
        <w:t xml:space="preserve"> remain</w:t>
      </w:r>
      <w:r>
        <w:rPr>
          <w:rFonts w:ascii="Calibri Light" w:eastAsia="Calibri" w:hAnsi="Calibri Light" w:cs="Times New Roman"/>
          <w:b/>
          <w:color w:val="000000"/>
          <w:kern w:val="20"/>
          <w:lang w:val="en-AU" w:eastAsia="ja-JP"/>
        </w:rPr>
        <w:t xml:space="preserve">s </w:t>
      </w:r>
      <w:r w:rsidRPr="001E2F69">
        <w:rPr>
          <w:rFonts w:ascii="Calibri Light" w:eastAsia="Calibri" w:hAnsi="Calibri Light" w:cs="Times New Roman"/>
          <w:b/>
          <w:color w:val="000000"/>
          <w:kern w:val="20"/>
          <w:lang w:val="en-AU" w:eastAsia="ja-JP"/>
        </w:rPr>
        <w:t xml:space="preserve">responsive and </w:t>
      </w:r>
      <w:r>
        <w:rPr>
          <w:rFonts w:ascii="Calibri Light" w:eastAsia="Calibri" w:hAnsi="Calibri Light" w:cs="Times New Roman"/>
          <w:b/>
          <w:color w:val="000000"/>
          <w:kern w:val="20"/>
          <w:lang w:val="en-AU" w:eastAsia="ja-JP"/>
        </w:rPr>
        <w:t xml:space="preserve">flexible. </w:t>
      </w:r>
      <w:r w:rsidR="0015328F" w:rsidRPr="0015328F">
        <w:rPr>
          <w:rFonts w:ascii="Calibri Light" w:eastAsia="Calibri" w:hAnsi="Calibri Light" w:cs="Times New Roman"/>
          <w:color w:val="000000"/>
          <w:kern w:val="20"/>
          <w:lang w:val="en-AU" w:eastAsia="ja-JP"/>
        </w:rPr>
        <w:t>Australia supported Government of Vanuatu</w:t>
      </w:r>
      <w:r w:rsidR="00830A8A">
        <w:rPr>
          <w:rFonts w:ascii="Calibri Light" w:eastAsia="Calibri" w:hAnsi="Calibri Light" w:cs="Times New Roman"/>
          <w:color w:val="000000"/>
          <w:kern w:val="20"/>
          <w:lang w:val="en-AU" w:eastAsia="ja-JP"/>
        </w:rPr>
        <w:t>-</w:t>
      </w:r>
      <w:r w:rsidR="0015328F" w:rsidRPr="0015328F">
        <w:rPr>
          <w:rFonts w:ascii="Calibri Light" w:eastAsia="Calibri" w:hAnsi="Calibri Light" w:cs="Times New Roman"/>
          <w:color w:val="000000"/>
          <w:kern w:val="20"/>
          <w:lang w:val="en-AU" w:eastAsia="ja-JP"/>
        </w:rPr>
        <w:t xml:space="preserve">led responses and early recovery efforts to </w:t>
      </w:r>
      <w:r w:rsidR="004E0C79">
        <w:rPr>
          <w:rFonts w:ascii="Calibri Light" w:eastAsia="Calibri" w:hAnsi="Calibri Light" w:cs="Times New Roman"/>
          <w:color w:val="000000"/>
          <w:kern w:val="20"/>
          <w:lang w:val="en-AU" w:eastAsia="ja-JP"/>
        </w:rPr>
        <w:t>five</w:t>
      </w:r>
      <w:r w:rsidR="0015328F" w:rsidRPr="0015328F">
        <w:rPr>
          <w:rFonts w:ascii="Calibri Light" w:eastAsia="Calibri" w:hAnsi="Calibri Light" w:cs="Times New Roman"/>
          <w:color w:val="000000"/>
          <w:kern w:val="20"/>
          <w:lang w:val="en-AU" w:eastAsia="ja-JP"/>
        </w:rPr>
        <w:t xml:space="preserve"> natural disasters in 2018-19 (Ambae and A</w:t>
      </w:r>
      <w:r w:rsidR="004E0C79">
        <w:rPr>
          <w:rFonts w:ascii="Calibri Light" w:eastAsia="Calibri" w:hAnsi="Calibri Light" w:cs="Times New Roman"/>
          <w:color w:val="000000"/>
          <w:kern w:val="20"/>
          <w:lang w:val="en-AU" w:eastAsia="ja-JP"/>
        </w:rPr>
        <w:t xml:space="preserve">mbrym volcanos, </w:t>
      </w:r>
      <w:r w:rsidR="0015328F" w:rsidRPr="0015328F">
        <w:rPr>
          <w:rFonts w:ascii="Calibri Light" w:eastAsia="Calibri" w:hAnsi="Calibri Light" w:cs="Times New Roman"/>
          <w:color w:val="000000"/>
          <w:kern w:val="20"/>
          <w:lang w:val="en-AU" w:eastAsia="ja-JP"/>
        </w:rPr>
        <w:t>ongoing impacts from Tropical Cyclones Oma and Hola</w:t>
      </w:r>
      <w:r w:rsidR="004E0C79">
        <w:rPr>
          <w:rFonts w:ascii="Calibri Light" w:eastAsia="Calibri" w:hAnsi="Calibri Light" w:cs="Times New Roman"/>
          <w:color w:val="000000"/>
          <w:kern w:val="20"/>
          <w:lang w:val="en-AU" w:eastAsia="ja-JP"/>
        </w:rPr>
        <w:t xml:space="preserve"> and the Aneityum tsunami</w:t>
      </w:r>
      <w:r w:rsidR="0015328F" w:rsidRPr="0015328F">
        <w:rPr>
          <w:rFonts w:ascii="Calibri Light" w:eastAsia="Calibri" w:hAnsi="Calibri Light" w:cs="Times New Roman"/>
          <w:color w:val="000000"/>
          <w:kern w:val="20"/>
          <w:lang w:val="en-AU" w:eastAsia="ja-JP"/>
        </w:rPr>
        <w:t xml:space="preserve">) and will provide ongoing recovery support to displaced persons from the Ambae volcano. </w:t>
      </w:r>
      <w:r>
        <w:rPr>
          <w:rFonts w:ascii="Calibri Light" w:eastAsia="Calibri" w:hAnsi="Calibri Light" w:cs="Times New Roman"/>
          <w:color w:val="000000"/>
          <w:kern w:val="20"/>
          <w:lang w:eastAsia="ja-JP"/>
        </w:rPr>
        <w:t xml:space="preserve">With Vanuatu identified as the world’s most vulnerable country to natural disasters, Australia’s new education and health investments include </w:t>
      </w:r>
      <w:r w:rsidR="00596706">
        <w:rPr>
          <w:rFonts w:ascii="Calibri Light" w:eastAsia="Calibri" w:hAnsi="Calibri Light" w:cs="Times New Roman"/>
          <w:color w:val="000000"/>
          <w:kern w:val="20"/>
          <w:lang w:eastAsia="ja-JP"/>
        </w:rPr>
        <w:t xml:space="preserve">flexible </w:t>
      </w:r>
      <w:r w:rsidRPr="00F45F27">
        <w:rPr>
          <w:rFonts w:ascii="Calibri Light" w:eastAsia="Calibri" w:hAnsi="Calibri Light" w:cs="Calibri Light"/>
          <w:color w:val="000000"/>
        </w:rPr>
        <w:t xml:space="preserve">mechanisms to channel additional humanitarian funds through government systems to </w:t>
      </w:r>
      <w:r>
        <w:rPr>
          <w:rFonts w:ascii="Calibri Light" w:eastAsia="Calibri" w:hAnsi="Calibri Light" w:cs="Calibri Light"/>
          <w:color w:val="000000"/>
        </w:rPr>
        <w:t xml:space="preserve">ensure timely, effective response to </w:t>
      </w:r>
      <w:r w:rsidRPr="00F45F27">
        <w:rPr>
          <w:rFonts w:ascii="Calibri Light" w:eastAsia="Calibri" w:hAnsi="Calibri Light" w:cs="Calibri Light"/>
          <w:color w:val="000000"/>
        </w:rPr>
        <w:t>disasters</w:t>
      </w:r>
      <w:r>
        <w:rPr>
          <w:rFonts w:ascii="Calibri Light" w:eastAsia="Calibri" w:hAnsi="Calibri Light" w:cs="Calibri Light"/>
          <w:color w:val="000000"/>
        </w:rPr>
        <w:t>. T</w:t>
      </w:r>
      <w:r w:rsidRPr="00F45F27">
        <w:rPr>
          <w:rFonts w:ascii="Calibri Light" w:eastAsia="Calibri" w:hAnsi="Calibri Light" w:cs="Calibri Light"/>
          <w:color w:val="000000"/>
        </w:rPr>
        <w:t>argeted provincial</w:t>
      </w:r>
      <w:r w:rsidR="00830A8A">
        <w:rPr>
          <w:rFonts w:ascii="Calibri Light" w:eastAsia="Calibri" w:hAnsi="Calibri Light" w:cs="Calibri Light"/>
          <w:color w:val="000000"/>
        </w:rPr>
        <w:t>-</w:t>
      </w:r>
      <w:r w:rsidRPr="00F45F27">
        <w:rPr>
          <w:rFonts w:ascii="Calibri Light" w:eastAsia="Calibri" w:hAnsi="Calibri Light" w:cs="Calibri Light"/>
          <w:color w:val="000000"/>
        </w:rPr>
        <w:t xml:space="preserve">level engagement </w:t>
      </w:r>
      <w:r>
        <w:rPr>
          <w:rFonts w:ascii="Calibri Light" w:eastAsia="Calibri" w:hAnsi="Calibri Light" w:cs="Calibri Light"/>
          <w:color w:val="000000"/>
        </w:rPr>
        <w:t xml:space="preserve">in health, skills and governance support </w:t>
      </w:r>
      <w:r w:rsidRPr="00F45F27">
        <w:rPr>
          <w:rFonts w:ascii="Calibri Light" w:eastAsia="Calibri" w:hAnsi="Calibri Light" w:cs="Calibri Light"/>
          <w:color w:val="000000"/>
        </w:rPr>
        <w:t>the</w:t>
      </w:r>
      <w:r>
        <w:rPr>
          <w:rFonts w:ascii="Calibri Light" w:eastAsia="Calibri" w:hAnsi="Calibri Light" w:cs="Calibri Light"/>
          <w:color w:val="000000"/>
        </w:rPr>
        <w:t xml:space="preserve"> roll-out</w:t>
      </w:r>
      <w:r w:rsidRPr="00F45F27">
        <w:rPr>
          <w:rFonts w:ascii="Calibri Light" w:eastAsia="Calibri" w:hAnsi="Calibri Light" w:cs="Calibri Light"/>
          <w:color w:val="000000"/>
        </w:rPr>
        <w:t xml:space="preserve"> </w:t>
      </w:r>
      <w:r>
        <w:rPr>
          <w:rFonts w:ascii="Calibri Light" w:eastAsia="Calibri" w:hAnsi="Calibri Light" w:cs="Calibri Light"/>
          <w:color w:val="000000"/>
        </w:rPr>
        <w:t xml:space="preserve">of the </w:t>
      </w:r>
      <w:r w:rsidR="00AA3B84">
        <w:rPr>
          <w:rFonts w:ascii="Calibri Light" w:eastAsia="Calibri" w:hAnsi="Calibri Light" w:cs="Calibri Light"/>
          <w:color w:val="000000"/>
        </w:rPr>
        <w:t>Vanuatu Government’</w:t>
      </w:r>
      <w:r>
        <w:rPr>
          <w:rFonts w:ascii="Calibri Light" w:eastAsia="Calibri" w:hAnsi="Calibri Light" w:cs="Calibri Light"/>
          <w:color w:val="000000"/>
        </w:rPr>
        <w:t>s</w:t>
      </w:r>
      <w:r w:rsidRPr="00F45F27">
        <w:rPr>
          <w:rFonts w:ascii="Calibri Light" w:eastAsia="Calibri" w:hAnsi="Calibri Light" w:cs="Calibri Light"/>
          <w:color w:val="000000"/>
        </w:rPr>
        <w:t xml:space="preserve"> Decentralisation Policy</w:t>
      </w:r>
      <w:r>
        <w:rPr>
          <w:rFonts w:ascii="Calibri Light" w:eastAsia="Calibri" w:hAnsi="Calibri Light" w:cs="Calibri Light"/>
          <w:color w:val="000000"/>
        </w:rPr>
        <w:t>,</w:t>
      </w:r>
      <w:r w:rsidRPr="00F45F27">
        <w:rPr>
          <w:rFonts w:ascii="Calibri Light" w:eastAsia="Calibri" w:hAnsi="Calibri Light" w:cs="Calibri Light"/>
          <w:color w:val="000000"/>
        </w:rPr>
        <w:t xml:space="preserve"> </w:t>
      </w:r>
      <w:r>
        <w:rPr>
          <w:rFonts w:ascii="Calibri Light" w:eastAsia="Calibri" w:hAnsi="Calibri Light" w:cs="Calibri Light"/>
          <w:color w:val="000000"/>
        </w:rPr>
        <w:t xml:space="preserve">and </w:t>
      </w:r>
      <w:r w:rsidR="00596706">
        <w:rPr>
          <w:rFonts w:ascii="Calibri Light" w:eastAsia="Calibri" w:hAnsi="Calibri Light" w:cs="Calibri Light"/>
          <w:color w:val="000000"/>
        </w:rPr>
        <w:t xml:space="preserve">a more nimble </w:t>
      </w:r>
      <w:r>
        <w:rPr>
          <w:rFonts w:ascii="Calibri Light" w:eastAsia="Calibri" w:hAnsi="Calibri Light" w:cs="Calibri Light"/>
          <w:color w:val="000000"/>
        </w:rPr>
        <w:t xml:space="preserve">infrastructure </w:t>
      </w:r>
      <w:r w:rsidR="00596706">
        <w:rPr>
          <w:rFonts w:ascii="Calibri Light" w:eastAsia="Calibri" w:hAnsi="Calibri Light" w:cs="Calibri Light"/>
          <w:color w:val="000000"/>
        </w:rPr>
        <w:t xml:space="preserve">mechanism </w:t>
      </w:r>
      <w:r>
        <w:rPr>
          <w:rFonts w:ascii="Calibri Light" w:eastAsia="Calibri" w:hAnsi="Calibri Light" w:cs="Calibri Light"/>
          <w:color w:val="000000"/>
        </w:rPr>
        <w:t>allow</w:t>
      </w:r>
      <w:r w:rsidR="00596706">
        <w:rPr>
          <w:rFonts w:ascii="Calibri Light" w:eastAsia="Calibri" w:hAnsi="Calibri Light" w:cs="Calibri Light"/>
          <w:color w:val="000000"/>
        </w:rPr>
        <w:t>s</w:t>
      </w:r>
      <w:r>
        <w:rPr>
          <w:rFonts w:ascii="Calibri Light" w:eastAsia="Calibri" w:hAnsi="Calibri Light" w:cs="Calibri Light"/>
          <w:color w:val="000000"/>
        </w:rPr>
        <w:t xml:space="preserve"> for </w:t>
      </w:r>
      <w:r w:rsidRPr="00F45F27">
        <w:rPr>
          <w:rFonts w:ascii="Calibri Light" w:eastAsia="Calibri" w:hAnsi="Calibri Light" w:cs="Calibri Light"/>
          <w:color w:val="000000"/>
        </w:rPr>
        <w:t>support</w:t>
      </w:r>
      <w:r>
        <w:rPr>
          <w:rFonts w:ascii="Calibri Light" w:eastAsia="Calibri" w:hAnsi="Calibri Light" w:cs="Calibri Light"/>
          <w:color w:val="000000"/>
        </w:rPr>
        <w:t xml:space="preserve"> of</w:t>
      </w:r>
      <w:r w:rsidRPr="00F45F27">
        <w:rPr>
          <w:rFonts w:ascii="Calibri Light" w:eastAsia="Calibri" w:hAnsi="Calibri Light" w:cs="Calibri Light"/>
          <w:color w:val="000000"/>
        </w:rPr>
        <w:t xml:space="preserve"> high priorit</w:t>
      </w:r>
      <w:r>
        <w:rPr>
          <w:rFonts w:ascii="Calibri Light" w:eastAsia="Calibri" w:hAnsi="Calibri Light" w:cs="Calibri Light"/>
          <w:color w:val="000000"/>
        </w:rPr>
        <w:t>y projects</w:t>
      </w:r>
      <w:r w:rsidRPr="00F45F27">
        <w:rPr>
          <w:rFonts w:ascii="Calibri Light" w:eastAsia="Calibri" w:hAnsi="Calibri Light" w:cs="Calibri Light"/>
          <w:color w:val="000000"/>
        </w:rPr>
        <w:t xml:space="preserve"> such as the Kumul Highway extension.</w:t>
      </w:r>
      <w:r>
        <w:rPr>
          <w:rFonts w:ascii="Calibri Light" w:eastAsia="Calibri" w:hAnsi="Calibri Light" w:cs="Calibri Light"/>
          <w:color w:val="000000"/>
        </w:rPr>
        <w:t xml:space="preserve"> </w:t>
      </w:r>
    </w:p>
    <w:p w:rsidR="008D79E5" w:rsidRPr="00C61187" w:rsidRDefault="005E33FC" w:rsidP="00B71FC4">
      <w:pPr>
        <w:pStyle w:val="ListBullet"/>
        <w:tabs>
          <w:tab w:val="clear" w:pos="284"/>
        </w:tabs>
        <w:spacing w:before="240" w:after="60" w:line="300" w:lineRule="exact"/>
        <w:rPr>
          <w:kern w:val="28"/>
        </w:rPr>
      </w:pPr>
      <w:r>
        <w:rPr>
          <w:rFonts w:asciiTheme="majorHAnsi" w:eastAsiaTheme="majorEastAsia" w:hAnsiTheme="majorHAnsi" w:cstheme="majorBidi"/>
          <w:caps/>
          <w:color w:val="495965" w:themeColor="text2"/>
          <w:sz w:val="38"/>
          <w:szCs w:val="26"/>
          <w:lang w:val="en-GB" w:eastAsia="en-US"/>
        </w:rPr>
        <w:t>Context</w:t>
      </w:r>
    </w:p>
    <w:p w:rsidR="001607CB" w:rsidRDefault="005531F7" w:rsidP="00CD2978">
      <w:pPr>
        <w:rPr>
          <w:color w:val="000000" w:themeColor="text1"/>
        </w:rPr>
      </w:pPr>
      <w:r w:rsidRPr="005531F7">
        <w:rPr>
          <w:b/>
          <w:color w:val="000000" w:themeColor="text1"/>
        </w:rPr>
        <w:t>Australia's aid program in Vanuatu focuses on four strategic objectives: building resilient infrastructure and economic opportunity; improving early education and essential health services; improving community safety and resilience; and supporting cyclone recovery and reconstruction</w:t>
      </w:r>
      <w:r w:rsidR="006C3C16">
        <w:rPr>
          <w:b/>
          <w:color w:val="000000" w:themeColor="text1"/>
        </w:rPr>
        <w:t xml:space="preserve">. </w:t>
      </w:r>
      <w:r w:rsidRPr="00FE5D26">
        <w:rPr>
          <w:color w:val="000000" w:themeColor="text1"/>
        </w:rPr>
        <w:t xml:space="preserve">Australia’s assistance supports </w:t>
      </w:r>
      <w:r>
        <w:rPr>
          <w:color w:val="000000" w:themeColor="text1"/>
        </w:rPr>
        <w:t>Vanuatu to implement it</w:t>
      </w:r>
      <w:r w:rsidRPr="00FE5D26">
        <w:rPr>
          <w:color w:val="000000" w:themeColor="text1"/>
        </w:rPr>
        <w:t xml:space="preserve">s </w:t>
      </w:r>
      <w:r w:rsidRPr="00EC2522">
        <w:rPr>
          <w:i/>
          <w:color w:val="000000" w:themeColor="text1"/>
        </w:rPr>
        <w:t>National Sustainable Development Plan</w:t>
      </w:r>
      <w:r>
        <w:rPr>
          <w:color w:val="000000" w:themeColor="text1"/>
        </w:rPr>
        <w:t xml:space="preserve">, which </w:t>
      </w:r>
      <w:r w:rsidRPr="00FC18DA">
        <w:rPr>
          <w:color w:val="000000" w:themeColor="text1"/>
        </w:rPr>
        <w:t xml:space="preserve">charts the country's vision and overarching policy framework for achieving a </w:t>
      </w:r>
      <w:r>
        <w:rPr>
          <w:color w:val="000000" w:themeColor="text1"/>
        </w:rPr>
        <w:t>s</w:t>
      </w:r>
      <w:r w:rsidRPr="00FC18DA">
        <w:rPr>
          <w:color w:val="000000" w:themeColor="text1"/>
        </w:rPr>
        <w:t>table,</w:t>
      </w:r>
      <w:r>
        <w:rPr>
          <w:color w:val="000000" w:themeColor="text1"/>
        </w:rPr>
        <w:t xml:space="preserve"> s</w:t>
      </w:r>
      <w:r w:rsidRPr="00FC18DA">
        <w:rPr>
          <w:color w:val="000000" w:themeColor="text1"/>
        </w:rPr>
        <w:t xml:space="preserve">ustainable and </w:t>
      </w:r>
      <w:r>
        <w:rPr>
          <w:color w:val="000000" w:themeColor="text1"/>
        </w:rPr>
        <w:t>p</w:t>
      </w:r>
      <w:r w:rsidRPr="00FC18DA">
        <w:rPr>
          <w:color w:val="000000" w:themeColor="text1"/>
        </w:rPr>
        <w:t xml:space="preserve">rosperous Vanuatu </w:t>
      </w:r>
      <w:r>
        <w:rPr>
          <w:color w:val="000000" w:themeColor="text1"/>
        </w:rPr>
        <w:t xml:space="preserve">by 2030.  The Australian </w:t>
      </w:r>
      <w:r w:rsidR="007A7C08">
        <w:rPr>
          <w:color w:val="000000" w:themeColor="text1"/>
        </w:rPr>
        <w:t xml:space="preserve">AIP </w:t>
      </w:r>
      <w:r>
        <w:rPr>
          <w:color w:val="000000" w:themeColor="text1"/>
        </w:rPr>
        <w:t xml:space="preserve">for Vanuatu aligns with </w:t>
      </w:r>
      <w:r w:rsidR="00830A8A">
        <w:rPr>
          <w:color w:val="000000" w:themeColor="text1"/>
        </w:rPr>
        <w:t xml:space="preserve">this plan </w:t>
      </w:r>
      <w:r>
        <w:rPr>
          <w:color w:val="000000" w:themeColor="text1"/>
        </w:rPr>
        <w:t xml:space="preserve">and the </w:t>
      </w:r>
      <w:r w:rsidRPr="00FC18DA">
        <w:rPr>
          <w:color w:val="000000" w:themeColor="text1"/>
        </w:rPr>
        <w:t>national</w:t>
      </w:r>
      <w:r>
        <w:rPr>
          <w:color w:val="000000" w:themeColor="text1"/>
        </w:rPr>
        <w:t xml:space="preserve"> </w:t>
      </w:r>
      <w:r w:rsidRPr="00FC18DA">
        <w:rPr>
          <w:color w:val="000000" w:themeColor="text1"/>
        </w:rPr>
        <w:t>priorities</w:t>
      </w:r>
      <w:r w:rsidR="001607CB">
        <w:rPr>
          <w:color w:val="000000" w:themeColor="text1"/>
        </w:rPr>
        <w:t xml:space="preserve"> and</w:t>
      </w:r>
      <w:r w:rsidRPr="00FC18DA">
        <w:rPr>
          <w:color w:val="000000" w:themeColor="text1"/>
        </w:rPr>
        <w:t xml:space="preserve"> framework for action</w:t>
      </w:r>
      <w:r w:rsidR="001607CB">
        <w:rPr>
          <w:color w:val="000000" w:themeColor="text1"/>
        </w:rPr>
        <w:t xml:space="preserve"> to </w:t>
      </w:r>
      <w:r>
        <w:rPr>
          <w:color w:val="000000" w:themeColor="text1"/>
        </w:rPr>
        <w:t xml:space="preserve">work towards </w:t>
      </w:r>
      <w:r w:rsidRPr="00FC18DA">
        <w:rPr>
          <w:color w:val="000000" w:themeColor="text1"/>
        </w:rPr>
        <w:t xml:space="preserve">the </w:t>
      </w:r>
      <w:r>
        <w:rPr>
          <w:color w:val="000000" w:themeColor="text1"/>
        </w:rPr>
        <w:t>Sustainable Development Goals</w:t>
      </w:r>
      <w:r w:rsidRPr="00FE5D26">
        <w:rPr>
          <w:color w:val="000000" w:themeColor="text1"/>
        </w:rPr>
        <w:t>.</w:t>
      </w:r>
      <w:r w:rsidR="00F4383B">
        <w:rPr>
          <w:color w:val="000000" w:themeColor="text1"/>
        </w:rPr>
        <w:t xml:space="preserve"> Total Australia</w:t>
      </w:r>
      <w:r w:rsidR="00F73A03">
        <w:rPr>
          <w:color w:val="000000" w:themeColor="text1"/>
        </w:rPr>
        <w:t>n</w:t>
      </w:r>
      <w:r w:rsidR="00F4383B">
        <w:rPr>
          <w:color w:val="000000" w:themeColor="text1"/>
        </w:rPr>
        <w:t xml:space="preserve"> ODA to Vanuatu in 2018-19 </w:t>
      </w:r>
      <w:r w:rsidR="00F73A03">
        <w:rPr>
          <w:color w:val="000000" w:themeColor="text1"/>
        </w:rPr>
        <w:t>was</w:t>
      </w:r>
      <w:r w:rsidR="00F4383B">
        <w:rPr>
          <w:color w:val="000000" w:themeColor="text1"/>
        </w:rPr>
        <w:t xml:space="preserve"> $63 million. The bilateral component, $43.9 million, </w:t>
      </w:r>
      <w:r w:rsidR="00F73A03">
        <w:rPr>
          <w:color w:val="000000" w:themeColor="text1"/>
        </w:rPr>
        <w:t>represented</w:t>
      </w:r>
      <w:r w:rsidR="00F4383B">
        <w:rPr>
          <w:color w:val="000000" w:themeColor="text1"/>
        </w:rPr>
        <w:t xml:space="preserve"> more than 40</w:t>
      </w:r>
      <w:r w:rsidR="00964099">
        <w:rPr>
          <w:color w:val="000000" w:themeColor="text1"/>
        </w:rPr>
        <w:t xml:space="preserve"> per cent</w:t>
      </w:r>
      <w:r w:rsidR="00F4383B">
        <w:rPr>
          <w:color w:val="000000" w:themeColor="text1"/>
        </w:rPr>
        <w:t xml:space="preserve"> of total ODA flows to Vanuatu in 2018.</w:t>
      </w:r>
    </w:p>
    <w:p w:rsidR="00CD2978" w:rsidRPr="00540629" w:rsidRDefault="00CD2978" w:rsidP="00CD2978">
      <w:pPr>
        <w:rPr>
          <w:color w:val="000000" w:themeColor="text1"/>
        </w:rPr>
      </w:pPr>
      <w:r w:rsidRPr="00C82F53">
        <w:rPr>
          <w:b/>
          <w:color w:val="000000" w:themeColor="text1"/>
        </w:rPr>
        <w:t xml:space="preserve">The context underpinning </w:t>
      </w:r>
      <w:r w:rsidRPr="00EC2522">
        <w:rPr>
          <w:b/>
          <w:color w:val="000000" w:themeColor="text1"/>
        </w:rPr>
        <w:t xml:space="preserve">the Vanuatu </w:t>
      </w:r>
      <w:r w:rsidR="00830A8A" w:rsidRPr="00EC2522">
        <w:rPr>
          <w:b/>
          <w:color w:val="000000" w:themeColor="text1"/>
        </w:rPr>
        <w:t>A</w:t>
      </w:r>
      <w:r w:rsidR="00F73A03">
        <w:rPr>
          <w:b/>
          <w:color w:val="000000" w:themeColor="text1"/>
        </w:rPr>
        <w:t>IP</w:t>
      </w:r>
      <w:r w:rsidR="00830A8A" w:rsidRPr="00EC2522">
        <w:rPr>
          <w:b/>
          <w:color w:val="000000" w:themeColor="text1"/>
        </w:rPr>
        <w:t xml:space="preserve"> </w:t>
      </w:r>
      <w:r w:rsidRPr="00EC2522">
        <w:rPr>
          <w:b/>
          <w:color w:val="000000" w:themeColor="text1"/>
        </w:rPr>
        <w:t>remained valid in 2018-19</w:t>
      </w:r>
      <w:r w:rsidRPr="00540629">
        <w:rPr>
          <w:color w:val="000000" w:themeColor="text1"/>
        </w:rPr>
        <w:t xml:space="preserve">, with consistent economic growth, </w:t>
      </w:r>
      <w:r w:rsidR="005531F7">
        <w:rPr>
          <w:color w:val="000000" w:themeColor="text1"/>
        </w:rPr>
        <w:t xml:space="preserve">relatively </w:t>
      </w:r>
      <w:r w:rsidRPr="00540629">
        <w:rPr>
          <w:color w:val="000000" w:themeColor="text1"/>
        </w:rPr>
        <w:t>stable governance and a strong reform agenda. Vulnerability to natural disasters, disparities between urban and rural populations</w:t>
      </w:r>
      <w:r w:rsidR="00FB0DFD">
        <w:rPr>
          <w:color w:val="000000" w:themeColor="text1"/>
        </w:rPr>
        <w:t>,</w:t>
      </w:r>
      <w:r w:rsidRPr="00540629">
        <w:rPr>
          <w:color w:val="000000" w:themeColor="text1"/>
        </w:rPr>
        <w:t xml:space="preserve"> and between opportunities for women and men</w:t>
      </w:r>
      <w:r w:rsidR="00FB0DFD">
        <w:rPr>
          <w:color w:val="000000" w:themeColor="text1"/>
        </w:rPr>
        <w:t>,</w:t>
      </w:r>
      <w:r w:rsidRPr="00540629">
        <w:rPr>
          <w:color w:val="000000" w:themeColor="text1"/>
        </w:rPr>
        <w:t xml:space="preserve"> continue to influence development.</w:t>
      </w:r>
      <w:r w:rsidR="00942CC5">
        <w:rPr>
          <w:color w:val="000000" w:themeColor="text1"/>
        </w:rPr>
        <w:t xml:space="preserve"> </w:t>
      </w:r>
    </w:p>
    <w:p w:rsidR="005531F7" w:rsidRDefault="00F74FC1" w:rsidP="00B67755">
      <w:pPr>
        <w:rPr>
          <w:rFonts w:ascii="Calibri Light" w:hAnsi="Calibri Light" w:cs="Calibri Light"/>
          <w:color w:val="000000"/>
        </w:rPr>
      </w:pPr>
      <w:r w:rsidRPr="00F74FC1">
        <w:rPr>
          <w:rFonts w:ascii="Calibri Light" w:hAnsi="Calibri Light" w:cs="Calibri Light"/>
          <w:b/>
          <w:color w:val="000000"/>
        </w:rPr>
        <w:t xml:space="preserve">Vanuatu experienced a period of relative political stability in 2018-19. </w:t>
      </w:r>
      <w:r w:rsidR="00B67755">
        <w:rPr>
          <w:rFonts w:ascii="Calibri Light" w:hAnsi="Calibri Light" w:cs="Calibri Light"/>
          <w:color w:val="000000"/>
        </w:rPr>
        <w:t>In o</w:t>
      </w:r>
      <w:r w:rsidR="00153D40">
        <w:rPr>
          <w:rFonts w:ascii="Calibri Light" w:hAnsi="Calibri Light" w:cs="Calibri Light"/>
          <w:color w:val="000000"/>
        </w:rPr>
        <w:t xml:space="preserve">ffice since February 2016, </w:t>
      </w:r>
      <w:r w:rsidR="00830A8A">
        <w:rPr>
          <w:rFonts w:ascii="Calibri Light" w:hAnsi="Calibri Light" w:cs="Calibri Light"/>
          <w:color w:val="000000"/>
        </w:rPr>
        <w:t xml:space="preserve">the </w:t>
      </w:r>
      <w:r w:rsidR="00153D40">
        <w:rPr>
          <w:rFonts w:ascii="Calibri Light" w:hAnsi="Calibri Light" w:cs="Calibri Light"/>
          <w:color w:val="000000"/>
        </w:rPr>
        <w:t>Hon. </w:t>
      </w:r>
      <w:r w:rsidR="00B67755">
        <w:rPr>
          <w:rFonts w:ascii="Calibri Light" w:hAnsi="Calibri Light" w:cs="Calibri Light"/>
          <w:color w:val="000000"/>
        </w:rPr>
        <w:t xml:space="preserve">Charlot Salwai is the longest-serving Prime Minister since 2008, </w:t>
      </w:r>
      <w:r>
        <w:rPr>
          <w:rFonts w:ascii="Calibri Light" w:hAnsi="Calibri Light" w:cs="Calibri Light"/>
          <w:color w:val="000000"/>
        </w:rPr>
        <w:t xml:space="preserve">enabling </w:t>
      </w:r>
      <w:r w:rsidR="005531F7">
        <w:rPr>
          <w:rFonts w:ascii="Calibri Light" w:hAnsi="Calibri Light" w:cs="Calibri Light"/>
          <w:color w:val="000000"/>
        </w:rPr>
        <w:t xml:space="preserve">consistency of approach </w:t>
      </w:r>
      <w:r w:rsidR="00B67755">
        <w:rPr>
          <w:rFonts w:ascii="Calibri Light" w:hAnsi="Calibri Light" w:cs="Calibri Light"/>
          <w:color w:val="000000"/>
        </w:rPr>
        <w:t xml:space="preserve">on key policy issues. </w:t>
      </w:r>
      <w:r w:rsidR="001A28CA">
        <w:rPr>
          <w:rFonts w:ascii="Calibri Light" w:hAnsi="Calibri Light" w:cs="Calibri Light"/>
          <w:color w:val="000000"/>
        </w:rPr>
        <w:t>In 2018-19 there were</w:t>
      </w:r>
      <w:r w:rsidR="00830A8A">
        <w:rPr>
          <w:rFonts w:ascii="Calibri Light" w:hAnsi="Calibri Light" w:cs="Calibri Light"/>
          <w:color w:val="000000"/>
        </w:rPr>
        <w:t xml:space="preserve"> </w:t>
      </w:r>
      <w:r w:rsidR="00040E69">
        <w:rPr>
          <w:rFonts w:ascii="Calibri Light" w:hAnsi="Calibri Light" w:cs="Calibri Light"/>
          <w:color w:val="000000"/>
        </w:rPr>
        <w:t>leadership challenges</w:t>
      </w:r>
      <w:r w:rsidR="001A28CA">
        <w:rPr>
          <w:rFonts w:ascii="Calibri Light" w:hAnsi="Calibri Light" w:cs="Calibri Light"/>
          <w:color w:val="000000"/>
        </w:rPr>
        <w:t>, however,</w:t>
      </w:r>
      <w:r w:rsidR="00040E69">
        <w:rPr>
          <w:rFonts w:ascii="Calibri Light" w:hAnsi="Calibri Light" w:cs="Calibri Light"/>
          <w:color w:val="000000"/>
        </w:rPr>
        <w:t xml:space="preserve"> </w:t>
      </w:r>
      <w:r w:rsidR="00830A8A">
        <w:rPr>
          <w:rFonts w:ascii="Calibri Light" w:hAnsi="Calibri Light" w:cs="Calibri Light"/>
          <w:color w:val="000000"/>
        </w:rPr>
        <w:t xml:space="preserve">with </w:t>
      </w:r>
      <w:r w:rsidR="001A28CA">
        <w:rPr>
          <w:rFonts w:ascii="Calibri Light" w:hAnsi="Calibri Light" w:cs="Calibri Light"/>
          <w:color w:val="000000"/>
        </w:rPr>
        <w:t xml:space="preserve">the Salwai </w:t>
      </w:r>
      <w:r w:rsidR="00964099">
        <w:rPr>
          <w:rFonts w:ascii="Calibri Light" w:hAnsi="Calibri Light" w:cs="Calibri Light"/>
          <w:color w:val="000000"/>
        </w:rPr>
        <w:t>G</w:t>
      </w:r>
      <w:r w:rsidR="005531F7">
        <w:rPr>
          <w:rFonts w:ascii="Calibri Light" w:hAnsi="Calibri Light" w:cs="Calibri Light"/>
          <w:color w:val="000000"/>
        </w:rPr>
        <w:t xml:space="preserve">overnment </w:t>
      </w:r>
      <w:r w:rsidR="00830A8A">
        <w:rPr>
          <w:rFonts w:ascii="Calibri Light" w:hAnsi="Calibri Light" w:cs="Calibri Light"/>
          <w:color w:val="000000"/>
        </w:rPr>
        <w:t xml:space="preserve">facing </w:t>
      </w:r>
      <w:r w:rsidR="008F53E9">
        <w:rPr>
          <w:rFonts w:ascii="Calibri Light" w:hAnsi="Calibri Light" w:cs="Calibri Light"/>
          <w:color w:val="000000"/>
        </w:rPr>
        <w:t>four no-</w:t>
      </w:r>
      <w:r w:rsidR="005531F7">
        <w:rPr>
          <w:rFonts w:ascii="Calibri Light" w:hAnsi="Calibri Light" w:cs="Calibri Light"/>
          <w:color w:val="000000"/>
        </w:rPr>
        <w:t>confidence motions</w:t>
      </w:r>
      <w:r w:rsidR="001A28CA">
        <w:rPr>
          <w:rFonts w:ascii="Calibri Light" w:hAnsi="Calibri Light" w:cs="Calibri Light"/>
          <w:color w:val="000000"/>
        </w:rPr>
        <w:t>.</w:t>
      </w:r>
      <w:r w:rsidR="005531F7">
        <w:rPr>
          <w:rFonts w:ascii="Calibri Light" w:hAnsi="Calibri Light" w:cs="Calibri Light"/>
          <w:color w:val="000000"/>
        </w:rPr>
        <w:t xml:space="preserve"> Minor reshuffles </w:t>
      </w:r>
      <w:r w:rsidR="001A28CA">
        <w:rPr>
          <w:rFonts w:ascii="Calibri Light" w:hAnsi="Calibri Light" w:cs="Calibri Light"/>
          <w:color w:val="000000"/>
        </w:rPr>
        <w:t xml:space="preserve">also </w:t>
      </w:r>
      <w:r w:rsidR="005531F7">
        <w:rPr>
          <w:rFonts w:ascii="Calibri Light" w:hAnsi="Calibri Light" w:cs="Calibri Light"/>
          <w:color w:val="000000"/>
        </w:rPr>
        <w:t>occurred in ministerial portfolios.</w:t>
      </w:r>
      <w:r w:rsidR="00830A8A">
        <w:rPr>
          <w:rFonts w:ascii="Calibri Light" w:hAnsi="Calibri Light" w:cs="Calibri Light"/>
          <w:color w:val="000000"/>
        </w:rPr>
        <w:t xml:space="preserve"> </w:t>
      </w:r>
      <w:r w:rsidR="00105E09">
        <w:rPr>
          <w:rFonts w:ascii="Calibri Light" w:hAnsi="Calibri Light" w:cs="Calibri Light"/>
          <w:color w:val="000000"/>
        </w:rPr>
        <w:t>Australia’s</w:t>
      </w:r>
      <w:r w:rsidR="005531F7">
        <w:rPr>
          <w:rFonts w:ascii="Calibri Light" w:hAnsi="Calibri Light" w:cs="Calibri Light"/>
          <w:color w:val="000000"/>
        </w:rPr>
        <w:t xml:space="preserve"> </w:t>
      </w:r>
      <w:r w:rsidR="00830A8A">
        <w:rPr>
          <w:rFonts w:ascii="Calibri Light" w:hAnsi="Calibri Light" w:cs="Calibri Light"/>
          <w:color w:val="000000"/>
        </w:rPr>
        <w:t>i</w:t>
      </w:r>
      <w:r w:rsidR="005531F7">
        <w:rPr>
          <w:rFonts w:ascii="Calibri Light" w:hAnsi="Calibri Light" w:cs="Calibri Light"/>
          <w:color w:val="000000"/>
        </w:rPr>
        <w:t>ncreased engagement</w:t>
      </w:r>
      <w:r w:rsidR="00830A8A">
        <w:rPr>
          <w:rFonts w:ascii="Calibri Light" w:hAnsi="Calibri Light" w:cs="Calibri Light"/>
          <w:color w:val="000000"/>
        </w:rPr>
        <w:t xml:space="preserve"> in 2018-19 includ</w:t>
      </w:r>
      <w:r w:rsidR="00105E09">
        <w:rPr>
          <w:rFonts w:ascii="Calibri Light" w:hAnsi="Calibri Light" w:cs="Calibri Light"/>
          <w:color w:val="000000"/>
        </w:rPr>
        <w:t>ed</w:t>
      </w:r>
      <w:r w:rsidR="00830A8A">
        <w:rPr>
          <w:rFonts w:ascii="Calibri Light" w:hAnsi="Calibri Light" w:cs="Calibri Light"/>
          <w:color w:val="000000"/>
        </w:rPr>
        <w:t xml:space="preserve"> </w:t>
      </w:r>
      <w:r w:rsidR="001A28CA">
        <w:rPr>
          <w:rFonts w:ascii="Calibri Light" w:hAnsi="Calibri Light" w:cs="Calibri Light"/>
          <w:color w:val="000000"/>
        </w:rPr>
        <w:t>a</w:t>
      </w:r>
      <w:r w:rsidR="00830A8A">
        <w:rPr>
          <w:rFonts w:ascii="Calibri Light" w:hAnsi="Calibri Light" w:cs="Calibri Light"/>
          <w:color w:val="000000"/>
        </w:rPr>
        <w:t xml:space="preserve"> bilateral visit by Prime Minister Scott Morrison in January 2019</w:t>
      </w:r>
      <w:r w:rsidR="001A28CA">
        <w:rPr>
          <w:rFonts w:ascii="Calibri Light" w:hAnsi="Calibri Light" w:cs="Calibri Light"/>
          <w:color w:val="000000"/>
        </w:rPr>
        <w:t>.</w:t>
      </w:r>
      <w:r w:rsidR="005531F7">
        <w:rPr>
          <w:rFonts w:ascii="Calibri Light" w:hAnsi="Calibri Light" w:cs="Calibri Light"/>
          <w:color w:val="000000"/>
        </w:rPr>
        <w:t xml:space="preserve"> </w:t>
      </w:r>
      <w:r w:rsidR="00474A21">
        <w:rPr>
          <w:rFonts w:ascii="Calibri Light" w:hAnsi="Calibri Light" w:cs="Calibri Light"/>
          <w:color w:val="000000"/>
        </w:rPr>
        <w:t xml:space="preserve">Other ministerial and senior official engagement between Australia and Vanuatu saw an </w:t>
      </w:r>
      <w:r w:rsidR="001A28CA">
        <w:rPr>
          <w:rFonts w:ascii="Calibri Light" w:hAnsi="Calibri Light" w:cs="Calibri Light"/>
          <w:color w:val="000000"/>
        </w:rPr>
        <w:t xml:space="preserve">increase </w:t>
      </w:r>
      <w:r w:rsidR="00474A21">
        <w:rPr>
          <w:rFonts w:ascii="Calibri Light" w:hAnsi="Calibri Light" w:cs="Calibri Light"/>
          <w:color w:val="000000"/>
        </w:rPr>
        <w:t xml:space="preserve">in dialogue on areas of shared </w:t>
      </w:r>
      <w:r w:rsidR="00474A21" w:rsidRPr="007C7629">
        <w:rPr>
          <w:rFonts w:ascii="Calibri Light" w:hAnsi="Calibri Light" w:cs="Calibri Light"/>
          <w:color w:val="000000"/>
        </w:rPr>
        <w:t xml:space="preserve">interest </w:t>
      </w:r>
      <w:r w:rsidR="00192527" w:rsidRPr="007C7629">
        <w:rPr>
          <w:rFonts w:ascii="Calibri Light" w:hAnsi="Calibri Light" w:cs="Calibri Light"/>
          <w:color w:val="000000"/>
        </w:rPr>
        <w:t xml:space="preserve">and </w:t>
      </w:r>
      <w:r w:rsidR="001607CB" w:rsidRPr="00401EDB">
        <w:rPr>
          <w:rFonts w:ascii="Calibri Light" w:hAnsi="Calibri Light" w:cs="Calibri Light"/>
          <w:color w:val="000000"/>
        </w:rPr>
        <w:t>enhanced collaboration</w:t>
      </w:r>
      <w:r w:rsidR="00192527" w:rsidRPr="00401EDB">
        <w:rPr>
          <w:rFonts w:ascii="Calibri Light" w:hAnsi="Calibri Light" w:cs="Calibri Light"/>
          <w:color w:val="000000"/>
        </w:rPr>
        <w:t xml:space="preserve"> under the Pacific Step Up</w:t>
      </w:r>
      <w:r w:rsidR="001607CB" w:rsidRPr="00847738">
        <w:rPr>
          <w:rFonts w:ascii="Calibri Light" w:hAnsi="Calibri Light" w:cs="Calibri Light"/>
          <w:color w:val="000000"/>
        </w:rPr>
        <w:t xml:space="preserve"> agenda</w:t>
      </w:r>
      <w:r w:rsidR="00474A21" w:rsidRPr="00B83D47">
        <w:rPr>
          <w:rFonts w:ascii="Calibri Light" w:hAnsi="Calibri Light" w:cs="Calibri Light"/>
          <w:color w:val="000000"/>
        </w:rPr>
        <w:t>.</w:t>
      </w:r>
    </w:p>
    <w:p w:rsidR="004A211C" w:rsidRDefault="009A7C5D" w:rsidP="009A7C5D">
      <w:pPr>
        <w:rPr>
          <w:rFonts w:ascii="Calibri Light" w:hAnsi="Calibri Light" w:cs="Calibri Light"/>
          <w:color w:val="000000"/>
        </w:rPr>
      </w:pPr>
      <w:r>
        <w:rPr>
          <w:rFonts w:ascii="Calibri Light" w:hAnsi="Calibri Light" w:cs="Calibri Light"/>
          <w:b/>
          <w:bCs/>
          <w:color w:val="000000"/>
        </w:rPr>
        <w:t>Vanuatu</w:t>
      </w:r>
      <w:r w:rsidR="00040E69">
        <w:rPr>
          <w:rFonts w:ascii="Calibri Light" w:hAnsi="Calibri Light" w:cs="Calibri Light"/>
          <w:b/>
          <w:bCs/>
          <w:color w:val="000000"/>
        </w:rPr>
        <w:t>’s</w:t>
      </w:r>
      <w:r>
        <w:rPr>
          <w:rFonts w:ascii="Calibri Light" w:hAnsi="Calibri Light" w:cs="Calibri Light"/>
          <w:b/>
          <w:bCs/>
          <w:color w:val="000000"/>
        </w:rPr>
        <w:t xml:space="preserve"> economy remained stable with positive real </w:t>
      </w:r>
      <w:r w:rsidR="001A28CA">
        <w:rPr>
          <w:rFonts w:ascii="Calibri Light" w:hAnsi="Calibri Light" w:cs="Calibri Light"/>
          <w:b/>
          <w:bCs/>
          <w:color w:val="000000"/>
        </w:rPr>
        <w:t>Gross Domestic Product (</w:t>
      </w:r>
      <w:r>
        <w:rPr>
          <w:rFonts w:ascii="Calibri Light" w:hAnsi="Calibri Light" w:cs="Calibri Light"/>
          <w:b/>
          <w:bCs/>
          <w:color w:val="000000"/>
        </w:rPr>
        <w:t>GDP</w:t>
      </w:r>
      <w:r w:rsidR="001A28CA">
        <w:rPr>
          <w:rFonts w:ascii="Calibri Light" w:hAnsi="Calibri Light" w:cs="Calibri Light"/>
          <w:b/>
          <w:bCs/>
          <w:color w:val="000000"/>
        </w:rPr>
        <w:t>)</w:t>
      </w:r>
      <w:r>
        <w:rPr>
          <w:rFonts w:ascii="Calibri Light" w:hAnsi="Calibri Light" w:cs="Calibri Light"/>
          <w:b/>
          <w:bCs/>
          <w:color w:val="000000"/>
        </w:rPr>
        <w:t xml:space="preserve"> growth of 3.2 per cent in 2018</w:t>
      </w:r>
      <w:r>
        <w:rPr>
          <w:rFonts w:ascii="Calibri Light" w:hAnsi="Calibri Light" w:cs="Calibri Light"/>
          <w:color w:val="000000"/>
        </w:rPr>
        <w:t>.  Vanuatu continued to recover from the economic impact of Tropical Cyclone Pam in 2015, driven by tourism (</w:t>
      </w:r>
      <w:r w:rsidR="00581C58">
        <w:rPr>
          <w:rFonts w:ascii="Calibri Light" w:hAnsi="Calibri Light" w:cs="Calibri Light"/>
          <w:color w:val="000000"/>
        </w:rPr>
        <w:t>comprising</w:t>
      </w:r>
      <w:r>
        <w:rPr>
          <w:rFonts w:ascii="Calibri Light" w:hAnsi="Calibri Light" w:cs="Calibri Light"/>
          <w:color w:val="000000"/>
        </w:rPr>
        <w:t xml:space="preserve"> 40 per cent of GDP), agriculture and construction. Growing remittances from seasonal workers further supported economic recovery. Kava exports have boomed and now represent over half of commodity trade. Low global prices hurt the copra industry, </w:t>
      </w:r>
      <w:r w:rsidR="00040E69">
        <w:rPr>
          <w:rFonts w:ascii="Calibri Light" w:hAnsi="Calibri Light" w:cs="Calibri Light"/>
          <w:color w:val="000000"/>
        </w:rPr>
        <w:t>which</w:t>
      </w:r>
      <w:r>
        <w:rPr>
          <w:rFonts w:ascii="Calibri Light" w:hAnsi="Calibri Light" w:cs="Calibri Light"/>
          <w:color w:val="000000"/>
        </w:rPr>
        <w:t xml:space="preserve"> now faces a new threat with the detection of Coconut Rhinoceros </w:t>
      </w:r>
      <w:r w:rsidR="00964099">
        <w:rPr>
          <w:rFonts w:ascii="Calibri Light" w:hAnsi="Calibri Light" w:cs="Calibri Light"/>
          <w:color w:val="000000"/>
        </w:rPr>
        <w:t>B</w:t>
      </w:r>
      <w:r>
        <w:rPr>
          <w:rFonts w:ascii="Calibri Light" w:hAnsi="Calibri Light" w:cs="Calibri Light"/>
          <w:color w:val="000000"/>
        </w:rPr>
        <w:t>eetle on</w:t>
      </w:r>
      <w:r w:rsidR="00040E69">
        <w:rPr>
          <w:rFonts w:ascii="Calibri Light" w:hAnsi="Calibri Light" w:cs="Calibri Light"/>
          <w:color w:val="000000"/>
        </w:rPr>
        <w:t xml:space="preserve"> </w:t>
      </w:r>
      <w:r>
        <w:rPr>
          <w:rFonts w:ascii="Calibri Light" w:hAnsi="Calibri Light" w:cs="Calibri Light"/>
          <w:color w:val="000000"/>
        </w:rPr>
        <w:t>Efate</w:t>
      </w:r>
      <w:r w:rsidR="0009788B">
        <w:rPr>
          <w:rFonts w:ascii="Calibri Light" w:hAnsi="Calibri Light" w:cs="Calibri Light"/>
          <w:color w:val="000000"/>
        </w:rPr>
        <w:t xml:space="preserve"> I</w:t>
      </w:r>
      <w:r w:rsidR="00581C58">
        <w:rPr>
          <w:rFonts w:ascii="Calibri Light" w:hAnsi="Calibri Light" w:cs="Calibri Light"/>
          <w:color w:val="000000"/>
        </w:rPr>
        <w:t>sland</w:t>
      </w:r>
      <w:r>
        <w:rPr>
          <w:rFonts w:ascii="Calibri Light" w:hAnsi="Calibri Light" w:cs="Calibri Light"/>
          <w:color w:val="000000"/>
        </w:rPr>
        <w:t xml:space="preserve">. Major reform to Vanuatu’s anti-money laundering and counter terrorism finance provisions saw Vanuatu removed from the Financial Action Task Force ‘grey-list’ in June 2018. However, it was named as a ‘non-cooperative tax jurisdiction’ by the European Union Code </w:t>
      </w:r>
      <w:r>
        <w:rPr>
          <w:rFonts w:ascii="Calibri Light" w:hAnsi="Calibri Light" w:cs="Calibri Light"/>
          <w:color w:val="000000"/>
        </w:rPr>
        <w:lastRenderedPageBreak/>
        <w:t>of Conduct Group in early 2019, and is working to further improv</w:t>
      </w:r>
      <w:r w:rsidR="003B4CD6">
        <w:rPr>
          <w:rFonts w:ascii="Calibri Light" w:hAnsi="Calibri Light" w:cs="Calibri Light"/>
          <w:color w:val="000000"/>
        </w:rPr>
        <w:t>e</w:t>
      </w:r>
      <w:r>
        <w:rPr>
          <w:rFonts w:ascii="Calibri Light" w:hAnsi="Calibri Light" w:cs="Calibri Light"/>
          <w:color w:val="000000"/>
        </w:rPr>
        <w:t xml:space="preserve"> its tax transparency. </w:t>
      </w:r>
      <w:r w:rsidR="008D29D5" w:rsidRPr="00FD601B">
        <w:rPr>
          <w:rFonts w:ascii="Calibri Light" w:hAnsi="Calibri Light" w:cs="Calibri Light"/>
          <w:color w:val="000000"/>
        </w:rPr>
        <w:t>While a surplus budget was delivered in 2018, the largest source of revenue came from Vanuatu’s Citizenship Program fees</w:t>
      </w:r>
      <w:r w:rsidR="008D29D5">
        <w:rPr>
          <w:rFonts w:ascii="Calibri Light" w:hAnsi="Calibri Light" w:cs="Calibri Light"/>
          <w:color w:val="000000"/>
        </w:rPr>
        <w:t xml:space="preserve">. </w:t>
      </w:r>
      <w:r>
        <w:rPr>
          <w:rFonts w:ascii="Calibri Light" w:hAnsi="Calibri Light" w:cs="Calibri Light"/>
          <w:color w:val="000000"/>
        </w:rPr>
        <w:t xml:space="preserve">External debt increased considerably from 2012 (14 per cent of GDP) to 2018 (43.7 per cent of GDP).  Vanuatu’s fiscal position remains vulnerable to economic shocks, including from natural disasters, revenue shortfalls and growing debt service obligations. </w:t>
      </w:r>
      <w:r w:rsidR="00CD0E1C">
        <w:rPr>
          <w:rFonts w:ascii="Calibri Light" w:hAnsi="Calibri Light" w:cs="Calibri Light"/>
          <w:color w:val="000000"/>
        </w:rPr>
        <w:t>The IMF assesses Vanuatu’s risk of debt distress as ‘moderate’ and the Ministry of Finance and Economic Management is updating the</w:t>
      </w:r>
      <w:r w:rsidR="0009788B">
        <w:rPr>
          <w:rFonts w:ascii="Calibri Light" w:hAnsi="Calibri Light" w:cs="Calibri Light"/>
          <w:color w:val="000000"/>
        </w:rPr>
        <w:t>ir</w:t>
      </w:r>
      <w:r w:rsidR="00CD0E1C">
        <w:rPr>
          <w:rFonts w:ascii="Calibri Light" w:hAnsi="Calibri Light" w:cs="Calibri Light"/>
          <w:color w:val="000000"/>
        </w:rPr>
        <w:t xml:space="preserve"> debt management strategy. </w:t>
      </w:r>
      <w:r>
        <w:rPr>
          <w:rFonts w:ascii="Calibri Light" w:hAnsi="Calibri Light" w:cs="Calibri Light"/>
          <w:color w:val="000000"/>
        </w:rPr>
        <w:t>Vanuatu will face</w:t>
      </w:r>
      <w:r w:rsidR="00040E69">
        <w:rPr>
          <w:rFonts w:ascii="Calibri Light" w:hAnsi="Calibri Light" w:cs="Calibri Light"/>
          <w:color w:val="000000"/>
        </w:rPr>
        <w:t xml:space="preserve"> </w:t>
      </w:r>
      <w:r>
        <w:rPr>
          <w:rFonts w:ascii="Calibri Light" w:hAnsi="Calibri Light" w:cs="Calibri Light"/>
          <w:color w:val="000000"/>
        </w:rPr>
        <w:t>a key milestone in 2020, when it graduates from L</w:t>
      </w:r>
      <w:r w:rsidR="00040E69">
        <w:rPr>
          <w:rFonts w:ascii="Calibri Light" w:hAnsi="Calibri Light" w:cs="Calibri Light"/>
          <w:color w:val="000000"/>
        </w:rPr>
        <w:t xml:space="preserve">east </w:t>
      </w:r>
      <w:r>
        <w:rPr>
          <w:rFonts w:ascii="Calibri Light" w:hAnsi="Calibri Light" w:cs="Calibri Light"/>
          <w:color w:val="000000"/>
        </w:rPr>
        <w:t>D</w:t>
      </w:r>
      <w:r w:rsidR="00040E69">
        <w:rPr>
          <w:rFonts w:ascii="Calibri Light" w:hAnsi="Calibri Light" w:cs="Calibri Light"/>
          <w:color w:val="000000"/>
        </w:rPr>
        <w:t xml:space="preserve">eveloped </w:t>
      </w:r>
      <w:r>
        <w:rPr>
          <w:rFonts w:ascii="Calibri Light" w:hAnsi="Calibri Light" w:cs="Calibri Light"/>
          <w:color w:val="000000"/>
        </w:rPr>
        <w:t>C</w:t>
      </w:r>
      <w:r w:rsidR="00040E69">
        <w:rPr>
          <w:rFonts w:ascii="Calibri Light" w:hAnsi="Calibri Light" w:cs="Calibri Light"/>
          <w:color w:val="000000"/>
        </w:rPr>
        <w:t>ountry</w:t>
      </w:r>
      <w:r>
        <w:rPr>
          <w:rFonts w:ascii="Calibri Light" w:hAnsi="Calibri Light" w:cs="Calibri Light"/>
          <w:color w:val="000000"/>
        </w:rPr>
        <w:t xml:space="preserve"> status</w:t>
      </w:r>
      <w:r w:rsidR="008B5AC8">
        <w:rPr>
          <w:rStyle w:val="FootnoteReference"/>
          <w:rFonts w:ascii="Calibri Light" w:hAnsi="Calibri Light" w:cs="Calibri Light"/>
          <w:color w:val="000000"/>
        </w:rPr>
        <w:footnoteReference w:id="2"/>
      </w:r>
      <w:r>
        <w:rPr>
          <w:rFonts w:ascii="Calibri Light" w:hAnsi="Calibri Light" w:cs="Calibri Light"/>
          <w:color w:val="000000"/>
        </w:rPr>
        <w:t>.</w:t>
      </w:r>
    </w:p>
    <w:p w:rsidR="00517E2A" w:rsidRPr="003B4CD6" w:rsidRDefault="001607CB" w:rsidP="006C3C16">
      <w:pPr>
        <w:rPr>
          <w:rFonts w:cs="Helvetica"/>
          <w:color w:val="000000" w:themeColor="text1"/>
          <w:lang w:val="en"/>
        </w:rPr>
      </w:pPr>
      <w:r w:rsidRPr="00211CB7">
        <w:rPr>
          <w:b/>
          <w:color w:val="000000" w:themeColor="text1"/>
        </w:rPr>
        <w:t xml:space="preserve">The social development context </w:t>
      </w:r>
      <w:r>
        <w:rPr>
          <w:b/>
          <w:color w:val="000000" w:themeColor="text1"/>
        </w:rPr>
        <w:t>is</w:t>
      </w:r>
      <w:r w:rsidRPr="00211CB7">
        <w:rPr>
          <w:b/>
          <w:color w:val="000000" w:themeColor="text1"/>
        </w:rPr>
        <w:t xml:space="preserve"> broadly positive</w:t>
      </w:r>
      <w:r>
        <w:rPr>
          <w:b/>
          <w:color w:val="000000" w:themeColor="text1"/>
        </w:rPr>
        <w:t xml:space="preserve">, although challenges remain. </w:t>
      </w:r>
      <w:r w:rsidRPr="00B83D47">
        <w:rPr>
          <w:color w:val="000000" w:themeColor="text1"/>
        </w:rPr>
        <w:t>Vanuatu is ranked 108 of 157 countries by the World Bank’s Human Capital Index (HCI), which measures a range of education, health and productivity indicators.</w:t>
      </w:r>
      <w:r w:rsidRPr="00B83D47">
        <w:rPr>
          <w:rFonts w:cs="Helvetica"/>
          <w:color w:val="000000" w:themeColor="text1"/>
          <w:lang w:val="en"/>
        </w:rPr>
        <w:t xml:space="preserve"> While Vanuatu’s HCI rating demonstrated a positive trend since 2012, it remains lower than average for the Pacific</w:t>
      </w:r>
      <w:r w:rsidRPr="00B83D47">
        <w:rPr>
          <w:color w:val="000000" w:themeColor="text1"/>
        </w:rPr>
        <w:t>. Vanuatu’s Universal Health Coverage</w:t>
      </w:r>
      <w:r w:rsidRPr="00B83D47">
        <w:rPr>
          <w:rStyle w:val="FootnoteReference"/>
          <w:color w:val="000000" w:themeColor="text1"/>
        </w:rPr>
        <w:footnoteReference w:id="3"/>
      </w:r>
      <w:r w:rsidRPr="00B83D47">
        <w:rPr>
          <w:color w:val="000000" w:themeColor="text1"/>
        </w:rPr>
        <w:t xml:space="preserve"> rating of 56 (out of 100) indicates relatively limited health service capacity and access when compared to similar Pacific countries. </w:t>
      </w:r>
      <w:r w:rsidR="00A2249E" w:rsidRPr="00B83D47">
        <w:rPr>
          <w:color w:val="000000" w:themeColor="text1"/>
        </w:rPr>
        <w:t xml:space="preserve">According to the 2009 </w:t>
      </w:r>
      <w:r w:rsidR="003B4CD6" w:rsidRPr="00B83D47">
        <w:rPr>
          <w:color w:val="000000" w:themeColor="text1"/>
        </w:rPr>
        <w:t>Vanuatu National C</w:t>
      </w:r>
      <w:r w:rsidR="00A2249E" w:rsidRPr="00B83D47">
        <w:rPr>
          <w:color w:val="000000" w:themeColor="text1"/>
        </w:rPr>
        <w:t xml:space="preserve">ensus, the national prevalence rate of disability is between 5 and 12 </w:t>
      </w:r>
      <w:r w:rsidR="00A2249E" w:rsidRPr="00B83D47">
        <w:rPr>
          <w:rFonts w:cs="Helvetica"/>
          <w:color w:val="000000" w:themeColor="text1"/>
          <w:lang w:val="en"/>
        </w:rPr>
        <w:t>per</w:t>
      </w:r>
      <w:r w:rsidR="00964099" w:rsidRPr="00B83D47">
        <w:rPr>
          <w:rFonts w:cs="Helvetica"/>
          <w:color w:val="000000" w:themeColor="text1"/>
          <w:lang w:val="en"/>
        </w:rPr>
        <w:t xml:space="preserve"> </w:t>
      </w:r>
      <w:r w:rsidR="00A2249E" w:rsidRPr="00B83D47">
        <w:rPr>
          <w:rFonts w:cs="Helvetica"/>
          <w:color w:val="000000" w:themeColor="text1"/>
          <w:lang w:val="en"/>
        </w:rPr>
        <w:t>cent</w:t>
      </w:r>
      <w:r w:rsidR="0057609D" w:rsidRPr="00B83D47">
        <w:rPr>
          <w:rFonts w:cs="Helvetica"/>
          <w:color w:val="000000" w:themeColor="text1"/>
          <w:lang w:val="en"/>
        </w:rPr>
        <w:t xml:space="preserve">, with </w:t>
      </w:r>
      <w:r w:rsidR="00A2249E" w:rsidRPr="00B83D47">
        <w:rPr>
          <w:rFonts w:cs="Helvetica"/>
          <w:color w:val="000000" w:themeColor="text1"/>
          <w:lang w:val="en"/>
        </w:rPr>
        <w:t xml:space="preserve">mild and moderate disabilities more prevalent among women. </w:t>
      </w:r>
      <w:r w:rsidR="006C3C16" w:rsidRPr="00B83D47">
        <w:rPr>
          <w:rFonts w:cs="Helvetica"/>
          <w:color w:val="000000" w:themeColor="text1"/>
          <w:lang w:val="en"/>
        </w:rPr>
        <w:t xml:space="preserve">Three quarters of </w:t>
      </w:r>
      <w:r w:rsidR="0057609D" w:rsidRPr="00B83D47">
        <w:rPr>
          <w:rFonts w:cs="Helvetica"/>
          <w:color w:val="000000" w:themeColor="text1"/>
          <w:lang w:val="en"/>
        </w:rPr>
        <w:t xml:space="preserve">the </w:t>
      </w:r>
      <w:r w:rsidR="006C3C16" w:rsidRPr="00B83D47">
        <w:rPr>
          <w:rFonts w:cs="Helvetica"/>
          <w:color w:val="000000" w:themeColor="text1"/>
          <w:lang w:val="en"/>
        </w:rPr>
        <w:t>population live in</w:t>
      </w:r>
      <w:r w:rsidR="006C3C16" w:rsidRPr="003B4CD6">
        <w:rPr>
          <w:rFonts w:cs="Helvetica"/>
          <w:color w:val="000000" w:themeColor="text1"/>
          <w:lang w:val="en"/>
        </w:rPr>
        <w:t xml:space="preserve"> rural areas, but access to mobile telephony and </w:t>
      </w:r>
      <w:r w:rsidR="006479EA" w:rsidRPr="003B4CD6">
        <w:rPr>
          <w:rFonts w:cs="Helvetica"/>
          <w:color w:val="000000" w:themeColor="text1"/>
          <w:lang w:val="en"/>
        </w:rPr>
        <w:t xml:space="preserve">internet usage are </w:t>
      </w:r>
      <w:r w:rsidR="006C3C16" w:rsidRPr="003B4CD6">
        <w:rPr>
          <w:rFonts w:cs="Helvetica"/>
          <w:color w:val="000000" w:themeColor="text1"/>
          <w:lang w:val="en"/>
        </w:rPr>
        <w:t xml:space="preserve">increasing </w:t>
      </w:r>
      <w:r w:rsidR="006479EA" w:rsidRPr="003B4CD6">
        <w:rPr>
          <w:rFonts w:cs="Helvetica"/>
          <w:color w:val="000000" w:themeColor="text1"/>
          <w:lang w:val="en"/>
        </w:rPr>
        <w:t xml:space="preserve">opportunities for </w:t>
      </w:r>
      <w:r w:rsidR="006C3C16" w:rsidRPr="003B4CD6">
        <w:rPr>
          <w:rFonts w:cs="Helvetica"/>
          <w:color w:val="000000" w:themeColor="text1"/>
          <w:lang w:val="en"/>
        </w:rPr>
        <w:t xml:space="preserve">rural people </w:t>
      </w:r>
      <w:r w:rsidR="006479EA" w:rsidRPr="003B4CD6">
        <w:rPr>
          <w:rFonts w:cs="Helvetica"/>
          <w:color w:val="000000" w:themeColor="text1"/>
          <w:lang w:val="en"/>
        </w:rPr>
        <w:t xml:space="preserve">to engage </w:t>
      </w:r>
      <w:r w:rsidR="006C3C16" w:rsidRPr="003B4CD6">
        <w:rPr>
          <w:rFonts w:cs="Helvetica"/>
          <w:color w:val="000000" w:themeColor="text1"/>
          <w:lang w:val="en"/>
        </w:rPr>
        <w:t xml:space="preserve">in the formal economy. </w:t>
      </w:r>
    </w:p>
    <w:p w:rsidR="00946E1C" w:rsidRDefault="00946E1C" w:rsidP="007752EE">
      <w:pPr>
        <w:spacing w:before="0"/>
        <w:rPr>
          <w:color w:val="000000" w:themeColor="text1"/>
        </w:rPr>
      </w:pPr>
      <w:r w:rsidRPr="006C3C16">
        <w:rPr>
          <w:b/>
          <w:color w:val="000000" w:themeColor="text1"/>
        </w:rPr>
        <w:t>Gender inequality</w:t>
      </w:r>
      <w:r w:rsidRPr="006C3C16">
        <w:rPr>
          <w:color w:val="000000" w:themeColor="text1"/>
        </w:rPr>
        <w:t xml:space="preserve"> </w:t>
      </w:r>
      <w:r w:rsidRPr="00211CB7">
        <w:rPr>
          <w:b/>
          <w:color w:val="000000" w:themeColor="text1"/>
        </w:rPr>
        <w:t>persists</w:t>
      </w:r>
      <w:r w:rsidRPr="006C3C16">
        <w:rPr>
          <w:color w:val="000000" w:themeColor="text1"/>
        </w:rPr>
        <w:t xml:space="preserve">, with </w:t>
      </w:r>
      <w:r w:rsidR="007752EE" w:rsidRPr="006C3C16">
        <w:rPr>
          <w:color w:val="000000" w:themeColor="text1"/>
        </w:rPr>
        <w:t>few women in leadership positions</w:t>
      </w:r>
      <w:r w:rsidR="007752EE">
        <w:rPr>
          <w:color w:val="000000" w:themeColor="text1"/>
        </w:rPr>
        <w:t>,</w:t>
      </w:r>
      <w:r w:rsidR="007752EE" w:rsidRPr="006C3C16">
        <w:rPr>
          <w:color w:val="000000" w:themeColor="text1"/>
        </w:rPr>
        <w:t xml:space="preserve"> fewer economic opportunities for women</w:t>
      </w:r>
      <w:r w:rsidR="007752EE">
        <w:rPr>
          <w:color w:val="000000" w:themeColor="text1"/>
        </w:rPr>
        <w:t xml:space="preserve"> and </w:t>
      </w:r>
      <w:r w:rsidR="007752EE" w:rsidRPr="006C3C16">
        <w:rPr>
          <w:color w:val="000000" w:themeColor="text1"/>
        </w:rPr>
        <w:t>high</w:t>
      </w:r>
      <w:r w:rsidR="007752EE">
        <w:rPr>
          <w:color w:val="000000" w:themeColor="text1"/>
        </w:rPr>
        <w:t xml:space="preserve"> rates of gender-based violence</w:t>
      </w:r>
      <w:r w:rsidR="007752EE">
        <w:rPr>
          <w:lang w:eastAsia="en-AU"/>
        </w:rPr>
        <w:t xml:space="preserve">. </w:t>
      </w:r>
      <w:r w:rsidR="007752EE" w:rsidRPr="00F310CA">
        <w:rPr>
          <w:rFonts w:cs="Helvetica"/>
          <w:color w:val="000000" w:themeColor="text1"/>
          <w:lang w:val="en"/>
        </w:rPr>
        <w:t xml:space="preserve">Since Independence, only five women have been elected to </w:t>
      </w:r>
      <w:r w:rsidR="007752EE" w:rsidRPr="00F310CA">
        <w:rPr>
          <w:color w:val="000000" w:themeColor="text1"/>
        </w:rPr>
        <w:t>national parliament, with no women in the current parliament</w:t>
      </w:r>
      <w:r w:rsidR="007752EE">
        <w:rPr>
          <w:color w:val="000000" w:themeColor="text1"/>
        </w:rPr>
        <w:t>.</w:t>
      </w:r>
      <w:r w:rsidR="007752EE" w:rsidRPr="00F310CA">
        <w:rPr>
          <w:color w:val="000000" w:themeColor="text1"/>
        </w:rPr>
        <w:t xml:space="preserve"> Women remain under-represented in senior public service roles, although </w:t>
      </w:r>
      <w:r w:rsidR="007752EE">
        <w:rPr>
          <w:color w:val="000000" w:themeColor="text1"/>
        </w:rPr>
        <w:t xml:space="preserve">the </w:t>
      </w:r>
      <w:r w:rsidR="007752EE" w:rsidRPr="00F310CA">
        <w:rPr>
          <w:color w:val="000000" w:themeColor="text1"/>
        </w:rPr>
        <w:t>appointment</w:t>
      </w:r>
      <w:r w:rsidR="007752EE">
        <w:rPr>
          <w:color w:val="000000" w:themeColor="text1"/>
        </w:rPr>
        <w:t xml:space="preserve"> of </w:t>
      </w:r>
      <w:r w:rsidR="00964099">
        <w:rPr>
          <w:color w:val="000000" w:themeColor="text1"/>
        </w:rPr>
        <w:t xml:space="preserve">two Director Generals (out of 13) of government ministries and </w:t>
      </w:r>
      <w:r w:rsidR="007752EE">
        <w:rPr>
          <w:color w:val="000000" w:themeColor="text1"/>
        </w:rPr>
        <w:t>s</w:t>
      </w:r>
      <w:r w:rsidR="007752EE" w:rsidRPr="00F310CA">
        <w:rPr>
          <w:color w:val="000000" w:themeColor="text1"/>
        </w:rPr>
        <w:t xml:space="preserve">even women (out of 36) as Directors of </w:t>
      </w:r>
      <w:r w:rsidR="00FB0DFD">
        <w:rPr>
          <w:color w:val="000000" w:themeColor="text1"/>
        </w:rPr>
        <w:t>government</w:t>
      </w:r>
      <w:r w:rsidR="007752EE" w:rsidRPr="00F310CA">
        <w:rPr>
          <w:color w:val="000000" w:themeColor="text1"/>
        </w:rPr>
        <w:t xml:space="preserve"> departments</w:t>
      </w:r>
      <w:r w:rsidR="007752EE">
        <w:rPr>
          <w:color w:val="000000" w:themeColor="text1"/>
        </w:rPr>
        <w:t xml:space="preserve"> in 2019 represents positive change. </w:t>
      </w:r>
      <w:r w:rsidR="007752EE" w:rsidRPr="00F310CA">
        <w:rPr>
          <w:color w:val="000000" w:themeColor="text1"/>
        </w:rPr>
        <w:t>More women than men are involved in the subsistence economy, which makes them more susceptible to climate change, disasters and other livelihood stresses. W</w:t>
      </w:r>
      <w:r w:rsidR="007752EE">
        <w:rPr>
          <w:color w:val="000000" w:themeColor="text1"/>
        </w:rPr>
        <w:t>o</w:t>
      </w:r>
      <w:r w:rsidR="007752EE" w:rsidRPr="00F310CA">
        <w:rPr>
          <w:color w:val="000000" w:themeColor="text1"/>
        </w:rPr>
        <w:t xml:space="preserve">men are increasingly entering the formal economy, </w:t>
      </w:r>
      <w:r w:rsidR="007752EE">
        <w:rPr>
          <w:color w:val="000000" w:themeColor="text1"/>
        </w:rPr>
        <w:t xml:space="preserve">however </w:t>
      </w:r>
      <w:r w:rsidR="007752EE" w:rsidRPr="00F310CA">
        <w:rPr>
          <w:color w:val="000000" w:themeColor="text1"/>
        </w:rPr>
        <w:t xml:space="preserve">their potential is hindered by social norms that perpetuate discrimination. Domestic violence remains a concern, with implications at family and community level, and for </w:t>
      </w:r>
      <w:r w:rsidR="007752EE">
        <w:rPr>
          <w:color w:val="000000" w:themeColor="text1"/>
        </w:rPr>
        <w:t>Vanuatu</w:t>
      </w:r>
      <w:r w:rsidR="007752EE" w:rsidRPr="00F310CA">
        <w:rPr>
          <w:color w:val="000000" w:themeColor="text1"/>
        </w:rPr>
        <w:t xml:space="preserve">’s economic development: 60 per cent of women report physical and/or sexual abuse. Victim withdrawal of complaints to police (65 per cent) is high due to social pressure. </w:t>
      </w:r>
      <w:r w:rsidR="007752EE">
        <w:rPr>
          <w:color w:val="000000" w:themeColor="text1"/>
        </w:rPr>
        <w:t xml:space="preserve">Implementation of the </w:t>
      </w:r>
      <w:r w:rsidR="007752EE" w:rsidRPr="00F310CA">
        <w:rPr>
          <w:color w:val="000000" w:themeColor="text1"/>
        </w:rPr>
        <w:t>Family Protection Act 2008</w:t>
      </w:r>
      <w:r w:rsidR="007752EE">
        <w:rPr>
          <w:color w:val="000000" w:themeColor="text1"/>
        </w:rPr>
        <w:t xml:space="preserve"> remains in</w:t>
      </w:r>
      <w:r w:rsidR="007752EE" w:rsidRPr="00F310CA">
        <w:rPr>
          <w:color w:val="000000" w:themeColor="text1"/>
        </w:rPr>
        <w:t xml:space="preserve">adequately enforced </w:t>
      </w:r>
      <w:r w:rsidR="007752EE">
        <w:rPr>
          <w:color w:val="000000" w:themeColor="text1"/>
        </w:rPr>
        <w:t>and</w:t>
      </w:r>
      <w:r w:rsidR="007752EE" w:rsidRPr="00F310CA">
        <w:rPr>
          <w:color w:val="000000" w:themeColor="text1"/>
        </w:rPr>
        <w:t xml:space="preserve"> resourced.</w:t>
      </w:r>
    </w:p>
    <w:p w:rsidR="005D5996" w:rsidRPr="005D5996" w:rsidRDefault="00517E2A" w:rsidP="00517E2A">
      <w:pPr>
        <w:rPr>
          <w:color w:val="000000" w:themeColor="text1"/>
        </w:rPr>
      </w:pPr>
      <w:r w:rsidRPr="005D5996">
        <w:rPr>
          <w:b/>
          <w:color w:val="000000" w:themeColor="text1"/>
        </w:rPr>
        <w:t xml:space="preserve">Vanuatu was rated the country most at risk from natural disasters </w:t>
      </w:r>
      <w:r w:rsidR="005D5996" w:rsidRPr="005D5996">
        <w:rPr>
          <w:color w:val="000000" w:themeColor="text1"/>
        </w:rPr>
        <w:t>for the second consecutive year</w:t>
      </w:r>
      <w:r w:rsidR="005D5996" w:rsidRPr="00517E2A">
        <w:rPr>
          <w:b/>
          <w:color w:val="000000" w:themeColor="text1"/>
        </w:rPr>
        <w:t xml:space="preserve"> </w:t>
      </w:r>
      <w:r w:rsidRPr="005D5996">
        <w:rPr>
          <w:color w:val="000000" w:themeColor="text1"/>
        </w:rPr>
        <w:t xml:space="preserve">in the World Risk Index report. </w:t>
      </w:r>
      <w:r w:rsidR="005D5996">
        <w:rPr>
          <w:color w:val="000000" w:themeColor="text1"/>
        </w:rPr>
        <w:t>F</w:t>
      </w:r>
      <w:r w:rsidR="005D5996" w:rsidRPr="005D5996">
        <w:rPr>
          <w:color w:val="000000" w:themeColor="text1"/>
        </w:rPr>
        <w:t xml:space="preserve">ollowing a period of prolonged </w:t>
      </w:r>
      <w:r w:rsidR="005D5996">
        <w:rPr>
          <w:color w:val="000000" w:themeColor="text1"/>
        </w:rPr>
        <w:t xml:space="preserve">and concurrent </w:t>
      </w:r>
      <w:r w:rsidR="005D5996" w:rsidRPr="005D5996">
        <w:rPr>
          <w:color w:val="000000" w:themeColor="text1"/>
        </w:rPr>
        <w:t>disaster activity including volcanic eruptions, earthquakes, cyclones and a tsunami</w:t>
      </w:r>
      <w:r w:rsidR="005D5996">
        <w:rPr>
          <w:color w:val="000000" w:themeColor="text1"/>
        </w:rPr>
        <w:t>,</w:t>
      </w:r>
      <w:r w:rsidR="005D5996" w:rsidRPr="005D5996">
        <w:rPr>
          <w:color w:val="000000" w:themeColor="text1"/>
        </w:rPr>
        <w:t xml:space="preserve"> </w:t>
      </w:r>
      <w:r w:rsidR="005D5996">
        <w:rPr>
          <w:color w:val="000000" w:themeColor="text1"/>
        </w:rPr>
        <w:t>t</w:t>
      </w:r>
      <w:r w:rsidRPr="005D5996">
        <w:rPr>
          <w:color w:val="000000" w:themeColor="text1"/>
        </w:rPr>
        <w:t>he Government re-invigorated its focus on strengthening disaster management le</w:t>
      </w:r>
      <w:r w:rsidR="005D5996">
        <w:rPr>
          <w:color w:val="000000" w:themeColor="text1"/>
        </w:rPr>
        <w:t>gislative and policy frameworks</w:t>
      </w:r>
      <w:r w:rsidRPr="005D5996">
        <w:rPr>
          <w:color w:val="000000" w:themeColor="text1"/>
        </w:rPr>
        <w:t xml:space="preserve">. </w:t>
      </w:r>
      <w:r w:rsidR="005D5996">
        <w:rPr>
          <w:color w:val="000000" w:themeColor="text1"/>
        </w:rPr>
        <w:t>Displacement issues continue</w:t>
      </w:r>
      <w:r w:rsidR="00656A44">
        <w:rPr>
          <w:color w:val="000000" w:themeColor="text1"/>
        </w:rPr>
        <w:t xml:space="preserve"> as a result of </w:t>
      </w:r>
      <w:r w:rsidR="00656A44" w:rsidRPr="005D5996">
        <w:rPr>
          <w:color w:val="000000" w:themeColor="text1"/>
        </w:rPr>
        <w:t>volcan</w:t>
      </w:r>
      <w:r w:rsidR="00656A44">
        <w:rPr>
          <w:color w:val="000000" w:themeColor="text1"/>
        </w:rPr>
        <w:t>ic activity on Ambae island</w:t>
      </w:r>
      <w:r w:rsidR="005D5996">
        <w:rPr>
          <w:color w:val="000000" w:themeColor="text1"/>
        </w:rPr>
        <w:t xml:space="preserve">, with </w:t>
      </w:r>
      <w:r w:rsidR="005D5996" w:rsidRPr="005D5996">
        <w:rPr>
          <w:color w:val="000000" w:themeColor="text1"/>
        </w:rPr>
        <w:t xml:space="preserve">over 4,300 people </w:t>
      </w:r>
      <w:r w:rsidR="00656A44">
        <w:rPr>
          <w:color w:val="000000" w:themeColor="text1"/>
        </w:rPr>
        <w:t xml:space="preserve">(approx. 40 per cent of Ambae’s population) </w:t>
      </w:r>
      <w:r w:rsidR="005D5996" w:rsidRPr="005D5996">
        <w:rPr>
          <w:color w:val="000000" w:themeColor="text1"/>
        </w:rPr>
        <w:t>remain</w:t>
      </w:r>
      <w:r w:rsidR="00656A44">
        <w:rPr>
          <w:color w:val="000000" w:themeColor="text1"/>
        </w:rPr>
        <w:t>ing</w:t>
      </w:r>
      <w:r w:rsidR="005D5996" w:rsidRPr="005D5996">
        <w:rPr>
          <w:color w:val="000000" w:themeColor="text1"/>
        </w:rPr>
        <w:t xml:space="preserve"> displaced, impacting livelihood opportunities. </w:t>
      </w:r>
      <w:r w:rsidR="00192527">
        <w:rPr>
          <w:color w:val="000000" w:themeColor="text1"/>
        </w:rPr>
        <w:t xml:space="preserve">The </w:t>
      </w:r>
      <w:r w:rsidR="005D5996" w:rsidRPr="005D5996">
        <w:rPr>
          <w:color w:val="000000" w:themeColor="text1"/>
        </w:rPr>
        <w:t xml:space="preserve">Vanuatu </w:t>
      </w:r>
      <w:r w:rsidR="00192527">
        <w:rPr>
          <w:color w:val="000000" w:themeColor="text1"/>
        </w:rPr>
        <w:t xml:space="preserve">Government </w:t>
      </w:r>
      <w:r w:rsidR="005D5996" w:rsidRPr="005D5996">
        <w:rPr>
          <w:color w:val="000000" w:themeColor="text1"/>
        </w:rPr>
        <w:t xml:space="preserve">enhanced its climate change and environment efforts, being the first country in the Pacific to </w:t>
      </w:r>
      <w:r w:rsidR="00192527">
        <w:rPr>
          <w:color w:val="000000" w:themeColor="text1"/>
        </w:rPr>
        <w:t xml:space="preserve">introduce legislation to </w:t>
      </w:r>
      <w:r w:rsidR="005D5996" w:rsidRPr="005D5996">
        <w:rPr>
          <w:color w:val="000000" w:themeColor="text1"/>
        </w:rPr>
        <w:t>ban single use plastic bags, drinking</w:t>
      </w:r>
      <w:r w:rsidR="00F554BF">
        <w:rPr>
          <w:color w:val="000000" w:themeColor="text1"/>
        </w:rPr>
        <w:t xml:space="preserve"> plastic</w:t>
      </w:r>
      <w:r w:rsidR="005D5996" w:rsidRPr="005D5996">
        <w:rPr>
          <w:color w:val="000000" w:themeColor="text1"/>
        </w:rPr>
        <w:t xml:space="preserve"> straws, </w:t>
      </w:r>
      <w:r w:rsidR="00F554BF">
        <w:rPr>
          <w:color w:val="000000" w:themeColor="text1"/>
        </w:rPr>
        <w:t xml:space="preserve">and </w:t>
      </w:r>
      <w:r w:rsidR="00F46666">
        <w:rPr>
          <w:color w:val="000000" w:themeColor="text1"/>
        </w:rPr>
        <w:t>s</w:t>
      </w:r>
      <w:r w:rsidR="005D5996" w:rsidRPr="005D5996">
        <w:rPr>
          <w:color w:val="000000" w:themeColor="text1"/>
        </w:rPr>
        <w:t xml:space="preserve">tyrofoam food containers </w:t>
      </w:r>
      <w:r w:rsidR="00F554BF">
        <w:rPr>
          <w:color w:val="000000" w:themeColor="text1"/>
        </w:rPr>
        <w:t xml:space="preserve">on 1 July 2018. </w:t>
      </w:r>
      <w:r w:rsidR="00FD601B">
        <w:rPr>
          <w:color w:val="000000" w:themeColor="text1"/>
        </w:rPr>
        <w:t>Further bans are</w:t>
      </w:r>
      <w:r w:rsidR="00F554BF">
        <w:rPr>
          <w:color w:val="000000" w:themeColor="text1"/>
        </w:rPr>
        <w:t xml:space="preserve"> planned</w:t>
      </w:r>
      <w:r w:rsidR="00FD601B">
        <w:rPr>
          <w:color w:val="000000" w:themeColor="text1"/>
        </w:rPr>
        <w:t>, including a ban on di</w:t>
      </w:r>
      <w:r w:rsidR="005D5996" w:rsidRPr="005D5996">
        <w:rPr>
          <w:color w:val="000000" w:themeColor="text1"/>
        </w:rPr>
        <w:t>sposable nappies</w:t>
      </w:r>
      <w:r w:rsidR="00F554BF">
        <w:rPr>
          <w:color w:val="000000" w:themeColor="text1"/>
        </w:rPr>
        <w:t xml:space="preserve"> from 31 December 2020</w:t>
      </w:r>
      <w:r w:rsidR="005D5996" w:rsidRPr="005D5996">
        <w:rPr>
          <w:color w:val="000000" w:themeColor="text1"/>
        </w:rPr>
        <w:t xml:space="preserve">. </w:t>
      </w:r>
    </w:p>
    <w:p w:rsidR="00B83D47" w:rsidRDefault="00192527" w:rsidP="00FD601B">
      <w:pPr>
        <w:rPr>
          <w:color w:val="000000" w:themeColor="text1"/>
        </w:rPr>
      </w:pPr>
      <w:r>
        <w:rPr>
          <w:rFonts w:ascii="Calibri Light" w:hAnsi="Calibri Light" w:cs="Calibri Light"/>
          <w:b/>
          <w:color w:val="000000"/>
        </w:rPr>
        <w:t>Development p</w:t>
      </w:r>
      <w:r w:rsidR="00F46666">
        <w:rPr>
          <w:rFonts w:ascii="Calibri Light" w:hAnsi="Calibri Light" w:cs="Calibri Light"/>
          <w:b/>
          <w:color w:val="000000"/>
        </w:rPr>
        <w:t>artner</w:t>
      </w:r>
      <w:r w:rsidR="00F74FC1">
        <w:rPr>
          <w:rFonts w:ascii="Calibri Light" w:hAnsi="Calibri Light" w:cs="Calibri Light"/>
          <w:color w:val="000000"/>
        </w:rPr>
        <w:t xml:space="preserve"> </w:t>
      </w:r>
      <w:r w:rsidR="00F46666" w:rsidRPr="00F46666">
        <w:rPr>
          <w:rFonts w:ascii="Calibri Light" w:hAnsi="Calibri Light" w:cs="Calibri Light"/>
          <w:b/>
          <w:color w:val="000000"/>
        </w:rPr>
        <w:t xml:space="preserve">engagement with </w:t>
      </w:r>
      <w:r w:rsidR="00F74FC1" w:rsidRPr="00F46666">
        <w:rPr>
          <w:rFonts w:ascii="Calibri Light" w:hAnsi="Calibri Light" w:cs="Calibri Light"/>
          <w:b/>
          <w:color w:val="000000"/>
        </w:rPr>
        <w:t>the Vanuatu Government continued to increase</w:t>
      </w:r>
      <w:r w:rsidR="00F74FC1">
        <w:rPr>
          <w:rFonts w:ascii="Calibri Light" w:hAnsi="Calibri Light" w:cs="Calibri Light"/>
          <w:color w:val="000000"/>
        </w:rPr>
        <w:t>. Japan and the United Kingdom both established diplomatic presence</w:t>
      </w:r>
      <w:r w:rsidR="00581C58">
        <w:rPr>
          <w:rFonts w:ascii="Calibri Light" w:hAnsi="Calibri Light" w:cs="Calibri Light"/>
          <w:color w:val="000000"/>
        </w:rPr>
        <w:t>s</w:t>
      </w:r>
      <w:r w:rsidR="00F74FC1">
        <w:rPr>
          <w:rFonts w:ascii="Calibri Light" w:hAnsi="Calibri Light" w:cs="Calibri Light"/>
          <w:color w:val="000000"/>
        </w:rPr>
        <w:t xml:space="preserve">, New Zealand committed increased funding under </w:t>
      </w:r>
      <w:r w:rsidR="00581C58">
        <w:rPr>
          <w:rFonts w:ascii="Calibri Light" w:hAnsi="Calibri Light" w:cs="Calibri Light"/>
          <w:color w:val="000000"/>
        </w:rPr>
        <w:t xml:space="preserve">the </w:t>
      </w:r>
      <w:r w:rsidR="00F74FC1">
        <w:rPr>
          <w:rFonts w:ascii="Calibri Light" w:hAnsi="Calibri Light" w:cs="Calibri Light"/>
          <w:color w:val="000000"/>
        </w:rPr>
        <w:t>Pacific Reset, China provide</w:t>
      </w:r>
      <w:r w:rsidR="00482820">
        <w:rPr>
          <w:rFonts w:ascii="Calibri Light" w:hAnsi="Calibri Light" w:cs="Calibri Light"/>
          <w:color w:val="000000"/>
        </w:rPr>
        <w:t>d additional</w:t>
      </w:r>
      <w:r w:rsidR="00F74FC1">
        <w:rPr>
          <w:rFonts w:ascii="Calibri Light" w:hAnsi="Calibri Light" w:cs="Calibri Light"/>
          <w:color w:val="000000"/>
        </w:rPr>
        <w:t xml:space="preserve"> infrastructure focused loan-based investments, the European Development Funds mobilised </w:t>
      </w:r>
      <w:r w:rsidR="00C1776C" w:rsidRPr="007C284E">
        <w:rPr>
          <w:rFonts w:ascii="Calibri Light" w:hAnsi="Calibri Light" w:cs="Calibri Light"/>
          <w:color w:val="000000"/>
        </w:rPr>
        <w:t>AUD4.9</w:t>
      </w:r>
      <w:r w:rsidR="00F74FC1">
        <w:rPr>
          <w:rFonts w:ascii="Calibri Light" w:hAnsi="Calibri Light" w:cs="Calibri Light"/>
          <w:color w:val="000000"/>
        </w:rPr>
        <w:t xml:space="preserve"> million in the agriculture sector and the United States </w:t>
      </w:r>
      <w:r w:rsidR="00482820">
        <w:rPr>
          <w:rFonts w:ascii="Calibri Light" w:hAnsi="Calibri Light" w:cs="Calibri Light"/>
          <w:color w:val="000000"/>
        </w:rPr>
        <w:t xml:space="preserve">showed </w:t>
      </w:r>
      <w:r w:rsidR="00F46666">
        <w:rPr>
          <w:rFonts w:ascii="Calibri Light" w:hAnsi="Calibri Light" w:cs="Calibri Light"/>
          <w:color w:val="000000"/>
        </w:rPr>
        <w:t xml:space="preserve">signs of </w:t>
      </w:r>
      <w:r w:rsidR="00482820">
        <w:rPr>
          <w:rFonts w:ascii="Calibri Light" w:hAnsi="Calibri Light" w:cs="Calibri Light"/>
          <w:color w:val="000000"/>
        </w:rPr>
        <w:t xml:space="preserve">increased engagement. </w:t>
      </w:r>
      <w:r w:rsidR="00F46666">
        <w:rPr>
          <w:rFonts w:ascii="Calibri Light" w:hAnsi="Calibri Light" w:cs="Calibri Light"/>
          <w:color w:val="000000"/>
        </w:rPr>
        <w:t xml:space="preserve">The World Bank and Asian Development Bank established </w:t>
      </w:r>
      <w:r w:rsidR="005456F8">
        <w:rPr>
          <w:rFonts w:ascii="Calibri Light" w:hAnsi="Calibri Light" w:cs="Calibri Light"/>
          <w:color w:val="000000"/>
        </w:rPr>
        <w:t xml:space="preserve">extended </w:t>
      </w:r>
      <w:r w:rsidR="00F46666">
        <w:rPr>
          <w:rFonts w:ascii="Calibri Light" w:hAnsi="Calibri Light" w:cs="Calibri Light"/>
          <w:color w:val="000000"/>
        </w:rPr>
        <w:t>missions</w:t>
      </w:r>
      <w:r w:rsidR="005456F8">
        <w:rPr>
          <w:rFonts w:ascii="Calibri Light" w:hAnsi="Calibri Light" w:cs="Calibri Light"/>
          <w:color w:val="000000"/>
        </w:rPr>
        <w:t xml:space="preserve">. In </w:t>
      </w:r>
      <w:r w:rsidR="00F74FC1">
        <w:rPr>
          <w:rFonts w:ascii="Calibri Light" w:hAnsi="Calibri Light" w:cs="Calibri Light"/>
          <w:color w:val="000000"/>
        </w:rPr>
        <w:t>April 2019</w:t>
      </w:r>
      <w:r w:rsidR="005456F8">
        <w:rPr>
          <w:rFonts w:ascii="Calibri Light" w:hAnsi="Calibri Light" w:cs="Calibri Light"/>
          <w:color w:val="000000"/>
        </w:rPr>
        <w:t xml:space="preserve">, the Government of Vanuatu </w:t>
      </w:r>
      <w:r w:rsidR="00F74FC1">
        <w:rPr>
          <w:rFonts w:ascii="Calibri Light" w:hAnsi="Calibri Light" w:cs="Calibri Light"/>
          <w:color w:val="000000"/>
        </w:rPr>
        <w:t>launch</w:t>
      </w:r>
      <w:r w:rsidR="005456F8">
        <w:rPr>
          <w:rFonts w:ascii="Calibri Light" w:hAnsi="Calibri Light" w:cs="Calibri Light"/>
          <w:color w:val="000000"/>
        </w:rPr>
        <w:t>ed</w:t>
      </w:r>
      <w:r w:rsidR="00F74FC1">
        <w:rPr>
          <w:rFonts w:ascii="Calibri Light" w:hAnsi="Calibri Light" w:cs="Calibri Light"/>
          <w:color w:val="000000"/>
        </w:rPr>
        <w:t xml:space="preserve"> </w:t>
      </w:r>
      <w:r w:rsidR="005456F8">
        <w:rPr>
          <w:rFonts w:ascii="Calibri Light" w:hAnsi="Calibri Light" w:cs="Calibri Light"/>
          <w:color w:val="000000"/>
        </w:rPr>
        <w:t xml:space="preserve">its National </w:t>
      </w:r>
      <w:r w:rsidR="00F74FC1">
        <w:rPr>
          <w:rFonts w:ascii="Calibri Light" w:hAnsi="Calibri Light" w:cs="Calibri Light"/>
          <w:color w:val="000000"/>
        </w:rPr>
        <w:t xml:space="preserve">Aid Management Policy </w:t>
      </w:r>
      <w:r w:rsidR="005456F8">
        <w:rPr>
          <w:rFonts w:ascii="Calibri Light" w:hAnsi="Calibri Light" w:cs="Calibri Light"/>
          <w:color w:val="000000"/>
        </w:rPr>
        <w:t xml:space="preserve">aimed at </w:t>
      </w:r>
      <w:r w:rsidR="00F74FC1">
        <w:rPr>
          <w:rFonts w:ascii="Calibri Light" w:hAnsi="Calibri Light" w:cs="Calibri Light"/>
          <w:color w:val="000000"/>
        </w:rPr>
        <w:t>strengthen</w:t>
      </w:r>
      <w:r w:rsidR="005456F8">
        <w:rPr>
          <w:rFonts w:ascii="Calibri Light" w:hAnsi="Calibri Light" w:cs="Calibri Light"/>
          <w:color w:val="000000"/>
        </w:rPr>
        <w:t>ing</w:t>
      </w:r>
      <w:r w:rsidR="00F74FC1">
        <w:rPr>
          <w:rFonts w:ascii="Calibri Light" w:hAnsi="Calibri Light" w:cs="Calibri Light"/>
          <w:color w:val="000000"/>
        </w:rPr>
        <w:t xml:space="preserve"> collaboration and effectiveness of </w:t>
      </w:r>
      <w:r w:rsidR="00482820">
        <w:rPr>
          <w:rFonts w:ascii="Calibri Light" w:hAnsi="Calibri Light" w:cs="Calibri Light"/>
          <w:color w:val="000000"/>
        </w:rPr>
        <w:t xml:space="preserve">development partner </w:t>
      </w:r>
      <w:r w:rsidR="00482820" w:rsidRPr="00B83D47">
        <w:rPr>
          <w:rFonts w:ascii="Calibri Light" w:hAnsi="Calibri Light" w:cs="Calibri Light"/>
          <w:color w:val="000000"/>
        </w:rPr>
        <w:t>assistance.</w:t>
      </w:r>
      <w:r w:rsidR="003B4CD6" w:rsidRPr="00B83D47">
        <w:rPr>
          <w:rFonts w:ascii="Calibri Light" w:hAnsi="Calibri Light" w:cs="Calibri Light"/>
          <w:color w:val="000000"/>
        </w:rPr>
        <w:t xml:space="preserve"> </w:t>
      </w:r>
      <w:r w:rsidR="003B4CD6" w:rsidRPr="00B83D47">
        <w:rPr>
          <w:color w:val="000000" w:themeColor="text1"/>
        </w:rPr>
        <w:t>Australia will work with the Government of Vanuatu to develop a new AIP and Aid Partnership Arrangement (APA) in 2019-20.</w:t>
      </w:r>
      <w:r w:rsidR="00B83D47">
        <w:rPr>
          <w:color w:val="000000" w:themeColor="text1"/>
        </w:rPr>
        <w:br w:type="page"/>
      </w:r>
    </w:p>
    <w:p w:rsidR="00184F1E" w:rsidRPr="007F6111" w:rsidRDefault="00184F1E" w:rsidP="00BB648A">
      <w:pPr>
        <w:pStyle w:val="ListBullet"/>
        <w:tabs>
          <w:tab w:val="clear" w:pos="284"/>
        </w:tabs>
        <w:spacing w:before="360" w:line="300" w:lineRule="exact"/>
        <w:rPr>
          <w:rFonts w:asciiTheme="majorHAnsi" w:eastAsiaTheme="majorEastAsia" w:hAnsiTheme="majorHAnsi" w:cstheme="majorBidi"/>
          <w:caps/>
          <w:color w:val="495965" w:themeColor="text2"/>
          <w:sz w:val="36"/>
          <w:szCs w:val="36"/>
          <w:lang w:val="en-GB" w:eastAsia="en-US"/>
        </w:rPr>
      </w:pPr>
      <w:r w:rsidRPr="007F6111">
        <w:rPr>
          <w:rFonts w:asciiTheme="majorHAnsi" w:eastAsiaTheme="majorEastAsia" w:hAnsiTheme="majorHAnsi" w:cstheme="majorBidi"/>
          <w:caps/>
          <w:color w:val="495965" w:themeColor="text2"/>
          <w:sz w:val="36"/>
          <w:szCs w:val="36"/>
          <w:lang w:val="en-GB" w:eastAsia="en-US"/>
        </w:rPr>
        <w:lastRenderedPageBreak/>
        <w:t>Expenditure</w:t>
      </w:r>
    </w:p>
    <w:p w:rsidR="008D79E5" w:rsidRDefault="008D79E5" w:rsidP="00E01C62">
      <w:pPr>
        <w:spacing w:after="120"/>
        <w:rPr>
          <w:color w:val="000000" w:themeColor="text1"/>
        </w:rPr>
      </w:pPr>
      <w:r>
        <w:rPr>
          <w:color w:val="000000" w:themeColor="text1"/>
        </w:rPr>
        <w:t xml:space="preserve">Australia provided </w:t>
      </w:r>
      <w:r w:rsidR="00571B48">
        <w:rPr>
          <w:color w:val="000000" w:themeColor="text1"/>
        </w:rPr>
        <w:t>$</w:t>
      </w:r>
      <w:r w:rsidRPr="008D79E5">
        <w:rPr>
          <w:color w:val="000000" w:themeColor="text1"/>
        </w:rPr>
        <w:t xml:space="preserve">63 million in ODA to Vanuatu </w:t>
      </w:r>
      <w:r>
        <w:rPr>
          <w:color w:val="000000" w:themeColor="text1"/>
        </w:rPr>
        <w:t xml:space="preserve">in 2018-19. </w:t>
      </w:r>
      <w:r w:rsidRPr="008D79E5">
        <w:rPr>
          <w:color w:val="000000" w:themeColor="text1"/>
        </w:rPr>
        <w:t xml:space="preserve">Bilateral ODA has remained relatively stable </w:t>
      </w:r>
      <w:r>
        <w:rPr>
          <w:color w:val="000000" w:themeColor="text1"/>
        </w:rPr>
        <w:t xml:space="preserve">during the life of the current </w:t>
      </w:r>
      <w:r w:rsidR="001A28CA">
        <w:rPr>
          <w:color w:val="000000" w:themeColor="text1"/>
        </w:rPr>
        <w:t>A</w:t>
      </w:r>
      <w:r w:rsidR="005045F9">
        <w:rPr>
          <w:color w:val="000000" w:themeColor="text1"/>
        </w:rPr>
        <w:t>IP</w:t>
      </w:r>
      <w:r>
        <w:rPr>
          <w:color w:val="000000" w:themeColor="text1"/>
        </w:rPr>
        <w:t xml:space="preserve">, except for </w:t>
      </w:r>
      <w:r w:rsidR="00571B48">
        <w:rPr>
          <w:color w:val="000000" w:themeColor="text1"/>
        </w:rPr>
        <w:t xml:space="preserve">additional </w:t>
      </w:r>
      <w:r>
        <w:rPr>
          <w:color w:val="000000" w:themeColor="text1"/>
        </w:rPr>
        <w:t xml:space="preserve">emergency and humanitarian </w:t>
      </w:r>
      <w:r w:rsidR="00571B48">
        <w:rPr>
          <w:color w:val="000000" w:themeColor="text1"/>
        </w:rPr>
        <w:t xml:space="preserve">funding </w:t>
      </w:r>
      <w:r>
        <w:rPr>
          <w:color w:val="000000" w:themeColor="text1"/>
        </w:rPr>
        <w:t xml:space="preserve">support following natural disasters such as </w:t>
      </w:r>
      <w:r w:rsidR="001A28CA">
        <w:rPr>
          <w:color w:val="000000" w:themeColor="text1"/>
        </w:rPr>
        <w:t xml:space="preserve">Tropical Cyclone </w:t>
      </w:r>
      <w:r>
        <w:rPr>
          <w:color w:val="000000" w:themeColor="text1"/>
        </w:rPr>
        <w:t xml:space="preserve">Pam and the Ambae volcanic eruption. </w:t>
      </w:r>
    </w:p>
    <w:p w:rsidR="00184F1E" w:rsidRDefault="00184F1E" w:rsidP="00184F1E">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0C02EE">
        <w:rPr>
          <w:b/>
          <w:noProof/>
          <w:sz w:val="24"/>
        </w:rPr>
        <w:t>1</w:t>
      </w:r>
      <w:r w:rsidRPr="008C2F58">
        <w:rPr>
          <w:b/>
          <w:noProof/>
          <w:sz w:val="24"/>
        </w:rPr>
        <w:fldChar w:fldCharType="end"/>
      </w:r>
      <w:r w:rsidRPr="008C2F58">
        <w:rPr>
          <w:b/>
          <w:sz w:val="24"/>
        </w:rPr>
        <w:t xml:space="preserve"> Total ODA Expenditure in FY 201</w:t>
      </w:r>
      <w:r w:rsidR="00272B5F">
        <w:rPr>
          <w:b/>
          <w:sz w:val="24"/>
        </w:rPr>
        <w:t>8-19</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417"/>
      </w:tblGrid>
      <w:tr w:rsidR="00CD1652" w:rsidTr="00CD1652">
        <w:tc>
          <w:tcPr>
            <w:tcW w:w="6374" w:type="dxa"/>
          </w:tcPr>
          <w:p w:rsidR="00CD1652" w:rsidRPr="00121846" w:rsidRDefault="00CD1652" w:rsidP="00E01C62">
            <w:pPr>
              <w:spacing w:before="60"/>
              <w:rPr>
                <w:b/>
                <w:sz w:val="24"/>
              </w:rPr>
            </w:pPr>
            <w:r w:rsidRPr="00C82F53">
              <w:rPr>
                <w:b/>
                <w:sz w:val="20"/>
              </w:rPr>
              <w:t>Objective</w:t>
            </w:r>
          </w:p>
        </w:tc>
        <w:tc>
          <w:tcPr>
            <w:tcW w:w="1423" w:type="dxa"/>
          </w:tcPr>
          <w:p w:rsidR="00CD1652" w:rsidRPr="00121846" w:rsidRDefault="00CD1652" w:rsidP="005E33FC">
            <w:pPr>
              <w:spacing w:before="60"/>
              <w:jc w:val="center"/>
              <w:rPr>
                <w:b/>
                <w:sz w:val="24"/>
              </w:rPr>
            </w:pPr>
            <w:r w:rsidRPr="00C82F53">
              <w:rPr>
                <w:b/>
                <w:sz w:val="20"/>
              </w:rPr>
              <w:t>A</w:t>
            </w:r>
            <w:r w:rsidR="005E33FC" w:rsidRPr="00C82F53">
              <w:rPr>
                <w:b/>
                <w:sz w:val="20"/>
              </w:rPr>
              <w:t>UD</w:t>
            </w:r>
            <w:r w:rsidRPr="00C82F53">
              <w:rPr>
                <w:b/>
                <w:sz w:val="20"/>
              </w:rPr>
              <w:t xml:space="preserve"> million</w:t>
            </w:r>
          </w:p>
        </w:tc>
        <w:tc>
          <w:tcPr>
            <w:tcW w:w="1417" w:type="dxa"/>
          </w:tcPr>
          <w:p w:rsidR="00CD1652" w:rsidRPr="00121846" w:rsidRDefault="00CD1652" w:rsidP="00E01C62">
            <w:pPr>
              <w:spacing w:before="60"/>
              <w:jc w:val="center"/>
              <w:rPr>
                <w:b/>
                <w:sz w:val="24"/>
              </w:rPr>
            </w:pPr>
            <w:r w:rsidRPr="00C82F53">
              <w:rPr>
                <w:b/>
                <w:sz w:val="20"/>
              </w:rPr>
              <w:t>% of total ODA</w:t>
            </w:r>
          </w:p>
        </w:tc>
      </w:tr>
      <w:tr w:rsidR="00FE5D26" w:rsidTr="00CD1652">
        <w:tc>
          <w:tcPr>
            <w:tcW w:w="6374" w:type="dxa"/>
          </w:tcPr>
          <w:p w:rsidR="00FE5D26" w:rsidRPr="00FE5D26" w:rsidRDefault="00FE5D26" w:rsidP="00FE5D26">
            <w:pPr>
              <w:spacing w:before="60"/>
              <w:rPr>
                <w:sz w:val="20"/>
              </w:rPr>
            </w:pPr>
            <w:r w:rsidRPr="00FE5D26">
              <w:rPr>
                <w:sz w:val="20"/>
              </w:rPr>
              <w:t>Objective 1:  Building resilient infrastructure and environment for economic opportunity</w:t>
            </w:r>
          </w:p>
        </w:tc>
        <w:tc>
          <w:tcPr>
            <w:tcW w:w="1423" w:type="dxa"/>
          </w:tcPr>
          <w:p w:rsidR="00FE5D26" w:rsidRDefault="00FE5D26" w:rsidP="00FE5D26">
            <w:pPr>
              <w:spacing w:before="60"/>
              <w:jc w:val="center"/>
              <w:rPr>
                <w:b/>
                <w:sz w:val="24"/>
              </w:rPr>
            </w:pPr>
            <w:r w:rsidRPr="00D92EB9">
              <w:rPr>
                <w:sz w:val="20"/>
                <w:szCs w:val="20"/>
              </w:rPr>
              <w:t>19.3</w:t>
            </w:r>
          </w:p>
        </w:tc>
        <w:tc>
          <w:tcPr>
            <w:tcW w:w="1417" w:type="dxa"/>
          </w:tcPr>
          <w:p w:rsidR="00FE5D26" w:rsidRDefault="00FE5D26" w:rsidP="00FE5D26">
            <w:pPr>
              <w:spacing w:before="60"/>
              <w:jc w:val="center"/>
              <w:rPr>
                <w:b/>
                <w:sz w:val="24"/>
              </w:rPr>
            </w:pPr>
            <w:r w:rsidRPr="00D92EB9">
              <w:rPr>
                <w:sz w:val="20"/>
                <w:szCs w:val="20"/>
              </w:rPr>
              <w:t>3</w:t>
            </w:r>
            <w:r w:rsidR="001A28CA">
              <w:rPr>
                <w:sz w:val="20"/>
                <w:szCs w:val="20"/>
              </w:rPr>
              <w:t>0.6</w:t>
            </w:r>
          </w:p>
        </w:tc>
      </w:tr>
      <w:tr w:rsidR="00FE5D26" w:rsidTr="00CD1652">
        <w:tc>
          <w:tcPr>
            <w:tcW w:w="6374" w:type="dxa"/>
          </w:tcPr>
          <w:p w:rsidR="00FE5D26" w:rsidRPr="00FE5D26" w:rsidRDefault="00FE5D26" w:rsidP="00FE5D26">
            <w:pPr>
              <w:spacing w:before="60"/>
              <w:rPr>
                <w:sz w:val="20"/>
              </w:rPr>
            </w:pPr>
            <w:r w:rsidRPr="00FE5D26">
              <w:rPr>
                <w:sz w:val="20"/>
              </w:rPr>
              <w:t>Objective 2: Improving early education and essential health services</w:t>
            </w:r>
          </w:p>
        </w:tc>
        <w:tc>
          <w:tcPr>
            <w:tcW w:w="1423" w:type="dxa"/>
          </w:tcPr>
          <w:p w:rsidR="00FE5D26" w:rsidRDefault="00FE5D26" w:rsidP="00FE5D26">
            <w:pPr>
              <w:spacing w:before="60"/>
              <w:jc w:val="center"/>
              <w:rPr>
                <w:b/>
                <w:sz w:val="24"/>
              </w:rPr>
            </w:pPr>
            <w:r w:rsidRPr="00D92EB9">
              <w:rPr>
                <w:sz w:val="20"/>
                <w:szCs w:val="20"/>
              </w:rPr>
              <w:t>11.8</w:t>
            </w:r>
          </w:p>
        </w:tc>
        <w:tc>
          <w:tcPr>
            <w:tcW w:w="1417" w:type="dxa"/>
          </w:tcPr>
          <w:p w:rsidR="00FE5D26" w:rsidRDefault="00FE5D26" w:rsidP="00FE5D26">
            <w:pPr>
              <w:spacing w:before="60"/>
              <w:jc w:val="center"/>
              <w:rPr>
                <w:b/>
                <w:sz w:val="24"/>
              </w:rPr>
            </w:pPr>
            <w:r w:rsidRPr="00D92EB9">
              <w:rPr>
                <w:sz w:val="20"/>
                <w:szCs w:val="20"/>
              </w:rPr>
              <w:t>1</w:t>
            </w:r>
            <w:r w:rsidR="001A28CA">
              <w:rPr>
                <w:sz w:val="20"/>
                <w:szCs w:val="20"/>
              </w:rPr>
              <w:t>8.7</w:t>
            </w:r>
          </w:p>
        </w:tc>
      </w:tr>
      <w:tr w:rsidR="00FE5D26" w:rsidTr="00CD1652">
        <w:tc>
          <w:tcPr>
            <w:tcW w:w="6374" w:type="dxa"/>
          </w:tcPr>
          <w:p w:rsidR="00FE5D26" w:rsidRPr="00FE5D26" w:rsidRDefault="00FE5D26" w:rsidP="00FE5D26">
            <w:pPr>
              <w:spacing w:before="60"/>
              <w:rPr>
                <w:sz w:val="20"/>
              </w:rPr>
            </w:pPr>
            <w:r w:rsidRPr="00FE5D26">
              <w:rPr>
                <w:sz w:val="20"/>
              </w:rPr>
              <w:t>Objective 3: Improving community safety and resilience</w:t>
            </w:r>
          </w:p>
        </w:tc>
        <w:tc>
          <w:tcPr>
            <w:tcW w:w="1423" w:type="dxa"/>
          </w:tcPr>
          <w:p w:rsidR="00FE5D26" w:rsidRDefault="00FE5D26" w:rsidP="00FE5D26">
            <w:pPr>
              <w:spacing w:before="60"/>
              <w:jc w:val="center"/>
              <w:rPr>
                <w:b/>
                <w:sz w:val="24"/>
              </w:rPr>
            </w:pPr>
            <w:r w:rsidRPr="00D92EB9">
              <w:rPr>
                <w:sz w:val="20"/>
                <w:szCs w:val="20"/>
              </w:rPr>
              <w:t>9.6</w:t>
            </w:r>
          </w:p>
        </w:tc>
        <w:tc>
          <w:tcPr>
            <w:tcW w:w="1417" w:type="dxa"/>
          </w:tcPr>
          <w:p w:rsidR="00FE5D26" w:rsidRDefault="00FE5D26" w:rsidP="00FE5D26">
            <w:pPr>
              <w:spacing w:before="60"/>
              <w:jc w:val="center"/>
              <w:rPr>
                <w:b/>
                <w:sz w:val="24"/>
              </w:rPr>
            </w:pPr>
            <w:r w:rsidRPr="00D92EB9">
              <w:rPr>
                <w:sz w:val="20"/>
                <w:szCs w:val="20"/>
              </w:rPr>
              <w:t>15</w:t>
            </w:r>
            <w:r w:rsidR="001A28CA">
              <w:rPr>
                <w:sz w:val="20"/>
                <w:szCs w:val="20"/>
              </w:rPr>
              <w:t>.2</w:t>
            </w:r>
          </w:p>
        </w:tc>
      </w:tr>
      <w:tr w:rsidR="00FE5D26" w:rsidTr="00CD1652">
        <w:tc>
          <w:tcPr>
            <w:tcW w:w="6374" w:type="dxa"/>
          </w:tcPr>
          <w:p w:rsidR="00FE5D26" w:rsidRPr="00BE6C6D" w:rsidRDefault="00FE5D26" w:rsidP="00FE5D26">
            <w:pPr>
              <w:spacing w:before="60"/>
              <w:rPr>
                <w:sz w:val="20"/>
              </w:rPr>
            </w:pPr>
            <w:r w:rsidRPr="00FE5D26">
              <w:rPr>
                <w:sz w:val="20"/>
              </w:rPr>
              <w:t>Objective 4: Supporting cyclone recovery and reconstruction</w:t>
            </w:r>
            <w:r w:rsidR="00C16598">
              <w:rPr>
                <w:sz w:val="20"/>
              </w:rPr>
              <w:t>*</w:t>
            </w:r>
          </w:p>
        </w:tc>
        <w:tc>
          <w:tcPr>
            <w:tcW w:w="1423" w:type="dxa"/>
          </w:tcPr>
          <w:p w:rsidR="00FE5D26" w:rsidRDefault="00FE5D26" w:rsidP="00FE5D26">
            <w:pPr>
              <w:spacing w:before="60"/>
              <w:jc w:val="center"/>
              <w:rPr>
                <w:b/>
                <w:sz w:val="24"/>
              </w:rPr>
            </w:pPr>
            <w:r w:rsidRPr="00D92EB9">
              <w:rPr>
                <w:sz w:val="20"/>
                <w:szCs w:val="20"/>
              </w:rPr>
              <w:t>3.2</w:t>
            </w:r>
          </w:p>
        </w:tc>
        <w:tc>
          <w:tcPr>
            <w:tcW w:w="1417" w:type="dxa"/>
          </w:tcPr>
          <w:p w:rsidR="00FE5D26" w:rsidRDefault="00FE5D26" w:rsidP="00FE5D26">
            <w:pPr>
              <w:spacing w:before="60"/>
              <w:jc w:val="center"/>
              <w:rPr>
                <w:b/>
                <w:sz w:val="24"/>
              </w:rPr>
            </w:pPr>
            <w:r w:rsidRPr="00D92EB9">
              <w:rPr>
                <w:sz w:val="20"/>
                <w:szCs w:val="20"/>
              </w:rPr>
              <w:t>5</w:t>
            </w:r>
            <w:r w:rsidR="001A28CA">
              <w:rPr>
                <w:sz w:val="20"/>
                <w:szCs w:val="20"/>
              </w:rPr>
              <w:t>.1</w:t>
            </w:r>
          </w:p>
        </w:tc>
      </w:tr>
      <w:tr w:rsidR="005E33FC" w:rsidTr="00CD1652">
        <w:tc>
          <w:tcPr>
            <w:tcW w:w="6374" w:type="dxa"/>
          </w:tcPr>
          <w:p w:rsidR="005E33FC" w:rsidRPr="00121846" w:rsidRDefault="005E33FC" w:rsidP="005E33FC">
            <w:pPr>
              <w:spacing w:before="60"/>
              <w:rPr>
                <w:b/>
                <w:sz w:val="24"/>
              </w:rPr>
            </w:pPr>
            <w:r w:rsidRPr="005045F9">
              <w:rPr>
                <w:b/>
                <w:sz w:val="20"/>
              </w:rPr>
              <w:t>Sub-Total Bilateral</w:t>
            </w:r>
          </w:p>
        </w:tc>
        <w:tc>
          <w:tcPr>
            <w:tcW w:w="1423" w:type="dxa"/>
          </w:tcPr>
          <w:p w:rsidR="005E33FC" w:rsidRDefault="005E33FC" w:rsidP="005E33FC">
            <w:pPr>
              <w:spacing w:before="60"/>
              <w:jc w:val="center"/>
              <w:rPr>
                <w:b/>
                <w:sz w:val="24"/>
              </w:rPr>
            </w:pPr>
            <w:r w:rsidRPr="00D92EB9">
              <w:rPr>
                <w:b/>
                <w:sz w:val="20"/>
                <w:szCs w:val="20"/>
              </w:rPr>
              <w:t>43.9</w:t>
            </w:r>
          </w:p>
        </w:tc>
        <w:tc>
          <w:tcPr>
            <w:tcW w:w="1417" w:type="dxa"/>
          </w:tcPr>
          <w:p w:rsidR="005E33FC" w:rsidRDefault="001A28CA" w:rsidP="005E33FC">
            <w:pPr>
              <w:spacing w:before="60"/>
              <w:jc w:val="center"/>
              <w:rPr>
                <w:b/>
                <w:sz w:val="24"/>
              </w:rPr>
            </w:pPr>
            <w:r>
              <w:rPr>
                <w:b/>
                <w:sz w:val="20"/>
                <w:szCs w:val="20"/>
              </w:rPr>
              <w:t>69.7</w:t>
            </w:r>
          </w:p>
        </w:tc>
      </w:tr>
      <w:tr w:rsidR="005E33FC" w:rsidTr="00CD1652">
        <w:tc>
          <w:tcPr>
            <w:tcW w:w="6374" w:type="dxa"/>
          </w:tcPr>
          <w:p w:rsidR="005E33FC" w:rsidRDefault="005E33FC" w:rsidP="005E33FC">
            <w:pPr>
              <w:spacing w:before="60"/>
              <w:rPr>
                <w:b/>
                <w:sz w:val="24"/>
              </w:rPr>
            </w:pPr>
            <w:r w:rsidRPr="00BE6C6D">
              <w:rPr>
                <w:sz w:val="20"/>
              </w:rPr>
              <w:t>Regional and Global</w:t>
            </w:r>
          </w:p>
        </w:tc>
        <w:tc>
          <w:tcPr>
            <w:tcW w:w="1423" w:type="dxa"/>
          </w:tcPr>
          <w:p w:rsidR="005E33FC" w:rsidRDefault="005E33FC" w:rsidP="005E33FC">
            <w:pPr>
              <w:spacing w:before="60"/>
              <w:jc w:val="center"/>
              <w:rPr>
                <w:b/>
                <w:sz w:val="24"/>
              </w:rPr>
            </w:pPr>
            <w:r w:rsidRPr="00E20B1E">
              <w:rPr>
                <w:sz w:val="20"/>
                <w:szCs w:val="20"/>
              </w:rPr>
              <w:t>17.3</w:t>
            </w:r>
          </w:p>
        </w:tc>
        <w:tc>
          <w:tcPr>
            <w:tcW w:w="1417" w:type="dxa"/>
          </w:tcPr>
          <w:p w:rsidR="005E33FC" w:rsidRDefault="005E33FC" w:rsidP="005E33FC">
            <w:pPr>
              <w:spacing w:before="60"/>
              <w:jc w:val="center"/>
              <w:rPr>
                <w:b/>
                <w:sz w:val="24"/>
              </w:rPr>
            </w:pPr>
            <w:r w:rsidRPr="00E20B1E">
              <w:rPr>
                <w:sz w:val="20"/>
                <w:szCs w:val="20"/>
              </w:rPr>
              <w:t>27</w:t>
            </w:r>
            <w:r w:rsidR="00121846">
              <w:rPr>
                <w:sz w:val="20"/>
                <w:szCs w:val="20"/>
              </w:rPr>
              <w:t>.5</w:t>
            </w:r>
          </w:p>
        </w:tc>
      </w:tr>
      <w:tr w:rsidR="005E33FC" w:rsidTr="00CD1652">
        <w:tc>
          <w:tcPr>
            <w:tcW w:w="6374" w:type="dxa"/>
          </w:tcPr>
          <w:p w:rsidR="005E33FC" w:rsidRDefault="005E33FC" w:rsidP="005E33FC">
            <w:pPr>
              <w:spacing w:before="60"/>
              <w:rPr>
                <w:b/>
                <w:sz w:val="24"/>
              </w:rPr>
            </w:pPr>
            <w:r w:rsidRPr="00BE6C6D">
              <w:rPr>
                <w:sz w:val="20"/>
              </w:rPr>
              <w:t>Other Government Departments</w:t>
            </w:r>
          </w:p>
        </w:tc>
        <w:tc>
          <w:tcPr>
            <w:tcW w:w="1423" w:type="dxa"/>
          </w:tcPr>
          <w:p w:rsidR="005E33FC" w:rsidRDefault="005E33FC" w:rsidP="005E33FC">
            <w:pPr>
              <w:spacing w:before="60"/>
              <w:jc w:val="center"/>
              <w:rPr>
                <w:b/>
                <w:sz w:val="24"/>
              </w:rPr>
            </w:pPr>
            <w:r w:rsidRPr="00E20B1E">
              <w:rPr>
                <w:sz w:val="20"/>
                <w:szCs w:val="20"/>
              </w:rPr>
              <w:t>1.8</w:t>
            </w:r>
          </w:p>
        </w:tc>
        <w:tc>
          <w:tcPr>
            <w:tcW w:w="1417" w:type="dxa"/>
          </w:tcPr>
          <w:p w:rsidR="005E33FC" w:rsidRDefault="00121846" w:rsidP="005E33FC">
            <w:pPr>
              <w:spacing w:before="60"/>
              <w:jc w:val="center"/>
              <w:rPr>
                <w:b/>
                <w:sz w:val="24"/>
              </w:rPr>
            </w:pPr>
            <w:r>
              <w:rPr>
                <w:sz w:val="20"/>
                <w:szCs w:val="20"/>
              </w:rPr>
              <w:t>2.9</w:t>
            </w:r>
          </w:p>
        </w:tc>
      </w:tr>
      <w:tr w:rsidR="005E33FC" w:rsidTr="00CD1652">
        <w:tc>
          <w:tcPr>
            <w:tcW w:w="6374" w:type="dxa"/>
          </w:tcPr>
          <w:p w:rsidR="005E33FC" w:rsidRPr="00121846" w:rsidRDefault="005E33FC" w:rsidP="005E33FC">
            <w:pPr>
              <w:spacing w:before="60"/>
              <w:rPr>
                <w:b/>
                <w:sz w:val="24"/>
              </w:rPr>
            </w:pPr>
            <w:r w:rsidRPr="005045F9">
              <w:rPr>
                <w:b/>
                <w:sz w:val="20"/>
              </w:rPr>
              <w:t>Total ODA Expenditure</w:t>
            </w:r>
          </w:p>
        </w:tc>
        <w:tc>
          <w:tcPr>
            <w:tcW w:w="1423" w:type="dxa"/>
          </w:tcPr>
          <w:p w:rsidR="005E33FC" w:rsidRDefault="005E33FC" w:rsidP="005E33FC">
            <w:pPr>
              <w:spacing w:before="60"/>
              <w:jc w:val="center"/>
              <w:rPr>
                <w:b/>
                <w:sz w:val="24"/>
              </w:rPr>
            </w:pPr>
            <w:r w:rsidRPr="00D92EB9">
              <w:rPr>
                <w:b/>
                <w:sz w:val="20"/>
                <w:szCs w:val="20"/>
              </w:rPr>
              <w:t>63.0</w:t>
            </w:r>
          </w:p>
        </w:tc>
        <w:tc>
          <w:tcPr>
            <w:tcW w:w="1417" w:type="dxa"/>
          </w:tcPr>
          <w:p w:rsidR="005E33FC" w:rsidRDefault="005E33FC" w:rsidP="005E33FC">
            <w:pPr>
              <w:spacing w:before="60"/>
              <w:jc w:val="center"/>
              <w:rPr>
                <w:b/>
                <w:sz w:val="24"/>
              </w:rPr>
            </w:pPr>
            <w:r w:rsidRPr="00D92EB9">
              <w:rPr>
                <w:b/>
                <w:sz w:val="20"/>
                <w:szCs w:val="20"/>
              </w:rPr>
              <w:t>100</w:t>
            </w:r>
            <w:r w:rsidR="00121846">
              <w:rPr>
                <w:b/>
                <w:sz w:val="20"/>
                <w:szCs w:val="20"/>
              </w:rPr>
              <w:t>.0</w:t>
            </w:r>
          </w:p>
        </w:tc>
      </w:tr>
    </w:tbl>
    <w:p w:rsidR="00C16598" w:rsidRPr="007F6111" w:rsidRDefault="00C16598" w:rsidP="00C16598">
      <w:pPr>
        <w:spacing w:before="60"/>
        <w:rPr>
          <w:sz w:val="16"/>
          <w:szCs w:val="16"/>
        </w:rPr>
      </w:pPr>
      <w:r w:rsidRPr="007F6111">
        <w:rPr>
          <w:sz w:val="16"/>
          <w:szCs w:val="16"/>
        </w:rPr>
        <w:t>*includes volcano response and recovery</w:t>
      </w:r>
    </w:p>
    <w:p w:rsidR="00816EB7" w:rsidRDefault="00816EB7" w:rsidP="00581C58">
      <w:pPr>
        <w:pStyle w:val="ListBullet"/>
        <w:tabs>
          <w:tab w:val="clear" w:pos="284"/>
        </w:tabs>
        <w:spacing w:before="120" w:after="60" w:line="300" w:lineRule="exact"/>
        <w:rPr>
          <w:rFonts w:asciiTheme="majorHAnsi" w:eastAsiaTheme="majorEastAsia" w:hAnsiTheme="majorHAnsi" w:cstheme="majorBidi"/>
          <w:caps/>
          <w:color w:val="495965" w:themeColor="text2"/>
          <w:sz w:val="36"/>
          <w:szCs w:val="36"/>
          <w:lang w:val="en-GB" w:eastAsia="en-US"/>
        </w:rPr>
      </w:pPr>
    </w:p>
    <w:p w:rsidR="005818C9" w:rsidRPr="007F6111" w:rsidRDefault="005B5769" w:rsidP="00581C58">
      <w:pPr>
        <w:pStyle w:val="ListBullet"/>
        <w:tabs>
          <w:tab w:val="clear" w:pos="284"/>
        </w:tabs>
        <w:spacing w:before="120" w:after="60" w:line="300" w:lineRule="exact"/>
        <w:rPr>
          <w:rFonts w:asciiTheme="majorHAnsi" w:eastAsiaTheme="majorEastAsia" w:hAnsiTheme="majorHAnsi" w:cstheme="majorBidi"/>
          <w:caps/>
          <w:color w:val="495965" w:themeColor="text2"/>
          <w:sz w:val="36"/>
          <w:szCs w:val="36"/>
          <w:lang w:val="en-GB" w:eastAsia="en-US"/>
        </w:rPr>
      </w:pPr>
      <w:r w:rsidRPr="007F6111">
        <w:rPr>
          <w:rFonts w:asciiTheme="majorHAnsi" w:eastAsiaTheme="majorEastAsia" w:hAnsiTheme="majorHAnsi" w:cstheme="majorBidi"/>
          <w:caps/>
          <w:color w:val="495965" w:themeColor="text2"/>
          <w:sz w:val="36"/>
          <w:szCs w:val="36"/>
          <w:lang w:val="en-GB" w:eastAsia="en-US"/>
        </w:rPr>
        <w:t xml:space="preserve">Performance </w:t>
      </w:r>
      <w:r w:rsidR="006545B9" w:rsidRPr="007F6111">
        <w:rPr>
          <w:rFonts w:asciiTheme="majorHAnsi" w:eastAsiaTheme="majorEastAsia" w:hAnsiTheme="majorHAnsi" w:cstheme="majorBidi"/>
          <w:caps/>
          <w:color w:val="495965" w:themeColor="text2"/>
          <w:sz w:val="36"/>
          <w:szCs w:val="36"/>
          <w:lang w:val="en-GB" w:eastAsia="en-US"/>
        </w:rPr>
        <w:t>TOWARDS a</w:t>
      </w:r>
      <w:r w:rsidR="00121846" w:rsidRPr="007F6111">
        <w:rPr>
          <w:rFonts w:asciiTheme="majorHAnsi" w:eastAsiaTheme="majorEastAsia" w:hAnsiTheme="majorHAnsi" w:cstheme="majorBidi"/>
          <w:caps/>
          <w:color w:val="495965" w:themeColor="text2"/>
          <w:sz w:val="36"/>
          <w:szCs w:val="36"/>
          <w:lang w:val="en-GB" w:eastAsia="en-US"/>
        </w:rPr>
        <w:t>i</w:t>
      </w:r>
      <w:r w:rsidR="007A7C08" w:rsidRPr="007F6111">
        <w:rPr>
          <w:rFonts w:asciiTheme="majorHAnsi" w:eastAsiaTheme="majorEastAsia" w:hAnsiTheme="majorHAnsi" w:cstheme="majorBidi"/>
          <w:caps/>
          <w:color w:val="495965" w:themeColor="text2"/>
          <w:sz w:val="36"/>
          <w:szCs w:val="36"/>
          <w:lang w:val="en-GB" w:eastAsia="en-US"/>
        </w:rPr>
        <w:t>P</w:t>
      </w:r>
      <w:r w:rsidR="00121846" w:rsidRPr="007F6111">
        <w:rPr>
          <w:rFonts w:asciiTheme="majorHAnsi" w:eastAsiaTheme="majorEastAsia" w:hAnsiTheme="majorHAnsi" w:cstheme="majorBidi"/>
          <w:caps/>
          <w:color w:val="495965" w:themeColor="text2"/>
          <w:sz w:val="36"/>
          <w:szCs w:val="36"/>
          <w:lang w:val="en-GB" w:eastAsia="en-US"/>
        </w:rPr>
        <w:t xml:space="preserve"> </w:t>
      </w:r>
      <w:r w:rsidRPr="007F6111">
        <w:rPr>
          <w:rFonts w:asciiTheme="majorHAnsi" w:eastAsiaTheme="majorEastAsia" w:hAnsiTheme="majorHAnsi" w:cstheme="majorBidi"/>
          <w:caps/>
          <w:color w:val="495965" w:themeColor="text2"/>
          <w:sz w:val="36"/>
          <w:szCs w:val="36"/>
          <w:lang w:val="en-GB" w:eastAsia="en-US"/>
        </w:rPr>
        <w:t>Objectives</w:t>
      </w:r>
    </w:p>
    <w:p w:rsidR="003B4CD6" w:rsidRDefault="00C36D29" w:rsidP="00256028">
      <w:pPr>
        <w:rPr>
          <w:color w:val="000000" w:themeColor="text1"/>
        </w:rPr>
      </w:pPr>
      <w:r w:rsidRPr="00C36D29">
        <w:rPr>
          <w:color w:val="000000" w:themeColor="text1"/>
        </w:rPr>
        <w:t>The performance of Australia’s aid program, summarised in Table 2, is measured against performance benchmarks outlined in the</w:t>
      </w:r>
      <w:r w:rsidR="00121846">
        <w:rPr>
          <w:color w:val="000000" w:themeColor="text1"/>
        </w:rPr>
        <w:t xml:space="preserve"> A</w:t>
      </w:r>
      <w:r w:rsidR="005045F9">
        <w:rPr>
          <w:color w:val="000000" w:themeColor="text1"/>
        </w:rPr>
        <w:t>IP</w:t>
      </w:r>
      <w:r w:rsidRPr="00C36D29">
        <w:rPr>
          <w:color w:val="000000" w:themeColor="text1"/>
        </w:rPr>
        <w:t>. A</w:t>
      </w:r>
      <w:r w:rsidR="007F6111">
        <w:rPr>
          <w:color w:val="000000" w:themeColor="text1"/>
        </w:rPr>
        <w:t> </w:t>
      </w:r>
      <w:r w:rsidRPr="00C36D29">
        <w:rPr>
          <w:color w:val="000000" w:themeColor="text1"/>
        </w:rPr>
        <w:t>Performance Assessment Framework (Annex E) i</w:t>
      </w:r>
      <w:r w:rsidR="00F73A03">
        <w:rPr>
          <w:color w:val="000000" w:themeColor="text1"/>
        </w:rPr>
        <w:t>dentifies</w:t>
      </w:r>
      <w:r w:rsidRPr="00C36D29">
        <w:rPr>
          <w:color w:val="000000" w:themeColor="text1"/>
        </w:rPr>
        <w:t xml:space="preserve"> additional indicators across all investments</w:t>
      </w:r>
      <w:r>
        <w:rPr>
          <w:color w:val="000000" w:themeColor="text1"/>
        </w:rPr>
        <w:t>.</w:t>
      </w:r>
      <w:r w:rsidR="00942CC5">
        <w:rPr>
          <w:color w:val="000000" w:themeColor="text1"/>
        </w:rPr>
        <w:t xml:space="preserve"> </w:t>
      </w:r>
    </w:p>
    <w:p w:rsidR="00256028" w:rsidRPr="00C36D29" w:rsidRDefault="00256028" w:rsidP="00256028">
      <w:pPr>
        <w:rPr>
          <w:color w:val="000000" w:themeColor="text1"/>
        </w:rPr>
      </w:pPr>
      <w:r w:rsidRPr="00C36D29">
        <w:rPr>
          <w:color w:val="000000" w:themeColor="text1"/>
        </w:rPr>
        <w:t xml:space="preserve">All four objectives </w:t>
      </w:r>
      <w:r w:rsidR="002D50F7" w:rsidRPr="002D50F7">
        <w:rPr>
          <w:color w:val="000000" w:themeColor="text1"/>
        </w:rPr>
        <w:t xml:space="preserve">are </w:t>
      </w:r>
      <w:r w:rsidRPr="002D50F7">
        <w:rPr>
          <w:color w:val="000000" w:themeColor="text1"/>
        </w:rPr>
        <w:t>rated green</w:t>
      </w:r>
      <w:r w:rsidR="003B4CD6">
        <w:rPr>
          <w:color w:val="000000" w:themeColor="text1"/>
        </w:rPr>
        <w:t xml:space="preserve"> given </w:t>
      </w:r>
      <w:r>
        <w:rPr>
          <w:color w:val="000000" w:themeColor="text1"/>
        </w:rPr>
        <w:t xml:space="preserve">all </w:t>
      </w:r>
      <w:r w:rsidR="00816EB7">
        <w:rPr>
          <w:color w:val="000000" w:themeColor="text1"/>
        </w:rPr>
        <w:t xml:space="preserve">except </w:t>
      </w:r>
      <w:r w:rsidR="003B4CD6">
        <w:rPr>
          <w:color w:val="000000" w:themeColor="text1"/>
        </w:rPr>
        <w:t xml:space="preserve">one </w:t>
      </w:r>
      <w:r>
        <w:rPr>
          <w:color w:val="000000" w:themeColor="text1"/>
        </w:rPr>
        <w:t>investment</w:t>
      </w:r>
      <w:r w:rsidR="003B4CD6">
        <w:rPr>
          <w:color w:val="000000" w:themeColor="text1"/>
        </w:rPr>
        <w:t xml:space="preserve"> w</w:t>
      </w:r>
      <w:r w:rsidR="00816EB7">
        <w:rPr>
          <w:color w:val="000000" w:themeColor="text1"/>
        </w:rPr>
        <w:t>ere</w:t>
      </w:r>
      <w:r w:rsidR="003B4CD6">
        <w:rPr>
          <w:color w:val="000000" w:themeColor="text1"/>
        </w:rPr>
        <w:t xml:space="preserve"> </w:t>
      </w:r>
      <w:r w:rsidR="00816EB7">
        <w:rPr>
          <w:color w:val="000000" w:themeColor="text1"/>
        </w:rPr>
        <w:t>assessed</w:t>
      </w:r>
      <w:r>
        <w:rPr>
          <w:color w:val="000000" w:themeColor="text1"/>
        </w:rPr>
        <w:t xml:space="preserve"> as adequate or higher </w:t>
      </w:r>
      <w:r w:rsidR="00C16598">
        <w:rPr>
          <w:color w:val="000000" w:themeColor="text1"/>
        </w:rPr>
        <w:t xml:space="preserve">for </w:t>
      </w:r>
      <w:r>
        <w:rPr>
          <w:color w:val="000000" w:themeColor="text1"/>
        </w:rPr>
        <w:t>efficiency and effectiveness in annual performance reporting.</w:t>
      </w:r>
      <w:r w:rsidR="00581C58">
        <w:rPr>
          <w:rStyle w:val="FootnoteReference"/>
          <w:color w:val="000000" w:themeColor="text1"/>
        </w:rPr>
        <w:footnoteReference w:id="4"/>
      </w:r>
      <w:r>
        <w:rPr>
          <w:color w:val="000000" w:themeColor="text1"/>
        </w:rPr>
        <w:t xml:space="preserve"> </w:t>
      </w:r>
      <w:r w:rsidR="007F6111">
        <w:rPr>
          <w:color w:val="000000" w:themeColor="text1"/>
        </w:rPr>
        <w:t>Targets in the Performance Assessment Framework were largely met or exceeded during the reporting period.</w:t>
      </w:r>
    </w:p>
    <w:p w:rsidR="00323E53" w:rsidRPr="00323E53" w:rsidRDefault="00323E53" w:rsidP="00323E53">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0C02EE">
        <w:rPr>
          <w:b/>
          <w:noProof/>
          <w:sz w:val="24"/>
        </w:rPr>
        <w:t>2</w:t>
      </w:r>
      <w:r w:rsidRPr="008C2F58">
        <w:rPr>
          <w:b/>
          <w:noProof/>
          <w:sz w:val="24"/>
        </w:rPr>
        <w:fldChar w:fldCharType="end"/>
      </w:r>
      <w:r w:rsidRPr="008C2F58">
        <w:rPr>
          <w:b/>
          <w:sz w:val="24"/>
        </w:rPr>
        <w:t xml:space="preserve"> Rating of the Program's Progress towards Australia’s Aid Objectives</w:t>
      </w:r>
    </w:p>
    <w:tbl>
      <w:tblPr>
        <w:tblStyle w:val="APPR"/>
        <w:tblW w:w="4928" w:type="pct"/>
        <w:tblLook w:val="0000" w:firstRow="0" w:lastRow="0" w:firstColumn="0" w:lastColumn="0" w:noHBand="0" w:noVBand="0"/>
      </w:tblPr>
      <w:tblGrid>
        <w:gridCol w:w="6664"/>
        <w:gridCol w:w="1416"/>
        <w:gridCol w:w="1419"/>
      </w:tblGrid>
      <w:tr w:rsidR="00436526" w:rsidRPr="00812509" w:rsidTr="00581C58">
        <w:trPr>
          <w:cnfStyle w:val="000000010000" w:firstRow="0" w:lastRow="0" w:firstColumn="0" w:lastColumn="0" w:oddVBand="0" w:evenVBand="0" w:oddHBand="0" w:evenHBand="1" w:firstRowFirstColumn="0" w:firstRowLastColumn="0" w:lastRowFirstColumn="0" w:lastRowLastColumn="0"/>
          <w:trHeight w:val="311"/>
        </w:trPr>
        <w:tc>
          <w:tcPr>
            <w:tcW w:w="6622" w:type="dxa"/>
          </w:tcPr>
          <w:p w:rsidR="00436526" w:rsidRPr="00812509" w:rsidRDefault="00145A3A" w:rsidP="00436526">
            <w:pPr>
              <w:pStyle w:val="TableTextColumnHeading"/>
              <w:ind w:left="0"/>
            </w:pPr>
            <w:r w:rsidRPr="00812509">
              <w:rPr>
                <w:noProof/>
              </w:rPr>
              <w:drawing>
                <wp:anchor distT="0" distB="0" distL="114300" distR="114300" simplePos="0" relativeHeight="251688960" behindDoc="0" locked="0" layoutInCell="1" allowOverlap="1" wp14:anchorId="3F912EEA" wp14:editId="3FC18BA4">
                  <wp:simplePos x="0" y="0"/>
                  <wp:positionH relativeFrom="column">
                    <wp:posOffset>0</wp:posOffset>
                  </wp:positionH>
                  <wp:positionV relativeFrom="paragraph">
                    <wp:posOffset>0</wp:posOffset>
                  </wp:positionV>
                  <wp:extent cx="1857375" cy="228600"/>
                  <wp:effectExtent l="0" t="0" r="9525" b="0"/>
                  <wp:wrapNone/>
                  <wp:docPr id="3" name="Picture 3"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6526" w:rsidRPr="00812509">
              <w:t>Objective</w:t>
            </w:r>
          </w:p>
        </w:tc>
        <w:tc>
          <w:tcPr>
            <w:tcW w:w="1388" w:type="dxa"/>
          </w:tcPr>
          <w:p w:rsidR="00436526" w:rsidRPr="00812509" w:rsidRDefault="00436526" w:rsidP="00E65105">
            <w:pPr>
              <w:pStyle w:val="TableTextColumnHeading"/>
            </w:pPr>
            <w:r w:rsidRPr="00812509">
              <w:t>Previous Rating</w:t>
            </w:r>
          </w:p>
        </w:tc>
        <w:tc>
          <w:tcPr>
            <w:tcW w:w="1377" w:type="dxa"/>
          </w:tcPr>
          <w:p w:rsidR="00436526" w:rsidRPr="00812509" w:rsidRDefault="00436526" w:rsidP="00E65105">
            <w:pPr>
              <w:pStyle w:val="TableTextColumnHeading"/>
            </w:pPr>
            <w:r w:rsidRPr="00812509">
              <w:t>Current Rating</w:t>
            </w:r>
          </w:p>
        </w:tc>
      </w:tr>
      <w:tr w:rsidR="00571B48" w:rsidRPr="00812509" w:rsidTr="008B5AC8">
        <w:trPr>
          <w:cnfStyle w:val="000000010000" w:firstRow="0" w:lastRow="0" w:firstColumn="0" w:lastColumn="0" w:oddVBand="0" w:evenVBand="0" w:oddHBand="0" w:evenHBand="1" w:firstRowFirstColumn="0" w:firstRowLastColumn="0" w:lastRowFirstColumn="0" w:lastRowLastColumn="0"/>
        </w:trPr>
        <w:tc>
          <w:tcPr>
            <w:tcW w:w="6622" w:type="dxa"/>
          </w:tcPr>
          <w:p w:rsidR="00571B48" w:rsidRPr="00812509" w:rsidRDefault="00571B48" w:rsidP="00571B48">
            <w:pPr>
              <w:pStyle w:val="TableTextEntries"/>
              <w:rPr>
                <w:rFonts w:asciiTheme="minorHAnsi" w:hAnsiTheme="minorHAnsi"/>
              </w:rPr>
            </w:pPr>
            <w:r w:rsidRPr="00BE6C6D">
              <w:rPr>
                <w:sz w:val="16"/>
                <w:lang w:eastAsia="en-US"/>
              </w:rPr>
              <w:t>Objective 1</w:t>
            </w:r>
            <w:r>
              <w:rPr>
                <w:sz w:val="16"/>
                <w:lang w:eastAsia="en-US"/>
              </w:rPr>
              <w:t>:  Building resilient infrastructure and environment for economic opportunity</w:t>
            </w:r>
          </w:p>
        </w:tc>
        <w:tc>
          <w:tcPr>
            <w:tcW w:w="1388" w:type="dxa"/>
            <w:shd w:val="clear" w:color="auto" w:fill="72AF2F"/>
            <w:noWrap/>
          </w:tcPr>
          <w:p w:rsidR="00571B48" w:rsidRPr="00812509" w:rsidRDefault="00571B48" w:rsidP="00571B48">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1377" w:type="dxa"/>
            <w:shd w:val="clear" w:color="auto" w:fill="72AF2F"/>
            <w:noWrap/>
          </w:tcPr>
          <w:p w:rsidR="00571B48" w:rsidRPr="00AB206B" w:rsidRDefault="00571B48" w:rsidP="00571B48">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r>
      <w:tr w:rsidR="00571B48" w:rsidRPr="00812509" w:rsidTr="008B5AC8">
        <w:trPr>
          <w:cnfStyle w:val="000000010000" w:firstRow="0" w:lastRow="0" w:firstColumn="0" w:lastColumn="0" w:oddVBand="0" w:evenVBand="0" w:oddHBand="0" w:evenHBand="1" w:firstRowFirstColumn="0" w:firstRowLastColumn="0" w:lastRowFirstColumn="0" w:lastRowLastColumn="0"/>
        </w:trPr>
        <w:tc>
          <w:tcPr>
            <w:tcW w:w="6622" w:type="dxa"/>
          </w:tcPr>
          <w:p w:rsidR="00571B48" w:rsidRPr="00812509" w:rsidRDefault="00571B48" w:rsidP="00571B48">
            <w:pPr>
              <w:pStyle w:val="TableTextEntries"/>
              <w:rPr>
                <w:rFonts w:asciiTheme="minorHAnsi" w:hAnsiTheme="minorHAnsi"/>
              </w:rPr>
            </w:pPr>
            <w:r w:rsidRPr="00BE6C6D">
              <w:rPr>
                <w:sz w:val="16"/>
                <w:lang w:eastAsia="en-US"/>
              </w:rPr>
              <w:t>Objective 2</w:t>
            </w:r>
            <w:r>
              <w:rPr>
                <w:sz w:val="16"/>
                <w:lang w:eastAsia="en-US"/>
              </w:rPr>
              <w:t>: Improving early education and essential health services</w:t>
            </w:r>
          </w:p>
        </w:tc>
        <w:tc>
          <w:tcPr>
            <w:tcW w:w="1388" w:type="dxa"/>
            <w:shd w:val="clear" w:color="auto" w:fill="72AF2F"/>
            <w:noWrap/>
          </w:tcPr>
          <w:p w:rsidR="00571B48" w:rsidRPr="00812509" w:rsidRDefault="00571B48" w:rsidP="00571B48">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1377" w:type="dxa"/>
            <w:shd w:val="clear" w:color="auto" w:fill="72AF2F"/>
            <w:noWrap/>
          </w:tcPr>
          <w:p w:rsidR="00571B48" w:rsidRPr="00AB206B" w:rsidRDefault="00571B48" w:rsidP="00571B48">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r>
      <w:tr w:rsidR="00571B48" w:rsidRPr="00812509" w:rsidTr="008B5AC8">
        <w:trPr>
          <w:cnfStyle w:val="000000010000" w:firstRow="0" w:lastRow="0" w:firstColumn="0" w:lastColumn="0" w:oddVBand="0" w:evenVBand="0" w:oddHBand="0" w:evenHBand="1" w:firstRowFirstColumn="0" w:firstRowLastColumn="0" w:lastRowFirstColumn="0" w:lastRowLastColumn="0"/>
        </w:trPr>
        <w:tc>
          <w:tcPr>
            <w:tcW w:w="6622" w:type="dxa"/>
          </w:tcPr>
          <w:p w:rsidR="00571B48" w:rsidRPr="00812509" w:rsidRDefault="00571B48" w:rsidP="00571B48">
            <w:pPr>
              <w:pStyle w:val="TableTextEntries"/>
              <w:rPr>
                <w:rFonts w:asciiTheme="minorHAnsi" w:hAnsiTheme="minorHAnsi"/>
              </w:rPr>
            </w:pPr>
            <w:r w:rsidRPr="00BE6C6D">
              <w:rPr>
                <w:sz w:val="16"/>
                <w:lang w:eastAsia="en-US"/>
              </w:rPr>
              <w:t>Objective 3</w:t>
            </w:r>
            <w:r>
              <w:rPr>
                <w:sz w:val="16"/>
                <w:lang w:eastAsia="en-US"/>
              </w:rPr>
              <w:t>: Improving community safety and resilience</w:t>
            </w:r>
          </w:p>
        </w:tc>
        <w:tc>
          <w:tcPr>
            <w:tcW w:w="1388" w:type="dxa"/>
            <w:shd w:val="clear" w:color="auto" w:fill="72AF2F"/>
            <w:noWrap/>
          </w:tcPr>
          <w:p w:rsidR="00571B48" w:rsidRPr="00812509" w:rsidRDefault="00571B48" w:rsidP="00571B48">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1377" w:type="dxa"/>
            <w:shd w:val="clear" w:color="auto" w:fill="72AF2F"/>
            <w:noWrap/>
          </w:tcPr>
          <w:p w:rsidR="00571B48" w:rsidRPr="00AB206B" w:rsidRDefault="00571B48" w:rsidP="00571B48">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r>
      <w:tr w:rsidR="00571B48" w:rsidRPr="00812509" w:rsidTr="008B5AC8">
        <w:trPr>
          <w:cnfStyle w:val="000000010000" w:firstRow="0" w:lastRow="0" w:firstColumn="0" w:lastColumn="0" w:oddVBand="0" w:evenVBand="0" w:oddHBand="0" w:evenHBand="1" w:firstRowFirstColumn="0" w:firstRowLastColumn="0" w:lastRowFirstColumn="0" w:lastRowLastColumn="0"/>
        </w:trPr>
        <w:tc>
          <w:tcPr>
            <w:tcW w:w="6622" w:type="dxa"/>
          </w:tcPr>
          <w:p w:rsidR="00571B48" w:rsidRPr="00812509" w:rsidRDefault="00571B48" w:rsidP="00571B48">
            <w:pPr>
              <w:pStyle w:val="TableTextEntries"/>
              <w:rPr>
                <w:rFonts w:asciiTheme="minorHAnsi" w:hAnsiTheme="minorHAnsi"/>
              </w:rPr>
            </w:pPr>
            <w:r>
              <w:rPr>
                <w:sz w:val="16"/>
              </w:rPr>
              <w:t>Objective 4: Supporting cyclone recovery and reconstruction</w:t>
            </w:r>
          </w:p>
        </w:tc>
        <w:tc>
          <w:tcPr>
            <w:tcW w:w="1388" w:type="dxa"/>
            <w:shd w:val="clear" w:color="auto" w:fill="72AF2F"/>
            <w:noWrap/>
          </w:tcPr>
          <w:p w:rsidR="00571B48" w:rsidRPr="00812509" w:rsidRDefault="00571B48" w:rsidP="00571B48">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1377" w:type="dxa"/>
            <w:shd w:val="clear" w:color="auto" w:fill="72AF2F"/>
            <w:noWrap/>
          </w:tcPr>
          <w:p w:rsidR="00571B48" w:rsidRPr="00AB206B" w:rsidRDefault="00571B48" w:rsidP="00571B48">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r>
    </w:tbl>
    <w:p w:rsidR="005B5769" w:rsidRPr="00581C58" w:rsidRDefault="005B5769" w:rsidP="002A4A0E">
      <w:pPr>
        <w:pStyle w:val="Note"/>
        <w:rPr>
          <w:rFonts w:asciiTheme="minorHAnsi" w:hAnsiTheme="minorHAnsi"/>
        </w:rPr>
      </w:pPr>
      <w:r w:rsidRPr="00581C58">
        <w:rPr>
          <w:rFonts w:asciiTheme="minorHAnsi" w:hAnsiTheme="minorHAnsi"/>
        </w:rPr>
        <w:t xml:space="preserve">Note: </w:t>
      </w:r>
    </w:p>
    <w:p w:rsidR="005B5769" w:rsidRPr="00581C58" w:rsidRDefault="005B5769">
      <w:pPr>
        <w:pStyle w:val="Note"/>
        <w:rPr>
          <w:rFonts w:asciiTheme="minorHAnsi" w:hAnsiTheme="minorHAnsi"/>
        </w:rPr>
      </w:pPr>
      <w:r w:rsidRPr="00581C58">
        <w:rPr>
          <w:rFonts w:asciiTheme="minorHAnsi" w:hAnsiTheme="minorHAnsi"/>
          <w:color w:val="72AF2F"/>
        </w:rPr>
        <w:sym w:font="Webdings" w:char="F067"/>
      </w:r>
      <w:r w:rsidRPr="00581C58">
        <w:rPr>
          <w:rFonts w:asciiTheme="minorHAnsi" w:hAnsiTheme="minorHAnsi"/>
        </w:rPr>
        <w:t> </w:t>
      </w:r>
      <w:r w:rsidRPr="00581C58">
        <w:rPr>
          <w:rFonts w:asciiTheme="minorHAnsi" w:hAnsiTheme="minorHAnsi"/>
        </w:rPr>
        <w:t xml:space="preserve"> Green. Progress is as expected at this stage of implementation and it is likely that the objective will be achieved. </w:t>
      </w:r>
      <w:r w:rsidR="00581C58">
        <w:rPr>
          <w:rFonts w:asciiTheme="minorHAnsi" w:hAnsiTheme="minorHAnsi"/>
        </w:rPr>
        <w:t>Program m</w:t>
      </w:r>
      <w:r w:rsidRPr="00581C58">
        <w:rPr>
          <w:rFonts w:asciiTheme="minorHAnsi" w:hAnsiTheme="minorHAnsi"/>
        </w:rPr>
        <w:t>anagement practices are sufficient.</w:t>
      </w:r>
    </w:p>
    <w:p w:rsidR="005B5769" w:rsidRPr="00581C58" w:rsidRDefault="005B5769">
      <w:pPr>
        <w:pStyle w:val="Note"/>
        <w:rPr>
          <w:rFonts w:asciiTheme="minorHAnsi" w:hAnsiTheme="minorHAnsi"/>
        </w:rPr>
      </w:pPr>
      <w:r w:rsidRPr="00581C58">
        <w:rPr>
          <w:rFonts w:asciiTheme="minorHAnsi" w:hAnsiTheme="minorHAnsi"/>
          <w:color w:val="E36C0A"/>
        </w:rPr>
        <w:sym w:font="Webdings" w:char="F067"/>
      </w:r>
      <w:r w:rsidRPr="00581C58">
        <w:rPr>
          <w:rFonts w:asciiTheme="minorHAnsi" w:hAnsiTheme="minorHAnsi"/>
        </w:rPr>
        <w:t> </w:t>
      </w:r>
      <w:r w:rsidRPr="00581C58">
        <w:rPr>
          <w:rFonts w:asciiTheme="minorHAnsi" w:hAnsiTheme="minorHAnsi"/>
        </w:rPr>
        <w:t xml:space="preserve"> Amber. Progress is somewhat less than expected at this stage of implementation and restorative action will be necessary if the objective is to be achieved. Close performance monitoring is recommended.</w:t>
      </w:r>
    </w:p>
    <w:p w:rsidR="005B5769" w:rsidRPr="00581C58" w:rsidRDefault="005B5769">
      <w:pPr>
        <w:pStyle w:val="Note"/>
        <w:rPr>
          <w:rFonts w:asciiTheme="minorHAnsi" w:hAnsiTheme="minorHAnsi"/>
        </w:rPr>
      </w:pPr>
      <w:r w:rsidRPr="00581C58">
        <w:rPr>
          <w:rFonts w:asciiTheme="minorHAnsi" w:hAnsiTheme="minorHAnsi"/>
          <w:color w:val="FF0000"/>
        </w:rPr>
        <w:sym w:font="Webdings" w:char="F067"/>
      </w:r>
      <w:r w:rsidRPr="00581C58">
        <w:rPr>
          <w:rFonts w:asciiTheme="minorHAnsi" w:hAnsiTheme="minorHAnsi"/>
        </w:rPr>
        <w:t> </w:t>
      </w:r>
      <w:r w:rsidRPr="00581C58">
        <w:rPr>
          <w:rFonts w:asciiTheme="minorHAnsi" w:hAnsiTheme="minorHAnsi"/>
        </w:rPr>
        <w:t xml:space="preserve"> Red. Progress is significantly less than expected at this stage of implementation and the objective is not likely to be met given available resources and priorities. Recasting the objective may be required.</w:t>
      </w:r>
    </w:p>
    <w:p w:rsidR="00581C58" w:rsidRDefault="00581C58">
      <w:pPr>
        <w:suppressAutoHyphens w:val="0"/>
        <w:spacing w:before="0" w:after="120" w:line="440" w:lineRule="atLeast"/>
      </w:pPr>
      <w:r>
        <w:br w:type="page"/>
      </w:r>
    </w:p>
    <w:p w:rsidR="00695730" w:rsidRPr="00877607" w:rsidRDefault="00695730" w:rsidP="00877607">
      <w:pPr>
        <w:spacing w:before="240"/>
        <w:rPr>
          <w:rFonts w:asciiTheme="majorHAnsi" w:eastAsiaTheme="majorEastAsia" w:hAnsiTheme="majorHAnsi" w:cstheme="majorBidi"/>
          <w:caps/>
          <w:sz w:val="32"/>
          <w:szCs w:val="32"/>
        </w:rPr>
      </w:pPr>
      <w:r w:rsidRPr="00877607">
        <w:rPr>
          <w:rFonts w:asciiTheme="majorHAnsi" w:eastAsiaTheme="majorEastAsia" w:hAnsiTheme="majorHAnsi" w:cstheme="majorBidi"/>
          <w:caps/>
          <w:sz w:val="32"/>
          <w:szCs w:val="32"/>
        </w:rPr>
        <w:lastRenderedPageBreak/>
        <w:t>Objective 1</w:t>
      </w:r>
      <w:r w:rsidR="00436526">
        <w:rPr>
          <w:rFonts w:asciiTheme="majorHAnsi" w:eastAsiaTheme="majorEastAsia" w:hAnsiTheme="majorHAnsi" w:cstheme="majorBidi"/>
          <w:caps/>
          <w:sz w:val="32"/>
          <w:szCs w:val="32"/>
        </w:rPr>
        <w:t xml:space="preserve"> </w:t>
      </w:r>
      <w:r w:rsidR="00934CB5" w:rsidRPr="00934CB5">
        <w:rPr>
          <w:rFonts w:asciiTheme="majorHAnsi" w:eastAsiaTheme="majorEastAsia" w:hAnsiTheme="majorHAnsi" w:cstheme="majorBidi"/>
          <w:caps/>
          <w:sz w:val="32"/>
          <w:szCs w:val="32"/>
        </w:rPr>
        <w:t>Building resilient infrastructure and environment for economic opportunity</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288"/>
        <w:gridCol w:w="1290"/>
        <w:gridCol w:w="1289"/>
        <w:gridCol w:w="1287"/>
        <w:gridCol w:w="1179"/>
        <w:gridCol w:w="1289"/>
      </w:tblGrid>
      <w:tr w:rsidR="008D0E25" w:rsidRPr="000B0961" w:rsidTr="00474A83">
        <w:tc>
          <w:tcPr>
            <w:tcW w:w="2016" w:type="dxa"/>
            <w:vAlign w:val="center"/>
          </w:tcPr>
          <w:p w:rsidR="008D0E25" w:rsidRPr="000B0961" w:rsidRDefault="008D0E25" w:rsidP="00474A83">
            <w:pPr>
              <w:spacing w:before="20" w:after="20" w:line="180" w:lineRule="atLeast"/>
              <w:jc w:val="center"/>
              <w:rPr>
                <w:rFonts w:ascii="Calibri" w:eastAsia="Times New Roman" w:hAnsi="Calibri" w:cs="Times New Roman"/>
                <w:caps/>
                <w:color w:val="495965"/>
                <w:sz w:val="38"/>
                <w:szCs w:val="26"/>
              </w:rPr>
            </w:pPr>
            <w:r w:rsidRPr="000B0961">
              <w:rPr>
                <w:rFonts w:ascii="Calibri" w:eastAsia="Times New Roman" w:hAnsi="Calibri" w:cs="Times New Roman"/>
                <w:caps/>
                <w:noProof/>
                <w:color w:val="495965"/>
                <w:sz w:val="38"/>
                <w:szCs w:val="26"/>
                <w:lang w:val="en-AU" w:eastAsia="en-AU"/>
              </w:rPr>
              <w:drawing>
                <wp:inline distT="0" distB="0" distL="0" distR="0" wp14:anchorId="5ADDC137" wp14:editId="084A4BD4">
                  <wp:extent cx="1137600" cy="720000"/>
                  <wp:effectExtent l="0" t="0" r="5715" b="444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288" w:type="dxa"/>
            <w:vAlign w:val="center"/>
          </w:tcPr>
          <w:p w:rsidR="008D0E25" w:rsidRPr="000B0961" w:rsidRDefault="008D0E25" w:rsidP="00474A83">
            <w:pPr>
              <w:spacing w:before="20" w:after="20" w:line="180" w:lineRule="atLeast"/>
              <w:jc w:val="center"/>
              <w:rPr>
                <w:rFonts w:ascii="Calibri" w:eastAsia="Times New Roman" w:hAnsi="Calibri" w:cs="Times New Roman"/>
                <w:caps/>
                <w:color w:val="495965"/>
                <w:sz w:val="38"/>
                <w:szCs w:val="26"/>
              </w:rPr>
            </w:pPr>
            <w:r>
              <w:rPr>
                <w:noProof/>
                <w:lang w:val="en-AU" w:eastAsia="en-AU"/>
              </w:rPr>
              <w:drawing>
                <wp:inline distT="0" distB="0" distL="0" distR="0" wp14:anchorId="254BA643" wp14:editId="62360C30">
                  <wp:extent cx="612000" cy="6120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290" w:type="dxa"/>
            <w:vAlign w:val="center"/>
          </w:tcPr>
          <w:p w:rsidR="008D0E25" w:rsidRPr="000B0961" w:rsidRDefault="008D0E25" w:rsidP="00474A83">
            <w:pPr>
              <w:spacing w:before="20" w:after="20" w:line="180" w:lineRule="atLeast"/>
              <w:jc w:val="center"/>
              <w:rPr>
                <w:rFonts w:ascii="Calibri" w:eastAsia="Times New Roman" w:hAnsi="Calibri" w:cs="Times New Roman"/>
                <w:caps/>
                <w:color w:val="495965"/>
                <w:sz w:val="38"/>
                <w:szCs w:val="26"/>
              </w:rPr>
            </w:pPr>
            <w:r>
              <w:rPr>
                <w:noProof/>
                <w:lang w:val="en-AU" w:eastAsia="en-AU"/>
              </w:rPr>
              <w:drawing>
                <wp:inline distT="0" distB="0" distL="0" distR="0" wp14:anchorId="4E7E81F3" wp14:editId="664C326C">
                  <wp:extent cx="612000" cy="6120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289" w:type="dxa"/>
            <w:vAlign w:val="center"/>
          </w:tcPr>
          <w:p w:rsidR="008D0E25" w:rsidRPr="000B0961" w:rsidRDefault="008D0E25" w:rsidP="00474A83">
            <w:pPr>
              <w:spacing w:before="20" w:after="20" w:line="180" w:lineRule="atLeast"/>
              <w:jc w:val="center"/>
              <w:rPr>
                <w:rFonts w:ascii="Calibri" w:eastAsia="Times New Roman" w:hAnsi="Calibri" w:cs="Times New Roman"/>
                <w:caps/>
                <w:color w:val="495965"/>
                <w:sz w:val="38"/>
                <w:szCs w:val="26"/>
              </w:rPr>
            </w:pPr>
            <w:r>
              <w:rPr>
                <w:noProof/>
                <w:lang w:val="en-AU" w:eastAsia="en-AU"/>
              </w:rPr>
              <w:drawing>
                <wp:inline distT="0" distB="0" distL="0" distR="0" wp14:anchorId="14374FB3" wp14:editId="28F9402C">
                  <wp:extent cx="609600" cy="609600"/>
                  <wp:effectExtent l="0" t="0" r="0" b="0"/>
                  <wp:docPr id="57" name="Picture 57"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287" w:type="dxa"/>
            <w:vAlign w:val="center"/>
          </w:tcPr>
          <w:p w:rsidR="008D0E25" w:rsidRPr="000B0961" w:rsidRDefault="008D0E25" w:rsidP="00474A83">
            <w:pPr>
              <w:spacing w:before="20" w:after="20" w:line="180" w:lineRule="atLeast"/>
              <w:jc w:val="center"/>
              <w:rPr>
                <w:rFonts w:ascii="Calibri" w:eastAsia="Times New Roman" w:hAnsi="Calibri" w:cs="Times New Roman"/>
                <w:caps/>
                <w:color w:val="495965"/>
                <w:sz w:val="38"/>
                <w:szCs w:val="26"/>
              </w:rPr>
            </w:pPr>
            <w:r w:rsidRPr="000B0961">
              <w:rPr>
                <w:rFonts w:ascii="Calibri" w:eastAsia="Times New Roman" w:hAnsi="Calibri" w:cs="Times New Roman"/>
                <w:noProof/>
                <w:color w:val="495965"/>
                <w:sz w:val="38"/>
                <w:szCs w:val="26"/>
                <w:lang w:val="en-AU" w:eastAsia="en-AU"/>
              </w:rPr>
              <w:drawing>
                <wp:inline distT="0" distB="0" distL="0" distR="0" wp14:anchorId="7D1FB006" wp14:editId="43B0C06E">
                  <wp:extent cx="609631" cy="609631"/>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DG9a.png"/>
                          <pic:cNvPicPr/>
                        </pic:nvPicPr>
                        <pic:blipFill>
                          <a:blip r:embed="rId21">
                            <a:extLst>
                              <a:ext uri="{28A0092B-C50C-407E-A947-70E740481C1C}">
                                <a14:useLocalDpi xmlns:a14="http://schemas.microsoft.com/office/drawing/2010/main" val="0"/>
                              </a:ext>
                            </a:extLst>
                          </a:blip>
                          <a:stretch>
                            <a:fillRect/>
                          </a:stretch>
                        </pic:blipFill>
                        <pic:spPr>
                          <a:xfrm>
                            <a:off x="0" y="0"/>
                            <a:ext cx="609631" cy="609631"/>
                          </a:xfrm>
                          <a:prstGeom prst="rect">
                            <a:avLst/>
                          </a:prstGeom>
                        </pic:spPr>
                      </pic:pic>
                    </a:graphicData>
                  </a:graphic>
                </wp:inline>
              </w:drawing>
            </w:r>
          </w:p>
        </w:tc>
        <w:tc>
          <w:tcPr>
            <w:tcW w:w="1179" w:type="dxa"/>
          </w:tcPr>
          <w:p w:rsidR="008D0E25" w:rsidRPr="000B0961" w:rsidRDefault="008D0E25" w:rsidP="00474A83">
            <w:pPr>
              <w:rPr>
                <w:rFonts w:ascii="Calibri" w:eastAsia="Times New Roman" w:hAnsi="Calibri" w:cs="Times New Roman"/>
                <w:color w:val="495965"/>
                <w:sz w:val="38"/>
                <w:szCs w:val="26"/>
                <w:lang w:eastAsia="en-AU"/>
              </w:rPr>
            </w:pPr>
            <w:r>
              <w:rPr>
                <w:noProof/>
                <w:lang w:val="en-AU" w:eastAsia="en-AU"/>
              </w:rPr>
              <w:drawing>
                <wp:inline distT="0" distB="0" distL="0" distR="0" wp14:anchorId="6ED30550" wp14:editId="307FC799">
                  <wp:extent cx="612000" cy="6120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289" w:type="dxa"/>
            <w:vAlign w:val="center"/>
          </w:tcPr>
          <w:p w:rsidR="008D0E25" w:rsidRPr="000B0961" w:rsidRDefault="008D0E25" w:rsidP="00474A83">
            <w:pPr>
              <w:spacing w:before="20" w:after="20" w:line="180" w:lineRule="atLeast"/>
              <w:jc w:val="center"/>
              <w:rPr>
                <w:rFonts w:ascii="Calibri" w:eastAsia="Times New Roman" w:hAnsi="Calibri" w:cs="Times New Roman"/>
                <w:caps/>
                <w:color w:val="495965"/>
                <w:sz w:val="38"/>
                <w:szCs w:val="26"/>
              </w:rPr>
            </w:pPr>
            <w:r>
              <w:rPr>
                <w:noProof/>
                <w:lang w:val="en-AU" w:eastAsia="en-AU"/>
              </w:rPr>
              <w:drawing>
                <wp:inline distT="0" distB="0" distL="0" distR="0" wp14:anchorId="31190409" wp14:editId="27BCA3BD">
                  <wp:extent cx="608400" cy="612000"/>
                  <wp:effectExtent l="0" t="0" r="127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r>
    </w:tbl>
    <w:p w:rsidR="002D50F7" w:rsidRPr="00C36D29" w:rsidRDefault="00693DBC" w:rsidP="002D50F7">
      <w:pPr>
        <w:rPr>
          <w:color w:val="000000" w:themeColor="text1"/>
        </w:rPr>
      </w:pPr>
      <w:r w:rsidRPr="00153D40">
        <w:rPr>
          <w:rFonts w:ascii="Calibri Light" w:hAnsi="Calibri Light"/>
          <w:color w:val="000000"/>
        </w:rPr>
        <w:t>Australia’s support for economic growth focused on governance, infrast</w:t>
      </w:r>
      <w:r w:rsidR="007C1684" w:rsidRPr="00153D40">
        <w:rPr>
          <w:rFonts w:ascii="Calibri Light" w:hAnsi="Calibri Light"/>
          <w:color w:val="000000"/>
        </w:rPr>
        <w:t>ructure, skills and employment.</w:t>
      </w:r>
      <w:r w:rsidR="00B80E2B" w:rsidRPr="00153D40">
        <w:rPr>
          <w:rFonts w:ascii="Calibri Light" w:eastAsia="Calibri" w:hAnsi="Calibri Light" w:cs="Calibri Light"/>
          <w:color w:val="000000"/>
        </w:rPr>
        <w:t xml:space="preserve"> </w:t>
      </w:r>
      <w:r w:rsidR="002D50F7" w:rsidRPr="00C36D29">
        <w:rPr>
          <w:color w:val="000000" w:themeColor="text1"/>
        </w:rPr>
        <w:t xml:space="preserve">Objective 1 is </w:t>
      </w:r>
      <w:r w:rsidR="00816EB7">
        <w:rPr>
          <w:color w:val="000000" w:themeColor="text1"/>
        </w:rPr>
        <w:t xml:space="preserve">rated </w:t>
      </w:r>
      <w:r w:rsidR="002D50F7" w:rsidRPr="00C36D29">
        <w:rPr>
          <w:color w:val="000000" w:themeColor="text1"/>
        </w:rPr>
        <w:t xml:space="preserve">green as </w:t>
      </w:r>
      <w:r w:rsidR="00B71FC4">
        <w:rPr>
          <w:color w:val="000000" w:themeColor="text1"/>
        </w:rPr>
        <w:t>all except one</w:t>
      </w:r>
      <w:r w:rsidR="002D50F7">
        <w:rPr>
          <w:color w:val="000000" w:themeColor="text1"/>
        </w:rPr>
        <w:t xml:space="preserve"> investment</w:t>
      </w:r>
      <w:r w:rsidR="00B71FC4">
        <w:rPr>
          <w:color w:val="000000" w:themeColor="text1"/>
        </w:rPr>
        <w:t xml:space="preserve"> was</w:t>
      </w:r>
      <w:r w:rsidR="002D50F7">
        <w:rPr>
          <w:color w:val="000000" w:themeColor="text1"/>
        </w:rPr>
        <w:t xml:space="preserve"> </w:t>
      </w:r>
      <w:r w:rsidR="00816EB7">
        <w:rPr>
          <w:color w:val="000000" w:themeColor="text1"/>
        </w:rPr>
        <w:t>assessed</w:t>
      </w:r>
      <w:r w:rsidR="002D50F7">
        <w:rPr>
          <w:color w:val="000000" w:themeColor="text1"/>
        </w:rPr>
        <w:t xml:space="preserve"> as adequate or higher for efficiency and effectiveness in annual performance reporting. </w:t>
      </w:r>
      <w:r w:rsidR="00816EB7">
        <w:rPr>
          <w:color w:val="000000" w:themeColor="text1"/>
        </w:rPr>
        <w:t>The</w:t>
      </w:r>
      <w:r w:rsidR="002D50F7">
        <w:rPr>
          <w:color w:val="000000" w:themeColor="text1"/>
        </w:rPr>
        <w:t xml:space="preserve"> one investment (</w:t>
      </w:r>
      <w:r w:rsidR="00121846">
        <w:rPr>
          <w:color w:val="000000"/>
        </w:rPr>
        <w:t>Port Vila Urban Development Project</w:t>
      </w:r>
      <w:r w:rsidR="002D50F7">
        <w:rPr>
          <w:color w:val="000000" w:themeColor="text1"/>
        </w:rPr>
        <w:t xml:space="preserve">) </w:t>
      </w:r>
      <w:r w:rsidR="00942CC5">
        <w:rPr>
          <w:color w:val="000000" w:themeColor="text1"/>
        </w:rPr>
        <w:t>r</w:t>
      </w:r>
      <w:r w:rsidR="002D50F7">
        <w:rPr>
          <w:color w:val="000000" w:themeColor="text1"/>
        </w:rPr>
        <w:t>ated below adequate represent</w:t>
      </w:r>
      <w:r w:rsidR="00121846">
        <w:rPr>
          <w:color w:val="000000" w:themeColor="text1"/>
        </w:rPr>
        <w:t>ed</w:t>
      </w:r>
      <w:r w:rsidR="002D50F7">
        <w:rPr>
          <w:color w:val="000000" w:themeColor="text1"/>
        </w:rPr>
        <w:t xml:space="preserve"> </w:t>
      </w:r>
      <w:r w:rsidR="00511C77" w:rsidRPr="00942CC5">
        <w:rPr>
          <w:color w:val="000000" w:themeColor="text1"/>
        </w:rPr>
        <w:t>9</w:t>
      </w:r>
      <w:r w:rsidR="00121846">
        <w:rPr>
          <w:color w:val="000000" w:themeColor="text1"/>
        </w:rPr>
        <w:t xml:space="preserve"> per cent</w:t>
      </w:r>
      <w:r w:rsidR="002D50F7">
        <w:rPr>
          <w:color w:val="000000" w:themeColor="text1"/>
        </w:rPr>
        <w:t xml:space="preserve"> of funds and therefore a minor component for this objective.</w:t>
      </w:r>
      <w:r w:rsidR="007C284E">
        <w:rPr>
          <w:color w:val="000000" w:themeColor="text1"/>
        </w:rPr>
        <w:t xml:space="preserve"> Performance assessment targets were met or exceeded. </w:t>
      </w:r>
    </w:p>
    <w:p w:rsidR="00693DBC" w:rsidRPr="00C82F53" w:rsidRDefault="00693DBC" w:rsidP="00C82F53">
      <w:pPr>
        <w:suppressAutoHyphens w:val="0"/>
        <w:spacing w:before="0" w:after="120" w:line="440" w:lineRule="atLeast"/>
        <w:rPr>
          <w:rFonts w:ascii="Calibri Light" w:eastAsia="Calibri" w:hAnsi="Calibri Light" w:cs="Times New Roman"/>
          <w:b/>
          <w:color w:val="000000"/>
          <w:sz w:val="24"/>
          <w:szCs w:val="24"/>
        </w:rPr>
      </w:pPr>
      <w:r w:rsidRPr="00C82F53">
        <w:rPr>
          <w:rFonts w:ascii="Calibri Light" w:eastAsia="Calibri" w:hAnsi="Calibri Light" w:cs="Times New Roman"/>
          <w:b/>
          <w:color w:val="000000"/>
          <w:sz w:val="24"/>
          <w:szCs w:val="24"/>
        </w:rPr>
        <w:t>GOVERNANCE</w:t>
      </w:r>
    </w:p>
    <w:p w:rsidR="009A7C5D" w:rsidRDefault="009A7C5D" w:rsidP="009A7C5D">
      <w:pPr>
        <w:spacing w:before="77"/>
        <w:rPr>
          <w:rFonts w:ascii="Calibri Light" w:hAnsi="Calibri Light" w:cs="Calibri Light"/>
          <w:color w:val="000000"/>
          <w:lang w:val="en-AU"/>
        </w:rPr>
      </w:pPr>
      <w:r>
        <w:rPr>
          <w:rFonts w:ascii="Calibri Light" w:hAnsi="Calibri Light" w:cs="Calibri Light"/>
          <w:b/>
          <w:bCs/>
          <w:color w:val="000000"/>
        </w:rPr>
        <w:t>Australia supported the Government of Vanuatu and private sector to implement reforms that enhance inclusive economic growth.</w:t>
      </w:r>
      <w:r>
        <w:rPr>
          <w:rFonts w:ascii="Calibri Light" w:hAnsi="Calibri Light" w:cs="Calibri Light"/>
          <w:color w:val="000000"/>
        </w:rPr>
        <w:t xml:space="preserve"> </w:t>
      </w:r>
      <w:r w:rsidR="00C1776C">
        <w:rPr>
          <w:rFonts w:ascii="Calibri Light" w:hAnsi="Calibri Light" w:cs="Calibri Light"/>
          <w:color w:val="000000"/>
        </w:rPr>
        <w:t>Australia has a long-term commitment to its partnership with the Vanuatu government to improve economic governance, reflecting the time frame and persistence required for such efforts to succeed. W</w:t>
      </w:r>
      <w:r>
        <w:rPr>
          <w:rFonts w:ascii="Calibri Light" w:hAnsi="Calibri Light" w:cs="Calibri Light"/>
          <w:color w:val="000000"/>
        </w:rPr>
        <w:t xml:space="preserve">ork to modernise the Department of Customs and Inland Revenue saw major gains </w:t>
      </w:r>
      <w:r w:rsidR="005E2AAD">
        <w:rPr>
          <w:rFonts w:ascii="Calibri Light" w:hAnsi="Calibri Light" w:cs="Calibri Light"/>
          <w:color w:val="000000"/>
        </w:rPr>
        <w:t xml:space="preserve">in 2018-19 </w:t>
      </w:r>
      <w:r>
        <w:rPr>
          <w:rFonts w:ascii="Calibri Light" w:hAnsi="Calibri Light" w:cs="Calibri Light"/>
          <w:color w:val="000000"/>
        </w:rPr>
        <w:t xml:space="preserve">with the passage of a new tax administration act and an increase in </w:t>
      </w:r>
      <w:r w:rsidR="001F5FFD">
        <w:rPr>
          <w:rFonts w:ascii="Calibri Light" w:hAnsi="Calibri Light" w:cs="Calibri Light"/>
          <w:color w:val="000000"/>
        </w:rPr>
        <w:t>VAT</w:t>
      </w:r>
      <w:r w:rsidR="00121846">
        <w:rPr>
          <w:rFonts w:ascii="Calibri Light" w:hAnsi="Calibri Light" w:cs="Calibri Light"/>
          <w:color w:val="000000"/>
        </w:rPr>
        <w:t xml:space="preserve"> </w:t>
      </w:r>
      <w:r>
        <w:rPr>
          <w:rFonts w:ascii="Calibri Light" w:hAnsi="Calibri Light" w:cs="Calibri Light"/>
          <w:color w:val="000000"/>
        </w:rPr>
        <w:t>of around 20 per cent</w:t>
      </w:r>
      <w:r w:rsidR="007729A6">
        <w:rPr>
          <w:rFonts w:ascii="Calibri Light" w:hAnsi="Calibri Light" w:cs="Calibri Light"/>
          <w:color w:val="000000"/>
        </w:rPr>
        <w:t xml:space="preserve"> </w:t>
      </w:r>
      <w:r w:rsidR="007729A6" w:rsidRPr="00B031B5">
        <w:rPr>
          <w:rFonts w:ascii="Calibri Light" w:eastAsia="Calibri" w:hAnsi="Calibri Light" w:cs="Times New Roman"/>
          <w:color w:val="000000"/>
          <w:kern w:val="20"/>
          <w:lang w:eastAsia="ja-JP"/>
        </w:rPr>
        <w:t>[</w:t>
      </w:r>
      <w:r w:rsidR="007729A6" w:rsidRPr="007C284E">
        <w:rPr>
          <w:rFonts w:ascii="Calibri Light" w:eastAsia="Calibri" w:hAnsi="Calibri Light" w:cs="Times New Roman"/>
          <w:color w:val="000000"/>
          <w:kern w:val="20"/>
          <w:lang w:eastAsia="ja-JP"/>
        </w:rPr>
        <w:t>PAF target 1.1].</w:t>
      </w:r>
      <w:r>
        <w:rPr>
          <w:rFonts w:ascii="Calibri Light" w:hAnsi="Calibri Light" w:cs="Calibri Light"/>
          <w:color w:val="000000"/>
        </w:rPr>
        <w:t xml:space="preserve"> Australia assisted the central bank and private sector banking and telecommunications companies to develop, regulate and </w:t>
      </w:r>
      <w:r w:rsidR="000E17D7">
        <w:rPr>
          <w:rFonts w:ascii="Calibri Light" w:hAnsi="Calibri Light" w:cs="Calibri Light"/>
          <w:color w:val="000000"/>
        </w:rPr>
        <w:t>rollout</w:t>
      </w:r>
      <w:r>
        <w:rPr>
          <w:rFonts w:ascii="Calibri Light" w:hAnsi="Calibri Light" w:cs="Calibri Light"/>
          <w:color w:val="000000"/>
        </w:rPr>
        <w:t xml:space="preserve"> inclusive e-banking platforms and e-wallet applications. Whilst progress </w:t>
      </w:r>
      <w:r w:rsidR="005E2AAD">
        <w:rPr>
          <w:rFonts w:ascii="Calibri Light" w:hAnsi="Calibri Light" w:cs="Calibri Light"/>
          <w:color w:val="000000"/>
        </w:rPr>
        <w:t>was</w:t>
      </w:r>
      <w:r>
        <w:rPr>
          <w:rFonts w:ascii="Calibri Light" w:hAnsi="Calibri Light" w:cs="Calibri Light"/>
          <w:color w:val="000000"/>
        </w:rPr>
        <w:t xml:space="preserve"> slower than anticipated, Vanuatu is on track to deliver interoperable banking service</w:t>
      </w:r>
      <w:r w:rsidR="00571B48">
        <w:rPr>
          <w:rFonts w:ascii="Calibri Light" w:hAnsi="Calibri Light" w:cs="Calibri Light"/>
          <w:color w:val="000000"/>
        </w:rPr>
        <w:t>s</w:t>
      </w:r>
      <w:r>
        <w:rPr>
          <w:rFonts w:ascii="Calibri Light" w:hAnsi="Calibri Light" w:cs="Calibri Light"/>
          <w:color w:val="000000"/>
        </w:rPr>
        <w:t xml:space="preserve"> by the end of 2019. We continue to support policy development, such as the Trade Policy Framework update, and engage with </w:t>
      </w:r>
      <w:r w:rsidR="00571B48">
        <w:rPr>
          <w:rFonts w:ascii="Calibri Light" w:hAnsi="Calibri Light" w:cs="Calibri Light"/>
          <w:color w:val="000000"/>
        </w:rPr>
        <w:t xml:space="preserve">the </w:t>
      </w:r>
      <w:r>
        <w:rPr>
          <w:rFonts w:ascii="Calibri Light" w:hAnsi="Calibri Light" w:cs="Calibri Light"/>
          <w:color w:val="000000"/>
        </w:rPr>
        <w:t>National Trade Development Committee.</w:t>
      </w:r>
      <w:r w:rsidR="007729A6">
        <w:rPr>
          <w:rFonts w:ascii="Calibri Light" w:hAnsi="Calibri Light" w:cs="Calibri Light"/>
          <w:color w:val="000000"/>
        </w:rPr>
        <w:t xml:space="preserve"> Vanuatu </w:t>
      </w:r>
      <w:r w:rsidR="002D5934">
        <w:rPr>
          <w:rFonts w:ascii="Calibri Light" w:hAnsi="Calibri Light" w:cs="Calibri Light"/>
          <w:color w:val="000000"/>
        </w:rPr>
        <w:t>maintain</w:t>
      </w:r>
      <w:r w:rsidR="00EF32D0">
        <w:rPr>
          <w:rFonts w:ascii="Calibri Light" w:hAnsi="Calibri Light" w:cs="Calibri Light"/>
          <w:color w:val="000000"/>
        </w:rPr>
        <w:t>ed</w:t>
      </w:r>
      <w:r w:rsidR="002D5934">
        <w:rPr>
          <w:rFonts w:ascii="Calibri Light" w:hAnsi="Calibri Light" w:cs="Calibri Light"/>
          <w:color w:val="000000"/>
        </w:rPr>
        <w:t xml:space="preserve"> ‘white list’ status by the </w:t>
      </w:r>
      <w:r w:rsidR="007729A6">
        <w:rPr>
          <w:rFonts w:ascii="Calibri Light" w:hAnsi="Calibri Light" w:cs="Calibri Light"/>
          <w:color w:val="000000"/>
        </w:rPr>
        <w:t>Financial Action Task Force</w:t>
      </w:r>
      <w:r w:rsidR="002D5934">
        <w:rPr>
          <w:rStyle w:val="FootnoteReference"/>
          <w:rFonts w:ascii="Calibri Light" w:hAnsi="Calibri Light" w:cs="Calibri Light"/>
          <w:color w:val="000000"/>
        </w:rPr>
        <w:footnoteReference w:id="5"/>
      </w:r>
      <w:r w:rsidR="002D5934">
        <w:rPr>
          <w:rFonts w:ascii="Calibri Light" w:hAnsi="Calibri Light" w:cs="Calibri Light"/>
          <w:color w:val="000000"/>
        </w:rPr>
        <w:t xml:space="preserve"> </w:t>
      </w:r>
      <w:r w:rsidR="002D5934" w:rsidRPr="00B031B5">
        <w:rPr>
          <w:rFonts w:ascii="Calibri Light" w:hAnsi="Calibri Light" w:cs="Calibri Light"/>
          <w:color w:val="000000"/>
        </w:rPr>
        <w:t>[</w:t>
      </w:r>
      <w:r w:rsidR="002D5934" w:rsidRPr="007C284E">
        <w:rPr>
          <w:rFonts w:ascii="Calibri Light" w:hAnsi="Calibri Light" w:cs="Calibri Light"/>
          <w:color w:val="000000"/>
        </w:rPr>
        <w:t xml:space="preserve">PAF target </w:t>
      </w:r>
      <w:r w:rsidR="002D5934" w:rsidRPr="00B031B5">
        <w:rPr>
          <w:rFonts w:ascii="Calibri Light" w:hAnsi="Calibri Light" w:cs="Calibri Light"/>
          <w:color w:val="000000"/>
        </w:rPr>
        <w:t>1.3]</w:t>
      </w:r>
      <w:r w:rsidR="007C284E">
        <w:rPr>
          <w:rFonts w:ascii="Calibri Light" w:hAnsi="Calibri Light" w:cs="Calibri Light"/>
          <w:color w:val="000000"/>
        </w:rPr>
        <w:t>.</w:t>
      </w:r>
      <w:r w:rsidR="00C1776C">
        <w:rPr>
          <w:rFonts w:ascii="Calibri Light" w:hAnsi="Calibri Light" w:cs="Calibri Light"/>
          <w:color w:val="000000"/>
        </w:rPr>
        <w:t xml:space="preserve"> Still in its early stages, efforts to </w:t>
      </w:r>
      <w:r w:rsidR="00816EB7">
        <w:rPr>
          <w:rFonts w:ascii="Calibri Light" w:hAnsi="Calibri Light" w:cs="Calibri Light"/>
          <w:color w:val="000000"/>
        </w:rPr>
        <w:t xml:space="preserve">support </w:t>
      </w:r>
      <w:r w:rsidR="00C1776C">
        <w:rPr>
          <w:rFonts w:ascii="Calibri Light" w:hAnsi="Calibri Light" w:cs="Calibri Light"/>
          <w:color w:val="000000"/>
        </w:rPr>
        <w:t>implement</w:t>
      </w:r>
      <w:r w:rsidR="00816EB7">
        <w:rPr>
          <w:rFonts w:ascii="Calibri Light" w:hAnsi="Calibri Light" w:cs="Calibri Light"/>
          <w:color w:val="000000"/>
        </w:rPr>
        <w:t>ation of</w:t>
      </w:r>
      <w:r w:rsidR="00C1776C">
        <w:rPr>
          <w:rFonts w:ascii="Calibri Light" w:hAnsi="Calibri Light" w:cs="Calibri Light"/>
          <w:color w:val="000000"/>
        </w:rPr>
        <w:t xml:space="preserve"> Vanuatu’s National Public Financial Management </w:t>
      </w:r>
      <w:r w:rsidR="005E2AAD">
        <w:rPr>
          <w:rFonts w:ascii="Calibri Light" w:hAnsi="Calibri Light" w:cs="Calibri Light"/>
          <w:color w:val="000000"/>
        </w:rPr>
        <w:t xml:space="preserve">Reform </w:t>
      </w:r>
      <w:r w:rsidR="00C1776C">
        <w:rPr>
          <w:rFonts w:ascii="Calibri Light" w:hAnsi="Calibri Light" w:cs="Calibri Light"/>
          <w:color w:val="000000"/>
        </w:rPr>
        <w:t>Roadmap are progressing well.</w:t>
      </w:r>
    </w:p>
    <w:p w:rsidR="009A7C5D" w:rsidRDefault="00417721" w:rsidP="009A7C5D">
      <w:pPr>
        <w:spacing w:before="77"/>
        <w:rPr>
          <w:rFonts w:ascii="Calibri Light" w:hAnsi="Calibri Light" w:cs="Calibri Light"/>
          <w:b/>
          <w:bCs/>
          <w:color w:val="000000"/>
        </w:rPr>
      </w:pPr>
      <w:r w:rsidRPr="00C82F53">
        <w:rPr>
          <w:rFonts w:ascii="Calibri Light" w:hAnsi="Calibri Light" w:cs="Calibri Light"/>
          <w:b/>
          <w:color w:val="000000"/>
        </w:rPr>
        <w:t xml:space="preserve">Improving governance of key infrastructure </w:t>
      </w:r>
      <w:r w:rsidR="001F5FFD" w:rsidRPr="00C82F53">
        <w:rPr>
          <w:rFonts w:ascii="Calibri Light" w:hAnsi="Calibri Light" w:cs="Calibri Light"/>
          <w:b/>
          <w:color w:val="000000"/>
        </w:rPr>
        <w:t>improves efficiency and provides broad economic benefits.</w:t>
      </w:r>
      <w:r w:rsidR="001F5FFD" w:rsidRPr="00A9369A">
        <w:rPr>
          <w:rFonts w:ascii="Calibri Light" w:hAnsi="Calibri Light" w:cs="Calibri Light"/>
          <w:b/>
          <w:color w:val="000000"/>
        </w:rPr>
        <w:t xml:space="preserve"> </w:t>
      </w:r>
      <w:r w:rsidRPr="00A9369A">
        <w:rPr>
          <w:rFonts w:ascii="Calibri Light" w:hAnsi="Calibri Light" w:cs="Calibri Light"/>
          <w:b/>
          <w:color w:val="000000"/>
        </w:rPr>
        <w:t xml:space="preserve"> </w:t>
      </w:r>
      <w:r w:rsidR="009A7C5D" w:rsidRPr="00364037">
        <w:rPr>
          <w:rFonts w:ascii="Calibri Light" w:hAnsi="Calibri Light" w:cs="Calibri Light"/>
          <w:color w:val="000000"/>
        </w:rPr>
        <w:t>Australia</w:t>
      </w:r>
      <w:r w:rsidR="005E2AAD">
        <w:rPr>
          <w:rFonts w:ascii="Calibri Light" w:hAnsi="Calibri Light" w:cs="Calibri Light"/>
          <w:color w:val="000000"/>
        </w:rPr>
        <w:t>’s decade long support for</w:t>
      </w:r>
      <w:r w:rsidR="009A7C5D" w:rsidRPr="00364037">
        <w:rPr>
          <w:rFonts w:ascii="Calibri Light" w:hAnsi="Calibri Light" w:cs="Calibri Light"/>
          <w:color w:val="000000"/>
        </w:rPr>
        <w:t xml:space="preserve"> the Terminal Operating System</w:t>
      </w:r>
      <w:r w:rsidR="00121846" w:rsidRPr="00364037">
        <w:rPr>
          <w:rFonts w:ascii="Calibri Light" w:hAnsi="Calibri Light" w:cs="Calibri Light"/>
          <w:color w:val="000000"/>
        </w:rPr>
        <w:t xml:space="preserve"> of Lapetasi Wharf</w:t>
      </w:r>
      <w:r w:rsidR="001F5FFD" w:rsidRPr="00755B26">
        <w:rPr>
          <w:rFonts w:ascii="Calibri Light" w:hAnsi="Calibri Light" w:cs="Calibri Light"/>
          <w:color w:val="000000"/>
        </w:rPr>
        <w:t xml:space="preserve"> has</w:t>
      </w:r>
      <w:r w:rsidR="009A7C5D" w:rsidRPr="00755B26">
        <w:rPr>
          <w:rFonts w:ascii="Calibri Light" w:hAnsi="Calibri Light" w:cs="Calibri Light"/>
          <w:color w:val="000000"/>
        </w:rPr>
        <w:t xml:space="preserve"> improv</w:t>
      </w:r>
      <w:r w:rsidR="001F5FFD" w:rsidRPr="00755B26">
        <w:rPr>
          <w:rFonts w:ascii="Calibri Light" w:hAnsi="Calibri Light" w:cs="Calibri Light"/>
          <w:color w:val="000000"/>
        </w:rPr>
        <w:t>ed</w:t>
      </w:r>
      <w:r w:rsidR="009A7C5D" w:rsidRPr="00755B26">
        <w:rPr>
          <w:rFonts w:ascii="Calibri Light" w:hAnsi="Calibri Light" w:cs="Calibri Light"/>
          <w:color w:val="000000"/>
        </w:rPr>
        <w:t xml:space="preserve"> </w:t>
      </w:r>
      <w:r w:rsidR="00121846" w:rsidRPr="00930E65">
        <w:rPr>
          <w:rFonts w:ascii="Calibri Light" w:hAnsi="Calibri Light" w:cs="Calibri Light"/>
          <w:color w:val="000000"/>
        </w:rPr>
        <w:t xml:space="preserve">its </w:t>
      </w:r>
      <w:r w:rsidR="009A7C5D" w:rsidRPr="00930E65">
        <w:rPr>
          <w:rFonts w:ascii="Calibri Light" w:hAnsi="Calibri Light" w:cs="Calibri Light"/>
          <w:bCs/>
          <w:color w:val="000000"/>
        </w:rPr>
        <w:t>security and efficiency</w:t>
      </w:r>
      <w:r w:rsidR="005E2AAD">
        <w:rPr>
          <w:rFonts w:ascii="Calibri Light" w:hAnsi="Calibri Light" w:cs="Calibri Light"/>
          <w:bCs/>
          <w:color w:val="000000"/>
        </w:rPr>
        <w:t xml:space="preserve">, </w:t>
      </w:r>
      <w:r w:rsidR="001D5087" w:rsidRPr="00840F00">
        <w:rPr>
          <w:rFonts w:ascii="Calibri Light" w:hAnsi="Calibri Light" w:cs="Calibri Light"/>
          <w:color w:val="000000"/>
        </w:rPr>
        <w:t>including through</w:t>
      </w:r>
      <w:r w:rsidR="00C1776C">
        <w:rPr>
          <w:rFonts w:ascii="Calibri Light" w:hAnsi="Calibri Light" w:cs="Calibri Light"/>
          <w:color w:val="000000"/>
        </w:rPr>
        <w:t xml:space="preserve"> feasibility studies that preceded a major capital investment from Japan. </w:t>
      </w:r>
      <w:r w:rsidR="001D5087">
        <w:rPr>
          <w:rFonts w:ascii="Calibri Light" w:hAnsi="Calibri Light" w:cs="Calibri Light"/>
          <w:color w:val="000000"/>
        </w:rPr>
        <w:t>Performance of the wharf has been transformed</w:t>
      </w:r>
      <w:r w:rsidR="009A7C5D">
        <w:rPr>
          <w:rFonts w:ascii="Calibri Light" w:hAnsi="Calibri Light" w:cs="Calibri Light"/>
          <w:color w:val="000000"/>
        </w:rPr>
        <w:t>, with a 40 per cent reduction in handling costs</w:t>
      </w:r>
      <w:r w:rsidR="001D5087">
        <w:rPr>
          <w:rFonts w:ascii="Calibri Light" w:hAnsi="Calibri Light" w:cs="Calibri Light"/>
          <w:color w:val="000000"/>
        </w:rPr>
        <w:t xml:space="preserve"> </w:t>
      </w:r>
      <w:r w:rsidR="009A7C5D">
        <w:rPr>
          <w:rFonts w:ascii="Calibri Light" w:hAnsi="Calibri Light" w:cs="Calibri Light"/>
          <w:color w:val="000000"/>
        </w:rPr>
        <w:t xml:space="preserve">and increased revenue to </w:t>
      </w:r>
      <w:r w:rsidR="001D5087">
        <w:rPr>
          <w:rFonts w:ascii="Calibri Light" w:hAnsi="Calibri Light" w:cs="Calibri Light"/>
          <w:color w:val="000000"/>
        </w:rPr>
        <w:t xml:space="preserve">the government </w:t>
      </w:r>
      <w:r w:rsidR="009A7C5D">
        <w:rPr>
          <w:rFonts w:ascii="Calibri Light" w:hAnsi="Calibri Light" w:cs="Calibri Light"/>
          <w:color w:val="000000"/>
        </w:rPr>
        <w:t>and landowners. Australia also helped the Utilities Regulatory Authority to manage a</w:t>
      </w:r>
      <w:r w:rsidR="009A7C5D">
        <w:rPr>
          <w:rFonts w:ascii="Calibri Light" w:hAnsi="Calibri Light" w:cs="Calibri Light"/>
          <w:b/>
          <w:bCs/>
          <w:color w:val="000000"/>
        </w:rPr>
        <w:t xml:space="preserve"> </w:t>
      </w:r>
      <w:r w:rsidR="009A7C5D">
        <w:rPr>
          <w:rFonts w:ascii="Calibri Light" w:hAnsi="Calibri Light" w:cs="Calibri Light"/>
          <w:color w:val="000000"/>
        </w:rPr>
        <w:t xml:space="preserve">public tender for </w:t>
      </w:r>
      <w:r w:rsidR="001D5087">
        <w:rPr>
          <w:rFonts w:ascii="Calibri Light" w:hAnsi="Calibri Light" w:cs="Calibri Light"/>
          <w:color w:val="000000"/>
        </w:rPr>
        <w:t xml:space="preserve">an </w:t>
      </w:r>
      <w:r w:rsidR="00571B48">
        <w:rPr>
          <w:rFonts w:ascii="Calibri Light" w:hAnsi="Calibri Light" w:cs="Calibri Light"/>
          <w:color w:val="000000"/>
        </w:rPr>
        <w:t xml:space="preserve">electricity </w:t>
      </w:r>
      <w:r w:rsidR="009A7C5D">
        <w:rPr>
          <w:rFonts w:ascii="Calibri Light" w:hAnsi="Calibri Light" w:cs="Calibri Light"/>
          <w:color w:val="000000"/>
        </w:rPr>
        <w:t>concession on</w:t>
      </w:r>
      <w:r w:rsidR="001D5087">
        <w:rPr>
          <w:rFonts w:ascii="Calibri Light" w:hAnsi="Calibri Light" w:cs="Calibri Light"/>
          <w:color w:val="000000"/>
        </w:rPr>
        <w:t xml:space="preserve"> the island of</w:t>
      </w:r>
      <w:r w:rsidR="009A7C5D">
        <w:rPr>
          <w:rFonts w:ascii="Calibri Light" w:hAnsi="Calibri Light" w:cs="Calibri Light"/>
          <w:color w:val="000000"/>
        </w:rPr>
        <w:t xml:space="preserve"> </w:t>
      </w:r>
      <w:r w:rsidR="009A7C5D" w:rsidRPr="00A9369A">
        <w:rPr>
          <w:rFonts w:ascii="Calibri Light" w:hAnsi="Calibri Light" w:cs="Calibri Light"/>
          <w:color w:val="000000"/>
        </w:rPr>
        <w:t>Santo</w:t>
      </w:r>
      <w:r w:rsidR="001D5087" w:rsidRPr="00A9369A">
        <w:rPr>
          <w:rFonts w:ascii="Calibri Light" w:hAnsi="Calibri Light" w:cs="Calibri Light"/>
          <w:color w:val="000000"/>
        </w:rPr>
        <w:t>. This</w:t>
      </w:r>
      <w:r w:rsidR="009A7C5D" w:rsidRPr="00A9369A">
        <w:rPr>
          <w:rFonts w:ascii="Calibri Light" w:hAnsi="Calibri Light" w:cs="Calibri Light"/>
          <w:color w:val="000000"/>
        </w:rPr>
        <w:t xml:space="preserve"> resulted in a reduction in the basic tariff and increased service coverage to more remote areas of </w:t>
      </w:r>
      <w:r w:rsidR="001D5087" w:rsidRPr="00A9369A">
        <w:rPr>
          <w:rFonts w:ascii="Calibri Light" w:hAnsi="Calibri Light" w:cs="Calibri Light"/>
          <w:color w:val="000000"/>
        </w:rPr>
        <w:t xml:space="preserve">the </w:t>
      </w:r>
      <w:r w:rsidR="00571B48" w:rsidRPr="00A9369A">
        <w:rPr>
          <w:rFonts w:ascii="Calibri Light" w:hAnsi="Calibri Light" w:cs="Calibri Light"/>
          <w:color w:val="000000"/>
        </w:rPr>
        <w:t>island</w:t>
      </w:r>
      <w:r w:rsidR="009A7C5D" w:rsidRPr="00A9369A">
        <w:rPr>
          <w:rFonts w:ascii="Calibri Light" w:hAnsi="Calibri Light" w:cs="Calibri Light"/>
          <w:color w:val="000000"/>
        </w:rPr>
        <w:t>.</w:t>
      </w:r>
    </w:p>
    <w:p w:rsidR="009A7C5D" w:rsidRDefault="009A7C5D" w:rsidP="009A7C5D">
      <w:pPr>
        <w:spacing w:before="77"/>
        <w:ind w:right="516"/>
        <w:rPr>
          <w:rFonts w:ascii="Arial" w:hAnsi="Arial" w:cs="Arial"/>
          <w:color w:val="000000"/>
          <w:sz w:val="18"/>
          <w:szCs w:val="18"/>
        </w:rPr>
      </w:pPr>
      <w:r>
        <w:rPr>
          <w:rFonts w:ascii="Calibri Light" w:hAnsi="Calibri Light" w:cs="Calibri Light"/>
          <w:b/>
          <w:bCs/>
          <w:color w:val="000000"/>
        </w:rPr>
        <w:t xml:space="preserve">Australia targeted the economic empowerment of women </w:t>
      </w:r>
      <w:r>
        <w:rPr>
          <w:rFonts w:ascii="Calibri Light" w:hAnsi="Calibri Light" w:cs="Calibri Light"/>
          <w:color w:val="000000"/>
        </w:rPr>
        <w:t>by working</w:t>
      </w:r>
      <w:r>
        <w:rPr>
          <w:rFonts w:ascii="Calibri Light" w:hAnsi="Calibri Light" w:cs="Calibri Light"/>
          <w:b/>
          <w:bCs/>
          <w:color w:val="000000"/>
        </w:rPr>
        <w:t xml:space="preserve"> </w:t>
      </w:r>
      <w:r>
        <w:rPr>
          <w:rFonts w:ascii="Calibri Light" w:hAnsi="Calibri Light" w:cs="Calibri Light"/>
          <w:color w:val="000000"/>
        </w:rPr>
        <w:t xml:space="preserve">with the Vanuatu Skills Partnership and Ministry of Tourism, Trades, Industry, Commerce and Ni-Vanuatu Business to strengthen the Malampa Handicraft Centre, the first </w:t>
      </w:r>
      <w:r w:rsidR="00B170BA">
        <w:rPr>
          <w:rFonts w:ascii="Calibri Light" w:hAnsi="Calibri Light" w:cs="Calibri Light"/>
          <w:color w:val="000000"/>
        </w:rPr>
        <w:t>c</w:t>
      </w:r>
      <w:r>
        <w:rPr>
          <w:rFonts w:ascii="Calibri Light" w:hAnsi="Calibri Light" w:cs="Calibri Light"/>
          <w:color w:val="000000"/>
        </w:rPr>
        <w:t xml:space="preserve">ommunity </w:t>
      </w:r>
      <w:r w:rsidR="00B170BA">
        <w:rPr>
          <w:rFonts w:ascii="Calibri Light" w:hAnsi="Calibri Light" w:cs="Calibri Light"/>
          <w:color w:val="000000"/>
        </w:rPr>
        <w:t>c</w:t>
      </w:r>
      <w:r>
        <w:rPr>
          <w:rFonts w:ascii="Calibri Light" w:hAnsi="Calibri Light" w:cs="Calibri Light"/>
          <w:color w:val="000000"/>
        </w:rPr>
        <w:t>ompany established in Vanuatu. Australia supported the centre and its 330 registered female members to introduce improved governance processes, source equipment and resources, and expand production.</w:t>
      </w:r>
    </w:p>
    <w:p w:rsidR="000E3E70" w:rsidRDefault="009A7C5D" w:rsidP="009A7C5D">
      <w:pPr>
        <w:spacing w:before="77"/>
        <w:rPr>
          <w:rFonts w:ascii="Calibri Light" w:hAnsi="Calibri Light" w:cs="Calibri Light"/>
          <w:b/>
          <w:bCs/>
          <w:color w:val="000000"/>
        </w:rPr>
      </w:pPr>
      <w:r>
        <w:rPr>
          <w:rFonts w:ascii="Calibri Light" w:hAnsi="Calibri Light" w:cs="Calibri Light"/>
          <w:b/>
          <w:bCs/>
          <w:color w:val="000000"/>
        </w:rPr>
        <w:t xml:space="preserve">Australia continued working with Vanuatu to build robust governance systems. </w:t>
      </w:r>
      <w:r>
        <w:rPr>
          <w:rFonts w:ascii="Calibri Light" w:hAnsi="Calibri Light" w:cs="Calibri Light"/>
          <w:color w:val="000000"/>
        </w:rPr>
        <w:t>In 2018, Australia helped the Prime Minister</w:t>
      </w:r>
      <w:r w:rsidR="00417721">
        <w:rPr>
          <w:rFonts w:ascii="Calibri Light" w:hAnsi="Calibri Light" w:cs="Calibri Light"/>
          <w:color w:val="000000"/>
        </w:rPr>
        <w:t>’</w:t>
      </w:r>
      <w:r>
        <w:rPr>
          <w:rFonts w:ascii="Calibri Light" w:hAnsi="Calibri Light" w:cs="Calibri Light"/>
          <w:color w:val="000000"/>
        </w:rPr>
        <w:t xml:space="preserve">s Office to produce and publish the first report on progress towards </w:t>
      </w:r>
      <w:r w:rsidR="00417721" w:rsidRPr="006A3ED8">
        <w:rPr>
          <w:i/>
          <w:color w:val="000000" w:themeColor="text1"/>
        </w:rPr>
        <w:t>National Sustainable Development Plan</w:t>
      </w:r>
      <w:r w:rsidR="00417721" w:rsidRPr="00A9369A" w:rsidDel="00417721">
        <w:rPr>
          <w:rFonts w:ascii="Calibri Light" w:hAnsi="Calibri Light" w:cs="Calibri Light"/>
          <w:i/>
          <w:color w:val="000000"/>
        </w:rPr>
        <w:t xml:space="preserve"> </w:t>
      </w:r>
      <w:r w:rsidRPr="00A9369A">
        <w:rPr>
          <w:rFonts w:ascii="Calibri Light" w:hAnsi="Calibri Light" w:cs="Calibri Light"/>
          <w:i/>
          <w:color w:val="000000"/>
        </w:rPr>
        <w:t>2030</w:t>
      </w:r>
      <w:r>
        <w:rPr>
          <w:rFonts w:ascii="Calibri Light" w:hAnsi="Calibri Light" w:cs="Calibri Light"/>
          <w:color w:val="000000"/>
        </w:rPr>
        <w:t xml:space="preserve"> targets. </w:t>
      </w:r>
      <w:r w:rsidR="00417721">
        <w:rPr>
          <w:rFonts w:ascii="Calibri Light" w:hAnsi="Calibri Light" w:cs="Calibri Light"/>
          <w:color w:val="000000"/>
        </w:rPr>
        <w:t xml:space="preserve">The Office </w:t>
      </w:r>
      <w:r>
        <w:rPr>
          <w:rFonts w:ascii="Calibri Light" w:hAnsi="Calibri Light" w:cs="Calibri Light"/>
          <w:color w:val="000000"/>
        </w:rPr>
        <w:t xml:space="preserve">also completed a new </w:t>
      </w:r>
      <w:r w:rsidR="008B5AC8">
        <w:rPr>
          <w:rFonts w:ascii="Calibri Light" w:hAnsi="Calibri Light" w:cs="Calibri Light"/>
          <w:color w:val="000000"/>
        </w:rPr>
        <w:t xml:space="preserve">National </w:t>
      </w:r>
      <w:r>
        <w:rPr>
          <w:rFonts w:ascii="Calibri Light" w:hAnsi="Calibri Light" w:cs="Calibri Light"/>
          <w:color w:val="000000"/>
        </w:rPr>
        <w:t xml:space="preserve">Aid </w:t>
      </w:r>
      <w:r w:rsidR="00571B48">
        <w:rPr>
          <w:rFonts w:ascii="Calibri Light" w:hAnsi="Calibri Light" w:cs="Calibri Light"/>
          <w:color w:val="000000"/>
        </w:rPr>
        <w:t xml:space="preserve">Management </w:t>
      </w:r>
      <w:r>
        <w:rPr>
          <w:rFonts w:ascii="Calibri Light" w:hAnsi="Calibri Light" w:cs="Calibri Light"/>
          <w:color w:val="000000"/>
        </w:rPr>
        <w:t xml:space="preserve">Policy and produced and trialled </w:t>
      </w:r>
      <w:r w:rsidR="00417721">
        <w:rPr>
          <w:rFonts w:ascii="Calibri Light" w:hAnsi="Calibri Light" w:cs="Calibri Light"/>
          <w:color w:val="000000"/>
        </w:rPr>
        <w:t xml:space="preserve">an </w:t>
      </w:r>
      <w:r>
        <w:rPr>
          <w:rFonts w:ascii="Calibri Light" w:hAnsi="Calibri Light" w:cs="Calibri Light"/>
          <w:color w:val="000000"/>
        </w:rPr>
        <w:t xml:space="preserve">Aid Management System </w:t>
      </w:r>
      <w:r w:rsidR="002D5934">
        <w:rPr>
          <w:rFonts w:ascii="Calibri Light" w:hAnsi="Calibri Light" w:cs="Calibri Light"/>
          <w:color w:val="000000"/>
        </w:rPr>
        <w:t>to</w:t>
      </w:r>
      <w:r>
        <w:rPr>
          <w:rFonts w:ascii="Calibri Light" w:hAnsi="Calibri Light" w:cs="Calibri Light"/>
          <w:color w:val="000000"/>
        </w:rPr>
        <w:t xml:space="preserve"> </w:t>
      </w:r>
      <w:r w:rsidR="002D5934">
        <w:rPr>
          <w:rFonts w:ascii="Calibri Light" w:hAnsi="Calibri Light" w:cs="Calibri Light"/>
          <w:color w:val="000000"/>
        </w:rPr>
        <w:t>facilitate</w:t>
      </w:r>
      <w:r>
        <w:rPr>
          <w:rFonts w:ascii="Calibri Light" w:hAnsi="Calibri Light" w:cs="Calibri Light"/>
          <w:color w:val="000000"/>
        </w:rPr>
        <w:t xml:space="preserve"> greater government-led donor coordination.</w:t>
      </w:r>
      <w:r w:rsidR="000E3E70">
        <w:rPr>
          <w:rFonts w:ascii="Calibri Light" w:hAnsi="Calibri Light" w:cs="Calibri Light"/>
          <w:color w:val="000000"/>
        </w:rPr>
        <w:t xml:space="preserve"> </w:t>
      </w:r>
    </w:p>
    <w:p w:rsidR="00816EB7" w:rsidRDefault="009A7C5D" w:rsidP="00B83D47">
      <w:pPr>
        <w:spacing w:before="77"/>
        <w:rPr>
          <w:rFonts w:ascii="Calibri Light" w:hAnsi="Calibri Light" w:cs="Calibri Light"/>
          <w:color w:val="000000"/>
        </w:rPr>
      </w:pPr>
      <w:r>
        <w:rPr>
          <w:rFonts w:ascii="Calibri Light" w:hAnsi="Calibri Light" w:cs="Calibri Light"/>
          <w:b/>
          <w:bCs/>
          <w:color w:val="000000"/>
        </w:rPr>
        <w:t>Australia’s support for public broadcasting is an important mechanism for national security, identity and social change.</w:t>
      </w:r>
      <w:r>
        <w:rPr>
          <w:rFonts w:ascii="Calibri Light" w:hAnsi="Calibri Light" w:cs="Calibri Light"/>
          <w:color w:val="000000"/>
        </w:rPr>
        <w:t>  Radio Vanuatu reaches 80</w:t>
      </w:r>
      <w:r w:rsidR="001F5FFD">
        <w:rPr>
          <w:rFonts w:ascii="Calibri Light" w:hAnsi="Calibri Light" w:cs="Calibri Light"/>
          <w:color w:val="000000"/>
        </w:rPr>
        <w:t xml:space="preserve"> per cent</w:t>
      </w:r>
      <w:r>
        <w:rPr>
          <w:rFonts w:ascii="Calibri Light" w:hAnsi="Calibri Light" w:cs="Calibri Light"/>
          <w:color w:val="000000"/>
        </w:rPr>
        <w:t xml:space="preserve"> of Vanuatu’s population. Australia assisted the reform of the Vanuatu Broadcasting and Telecommunications Corporation</w:t>
      </w:r>
      <w:r w:rsidR="00FC3D87">
        <w:rPr>
          <w:rFonts w:ascii="Calibri Light" w:hAnsi="Calibri Light" w:cs="Calibri Light"/>
          <w:color w:val="000000"/>
        </w:rPr>
        <w:t xml:space="preserve">, which </w:t>
      </w:r>
      <w:r>
        <w:rPr>
          <w:rFonts w:ascii="Calibri Light" w:hAnsi="Calibri Light" w:cs="Calibri Light"/>
          <w:color w:val="000000"/>
        </w:rPr>
        <w:t xml:space="preserve">is now on-track to </w:t>
      </w:r>
      <w:r w:rsidR="00B170BA">
        <w:rPr>
          <w:rFonts w:ascii="Calibri Light" w:hAnsi="Calibri Light" w:cs="Calibri Light"/>
          <w:color w:val="000000"/>
        </w:rPr>
        <w:t>becoming a more</w:t>
      </w:r>
      <w:r>
        <w:rPr>
          <w:rFonts w:ascii="Calibri Light" w:hAnsi="Calibri Light" w:cs="Calibri Light"/>
          <w:color w:val="000000"/>
        </w:rPr>
        <w:t xml:space="preserve"> efficient and effective broadcaster</w:t>
      </w:r>
      <w:r w:rsidR="00FD5982">
        <w:rPr>
          <w:rFonts w:ascii="Calibri Light" w:hAnsi="Calibri Light" w:cs="Calibri Light"/>
          <w:color w:val="000000"/>
        </w:rPr>
        <w:t>.</w:t>
      </w:r>
      <w:r w:rsidR="00607BE1">
        <w:rPr>
          <w:rFonts w:ascii="Calibri Light" w:hAnsi="Calibri Light" w:cs="Calibri Light"/>
          <w:color w:val="000000"/>
        </w:rPr>
        <w:t xml:space="preserve"> </w:t>
      </w:r>
    </w:p>
    <w:p w:rsidR="00693DBC" w:rsidRPr="00693DBC" w:rsidRDefault="007C1684" w:rsidP="00C82F53">
      <w:pPr>
        <w:spacing w:before="77"/>
        <w:ind w:right="518"/>
        <w:rPr>
          <w:rFonts w:ascii="Calibri Light" w:eastAsia="Calibri" w:hAnsi="Calibri Light" w:cs="Times New Roman"/>
          <w:b/>
          <w:color w:val="000000"/>
          <w:sz w:val="24"/>
          <w:szCs w:val="24"/>
        </w:rPr>
      </w:pPr>
      <w:r>
        <w:rPr>
          <w:rFonts w:ascii="Calibri Light" w:eastAsia="Calibri" w:hAnsi="Calibri Light" w:cs="Times New Roman"/>
          <w:b/>
          <w:color w:val="000000"/>
          <w:sz w:val="24"/>
          <w:szCs w:val="24"/>
        </w:rPr>
        <w:lastRenderedPageBreak/>
        <w:t>INFRASTRUCTURE</w:t>
      </w:r>
    </w:p>
    <w:p w:rsidR="009B3296" w:rsidRDefault="006479E6" w:rsidP="00C84F66">
      <w:pPr>
        <w:rPr>
          <w:rFonts w:ascii="Calibri Light" w:hAnsi="Calibri Light" w:cs="Calibri Light"/>
          <w:color w:val="000000"/>
        </w:rPr>
      </w:pPr>
      <w:r>
        <w:rPr>
          <w:rFonts w:ascii="Calibri Light" w:hAnsi="Calibri Light" w:cs="Calibri Light"/>
          <w:b/>
          <w:bCs/>
          <w:color w:val="000000"/>
        </w:rPr>
        <w:t xml:space="preserve">Australia’s </w:t>
      </w:r>
      <w:r w:rsidR="00C84F66">
        <w:rPr>
          <w:rFonts w:ascii="Calibri Light" w:hAnsi="Calibri Light" w:cs="Calibri Light"/>
          <w:b/>
          <w:bCs/>
          <w:color w:val="000000"/>
        </w:rPr>
        <w:t>infrastructure support is delivered through government systems and provides local employment, supporting Vanuatu’s sovereignty and economic resilience.</w:t>
      </w:r>
      <w:r w:rsidR="00C84F66">
        <w:rPr>
          <w:rFonts w:ascii="Calibri Light" w:hAnsi="Calibri Light" w:cs="Calibri Light"/>
          <w:color w:val="000000"/>
        </w:rPr>
        <w:t xml:space="preserve"> This contributes to shared objectives of </w:t>
      </w:r>
      <w:r w:rsidR="005E2AAD">
        <w:rPr>
          <w:rFonts w:ascii="Calibri Light" w:hAnsi="Calibri Light" w:cs="Calibri Light"/>
          <w:color w:val="000000"/>
        </w:rPr>
        <w:t>stable,</w:t>
      </w:r>
      <w:r w:rsidR="00C84F66">
        <w:rPr>
          <w:rFonts w:ascii="Calibri Light" w:hAnsi="Calibri Light" w:cs="Calibri Light"/>
          <w:color w:val="000000"/>
        </w:rPr>
        <w:t xml:space="preserve"> prosperous communities through strengthened economic opportunity and social inclusion for all ni-Vanuatu.</w:t>
      </w:r>
    </w:p>
    <w:p w:rsidR="00281B3C" w:rsidRDefault="006B02B9" w:rsidP="00C84F66">
      <w:pPr>
        <w:spacing w:before="77"/>
        <w:rPr>
          <w:rFonts w:ascii="Calibri Light" w:hAnsi="Calibri Light" w:cs="Calibri Light"/>
          <w:color w:val="000000"/>
        </w:rPr>
      </w:pPr>
      <w:r w:rsidRPr="00B83D47">
        <w:rPr>
          <w:rFonts w:ascii="Calibri Light" w:hAnsi="Calibri Light" w:cs="Calibri Light"/>
          <w:b/>
          <w:color w:val="000000"/>
        </w:rPr>
        <w:t xml:space="preserve">Australia </w:t>
      </w:r>
      <w:r w:rsidR="00C03E57" w:rsidRPr="00B83D47">
        <w:rPr>
          <w:rFonts w:ascii="Calibri Light" w:hAnsi="Calibri Light" w:cs="Calibri Light"/>
          <w:b/>
          <w:color w:val="000000"/>
        </w:rPr>
        <w:t xml:space="preserve">continued to build on gains </w:t>
      </w:r>
      <w:r w:rsidR="005E2AAD" w:rsidRPr="00B83D47">
        <w:rPr>
          <w:rFonts w:ascii="Calibri Light" w:hAnsi="Calibri Light" w:cs="Calibri Light"/>
          <w:b/>
          <w:color w:val="000000"/>
        </w:rPr>
        <w:t>from</w:t>
      </w:r>
      <w:r w:rsidR="00C03E57" w:rsidRPr="00B83D47">
        <w:rPr>
          <w:rFonts w:ascii="Calibri Light" w:hAnsi="Calibri Light" w:cs="Calibri Light"/>
          <w:b/>
          <w:color w:val="000000"/>
        </w:rPr>
        <w:t xml:space="preserve"> previous support </w:t>
      </w:r>
      <w:r w:rsidR="00FC3D87" w:rsidRPr="00B83D47">
        <w:rPr>
          <w:rFonts w:ascii="Calibri Light" w:hAnsi="Calibri Light" w:cs="Calibri Light"/>
          <w:b/>
          <w:color w:val="000000"/>
        </w:rPr>
        <w:t xml:space="preserve">and policy engagement </w:t>
      </w:r>
      <w:r w:rsidR="00C03E57" w:rsidRPr="00B83D47">
        <w:rPr>
          <w:rFonts w:ascii="Calibri Light" w:hAnsi="Calibri Light" w:cs="Calibri Light"/>
          <w:b/>
          <w:color w:val="000000"/>
        </w:rPr>
        <w:t xml:space="preserve">to increase </w:t>
      </w:r>
      <w:r w:rsidR="00281B3C" w:rsidRPr="00B83D47">
        <w:rPr>
          <w:rFonts w:ascii="Calibri Light" w:hAnsi="Calibri Light" w:cs="Calibri Light"/>
          <w:b/>
          <w:color w:val="000000"/>
        </w:rPr>
        <w:t>access to markets and services</w:t>
      </w:r>
      <w:r w:rsidR="005E2AAD" w:rsidRPr="00B83D47">
        <w:rPr>
          <w:rFonts w:ascii="Calibri Light" w:hAnsi="Calibri Light" w:cs="Calibri Light"/>
          <w:b/>
          <w:color w:val="000000"/>
        </w:rPr>
        <w:t xml:space="preserve"> for rural communities</w:t>
      </w:r>
      <w:r w:rsidR="00281B3C" w:rsidRPr="00B83D47">
        <w:rPr>
          <w:rFonts w:ascii="Calibri Light" w:hAnsi="Calibri Light" w:cs="Calibri Light"/>
          <w:color w:val="000000"/>
        </w:rPr>
        <w:t xml:space="preserve">. Between 2014 and 2018 </w:t>
      </w:r>
      <w:r w:rsidR="00734CD4" w:rsidRPr="00B83D47">
        <w:rPr>
          <w:rFonts w:ascii="Calibri Light" w:hAnsi="Calibri Light" w:cs="Calibri Light"/>
          <w:color w:val="000000"/>
        </w:rPr>
        <w:t>our</w:t>
      </w:r>
      <w:r w:rsidR="00281B3C" w:rsidRPr="00B83D47">
        <w:rPr>
          <w:rFonts w:eastAsia="Times New Roman" w:cstheme="minorHAnsi"/>
          <w:color w:val="000000" w:themeColor="text1"/>
        </w:rPr>
        <w:t xml:space="preserve"> $29 million rural road investment achieved a 30 per cent increase in the all-weather road network from 1</w:t>
      </w:r>
      <w:r w:rsidR="00FC3D87" w:rsidRPr="00B83D47">
        <w:rPr>
          <w:rFonts w:eastAsia="Times New Roman" w:cstheme="minorHAnsi"/>
          <w:color w:val="000000" w:themeColor="text1"/>
        </w:rPr>
        <w:t>,</w:t>
      </w:r>
      <w:r w:rsidR="00281B3C" w:rsidRPr="00B83D47">
        <w:rPr>
          <w:rFonts w:eastAsia="Times New Roman" w:cstheme="minorHAnsi"/>
          <w:color w:val="000000" w:themeColor="text1"/>
        </w:rPr>
        <w:t>050 to 1</w:t>
      </w:r>
      <w:r w:rsidR="00FC3D87" w:rsidRPr="00B83D47">
        <w:rPr>
          <w:rFonts w:eastAsia="Times New Roman" w:cstheme="minorHAnsi"/>
          <w:color w:val="000000" w:themeColor="text1"/>
        </w:rPr>
        <w:t>,</w:t>
      </w:r>
      <w:r w:rsidR="00281B3C" w:rsidRPr="00B83D47">
        <w:rPr>
          <w:rFonts w:eastAsia="Times New Roman" w:cstheme="minorHAnsi"/>
          <w:color w:val="000000" w:themeColor="text1"/>
        </w:rPr>
        <w:t xml:space="preserve">370 km, and a 13 per cent increase in the population living within 2 km of an all-weather road, known as the </w:t>
      </w:r>
      <w:r w:rsidR="00281B3C" w:rsidRPr="00B83D47">
        <w:rPr>
          <w:rFonts w:ascii="Calibri Light" w:hAnsi="Calibri Light" w:cs="Calibri Light"/>
          <w:color w:val="000000"/>
        </w:rPr>
        <w:t>Rural Accessibility Index (RAI)</w:t>
      </w:r>
      <w:r w:rsidR="00281B3C" w:rsidRPr="00B83D47">
        <w:rPr>
          <w:rFonts w:eastAsia="Times New Roman" w:cstheme="minorHAnsi"/>
          <w:color w:val="000000" w:themeColor="text1"/>
        </w:rPr>
        <w:t xml:space="preserve">. In 2018-19, our support </w:t>
      </w:r>
      <w:r w:rsidR="00734CD4" w:rsidRPr="00B83D47">
        <w:rPr>
          <w:rFonts w:eastAsia="Times New Roman" w:cstheme="minorHAnsi"/>
          <w:color w:val="000000" w:themeColor="text1"/>
        </w:rPr>
        <w:t xml:space="preserve">to the Public Works Department (PWD) </w:t>
      </w:r>
      <w:r w:rsidRPr="00B83D47">
        <w:rPr>
          <w:rFonts w:ascii="Calibri Light" w:hAnsi="Calibri Light" w:cs="Calibri Light"/>
          <w:color w:val="000000"/>
        </w:rPr>
        <w:t xml:space="preserve">contributed a </w:t>
      </w:r>
      <w:r w:rsidR="00281B3C" w:rsidRPr="00B83D47">
        <w:rPr>
          <w:rFonts w:ascii="Calibri Light" w:hAnsi="Calibri Light" w:cs="Calibri Light"/>
          <w:color w:val="000000"/>
        </w:rPr>
        <w:t xml:space="preserve">further </w:t>
      </w:r>
      <w:r w:rsidRPr="00B83D47">
        <w:rPr>
          <w:rFonts w:ascii="Calibri Light" w:hAnsi="Calibri Light" w:cs="Calibri Light"/>
          <w:color w:val="000000"/>
        </w:rPr>
        <w:t>1.1 per cent</w:t>
      </w:r>
      <w:r w:rsidR="00281B3C">
        <w:rPr>
          <w:rFonts w:ascii="Calibri Light" w:hAnsi="Calibri Light" w:cs="Calibri Light"/>
          <w:color w:val="000000"/>
        </w:rPr>
        <w:t xml:space="preserve"> </w:t>
      </w:r>
      <w:r>
        <w:rPr>
          <w:rFonts w:ascii="Calibri Light" w:hAnsi="Calibri Light" w:cs="Calibri Light"/>
          <w:color w:val="000000"/>
        </w:rPr>
        <w:t>increase</w:t>
      </w:r>
      <w:r w:rsidR="00281B3C">
        <w:rPr>
          <w:rFonts w:ascii="Calibri Light" w:hAnsi="Calibri Light" w:cs="Calibri Light"/>
          <w:color w:val="000000"/>
        </w:rPr>
        <w:t xml:space="preserve">, </w:t>
      </w:r>
      <w:r>
        <w:rPr>
          <w:rFonts w:ascii="Calibri Light" w:hAnsi="Calibri Light" w:cs="Calibri Light"/>
          <w:color w:val="000000"/>
        </w:rPr>
        <w:t>bringing RAI to 55.1 per cent</w:t>
      </w:r>
      <w:r w:rsidR="00734CD4">
        <w:rPr>
          <w:rFonts w:ascii="Calibri Light" w:hAnsi="Calibri Light" w:cs="Calibri Light"/>
          <w:color w:val="000000"/>
        </w:rPr>
        <w:t xml:space="preserve">, through </w:t>
      </w:r>
      <w:r>
        <w:rPr>
          <w:rFonts w:ascii="Calibri Light" w:hAnsi="Calibri Light" w:cs="Calibri Light"/>
          <w:color w:val="000000"/>
        </w:rPr>
        <w:t>deliver</w:t>
      </w:r>
      <w:r w:rsidR="00734CD4">
        <w:rPr>
          <w:rFonts w:ascii="Calibri Light" w:hAnsi="Calibri Light" w:cs="Calibri Light"/>
          <w:color w:val="000000"/>
        </w:rPr>
        <w:t>y of</w:t>
      </w:r>
      <w:r>
        <w:rPr>
          <w:rFonts w:ascii="Calibri Light" w:hAnsi="Calibri Light" w:cs="Calibri Light"/>
          <w:color w:val="000000"/>
        </w:rPr>
        <w:t xml:space="preserve"> 489 km of routine maintenance (80 per cent of target), 182 km of periodic maintenance (121 per cent of target) and 11km of rehabilitation (30 per cent of target) to rural roads [exceeded PAF target 1.5]. In 2018 PWD delivered only 10 per cent of its work plan using in-house resources (63</w:t>
      </w:r>
      <w:r w:rsidR="00B170BA">
        <w:rPr>
          <w:rFonts w:ascii="Calibri Light" w:hAnsi="Calibri Light" w:cs="Calibri Light"/>
          <w:color w:val="000000"/>
        </w:rPr>
        <w:t xml:space="preserve"> per cent</w:t>
      </w:r>
      <w:r>
        <w:rPr>
          <w:rFonts w:ascii="Calibri Light" w:hAnsi="Calibri Light" w:cs="Calibri Light"/>
          <w:color w:val="000000"/>
        </w:rPr>
        <w:t xml:space="preserve"> in 2013), </w:t>
      </w:r>
      <w:r w:rsidR="005522CB">
        <w:rPr>
          <w:rFonts w:ascii="Calibri Light" w:hAnsi="Calibri Light" w:cs="Calibri Light"/>
          <w:color w:val="000000"/>
        </w:rPr>
        <w:t>with</w:t>
      </w:r>
      <w:r>
        <w:rPr>
          <w:rFonts w:ascii="Calibri Light" w:hAnsi="Calibri Light" w:cs="Calibri Light"/>
          <w:color w:val="000000"/>
        </w:rPr>
        <w:t xml:space="preserve"> 90 per cent of work</w:t>
      </w:r>
      <w:r w:rsidR="005522CB">
        <w:rPr>
          <w:rFonts w:ascii="Calibri Light" w:hAnsi="Calibri Light" w:cs="Calibri Light"/>
          <w:color w:val="000000"/>
        </w:rPr>
        <w:t>s</w:t>
      </w:r>
      <w:r>
        <w:rPr>
          <w:rFonts w:ascii="Calibri Light" w:hAnsi="Calibri Light" w:cs="Calibri Light"/>
          <w:color w:val="000000"/>
        </w:rPr>
        <w:t xml:space="preserve"> outsourced to </w:t>
      </w:r>
      <w:r w:rsidR="005E2AAD">
        <w:rPr>
          <w:rFonts w:ascii="Calibri Light" w:hAnsi="Calibri Light" w:cs="Calibri Light"/>
          <w:color w:val="000000"/>
        </w:rPr>
        <w:t xml:space="preserve">the </w:t>
      </w:r>
      <w:r>
        <w:rPr>
          <w:rFonts w:ascii="Calibri Light" w:hAnsi="Calibri Light" w:cs="Calibri Light"/>
          <w:color w:val="000000"/>
        </w:rPr>
        <w:t>private sector</w:t>
      </w:r>
      <w:r w:rsidR="005E2AAD">
        <w:rPr>
          <w:rFonts w:ascii="Calibri Light" w:hAnsi="Calibri Light" w:cs="Calibri Light"/>
          <w:color w:val="000000"/>
        </w:rPr>
        <w:t>,</w:t>
      </w:r>
      <w:r>
        <w:rPr>
          <w:rFonts w:ascii="Calibri Light" w:hAnsi="Calibri Light" w:cs="Calibri Light"/>
          <w:color w:val="000000"/>
        </w:rPr>
        <w:t xml:space="preserve"> including </w:t>
      </w:r>
      <w:r w:rsidRPr="007C284E">
        <w:rPr>
          <w:rFonts w:ascii="Calibri Light" w:hAnsi="Calibri Light" w:cs="Calibri Light"/>
          <w:color w:val="000000"/>
        </w:rPr>
        <w:t>community and island-based contractors</w:t>
      </w:r>
      <w:r w:rsidR="00DA2A7B">
        <w:rPr>
          <w:rFonts w:ascii="Calibri Light" w:hAnsi="Calibri Light" w:cs="Calibri Light"/>
          <w:color w:val="000000"/>
        </w:rPr>
        <w:t>,</w:t>
      </w:r>
      <w:r>
        <w:rPr>
          <w:rFonts w:ascii="Calibri Light" w:hAnsi="Calibri Light" w:cs="Calibri Light"/>
          <w:color w:val="000000"/>
        </w:rPr>
        <w:t xml:space="preserve"> </w:t>
      </w:r>
      <w:r w:rsidR="005E2AAD">
        <w:rPr>
          <w:rFonts w:ascii="Calibri Light" w:hAnsi="Calibri Light" w:cs="Calibri Light"/>
          <w:color w:val="000000"/>
        </w:rPr>
        <w:t xml:space="preserve">resulting </w:t>
      </w:r>
      <w:r w:rsidR="00DA2A7B">
        <w:rPr>
          <w:rFonts w:ascii="Calibri Light" w:hAnsi="Calibri Light" w:cs="Calibri Light"/>
          <w:color w:val="000000"/>
        </w:rPr>
        <w:t>in</w:t>
      </w:r>
      <w:r>
        <w:rPr>
          <w:rFonts w:ascii="Calibri Light" w:hAnsi="Calibri Light" w:cs="Calibri Light"/>
          <w:color w:val="000000"/>
        </w:rPr>
        <w:t xml:space="preserve"> private sector activity</w:t>
      </w:r>
      <w:r w:rsidR="00DA2A7B">
        <w:rPr>
          <w:rFonts w:ascii="Calibri Light" w:hAnsi="Calibri Light" w:cs="Calibri Light"/>
          <w:color w:val="000000"/>
        </w:rPr>
        <w:t xml:space="preserve"> valued at </w:t>
      </w:r>
      <w:r>
        <w:rPr>
          <w:rFonts w:ascii="Calibri Light" w:hAnsi="Calibri Light" w:cs="Calibri Light"/>
          <w:color w:val="000000"/>
        </w:rPr>
        <w:t xml:space="preserve">$550,000. This is an important step in </w:t>
      </w:r>
      <w:r w:rsidR="00DA2A7B">
        <w:rPr>
          <w:rFonts w:ascii="Calibri Light" w:hAnsi="Calibri Light" w:cs="Calibri Light"/>
          <w:color w:val="000000"/>
        </w:rPr>
        <w:t xml:space="preserve">PWD’s </w:t>
      </w:r>
      <w:r>
        <w:rPr>
          <w:rFonts w:ascii="Calibri Light" w:hAnsi="Calibri Light" w:cs="Calibri Light"/>
          <w:color w:val="000000"/>
        </w:rPr>
        <w:t>transition to</w:t>
      </w:r>
      <w:r w:rsidR="00CB2C5B">
        <w:rPr>
          <w:rFonts w:ascii="Calibri Light" w:hAnsi="Calibri Light" w:cs="Calibri Light"/>
          <w:color w:val="000000"/>
        </w:rPr>
        <w:t xml:space="preserve"> </w:t>
      </w:r>
      <w:r>
        <w:rPr>
          <w:rFonts w:ascii="Calibri Light" w:hAnsi="Calibri Light" w:cs="Calibri Light"/>
          <w:color w:val="000000"/>
        </w:rPr>
        <w:t>a network manager</w:t>
      </w:r>
      <w:r w:rsidR="002D3A97">
        <w:rPr>
          <w:rStyle w:val="FootnoteReference"/>
          <w:rFonts w:ascii="Calibri Light" w:hAnsi="Calibri Light" w:cs="Calibri Light"/>
          <w:color w:val="000000"/>
        </w:rPr>
        <w:footnoteReference w:id="6"/>
      </w:r>
      <w:r>
        <w:rPr>
          <w:rFonts w:ascii="Calibri Light" w:hAnsi="Calibri Light" w:cs="Calibri Light"/>
          <w:color w:val="000000"/>
        </w:rPr>
        <w:t xml:space="preserve">, a key focus of Australia’s support. </w:t>
      </w:r>
    </w:p>
    <w:p w:rsidR="00C84F66" w:rsidRPr="00C84F66" w:rsidRDefault="00C84F66" w:rsidP="00C84F66">
      <w:pPr>
        <w:spacing w:before="77"/>
        <w:rPr>
          <w:rFonts w:ascii="Calibri" w:hAnsi="Calibri" w:cs="Calibri"/>
          <w:color w:val="000000"/>
          <w:sz w:val="24"/>
          <w:szCs w:val="24"/>
        </w:rPr>
      </w:pPr>
      <w:r w:rsidRPr="00364037">
        <w:rPr>
          <w:rFonts w:ascii="Calibri Light" w:hAnsi="Calibri Light" w:cs="Calibri Light"/>
          <w:b/>
          <w:color w:val="000000"/>
        </w:rPr>
        <w:t>Gender equality and disability inclusiveness in this area continue to be challenging</w:t>
      </w:r>
      <w:r w:rsidR="00D651EB" w:rsidRPr="00F56E63">
        <w:rPr>
          <w:rFonts w:ascii="Calibri Light" w:hAnsi="Calibri Light" w:cs="Calibri Light"/>
          <w:color w:val="000000"/>
        </w:rPr>
        <w:t xml:space="preserve"> </w:t>
      </w:r>
      <w:r w:rsidR="00D651EB">
        <w:rPr>
          <w:rFonts w:ascii="Calibri Light" w:hAnsi="Calibri Light" w:cs="Calibri Light"/>
          <w:color w:val="000000"/>
        </w:rPr>
        <w:t xml:space="preserve">as men remain </w:t>
      </w:r>
      <w:r>
        <w:rPr>
          <w:rFonts w:ascii="Calibri Light" w:hAnsi="Calibri Light" w:cs="Calibri Light"/>
          <w:color w:val="000000"/>
        </w:rPr>
        <w:t>predominant labourers in road maintenance</w:t>
      </w:r>
      <w:r w:rsidR="00F56E63">
        <w:rPr>
          <w:rFonts w:ascii="Calibri Light" w:hAnsi="Calibri Light" w:cs="Calibri Light"/>
          <w:color w:val="000000"/>
        </w:rPr>
        <w:t>. I</w:t>
      </w:r>
      <w:r>
        <w:rPr>
          <w:rFonts w:ascii="Calibri Light" w:hAnsi="Calibri Light" w:cs="Calibri Light"/>
          <w:color w:val="000000"/>
        </w:rPr>
        <w:t xml:space="preserve">nclusion of people with disabilities is primarily restricted to light road maintenance. </w:t>
      </w:r>
      <w:r w:rsidR="00D651EB">
        <w:rPr>
          <w:rFonts w:ascii="Calibri Light" w:hAnsi="Calibri Light" w:cs="Calibri Light"/>
          <w:color w:val="000000"/>
        </w:rPr>
        <w:t xml:space="preserve">The </w:t>
      </w:r>
      <w:r>
        <w:rPr>
          <w:rFonts w:ascii="Calibri Light" w:hAnsi="Calibri Light" w:cs="Calibri Light"/>
          <w:color w:val="000000"/>
        </w:rPr>
        <w:t>next p</w:t>
      </w:r>
      <w:r w:rsidR="00D651EB">
        <w:rPr>
          <w:rFonts w:ascii="Calibri Light" w:hAnsi="Calibri Light" w:cs="Calibri Light"/>
          <w:color w:val="000000"/>
        </w:rPr>
        <w:t>hase of support will develop a gender and social inclusion p</w:t>
      </w:r>
      <w:r>
        <w:rPr>
          <w:rFonts w:ascii="Calibri Light" w:hAnsi="Calibri Light" w:cs="Calibri Light"/>
          <w:color w:val="000000"/>
        </w:rPr>
        <w:t xml:space="preserve">lan and ensure the monitoring and evaluation framework collects and analyses appropriate data to </w:t>
      </w:r>
      <w:r w:rsidR="00D651EB">
        <w:rPr>
          <w:rFonts w:ascii="Calibri Light" w:hAnsi="Calibri Light" w:cs="Calibri Light"/>
          <w:color w:val="000000"/>
        </w:rPr>
        <w:t>tackle these challenges</w:t>
      </w:r>
      <w:r>
        <w:rPr>
          <w:rFonts w:ascii="Calibri Light" w:hAnsi="Calibri Light" w:cs="Calibri Light"/>
          <w:color w:val="000000"/>
        </w:rPr>
        <w:t>.</w:t>
      </w:r>
    </w:p>
    <w:p w:rsidR="00C84F66" w:rsidRPr="003F5825" w:rsidRDefault="00C84F66" w:rsidP="00C84F66">
      <w:pPr>
        <w:rPr>
          <w:rFonts w:ascii="Calibri Light" w:hAnsi="Calibri Light" w:cs="Calibri Light"/>
          <w:color w:val="000000"/>
        </w:rPr>
      </w:pPr>
      <w:r>
        <w:rPr>
          <w:b/>
          <w:bCs/>
          <w:color w:val="000000"/>
        </w:rPr>
        <w:t xml:space="preserve">Australia </w:t>
      </w:r>
      <w:r w:rsidR="00CF6EB2">
        <w:rPr>
          <w:b/>
          <w:bCs/>
          <w:color w:val="000000"/>
        </w:rPr>
        <w:t xml:space="preserve">financed </w:t>
      </w:r>
      <w:r>
        <w:rPr>
          <w:b/>
          <w:bCs/>
          <w:color w:val="000000"/>
        </w:rPr>
        <w:t xml:space="preserve">the Asian Development Bank </w:t>
      </w:r>
      <w:r w:rsidR="00D651EB">
        <w:rPr>
          <w:b/>
          <w:bCs/>
          <w:color w:val="000000"/>
        </w:rPr>
        <w:t xml:space="preserve">and Government of Vanuatu </w:t>
      </w:r>
      <w:r>
        <w:rPr>
          <w:b/>
          <w:bCs/>
          <w:color w:val="000000"/>
        </w:rPr>
        <w:t xml:space="preserve">to deliver </w:t>
      </w:r>
      <w:r w:rsidR="00D651EB">
        <w:rPr>
          <w:b/>
          <w:bCs/>
          <w:color w:val="000000"/>
        </w:rPr>
        <w:t xml:space="preserve">road improvements </w:t>
      </w:r>
      <w:r>
        <w:rPr>
          <w:b/>
          <w:bCs/>
          <w:color w:val="000000"/>
        </w:rPr>
        <w:t>in Vanuatu’s capital</w:t>
      </w:r>
      <w:r w:rsidR="00D651EB">
        <w:rPr>
          <w:b/>
          <w:bCs/>
          <w:color w:val="000000"/>
        </w:rPr>
        <w:t>,</w:t>
      </w:r>
      <w:r>
        <w:rPr>
          <w:b/>
          <w:bCs/>
          <w:color w:val="000000"/>
        </w:rPr>
        <w:t xml:space="preserve"> Port Vila. </w:t>
      </w:r>
      <w:r>
        <w:rPr>
          <w:color w:val="000000"/>
        </w:rPr>
        <w:t xml:space="preserve">The Port Vila Urban Development Project </w:t>
      </w:r>
      <w:r w:rsidR="00F56E63">
        <w:rPr>
          <w:rFonts w:ascii="Calibri Light" w:hAnsi="Calibri Light" w:cs="Calibri Light"/>
          <w:color w:val="000000"/>
        </w:rPr>
        <w:t xml:space="preserve">experienced </w:t>
      </w:r>
      <w:r w:rsidR="003F5825">
        <w:rPr>
          <w:rFonts w:ascii="Calibri Light" w:hAnsi="Calibri Light" w:cs="Calibri Light"/>
          <w:color w:val="000000"/>
        </w:rPr>
        <w:t xml:space="preserve">challenges and delays </w:t>
      </w:r>
      <w:r w:rsidR="00F56E63">
        <w:rPr>
          <w:rFonts w:ascii="Calibri Light" w:hAnsi="Calibri Light" w:cs="Calibri Light"/>
          <w:color w:val="000000"/>
        </w:rPr>
        <w:t xml:space="preserve">resulting </w:t>
      </w:r>
      <w:r w:rsidR="003F5825">
        <w:rPr>
          <w:rFonts w:ascii="Calibri Light" w:hAnsi="Calibri Light" w:cs="Calibri Light"/>
          <w:color w:val="000000"/>
        </w:rPr>
        <w:t xml:space="preserve">in </w:t>
      </w:r>
      <w:r w:rsidR="00F56E63">
        <w:rPr>
          <w:rFonts w:ascii="Calibri Light" w:hAnsi="Calibri Light" w:cs="Calibri Light"/>
          <w:color w:val="000000"/>
        </w:rPr>
        <w:t>Australia</w:t>
      </w:r>
      <w:r w:rsidR="003F5825">
        <w:rPr>
          <w:rFonts w:ascii="Calibri Light" w:hAnsi="Calibri Light" w:cs="Calibri Light"/>
          <w:color w:val="000000"/>
        </w:rPr>
        <w:t xml:space="preserve"> </w:t>
      </w:r>
      <w:r w:rsidR="00F56E63">
        <w:rPr>
          <w:rFonts w:ascii="Calibri Light" w:hAnsi="Calibri Light" w:cs="Calibri Light"/>
          <w:color w:val="000000"/>
        </w:rPr>
        <w:t>identifying the project</w:t>
      </w:r>
      <w:r w:rsidR="003F5825">
        <w:rPr>
          <w:rFonts w:ascii="Calibri Light" w:hAnsi="Calibri Light" w:cs="Calibri Light"/>
          <w:color w:val="000000"/>
        </w:rPr>
        <w:t xml:space="preserve"> as an Investment Requiring Improvement in 2018. In response, Australia developed and implemented a rem</w:t>
      </w:r>
      <w:r w:rsidR="002D50F7">
        <w:rPr>
          <w:rFonts w:ascii="Calibri Light" w:hAnsi="Calibri Light" w:cs="Calibri Light"/>
          <w:color w:val="000000"/>
        </w:rPr>
        <w:t>ediation plan which resulted in</w:t>
      </w:r>
      <w:r w:rsidR="003F5825">
        <w:rPr>
          <w:rFonts w:ascii="Calibri Light" w:hAnsi="Calibri Light" w:cs="Calibri Light"/>
          <w:color w:val="000000"/>
        </w:rPr>
        <w:t xml:space="preserve"> the majority of works completed by December 2018. </w:t>
      </w:r>
      <w:r w:rsidR="00F56E63">
        <w:rPr>
          <w:rFonts w:ascii="Calibri Light" w:hAnsi="Calibri Light" w:cs="Calibri Light"/>
          <w:color w:val="000000"/>
        </w:rPr>
        <w:t>The project</w:t>
      </w:r>
      <w:r w:rsidR="00364037">
        <w:rPr>
          <w:rFonts w:ascii="Calibri Light" w:hAnsi="Calibri Light" w:cs="Calibri Light"/>
          <w:color w:val="000000"/>
        </w:rPr>
        <w:t xml:space="preserve"> achieved variable results against targets: </w:t>
      </w:r>
      <w:r w:rsidR="00F56E63">
        <w:rPr>
          <w:rFonts w:ascii="Calibri Light" w:hAnsi="Calibri Light" w:cs="Calibri Light"/>
          <w:color w:val="000000"/>
        </w:rPr>
        <w:t xml:space="preserve">rehabilitated </w:t>
      </w:r>
      <w:r>
        <w:rPr>
          <w:rFonts w:ascii="Calibri Light" w:hAnsi="Calibri Light" w:cs="Calibri Light"/>
          <w:color w:val="000000"/>
        </w:rPr>
        <w:t>12.2</w:t>
      </w:r>
      <w:r w:rsidR="00CB2C5B">
        <w:rPr>
          <w:rFonts w:ascii="Calibri Light" w:hAnsi="Calibri Light" w:cs="Calibri Light"/>
          <w:color w:val="000000"/>
        </w:rPr>
        <w:t xml:space="preserve"> </w:t>
      </w:r>
      <w:r>
        <w:rPr>
          <w:rFonts w:ascii="Calibri Light" w:hAnsi="Calibri Light" w:cs="Calibri Light"/>
          <w:color w:val="000000"/>
        </w:rPr>
        <w:t>km of road (91</w:t>
      </w:r>
      <w:r w:rsidR="00F56E63">
        <w:rPr>
          <w:rFonts w:ascii="Calibri Light" w:hAnsi="Calibri Light" w:cs="Calibri Light"/>
          <w:color w:val="000000"/>
        </w:rPr>
        <w:t xml:space="preserve"> per cent</w:t>
      </w:r>
      <w:r>
        <w:rPr>
          <w:rFonts w:ascii="Calibri Light" w:hAnsi="Calibri Light" w:cs="Calibri Light"/>
          <w:color w:val="000000"/>
        </w:rPr>
        <w:t xml:space="preserve"> of target)</w:t>
      </w:r>
      <w:r w:rsidR="00F56E63">
        <w:rPr>
          <w:rFonts w:ascii="Calibri Light" w:hAnsi="Calibri Light" w:cs="Calibri Light"/>
          <w:color w:val="000000"/>
        </w:rPr>
        <w:t>,</w:t>
      </w:r>
      <w:r>
        <w:rPr>
          <w:rFonts w:ascii="Calibri Light" w:hAnsi="Calibri Light" w:cs="Calibri Light"/>
          <w:color w:val="000000"/>
        </w:rPr>
        <w:t xml:space="preserve"> </w:t>
      </w:r>
      <w:r w:rsidR="00F56E63">
        <w:rPr>
          <w:rFonts w:ascii="Calibri Light" w:hAnsi="Calibri Light" w:cs="Calibri Light"/>
          <w:color w:val="000000"/>
        </w:rPr>
        <w:t xml:space="preserve">built </w:t>
      </w:r>
      <w:r>
        <w:rPr>
          <w:rFonts w:ascii="Calibri Light" w:hAnsi="Calibri Light" w:cs="Calibri Light"/>
          <w:color w:val="000000"/>
        </w:rPr>
        <w:t>6.4</w:t>
      </w:r>
      <w:r w:rsidR="00CB2C5B">
        <w:rPr>
          <w:rFonts w:ascii="Calibri Light" w:hAnsi="Calibri Light" w:cs="Calibri Light"/>
          <w:color w:val="000000"/>
        </w:rPr>
        <w:t xml:space="preserve"> </w:t>
      </w:r>
      <w:r>
        <w:rPr>
          <w:rFonts w:ascii="Calibri Light" w:hAnsi="Calibri Light" w:cs="Calibri Light"/>
          <w:color w:val="000000"/>
        </w:rPr>
        <w:t xml:space="preserve">km </w:t>
      </w:r>
      <w:r w:rsidR="00571B48">
        <w:rPr>
          <w:rFonts w:ascii="Calibri Light" w:hAnsi="Calibri Light" w:cs="Calibri Light"/>
          <w:color w:val="000000"/>
        </w:rPr>
        <w:t xml:space="preserve">of </w:t>
      </w:r>
      <w:r>
        <w:rPr>
          <w:rFonts w:ascii="Calibri Light" w:hAnsi="Calibri Light" w:cs="Calibri Light"/>
          <w:color w:val="000000"/>
        </w:rPr>
        <w:t>new and improved drainage (44</w:t>
      </w:r>
      <w:r w:rsidR="00F56E63">
        <w:rPr>
          <w:rFonts w:ascii="Calibri Light" w:hAnsi="Calibri Light" w:cs="Calibri Light"/>
          <w:color w:val="000000"/>
        </w:rPr>
        <w:t xml:space="preserve"> per cent</w:t>
      </w:r>
      <w:r>
        <w:rPr>
          <w:rFonts w:ascii="Calibri Light" w:hAnsi="Calibri Light" w:cs="Calibri Light"/>
          <w:color w:val="000000"/>
        </w:rPr>
        <w:t xml:space="preserve"> of target) in six catchments</w:t>
      </w:r>
      <w:r w:rsidR="00F56E63">
        <w:rPr>
          <w:rFonts w:ascii="Calibri Light" w:hAnsi="Calibri Light" w:cs="Calibri Light"/>
          <w:color w:val="000000"/>
        </w:rPr>
        <w:t xml:space="preserve">, built </w:t>
      </w:r>
      <w:r>
        <w:rPr>
          <w:rFonts w:ascii="Calibri Light" w:hAnsi="Calibri Light" w:cs="Calibri Light"/>
          <w:color w:val="000000"/>
        </w:rPr>
        <w:t>45 new bus bays (150</w:t>
      </w:r>
      <w:r w:rsidR="00F56E63">
        <w:rPr>
          <w:rFonts w:ascii="Calibri Light" w:hAnsi="Calibri Light" w:cs="Calibri Light"/>
          <w:color w:val="000000"/>
        </w:rPr>
        <w:t xml:space="preserve"> per cent</w:t>
      </w:r>
      <w:r>
        <w:rPr>
          <w:rFonts w:ascii="Calibri Light" w:hAnsi="Calibri Light" w:cs="Calibri Light"/>
          <w:color w:val="000000"/>
        </w:rPr>
        <w:t xml:space="preserve"> of target)</w:t>
      </w:r>
      <w:r w:rsidR="00F56E63">
        <w:rPr>
          <w:rFonts w:ascii="Calibri Light" w:hAnsi="Calibri Light" w:cs="Calibri Light"/>
          <w:color w:val="000000"/>
        </w:rPr>
        <w:t>,</w:t>
      </w:r>
      <w:r>
        <w:rPr>
          <w:rFonts w:ascii="Calibri Light" w:hAnsi="Calibri Light" w:cs="Calibri Light"/>
          <w:color w:val="000000"/>
        </w:rPr>
        <w:t xml:space="preserve"> </w:t>
      </w:r>
      <w:r w:rsidR="00AE1586">
        <w:rPr>
          <w:rFonts w:ascii="Calibri Light" w:hAnsi="Calibri Light" w:cs="Calibri Light"/>
          <w:color w:val="000000"/>
        </w:rPr>
        <w:t xml:space="preserve">and </w:t>
      </w:r>
      <w:r w:rsidR="00F56E63">
        <w:rPr>
          <w:rFonts w:ascii="Calibri Light" w:hAnsi="Calibri Light" w:cs="Calibri Light"/>
          <w:color w:val="000000"/>
        </w:rPr>
        <w:t xml:space="preserve">provided </w:t>
      </w:r>
      <w:r>
        <w:rPr>
          <w:rFonts w:ascii="Calibri Light" w:hAnsi="Calibri Light" w:cs="Calibri Light"/>
          <w:color w:val="000000"/>
        </w:rPr>
        <w:t xml:space="preserve">sanitation facilities </w:t>
      </w:r>
      <w:r w:rsidR="003F5825">
        <w:rPr>
          <w:rFonts w:ascii="Calibri Light" w:hAnsi="Calibri Light" w:cs="Calibri Light"/>
          <w:color w:val="000000"/>
        </w:rPr>
        <w:t>to 10 </w:t>
      </w:r>
      <w:r>
        <w:rPr>
          <w:rFonts w:ascii="Calibri Light" w:hAnsi="Calibri Light" w:cs="Calibri Light"/>
          <w:color w:val="000000"/>
        </w:rPr>
        <w:t xml:space="preserve">communities. </w:t>
      </w:r>
      <w:r w:rsidR="003F5E1D" w:rsidRPr="003F5E1D">
        <w:rPr>
          <w:bCs/>
          <w:color w:val="000000"/>
        </w:rPr>
        <w:t xml:space="preserve">Australia’s support for participatory and inclusive planning in </w:t>
      </w:r>
      <w:r w:rsidR="00F73A03">
        <w:rPr>
          <w:bCs/>
          <w:color w:val="000000"/>
        </w:rPr>
        <w:t>the project</w:t>
      </w:r>
      <w:r w:rsidR="003F5E1D" w:rsidRPr="003F5E1D">
        <w:rPr>
          <w:bCs/>
          <w:color w:val="000000"/>
        </w:rPr>
        <w:t xml:space="preserve"> ensured </w:t>
      </w:r>
      <w:r w:rsidR="00CB2C5B">
        <w:rPr>
          <w:bCs/>
          <w:color w:val="000000"/>
        </w:rPr>
        <w:t>inclusion</w:t>
      </w:r>
      <w:r w:rsidR="003F5E1D" w:rsidRPr="003F5E1D">
        <w:rPr>
          <w:bCs/>
          <w:color w:val="000000"/>
        </w:rPr>
        <w:t xml:space="preserve"> of key outcomes for women and people with disabilities.</w:t>
      </w:r>
      <w:r w:rsidR="003F5E1D" w:rsidRPr="003F5E1D">
        <w:rPr>
          <w:rFonts w:ascii="Calibri Light" w:hAnsi="Calibri Light" w:cs="Calibri Light"/>
          <w:color w:val="000000"/>
        </w:rPr>
        <w:t xml:space="preserve"> </w:t>
      </w:r>
      <w:r w:rsidR="003F5E1D">
        <w:rPr>
          <w:rFonts w:ascii="Calibri Light" w:hAnsi="Calibri Light" w:cs="Calibri Light"/>
          <w:color w:val="000000"/>
        </w:rPr>
        <w:t>Sanitation facilities</w:t>
      </w:r>
      <w:r w:rsidR="00CB2C5B">
        <w:rPr>
          <w:rFonts w:ascii="Calibri Light" w:hAnsi="Calibri Light" w:cs="Calibri Light"/>
          <w:color w:val="000000"/>
        </w:rPr>
        <w:t xml:space="preserve">, positioned in locations negotiated with local users, </w:t>
      </w:r>
      <w:r w:rsidR="003F5E1D">
        <w:rPr>
          <w:rFonts w:ascii="Calibri Light" w:hAnsi="Calibri Light" w:cs="Calibri Light"/>
          <w:color w:val="000000"/>
        </w:rPr>
        <w:t xml:space="preserve">were built to Australian standards and with disability-appropriate toilets, hand basins, showers and laundries. </w:t>
      </w:r>
      <w:r>
        <w:rPr>
          <w:rFonts w:ascii="Calibri Light" w:hAnsi="Calibri Light" w:cs="Calibri Light"/>
          <w:color w:val="000000"/>
        </w:rPr>
        <w:t>Port Vila’s first Septage Treatment Facility is now operational and 100</w:t>
      </w:r>
      <w:r w:rsidR="00F73A03">
        <w:rPr>
          <w:rFonts w:ascii="Calibri Light" w:hAnsi="Calibri Light" w:cs="Calibri Light"/>
          <w:color w:val="000000"/>
        </w:rPr>
        <w:t xml:space="preserve"> per cent</w:t>
      </w:r>
      <w:r>
        <w:rPr>
          <w:rFonts w:ascii="Calibri Light" w:hAnsi="Calibri Light" w:cs="Calibri Light"/>
          <w:color w:val="000000"/>
        </w:rPr>
        <w:t xml:space="preserve"> </w:t>
      </w:r>
      <w:r w:rsidR="000D4795" w:rsidRPr="007C284E">
        <w:rPr>
          <w:rFonts w:ascii="Calibri Light" w:hAnsi="Calibri Light" w:cs="Calibri Light"/>
          <w:color w:val="000000"/>
        </w:rPr>
        <w:t>[</w:t>
      </w:r>
      <w:r w:rsidR="00A90315" w:rsidRPr="007C284E">
        <w:rPr>
          <w:rFonts w:ascii="Calibri Light" w:hAnsi="Calibri Light" w:cs="Calibri Light"/>
          <w:color w:val="000000"/>
        </w:rPr>
        <w:t>met</w:t>
      </w:r>
      <w:r w:rsidR="00930E65" w:rsidRPr="006B02B9">
        <w:rPr>
          <w:rFonts w:ascii="Calibri Light" w:hAnsi="Calibri Light" w:cs="Calibri Light"/>
          <w:color w:val="000000"/>
        </w:rPr>
        <w:t xml:space="preserve"> </w:t>
      </w:r>
      <w:r w:rsidR="000D4795" w:rsidRPr="006B02B9">
        <w:rPr>
          <w:rFonts w:ascii="Calibri Light" w:hAnsi="Calibri Light" w:cs="Calibri Light"/>
          <w:color w:val="000000"/>
        </w:rPr>
        <w:t xml:space="preserve">PAF </w:t>
      </w:r>
      <w:r w:rsidR="00930E65" w:rsidRPr="006B02B9">
        <w:rPr>
          <w:rFonts w:ascii="Calibri Light" w:hAnsi="Calibri Light" w:cs="Calibri Light"/>
          <w:color w:val="000000"/>
        </w:rPr>
        <w:t>target</w:t>
      </w:r>
      <w:r w:rsidR="000D4795" w:rsidRPr="006B02B9">
        <w:rPr>
          <w:rFonts w:ascii="Calibri Light" w:hAnsi="Calibri Light" w:cs="Calibri Light"/>
          <w:color w:val="000000"/>
        </w:rPr>
        <w:t xml:space="preserve"> 1.7</w:t>
      </w:r>
      <w:r w:rsidR="000D4795" w:rsidRPr="007C284E">
        <w:rPr>
          <w:rFonts w:ascii="Calibri Light" w:hAnsi="Calibri Light" w:cs="Calibri Light"/>
          <w:color w:val="000000"/>
        </w:rPr>
        <w:t>]</w:t>
      </w:r>
      <w:r w:rsidR="00930E65">
        <w:rPr>
          <w:rFonts w:ascii="Calibri Light" w:hAnsi="Calibri Light" w:cs="Calibri Light"/>
          <w:color w:val="000000"/>
        </w:rPr>
        <w:t xml:space="preserve"> </w:t>
      </w:r>
      <w:r>
        <w:rPr>
          <w:rFonts w:ascii="Calibri Light" w:hAnsi="Calibri Light" w:cs="Calibri Light"/>
          <w:color w:val="000000"/>
        </w:rPr>
        <w:t xml:space="preserve">of </w:t>
      </w:r>
      <w:r w:rsidR="003F5E1D">
        <w:rPr>
          <w:rFonts w:ascii="Calibri Light" w:hAnsi="Calibri Light" w:cs="Calibri Light"/>
          <w:color w:val="000000"/>
        </w:rPr>
        <w:t xml:space="preserve">municipal </w:t>
      </w:r>
      <w:r>
        <w:rPr>
          <w:rFonts w:ascii="Calibri Light" w:hAnsi="Calibri Light" w:cs="Calibri Light"/>
          <w:color w:val="000000"/>
        </w:rPr>
        <w:t>septic waste is treated at Vanuatu’s first sewerage treatment facility instead of being delivered to landfill.</w:t>
      </w:r>
      <w:r>
        <w:rPr>
          <w:color w:val="000000"/>
        </w:rPr>
        <w:t xml:space="preserve"> </w:t>
      </w:r>
      <w:r w:rsidR="007C284E">
        <w:rPr>
          <w:color w:val="000000"/>
        </w:rPr>
        <w:t xml:space="preserve">With major works complete, the Government is finalising outstanding project matters. </w:t>
      </w:r>
    </w:p>
    <w:p w:rsidR="00693DBC" w:rsidRPr="00930E65" w:rsidRDefault="00693DBC" w:rsidP="003F5E1D">
      <w:pPr>
        <w:suppressAutoHyphens w:val="0"/>
        <w:spacing w:before="0" w:after="120" w:line="440" w:lineRule="atLeast"/>
        <w:rPr>
          <w:rFonts w:eastAsia="Calibri" w:cstheme="minorHAnsi"/>
          <w:b/>
          <w:color w:val="000000"/>
          <w:sz w:val="24"/>
          <w:szCs w:val="24"/>
        </w:rPr>
      </w:pPr>
      <w:r w:rsidRPr="00C82F53">
        <w:rPr>
          <w:rFonts w:eastAsia="Calibri" w:cstheme="minorHAnsi"/>
          <w:b/>
          <w:color w:val="000000"/>
          <w:sz w:val="24"/>
          <w:szCs w:val="24"/>
        </w:rPr>
        <w:t xml:space="preserve">SKILLS &amp; </w:t>
      </w:r>
      <w:r w:rsidRPr="008B5AC8">
        <w:rPr>
          <w:rFonts w:eastAsia="Calibri" w:cstheme="minorHAnsi"/>
          <w:b/>
          <w:color w:val="000000"/>
          <w:sz w:val="24"/>
          <w:szCs w:val="24"/>
        </w:rPr>
        <w:t>EMPLOYMENT</w:t>
      </w:r>
    </w:p>
    <w:p w:rsidR="003B0003" w:rsidRPr="00476078" w:rsidRDefault="003F5825" w:rsidP="003F5825">
      <w:pPr>
        <w:pStyle w:val="xmsonormal"/>
        <w:rPr>
          <w:color w:val="000000"/>
        </w:rPr>
      </w:pPr>
      <w:r w:rsidRPr="00476078">
        <w:rPr>
          <w:rFonts w:ascii="Calibri Light" w:eastAsia="Times New Roman" w:hAnsi="Calibri Light" w:cs="Calibri Light"/>
          <w:b/>
          <w:color w:val="000000"/>
        </w:rPr>
        <w:t xml:space="preserve">Australia’s </w:t>
      </w:r>
      <w:r w:rsidR="00693DBC" w:rsidRPr="00476078">
        <w:rPr>
          <w:rFonts w:ascii="Calibri Light" w:eastAsia="Times New Roman" w:hAnsi="Calibri Light" w:cs="Calibri Light"/>
          <w:b/>
          <w:color w:val="000000"/>
        </w:rPr>
        <w:t xml:space="preserve">support of vocational education </w:t>
      </w:r>
      <w:r w:rsidR="003F4A4C" w:rsidRPr="00476078">
        <w:rPr>
          <w:rFonts w:ascii="Calibri Light" w:eastAsia="Times New Roman" w:hAnsi="Calibri Light" w:cs="Calibri Light"/>
          <w:b/>
          <w:color w:val="000000"/>
        </w:rPr>
        <w:t xml:space="preserve">focussed on </w:t>
      </w:r>
      <w:r w:rsidR="00693DBC" w:rsidRPr="00476078">
        <w:rPr>
          <w:rFonts w:ascii="Calibri Light" w:eastAsia="Times New Roman" w:hAnsi="Calibri Light" w:cs="Calibri Light"/>
          <w:b/>
          <w:color w:val="000000"/>
        </w:rPr>
        <w:t xml:space="preserve">strengthening systems and training. </w:t>
      </w:r>
      <w:r w:rsidR="00693DBC" w:rsidRPr="00476078">
        <w:rPr>
          <w:rFonts w:ascii="Calibri Light" w:eastAsia="Times New Roman" w:hAnsi="Calibri Light" w:cs="Calibri Light"/>
          <w:color w:val="000000"/>
        </w:rPr>
        <w:t xml:space="preserve">Through the Vanuatu Skills </w:t>
      </w:r>
      <w:r w:rsidR="00F4594D" w:rsidRPr="00476078">
        <w:rPr>
          <w:rFonts w:ascii="Calibri Light" w:eastAsia="Times New Roman" w:hAnsi="Calibri Light" w:cs="Calibri Light"/>
          <w:color w:val="000000"/>
        </w:rPr>
        <w:t>Partnership</w:t>
      </w:r>
      <w:r w:rsidR="00DA2A7B">
        <w:rPr>
          <w:rFonts w:ascii="Calibri Light" w:eastAsia="Times New Roman" w:hAnsi="Calibri Light" w:cs="Calibri Light"/>
          <w:color w:val="000000"/>
        </w:rPr>
        <w:t xml:space="preserve"> Phase 4</w:t>
      </w:r>
      <w:r w:rsidR="00F56E63">
        <w:rPr>
          <w:rFonts w:ascii="Calibri Light" w:eastAsia="Times New Roman" w:hAnsi="Calibri Light" w:cs="Calibri Light"/>
          <w:color w:val="000000"/>
        </w:rPr>
        <w:t>,</w:t>
      </w:r>
      <w:r w:rsidR="0068220C" w:rsidRPr="00476078">
        <w:rPr>
          <w:rFonts w:ascii="Calibri Light" w:eastAsia="Times New Roman" w:hAnsi="Calibri Light" w:cs="Calibri Light"/>
          <w:color w:val="000000"/>
        </w:rPr>
        <w:t xml:space="preserve"> </w:t>
      </w:r>
      <w:r w:rsidR="00693DBC" w:rsidRPr="00476078">
        <w:rPr>
          <w:rFonts w:ascii="Calibri Light" w:eastAsia="Times New Roman" w:hAnsi="Calibri Light" w:cs="Calibri Light"/>
          <w:color w:val="000000"/>
        </w:rPr>
        <w:t xml:space="preserve">Australia worked with </w:t>
      </w:r>
      <w:r w:rsidRPr="00476078">
        <w:rPr>
          <w:rFonts w:ascii="Calibri Light" w:eastAsia="Times New Roman" w:hAnsi="Calibri Light" w:cs="Calibri Light"/>
          <w:color w:val="000000"/>
        </w:rPr>
        <w:t>the Ministry of Education and Training</w:t>
      </w:r>
      <w:r w:rsidR="00F4594D" w:rsidRPr="00476078">
        <w:rPr>
          <w:rFonts w:ascii="Calibri Light" w:eastAsia="Times New Roman" w:hAnsi="Calibri Light" w:cs="Calibri Light"/>
          <w:color w:val="000000"/>
        </w:rPr>
        <w:t xml:space="preserve">, other </w:t>
      </w:r>
      <w:r w:rsidRPr="00476078">
        <w:rPr>
          <w:rFonts w:ascii="Calibri Light" w:eastAsia="Times New Roman" w:hAnsi="Calibri Light" w:cs="Calibri Light"/>
          <w:color w:val="000000"/>
        </w:rPr>
        <w:t xml:space="preserve">government </w:t>
      </w:r>
      <w:r w:rsidR="00F4594D" w:rsidRPr="00476078">
        <w:rPr>
          <w:rFonts w:ascii="Calibri Light" w:eastAsia="Times New Roman" w:hAnsi="Calibri Light" w:cs="Calibri Light"/>
          <w:color w:val="000000"/>
        </w:rPr>
        <w:t>department</w:t>
      </w:r>
      <w:r w:rsidR="00EF0D7C" w:rsidRPr="00476078">
        <w:rPr>
          <w:rFonts w:ascii="Calibri Light" w:eastAsia="Times New Roman" w:hAnsi="Calibri Light" w:cs="Calibri Light"/>
          <w:color w:val="000000"/>
        </w:rPr>
        <w:t>s</w:t>
      </w:r>
      <w:r w:rsidR="0068220C" w:rsidRPr="00476078">
        <w:rPr>
          <w:rFonts w:ascii="Calibri Light" w:eastAsia="Times New Roman" w:hAnsi="Calibri Light" w:cs="Calibri Light"/>
          <w:color w:val="000000"/>
        </w:rPr>
        <w:t xml:space="preserve">, </w:t>
      </w:r>
      <w:r w:rsidR="0068220C" w:rsidRPr="00476078">
        <w:rPr>
          <w:rFonts w:ascii="Calibri Light" w:hAnsi="Calibri Light"/>
          <w:color w:val="000000"/>
          <w:lang w:val="en-GB"/>
        </w:rPr>
        <w:t>registered training providers</w:t>
      </w:r>
      <w:r w:rsidR="00EF0D7C" w:rsidRPr="00476078">
        <w:rPr>
          <w:rFonts w:ascii="Calibri Light" w:hAnsi="Calibri Light"/>
          <w:color w:val="000000"/>
          <w:lang w:val="en-GB"/>
        </w:rPr>
        <w:t xml:space="preserve"> </w:t>
      </w:r>
      <w:r w:rsidR="00693DBC" w:rsidRPr="00476078">
        <w:rPr>
          <w:rFonts w:ascii="Calibri Light" w:eastAsia="Times New Roman" w:hAnsi="Calibri Light" w:cs="Calibri Light"/>
          <w:color w:val="000000"/>
        </w:rPr>
        <w:t xml:space="preserve">and private sector businesses to improve the relevance </w:t>
      </w:r>
      <w:r w:rsidR="0068220C" w:rsidRPr="00476078">
        <w:rPr>
          <w:rFonts w:ascii="Calibri Light" w:eastAsia="Times New Roman" w:hAnsi="Calibri Light" w:cs="Calibri Light"/>
          <w:color w:val="000000"/>
        </w:rPr>
        <w:t xml:space="preserve">and accessibility </w:t>
      </w:r>
      <w:r w:rsidR="00693DBC" w:rsidRPr="00476078">
        <w:rPr>
          <w:rFonts w:ascii="Calibri Light" w:eastAsia="Times New Roman" w:hAnsi="Calibri Light" w:cs="Calibri Light"/>
          <w:color w:val="000000"/>
        </w:rPr>
        <w:t>of vocational training</w:t>
      </w:r>
      <w:r w:rsidR="0068220C" w:rsidRPr="00476078">
        <w:rPr>
          <w:rFonts w:ascii="Calibri Light" w:eastAsia="Times New Roman" w:hAnsi="Calibri Light" w:cs="Calibri Light"/>
          <w:color w:val="000000"/>
        </w:rPr>
        <w:t>.</w:t>
      </w:r>
      <w:r w:rsidR="003B0003" w:rsidRPr="00476078">
        <w:rPr>
          <w:rFonts w:ascii="Calibri Light" w:eastAsia="Times New Roman" w:hAnsi="Calibri Light" w:cs="Calibri Light"/>
          <w:color w:val="000000"/>
        </w:rPr>
        <w:t xml:space="preserve"> </w:t>
      </w:r>
      <w:r w:rsidR="003F4A4C" w:rsidRPr="00476078">
        <w:rPr>
          <w:rFonts w:ascii="Calibri Light" w:hAnsi="Calibri Light"/>
          <w:color w:val="000000"/>
          <w:lang w:val="en-GB"/>
        </w:rPr>
        <w:t>S</w:t>
      </w:r>
      <w:r w:rsidR="0068220C" w:rsidRPr="00476078">
        <w:rPr>
          <w:rFonts w:ascii="Calibri Light" w:hAnsi="Calibri Light"/>
          <w:color w:val="000000"/>
          <w:lang w:val="en-GB"/>
        </w:rPr>
        <w:t xml:space="preserve">kills training and business development support </w:t>
      </w:r>
      <w:r w:rsidR="003F4A4C" w:rsidRPr="00476078">
        <w:rPr>
          <w:rFonts w:ascii="Calibri Light" w:hAnsi="Calibri Light"/>
          <w:color w:val="000000"/>
          <w:lang w:val="en-GB"/>
        </w:rPr>
        <w:t xml:space="preserve">provided </w:t>
      </w:r>
      <w:r w:rsidR="0068220C" w:rsidRPr="00476078">
        <w:rPr>
          <w:rFonts w:ascii="Calibri Light" w:hAnsi="Calibri Light"/>
          <w:color w:val="000000"/>
          <w:lang w:val="en-GB"/>
        </w:rPr>
        <w:t xml:space="preserve">to local entrepreneurs and communities in both urban and rural areas across </w:t>
      </w:r>
      <w:r w:rsidR="00FF5F7B">
        <w:rPr>
          <w:rFonts w:ascii="Calibri Light" w:hAnsi="Calibri Light"/>
          <w:color w:val="000000"/>
          <w:lang w:val="en-GB"/>
        </w:rPr>
        <w:t>Vanuatu</w:t>
      </w:r>
      <w:r w:rsidR="00D6798D" w:rsidRPr="00476078">
        <w:rPr>
          <w:rFonts w:ascii="Calibri Light" w:hAnsi="Calibri Light"/>
          <w:color w:val="000000"/>
          <w:lang w:val="en-GB"/>
        </w:rPr>
        <w:t>, focuss</w:t>
      </w:r>
      <w:r w:rsidR="00DA2A7B">
        <w:rPr>
          <w:rFonts w:ascii="Calibri Light" w:hAnsi="Calibri Light"/>
          <w:color w:val="000000"/>
          <w:lang w:val="en-GB"/>
        </w:rPr>
        <w:t>ed</w:t>
      </w:r>
      <w:r w:rsidR="00D6798D" w:rsidRPr="00476078">
        <w:rPr>
          <w:rFonts w:ascii="Calibri Light" w:hAnsi="Calibri Light"/>
          <w:color w:val="000000"/>
          <w:lang w:val="en-GB"/>
        </w:rPr>
        <w:t xml:space="preserve"> on </w:t>
      </w:r>
      <w:r w:rsidR="00DA2A7B">
        <w:rPr>
          <w:rFonts w:ascii="Calibri Light" w:hAnsi="Calibri Light"/>
          <w:color w:val="000000"/>
          <w:lang w:val="en-GB"/>
        </w:rPr>
        <w:t xml:space="preserve">tourism, </w:t>
      </w:r>
      <w:r w:rsidR="00D6798D" w:rsidRPr="00476078">
        <w:rPr>
          <w:rFonts w:ascii="Calibri Light" w:hAnsi="Calibri Light"/>
          <w:color w:val="000000"/>
          <w:lang w:val="en-GB"/>
        </w:rPr>
        <w:t>agriculture and handicrafts</w:t>
      </w:r>
      <w:r w:rsidR="0068220C" w:rsidRPr="00476078">
        <w:rPr>
          <w:rFonts w:ascii="Calibri Light" w:hAnsi="Calibri Light"/>
          <w:color w:val="000000"/>
          <w:lang w:val="en-GB"/>
        </w:rPr>
        <w:t>.</w:t>
      </w:r>
      <w:r w:rsidRPr="00476078">
        <w:rPr>
          <w:rFonts w:ascii="Calibri Light" w:hAnsi="Calibri Light"/>
          <w:color w:val="000000"/>
          <w:lang w:val="en-GB"/>
        </w:rPr>
        <w:t xml:space="preserve"> </w:t>
      </w:r>
      <w:r w:rsidR="00D6798D" w:rsidRPr="00476078">
        <w:rPr>
          <w:rFonts w:ascii="Calibri Light" w:hAnsi="Calibri Light"/>
          <w:color w:val="000000"/>
          <w:lang w:val="en-GB"/>
        </w:rPr>
        <w:t xml:space="preserve">The Sanma Skills centre facilitated the delivery of the first training in plumbing, in response to water and sanitation needs for over 3,000 persons displaced from volcanic eruptions on Ambae. </w:t>
      </w:r>
      <w:r w:rsidR="003B0003" w:rsidRPr="00476078">
        <w:rPr>
          <w:rFonts w:ascii="Calibri Light" w:eastAsia="Times New Roman" w:hAnsi="Calibri Light" w:cs="Calibri Light"/>
          <w:color w:val="000000"/>
        </w:rPr>
        <w:t>The tangible economic impacts and delivery partnership through both government and private sector providers is recognised as best practice</w:t>
      </w:r>
      <w:r w:rsidR="006B02B9">
        <w:rPr>
          <w:rFonts w:ascii="Calibri Light" w:eastAsia="Times New Roman" w:hAnsi="Calibri Light" w:cs="Calibri Light"/>
          <w:color w:val="000000"/>
        </w:rPr>
        <w:t xml:space="preserve"> by academics</w:t>
      </w:r>
      <w:r w:rsidR="00B170BA">
        <w:rPr>
          <w:rStyle w:val="FootnoteReference"/>
          <w:rFonts w:ascii="Calibri Light" w:eastAsia="Times New Roman" w:hAnsi="Calibri Light" w:cs="Calibri Light"/>
          <w:color w:val="000000"/>
        </w:rPr>
        <w:footnoteReference w:id="7"/>
      </w:r>
      <w:r w:rsidR="003B0003" w:rsidRPr="00476078">
        <w:rPr>
          <w:rFonts w:ascii="Calibri Light" w:eastAsia="Times New Roman" w:hAnsi="Calibri Light" w:cs="Calibri Light"/>
          <w:color w:val="000000"/>
        </w:rPr>
        <w:t>; helping to build local communities</w:t>
      </w:r>
      <w:r w:rsidR="00CB2C5B">
        <w:rPr>
          <w:rFonts w:ascii="Calibri Light" w:eastAsia="Times New Roman" w:hAnsi="Calibri Light" w:cs="Calibri Light"/>
          <w:color w:val="000000"/>
        </w:rPr>
        <w:t xml:space="preserve">, </w:t>
      </w:r>
      <w:r w:rsidR="003B0003" w:rsidRPr="00476078">
        <w:rPr>
          <w:rFonts w:ascii="Calibri Light" w:eastAsia="Times New Roman" w:hAnsi="Calibri Light" w:cs="Calibri Light"/>
          <w:color w:val="000000"/>
        </w:rPr>
        <w:t>deliver inclusive economic growth</w:t>
      </w:r>
      <w:r w:rsidR="00CB2C5B">
        <w:rPr>
          <w:rFonts w:ascii="Calibri Light" w:eastAsia="Times New Roman" w:hAnsi="Calibri Light" w:cs="Calibri Light"/>
          <w:color w:val="000000"/>
        </w:rPr>
        <w:t xml:space="preserve"> and</w:t>
      </w:r>
      <w:r w:rsidR="003B0003" w:rsidRPr="00476078">
        <w:rPr>
          <w:rFonts w:ascii="Calibri Light" w:eastAsia="Times New Roman" w:hAnsi="Calibri Light" w:cs="Calibri Light"/>
          <w:color w:val="000000"/>
        </w:rPr>
        <w:t xml:space="preserve"> support local livelihoods.</w:t>
      </w:r>
      <w:r w:rsidR="003F4A4C" w:rsidRPr="00476078">
        <w:rPr>
          <w:rFonts w:ascii="Calibri Light" w:eastAsia="Times New Roman" w:hAnsi="Calibri Light" w:cs="Calibri Light"/>
          <w:color w:val="000000"/>
        </w:rPr>
        <w:t xml:space="preserve"> In 2018-19 measures to address c</w:t>
      </w:r>
      <w:r w:rsidR="00F554BF" w:rsidRPr="00476078">
        <w:rPr>
          <w:rFonts w:ascii="Calibri Light" w:hAnsi="Calibri Light"/>
          <w:color w:val="000000"/>
          <w:lang w:val="en-GB"/>
        </w:rPr>
        <w:t>limate</w:t>
      </w:r>
      <w:r w:rsidR="003F4A4C" w:rsidRPr="00476078">
        <w:rPr>
          <w:rFonts w:ascii="Calibri Light" w:hAnsi="Calibri Light"/>
          <w:color w:val="000000"/>
          <w:lang w:val="en-GB"/>
        </w:rPr>
        <w:t xml:space="preserve"> change were integrated into all aspects of skills development support.</w:t>
      </w:r>
    </w:p>
    <w:p w:rsidR="00BE4123" w:rsidRPr="00476078" w:rsidRDefault="00693DBC" w:rsidP="00581C58">
      <w:pPr>
        <w:suppressAutoHyphens w:val="0"/>
        <w:spacing w:before="77" w:after="0" w:line="240" w:lineRule="auto"/>
        <w:rPr>
          <w:rFonts w:ascii="Calibri Light" w:hAnsi="Calibri Light"/>
          <w:color w:val="000000"/>
        </w:rPr>
      </w:pPr>
      <w:r w:rsidRPr="00C82F53">
        <w:rPr>
          <w:rFonts w:ascii="Calibri Light" w:eastAsia="Times New Roman" w:hAnsi="Calibri Light" w:cs="Calibri Light"/>
          <w:b/>
          <w:color w:val="000000"/>
        </w:rPr>
        <w:lastRenderedPageBreak/>
        <w:t>In 2018-</w:t>
      </w:r>
      <w:r w:rsidRPr="00581C58">
        <w:rPr>
          <w:rFonts w:ascii="Calibri Light" w:hAnsi="Calibri Light" w:cs="Calibri"/>
          <w:b/>
          <w:color w:val="000000"/>
        </w:rPr>
        <w:t>19</w:t>
      </w:r>
      <w:r w:rsidRPr="00C82F53">
        <w:rPr>
          <w:rFonts w:ascii="Calibri Light" w:eastAsia="Times New Roman" w:hAnsi="Calibri Light" w:cs="Calibri Light"/>
          <w:b/>
          <w:color w:val="000000"/>
        </w:rPr>
        <w:t xml:space="preserve">, </w:t>
      </w:r>
      <w:r w:rsidR="00F03585" w:rsidRPr="00C82F53">
        <w:rPr>
          <w:rFonts w:ascii="Calibri Light" w:eastAsia="Times New Roman" w:hAnsi="Calibri Light" w:cs="Calibri Light"/>
          <w:b/>
          <w:color w:val="000000"/>
        </w:rPr>
        <w:t>728</w:t>
      </w:r>
      <w:r w:rsidRPr="00C82F53">
        <w:rPr>
          <w:rFonts w:ascii="Calibri Light" w:eastAsia="Times New Roman" w:hAnsi="Calibri Light" w:cs="Calibri Light"/>
          <w:b/>
          <w:color w:val="000000"/>
        </w:rPr>
        <w:t xml:space="preserve"> people </w:t>
      </w:r>
      <w:r w:rsidR="00F03585" w:rsidRPr="00C82F53">
        <w:rPr>
          <w:rFonts w:ascii="Calibri Light" w:hAnsi="Calibri Light"/>
          <w:b/>
          <w:color w:val="000000"/>
        </w:rPr>
        <w:t xml:space="preserve">participated in skills development </w:t>
      </w:r>
      <w:r w:rsidR="00F03585" w:rsidRPr="00930E65">
        <w:rPr>
          <w:rFonts w:ascii="Calibri Light" w:hAnsi="Calibri Light"/>
          <w:b/>
          <w:color w:val="000000"/>
        </w:rPr>
        <w:t>activities</w:t>
      </w:r>
      <w:r w:rsidR="00F03585" w:rsidRPr="00476078">
        <w:rPr>
          <w:rFonts w:ascii="Calibri Light" w:hAnsi="Calibri Light"/>
          <w:color w:val="000000"/>
        </w:rPr>
        <w:t xml:space="preserve"> </w:t>
      </w:r>
      <w:r w:rsidRPr="00476078">
        <w:rPr>
          <w:rFonts w:ascii="Calibri Light" w:eastAsia="Times New Roman" w:hAnsi="Calibri Light" w:cs="Calibri Light"/>
          <w:color w:val="000000"/>
        </w:rPr>
        <w:t>(</w:t>
      </w:r>
      <w:r w:rsidR="00F03585" w:rsidRPr="00476078">
        <w:rPr>
          <w:rFonts w:ascii="Calibri Light" w:eastAsia="Times New Roman" w:hAnsi="Calibri Light" w:cs="Calibri Light"/>
          <w:color w:val="000000"/>
        </w:rPr>
        <w:t>66</w:t>
      </w:r>
      <w:r w:rsidR="00CF75BB">
        <w:rPr>
          <w:rFonts w:ascii="Calibri Light" w:eastAsia="Times New Roman" w:hAnsi="Calibri Light" w:cs="Calibri Light"/>
          <w:color w:val="000000"/>
        </w:rPr>
        <w:t xml:space="preserve"> per cent</w:t>
      </w:r>
      <w:r w:rsidRPr="00476078">
        <w:rPr>
          <w:rFonts w:ascii="Calibri Light" w:eastAsia="Times New Roman" w:hAnsi="Calibri Light" w:cs="Calibri Light"/>
          <w:color w:val="000000"/>
        </w:rPr>
        <w:t xml:space="preserve"> women, </w:t>
      </w:r>
      <w:r w:rsidR="00F03585" w:rsidRPr="00476078">
        <w:rPr>
          <w:rFonts w:ascii="Calibri Light" w:eastAsia="Times New Roman" w:hAnsi="Calibri Light" w:cs="Calibri Light"/>
          <w:color w:val="000000"/>
        </w:rPr>
        <w:t>2</w:t>
      </w:r>
      <w:r w:rsidR="00CF75BB">
        <w:rPr>
          <w:rFonts w:ascii="Calibri Light" w:eastAsia="Times New Roman" w:hAnsi="Calibri Light" w:cs="Calibri Light"/>
          <w:color w:val="000000"/>
        </w:rPr>
        <w:t xml:space="preserve"> per cent</w:t>
      </w:r>
      <w:r w:rsidRPr="00476078">
        <w:rPr>
          <w:rFonts w:ascii="Calibri Light" w:eastAsia="Times New Roman" w:hAnsi="Calibri Light" w:cs="Calibri Light"/>
          <w:color w:val="000000"/>
        </w:rPr>
        <w:t xml:space="preserve"> people with a disability), </w:t>
      </w:r>
      <w:r w:rsidR="00145A3A" w:rsidRPr="00476078">
        <w:rPr>
          <w:rFonts w:ascii="Calibri Light" w:eastAsia="Times New Roman" w:hAnsi="Calibri Light" w:cs="Calibri Light"/>
          <w:color w:val="000000"/>
        </w:rPr>
        <w:t>3</w:t>
      </w:r>
      <w:r w:rsidR="00F03585" w:rsidRPr="00476078">
        <w:rPr>
          <w:rFonts w:ascii="Calibri Light" w:eastAsia="Times New Roman" w:hAnsi="Calibri Light" w:cs="Calibri Light"/>
          <w:color w:val="000000"/>
        </w:rPr>
        <w:t>5</w:t>
      </w:r>
      <w:r w:rsidRPr="00476078">
        <w:rPr>
          <w:rFonts w:ascii="Calibri Light" w:eastAsia="Times New Roman" w:hAnsi="Calibri Light" w:cs="Calibri Light"/>
          <w:color w:val="000000"/>
        </w:rPr>
        <w:t xml:space="preserve"> private sector training providers were registered</w:t>
      </w:r>
      <w:r w:rsidR="00F03585" w:rsidRPr="00476078">
        <w:rPr>
          <w:rFonts w:ascii="Calibri Light" w:eastAsia="Times New Roman" w:hAnsi="Calibri Light" w:cs="Calibri Light"/>
          <w:color w:val="000000"/>
        </w:rPr>
        <w:t xml:space="preserve"> under the national Quality Assurance Framework</w:t>
      </w:r>
      <w:r w:rsidRPr="00476078">
        <w:rPr>
          <w:rFonts w:ascii="Calibri Light" w:eastAsia="Times New Roman" w:hAnsi="Calibri Light" w:cs="Calibri Light"/>
          <w:color w:val="000000"/>
        </w:rPr>
        <w:t xml:space="preserve"> and </w:t>
      </w:r>
      <w:r w:rsidR="00672429" w:rsidRPr="00476078">
        <w:rPr>
          <w:rFonts w:ascii="Calibri Light" w:eastAsia="Times New Roman" w:hAnsi="Calibri Light" w:cs="Calibri Light"/>
          <w:color w:val="000000"/>
        </w:rPr>
        <w:t>seven</w:t>
      </w:r>
      <w:r w:rsidRPr="00476078">
        <w:rPr>
          <w:rFonts w:ascii="Calibri Light" w:eastAsia="Times New Roman" w:hAnsi="Calibri Light" w:cs="Calibri Light"/>
          <w:color w:val="000000"/>
        </w:rPr>
        <w:t xml:space="preserve"> course</w:t>
      </w:r>
      <w:r w:rsidR="00B7421B" w:rsidRPr="00476078">
        <w:rPr>
          <w:rFonts w:ascii="Calibri Light" w:eastAsia="Times New Roman" w:hAnsi="Calibri Light" w:cs="Calibri Light"/>
          <w:color w:val="000000"/>
        </w:rPr>
        <w:t>s</w:t>
      </w:r>
      <w:r w:rsidRPr="00476078">
        <w:rPr>
          <w:rFonts w:ascii="Calibri Light" w:eastAsia="Times New Roman" w:hAnsi="Calibri Light" w:cs="Calibri Light"/>
          <w:color w:val="000000"/>
        </w:rPr>
        <w:t xml:space="preserve"> gained accreditation with the Vanuatu Qualifications Authority</w:t>
      </w:r>
      <w:r w:rsidRPr="00930E65">
        <w:rPr>
          <w:rFonts w:ascii="Calibri Light" w:eastAsia="Times New Roman" w:hAnsi="Calibri Light" w:cs="Calibri Light"/>
          <w:color w:val="000000"/>
        </w:rPr>
        <w:t xml:space="preserve">. </w:t>
      </w:r>
      <w:r w:rsidR="00672429" w:rsidRPr="00930E65">
        <w:rPr>
          <w:rFonts w:ascii="Calibri Light" w:eastAsia="Times New Roman" w:hAnsi="Calibri Light" w:cs="Calibri Light"/>
          <w:color w:val="000000"/>
        </w:rPr>
        <w:t>Eight</w:t>
      </w:r>
      <w:r w:rsidRPr="00930E65">
        <w:rPr>
          <w:rFonts w:ascii="Calibri Light" w:eastAsia="Times New Roman" w:hAnsi="Calibri Light" w:cs="Calibri Light"/>
          <w:color w:val="000000"/>
        </w:rPr>
        <w:t xml:space="preserve"> people with a disability (</w:t>
      </w:r>
      <w:r w:rsidR="00F03585" w:rsidRPr="00930E65">
        <w:rPr>
          <w:rFonts w:ascii="Calibri Light" w:eastAsia="Times New Roman" w:hAnsi="Calibri Light" w:cs="Calibri Light"/>
          <w:color w:val="000000"/>
        </w:rPr>
        <w:t xml:space="preserve">all </w:t>
      </w:r>
      <w:r w:rsidRPr="00930E65">
        <w:rPr>
          <w:rFonts w:ascii="Calibri Light" w:eastAsia="Times New Roman" w:hAnsi="Calibri Light" w:cs="Calibri Light"/>
          <w:color w:val="000000"/>
        </w:rPr>
        <w:t>women) deliver</w:t>
      </w:r>
      <w:r w:rsidR="00CF75BB" w:rsidRPr="00930E65">
        <w:rPr>
          <w:rFonts w:ascii="Calibri Light" w:eastAsia="Times New Roman" w:hAnsi="Calibri Light" w:cs="Calibri Light"/>
          <w:color w:val="000000"/>
        </w:rPr>
        <w:t>ed</w:t>
      </w:r>
      <w:r w:rsidRPr="00930E65">
        <w:rPr>
          <w:rFonts w:ascii="Calibri Light" w:eastAsia="Times New Roman" w:hAnsi="Calibri Light" w:cs="Calibri Light"/>
          <w:color w:val="000000"/>
        </w:rPr>
        <w:t xml:space="preserve"> training courses.</w:t>
      </w:r>
      <w:r w:rsidR="00EF0D7C" w:rsidRPr="00930E65">
        <w:rPr>
          <w:rFonts w:ascii="Calibri Light" w:hAnsi="Calibri Light"/>
          <w:color w:val="000000"/>
        </w:rPr>
        <w:t xml:space="preserve"> </w:t>
      </w:r>
      <w:r w:rsidR="00F03585" w:rsidRPr="00930E65">
        <w:rPr>
          <w:rFonts w:ascii="Calibri Light" w:hAnsi="Calibri Light"/>
          <w:color w:val="000000"/>
        </w:rPr>
        <w:t>Monitoring data from 81</w:t>
      </w:r>
      <w:r w:rsidR="00CF75BB" w:rsidRPr="00930E65">
        <w:rPr>
          <w:rFonts w:ascii="Calibri Light" w:hAnsi="Calibri Light"/>
          <w:color w:val="000000"/>
        </w:rPr>
        <w:t> </w:t>
      </w:r>
      <w:r w:rsidR="00DA2A7B">
        <w:rPr>
          <w:rFonts w:ascii="Calibri Light" w:hAnsi="Calibri Light"/>
          <w:color w:val="000000"/>
        </w:rPr>
        <w:t xml:space="preserve">entrepreneurs and </w:t>
      </w:r>
      <w:r w:rsidR="00F03585" w:rsidRPr="00930E65">
        <w:rPr>
          <w:rFonts w:ascii="Calibri Light" w:hAnsi="Calibri Light"/>
          <w:color w:val="000000"/>
        </w:rPr>
        <w:t xml:space="preserve">business owners </w:t>
      </w:r>
      <w:r w:rsidR="007C284E">
        <w:rPr>
          <w:rFonts w:ascii="Calibri Light" w:hAnsi="Calibri Light"/>
          <w:color w:val="000000"/>
        </w:rPr>
        <w:t>showed</w:t>
      </w:r>
      <w:r w:rsidR="00F03585" w:rsidRPr="00930E65">
        <w:rPr>
          <w:rFonts w:ascii="Calibri Light" w:hAnsi="Calibri Light"/>
          <w:color w:val="000000"/>
        </w:rPr>
        <w:t xml:space="preserve"> </w:t>
      </w:r>
      <w:r w:rsidR="00F03585" w:rsidRPr="00476078">
        <w:rPr>
          <w:rFonts w:ascii="Calibri Light" w:hAnsi="Calibri Light"/>
          <w:color w:val="000000"/>
        </w:rPr>
        <w:t>47</w:t>
      </w:r>
      <w:r w:rsidR="00CF75BB">
        <w:rPr>
          <w:rFonts w:ascii="Calibri Light" w:hAnsi="Calibri Light"/>
          <w:color w:val="000000"/>
        </w:rPr>
        <w:t xml:space="preserve"> per cent</w:t>
      </w:r>
      <w:r w:rsidR="000D4795">
        <w:rPr>
          <w:rFonts w:ascii="Calibri Light" w:hAnsi="Calibri Light"/>
          <w:color w:val="000000"/>
        </w:rPr>
        <w:t xml:space="preserve"> </w:t>
      </w:r>
      <w:r w:rsidR="00F03585" w:rsidRPr="00476078">
        <w:rPr>
          <w:rFonts w:ascii="Calibri Light" w:hAnsi="Calibri Light"/>
          <w:color w:val="000000"/>
        </w:rPr>
        <w:t xml:space="preserve">had earned more from their businesses </w:t>
      </w:r>
      <w:r w:rsidR="00E43E41">
        <w:rPr>
          <w:rFonts w:ascii="Calibri Light" w:hAnsi="Calibri Light"/>
          <w:color w:val="000000"/>
        </w:rPr>
        <w:t xml:space="preserve">than </w:t>
      </w:r>
      <w:r w:rsidR="00F03585" w:rsidRPr="00476078">
        <w:rPr>
          <w:rFonts w:ascii="Calibri Light" w:hAnsi="Calibri Light"/>
          <w:color w:val="000000"/>
        </w:rPr>
        <w:t xml:space="preserve">in the </w:t>
      </w:r>
      <w:r w:rsidR="007C284E">
        <w:rPr>
          <w:rFonts w:ascii="Calibri Light" w:hAnsi="Calibri Light"/>
          <w:color w:val="000000"/>
        </w:rPr>
        <w:t xml:space="preserve">previous </w:t>
      </w:r>
      <w:r w:rsidR="00672429" w:rsidRPr="00476078">
        <w:rPr>
          <w:rFonts w:ascii="Calibri Light" w:hAnsi="Calibri Light"/>
          <w:color w:val="000000"/>
        </w:rPr>
        <w:t>six</w:t>
      </w:r>
      <w:r w:rsidR="007C284E">
        <w:rPr>
          <w:rFonts w:ascii="Calibri Light" w:hAnsi="Calibri Light"/>
          <w:color w:val="000000"/>
        </w:rPr>
        <w:t xml:space="preserve"> month period</w:t>
      </w:r>
      <w:r w:rsidR="00F03585" w:rsidRPr="006867B3">
        <w:rPr>
          <w:rFonts w:ascii="Calibri Light" w:hAnsi="Calibri Light"/>
          <w:color w:val="000000"/>
        </w:rPr>
        <w:t>.</w:t>
      </w:r>
      <w:r w:rsidR="00F03585" w:rsidRPr="00476078">
        <w:rPr>
          <w:rFonts w:ascii="Calibri Light" w:hAnsi="Calibri Light"/>
          <w:color w:val="000000"/>
        </w:rPr>
        <w:t xml:space="preserve"> </w:t>
      </w:r>
      <w:r w:rsidR="00672429" w:rsidRPr="00476078">
        <w:rPr>
          <w:rFonts w:ascii="Calibri Light" w:hAnsi="Calibri Light"/>
          <w:color w:val="000000"/>
        </w:rPr>
        <w:t>In</w:t>
      </w:r>
      <w:r w:rsidR="00F03585" w:rsidRPr="00476078">
        <w:rPr>
          <w:rFonts w:ascii="Calibri Light" w:hAnsi="Calibri Light"/>
          <w:color w:val="000000"/>
        </w:rPr>
        <w:t xml:space="preserve"> the </w:t>
      </w:r>
      <w:r w:rsidR="00672429" w:rsidRPr="00476078">
        <w:rPr>
          <w:rFonts w:ascii="Calibri Light" w:hAnsi="Calibri Light"/>
          <w:color w:val="000000"/>
        </w:rPr>
        <w:t>a</w:t>
      </w:r>
      <w:r w:rsidR="00F03585" w:rsidRPr="00476078">
        <w:rPr>
          <w:rFonts w:ascii="Calibri Light" w:hAnsi="Calibri Light"/>
          <w:color w:val="000000"/>
        </w:rPr>
        <w:t>gribusiness sector 80</w:t>
      </w:r>
      <w:r w:rsidR="00CF75BB">
        <w:rPr>
          <w:rFonts w:ascii="Calibri Light" w:hAnsi="Calibri Light"/>
          <w:color w:val="000000"/>
        </w:rPr>
        <w:t xml:space="preserve"> per cent</w:t>
      </w:r>
      <w:r w:rsidR="00F03585" w:rsidRPr="00476078">
        <w:rPr>
          <w:rFonts w:ascii="Calibri Light" w:hAnsi="Calibri Light"/>
          <w:color w:val="000000"/>
        </w:rPr>
        <w:t xml:space="preserve"> of business clients reported increased productivity </w:t>
      </w:r>
      <w:r w:rsidR="00672429" w:rsidRPr="00476078">
        <w:rPr>
          <w:rFonts w:ascii="Calibri Light" w:hAnsi="Calibri Light"/>
          <w:color w:val="000000"/>
        </w:rPr>
        <w:t>in</w:t>
      </w:r>
      <w:r w:rsidR="00F03585" w:rsidRPr="00476078">
        <w:rPr>
          <w:rFonts w:ascii="Calibri Light" w:hAnsi="Calibri Light"/>
          <w:color w:val="000000"/>
        </w:rPr>
        <w:t xml:space="preserve"> the last </w:t>
      </w:r>
      <w:r w:rsidR="00672429" w:rsidRPr="00476078">
        <w:rPr>
          <w:rFonts w:ascii="Calibri Light" w:hAnsi="Calibri Light"/>
          <w:color w:val="000000"/>
        </w:rPr>
        <w:t xml:space="preserve">six </w:t>
      </w:r>
      <w:r w:rsidR="00F03585" w:rsidRPr="00476078">
        <w:rPr>
          <w:rFonts w:ascii="Calibri Light" w:hAnsi="Calibri Light"/>
          <w:color w:val="000000"/>
        </w:rPr>
        <w:t>months</w:t>
      </w:r>
      <w:r w:rsidR="006867B3">
        <w:rPr>
          <w:rFonts w:ascii="Calibri Light" w:hAnsi="Calibri Light"/>
          <w:color w:val="000000"/>
        </w:rPr>
        <w:t xml:space="preserve">. </w:t>
      </w:r>
      <w:r w:rsidR="000D4795">
        <w:rPr>
          <w:rFonts w:ascii="Calibri Light" w:hAnsi="Calibri Light"/>
          <w:color w:val="000000"/>
        </w:rPr>
        <w:t xml:space="preserve"> </w:t>
      </w:r>
    </w:p>
    <w:p w:rsidR="00476078" w:rsidRPr="00581C58" w:rsidRDefault="00D6798D" w:rsidP="00581C58">
      <w:pPr>
        <w:suppressAutoHyphens w:val="0"/>
        <w:spacing w:before="77" w:after="0" w:line="240" w:lineRule="auto"/>
        <w:rPr>
          <w:rFonts w:ascii="Calibri Light" w:hAnsi="Calibri Light" w:cs="Calibri"/>
          <w:color w:val="000000"/>
        </w:rPr>
      </w:pPr>
      <w:r w:rsidRPr="00476078">
        <w:rPr>
          <w:rFonts w:ascii="Calibri Light" w:hAnsi="Calibri Light"/>
          <w:b/>
          <w:color w:val="000000"/>
        </w:rPr>
        <w:t xml:space="preserve">Australia’s </w:t>
      </w:r>
      <w:r w:rsidRPr="00476078">
        <w:rPr>
          <w:rFonts w:ascii="Calibri Light" w:eastAsia="Times New Roman" w:hAnsi="Calibri Light" w:cs="Calibri Light"/>
          <w:b/>
          <w:color w:val="000000"/>
        </w:rPr>
        <w:t>support</w:t>
      </w:r>
      <w:r w:rsidRPr="00476078">
        <w:rPr>
          <w:rFonts w:ascii="Calibri Light" w:hAnsi="Calibri Light"/>
          <w:b/>
          <w:color w:val="000000"/>
        </w:rPr>
        <w:t xml:space="preserve"> for skills development aligned with Vanuatu’s human resource priorities and </w:t>
      </w:r>
      <w:r w:rsidR="00476078">
        <w:rPr>
          <w:rFonts w:ascii="Calibri Light" w:hAnsi="Calibri Light"/>
          <w:b/>
          <w:color w:val="000000"/>
        </w:rPr>
        <w:t>created</w:t>
      </w:r>
      <w:r w:rsidRPr="00476078">
        <w:rPr>
          <w:rFonts w:ascii="Calibri Light" w:hAnsi="Calibri Light"/>
          <w:b/>
          <w:color w:val="000000"/>
        </w:rPr>
        <w:t xml:space="preserve"> em</w:t>
      </w:r>
      <w:r w:rsidR="003F4A4C" w:rsidRPr="00476078">
        <w:rPr>
          <w:rFonts w:ascii="Calibri Light" w:hAnsi="Calibri Light"/>
          <w:b/>
          <w:color w:val="000000"/>
        </w:rPr>
        <w:t xml:space="preserve">ployment opportunities. </w:t>
      </w:r>
      <w:r w:rsidR="003F5825" w:rsidRPr="00476078">
        <w:rPr>
          <w:rFonts w:ascii="Calibri Light" w:hAnsi="Calibri Light"/>
          <w:color w:val="000000"/>
        </w:rPr>
        <w:t xml:space="preserve">Australia supported development of </w:t>
      </w:r>
      <w:r w:rsidR="005266A2">
        <w:rPr>
          <w:rFonts w:ascii="Calibri Light" w:hAnsi="Calibri Light"/>
          <w:color w:val="000000"/>
        </w:rPr>
        <w:t>Vanuatu’</w:t>
      </w:r>
      <w:r w:rsidR="003F5825" w:rsidRPr="00476078">
        <w:rPr>
          <w:rFonts w:ascii="Calibri Light" w:hAnsi="Calibri Light"/>
          <w:color w:val="000000"/>
        </w:rPr>
        <w:t>s first Human Resource Development Plan</w:t>
      </w:r>
      <w:r w:rsidR="006C4C9D" w:rsidRPr="00476078">
        <w:rPr>
          <w:rFonts w:ascii="Calibri Light" w:hAnsi="Calibri Light"/>
          <w:color w:val="000000"/>
        </w:rPr>
        <w:t>,</w:t>
      </w:r>
      <w:r w:rsidR="003F5825" w:rsidRPr="00476078">
        <w:rPr>
          <w:rFonts w:ascii="Calibri Light" w:hAnsi="Calibri Light"/>
          <w:b/>
          <w:color w:val="000000"/>
        </w:rPr>
        <w:t xml:space="preserve"> </w:t>
      </w:r>
      <w:r w:rsidR="00B170BA" w:rsidRPr="00B83D47">
        <w:rPr>
          <w:rFonts w:ascii="Calibri Light" w:hAnsi="Calibri Light"/>
          <w:color w:val="000000"/>
        </w:rPr>
        <w:t>which was</w:t>
      </w:r>
      <w:r w:rsidR="00B170BA">
        <w:rPr>
          <w:rFonts w:ascii="Calibri Light" w:hAnsi="Calibri Light"/>
          <w:b/>
          <w:color w:val="000000"/>
        </w:rPr>
        <w:t xml:space="preserve"> </w:t>
      </w:r>
      <w:r w:rsidR="003F5825" w:rsidRPr="00476078">
        <w:rPr>
          <w:rFonts w:ascii="Calibri Light" w:hAnsi="Calibri Light"/>
          <w:color w:val="000000"/>
        </w:rPr>
        <w:t>launched in 2019.</w:t>
      </w:r>
      <w:r w:rsidR="006C4C9D" w:rsidRPr="00476078">
        <w:rPr>
          <w:rFonts w:ascii="Calibri Light" w:hAnsi="Calibri Light"/>
          <w:b/>
          <w:color w:val="000000"/>
        </w:rPr>
        <w:t xml:space="preserve"> </w:t>
      </w:r>
      <w:r w:rsidR="00C945FF" w:rsidRPr="00476078">
        <w:rPr>
          <w:rFonts w:ascii="Calibri Light" w:eastAsia="Times New Roman" w:hAnsi="Calibri Light" w:cs="Calibri Light"/>
          <w:color w:val="000000"/>
        </w:rPr>
        <w:t xml:space="preserve">Since 2008, </w:t>
      </w:r>
      <w:r w:rsidR="00AE1586">
        <w:rPr>
          <w:rFonts w:ascii="Calibri Light" w:eastAsia="Times New Roman" w:hAnsi="Calibri Light" w:cs="Calibri Light"/>
          <w:color w:val="000000"/>
        </w:rPr>
        <w:t xml:space="preserve">the </w:t>
      </w:r>
      <w:r w:rsidR="00C945FF" w:rsidRPr="00476078">
        <w:rPr>
          <w:rFonts w:ascii="Calibri Light" w:eastAsia="Times New Roman" w:hAnsi="Calibri Light" w:cs="Calibri Light"/>
          <w:color w:val="000000"/>
        </w:rPr>
        <w:t>Australia Pacific Training Coalition</w:t>
      </w:r>
      <w:r w:rsidR="005266A2">
        <w:rPr>
          <w:rFonts w:ascii="Calibri Light" w:eastAsia="Times New Roman" w:hAnsi="Calibri Light" w:cs="Calibri Light"/>
          <w:color w:val="000000"/>
        </w:rPr>
        <w:t xml:space="preserve"> </w:t>
      </w:r>
      <w:r w:rsidR="00C945FF" w:rsidRPr="00476078">
        <w:rPr>
          <w:rFonts w:ascii="Calibri Light" w:eastAsia="Times New Roman" w:hAnsi="Calibri Light" w:cs="Calibri Light"/>
          <w:color w:val="000000"/>
        </w:rPr>
        <w:t xml:space="preserve">has trained </w:t>
      </w:r>
      <w:r w:rsidR="005266A2">
        <w:rPr>
          <w:rFonts w:ascii="Calibri Light" w:eastAsia="Times New Roman" w:hAnsi="Calibri Light" w:cs="Calibri Light"/>
          <w:color w:val="000000"/>
        </w:rPr>
        <w:t>almost</w:t>
      </w:r>
      <w:r w:rsidR="00C945FF" w:rsidRPr="00476078">
        <w:rPr>
          <w:rFonts w:ascii="Calibri Light" w:eastAsia="Times New Roman" w:hAnsi="Calibri Light" w:cs="Calibri Light"/>
          <w:color w:val="000000"/>
        </w:rPr>
        <w:t xml:space="preserve"> 2,000 (</w:t>
      </w:r>
      <w:r w:rsidR="00755E1E">
        <w:rPr>
          <w:rFonts w:ascii="Calibri Light" w:eastAsia="Times New Roman" w:hAnsi="Calibri Light" w:cs="Calibri Light"/>
          <w:color w:val="000000"/>
        </w:rPr>
        <w:t xml:space="preserve">171: </w:t>
      </w:r>
      <w:r w:rsidR="00511C77" w:rsidRPr="007C284E">
        <w:rPr>
          <w:rFonts w:ascii="Calibri Light" w:eastAsia="Times New Roman" w:hAnsi="Calibri Light" w:cs="Calibri Light"/>
          <w:color w:val="000000"/>
        </w:rPr>
        <w:t xml:space="preserve">91 </w:t>
      </w:r>
      <w:r w:rsidR="00755E1E">
        <w:rPr>
          <w:rFonts w:ascii="Calibri Light" w:eastAsia="Times New Roman" w:hAnsi="Calibri Light" w:cs="Calibri Light"/>
          <w:color w:val="000000"/>
        </w:rPr>
        <w:t>women</w:t>
      </w:r>
      <w:r w:rsidR="00C945FF" w:rsidRPr="00476078">
        <w:rPr>
          <w:rFonts w:ascii="Calibri Light" w:eastAsia="Times New Roman" w:hAnsi="Calibri Light" w:cs="Calibri Light"/>
          <w:color w:val="000000"/>
        </w:rPr>
        <w:t xml:space="preserve"> in 2018-19) ni-Vanuatu</w:t>
      </w:r>
      <w:r w:rsidRPr="00476078">
        <w:rPr>
          <w:rFonts w:ascii="Calibri Light" w:hAnsi="Calibri Light"/>
          <w:color w:val="000000"/>
        </w:rPr>
        <w:t>, achieving internationally recognised qualifications</w:t>
      </w:r>
      <w:r w:rsidR="005266A2">
        <w:rPr>
          <w:rFonts w:ascii="Calibri Light" w:hAnsi="Calibri Light"/>
          <w:color w:val="000000"/>
        </w:rPr>
        <w:t xml:space="preserve"> including in </w:t>
      </w:r>
      <w:r w:rsidR="00C945FF" w:rsidRPr="00476078">
        <w:rPr>
          <w:rFonts w:ascii="Calibri Light" w:hAnsi="Calibri Light"/>
          <w:color w:val="000000"/>
        </w:rPr>
        <w:t>carpentry, hospitality, education support, tourism, training and assessment, leadership and management</w:t>
      </w:r>
      <w:r w:rsidRPr="00476078">
        <w:rPr>
          <w:rFonts w:ascii="Calibri Light" w:hAnsi="Calibri Light"/>
          <w:color w:val="000000"/>
        </w:rPr>
        <w:t xml:space="preserve">. In 2018-19 Vanuatu was the largest labour sending country under </w:t>
      </w:r>
      <w:r w:rsidR="00AE1586">
        <w:rPr>
          <w:rFonts w:ascii="Calibri Light" w:hAnsi="Calibri Light"/>
          <w:color w:val="000000"/>
        </w:rPr>
        <w:t xml:space="preserve">Australia’s </w:t>
      </w:r>
      <w:r w:rsidR="00C945FF" w:rsidRPr="00476078">
        <w:rPr>
          <w:rFonts w:ascii="Calibri Light" w:hAnsi="Calibri Light"/>
          <w:color w:val="000000"/>
        </w:rPr>
        <w:t xml:space="preserve">labour </w:t>
      </w:r>
      <w:r w:rsidR="00C945FF" w:rsidRPr="00476078">
        <w:rPr>
          <w:rFonts w:ascii="Calibri Light" w:eastAsia="Times New Roman" w:hAnsi="Calibri Light" w:cs="Calibri Light"/>
          <w:color w:val="000000"/>
        </w:rPr>
        <w:t>mobility</w:t>
      </w:r>
      <w:r w:rsidR="00C945FF" w:rsidRPr="00476078">
        <w:rPr>
          <w:rFonts w:ascii="Calibri Light" w:hAnsi="Calibri Light"/>
          <w:color w:val="000000"/>
        </w:rPr>
        <w:t xml:space="preserve"> schemes</w:t>
      </w:r>
      <w:r w:rsidRPr="00476078">
        <w:rPr>
          <w:rFonts w:ascii="Calibri Light" w:hAnsi="Calibri Light"/>
          <w:color w:val="000000"/>
        </w:rPr>
        <w:t xml:space="preserve">, providing employment opportunities </w:t>
      </w:r>
      <w:r w:rsidR="00C945FF" w:rsidRPr="00476078">
        <w:rPr>
          <w:rFonts w:ascii="Calibri Light" w:hAnsi="Calibri Light"/>
          <w:color w:val="000000"/>
        </w:rPr>
        <w:t>and bringing diverse skills, experience and exposure back to Vanuatu</w:t>
      </w:r>
      <w:r w:rsidR="00A90315">
        <w:rPr>
          <w:rFonts w:ascii="Calibri Light" w:hAnsi="Calibri Light"/>
          <w:color w:val="000000"/>
        </w:rPr>
        <w:t xml:space="preserve"> for 4,964 (889 women</w:t>
      </w:r>
      <w:r w:rsidR="00A90315" w:rsidRPr="006867B3">
        <w:rPr>
          <w:rFonts w:ascii="Calibri Light" w:hAnsi="Calibri Light"/>
          <w:color w:val="000000"/>
        </w:rPr>
        <w:t>)</w:t>
      </w:r>
      <w:r w:rsidR="00A90315" w:rsidRPr="007C284E">
        <w:rPr>
          <w:rFonts w:ascii="Calibri Light" w:hAnsi="Calibri Light"/>
          <w:color w:val="000000"/>
        </w:rPr>
        <w:t xml:space="preserve"> workers</w:t>
      </w:r>
      <w:r w:rsidR="00A90315" w:rsidRPr="006867B3">
        <w:rPr>
          <w:rFonts w:ascii="Calibri Light" w:hAnsi="Calibri Light"/>
          <w:color w:val="000000"/>
        </w:rPr>
        <w:t xml:space="preserve"> [exceeded PAF target 1.8]</w:t>
      </w:r>
      <w:r w:rsidR="00C945FF" w:rsidRPr="006867B3">
        <w:rPr>
          <w:rFonts w:ascii="Calibri Light" w:hAnsi="Calibri Light"/>
          <w:color w:val="000000"/>
        </w:rPr>
        <w:t>.</w:t>
      </w:r>
    </w:p>
    <w:p w:rsidR="00C945FF" w:rsidRPr="00A73791" w:rsidRDefault="00C945FF" w:rsidP="00581C58">
      <w:pPr>
        <w:suppressAutoHyphens w:val="0"/>
        <w:spacing w:before="77" w:after="0" w:line="240" w:lineRule="auto"/>
        <w:rPr>
          <w:rFonts w:ascii="Calibri Light" w:eastAsia="Times New Roman" w:hAnsi="Calibri Light" w:cs="Calibri Light"/>
          <w:color w:val="000000"/>
        </w:rPr>
      </w:pPr>
      <w:r w:rsidRPr="00C945FF">
        <w:rPr>
          <w:rFonts w:ascii="Calibri Light" w:eastAsia="Calibri" w:hAnsi="Calibri Light" w:cs="Times New Roman"/>
          <w:b/>
          <w:color w:val="000000"/>
        </w:rPr>
        <w:t xml:space="preserve">In 2018-19 </w:t>
      </w:r>
      <w:r w:rsidRPr="00476078">
        <w:rPr>
          <w:rFonts w:ascii="Calibri Light" w:eastAsia="Times New Roman" w:hAnsi="Calibri Light" w:cs="Calibri Light"/>
          <w:b/>
          <w:color w:val="000000"/>
        </w:rPr>
        <w:t>Australia</w:t>
      </w:r>
      <w:r w:rsidRPr="00B71BBA">
        <w:rPr>
          <w:rFonts w:ascii="Calibri Light" w:eastAsia="Calibri" w:hAnsi="Calibri Light" w:cs="Times New Roman"/>
          <w:b/>
          <w:color w:val="000000"/>
        </w:rPr>
        <w:t xml:space="preserve"> Awards provided 46 ni-Vanuatu (52</w:t>
      </w:r>
      <w:r w:rsidR="00CF75BB">
        <w:rPr>
          <w:rFonts w:ascii="Calibri Light" w:eastAsia="Calibri" w:hAnsi="Calibri Light" w:cs="Times New Roman"/>
          <w:b/>
          <w:color w:val="000000"/>
        </w:rPr>
        <w:t xml:space="preserve"> per cent</w:t>
      </w:r>
      <w:r w:rsidRPr="00B71BBA">
        <w:rPr>
          <w:rFonts w:ascii="Calibri Light" w:eastAsia="Calibri" w:hAnsi="Calibri Light" w:cs="Times New Roman"/>
          <w:b/>
          <w:color w:val="000000"/>
        </w:rPr>
        <w:t xml:space="preserve"> women) </w:t>
      </w:r>
      <w:r w:rsidRPr="00B71BBA">
        <w:rPr>
          <w:rFonts w:ascii="Calibri Light" w:hAnsi="Calibri Light"/>
          <w:b/>
          <w:color w:val="000000"/>
        </w:rPr>
        <w:t xml:space="preserve">with </w:t>
      </w:r>
      <w:r w:rsidRPr="00B71BBA">
        <w:rPr>
          <w:rFonts w:ascii="Calibri Light" w:eastAsia="Calibri" w:hAnsi="Calibri Light" w:cs="Times New Roman"/>
          <w:b/>
          <w:color w:val="000000"/>
        </w:rPr>
        <w:t>an opportunity to undertake study, research and professional development</w:t>
      </w:r>
      <w:r w:rsidRPr="00B71BBA">
        <w:rPr>
          <w:rFonts w:ascii="Calibri Light" w:eastAsia="Calibri" w:hAnsi="Calibri Light" w:cs="Times New Roman"/>
          <w:color w:val="000000"/>
        </w:rPr>
        <w:t xml:space="preserve"> in Australia and the region</w:t>
      </w:r>
      <w:r>
        <w:rPr>
          <w:rFonts w:ascii="Calibri Light" w:eastAsia="Calibri" w:hAnsi="Calibri Light" w:cs="Times New Roman"/>
          <w:color w:val="000000"/>
        </w:rPr>
        <w:t>,</w:t>
      </w:r>
      <w:r w:rsidRPr="00A73791">
        <w:rPr>
          <w:rFonts w:ascii="Calibri Light" w:eastAsia="Calibri" w:hAnsi="Calibri Light" w:cs="Times New Roman"/>
          <w:color w:val="000000"/>
        </w:rPr>
        <w:t xml:space="preserve"> building </w:t>
      </w:r>
      <w:r w:rsidR="00DA2A7B">
        <w:rPr>
          <w:rFonts w:ascii="Calibri Light" w:eastAsia="Calibri" w:hAnsi="Calibri Light" w:cs="Times New Roman"/>
          <w:color w:val="000000"/>
        </w:rPr>
        <w:t xml:space="preserve">Vanuatu’s </w:t>
      </w:r>
      <w:r w:rsidRPr="00A73791">
        <w:rPr>
          <w:rFonts w:ascii="Calibri Light" w:eastAsia="Calibri" w:hAnsi="Calibri Light" w:cs="Times New Roman"/>
          <w:color w:val="000000"/>
        </w:rPr>
        <w:t>human capital</w:t>
      </w:r>
      <w:r w:rsidRPr="00B71BBA">
        <w:rPr>
          <w:rFonts w:ascii="Calibri Light" w:eastAsia="Calibri" w:hAnsi="Calibri Light" w:cs="Times New Roman"/>
          <w:b/>
          <w:color w:val="000000"/>
        </w:rPr>
        <w:t xml:space="preserve">. </w:t>
      </w:r>
      <w:r w:rsidR="00DA2A7B" w:rsidRPr="00B53274">
        <w:rPr>
          <w:rFonts w:ascii="Calibri Light" w:eastAsia="Calibri" w:hAnsi="Calibri Light" w:cs="Times New Roman"/>
          <w:color w:val="000000"/>
        </w:rPr>
        <w:t xml:space="preserve">Of </w:t>
      </w:r>
      <w:r w:rsidR="0078154C">
        <w:rPr>
          <w:rFonts w:ascii="Calibri Light" w:eastAsia="Calibri" w:hAnsi="Calibri Light" w:cs="Times New Roman"/>
          <w:color w:val="000000"/>
        </w:rPr>
        <w:t>20</w:t>
      </w:r>
      <w:r w:rsidR="0078154C" w:rsidRPr="00B53274">
        <w:rPr>
          <w:rFonts w:ascii="Calibri Light" w:eastAsia="Calibri" w:hAnsi="Calibri Light" w:cs="Times New Roman"/>
          <w:color w:val="000000"/>
        </w:rPr>
        <w:t xml:space="preserve"> new A</w:t>
      </w:r>
      <w:r w:rsidR="00DA2A7B" w:rsidRPr="00B53274">
        <w:rPr>
          <w:rFonts w:ascii="Calibri Light" w:eastAsia="Calibri" w:hAnsi="Calibri Light" w:cs="Times New Roman"/>
          <w:color w:val="000000"/>
        </w:rPr>
        <w:t xml:space="preserve">wards </w:t>
      </w:r>
      <w:r w:rsidR="00DA2A7B" w:rsidRPr="00B53274">
        <w:rPr>
          <w:rFonts w:ascii="Calibri Light" w:eastAsia="Times New Roman" w:hAnsi="Calibri Light" w:cs="Calibri Light"/>
          <w:color w:val="000000"/>
        </w:rPr>
        <w:t>i</w:t>
      </w:r>
      <w:r w:rsidRPr="00B53274">
        <w:rPr>
          <w:rFonts w:ascii="Calibri Light" w:eastAsia="Times New Roman" w:hAnsi="Calibri Light" w:cs="Calibri Light"/>
          <w:color w:val="000000"/>
        </w:rPr>
        <w:t>n</w:t>
      </w:r>
      <w:r w:rsidRPr="00A73791">
        <w:rPr>
          <w:rFonts w:ascii="Calibri Light" w:eastAsia="Times New Roman" w:hAnsi="Calibri Light" w:cs="Calibri Light"/>
          <w:color w:val="000000"/>
        </w:rPr>
        <w:t xml:space="preserve"> 2019, 50</w:t>
      </w:r>
      <w:r w:rsidR="00CF75BB">
        <w:rPr>
          <w:rFonts w:ascii="Calibri Light" w:eastAsia="Times New Roman" w:hAnsi="Calibri Light" w:cs="Calibri Light"/>
          <w:color w:val="000000"/>
        </w:rPr>
        <w:t xml:space="preserve"> per cent</w:t>
      </w:r>
      <w:r>
        <w:rPr>
          <w:rFonts w:ascii="Calibri Light" w:eastAsia="Times New Roman" w:hAnsi="Calibri Light" w:cs="Calibri Light"/>
          <w:color w:val="000000"/>
        </w:rPr>
        <w:t xml:space="preserve"> </w:t>
      </w:r>
      <w:r w:rsidR="00DA2A7B">
        <w:rPr>
          <w:rFonts w:ascii="Calibri Light" w:eastAsia="Times New Roman" w:hAnsi="Calibri Light" w:cs="Calibri Light"/>
          <w:color w:val="000000"/>
        </w:rPr>
        <w:t xml:space="preserve">were received by </w:t>
      </w:r>
      <w:r>
        <w:rPr>
          <w:rFonts w:ascii="Calibri Light" w:eastAsia="Times New Roman" w:hAnsi="Calibri Light" w:cs="Calibri Light"/>
          <w:color w:val="000000"/>
        </w:rPr>
        <w:t xml:space="preserve">women. </w:t>
      </w:r>
      <w:r w:rsidR="00476078" w:rsidRPr="006867B3">
        <w:rPr>
          <w:rFonts w:ascii="Calibri Light" w:eastAsia="Times New Roman" w:hAnsi="Calibri Light" w:cs="Calibri Light"/>
          <w:color w:val="000000"/>
        </w:rPr>
        <w:t xml:space="preserve">A </w:t>
      </w:r>
      <w:r w:rsidRPr="00E5395F">
        <w:rPr>
          <w:rFonts w:ascii="Calibri Light" w:eastAsia="Times New Roman" w:hAnsi="Calibri Light" w:cs="Calibri Light"/>
          <w:color w:val="000000"/>
        </w:rPr>
        <w:t xml:space="preserve">new </w:t>
      </w:r>
      <w:r w:rsidR="00A90315" w:rsidRPr="007C284E">
        <w:rPr>
          <w:rFonts w:ascii="Calibri Light" w:eastAsia="Times New Roman" w:hAnsi="Calibri Light" w:cs="Calibri Light"/>
          <w:color w:val="000000"/>
        </w:rPr>
        <w:t xml:space="preserve">distance education </w:t>
      </w:r>
      <w:r w:rsidRPr="006867B3">
        <w:rPr>
          <w:rFonts w:ascii="Calibri Light" w:eastAsia="Times New Roman" w:hAnsi="Calibri Light" w:cs="Calibri Light"/>
          <w:color w:val="000000"/>
        </w:rPr>
        <w:t xml:space="preserve">study option achieved significant savings and removed barriers that would otherwise prevent </w:t>
      </w:r>
      <w:r w:rsidR="001845A4" w:rsidRPr="007C284E">
        <w:rPr>
          <w:rFonts w:ascii="Calibri Light" w:eastAsia="Times New Roman" w:hAnsi="Calibri Light" w:cs="Calibri Light"/>
          <w:color w:val="000000"/>
        </w:rPr>
        <w:t xml:space="preserve">some </w:t>
      </w:r>
      <w:r w:rsidRPr="006867B3">
        <w:rPr>
          <w:rFonts w:ascii="Calibri Light" w:eastAsia="Times New Roman" w:hAnsi="Calibri Light" w:cs="Calibri Light"/>
          <w:color w:val="000000"/>
        </w:rPr>
        <w:t>students from participating</w:t>
      </w:r>
      <w:r w:rsidRPr="00E5395F">
        <w:rPr>
          <w:rFonts w:ascii="Calibri Light" w:eastAsia="Times New Roman" w:hAnsi="Calibri Light" w:cs="Calibri Light"/>
          <w:color w:val="000000"/>
        </w:rPr>
        <w:t>.</w:t>
      </w:r>
      <w:r w:rsidRPr="00A73791">
        <w:rPr>
          <w:rFonts w:ascii="Calibri Light" w:eastAsia="Times New Roman" w:hAnsi="Calibri Light" w:cs="Calibri Light"/>
          <w:color w:val="000000"/>
        </w:rPr>
        <w:t xml:space="preserve"> A </w:t>
      </w:r>
      <w:r w:rsidRPr="00930E65">
        <w:rPr>
          <w:rFonts w:ascii="Calibri Light" w:eastAsia="Times New Roman" w:hAnsi="Calibri Light" w:cs="Calibri Light"/>
          <w:i/>
          <w:color w:val="000000"/>
        </w:rPr>
        <w:t>2018 Alumni Impact Development Survey</w:t>
      </w:r>
      <w:r w:rsidRPr="00A73791">
        <w:rPr>
          <w:rFonts w:ascii="Calibri Light" w:eastAsia="Times New Roman" w:hAnsi="Calibri Light" w:cs="Calibri Light"/>
          <w:color w:val="000000"/>
        </w:rPr>
        <w:t xml:space="preserve"> found that 97</w:t>
      </w:r>
      <w:r w:rsidR="00CF75BB">
        <w:rPr>
          <w:rFonts w:ascii="Calibri Light" w:eastAsia="Times New Roman" w:hAnsi="Calibri Light" w:cs="Calibri Light"/>
          <w:color w:val="000000"/>
        </w:rPr>
        <w:t xml:space="preserve"> per cent </w:t>
      </w:r>
      <w:r w:rsidR="00930E65">
        <w:rPr>
          <w:rFonts w:ascii="Calibri Light" w:eastAsia="Times New Roman" w:hAnsi="Calibri Light" w:cs="Calibri Light"/>
          <w:color w:val="000000"/>
        </w:rPr>
        <w:t xml:space="preserve">of </w:t>
      </w:r>
      <w:r w:rsidR="00476078">
        <w:rPr>
          <w:rFonts w:ascii="Calibri Light" w:eastAsia="Calibri" w:hAnsi="Calibri Light" w:cs="Times New Roman"/>
          <w:color w:val="000000"/>
        </w:rPr>
        <w:t>Australia Award</w:t>
      </w:r>
      <w:r w:rsidR="00476078" w:rsidRPr="00A73791">
        <w:rPr>
          <w:rFonts w:ascii="Calibri Light" w:eastAsia="Times New Roman" w:hAnsi="Calibri Light" w:cs="Calibri Light"/>
          <w:color w:val="000000"/>
        </w:rPr>
        <w:t xml:space="preserve"> </w:t>
      </w:r>
      <w:r w:rsidRPr="00A73791">
        <w:rPr>
          <w:rFonts w:ascii="Calibri Light" w:eastAsia="Times New Roman" w:hAnsi="Calibri Light" w:cs="Calibri Light"/>
          <w:color w:val="000000"/>
        </w:rPr>
        <w:t xml:space="preserve">graduates from Vanuatu </w:t>
      </w:r>
      <w:r w:rsidR="00CF75BB">
        <w:rPr>
          <w:rFonts w:ascii="Calibri Light" w:eastAsia="Times New Roman" w:hAnsi="Calibri Light" w:cs="Calibri Light"/>
          <w:color w:val="000000"/>
        </w:rPr>
        <w:t xml:space="preserve">are employed, </w:t>
      </w:r>
      <w:r w:rsidRPr="00A73791">
        <w:rPr>
          <w:rFonts w:ascii="Calibri Light" w:eastAsia="Times New Roman" w:hAnsi="Calibri Light" w:cs="Calibri Light"/>
          <w:color w:val="000000"/>
        </w:rPr>
        <w:t>mak</w:t>
      </w:r>
      <w:r w:rsidR="00CF75BB">
        <w:rPr>
          <w:rFonts w:ascii="Calibri Light" w:eastAsia="Times New Roman" w:hAnsi="Calibri Light" w:cs="Calibri Light"/>
          <w:color w:val="000000"/>
        </w:rPr>
        <w:t>ing</w:t>
      </w:r>
      <w:r w:rsidRPr="00A73791">
        <w:rPr>
          <w:rFonts w:ascii="Calibri Light" w:eastAsia="Times New Roman" w:hAnsi="Calibri Light" w:cs="Calibri Light"/>
          <w:color w:val="000000"/>
        </w:rPr>
        <w:t xml:space="preserve"> contributions in areas of policy development, direct practice and training, and knowledge transfer</w:t>
      </w:r>
      <w:r w:rsidR="00FC3D87">
        <w:rPr>
          <w:rFonts w:ascii="Calibri Light" w:eastAsia="Times New Roman" w:hAnsi="Calibri Light" w:cs="Calibri Light"/>
          <w:color w:val="000000"/>
        </w:rPr>
        <w:t>, with a</w:t>
      </w:r>
      <w:r w:rsidRPr="00A73791">
        <w:rPr>
          <w:rFonts w:ascii="Calibri Light" w:eastAsia="Times New Roman" w:hAnsi="Calibri Light" w:cs="Calibri Light"/>
          <w:color w:val="000000"/>
        </w:rPr>
        <w:t xml:space="preserve"> number occupy</w:t>
      </w:r>
      <w:r w:rsidR="00FC3D87">
        <w:rPr>
          <w:rFonts w:ascii="Calibri Light" w:eastAsia="Times New Roman" w:hAnsi="Calibri Light" w:cs="Calibri Light"/>
          <w:color w:val="000000"/>
        </w:rPr>
        <w:t>ing</w:t>
      </w:r>
      <w:r w:rsidRPr="00A73791">
        <w:rPr>
          <w:rFonts w:ascii="Calibri Light" w:eastAsia="Times New Roman" w:hAnsi="Calibri Light" w:cs="Calibri Light"/>
          <w:color w:val="000000"/>
        </w:rPr>
        <w:t xml:space="preserve"> </w:t>
      </w:r>
      <w:r w:rsidR="00401EDB">
        <w:rPr>
          <w:rFonts w:ascii="Calibri Light" w:eastAsia="Times New Roman" w:hAnsi="Calibri Light" w:cs="Calibri Light"/>
          <w:color w:val="000000"/>
        </w:rPr>
        <w:t xml:space="preserve">ministerial and senior </w:t>
      </w:r>
      <w:r w:rsidRPr="00A73791">
        <w:rPr>
          <w:rFonts w:ascii="Calibri Light" w:eastAsia="Times New Roman" w:hAnsi="Calibri Light" w:cs="Calibri Light"/>
          <w:color w:val="000000"/>
        </w:rPr>
        <w:t>government positions.</w:t>
      </w:r>
    </w:p>
    <w:p w:rsidR="006545B9" w:rsidRPr="00877607" w:rsidRDefault="006545B9" w:rsidP="00877607">
      <w:pPr>
        <w:spacing w:before="240"/>
        <w:rPr>
          <w:rFonts w:asciiTheme="majorHAnsi" w:eastAsiaTheme="majorEastAsia" w:hAnsiTheme="majorHAnsi" w:cstheme="majorBidi"/>
          <w:caps/>
          <w:sz w:val="32"/>
          <w:szCs w:val="32"/>
        </w:rPr>
      </w:pPr>
      <w:r w:rsidRPr="00877607">
        <w:rPr>
          <w:rFonts w:asciiTheme="majorHAnsi" w:eastAsiaTheme="majorEastAsia" w:hAnsiTheme="majorHAnsi" w:cstheme="majorBidi"/>
          <w:caps/>
          <w:sz w:val="32"/>
          <w:szCs w:val="32"/>
        </w:rPr>
        <w:t>Objective 2</w:t>
      </w:r>
      <w:r w:rsidR="00934CB5">
        <w:rPr>
          <w:rFonts w:asciiTheme="majorHAnsi" w:eastAsiaTheme="majorEastAsia" w:hAnsiTheme="majorHAnsi" w:cstheme="majorBidi"/>
          <w:caps/>
          <w:sz w:val="32"/>
          <w:szCs w:val="32"/>
        </w:rPr>
        <w:t xml:space="preserve"> </w:t>
      </w:r>
      <w:r w:rsidR="00934CB5" w:rsidRPr="00934CB5">
        <w:rPr>
          <w:rFonts w:asciiTheme="majorHAnsi" w:eastAsiaTheme="majorEastAsia" w:hAnsiTheme="majorHAnsi" w:cstheme="majorBidi"/>
          <w:caps/>
          <w:sz w:val="32"/>
          <w:szCs w:val="32"/>
        </w:rPr>
        <w:t>Improving early education and essential health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9"/>
        <w:gridCol w:w="1911"/>
        <w:gridCol w:w="1911"/>
        <w:gridCol w:w="1891"/>
      </w:tblGrid>
      <w:tr w:rsidR="002A5138" w:rsidTr="002A5138">
        <w:tc>
          <w:tcPr>
            <w:tcW w:w="2016" w:type="dxa"/>
          </w:tcPr>
          <w:p w:rsidR="002A5138" w:rsidRDefault="002A5138" w:rsidP="00474A83">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70E5DC17" wp14:editId="3D394C33">
                  <wp:extent cx="1137600" cy="720000"/>
                  <wp:effectExtent l="0" t="0" r="5715" b="444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9" w:type="dxa"/>
          </w:tcPr>
          <w:p w:rsidR="002A5138" w:rsidRDefault="002A5138" w:rsidP="00474A83">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5A2D2574" wp14:editId="1102C6AF">
                  <wp:extent cx="612000" cy="6120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11" w:type="dxa"/>
          </w:tcPr>
          <w:p w:rsidR="002A5138" w:rsidRDefault="002A5138" w:rsidP="00474A83">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328CDE7F" wp14:editId="61408D72">
                  <wp:extent cx="612000" cy="6120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11" w:type="dxa"/>
          </w:tcPr>
          <w:p w:rsidR="002A5138" w:rsidRDefault="002A5138" w:rsidP="00474A83">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047F2A0E" wp14:editId="1D7D142F">
                  <wp:extent cx="612000" cy="6120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891" w:type="dxa"/>
          </w:tcPr>
          <w:p w:rsidR="002A5138" w:rsidRDefault="002A5138" w:rsidP="00474A83">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p>
        </w:tc>
      </w:tr>
    </w:tbl>
    <w:p w:rsidR="00263C1A" w:rsidRPr="00B83D47" w:rsidRDefault="00B80E2B" w:rsidP="00263C1A">
      <w:pPr>
        <w:rPr>
          <w:color w:val="000000" w:themeColor="text1"/>
        </w:rPr>
      </w:pPr>
      <w:r w:rsidRPr="00BD179B">
        <w:rPr>
          <w:rFonts w:ascii="Calibri Light" w:eastAsia="Times New Roman" w:hAnsi="Calibri Light" w:cs="Calibri Light"/>
          <w:color w:val="000000"/>
          <w:lang w:val="en-AU"/>
        </w:rPr>
        <w:t>Objective 2 focuses on s</w:t>
      </w:r>
      <w:r w:rsidR="00B64AC5" w:rsidRPr="00BD179B">
        <w:rPr>
          <w:rFonts w:ascii="Calibri Light" w:eastAsia="Times New Roman" w:hAnsi="Calibri Light" w:cs="Calibri Light"/>
          <w:color w:val="000000"/>
          <w:lang w:val="en-AU"/>
        </w:rPr>
        <w:t>upporting</w:t>
      </w:r>
      <w:r w:rsidR="00B64AC5" w:rsidRPr="00BD179B">
        <w:rPr>
          <w:rFonts w:ascii="Calibri Light" w:hAnsi="Calibri Light"/>
          <w:color w:val="000000"/>
          <w:lang w:val="en-AU"/>
        </w:rPr>
        <w:t xml:space="preserve"> human development</w:t>
      </w:r>
      <w:r w:rsidRPr="00BD179B">
        <w:rPr>
          <w:rFonts w:ascii="Calibri Light" w:eastAsia="Times New Roman" w:hAnsi="Calibri Light" w:cs="Calibri Light"/>
          <w:color w:val="000000"/>
          <w:lang w:val="en-AU"/>
        </w:rPr>
        <w:t xml:space="preserve"> so </w:t>
      </w:r>
      <w:r w:rsidR="00B64AC5" w:rsidRPr="00BD179B">
        <w:rPr>
          <w:rFonts w:ascii="Calibri Light" w:hAnsi="Calibri Light"/>
          <w:color w:val="000000"/>
          <w:lang w:val="en-AU"/>
        </w:rPr>
        <w:t xml:space="preserve">more ni-Vanuatu people benefit from quality education and health </w:t>
      </w:r>
      <w:r w:rsidR="00B64AC5" w:rsidRPr="00B83D47">
        <w:rPr>
          <w:rFonts w:ascii="Calibri Light" w:hAnsi="Calibri Light"/>
          <w:color w:val="000000"/>
          <w:lang w:val="en-AU"/>
        </w:rPr>
        <w:t xml:space="preserve">outcomes. </w:t>
      </w:r>
      <w:r w:rsidR="00263C1A" w:rsidRPr="00B83D47">
        <w:rPr>
          <w:color w:val="000000" w:themeColor="text1"/>
        </w:rPr>
        <w:t xml:space="preserve">Objective 2 is rated green as all investments were </w:t>
      </w:r>
      <w:r w:rsidR="0078154C" w:rsidRPr="00B83D47">
        <w:rPr>
          <w:color w:val="000000" w:themeColor="text1"/>
        </w:rPr>
        <w:t xml:space="preserve">assessed as </w:t>
      </w:r>
      <w:r w:rsidR="00263C1A" w:rsidRPr="00B83D47">
        <w:rPr>
          <w:color w:val="000000" w:themeColor="text1"/>
        </w:rPr>
        <w:t>adequate or higher for efficiency and effectiveness</w:t>
      </w:r>
      <w:r w:rsidR="00DE5D21" w:rsidRPr="00B83D47">
        <w:rPr>
          <w:color w:val="000000" w:themeColor="text1"/>
        </w:rPr>
        <w:t>,</w:t>
      </w:r>
      <w:r w:rsidR="00263C1A" w:rsidRPr="00B83D47">
        <w:rPr>
          <w:color w:val="000000" w:themeColor="text1"/>
        </w:rPr>
        <w:t xml:space="preserve"> </w:t>
      </w:r>
      <w:r w:rsidR="0078154C" w:rsidRPr="00B83D47">
        <w:rPr>
          <w:color w:val="000000" w:themeColor="text1"/>
        </w:rPr>
        <w:t>and per</w:t>
      </w:r>
      <w:r w:rsidR="00753929" w:rsidRPr="00B83D47">
        <w:rPr>
          <w:color w:val="000000" w:themeColor="text1"/>
        </w:rPr>
        <w:t>formance targets met or exceeded expectations.</w:t>
      </w:r>
    </w:p>
    <w:p w:rsidR="00B64AC5" w:rsidRPr="00C82F53" w:rsidRDefault="00B64AC5" w:rsidP="00C82F53">
      <w:pPr>
        <w:suppressAutoHyphens w:val="0"/>
        <w:spacing w:before="0" w:after="120" w:line="440" w:lineRule="atLeast"/>
        <w:rPr>
          <w:rFonts w:eastAsia="Calibri" w:cstheme="minorHAnsi"/>
          <w:b/>
          <w:color w:val="000000"/>
          <w:sz w:val="24"/>
          <w:szCs w:val="24"/>
        </w:rPr>
      </w:pPr>
      <w:r w:rsidRPr="00B83D47">
        <w:rPr>
          <w:rFonts w:eastAsia="Calibri" w:cstheme="minorHAnsi"/>
          <w:b/>
          <w:color w:val="000000"/>
          <w:sz w:val="24"/>
          <w:szCs w:val="24"/>
        </w:rPr>
        <w:t>EDUCATION</w:t>
      </w:r>
    </w:p>
    <w:p w:rsidR="00B64AC5" w:rsidRDefault="00B64AC5" w:rsidP="00BD179B">
      <w:pPr>
        <w:suppressAutoHyphens w:val="0"/>
        <w:spacing w:before="0" w:after="0" w:line="240" w:lineRule="auto"/>
        <w:rPr>
          <w:rFonts w:eastAsia="Calibri" w:cstheme="minorHAnsi"/>
          <w:color w:val="000000"/>
          <w:lang w:val="en-AU"/>
        </w:rPr>
      </w:pPr>
      <w:r w:rsidRPr="008B5AC8">
        <w:rPr>
          <w:rFonts w:eastAsia="Times New Roman" w:cstheme="minorHAnsi"/>
          <w:b/>
          <w:color w:val="000000"/>
          <w:lang w:val="en-AU"/>
        </w:rPr>
        <w:t>Australia</w:t>
      </w:r>
      <w:r w:rsidRPr="008B5AC8">
        <w:rPr>
          <w:rFonts w:eastAsia="Calibri" w:cstheme="minorHAnsi"/>
          <w:b/>
          <w:color w:val="000000"/>
          <w:lang w:val="en-AU"/>
        </w:rPr>
        <w:t xml:space="preserve"> </w:t>
      </w:r>
      <w:r w:rsidR="004305FF">
        <w:rPr>
          <w:rFonts w:eastAsia="Calibri" w:cstheme="minorHAnsi"/>
          <w:b/>
          <w:color w:val="000000"/>
          <w:lang w:val="en-AU"/>
        </w:rPr>
        <w:t xml:space="preserve">continued support for Vanuatu’s </w:t>
      </w:r>
      <w:r w:rsidR="00CB27A1">
        <w:rPr>
          <w:rFonts w:eastAsia="Calibri" w:cstheme="minorHAnsi"/>
          <w:b/>
          <w:color w:val="000000"/>
          <w:lang w:val="en-AU"/>
        </w:rPr>
        <w:t>education sector</w:t>
      </w:r>
      <w:r w:rsidR="004305FF">
        <w:rPr>
          <w:rFonts w:eastAsia="Calibri" w:cstheme="minorHAnsi"/>
          <w:b/>
          <w:color w:val="000000"/>
          <w:lang w:val="en-AU"/>
        </w:rPr>
        <w:t xml:space="preserve"> priorities</w:t>
      </w:r>
      <w:r w:rsidR="00140DDC">
        <w:rPr>
          <w:rFonts w:eastAsia="Calibri" w:cstheme="minorHAnsi"/>
          <w:b/>
          <w:color w:val="000000"/>
          <w:lang w:val="en-AU"/>
        </w:rPr>
        <w:t>,</w:t>
      </w:r>
      <w:r w:rsidR="00CB27A1">
        <w:rPr>
          <w:rFonts w:eastAsia="Calibri" w:cstheme="minorHAnsi"/>
          <w:b/>
          <w:color w:val="000000"/>
          <w:lang w:val="en-AU"/>
        </w:rPr>
        <w:t xml:space="preserve"> </w:t>
      </w:r>
      <w:r w:rsidR="004305FF">
        <w:rPr>
          <w:rFonts w:eastAsia="Calibri" w:cstheme="minorHAnsi"/>
          <w:b/>
          <w:color w:val="000000"/>
          <w:lang w:val="en-AU"/>
        </w:rPr>
        <w:t xml:space="preserve">including through </w:t>
      </w:r>
      <w:r w:rsidR="00CB27A1">
        <w:rPr>
          <w:rFonts w:eastAsia="Calibri" w:cstheme="minorHAnsi"/>
          <w:b/>
          <w:color w:val="000000"/>
          <w:lang w:val="en-AU"/>
        </w:rPr>
        <w:t xml:space="preserve">development and implementation of </w:t>
      </w:r>
      <w:r w:rsidR="00973FBD" w:rsidRPr="00CB27A1">
        <w:rPr>
          <w:rFonts w:eastAsia="Calibri" w:cstheme="minorHAnsi"/>
          <w:b/>
          <w:color w:val="000000"/>
          <w:lang w:val="en-AU"/>
        </w:rPr>
        <w:t>the Vanuatu Education and Training Sector Strategy</w:t>
      </w:r>
      <w:r w:rsidR="00E5395F">
        <w:rPr>
          <w:rFonts w:eastAsia="Calibri" w:cstheme="minorHAnsi"/>
          <w:color w:val="000000"/>
          <w:lang w:val="en-AU"/>
        </w:rPr>
        <w:t>.</w:t>
      </w:r>
      <w:r w:rsidR="00CF75BB">
        <w:rPr>
          <w:rFonts w:eastAsia="Calibri" w:cstheme="minorHAnsi"/>
          <w:color w:val="000000"/>
          <w:lang w:val="en-AU"/>
        </w:rPr>
        <w:t xml:space="preserve"> </w:t>
      </w:r>
      <w:r w:rsidR="001C5B39" w:rsidRPr="008B5AC8">
        <w:rPr>
          <w:rFonts w:eastAsia="Calibri" w:cstheme="minorHAnsi"/>
          <w:color w:val="000000"/>
          <w:lang w:val="en-AU"/>
        </w:rPr>
        <w:t>Australia provides approximately 72</w:t>
      </w:r>
      <w:r w:rsidR="00753929">
        <w:rPr>
          <w:rFonts w:eastAsia="Calibri" w:cstheme="minorHAnsi"/>
          <w:color w:val="000000"/>
          <w:lang w:val="en-AU"/>
        </w:rPr>
        <w:t> </w:t>
      </w:r>
      <w:r w:rsidR="00CF75BB">
        <w:rPr>
          <w:rFonts w:eastAsia="Calibri" w:cstheme="minorHAnsi"/>
          <w:color w:val="000000"/>
          <w:lang w:val="en-AU"/>
        </w:rPr>
        <w:t>per cent</w:t>
      </w:r>
      <w:r w:rsidR="001C5B39" w:rsidRPr="008B5AC8">
        <w:rPr>
          <w:rFonts w:eastAsia="Calibri" w:cstheme="minorHAnsi"/>
          <w:color w:val="000000"/>
          <w:lang w:val="en-AU"/>
        </w:rPr>
        <w:t xml:space="preserve"> of the </w:t>
      </w:r>
      <w:r w:rsidR="00CF75BB" w:rsidRPr="00476078">
        <w:rPr>
          <w:rFonts w:ascii="Calibri Light" w:eastAsia="Times New Roman" w:hAnsi="Calibri Light" w:cs="Calibri Light"/>
          <w:color w:val="000000"/>
        </w:rPr>
        <w:t>Ministry of Education and Training</w:t>
      </w:r>
      <w:r w:rsidR="00CF75BB" w:rsidRPr="008B5AC8" w:rsidDel="00CF75BB">
        <w:rPr>
          <w:rFonts w:eastAsia="Calibri" w:cstheme="minorHAnsi"/>
          <w:color w:val="000000"/>
          <w:lang w:val="en-AU"/>
        </w:rPr>
        <w:t xml:space="preserve"> </w:t>
      </w:r>
      <w:r w:rsidR="001C5B39" w:rsidRPr="008B5AC8">
        <w:rPr>
          <w:rFonts w:eastAsia="Calibri" w:cstheme="minorHAnsi"/>
          <w:color w:val="000000"/>
          <w:lang w:val="en-AU"/>
        </w:rPr>
        <w:t>donor budget support and 10</w:t>
      </w:r>
      <w:r w:rsidR="00CF75BB">
        <w:rPr>
          <w:rFonts w:eastAsia="Calibri" w:cstheme="minorHAnsi"/>
          <w:color w:val="000000"/>
          <w:lang w:val="en-AU"/>
        </w:rPr>
        <w:t xml:space="preserve"> per cent</w:t>
      </w:r>
      <w:r w:rsidR="001C5B39" w:rsidRPr="008B5AC8">
        <w:rPr>
          <w:rFonts w:eastAsia="Calibri" w:cstheme="minorHAnsi"/>
          <w:color w:val="000000"/>
          <w:lang w:val="en-AU"/>
        </w:rPr>
        <w:t xml:space="preserve"> of the M</w:t>
      </w:r>
      <w:r w:rsidR="00CF75BB">
        <w:rPr>
          <w:rFonts w:eastAsia="Calibri" w:cstheme="minorHAnsi"/>
          <w:color w:val="000000"/>
          <w:lang w:val="en-AU"/>
        </w:rPr>
        <w:t xml:space="preserve">inistry’s </w:t>
      </w:r>
      <w:r w:rsidR="001C5B39" w:rsidRPr="008B5AC8">
        <w:rPr>
          <w:rFonts w:eastAsia="Calibri" w:cstheme="minorHAnsi"/>
          <w:color w:val="000000"/>
          <w:lang w:val="en-AU"/>
        </w:rPr>
        <w:t xml:space="preserve">budget overall. </w:t>
      </w:r>
      <w:r w:rsidR="00FF5F7B">
        <w:rPr>
          <w:rFonts w:eastAsia="Calibri" w:cstheme="minorHAnsi"/>
          <w:color w:val="000000"/>
          <w:lang w:val="en-AU"/>
        </w:rPr>
        <w:t>A</w:t>
      </w:r>
      <w:r w:rsidR="00FF5F7B" w:rsidRPr="008B5AC8">
        <w:rPr>
          <w:rFonts w:eastAsia="Calibri" w:cstheme="minorHAnsi"/>
          <w:color w:val="000000"/>
          <w:lang w:val="en-AU"/>
        </w:rPr>
        <w:t xml:space="preserve">dditional funds from New Zealand </w:t>
      </w:r>
      <w:r w:rsidR="00FF5F7B">
        <w:rPr>
          <w:rFonts w:eastAsia="Calibri" w:cstheme="minorHAnsi"/>
          <w:color w:val="000000"/>
          <w:lang w:val="en-AU"/>
        </w:rPr>
        <w:t xml:space="preserve">were </w:t>
      </w:r>
      <w:r w:rsidR="00FF5F7B" w:rsidRPr="008B5AC8">
        <w:rPr>
          <w:rFonts w:eastAsia="Calibri" w:cstheme="minorHAnsi"/>
          <w:color w:val="000000"/>
          <w:lang w:val="en-AU"/>
        </w:rPr>
        <w:t>channelled through Australia</w:t>
      </w:r>
      <w:r w:rsidR="00FF5F7B">
        <w:rPr>
          <w:rFonts w:eastAsia="Calibri" w:cstheme="minorHAnsi"/>
          <w:color w:val="000000"/>
          <w:lang w:val="en-AU"/>
        </w:rPr>
        <w:t>,</w:t>
      </w:r>
      <w:r w:rsidR="00FF5F7B" w:rsidRPr="008B5AC8">
        <w:rPr>
          <w:rFonts w:eastAsia="Calibri" w:cstheme="minorHAnsi"/>
          <w:color w:val="000000"/>
          <w:lang w:val="en-AU"/>
        </w:rPr>
        <w:t xml:space="preserve"> providing </w:t>
      </w:r>
      <w:r w:rsidR="00FF5F7B">
        <w:rPr>
          <w:rFonts w:eastAsia="Calibri" w:cstheme="minorHAnsi"/>
          <w:color w:val="000000"/>
          <w:lang w:val="en-AU"/>
        </w:rPr>
        <w:t xml:space="preserve">opportunity to harmonise donor </w:t>
      </w:r>
      <w:r w:rsidR="005D5D83">
        <w:rPr>
          <w:rFonts w:eastAsia="Calibri" w:cstheme="minorHAnsi"/>
          <w:color w:val="000000"/>
          <w:lang w:val="en-AU"/>
        </w:rPr>
        <w:t>efforts</w:t>
      </w:r>
      <w:r w:rsidR="00FF5F7B">
        <w:rPr>
          <w:rFonts w:eastAsia="Calibri" w:cstheme="minorHAnsi"/>
          <w:color w:val="000000"/>
          <w:lang w:val="en-AU"/>
        </w:rPr>
        <w:t xml:space="preserve"> and reduce the </w:t>
      </w:r>
      <w:r w:rsidR="00140DDC">
        <w:rPr>
          <w:rFonts w:eastAsia="Calibri" w:cstheme="minorHAnsi"/>
          <w:color w:val="000000"/>
          <w:lang w:val="en-AU"/>
        </w:rPr>
        <w:t>administration</w:t>
      </w:r>
      <w:r w:rsidR="00FF5F7B">
        <w:rPr>
          <w:rFonts w:eastAsia="Calibri" w:cstheme="minorHAnsi"/>
          <w:color w:val="000000"/>
          <w:lang w:val="en-AU"/>
        </w:rPr>
        <w:t xml:space="preserve"> burden on the Ministry</w:t>
      </w:r>
      <w:r w:rsidR="00FF5F7B" w:rsidRPr="008B5AC8">
        <w:rPr>
          <w:rFonts w:eastAsia="Calibri" w:cstheme="minorHAnsi"/>
          <w:color w:val="000000"/>
          <w:lang w:val="en-AU"/>
        </w:rPr>
        <w:t>.</w:t>
      </w:r>
    </w:p>
    <w:p w:rsidR="00401EDB" w:rsidRPr="00FD601B" w:rsidRDefault="00401EDB" w:rsidP="00401EDB">
      <w:pPr>
        <w:suppressAutoHyphens w:val="0"/>
        <w:spacing w:before="77" w:after="0" w:line="240" w:lineRule="auto"/>
        <w:rPr>
          <w:rFonts w:ascii="Calibri Light" w:eastAsia="Times New Roman" w:hAnsi="Calibri Light" w:cs="Calibri Light"/>
          <w:color w:val="000000"/>
          <w:lang w:val="en-AU"/>
        </w:rPr>
      </w:pPr>
      <w:r w:rsidRPr="008B5AC8">
        <w:rPr>
          <w:rFonts w:eastAsia="Times New Roman" w:cstheme="minorHAnsi"/>
          <w:b/>
          <w:color w:val="000000"/>
          <w:lang w:val="en-AU"/>
        </w:rPr>
        <w:t xml:space="preserve">Australia’s </w:t>
      </w:r>
      <w:r>
        <w:rPr>
          <w:rFonts w:eastAsia="Times New Roman" w:cstheme="minorHAnsi"/>
          <w:b/>
          <w:color w:val="000000"/>
          <w:lang w:val="en-AU"/>
        </w:rPr>
        <w:t>policy engagement on rationalisation, curriculum and leadership in schools contributes</w:t>
      </w:r>
      <w:r w:rsidRPr="008B5AC8">
        <w:rPr>
          <w:rFonts w:eastAsia="Times New Roman" w:cstheme="minorHAnsi"/>
          <w:b/>
          <w:color w:val="000000"/>
          <w:lang w:val="en-AU"/>
        </w:rPr>
        <w:t xml:space="preserve"> to a well-managed education system leading to improved educational outcomes for all students.</w:t>
      </w:r>
      <w:r w:rsidRPr="008B5AC8">
        <w:rPr>
          <w:rFonts w:eastAsia="Times New Roman" w:cstheme="minorHAnsi"/>
          <w:color w:val="000000"/>
          <w:lang w:val="en-AU"/>
        </w:rPr>
        <w:t xml:space="preserve"> </w:t>
      </w:r>
      <w:r>
        <w:rPr>
          <w:rFonts w:ascii="Calibri Light" w:eastAsia="Times New Roman" w:hAnsi="Calibri Light" w:cs="Calibri Light"/>
          <w:color w:val="000000"/>
          <w:lang w:val="en-AU"/>
        </w:rPr>
        <w:t xml:space="preserve">Ninety-six per cent </w:t>
      </w:r>
      <w:r w:rsidRPr="00B64AC5">
        <w:rPr>
          <w:rFonts w:ascii="Calibri Light" w:eastAsia="Times New Roman" w:hAnsi="Calibri Light" w:cs="Calibri Light"/>
          <w:color w:val="000000"/>
          <w:lang w:val="en-AU"/>
        </w:rPr>
        <w:t>of primary school principals received instructional leadership training. All schools</w:t>
      </w:r>
      <w:r>
        <w:rPr>
          <w:rFonts w:ascii="Calibri Light" w:eastAsia="Times New Roman" w:hAnsi="Calibri Light" w:cs="Calibri Light"/>
          <w:color w:val="000000"/>
          <w:lang w:val="en-AU"/>
        </w:rPr>
        <w:t xml:space="preserve"> and early learning centres</w:t>
      </w:r>
      <w:r w:rsidRPr="00B64AC5">
        <w:rPr>
          <w:rFonts w:ascii="Calibri Light" w:eastAsia="Times New Roman" w:hAnsi="Calibri Light" w:cs="Calibri Light"/>
          <w:color w:val="000000"/>
          <w:lang w:val="en-AU"/>
        </w:rPr>
        <w:t xml:space="preserve"> received their grants on time and</w:t>
      </w:r>
      <w:r>
        <w:rPr>
          <w:rFonts w:ascii="Calibri Light" w:eastAsia="Times New Roman" w:hAnsi="Calibri Light" w:cs="Calibri Light"/>
          <w:color w:val="000000"/>
          <w:lang w:val="en-AU"/>
        </w:rPr>
        <w:t xml:space="preserve"> 8</w:t>
      </w:r>
      <w:r w:rsidRPr="00B64AC5">
        <w:rPr>
          <w:rFonts w:ascii="Calibri Light" w:eastAsia="Times New Roman" w:hAnsi="Calibri Light" w:cs="Calibri Light"/>
          <w:color w:val="000000"/>
          <w:lang w:val="en-AU"/>
        </w:rPr>
        <w:t>9</w:t>
      </w:r>
      <w:r>
        <w:rPr>
          <w:rFonts w:ascii="Calibri Light" w:eastAsia="Times New Roman" w:hAnsi="Calibri Light" w:cs="Calibri Light"/>
          <w:color w:val="000000"/>
          <w:lang w:val="en-AU"/>
        </w:rPr>
        <w:t xml:space="preserve"> per cent</w:t>
      </w:r>
      <w:r w:rsidRPr="00B64AC5">
        <w:rPr>
          <w:rFonts w:ascii="Calibri Light" w:eastAsia="Times New Roman" w:hAnsi="Calibri Light" w:cs="Calibri Light"/>
          <w:color w:val="000000"/>
          <w:lang w:val="en-AU"/>
        </w:rPr>
        <w:t xml:space="preserve"> of schools</w:t>
      </w:r>
      <w:r>
        <w:rPr>
          <w:rFonts w:ascii="Calibri Light" w:eastAsia="Times New Roman" w:hAnsi="Calibri Light" w:cs="Calibri Light"/>
          <w:color w:val="000000"/>
          <w:lang w:val="en-AU"/>
        </w:rPr>
        <w:t xml:space="preserve"> </w:t>
      </w:r>
      <w:r w:rsidRPr="00B64AC5">
        <w:rPr>
          <w:rFonts w:ascii="Calibri Light" w:eastAsia="Times New Roman" w:hAnsi="Calibri Light" w:cs="Calibri Light"/>
          <w:color w:val="000000"/>
          <w:lang w:val="en-AU"/>
        </w:rPr>
        <w:t xml:space="preserve">acquitted their grants </w:t>
      </w:r>
      <w:r w:rsidRPr="00753929">
        <w:rPr>
          <w:rFonts w:ascii="Calibri Light" w:eastAsia="Times New Roman" w:hAnsi="Calibri Light" w:cs="Calibri Light"/>
          <w:color w:val="000000"/>
          <w:lang w:val="en-AU"/>
        </w:rPr>
        <w:t>[met PAF target 2.2]</w:t>
      </w:r>
      <w:r>
        <w:rPr>
          <w:rFonts w:ascii="Calibri Light" w:eastAsia="Times New Roman" w:hAnsi="Calibri Light" w:cs="Calibri Light"/>
          <w:color w:val="000000"/>
          <w:lang w:val="en-AU"/>
        </w:rPr>
        <w:t xml:space="preserve">. </w:t>
      </w:r>
      <w:r w:rsidRPr="00B83D47">
        <w:rPr>
          <w:rFonts w:eastAsia="Times New Roman" w:cstheme="minorHAnsi"/>
          <w:color w:val="000000"/>
          <w:lang w:val="en-AU"/>
        </w:rPr>
        <w:t xml:space="preserve">Support for implementation of the </w:t>
      </w:r>
      <w:r w:rsidRPr="00B83D47">
        <w:rPr>
          <w:rFonts w:ascii="Calibri Light" w:eastAsia="Times New Roman" w:hAnsi="Calibri Light" w:cs="Calibri Light"/>
          <w:color w:val="000000"/>
        </w:rPr>
        <w:t>Ministry of Education and Training</w:t>
      </w:r>
      <w:r w:rsidRPr="00B83D47">
        <w:rPr>
          <w:rFonts w:eastAsia="Calibri" w:cstheme="minorHAnsi"/>
          <w:color w:val="000000"/>
          <w:lang w:val="en-AU"/>
        </w:rPr>
        <w:t xml:space="preserve">’s </w:t>
      </w:r>
      <w:r w:rsidRPr="00B83D47">
        <w:rPr>
          <w:rFonts w:eastAsia="Times New Roman" w:cstheme="minorHAnsi"/>
          <w:color w:val="000000"/>
          <w:lang w:val="en-AU"/>
        </w:rPr>
        <w:t>inclusive and gender equality policies demonstrated some results</w:t>
      </w:r>
      <w:r w:rsidRPr="00847738">
        <w:rPr>
          <w:rFonts w:ascii="Calibri Light" w:eastAsia="Times New Roman" w:hAnsi="Calibri Light" w:cs="Calibri Light"/>
          <w:color w:val="000000"/>
          <w:lang w:val="en-AU"/>
        </w:rPr>
        <w:t xml:space="preserve"> with schools working with their community to </w:t>
      </w:r>
      <w:r w:rsidRPr="00B83D47">
        <w:rPr>
          <w:rFonts w:ascii="Calibri Light" w:eastAsia="Times New Roman" w:hAnsi="Calibri Light" w:cs="Calibri Light"/>
          <w:color w:val="000000"/>
          <w:lang w:val="en-AU"/>
        </w:rPr>
        <w:t xml:space="preserve">become more inclusive. Fifteen ni-Vanuatu were trained in APTC Certificate III in Education Support to assist children with special needs in </w:t>
      </w:r>
      <w:r w:rsidRPr="00B83D47">
        <w:rPr>
          <w:rFonts w:ascii="Calibri Light" w:eastAsia="Times New Roman" w:hAnsi="Calibri Light" w:cs="Calibri Light"/>
          <w:color w:val="000000"/>
          <w:lang w:val="en-AU"/>
        </w:rPr>
        <w:lastRenderedPageBreak/>
        <w:t xml:space="preserve">2018-19. Awareness training for child safeguarding and gender-based violence was provided to 169 (33 per cent) education leaders </w:t>
      </w:r>
      <w:r w:rsidRPr="00FD601B">
        <w:rPr>
          <w:rFonts w:ascii="Calibri Light" w:eastAsia="Times New Roman" w:hAnsi="Calibri Light" w:cs="Calibri Light"/>
          <w:color w:val="000000"/>
          <w:lang w:val="en-AU"/>
        </w:rPr>
        <w:t xml:space="preserve">and 3,450 members of school communities attended awareness workshops.  </w:t>
      </w:r>
    </w:p>
    <w:p w:rsidR="00973FBD" w:rsidRPr="00B64AC5" w:rsidRDefault="00973FBD" w:rsidP="00973FBD">
      <w:pPr>
        <w:suppressAutoHyphens w:val="0"/>
        <w:spacing w:before="77" w:after="0" w:line="240" w:lineRule="auto"/>
        <w:rPr>
          <w:rFonts w:ascii="Calibri Light" w:eastAsia="Times New Roman" w:hAnsi="Calibri Light" w:cs="Calibri Light"/>
          <w:color w:val="000000"/>
          <w:lang w:val="en-AU"/>
        </w:rPr>
      </w:pPr>
      <w:r w:rsidRPr="00FD601B">
        <w:rPr>
          <w:rFonts w:eastAsia="Times New Roman" w:cstheme="minorHAnsi"/>
          <w:b/>
          <w:color w:val="000000"/>
          <w:lang w:val="en-AU"/>
        </w:rPr>
        <w:t xml:space="preserve">Education quality </w:t>
      </w:r>
      <w:r w:rsidR="002C2F24" w:rsidRPr="00FD601B">
        <w:rPr>
          <w:rFonts w:eastAsia="Times New Roman" w:cstheme="minorHAnsi"/>
          <w:b/>
          <w:color w:val="000000"/>
          <w:lang w:val="en-AU"/>
        </w:rPr>
        <w:t xml:space="preserve">continued to </w:t>
      </w:r>
      <w:r w:rsidRPr="00FD601B">
        <w:rPr>
          <w:rFonts w:eastAsia="Times New Roman" w:cstheme="minorHAnsi"/>
          <w:b/>
          <w:color w:val="000000"/>
          <w:lang w:val="en-AU"/>
        </w:rPr>
        <w:t>improve in 2018-19</w:t>
      </w:r>
      <w:r w:rsidR="002C2F24" w:rsidRPr="00FD601B">
        <w:rPr>
          <w:rFonts w:eastAsia="Times New Roman" w:cstheme="minorHAnsi"/>
          <w:b/>
          <w:color w:val="000000"/>
          <w:lang w:val="en-AU"/>
        </w:rPr>
        <w:t>, building on gains from our $</w:t>
      </w:r>
      <w:r w:rsidR="00C075BD">
        <w:rPr>
          <w:rFonts w:eastAsia="Times New Roman" w:cstheme="minorHAnsi"/>
          <w:b/>
          <w:color w:val="000000"/>
          <w:lang w:val="en-AU"/>
        </w:rPr>
        <w:t>30</w:t>
      </w:r>
      <w:r w:rsidR="00FD601B" w:rsidRPr="00FD601B">
        <w:rPr>
          <w:rFonts w:eastAsia="Times New Roman" w:cstheme="minorHAnsi"/>
          <w:b/>
          <w:color w:val="000000"/>
          <w:lang w:val="en-AU"/>
        </w:rPr>
        <w:t xml:space="preserve"> </w:t>
      </w:r>
      <w:r w:rsidR="002C2F24" w:rsidRPr="00FD601B">
        <w:rPr>
          <w:rFonts w:eastAsia="Times New Roman" w:cstheme="minorHAnsi"/>
          <w:b/>
          <w:color w:val="000000"/>
          <w:lang w:val="en-AU"/>
        </w:rPr>
        <w:t>million investment in the sector from 201</w:t>
      </w:r>
      <w:r w:rsidR="00FD601B" w:rsidRPr="00FD601B">
        <w:rPr>
          <w:rFonts w:eastAsia="Times New Roman" w:cstheme="minorHAnsi"/>
          <w:b/>
          <w:color w:val="000000"/>
          <w:lang w:val="en-AU"/>
        </w:rPr>
        <w:t>3</w:t>
      </w:r>
      <w:r w:rsidR="002C2F24" w:rsidRPr="00FD601B">
        <w:rPr>
          <w:rFonts w:eastAsia="Times New Roman" w:cstheme="minorHAnsi"/>
          <w:b/>
          <w:color w:val="000000"/>
          <w:lang w:val="en-AU"/>
        </w:rPr>
        <w:t xml:space="preserve">-18. </w:t>
      </w:r>
      <w:r w:rsidR="002C2F24" w:rsidRPr="00FD601B">
        <w:rPr>
          <w:rFonts w:eastAsia="Times New Roman" w:cstheme="minorHAnsi"/>
          <w:color w:val="000000"/>
          <w:lang w:val="en-AU"/>
        </w:rPr>
        <w:t>C</w:t>
      </w:r>
      <w:r w:rsidRPr="00FD601B">
        <w:rPr>
          <w:rFonts w:eastAsia="Times New Roman" w:cstheme="minorHAnsi"/>
          <w:color w:val="000000"/>
          <w:lang w:val="en-AU"/>
        </w:rPr>
        <w:t>urriculum reform</w:t>
      </w:r>
      <w:r w:rsidR="002C2F24" w:rsidRPr="00FD601B">
        <w:rPr>
          <w:rFonts w:eastAsia="Times New Roman" w:cstheme="minorHAnsi"/>
          <w:color w:val="000000"/>
          <w:lang w:val="en-AU"/>
        </w:rPr>
        <w:t>s</w:t>
      </w:r>
      <w:r w:rsidRPr="00FD601B">
        <w:rPr>
          <w:rFonts w:eastAsia="Times New Roman" w:cstheme="minorHAnsi"/>
          <w:color w:val="000000"/>
          <w:lang w:val="en-AU"/>
        </w:rPr>
        <w:t xml:space="preserve"> implemented in 98</w:t>
      </w:r>
      <w:r w:rsidR="00CF75BB" w:rsidRPr="00FD601B">
        <w:rPr>
          <w:rFonts w:eastAsia="Times New Roman" w:cstheme="minorHAnsi"/>
          <w:color w:val="000000"/>
          <w:lang w:val="en-AU"/>
        </w:rPr>
        <w:t xml:space="preserve"> per cent</w:t>
      </w:r>
      <w:r w:rsidRPr="00FD601B">
        <w:rPr>
          <w:rFonts w:eastAsia="Times New Roman" w:cstheme="minorHAnsi"/>
          <w:color w:val="000000"/>
          <w:lang w:val="en-AU"/>
        </w:rPr>
        <w:t xml:space="preserve"> of primary schools</w:t>
      </w:r>
      <w:r w:rsidR="002C2F24" w:rsidRPr="00FD601B">
        <w:rPr>
          <w:rFonts w:eastAsia="Times New Roman" w:cstheme="minorHAnsi"/>
          <w:color w:val="000000"/>
          <w:lang w:val="en-AU"/>
        </w:rPr>
        <w:t>, included delivery of c</w:t>
      </w:r>
      <w:r w:rsidRPr="002C2F24">
        <w:rPr>
          <w:rFonts w:eastAsia="Times New Roman" w:cstheme="minorHAnsi"/>
          <w:color w:val="000000"/>
          <w:lang w:val="en-AU"/>
        </w:rPr>
        <w:t>lassroom</w:t>
      </w:r>
      <w:r w:rsidRPr="002C2F24">
        <w:rPr>
          <w:rFonts w:ascii="Calibri Light" w:eastAsia="Times New Roman" w:hAnsi="Calibri Light" w:cs="Calibri Light"/>
          <w:color w:val="000000"/>
          <w:lang w:val="en-AU"/>
        </w:rPr>
        <w:t xml:space="preserve"> resources</w:t>
      </w:r>
      <w:r w:rsidRPr="00B64AC5">
        <w:rPr>
          <w:rFonts w:ascii="Calibri Light" w:eastAsia="Times New Roman" w:hAnsi="Calibri Light" w:cs="Calibri Light"/>
          <w:color w:val="000000"/>
          <w:lang w:val="en-AU"/>
        </w:rPr>
        <w:t xml:space="preserve"> to </w:t>
      </w:r>
      <w:r w:rsidR="00CF75BB">
        <w:rPr>
          <w:rFonts w:ascii="Calibri Light" w:eastAsia="Times New Roman" w:hAnsi="Calibri Light" w:cs="Calibri Light"/>
          <w:color w:val="000000"/>
          <w:lang w:val="en-AU"/>
        </w:rPr>
        <w:t xml:space="preserve">all </w:t>
      </w:r>
      <w:r w:rsidRPr="00B64AC5">
        <w:rPr>
          <w:rFonts w:ascii="Calibri Light" w:eastAsia="Times New Roman" w:hAnsi="Calibri Light" w:cs="Calibri Light"/>
          <w:color w:val="000000"/>
          <w:lang w:val="en-AU"/>
        </w:rPr>
        <w:t xml:space="preserve">432 primary schools, benefiting 51,690 </w:t>
      </w:r>
      <w:r w:rsidR="0064768E">
        <w:rPr>
          <w:rFonts w:ascii="Calibri Light" w:eastAsia="Times New Roman" w:hAnsi="Calibri Light" w:cs="Calibri Light"/>
          <w:color w:val="000000"/>
          <w:lang w:val="en-AU"/>
        </w:rPr>
        <w:t xml:space="preserve">(24,169 girls) </w:t>
      </w:r>
      <w:r w:rsidRPr="00B64AC5">
        <w:rPr>
          <w:rFonts w:ascii="Calibri Light" w:eastAsia="Times New Roman" w:hAnsi="Calibri Light" w:cs="Calibri Light"/>
          <w:color w:val="000000"/>
          <w:lang w:val="en-AU"/>
        </w:rPr>
        <w:t>students</w:t>
      </w:r>
      <w:r w:rsidRPr="00CB27A1">
        <w:rPr>
          <w:rFonts w:ascii="Calibri Light" w:eastAsia="Times New Roman" w:hAnsi="Calibri Light" w:cs="Calibri Light"/>
          <w:color w:val="000000"/>
          <w:lang w:val="en-AU"/>
        </w:rPr>
        <w:t>.</w:t>
      </w:r>
      <w:r w:rsidRPr="00B64AC5">
        <w:rPr>
          <w:rFonts w:ascii="Calibri Light" w:eastAsia="Times New Roman" w:hAnsi="Calibri Light" w:cs="Calibri Light"/>
          <w:color w:val="000000"/>
          <w:lang w:val="en-AU"/>
        </w:rPr>
        <w:t xml:space="preserve"> </w:t>
      </w:r>
      <w:r w:rsidR="00AE1586">
        <w:rPr>
          <w:rFonts w:ascii="Calibri Light" w:eastAsia="Times New Roman" w:hAnsi="Calibri Light" w:cs="Calibri Light"/>
          <w:color w:val="000000"/>
          <w:lang w:val="en-AU"/>
        </w:rPr>
        <w:t>Ninety</w:t>
      </w:r>
      <w:r w:rsidR="00CF75BB">
        <w:rPr>
          <w:rFonts w:ascii="Calibri Light" w:eastAsia="Times New Roman" w:hAnsi="Calibri Light" w:cs="Calibri Light"/>
          <w:color w:val="000000"/>
          <w:lang w:val="en-AU"/>
        </w:rPr>
        <w:noBreakHyphen/>
      </w:r>
      <w:r w:rsidR="00AE1586">
        <w:rPr>
          <w:rFonts w:ascii="Calibri Light" w:eastAsia="Times New Roman" w:hAnsi="Calibri Light" w:cs="Calibri Light"/>
          <w:color w:val="000000"/>
          <w:lang w:val="en-AU"/>
        </w:rPr>
        <w:t xml:space="preserve">six per cent of </w:t>
      </w:r>
      <w:r w:rsidRPr="00A26553">
        <w:rPr>
          <w:rFonts w:ascii="Calibri Light" w:eastAsia="Times New Roman" w:hAnsi="Calibri Light" w:cs="Calibri Light"/>
          <w:color w:val="000000"/>
          <w:lang w:val="en-AU"/>
        </w:rPr>
        <w:t>Y</w:t>
      </w:r>
      <w:r w:rsidR="00AE1586">
        <w:rPr>
          <w:rFonts w:ascii="Calibri Light" w:eastAsia="Times New Roman" w:hAnsi="Calibri Light" w:cs="Calibri Light"/>
          <w:color w:val="000000"/>
          <w:lang w:val="en-AU"/>
        </w:rPr>
        <w:t xml:space="preserve">ear </w:t>
      </w:r>
      <w:r w:rsidRPr="00A26553">
        <w:rPr>
          <w:rFonts w:ascii="Calibri Light" w:eastAsia="Times New Roman" w:hAnsi="Calibri Light" w:cs="Calibri Light"/>
          <w:color w:val="000000"/>
          <w:lang w:val="en-AU"/>
        </w:rPr>
        <w:t>1-4</w:t>
      </w:r>
      <w:r w:rsidRPr="00B71BBA">
        <w:rPr>
          <w:rFonts w:ascii="Calibri Light" w:eastAsia="Times New Roman" w:hAnsi="Calibri Light" w:cs="Calibri Light"/>
          <w:color w:val="000000"/>
          <w:lang w:val="en-AU"/>
        </w:rPr>
        <w:t xml:space="preserve"> teachers (</w:t>
      </w:r>
      <w:r w:rsidRPr="00A26553">
        <w:rPr>
          <w:rFonts w:ascii="Calibri Light" w:eastAsia="Times New Roman" w:hAnsi="Calibri Light" w:cs="Calibri Light"/>
          <w:color w:val="000000"/>
          <w:lang w:val="en-AU"/>
        </w:rPr>
        <w:t>1</w:t>
      </w:r>
      <w:r w:rsidR="00CF75BB">
        <w:rPr>
          <w:rFonts w:ascii="Calibri Light" w:eastAsia="Times New Roman" w:hAnsi="Calibri Light" w:cs="Calibri Light"/>
          <w:color w:val="000000"/>
          <w:lang w:val="en-AU"/>
        </w:rPr>
        <w:t>,</w:t>
      </w:r>
      <w:r w:rsidRPr="00A26553">
        <w:rPr>
          <w:rFonts w:ascii="Calibri Light" w:eastAsia="Times New Roman" w:hAnsi="Calibri Light" w:cs="Calibri Light"/>
          <w:color w:val="000000"/>
          <w:lang w:val="en-AU"/>
        </w:rPr>
        <w:t>399</w:t>
      </w:r>
      <w:r w:rsidRPr="00B71BBA">
        <w:rPr>
          <w:rFonts w:ascii="Calibri Light" w:eastAsia="Times New Roman" w:hAnsi="Calibri Light" w:cs="Calibri Light"/>
          <w:color w:val="000000"/>
          <w:lang w:val="en-AU"/>
        </w:rPr>
        <w:t xml:space="preserve">) and </w:t>
      </w:r>
      <w:r>
        <w:rPr>
          <w:rFonts w:ascii="Calibri Light" w:eastAsia="Times New Roman" w:hAnsi="Calibri Light" w:cs="Calibri Light"/>
          <w:color w:val="000000"/>
          <w:lang w:val="en-AU"/>
        </w:rPr>
        <w:t xml:space="preserve">415 </w:t>
      </w:r>
      <w:r w:rsidRPr="00B71BBA">
        <w:rPr>
          <w:rFonts w:ascii="Calibri Light" w:eastAsia="Times New Roman" w:hAnsi="Calibri Light" w:cs="Calibri Light"/>
          <w:color w:val="000000"/>
          <w:lang w:val="en-AU"/>
        </w:rPr>
        <w:t>primary school principals received professional development in effective teaching and learning and trained in new curriculum and learning resources.</w:t>
      </w:r>
      <w:r w:rsidR="00B142F9">
        <w:rPr>
          <w:rFonts w:ascii="Calibri Light" w:eastAsia="Times New Roman" w:hAnsi="Calibri Light" w:cs="Calibri Light"/>
          <w:color w:val="000000"/>
          <w:lang w:val="en-AU"/>
        </w:rPr>
        <w:t xml:space="preserve"> </w:t>
      </w:r>
      <w:r w:rsidRPr="00B83D47">
        <w:rPr>
          <w:rFonts w:eastAsia="Times New Roman" w:cstheme="minorHAnsi"/>
          <w:color w:val="000000"/>
          <w:lang w:val="en-AU"/>
        </w:rPr>
        <w:t>Behavioural change resulted, with teachers adopting child-centred learning methodologies and use of mother tongue in the early years.</w:t>
      </w:r>
      <w:r w:rsidRPr="00B71BBA">
        <w:rPr>
          <w:rFonts w:ascii="Calibri" w:eastAsia="Times New Roman" w:hAnsi="Calibri" w:cs="Times New Roman"/>
          <w:color w:val="000000"/>
          <w:lang w:val="en-AU"/>
        </w:rPr>
        <w:t xml:space="preserve"> </w:t>
      </w:r>
      <w:r w:rsidRPr="00B71BBA">
        <w:rPr>
          <w:rFonts w:ascii="Calibri Light" w:eastAsia="Times New Roman" w:hAnsi="Calibri Light" w:cs="Calibri Light"/>
          <w:color w:val="000000"/>
          <w:lang w:val="en-AU"/>
        </w:rPr>
        <w:t xml:space="preserve">In 2017, </w:t>
      </w:r>
      <w:r w:rsidR="00263C1A" w:rsidRPr="00B71BBA">
        <w:rPr>
          <w:rFonts w:ascii="Calibri Light" w:eastAsia="Times New Roman" w:hAnsi="Calibri Light" w:cs="Calibri Light"/>
          <w:color w:val="000000"/>
          <w:lang w:val="en-AU"/>
        </w:rPr>
        <w:t>Vanuatu Standardised Test of Achievement</w:t>
      </w:r>
      <w:r w:rsidR="00511C77">
        <w:rPr>
          <w:rFonts w:ascii="Calibri Light" w:eastAsia="Times New Roman" w:hAnsi="Calibri Light" w:cs="Calibri Light"/>
          <w:color w:val="000000"/>
          <w:lang w:val="en-AU"/>
        </w:rPr>
        <w:t xml:space="preserve"> (VANSTA)</w:t>
      </w:r>
      <w:r w:rsidR="00263C1A" w:rsidRPr="00B71BBA">
        <w:rPr>
          <w:rFonts w:ascii="Calibri Light" w:eastAsia="Times New Roman" w:hAnsi="Calibri Light" w:cs="Calibri Light"/>
          <w:color w:val="000000"/>
          <w:lang w:val="en-AU"/>
        </w:rPr>
        <w:t xml:space="preserve"> </w:t>
      </w:r>
      <w:r w:rsidR="00263C1A">
        <w:rPr>
          <w:rFonts w:ascii="Calibri Light" w:eastAsia="Times New Roman" w:hAnsi="Calibri Light" w:cs="Calibri Light"/>
          <w:color w:val="000000"/>
          <w:lang w:val="en-AU"/>
        </w:rPr>
        <w:t xml:space="preserve">results showed </w:t>
      </w:r>
      <w:r w:rsidRPr="00B71BBA">
        <w:rPr>
          <w:rFonts w:ascii="Calibri Light" w:eastAsia="Times New Roman" w:hAnsi="Calibri Light" w:cs="Calibri Light"/>
          <w:color w:val="000000"/>
          <w:lang w:val="en-AU"/>
        </w:rPr>
        <w:t>65</w:t>
      </w:r>
      <w:r w:rsidR="003726D2">
        <w:rPr>
          <w:rFonts w:ascii="Calibri Light" w:eastAsia="Times New Roman" w:hAnsi="Calibri Light" w:cs="Calibri Light"/>
          <w:color w:val="000000"/>
          <w:lang w:val="en-AU"/>
        </w:rPr>
        <w:t xml:space="preserve"> per cent</w:t>
      </w:r>
      <w:r w:rsidRPr="00B71BBA">
        <w:rPr>
          <w:rFonts w:ascii="Calibri Light" w:eastAsia="Times New Roman" w:hAnsi="Calibri Light" w:cs="Calibri Light"/>
          <w:color w:val="000000"/>
          <w:lang w:val="en-AU"/>
        </w:rPr>
        <w:t xml:space="preserve"> of Year 4 students</w:t>
      </w:r>
      <w:r w:rsidR="00E5395F">
        <w:rPr>
          <w:rFonts w:ascii="Calibri Light" w:eastAsia="Times New Roman" w:hAnsi="Calibri Light" w:cs="Calibri Light"/>
          <w:color w:val="000000"/>
          <w:lang w:val="en-AU"/>
        </w:rPr>
        <w:t xml:space="preserve"> (girls outperform</w:t>
      </w:r>
      <w:r w:rsidR="0064768E">
        <w:rPr>
          <w:rFonts w:ascii="Calibri Light" w:eastAsia="Times New Roman" w:hAnsi="Calibri Light" w:cs="Calibri Light"/>
          <w:color w:val="000000"/>
          <w:lang w:val="en-AU"/>
        </w:rPr>
        <w:t>ed</w:t>
      </w:r>
      <w:r w:rsidR="00E5395F">
        <w:rPr>
          <w:rFonts w:ascii="Calibri Light" w:eastAsia="Times New Roman" w:hAnsi="Calibri Light" w:cs="Calibri Light"/>
          <w:color w:val="000000"/>
          <w:lang w:val="en-AU"/>
        </w:rPr>
        <w:t xml:space="preserve"> boys)</w:t>
      </w:r>
      <w:r w:rsidRPr="00B71BBA">
        <w:rPr>
          <w:rFonts w:ascii="Calibri Light" w:eastAsia="Times New Roman" w:hAnsi="Calibri Light" w:cs="Calibri Light"/>
          <w:color w:val="000000"/>
          <w:lang w:val="en-AU"/>
        </w:rPr>
        <w:t xml:space="preserve"> met or exceeded the minimum standards for literacy (23</w:t>
      </w:r>
      <w:r w:rsidR="003726D2">
        <w:rPr>
          <w:rFonts w:ascii="Calibri Light" w:eastAsia="Times New Roman" w:hAnsi="Calibri Light" w:cs="Calibri Light"/>
          <w:color w:val="000000"/>
          <w:lang w:val="en-AU"/>
        </w:rPr>
        <w:t xml:space="preserve"> per cent</w:t>
      </w:r>
      <w:r w:rsidRPr="00B71BBA">
        <w:rPr>
          <w:rFonts w:ascii="Calibri Light" w:eastAsia="Times New Roman" w:hAnsi="Calibri Light" w:cs="Calibri Light"/>
          <w:color w:val="000000"/>
          <w:lang w:val="en-AU"/>
        </w:rPr>
        <w:t xml:space="preserve"> in 2010), and 85</w:t>
      </w:r>
      <w:r w:rsidR="003726D2">
        <w:rPr>
          <w:rFonts w:ascii="Calibri Light" w:eastAsia="Times New Roman" w:hAnsi="Calibri Light" w:cs="Calibri Light"/>
          <w:color w:val="000000"/>
          <w:lang w:val="en-AU"/>
        </w:rPr>
        <w:t xml:space="preserve"> per cent </w:t>
      </w:r>
      <w:r w:rsidRPr="00B71BBA">
        <w:rPr>
          <w:rFonts w:ascii="Calibri Light" w:eastAsia="Times New Roman" w:hAnsi="Calibri Light" w:cs="Calibri Light"/>
          <w:color w:val="000000"/>
          <w:lang w:val="en-AU"/>
        </w:rPr>
        <w:t>achieved the minimum standard for numeracy (49</w:t>
      </w:r>
      <w:r w:rsidR="003726D2">
        <w:rPr>
          <w:rFonts w:ascii="Calibri Light" w:eastAsia="Times New Roman" w:hAnsi="Calibri Light" w:cs="Calibri Light"/>
          <w:color w:val="000000"/>
          <w:lang w:val="en-AU"/>
        </w:rPr>
        <w:t xml:space="preserve"> per cent</w:t>
      </w:r>
      <w:r w:rsidRPr="00B71BBA">
        <w:rPr>
          <w:rFonts w:ascii="Calibri Light" w:eastAsia="Times New Roman" w:hAnsi="Calibri Light" w:cs="Calibri Light"/>
          <w:color w:val="000000"/>
          <w:lang w:val="en-AU"/>
        </w:rPr>
        <w:t xml:space="preserve"> in 2010)</w:t>
      </w:r>
      <w:r w:rsidR="00D663DD">
        <w:rPr>
          <w:rFonts w:ascii="Calibri Light" w:eastAsia="Times New Roman" w:hAnsi="Calibri Light" w:cs="Calibri Light"/>
          <w:color w:val="000000"/>
          <w:lang w:val="en-AU"/>
        </w:rPr>
        <w:t xml:space="preserve"> </w:t>
      </w:r>
      <w:r w:rsidR="00D663DD" w:rsidRPr="007C295E">
        <w:rPr>
          <w:rFonts w:ascii="Calibri Light" w:eastAsia="Times New Roman" w:hAnsi="Calibri Light" w:cs="Calibri Light"/>
          <w:color w:val="000000"/>
          <w:lang w:val="en-AU"/>
        </w:rPr>
        <w:t>[exceeded PAF target 2.1</w:t>
      </w:r>
      <w:r w:rsidR="00D663DD" w:rsidRPr="00E5395F">
        <w:rPr>
          <w:rFonts w:ascii="Calibri Light" w:eastAsia="Times New Roman" w:hAnsi="Calibri Light" w:cs="Calibri Light"/>
          <w:color w:val="000000"/>
          <w:lang w:val="en-AU"/>
        </w:rPr>
        <w:t>]</w:t>
      </w:r>
      <w:r w:rsidRPr="00E5395F">
        <w:rPr>
          <w:rFonts w:ascii="Calibri Light" w:eastAsia="Times New Roman" w:hAnsi="Calibri Light" w:cs="Calibri Light"/>
          <w:color w:val="000000"/>
          <w:lang w:val="en-AU"/>
        </w:rPr>
        <w:t>.</w:t>
      </w:r>
      <w:r w:rsidR="00E5395F" w:rsidRPr="00753929">
        <w:rPr>
          <w:rFonts w:ascii="Calibri Light" w:eastAsia="Times New Roman" w:hAnsi="Calibri Light" w:cs="Calibri Light"/>
          <w:color w:val="000000"/>
          <w:lang w:val="en-AU"/>
        </w:rPr>
        <w:t xml:space="preserve"> </w:t>
      </w:r>
      <w:r w:rsidR="00753929">
        <w:rPr>
          <w:rFonts w:ascii="Calibri Light" w:eastAsia="Times New Roman" w:hAnsi="Calibri Light" w:cs="Calibri Light"/>
          <w:color w:val="000000"/>
          <w:lang w:val="en-AU"/>
        </w:rPr>
        <w:t xml:space="preserve">Early reports indicate </w:t>
      </w:r>
      <w:r w:rsidR="0064768E">
        <w:rPr>
          <w:rFonts w:ascii="Calibri Light" w:eastAsia="Times New Roman" w:hAnsi="Calibri Light" w:cs="Calibri Light"/>
          <w:color w:val="000000"/>
          <w:lang w:val="en-AU"/>
        </w:rPr>
        <w:t>positive outcomes for</w:t>
      </w:r>
      <w:r w:rsidR="00753929">
        <w:rPr>
          <w:rFonts w:ascii="Calibri Light" w:eastAsia="Times New Roman" w:hAnsi="Calibri Light" w:cs="Calibri Light"/>
          <w:color w:val="000000"/>
          <w:lang w:val="en-AU"/>
        </w:rPr>
        <w:t xml:space="preserve"> </w:t>
      </w:r>
      <w:r w:rsidR="00E5395F" w:rsidRPr="00753929">
        <w:rPr>
          <w:rFonts w:ascii="Calibri Light" w:eastAsia="Times New Roman" w:hAnsi="Calibri Light" w:cs="Calibri Light"/>
          <w:color w:val="000000"/>
          <w:lang w:val="en-AU"/>
        </w:rPr>
        <w:t xml:space="preserve">teachers and principals </w:t>
      </w:r>
      <w:r w:rsidR="0064768E">
        <w:rPr>
          <w:rFonts w:ascii="Calibri Light" w:eastAsia="Times New Roman" w:hAnsi="Calibri Light" w:cs="Calibri Light"/>
          <w:color w:val="000000"/>
          <w:lang w:val="en-AU"/>
        </w:rPr>
        <w:t>following</w:t>
      </w:r>
      <w:r w:rsidR="00E5395F" w:rsidRPr="00753929">
        <w:rPr>
          <w:rFonts w:ascii="Calibri Light" w:eastAsia="Times New Roman" w:hAnsi="Calibri Light" w:cs="Calibri Light"/>
          <w:color w:val="000000"/>
          <w:lang w:val="en-AU"/>
        </w:rPr>
        <w:t xml:space="preserve"> training.</w:t>
      </w:r>
      <w:r>
        <w:rPr>
          <w:rFonts w:ascii="Calibri Light" w:eastAsia="Times New Roman" w:hAnsi="Calibri Light" w:cs="Calibri Light"/>
          <w:color w:val="000000"/>
          <w:lang w:val="en-AU"/>
        </w:rPr>
        <w:t xml:space="preserve"> </w:t>
      </w:r>
      <w:r w:rsidRPr="00B71BBA">
        <w:rPr>
          <w:rFonts w:ascii="Calibri Light" w:eastAsia="Times New Roman" w:hAnsi="Calibri Light" w:cs="Calibri Light"/>
          <w:color w:val="000000"/>
          <w:lang w:val="en-AU"/>
        </w:rPr>
        <w:t xml:space="preserve">Campaigns </w:t>
      </w:r>
      <w:r w:rsidR="004A211C">
        <w:rPr>
          <w:rFonts w:ascii="Calibri Light" w:eastAsia="Times New Roman" w:hAnsi="Calibri Light" w:cs="Calibri Light"/>
          <w:color w:val="000000"/>
          <w:lang w:val="en-AU"/>
        </w:rPr>
        <w:t>supporting the Ministry’s</w:t>
      </w:r>
      <w:r w:rsidRPr="00B71BBA">
        <w:rPr>
          <w:rFonts w:ascii="Calibri Light" w:eastAsia="Times New Roman" w:hAnsi="Calibri Light" w:cs="Calibri Light"/>
          <w:color w:val="000000"/>
          <w:lang w:val="en-AU"/>
        </w:rPr>
        <w:t xml:space="preserve"> </w:t>
      </w:r>
      <w:r w:rsidRPr="00A26553">
        <w:rPr>
          <w:rFonts w:ascii="Calibri Light" w:eastAsia="Times New Roman" w:hAnsi="Calibri Light" w:cs="Calibri Light"/>
          <w:i/>
          <w:color w:val="000000"/>
          <w:lang w:val="en-AU"/>
        </w:rPr>
        <w:t>Right Age</w:t>
      </w:r>
      <w:r w:rsidRPr="00B71BBA">
        <w:rPr>
          <w:rFonts w:ascii="Calibri Light" w:eastAsia="Times New Roman" w:hAnsi="Calibri Light" w:cs="Calibri Light"/>
          <w:color w:val="000000"/>
          <w:lang w:val="en-AU"/>
        </w:rPr>
        <w:t xml:space="preserve"> and </w:t>
      </w:r>
      <w:r w:rsidRPr="00A26553">
        <w:rPr>
          <w:rFonts w:ascii="Calibri Light" w:eastAsia="Times New Roman" w:hAnsi="Calibri Light" w:cs="Calibri Light"/>
          <w:i/>
          <w:color w:val="000000"/>
          <w:lang w:val="en-AU"/>
        </w:rPr>
        <w:t>Early Learning</w:t>
      </w:r>
      <w:r w:rsidRPr="00B71BBA">
        <w:rPr>
          <w:rFonts w:ascii="Calibri Light" w:eastAsia="Times New Roman" w:hAnsi="Calibri Light" w:cs="Calibri Light"/>
          <w:color w:val="000000"/>
          <w:lang w:val="en-AU"/>
        </w:rPr>
        <w:t xml:space="preserve"> policies reached 29,450</w:t>
      </w:r>
      <w:r w:rsidR="003726D2">
        <w:rPr>
          <w:rFonts w:ascii="Calibri Light" w:eastAsia="Times New Roman" w:hAnsi="Calibri Light" w:cs="Calibri Light"/>
          <w:color w:val="000000"/>
          <w:lang w:val="en-AU"/>
        </w:rPr>
        <w:t> </w:t>
      </w:r>
      <w:r w:rsidRPr="00B71BBA">
        <w:rPr>
          <w:rFonts w:ascii="Calibri Light" w:eastAsia="Times New Roman" w:hAnsi="Calibri Light" w:cs="Calibri Light"/>
          <w:color w:val="000000"/>
          <w:lang w:val="en-AU"/>
        </w:rPr>
        <w:t xml:space="preserve">people and as a direct consequence more children commenced school at the correct age (age </w:t>
      </w:r>
      <w:r w:rsidR="003726D2">
        <w:rPr>
          <w:rFonts w:ascii="Calibri Light" w:eastAsia="Times New Roman" w:hAnsi="Calibri Light" w:cs="Calibri Light"/>
          <w:color w:val="000000"/>
          <w:lang w:val="en-AU"/>
        </w:rPr>
        <w:t>six</w:t>
      </w:r>
      <w:r w:rsidRPr="00B71BBA">
        <w:rPr>
          <w:rFonts w:ascii="Calibri Light" w:eastAsia="Times New Roman" w:hAnsi="Calibri Light" w:cs="Calibri Light"/>
          <w:color w:val="000000"/>
          <w:lang w:val="en-AU"/>
        </w:rPr>
        <w:t xml:space="preserve"> / Year 1)</w:t>
      </w:r>
      <w:r w:rsidR="0064768E">
        <w:rPr>
          <w:rFonts w:ascii="Calibri Light" w:eastAsia="Times New Roman" w:hAnsi="Calibri Light" w:cs="Calibri Light"/>
          <w:color w:val="000000"/>
          <w:lang w:val="en-AU"/>
        </w:rPr>
        <w:t>,</w:t>
      </w:r>
      <w:r w:rsidRPr="00B71BBA">
        <w:rPr>
          <w:rFonts w:ascii="Calibri Light" w:eastAsia="Times New Roman" w:hAnsi="Calibri Light" w:cs="Calibri Light"/>
          <w:color w:val="000000"/>
          <w:lang w:val="en-AU"/>
        </w:rPr>
        <w:t xml:space="preserve"> with the proportion of children attending Kind</w:t>
      </w:r>
      <w:r w:rsidR="003726D2">
        <w:rPr>
          <w:rFonts w:ascii="Calibri Light" w:eastAsia="Times New Roman" w:hAnsi="Calibri Light" w:cs="Calibri Light"/>
          <w:color w:val="000000"/>
          <w:lang w:val="en-AU"/>
        </w:rPr>
        <w:t>ergarten</w:t>
      </w:r>
      <w:r w:rsidRPr="00B71BBA">
        <w:rPr>
          <w:rFonts w:ascii="Calibri Light" w:eastAsia="Times New Roman" w:hAnsi="Calibri Light" w:cs="Calibri Light"/>
          <w:color w:val="000000"/>
          <w:lang w:val="en-AU"/>
        </w:rPr>
        <w:t xml:space="preserve"> at </w:t>
      </w:r>
      <w:r w:rsidR="003726D2">
        <w:rPr>
          <w:rFonts w:ascii="Calibri Light" w:eastAsia="Times New Roman" w:hAnsi="Calibri Light" w:cs="Calibri Light"/>
          <w:color w:val="000000"/>
          <w:lang w:val="en-AU"/>
        </w:rPr>
        <w:t>age five</w:t>
      </w:r>
      <w:r w:rsidRPr="00B71BBA">
        <w:rPr>
          <w:rFonts w:ascii="Calibri Light" w:eastAsia="Times New Roman" w:hAnsi="Calibri Light" w:cs="Calibri Light"/>
          <w:color w:val="000000"/>
          <w:lang w:val="en-AU"/>
        </w:rPr>
        <w:t xml:space="preserve"> improving from </w:t>
      </w:r>
      <w:r w:rsidRPr="00A26553">
        <w:rPr>
          <w:rFonts w:ascii="Calibri Light" w:eastAsia="Times New Roman" w:hAnsi="Calibri Light" w:cs="Calibri Light"/>
          <w:color w:val="000000"/>
          <w:lang w:val="en-AU"/>
        </w:rPr>
        <w:t>53</w:t>
      </w:r>
      <w:r w:rsidR="003726D2">
        <w:rPr>
          <w:rFonts w:ascii="Calibri Light" w:eastAsia="Times New Roman" w:hAnsi="Calibri Light" w:cs="Calibri Light"/>
          <w:color w:val="000000"/>
          <w:lang w:val="en-AU"/>
        </w:rPr>
        <w:t> per cent</w:t>
      </w:r>
      <w:r w:rsidRPr="00B71BBA">
        <w:rPr>
          <w:rFonts w:ascii="Calibri Light" w:eastAsia="Times New Roman" w:hAnsi="Calibri Light" w:cs="Calibri Light"/>
          <w:color w:val="000000"/>
          <w:lang w:val="en-AU"/>
        </w:rPr>
        <w:t xml:space="preserve"> in 2010 to 78</w:t>
      </w:r>
      <w:r w:rsidR="003726D2">
        <w:rPr>
          <w:rFonts w:ascii="Calibri Light" w:eastAsia="Times New Roman" w:hAnsi="Calibri Light" w:cs="Calibri Light"/>
          <w:color w:val="000000"/>
          <w:lang w:val="en-AU"/>
        </w:rPr>
        <w:t xml:space="preserve"> per cent</w:t>
      </w:r>
      <w:r w:rsidRPr="00B64AC5">
        <w:rPr>
          <w:rFonts w:ascii="Calibri Light" w:eastAsia="Times New Roman" w:hAnsi="Calibri Light" w:cs="Calibri Light"/>
          <w:color w:val="000000"/>
          <w:lang w:val="en-AU"/>
        </w:rPr>
        <w:t xml:space="preserve"> in 2018</w:t>
      </w:r>
      <w:r>
        <w:rPr>
          <w:rFonts w:ascii="Calibri Light" w:eastAsia="Times New Roman" w:hAnsi="Calibri Light" w:cs="Calibri Light"/>
          <w:color w:val="000000"/>
          <w:lang w:val="en-AU"/>
        </w:rPr>
        <w:t xml:space="preserve">. </w:t>
      </w:r>
      <w:r w:rsidRPr="00B64AC5">
        <w:rPr>
          <w:rFonts w:ascii="Calibri Light" w:eastAsia="Times New Roman" w:hAnsi="Calibri Light" w:cs="Calibri Light"/>
          <w:color w:val="000000"/>
          <w:lang w:val="en-AU"/>
        </w:rPr>
        <w:t xml:space="preserve"> </w:t>
      </w:r>
    </w:p>
    <w:p w:rsidR="00973FBD" w:rsidRDefault="00DE5D21" w:rsidP="00973FBD">
      <w:pPr>
        <w:suppressAutoHyphens w:val="0"/>
        <w:spacing w:before="77" w:after="0" w:line="240" w:lineRule="auto"/>
        <w:rPr>
          <w:rFonts w:ascii="Calibri Light" w:eastAsia="Calibri" w:hAnsi="Calibri Light" w:cs="Calibri Light"/>
          <w:b/>
          <w:color w:val="000000"/>
          <w:lang w:val="en-AU"/>
        </w:rPr>
      </w:pPr>
      <w:r w:rsidRPr="00B979B1">
        <w:rPr>
          <w:rFonts w:eastAsia="Times New Roman" w:cstheme="minorHAnsi"/>
          <w:b/>
          <w:color w:val="000000"/>
          <w:lang w:val="en-AU"/>
        </w:rPr>
        <w:t xml:space="preserve">Inclusion of flexible funding mechanisms in </w:t>
      </w:r>
      <w:r w:rsidR="004A5138" w:rsidRPr="00B979B1">
        <w:rPr>
          <w:rFonts w:eastAsia="Times New Roman" w:cstheme="minorHAnsi"/>
          <w:b/>
          <w:color w:val="000000"/>
          <w:lang w:val="en-AU"/>
        </w:rPr>
        <w:t xml:space="preserve">the design of </w:t>
      </w:r>
      <w:r w:rsidR="00973FBD" w:rsidRPr="00B979B1">
        <w:rPr>
          <w:rFonts w:eastAsia="Times New Roman" w:cstheme="minorHAnsi"/>
          <w:b/>
          <w:color w:val="000000"/>
          <w:lang w:val="en-AU"/>
        </w:rPr>
        <w:t>Australia’s education</w:t>
      </w:r>
      <w:r w:rsidR="004A5138" w:rsidRPr="00B979B1">
        <w:rPr>
          <w:rFonts w:eastAsia="Times New Roman" w:cstheme="minorHAnsi"/>
          <w:b/>
          <w:color w:val="000000"/>
          <w:lang w:val="en-AU"/>
        </w:rPr>
        <w:t xml:space="preserve"> support</w:t>
      </w:r>
      <w:r w:rsidR="00973FBD" w:rsidRPr="00B979B1">
        <w:rPr>
          <w:rFonts w:eastAsia="Times New Roman" w:cstheme="minorHAnsi"/>
          <w:b/>
          <w:color w:val="000000"/>
          <w:lang w:val="en-AU"/>
        </w:rPr>
        <w:t xml:space="preserve"> </w:t>
      </w:r>
      <w:r w:rsidR="004A5138" w:rsidRPr="00B979B1">
        <w:rPr>
          <w:rFonts w:eastAsia="Times New Roman" w:cstheme="minorHAnsi"/>
          <w:b/>
          <w:color w:val="000000"/>
          <w:lang w:val="en-AU"/>
        </w:rPr>
        <w:t>enabled</w:t>
      </w:r>
      <w:r w:rsidRPr="00B979B1">
        <w:rPr>
          <w:rFonts w:eastAsia="Times New Roman" w:cstheme="minorHAnsi"/>
          <w:b/>
          <w:color w:val="000000"/>
          <w:lang w:val="en-AU"/>
        </w:rPr>
        <w:t xml:space="preserve"> additional funds to be channelled through Vanuatu government systems </w:t>
      </w:r>
      <w:r w:rsidR="00973FBD" w:rsidRPr="00B979B1">
        <w:rPr>
          <w:rFonts w:eastAsia="Times New Roman" w:cstheme="minorHAnsi"/>
          <w:b/>
          <w:color w:val="000000"/>
          <w:lang w:val="en-AU"/>
        </w:rPr>
        <w:t>in response to natural disasters</w:t>
      </w:r>
      <w:r w:rsidRPr="00B979B1">
        <w:rPr>
          <w:rFonts w:eastAsia="Times New Roman" w:cstheme="minorHAnsi"/>
          <w:b/>
          <w:color w:val="000000"/>
          <w:lang w:val="en-AU"/>
        </w:rPr>
        <w:t xml:space="preserve">. </w:t>
      </w:r>
      <w:r w:rsidR="00B979B1" w:rsidRPr="00B979B1">
        <w:rPr>
          <w:rFonts w:ascii="Calibri Light" w:eastAsia="Times New Roman" w:hAnsi="Calibri Light" w:cs="Calibri Light"/>
          <w:color w:val="000000"/>
          <w:lang w:val="en-AU"/>
        </w:rPr>
        <w:t>F</w:t>
      </w:r>
      <w:r w:rsidR="00973FBD" w:rsidRPr="00B979B1">
        <w:rPr>
          <w:rFonts w:ascii="Calibri Light" w:eastAsia="Times New Roman" w:hAnsi="Calibri Light" w:cs="Calibri Light"/>
          <w:color w:val="000000"/>
          <w:lang w:val="en-AU"/>
        </w:rPr>
        <w:t>o</w:t>
      </w:r>
      <w:r w:rsidR="00B979B1" w:rsidRPr="00B83D47">
        <w:rPr>
          <w:rFonts w:ascii="Calibri Light" w:eastAsia="Times New Roman" w:hAnsi="Calibri Light" w:cs="Calibri Light"/>
          <w:color w:val="000000"/>
          <w:lang w:val="en-AU"/>
        </w:rPr>
        <w:t>r example, f</w:t>
      </w:r>
      <w:r w:rsidR="006841C5">
        <w:rPr>
          <w:rFonts w:ascii="Calibri Light" w:eastAsia="Times New Roman" w:hAnsi="Calibri Light" w:cs="Calibri Light"/>
          <w:color w:val="000000"/>
          <w:lang w:val="en-AU"/>
        </w:rPr>
        <w:t>ol</w:t>
      </w:r>
      <w:r w:rsidR="00973FBD" w:rsidRPr="00B979B1">
        <w:rPr>
          <w:rFonts w:ascii="Calibri Light" w:eastAsia="Times New Roman" w:hAnsi="Calibri Light" w:cs="Calibri Light"/>
          <w:color w:val="000000"/>
          <w:lang w:val="en-AU"/>
        </w:rPr>
        <w:t xml:space="preserve">lowing the Ambae volcano eruption </w:t>
      </w:r>
      <w:r w:rsidR="004A5138" w:rsidRPr="00B979B1">
        <w:rPr>
          <w:rFonts w:ascii="Calibri Light" w:eastAsia="Times New Roman" w:hAnsi="Calibri Light" w:cs="Calibri Light"/>
          <w:color w:val="000000"/>
          <w:lang w:val="en-AU"/>
        </w:rPr>
        <w:t>s</w:t>
      </w:r>
      <w:r w:rsidR="00973FBD" w:rsidRPr="00B979B1">
        <w:rPr>
          <w:rFonts w:ascii="Calibri Light" w:eastAsia="Times New Roman" w:hAnsi="Calibri Light" w:cs="Calibri Light"/>
          <w:color w:val="000000"/>
          <w:lang w:val="en-AU"/>
        </w:rPr>
        <w:t xml:space="preserve">ix new classrooms </w:t>
      </w:r>
      <w:r w:rsidR="00B979B1" w:rsidRPr="00B979B1">
        <w:rPr>
          <w:rFonts w:ascii="Calibri Light" w:eastAsia="Times New Roman" w:hAnsi="Calibri Light" w:cs="Calibri Light"/>
          <w:color w:val="000000"/>
          <w:lang w:val="en-AU"/>
        </w:rPr>
        <w:t xml:space="preserve">were built </w:t>
      </w:r>
      <w:r w:rsidR="00973FBD" w:rsidRPr="00B979B1">
        <w:rPr>
          <w:rFonts w:ascii="Calibri Light" w:eastAsia="Times New Roman" w:hAnsi="Calibri Light" w:cs="Calibri Light"/>
          <w:color w:val="000000"/>
          <w:lang w:val="en-AU"/>
        </w:rPr>
        <w:t xml:space="preserve">to host Ambae evacuees and funding </w:t>
      </w:r>
      <w:r w:rsidR="00B979B1" w:rsidRPr="00B979B1">
        <w:rPr>
          <w:rFonts w:ascii="Calibri Light" w:eastAsia="Times New Roman" w:hAnsi="Calibri Light" w:cs="Calibri Light"/>
          <w:color w:val="000000"/>
          <w:lang w:val="en-AU"/>
        </w:rPr>
        <w:t xml:space="preserve">was provided </w:t>
      </w:r>
      <w:r w:rsidRPr="00B979B1">
        <w:rPr>
          <w:rFonts w:ascii="Calibri Light" w:eastAsia="Times New Roman" w:hAnsi="Calibri Light" w:cs="Calibri Light"/>
          <w:color w:val="000000"/>
          <w:lang w:val="en-AU"/>
        </w:rPr>
        <w:t>to</w:t>
      </w:r>
      <w:r w:rsidR="00973FBD" w:rsidRPr="00B979B1">
        <w:rPr>
          <w:rFonts w:ascii="Calibri Light" w:eastAsia="Times New Roman" w:hAnsi="Calibri Light" w:cs="Calibri Light"/>
          <w:color w:val="000000"/>
          <w:lang w:val="en-AU"/>
        </w:rPr>
        <w:t xml:space="preserve"> </w:t>
      </w:r>
      <w:r w:rsidR="004A5138" w:rsidRPr="00B979B1">
        <w:rPr>
          <w:rFonts w:ascii="Calibri Light" w:eastAsia="Times New Roman" w:hAnsi="Calibri Light" w:cs="Calibri Light"/>
          <w:color w:val="000000"/>
          <w:lang w:val="en-AU"/>
        </w:rPr>
        <w:t xml:space="preserve">support </w:t>
      </w:r>
      <w:r w:rsidR="00973FBD" w:rsidRPr="00B979B1">
        <w:rPr>
          <w:rFonts w:ascii="Calibri Light" w:eastAsia="Times New Roman" w:hAnsi="Calibri Light" w:cs="Calibri Light"/>
          <w:color w:val="000000"/>
          <w:lang w:val="en-AU"/>
        </w:rPr>
        <w:t>host schools and relocation of displaced children.</w:t>
      </w:r>
    </w:p>
    <w:p w:rsidR="00B64AC5" w:rsidRPr="00C82F53" w:rsidRDefault="00B64AC5" w:rsidP="00C82F53">
      <w:pPr>
        <w:suppressAutoHyphens w:val="0"/>
        <w:spacing w:before="0" w:after="120" w:line="440" w:lineRule="atLeast"/>
        <w:rPr>
          <w:rFonts w:eastAsia="Calibri" w:cstheme="minorHAnsi"/>
          <w:b/>
          <w:color w:val="000000"/>
          <w:sz w:val="24"/>
          <w:szCs w:val="24"/>
        </w:rPr>
      </w:pPr>
      <w:r w:rsidRPr="00C82F53">
        <w:rPr>
          <w:rFonts w:eastAsia="Calibri" w:cstheme="minorHAnsi"/>
          <w:b/>
          <w:color w:val="000000"/>
          <w:sz w:val="24"/>
          <w:szCs w:val="24"/>
        </w:rPr>
        <w:t>HEALTH</w:t>
      </w:r>
    </w:p>
    <w:p w:rsidR="00B67755" w:rsidRPr="00B64AC5" w:rsidRDefault="00B67755" w:rsidP="008D5394">
      <w:pPr>
        <w:suppressAutoHyphens w:val="0"/>
        <w:spacing w:before="77" w:after="0" w:line="240" w:lineRule="auto"/>
        <w:rPr>
          <w:rFonts w:ascii="Calibri Light" w:eastAsia="Times New Roman" w:hAnsi="Calibri Light" w:cs="Calibri Light"/>
          <w:color w:val="000000"/>
          <w:lang w:val="en-AU"/>
        </w:rPr>
      </w:pPr>
      <w:r w:rsidRPr="002727AC">
        <w:rPr>
          <w:rFonts w:ascii="Calibri Light" w:hAnsi="Calibri Light"/>
          <w:b/>
          <w:color w:val="000000"/>
          <w:lang w:val="en-AU"/>
        </w:rPr>
        <w:t xml:space="preserve">Performance of </w:t>
      </w:r>
      <w:r w:rsidR="00075574">
        <w:rPr>
          <w:rFonts w:ascii="Calibri Light" w:hAnsi="Calibri Light"/>
          <w:b/>
          <w:color w:val="000000"/>
          <w:lang w:val="en-AU"/>
        </w:rPr>
        <w:t>Australia’s</w:t>
      </w:r>
      <w:r w:rsidRPr="002727AC">
        <w:rPr>
          <w:rFonts w:ascii="Calibri Light" w:hAnsi="Calibri Light"/>
          <w:b/>
          <w:color w:val="000000"/>
          <w:lang w:val="en-AU"/>
        </w:rPr>
        <w:t xml:space="preserve"> support for </w:t>
      </w:r>
      <w:r w:rsidRPr="008D5394">
        <w:rPr>
          <w:rFonts w:ascii="Calibri Light" w:eastAsia="Times New Roman" w:hAnsi="Calibri Light" w:cs="Calibri Light"/>
          <w:b/>
          <w:color w:val="000000"/>
          <w:lang w:val="en-AU"/>
        </w:rPr>
        <w:t>health</w:t>
      </w:r>
      <w:r w:rsidRPr="002727AC">
        <w:rPr>
          <w:rFonts w:ascii="Calibri Light" w:hAnsi="Calibri Light"/>
          <w:b/>
          <w:color w:val="000000"/>
          <w:lang w:val="en-AU"/>
        </w:rPr>
        <w:t xml:space="preserve"> service delivery was in line with expected</w:t>
      </w:r>
      <w:r w:rsidR="00B979B1">
        <w:rPr>
          <w:rFonts w:ascii="Calibri Light" w:hAnsi="Calibri Light"/>
          <w:b/>
          <w:color w:val="000000"/>
          <w:lang w:val="en-AU"/>
        </w:rPr>
        <w:t xml:space="preserve"> modest </w:t>
      </w:r>
      <w:r w:rsidRPr="002727AC">
        <w:rPr>
          <w:rFonts w:ascii="Calibri Light" w:hAnsi="Calibri Light"/>
          <w:b/>
          <w:color w:val="000000"/>
          <w:lang w:val="en-AU"/>
        </w:rPr>
        <w:t>outcomes</w:t>
      </w:r>
      <w:r w:rsidR="00140DDC">
        <w:rPr>
          <w:rFonts w:ascii="Calibri Light" w:hAnsi="Calibri Light"/>
          <w:b/>
          <w:color w:val="000000"/>
          <w:lang w:val="en-AU"/>
        </w:rPr>
        <w:t xml:space="preserve"> in a challenging context</w:t>
      </w:r>
      <w:r w:rsidRPr="002727AC">
        <w:rPr>
          <w:rFonts w:ascii="Calibri Light" w:hAnsi="Calibri Light"/>
          <w:b/>
          <w:color w:val="000000"/>
          <w:lang w:val="en-AU"/>
        </w:rPr>
        <w:t>.</w:t>
      </w:r>
      <w:r w:rsidRPr="00B64AC5">
        <w:rPr>
          <w:rFonts w:ascii="Calibri Light" w:eastAsia="Times New Roman" w:hAnsi="Calibri Light" w:cs="Calibri Light"/>
          <w:color w:val="000000"/>
          <w:lang w:val="en-AU"/>
        </w:rPr>
        <w:t xml:space="preserve"> </w:t>
      </w:r>
      <w:r w:rsidR="002727AC">
        <w:rPr>
          <w:rFonts w:ascii="Calibri Light" w:eastAsia="Times New Roman" w:hAnsi="Calibri Light" w:cs="Calibri Light"/>
          <w:color w:val="000000"/>
          <w:lang w:val="en-AU"/>
        </w:rPr>
        <w:t xml:space="preserve">In 2018 </w:t>
      </w:r>
      <w:r w:rsidRPr="00B64AC5">
        <w:rPr>
          <w:rFonts w:ascii="Calibri Light" w:eastAsia="Calibri" w:hAnsi="Calibri Light" w:cs="Calibri Light"/>
          <w:color w:val="000000"/>
          <w:lang w:val="en-AU"/>
        </w:rPr>
        <w:t>Australia</w:t>
      </w:r>
      <w:r>
        <w:rPr>
          <w:rFonts w:ascii="Calibri Light" w:eastAsia="Calibri" w:hAnsi="Calibri Light" w:cs="Calibri Light"/>
          <w:color w:val="000000"/>
          <w:lang w:val="en-AU"/>
        </w:rPr>
        <w:t xml:space="preserve"> </w:t>
      </w:r>
      <w:r w:rsidRPr="00B64AC5">
        <w:rPr>
          <w:rFonts w:ascii="Calibri Light" w:eastAsia="Calibri" w:hAnsi="Calibri Light" w:cs="Calibri Light"/>
          <w:color w:val="000000"/>
          <w:lang w:val="en-AU"/>
        </w:rPr>
        <w:t xml:space="preserve">provided approximately </w:t>
      </w:r>
      <w:r w:rsidR="002727AC">
        <w:rPr>
          <w:rFonts w:ascii="Calibri Light" w:eastAsia="Calibri" w:hAnsi="Calibri Light" w:cs="Calibri Light"/>
          <w:color w:val="000000"/>
          <w:lang w:val="en-AU"/>
        </w:rPr>
        <w:t>75</w:t>
      </w:r>
      <w:r w:rsidR="003726D2">
        <w:rPr>
          <w:rFonts w:ascii="Calibri Light" w:eastAsia="Calibri" w:hAnsi="Calibri Light" w:cs="Calibri Light"/>
          <w:color w:val="000000"/>
          <w:lang w:val="en-AU"/>
        </w:rPr>
        <w:t xml:space="preserve"> per cent</w:t>
      </w:r>
      <w:r w:rsidRPr="00B64AC5">
        <w:rPr>
          <w:rFonts w:ascii="Calibri Light" w:eastAsia="Calibri" w:hAnsi="Calibri Light" w:cs="Calibri Light"/>
          <w:color w:val="000000"/>
          <w:lang w:val="en-AU"/>
        </w:rPr>
        <w:t xml:space="preserve"> of </w:t>
      </w:r>
      <w:r w:rsidR="002727AC">
        <w:rPr>
          <w:rFonts w:ascii="Calibri Light" w:eastAsia="Calibri" w:hAnsi="Calibri Light" w:cs="Calibri Light"/>
          <w:color w:val="000000"/>
          <w:lang w:val="en-AU"/>
        </w:rPr>
        <w:t xml:space="preserve">donor support to </w:t>
      </w:r>
      <w:r w:rsidRPr="00B64AC5">
        <w:rPr>
          <w:rFonts w:ascii="Calibri Light" w:eastAsia="Calibri" w:hAnsi="Calibri Light" w:cs="Calibri Light"/>
          <w:color w:val="000000"/>
          <w:lang w:val="en-AU"/>
        </w:rPr>
        <w:t xml:space="preserve">the </w:t>
      </w:r>
      <w:r w:rsidR="002727AC">
        <w:rPr>
          <w:rFonts w:ascii="Calibri Light" w:eastAsia="Calibri" w:hAnsi="Calibri Light" w:cs="Calibri Light"/>
          <w:color w:val="000000"/>
          <w:lang w:val="en-AU"/>
        </w:rPr>
        <w:t>Ministry of Health</w:t>
      </w:r>
      <w:r w:rsidR="003726D2">
        <w:rPr>
          <w:rFonts w:ascii="Calibri Light" w:eastAsia="Calibri" w:hAnsi="Calibri Light" w:cs="Calibri Light"/>
          <w:color w:val="000000"/>
          <w:lang w:val="en-AU"/>
        </w:rPr>
        <w:t xml:space="preserve">, approximately </w:t>
      </w:r>
      <w:r w:rsidR="00140DDC">
        <w:rPr>
          <w:rFonts w:ascii="Calibri Light" w:eastAsia="Calibri" w:hAnsi="Calibri Light" w:cs="Calibri Light"/>
          <w:color w:val="000000"/>
          <w:lang w:val="en-AU"/>
        </w:rPr>
        <w:t>10</w:t>
      </w:r>
      <w:r w:rsidR="003726D2">
        <w:rPr>
          <w:rFonts w:ascii="Calibri Light" w:eastAsia="Calibri" w:hAnsi="Calibri Light" w:cs="Calibri Light"/>
          <w:color w:val="000000"/>
          <w:lang w:val="en-AU"/>
        </w:rPr>
        <w:t xml:space="preserve"> per cent</w:t>
      </w:r>
      <w:r w:rsidRPr="00B64AC5">
        <w:rPr>
          <w:rFonts w:ascii="Calibri Light" w:eastAsia="Calibri" w:hAnsi="Calibri Light" w:cs="Calibri Light"/>
          <w:color w:val="000000"/>
          <w:lang w:val="en-AU"/>
        </w:rPr>
        <w:t xml:space="preserve"> of the </w:t>
      </w:r>
      <w:r w:rsidR="002727AC">
        <w:rPr>
          <w:rFonts w:ascii="Calibri Light" w:eastAsia="Calibri" w:hAnsi="Calibri Light" w:cs="Calibri Light"/>
          <w:color w:val="000000"/>
          <w:lang w:val="en-AU"/>
        </w:rPr>
        <w:t xml:space="preserve">Ministry’s </w:t>
      </w:r>
      <w:r w:rsidRPr="00B64AC5">
        <w:rPr>
          <w:rFonts w:ascii="Calibri Light" w:eastAsia="Calibri" w:hAnsi="Calibri Light" w:cs="Calibri Light"/>
          <w:color w:val="000000"/>
          <w:lang w:val="en-AU"/>
        </w:rPr>
        <w:t xml:space="preserve">budget </w:t>
      </w:r>
      <w:r>
        <w:rPr>
          <w:rFonts w:ascii="Calibri Light" w:eastAsia="Calibri" w:hAnsi="Calibri Light" w:cs="Calibri Light"/>
          <w:color w:val="000000"/>
          <w:lang w:val="en-AU"/>
        </w:rPr>
        <w:t>expenditure</w:t>
      </w:r>
      <w:r w:rsidRPr="00B64AC5">
        <w:rPr>
          <w:rFonts w:ascii="Calibri Light" w:eastAsia="Calibri" w:hAnsi="Calibri Light" w:cs="Calibri Light"/>
          <w:color w:val="000000"/>
          <w:lang w:val="en-AU"/>
        </w:rPr>
        <w:t>.</w:t>
      </w:r>
      <w:r w:rsidRPr="00B64AC5">
        <w:rPr>
          <w:rFonts w:ascii="Calibri Light" w:eastAsia="Calibri" w:hAnsi="Calibri Light" w:cs="Calibri Light"/>
          <w:b/>
          <w:color w:val="000000"/>
          <w:lang w:val="en-AU"/>
        </w:rPr>
        <w:t xml:space="preserve"> </w:t>
      </w:r>
      <w:r w:rsidRPr="00B64AC5">
        <w:rPr>
          <w:rFonts w:ascii="Calibri Light" w:eastAsia="Times New Roman" w:hAnsi="Calibri Light" w:cs="Calibri Light"/>
          <w:color w:val="000000"/>
          <w:lang w:val="en-AU"/>
        </w:rPr>
        <w:t xml:space="preserve">Australia’s support targets </w:t>
      </w:r>
      <w:r w:rsidR="00BC169F">
        <w:rPr>
          <w:rFonts w:ascii="Calibri Light" w:eastAsia="Times New Roman" w:hAnsi="Calibri Light" w:cs="Calibri Light"/>
          <w:color w:val="000000"/>
          <w:lang w:val="en-AU"/>
        </w:rPr>
        <w:t xml:space="preserve">government </w:t>
      </w:r>
      <w:r w:rsidRPr="00B64AC5">
        <w:rPr>
          <w:rFonts w:ascii="Calibri Light" w:eastAsia="Times New Roman" w:hAnsi="Calibri Light" w:cs="Calibri Light"/>
          <w:color w:val="000000"/>
          <w:lang w:val="en-AU"/>
        </w:rPr>
        <w:t xml:space="preserve">priorities articulated in the </w:t>
      </w:r>
      <w:r w:rsidR="003726D2" w:rsidRPr="006A3ED8">
        <w:rPr>
          <w:i/>
          <w:color w:val="000000" w:themeColor="text1"/>
        </w:rPr>
        <w:t>National Sustainable Development Plan</w:t>
      </w:r>
      <w:r w:rsidR="00591BBA">
        <w:rPr>
          <w:i/>
          <w:color w:val="000000" w:themeColor="text1"/>
        </w:rPr>
        <w:t xml:space="preserve"> 2030</w:t>
      </w:r>
      <w:r w:rsidR="003726D2" w:rsidDel="003726D2">
        <w:rPr>
          <w:rFonts w:ascii="Calibri Light" w:eastAsia="Times New Roman" w:hAnsi="Calibri Light" w:cs="Calibri Light"/>
          <w:color w:val="000000"/>
          <w:lang w:val="en-AU"/>
        </w:rPr>
        <w:t xml:space="preserve"> </w:t>
      </w:r>
      <w:r w:rsidRPr="00B64AC5">
        <w:rPr>
          <w:rFonts w:ascii="Calibri Light" w:eastAsia="Times New Roman" w:hAnsi="Calibri Light" w:cs="Calibri Light"/>
          <w:color w:val="000000"/>
          <w:lang w:val="en-AU"/>
        </w:rPr>
        <w:t>and Health Sector Strategy</w:t>
      </w:r>
      <w:r w:rsidR="0074047D">
        <w:rPr>
          <w:rFonts w:ascii="Calibri Light" w:eastAsia="Times New Roman" w:hAnsi="Calibri Light" w:cs="Calibri Light"/>
          <w:color w:val="000000"/>
          <w:lang w:val="en-AU"/>
        </w:rPr>
        <w:t xml:space="preserve"> 2017-20</w:t>
      </w:r>
      <w:r>
        <w:rPr>
          <w:rFonts w:ascii="Calibri Light" w:eastAsia="Times New Roman" w:hAnsi="Calibri Light" w:cs="Calibri Light"/>
          <w:color w:val="000000"/>
          <w:lang w:val="en-AU"/>
        </w:rPr>
        <w:t xml:space="preserve">. </w:t>
      </w:r>
      <w:r w:rsidR="00BC169F">
        <w:rPr>
          <w:rFonts w:ascii="Calibri Light" w:eastAsia="Times New Roman" w:hAnsi="Calibri Light" w:cs="Calibri Light"/>
          <w:color w:val="000000"/>
          <w:lang w:val="en-AU"/>
        </w:rPr>
        <w:t xml:space="preserve">Australia </w:t>
      </w:r>
      <w:r>
        <w:rPr>
          <w:rFonts w:ascii="Calibri Light" w:eastAsia="Times New Roman" w:hAnsi="Calibri Light" w:cs="Calibri Light"/>
          <w:color w:val="000000"/>
          <w:lang w:val="en-AU"/>
        </w:rPr>
        <w:t>also work</w:t>
      </w:r>
      <w:r w:rsidR="003726D2">
        <w:rPr>
          <w:rFonts w:ascii="Calibri Light" w:eastAsia="Times New Roman" w:hAnsi="Calibri Light" w:cs="Calibri Light"/>
          <w:color w:val="000000"/>
          <w:lang w:val="en-AU"/>
        </w:rPr>
        <w:t>ed</w:t>
      </w:r>
      <w:r>
        <w:rPr>
          <w:rFonts w:ascii="Calibri Light" w:eastAsia="Times New Roman" w:hAnsi="Calibri Light" w:cs="Calibri Light"/>
          <w:color w:val="000000"/>
          <w:lang w:val="en-AU"/>
        </w:rPr>
        <w:t xml:space="preserve"> with </w:t>
      </w:r>
      <w:r w:rsidR="00BC169F">
        <w:rPr>
          <w:rFonts w:ascii="Calibri Light" w:eastAsia="Times New Roman" w:hAnsi="Calibri Light" w:cs="Calibri Light"/>
          <w:color w:val="000000"/>
          <w:lang w:val="en-AU"/>
        </w:rPr>
        <w:t xml:space="preserve">the World Health Organisation </w:t>
      </w:r>
      <w:r w:rsidRPr="00B64AC5">
        <w:rPr>
          <w:rFonts w:ascii="Calibri Light" w:eastAsia="Times New Roman" w:hAnsi="Calibri Light" w:cs="Calibri Light"/>
          <w:color w:val="000000"/>
          <w:lang w:val="en-AU"/>
        </w:rPr>
        <w:t xml:space="preserve">and </w:t>
      </w:r>
      <w:r w:rsidR="003726D2">
        <w:rPr>
          <w:rFonts w:ascii="Calibri Light" w:eastAsia="Times New Roman" w:hAnsi="Calibri Light" w:cs="Calibri Light"/>
          <w:color w:val="000000"/>
          <w:lang w:val="en-AU"/>
        </w:rPr>
        <w:t xml:space="preserve">UNICEF </w:t>
      </w:r>
      <w:r>
        <w:rPr>
          <w:rFonts w:ascii="Calibri Light" w:eastAsia="Times New Roman" w:hAnsi="Calibri Light" w:cs="Calibri Light"/>
          <w:color w:val="000000"/>
          <w:lang w:val="en-AU"/>
        </w:rPr>
        <w:t>to address health security and immunisation respectively</w:t>
      </w:r>
      <w:r w:rsidR="00BC169F">
        <w:rPr>
          <w:rFonts w:ascii="Calibri Light" w:eastAsia="Times New Roman" w:hAnsi="Calibri Light" w:cs="Calibri Light"/>
          <w:color w:val="000000"/>
          <w:lang w:val="en-AU"/>
        </w:rPr>
        <w:t>. A </w:t>
      </w:r>
      <w:r w:rsidRPr="00B64AC5">
        <w:rPr>
          <w:rFonts w:ascii="Calibri Light" w:eastAsia="Times New Roman" w:hAnsi="Calibri Light" w:cs="Calibri Light"/>
          <w:color w:val="000000"/>
          <w:lang w:val="en-AU"/>
        </w:rPr>
        <w:t xml:space="preserve">significant output in 2018-19 was the design of Australia’s new health program and the transitioning of current investments. </w:t>
      </w:r>
    </w:p>
    <w:p w:rsidR="00B67755" w:rsidRPr="00961C9E" w:rsidRDefault="00B67755" w:rsidP="008D5394">
      <w:pPr>
        <w:suppressAutoHyphens w:val="0"/>
        <w:spacing w:before="77" w:after="0" w:line="240" w:lineRule="auto"/>
        <w:rPr>
          <w:rFonts w:ascii="Calibri Light" w:eastAsia="Times New Roman" w:hAnsi="Calibri Light" w:cs="Calibri Light"/>
          <w:color w:val="000000"/>
          <w:lang w:val="en-AU"/>
        </w:rPr>
      </w:pPr>
      <w:r w:rsidRPr="009175B9">
        <w:rPr>
          <w:rFonts w:ascii="Calibri Light" w:eastAsia="Times New Roman" w:hAnsi="Calibri Light" w:cs="Calibri Light"/>
          <w:color w:val="000000"/>
          <w:lang w:val="en-AU"/>
        </w:rPr>
        <w:t xml:space="preserve">In 2018-19, </w:t>
      </w:r>
      <w:r w:rsidR="00075574">
        <w:rPr>
          <w:rFonts w:ascii="Calibri Light" w:eastAsia="Times New Roman" w:hAnsi="Calibri Light" w:cs="Calibri Light"/>
          <w:color w:val="000000"/>
          <w:lang w:val="en-AU"/>
        </w:rPr>
        <w:t>Australia’s</w:t>
      </w:r>
      <w:r w:rsidRPr="009175B9">
        <w:rPr>
          <w:rFonts w:ascii="Calibri Light" w:eastAsia="Times New Roman" w:hAnsi="Calibri Light" w:cs="Calibri Light"/>
          <w:color w:val="000000"/>
          <w:lang w:val="en-AU"/>
        </w:rPr>
        <w:t xml:space="preserve"> </w:t>
      </w:r>
      <w:r w:rsidR="00B979B1" w:rsidRPr="00B83D47">
        <w:rPr>
          <w:rFonts w:ascii="Calibri Light" w:eastAsia="Times New Roman" w:hAnsi="Calibri Light" w:cs="Calibri Light"/>
          <w:b/>
          <w:color w:val="000000"/>
          <w:lang w:val="en-AU"/>
        </w:rPr>
        <w:t xml:space="preserve">ongoing </w:t>
      </w:r>
      <w:r w:rsidRPr="00B83D47">
        <w:rPr>
          <w:rFonts w:ascii="Calibri Light" w:eastAsia="Times New Roman" w:hAnsi="Calibri Light" w:cs="Calibri Light"/>
          <w:b/>
          <w:color w:val="000000"/>
          <w:lang w:val="en-AU"/>
        </w:rPr>
        <w:t xml:space="preserve">support </w:t>
      </w:r>
      <w:r w:rsidR="003726D2" w:rsidRPr="00B83D47">
        <w:rPr>
          <w:rFonts w:ascii="Calibri Light" w:eastAsia="Times New Roman" w:hAnsi="Calibri Light" w:cs="Calibri Light"/>
          <w:b/>
          <w:color w:val="000000"/>
          <w:lang w:val="en-AU"/>
        </w:rPr>
        <w:t xml:space="preserve">for </w:t>
      </w:r>
      <w:r w:rsidRPr="00B83D47">
        <w:rPr>
          <w:rFonts w:ascii="Calibri Light" w:eastAsia="Times New Roman" w:hAnsi="Calibri Light" w:cs="Calibri Light"/>
          <w:b/>
          <w:color w:val="000000"/>
          <w:lang w:val="en-AU"/>
        </w:rPr>
        <w:t xml:space="preserve">corporate strengthening within </w:t>
      </w:r>
      <w:r w:rsidR="00BC169F" w:rsidRPr="00B83D47">
        <w:rPr>
          <w:rFonts w:ascii="Calibri Light" w:eastAsia="Times New Roman" w:hAnsi="Calibri Light" w:cs="Calibri Light"/>
          <w:b/>
          <w:color w:val="000000"/>
          <w:lang w:val="en-AU"/>
        </w:rPr>
        <w:t>the M</w:t>
      </w:r>
      <w:r w:rsidR="003726D2" w:rsidRPr="00B83D47">
        <w:rPr>
          <w:rFonts w:ascii="Calibri Light" w:eastAsia="Times New Roman" w:hAnsi="Calibri Light" w:cs="Calibri Light"/>
          <w:b/>
          <w:color w:val="000000"/>
          <w:lang w:val="en-AU"/>
        </w:rPr>
        <w:t>inistry of Health</w:t>
      </w:r>
      <w:r w:rsidR="00BC169F">
        <w:rPr>
          <w:rFonts w:ascii="Calibri Light" w:eastAsia="Times New Roman" w:hAnsi="Calibri Light" w:cs="Calibri Light"/>
          <w:color w:val="000000"/>
          <w:lang w:val="en-AU"/>
        </w:rPr>
        <w:t xml:space="preserve"> </w:t>
      </w:r>
      <w:r>
        <w:rPr>
          <w:rFonts w:ascii="Calibri Light" w:eastAsia="Times New Roman" w:hAnsi="Calibri Light" w:cs="Calibri Light"/>
          <w:color w:val="000000"/>
          <w:lang w:val="en-AU"/>
        </w:rPr>
        <w:t xml:space="preserve">saw the finalisation of the Role Delineation Policy, which specifies the minimum standards of every health facility </w:t>
      </w:r>
      <w:r w:rsidR="009B3296">
        <w:rPr>
          <w:rFonts w:ascii="Calibri Light" w:eastAsia="Times New Roman" w:hAnsi="Calibri Light" w:cs="Calibri Light"/>
          <w:color w:val="000000"/>
          <w:lang w:val="en-AU"/>
        </w:rPr>
        <w:t>in</w:t>
      </w:r>
      <w:r>
        <w:rPr>
          <w:rFonts w:ascii="Calibri Light" w:eastAsia="Times New Roman" w:hAnsi="Calibri Light" w:cs="Calibri Light"/>
          <w:color w:val="000000"/>
          <w:lang w:val="en-AU"/>
        </w:rPr>
        <w:t xml:space="preserve"> </w:t>
      </w:r>
      <w:r w:rsidR="009B3296">
        <w:rPr>
          <w:rFonts w:ascii="Calibri Light" w:eastAsia="Times New Roman" w:hAnsi="Calibri Light" w:cs="Calibri Light"/>
          <w:color w:val="000000"/>
          <w:lang w:val="en-AU"/>
        </w:rPr>
        <w:t>Vanuatu.</w:t>
      </w:r>
      <w:r>
        <w:rPr>
          <w:rFonts w:ascii="Calibri Light" w:eastAsia="Times New Roman" w:hAnsi="Calibri Light" w:cs="Calibri Light"/>
          <w:color w:val="000000"/>
          <w:lang w:val="en-AU"/>
        </w:rPr>
        <w:t xml:space="preserve"> A comprehensive exercise is underway to map facilities against the policy</w:t>
      </w:r>
      <w:r w:rsidRPr="007D2F70">
        <w:rPr>
          <w:rFonts w:ascii="Calibri Light" w:eastAsia="Times New Roman" w:hAnsi="Calibri Light" w:cs="Calibri Light"/>
          <w:color w:val="000000"/>
          <w:lang w:val="en-AU"/>
        </w:rPr>
        <w:t xml:space="preserve">. </w:t>
      </w:r>
      <w:r w:rsidR="00BC169F">
        <w:rPr>
          <w:rFonts w:ascii="Calibri Light" w:eastAsia="Times New Roman" w:hAnsi="Calibri Light" w:cs="Calibri Light"/>
          <w:color w:val="000000"/>
          <w:lang w:val="en-AU"/>
        </w:rPr>
        <w:t>Ministry</w:t>
      </w:r>
      <w:r w:rsidRPr="007D2F70">
        <w:rPr>
          <w:rFonts w:ascii="Calibri Light" w:eastAsia="Times New Roman" w:hAnsi="Calibri Light" w:cs="Calibri Light"/>
          <w:color w:val="000000"/>
          <w:lang w:val="en-AU"/>
        </w:rPr>
        <w:t xml:space="preserve">-led planning </w:t>
      </w:r>
      <w:r w:rsidRPr="008A7524">
        <w:rPr>
          <w:rFonts w:ascii="Calibri Light" w:eastAsia="Times New Roman" w:hAnsi="Calibri Light" w:cs="Calibri Light"/>
          <w:color w:val="000000"/>
          <w:lang w:val="en-AU"/>
        </w:rPr>
        <w:t xml:space="preserve">and budgeting processes </w:t>
      </w:r>
      <w:r>
        <w:rPr>
          <w:rFonts w:ascii="Calibri Light" w:eastAsia="Times New Roman" w:hAnsi="Calibri Light" w:cs="Calibri Light"/>
          <w:color w:val="000000"/>
          <w:lang w:val="en-AU"/>
        </w:rPr>
        <w:t xml:space="preserve">continued to perform well </w:t>
      </w:r>
      <w:r w:rsidRPr="00961C9E">
        <w:rPr>
          <w:rFonts w:ascii="Calibri Light" w:eastAsia="Times New Roman" w:hAnsi="Calibri Light" w:cs="Calibri Light"/>
          <w:color w:val="000000"/>
          <w:lang w:val="en-AU"/>
        </w:rPr>
        <w:t>with minimal program support</w:t>
      </w:r>
      <w:r>
        <w:rPr>
          <w:rFonts w:ascii="Calibri Light" w:eastAsia="Times New Roman" w:hAnsi="Calibri Light" w:cs="Calibri Light"/>
          <w:color w:val="000000"/>
          <w:lang w:val="en-AU"/>
        </w:rPr>
        <w:t xml:space="preserve">. This, </w:t>
      </w:r>
      <w:r w:rsidRPr="00961C9E">
        <w:rPr>
          <w:rFonts w:ascii="Calibri Light" w:eastAsia="Times New Roman" w:hAnsi="Calibri Light" w:cs="Calibri Light"/>
          <w:color w:val="000000"/>
          <w:lang w:val="en-AU"/>
        </w:rPr>
        <w:t xml:space="preserve">together with </w:t>
      </w:r>
      <w:r>
        <w:rPr>
          <w:rFonts w:ascii="Calibri Light" w:eastAsia="Times New Roman" w:hAnsi="Calibri Light" w:cs="Calibri Light"/>
          <w:color w:val="000000"/>
          <w:lang w:val="en-AU"/>
        </w:rPr>
        <w:t xml:space="preserve">the </w:t>
      </w:r>
      <w:r w:rsidRPr="00961C9E">
        <w:rPr>
          <w:rFonts w:ascii="Calibri Light" w:eastAsia="Times New Roman" w:hAnsi="Calibri Light" w:cs="Calibri Light"/>
          <w:color w:val="000000"/>
          <w:lang w:val="en-AU"/>
        </w:rPr>
        <w:t xml:space="preserve">transition of </w:t>
      </w:r>
      <w:r w:rsidRPr="007D2F70">
        <w:rPr>
          <w:rFonts w:ascii="Calibri Light" w:eastAsia="Times New Roman" w:hAnsi="Calibri Light" w:cs="Calibri Light"/>
          <w:color w:val="000000"/>
          <w:lang w:val="en-AU"/>
        </w:rPr>
        <w:t xml:space="preserve">key program positions from </w:t>
      </w:r>
      <w:r w:rsidR="003726D2">
        <w:rPr>
          <w:rFonts w:ascii="Calibri Light" w:eastAsia="Times New Roman" w:hAnsi="Calibri Light" w:cs="Calibri Light"/>
          <w:color w:val="000000"/>
          <w:lang w:val="en-AU"/>
        </w:rPr>
        <w:t xml:space="preserve">Australian </w:t>
      </w:r>
      <w:r w:rsidR="009B3296">
        <w:rPr>
          <w:rFonts w:ascii="Calibri Light" w:eastAsia="Times New Roman" w:hAnsi="Calibri Light" w:cs="Calibri Light"/>
          <w:color w:val="000000"/>
          <w:lang w:val="en-AU"/>
        </w:rPr>
        <w:t xml:space="preserve">to Ministry </w:t>
      </w:r>
      <w:r>
        <w:rPr>
          <w:rFonts w:ascii="Calibri Light" w:eastAsia="Times New Roman" w:hAnsi="Calibri Light" w:cs="Calibri Light"/>
          <w:color w:val="000000"/>
          <w:lang w:val="en-AU"/>
        </w:rPr>
        <w:t>funding, including malaria project officers</w:t>
      </w:r>
      <w:r w:rsidRPr="00961C9E">
        <w:rPr>
          <w:rFonts w:ascii="Calibri Light" w:eastAsia="Times New Roman" w:hAnsi="Calibri Light" w:cs="Calibri Light"/>
          <w:color w:val="000000"/>
          <w:lang w:val="en-AU"/>
        </w:rPr>
        <w:t xml:space="preserve">, demonstrated </w:t>
      </w:r>
      <w:r w:rsidR="002727AC">
        <w:rPr>
          <w:rFonts w:ascii="Calibri Light" w:eastAsia="Times New Roman" w:hAnsi="Calibri Light" w:cs="Calibri Light"/>
          <w:color w:val="000000"/>
          <w:lang w:val="en-AU"/>
        </w:rPr>
        <w:t xml:space="preserve">the Government’s </w:t>
      </w:r>
      <w:r w:rsidRPr="00961C9E">
        <w:rPr>
          <w:rFonts w:ascii="Calibri Light" w:eastAsia="Times New Roman" w:hAnsi="Calibri Light" w:cs="Calibri Light"/>
          <w:color w:val="000000"/>
          <w:lang w:val="en-AU"/>
        </w:rPr>
        <w:t xml:space="preserve">commitment to </w:t>
      </w:r>
      <w:r w:rsidR="00B979B1">
        <w:rPr>
          <w:rFonts w:ascii="Calibri Light" w:eastAsia="Times New Roman" w:hAnsi="Calibri Light" w:cs="Calibri Light"/>
          <w:color w:val="000000"/>
          <w:lang w:val="en-AU"/>
        </w:rPr>
        <w:t>progressive</w:t>
      </w:r>
      <w:r w:rsidRPr="00961C9E">
        <w:rPr>
          <w:rFonts w:ascii="Calibri Light" w:eastAsia="Times New Roman" w:hAnsi="Calibri Light" w:cs="Calibri Light"/>
          <w:color w:val="000000"/>
          <w:lang w:val="en-AU"/>
        </w:rPr>
        <w:t xml:space="preserve"> ownership and sustainability of the program.</w:t>
      </w:r>
    </w:p>
    <w:p w:rsidR="00B53274" w:rsidRPr="00B83D47" w:rsidRDefault="00F77FAA" w:rsidP="008D5394">
      <w:pPr>
        <w:suppressAutoHyphens w:val="0"/>
        <w:spacing w:before="77" w:after="0" w:line="240" w:lineRule="auto"/>
        <w:rPr>
          <w:rFonts w:ascii="Calibri Light" w:hAnsi="Calibri Light"/>
          <w:color w:val="000000"/>
        </w:rPr>
      </w:pPr>
      <w:r>
        <w:rPr>
          <w:rFonts w:ascii="Calibri Light" w:hAnsi="Calibri Light"/>
          <w:b/>
          <w:bCs/>
          <w:color w:val="000000"/>
        </w:rPr>
        <w:t xml:space="preserve">Support to </w:t>
      </w:r>
      <w:r w:rsidRPr="008D5394">
        <w:rPr>
          <w:rFonts w:ascii="Calibri Light" w:eastAsia="Times New Roman" w:hAnsi="Calibri Light" w:cs="Calibri Light"/>
          <w:b/>
          <w:color w:val="000000"/>
          <w:lang w:val="en-AU"/>
        </w:rPr>
        <w:t>public</w:t>
      </w:r>
      <w:r>
        <w:rPr>
          <w:rFonts w:ascii="Calibri Light" w:hAnsi="Calibri Light"/>
          <w:b/>
          <w:bCs/>
          <w:color w:val="000000"/>
        </w:rPr>
        <w:t xml:space="preserve"> health continued to perform well</w:t>
      </w:r>
      <w:r>
        <w:rPr>
          <w:rFonts w:ascii="Calibri Light" w:hAnsi="Calibri Light"/>
          <w:color w:val="000000"/>
        </w:rPr>
        <w:t>. Village Health Workers delivered services across all six provinces with 85</w:t>
      </w:r>
      <w:r w:rsidR="003726D2">
        <w:rPr>
          <w:rFonts w:ascii="Calibri Light" w:hAnsi="Calibri Light"/>
          <w:color w:val="000000"/>
        </w:rPr>
        <w:t xml:space="preserve"> per cent</w:t>
      </w:r>
      <w:r>
        <w:rPr>
          <w:rFonts w:ascii="Calibri Light" w:hAnsi="Calibri Light"/>
          <w:color w:val="000000"/>
        </w:rPr>
        <w:t xml:space="preserve"> of national and provincial positions now filled. Pre-service training was delivered to 33 </w:t>
      </w:r>
      <w:r w:rsidR="00BC169F">
        <w:rPr>
          <w:rFonts w:ascii="Calibri Light" w:hAnsi="Calibri Light"/>
          <w:color w:val="000000"/>
        </w:rPr>
        <w:t>Village Health Workers</w:t>
      </w:r>
      <w:r>
        <w:rPr>
          <w:rFonts w:ascii="Calibri Light" w:hAnsi="Calibri Light"/>
          <w:color w:val="000000"/>
        </w:rPr>
        <w:t>. Support to immunisation was maintained</w:t>
      </w:r>
      <w:r w:rsidR="00753929">
        <w:rPr>
          <w:rFonts w:ascii="Calibri Light" w:hAnsi="Calibri Light"/>
          <w:color w:val="000000"/>
        </w:rPr>
        <w:t xml:space="preserve"> </w:t>
      </w:r>
      <w:r w:rsidR="00D663DD" w:rsidRPr="008A60EF">
        <w:rPr>
          <w:rFonts w:ascii="Calibri Light" w:hAnsi="Calibri Light"/>
          <w:color w:val="000000"/>
        </w:rPr>
        <w:t>[PAF target 2.3]</w:t>
      </w:r>
      <w:r w:rsidR="00D663DD">
        <w:rPr>
          <w:rFonts w:ascii="Calibri Light" w:hAnsi="Calibri Light"/>
          <w:color w:val="000000"/>
        </w:rPr>
        <w:t xml:space="preserve"> </w:t>
      </w:r>
      <w:r>
        <w:rPr>
          <w:rFonts w:ascii="Calibri Light" w:hAnsi="Calibri Light"/>
          <w:color w:val="000000"/>
        </w:rPr>
        <w:t>and no vaccine stock-outs occurred. There were no malaria deaths during the reporting period, and the annual parasite incidence trend continues to decline (from 3.8/1000 in 2017 to 2.2/1000 in 201</w:t>
      </w:r>
      <w:r w:rsidRPr="008A60EF">
        <w:rPr>
          <w:rFonts w:ascii="Calibri Light" w:hAnsi="Calibri Light"/>
          <w:color w:val="000000"/>
        </w:rPr>
        <w:t xml:space="preserve">8). </w:t>
      </w:r>
      <w:r w:rsidR="00EC34DD" w:rsidRPr="008A60EF">
        <w:rPr>
          <w:rFonts w:ascii="Calibri Light" w:hAnsi="Calibri Light"/>
          <w:color w:val="000000"/>
        </w:rPr>
        <w:t>Mat</w:t>
      </w:r>
      <w:r w:rsidR="00EC34DD" w:rsidRPr="00753929">
        <w:rPr>
          <w:rFonts w:ascii="Calibri Light" w:hAnsi="Calibri Light"/>
          <w:color w:val="000000"/>
        </w:rPr>
        <w:t>ernal</w:t>
      </w:r>
      <w:r w:rsidR="00EC34DD" w:rsidRPr="008A60EF">
        <w:rPr>
          <w:rFonts w:ascii="Calibri Light" w:hAnsi="Calibri Light"/>
          <w:color w:val="000000"/>
        </w:rPr>
        <w:t xml:space="preserve"> </w:t>
      </w:r>
      <w:r w:rsidR="00EC34DD" w:rsidRPr="00B83D47">
        <w:rPr>
          <w:rFonts w:ascii="Calibri Light" w:hAnsi="Calibri Light"/>
          <w:color w:val="000000"/>
        </w:rPr>
        <w:t xml:space="preserve">mortality </w:t>
      </w:r>
      <w:r w:rsidR="00CD0E1C" w:rsidRPr="00B83D47">
        <w:rPr>
          <w:rFonts w:ascii="Calibri Light" w:hAnsi="Calibri Light"/>
          <w:color w:val="000000"/>
        </w:rPr>
        <w:t>remained at a ratio of 12/10,000 [PAF Target 2.4].</w:t>
      </w:r>
      <w:r w:rsidR="00EC34DD" w:rsidRPr="00B83D47">
        <w:rPr>
          <w:rFonts w:ascii="Calibri Light" w:hAnsi="Calibri Light"/>
          <w:color w:val="000000"/>
        </w:rPr>
        <w:t xml:space="preserve"> </w:t>
      </w:r>
    </w:p>
    <w:p w:rsidR="00F77FAA" w:rsidRDefault="00F77FAA" w:rsidP="008D5394">
      <w:pPr>
        <w:suppressAutoHyphens w:val="0"/>
        <w:spacing w:before="77" w:after="0" w:line="240" w:lineRule="auto"/>
        <w:rPr>
          <w:rFonts w:ascii="Calibri Light" w:hAnsi="Calibri Light"/>
          <w:color w:val="000000"/>
        </w:rPr>
      </w:pPr>
      <w:r w:rsidRPr="00B83D47">
        <w:rPr>
          <w:rFonts w:ascii="Calibri Light" w:hAnsi="Calibri Light"/>
          <w:b/>
          <w:bCs/>
          <w:color w:val="000000"/>
        </w:rPr>
        <w:t xml:space="preserve">Support to the medical </w:t>
      </w:r>
      <w:r w:rsidRPr="00B83D47">
        <w:rPr>
          <w:rFonts w:ascii="Calibri Light" w:eastAsia="Times New Roman" w:hAnsi="Calibri Light" w:cs="Calibri Light"/>
          <w:b/>
          <w:color w:val="000000"/>
          <w:lang w:val="en-AU"/>
        </w:rPr>
        <w:t>workforce</w:t>
      </w:r>
      <w:r w:rsidRPr="00B83D47">
        <w:rPr>
          <w:rFonts w:ascii="Calibri Light" w:hAnsi="Calibri Light"/>
          <w:b/>
          <w:bCs/>
          <w:color w:val="000000"/>
        </w:rPr>
        <w:t xml:space="preserve"> is </w:t>
      </w:r>
      <w:r w:rsidR="00BC169F" w:rsidRPr="00B83D47">
        <w:rPr>
          <w:rFonts w:ascii="Calibri Light" w:hAnsi="Calibri Light"/>
          <w:b/>
          <w:bCs/>
          <w:color w:val="000000"/>
        </w:rPr>
        <w:t>complex</w:t>
      </w:r>
      <w:r w:rsidRPr="00B83D47">
        <w:rPr>
          <w:rFonts w:ascii="Calibri Light" w:hAnsi="Calibri Light"/>
          <w:color w:val="000000"/>
        </w:rPr>
        <w:t xml:space="preserve">. Despite targeted focus on Vila Central Hospital, most </w:t>
      </w:r>
      <w:r w:rsidR="003726D2" w:rsidRPr="00B83D47">
        <w:rPr>
          <w:rFonts w:ascii="Calibri Light" w:hAnsi="Calibri Light"/>
          <w:color w:val="000000"/>
        </w:rPr>
        <w:t xml:space="preserve">of its </w:t>
      </w:r>
      <w:r w:rsidRPr="00B83D47">
        <w:rPr>
          <w:rFonts w:ascii="Calibri Light" w:hAnsi="Calibri Light"/>
          <w:color w:val="000000"/>
        </w:rPr>
        <w:t>systems do not yet meet the expected standards of a national referral facility. The program support</w:t>
      </w:r>
      <w:r w:rsidR="00BC169F" w:rsidRPr="00B83D47">
        <w:rPr>
          <w:rFonts w:ascii="Calibri Light" w:hAnsi="Calibri Light"/>
          <w:color w:val="000000"/>
        </w:rPr>
        <w:t>ed</w:t>
      </w:r>
      <w:r w:rsidRPr="00B83D47">
        <w:rPr>
          <w:rFonts w:ascii="Calibri Light" w:hAnsi="Calibri Light"/>
          <w:color w:val="000000"/>
        </w:rPr>
        <w:t xml:space="preserve"> </w:t>
      </w:r>
      <w:r w:rsidR="00140DDC" w:rsidRPr="00B83D47">
        <w:rPr>
          <w:rFonts w:ascii="Calibri Light" w:hAnsi="Calibri Light"/>
          <w:color w:val="000000"/>
        </w:rPr>
        <w:t>10</w:t>
      </w:r>
      <w:r w:rsidR="003726D2" w:rsidRPr="00B83D47">
        <w:rPr>
          <w:rFonts w:ascii="Calibri Light" w:hAnsi="Calibri Light"/>
          <w:color w:val="000000"/>
        </w:rPr>
        <w:t xml:space="preserve"> </w:t>
      </w:r>
      <w:r w:rsidRPr="00B83D47">
        <w:rPr>
          <w:rFonts w:ascii="Calibri Light" w:hAnsi="Calibri Light"/>
          <w:color w:val="000000"/>
        </w:rPr>
        <w:t>interns to achieve registration. Professional development progressed with 18</w:t>
      </w:r>
      <w:r w:rsidR="001845A4" w:rsidRPr="00B83D47">
        <w:rPr>
          <w:rFonts w:ascii="Calibri Light" w:hAnsi="Calibri Light"/>
          <w:color w:val="000000"/>
        </w:rPr>
        <w:t xml:space="preserve"> (</w:t>
      </w:r>
      <w:r w:rsidR="00CD0E1C" w:rsidRPr="00B83D47">
        <w:rPr>
          <w:rFonts w:ascii="Calibri Light" w:hAnsi="Calibri Light"/>
          <w:color w:val="000000"/>
        </w:rPr>
        <w:t>11</w:t>
      </w:r>
      <w:r w:rsidR="001845A4" w:rsidRPr="00B83D47">
        <w:rPr>
          <w:rFonts w:ascii="Calibri Light" w:hAnsi="Calibri Light"/>
          <w:color w:val="000000"/>
        </w:rPr>
        <w:t xml:space="preserve"> women)</w:t>
      </w:r>
      <w:r w:rsidRPr="00B83D47">
        <w:rPr>
          <w:rFonts w:ascii="Calibri Light" w:hAnsi="Calibri Light"/>
          <w:color w:val="000000"/>
        </w:rPr>
        <w:t xml:space="preserve"> </w:t>
      </w:r>
      <w:r w:rsidR="00BC169F" w:rsidRPr="00B83D47">
        <w:rPr>
          <w:rFonts w:ascii="Calibri Light" w:hAnsi="Calibri Light"/>
          <w:color w:val="000000"/>
        </w:rPr>
        <w:t>M</w:t>
      </w:r>
      <w:r w:rsidR="003726D2" w:rsidRPr="00B83D47">
        <w:rPr>
          <w:rFonts w:ascii="Calibri Light" w:hAnsi="Calibri Light"/>
          <w:color w:val="000000"/>
        </w:rPr>
        <w:t>inistry of Health</w:t>
      </w:r>
      <w:r w:rsidR="00BC169F" w:rsidRPr="00B83D47">
        <w:rPr>
          <w:rFonts w:ascii="Calibri Light" w:hAnsi="Calibri Light"/>
          <w:color w:val="000000"/>
        </w:rPr>
        <w:t xml:space="preserve"> </w:t>
      </w:r>
      <w:r w:rsidRPr="00B83D47">
        <w:rPr>
          <w:rFonts w:ascii="Calibri Light" w:hAnsi="Calibri Light"/>
          <w:color w:val="000000"/>
        </w:rPr>
        <w:t>staff (inc</w:t>
      </w:r>
      <w:r w:rsidR="00EC34DD" w:rsidRPr="00B83D47">
        <w:rPr>
          <w:rFonts w:ascii="Calibri Light" w:hAnsi="Calibri Light"/>
          <w:color w:val="000000"/>
        </w:rPr>
        <w:t>luding</w:t>
      </w:r>
      <w:r w:rsidRPr="00B83D47">
        <w:rPr>
          <w:rFonts w:ascii="Calibri Light" w:hAnsi="Calibri Light"/>
          <w:color w:val="000000"/>
        </w:rPr>
        <w:t xml:space="preserve"> four senior doctors) completing APTC Certificate IV Leadership and Managemen</w:t>
      </w:r>
      <w:r w:rsidR="009B3296" w:rsidRPr="00B83D47">
        <w:rPr>
          <w:rFonts w:ascii="Calibri Light" w:hAnsi="Calibri Light"/>
          <w:color w:val="000000"/>
        </w:rPr>
        <w:t xml:space="preserve">t. </w:t>
      </w:r>
      <w:r w:rsidRPr="00B83D47">
        <w:rPr>
          <w:rFonts w:ascii="Calibri Light" w:hAnsi="Calibri Light"/>
          <w:color w:val="000000"/>
        </w:rPr>
        <w:t>Although</w:t>
      </w:r>
      <w:r>
        <w:rPr>
          <w:rFonts w:ascii="Calibri Light" w:hAnsi="Calibri Light"/>
          <w:color w:val="000000"/>
        </w:rPr>
        <w:t xml:space="preserve"> gaps remain across the medical workforce, </w:t>
      </w:r>
      <w:r w:rsidR="005266A2">
        <w:rPr>
          <w:rFonts w:ascii="Calibri Light" w:hAnsi="Calibri Light"/>
          <w:color w:val="000000"/>
        </w:rPr>
        <w:t>Australia’s</w:t>
      </w:r>
      <w:r>
        <w:rPr>
          <w:rFonts w:ascii="Calibri Light" w:hAnsi="Calibri Light"/>
          <w:color w:val="000000"/>
        </w:rPr>
        <w:t xml:space="preserve"> support enabled four locum specialists to continue work at </w:t>
      </w:r>
      <w:r w:rsidR="003726D2">
        <w:rPr>
          <w:rFonts w:ascii="Calibri Light" w:hAnsi="Calibri Light"/>
          <w:color w:val="000000"/>
        </w:rPr>
        <w:t>Vila Central Hospital</w:t>
      </w:r>
      <w:r>
        <w:rPr>
          <w:rFonts w:ascii="Calibri Light" w:hAnsi="Calibri Light"/>
          <w:color w:val="000000"/>
        </w:rPr>
        <w:t>, filling gaps in medicine, paediatrics, anaesthesia and emergency services.</w:t>
      </w:r>
    </w:p>
    <w:p w:rsidR="00F77FAA" w:rsidRDefault="00F77FAA" w:rsidP="008D5394">
      <w:pPr>
        <w:suppressAutoHyphens w:val="0"/>
        <w:spacing w:before="77" w:after="0" w:line="240" w:lineRule="auto"/>
        <w:rPr>
          <w:rFonts w:ascii="Calibri Light" w:hAnsi="Calibri Light"/>
          <w:color w:val="000000"/>
        </w:rPr>
      </w:pPr>
      <w:r>
        <w:rPr>
          <w:rFonts w:ascii="Calibri Light" w:hAnsi="Calibri Light"/>
          <w:b/>
          <w:bCs/>
          <w:color w:val="000000"/>
        </w:rPr>
        <w:t xml:space="preserve">Gender equity </w:t>
      </w:r>
      <w:r w:rsidR="00110CC4">
        <w:rPr>
          <w:rFonts w:ascii="Calibri Light" w:hAnsi="Calibri Light"/>
          <w:b/>
          <w:bCs/>
          <w:color w:val="000000"/>
        </w:rPr>
        <w:t xml:space="preserve">remains </w:t>
      </w:r>
      <w:r w:rsidR="00110CC4" w:rsidRPr="008D5394">
        <w:rPr>
          <w:rFonts w:ascii="Calibri Light" w:eastAsia="Times New Roman" w:hAnsi="Calibri Light" w:cs="Calibri Light"/>
          <w:b/>
          <w:color w:val="000000"/>
          <w:lang w:val="en-AU"/>
        </w:rPr>
        <w:t>challenging</w:t>
      </w:r>
      <w:r w:rsidR="00110CC4">
        <w:rPr>
          <w:rFonts w:ascii="Calibri Light" w:hAnsi="Calibri Light"/>
          <w:b/>
          <w:bCs/>
          <w:color w:val="000000"/>
        </w:rPr>
        <w:t xml:space="preserve"> in the health sector. </w:t>
      </w:r>
      <w:r>
        <w:rPr>
          <w:rFonts w:ascii="Calibri Light" w:hAnsi="Calibri Light"/>
          <w:color w:val="000000"/>
        </w:rPr>
        <w:t xml:space="preserve">Men dominate management positions in the </w:t>
      </w:r>
      <w:r w:rsidR="00893C4F">
        <w:rPr>
          <w:rFonts w:ascii="Calibri Light" w:hAnsi="Calibri Light"/>
          <w:color w:val="000000"/>
        </w:rPr>
        <w:t xml:space="preserve">Ministry of Health </w:t>
      </w:r>
      <w:r>
        <w:rPr>
          <w:rFonts w:ascii="Calibri Light" w:hAnsi="Calibri Light"/>
          <w:color w:val="000000"/>
        </w:rPr>
        <w:t>(84</w:t>
      </w:r>
      <w:r w:rsidR="00893C4F">
        <w:rPr>
          <w:rFonts w:ascii="Calibri Light" w:hAnsi="Calibri Light"/>
          <w:color w:val="000000"/>
        </w:rPr>
        <w:t xml:space="preserve"> per cent</w:t>
      </w:r>
      <w:r>
        <w:rPr>
          <w:rFonts w:ascii="Calibri Light" w:hAnsi="Calibri Light"/>
          <w:color w:val="000000"/>
        </w:rPr>
        <w:t xml:space="preserve">) and in decision-making positions. Female representation is greatest within </w:t>
      </w:r>
      <w:r>
        <w:rPr>
          <w:rFonts w:ascii="Calibri Light" w:hAnsi="Calibri Light"/>
          <w:color w:val="000000"/>
        </w:rPr>
        <w:lastRenderedPageBreak/>
        <w:t>the nursing cohort. For the Diploma of Nursing, 16</w:t>
      </w:r>
      <w:r w:rsidR="00893C4F">
        <w:rPr>
          <w:rFonts w:ascii="Calibri Light" w:hAnsi="Calibri Light"/>
          <w:color w:val="000000"/>
        </w:rPr>
        <w:t xml:space="preserve"> women</w:t>
      </w:r>
      <w:r>
        <w:rPr>
          <w:rFonts w:ascii="Calibri Light" w:hAnsi="Calibri Light"/>
          <w:color w:val="000000"/>
        </w:rPr>
        <w:t xml:space="preserve"> (50</w:t>
      </w:r>
      <w:r w:rsidR="00893C4F">
        <w:rPr>
          <w:rFonts w:ascii="Calibri Light" w:hAnsi="Calibri Light"/>
          <w:color w:val="000000"/>
        </w:rPr>
        <w:t xml:space="preserve"> per cent</w:t>
      </w:r>
      <w:r>
        <w:rPr>
          <w:rFonts w:ascii="Calibri Light" w:hAnsi="Calibri Light"/>
          <w:color w:val="000000"/>
        </w:rPr>
        <w:t xml:space="preserve">) expect to graduate in 2019 </w:t>
      </w:r>
      <w:r w:rsidR="00893C4F">
        <w:rPr>
          <w:rFonts w:ascii="Calibri Light" w:hAnsi="Calibri Light"/>
          <w:color w:val="000000"/>
        </w:rPr>
        <w:t xml:space="preserve">with a further </w:t>
      </w:r>
      <w:r>
        <w:rPr>
          <w:rFonts w:ascii="Calibri Light" w:hAnsi="Calibri Light"/>
          <w:color w:val="000000"/>
        </w:rPr>
        <w:t xml:space="preserve">30 </w:t>
      </w:r>
      <w:r w:rsidR="00893C4F">
        <w:rPr>
          <w:rFonts w:ascii="Calibri Light" w:hAnsi="Calibri Light"/>
          <w:color w:val="000000"/>
        </w:rPr>
        <w:t xml:space="preserve">women </w:t>
      </w:r>
      <w:r>
        <w:rPr>
          <w:rFonts w:ascii="Calibri Light" w:hAnsi="Calibri Light"/>
          <w:color w:val="000000"/>
        </w:rPr>
        <w:t>(71</w:t>
      </w:r>
      <w:r w:rsidR="00893C4F">
        <w:rPr>
          <w:rFonts w:ascii="Calibri Light" w:hAnsi="Calibri Light"/>
          <w:color w:val="000000"/>
        </w:rPr>
        <w:t xml:space="preserve"> per cent</w:t>
      </w:r>
      <w:r>
        <w:rPr>
          <w:rFonts w:ascii="Calibri Light" w:hAnsi="Calibri Light"/>
          <w:color w:val="000000"/>
        </w:rPr>
        <w:t xml:space="preserve">) </w:t>
      </w:r>
      <w:r w:rsidR="00893C4F">
        <w:rPr>
          <w:rFonts w:ascii="Calibri Light" w:hAnsi="Calibri Light"/>
          <w:color w:val="000000"/>
        </w:rPr>
        <w:t xml:space="preserve">expecting to graduate </w:t>
      </w:r>
      <w:r>
        <w:rPr>
          <w:rFonts w:ascii="Calibri Light" w:hAnsi="Calibri Light"/>
          <w:color w:val="000000"/>
        </w:rPr>
        <w:t xml:space="preserve">in 2020. For the postgraduate Diploma of Midwifery, </w:t>
      </w:r>
      <w:r w:rsidR="00483CF1">
        <w:rPr>
          <w:rFonts w:ascii="Calibri Light" w:hAnsi="Calibri Light"/>
          <w:color w:val="000000"/>
        </w:rPr>
        <w:t>10</w:t>
      </w:r>
      <w:r>
        <w:rPr>
          <w:rFonts w:ascii="Calibri Light" w:hAnsi="Calibri Light"/>
          <w:color w:val="000000"/>
        </w:rPr>
        <w:t xml:space="preserve"> of the 15 (67</w:t>
      </w:r>
      <w:r w:rsidR="00893C4F">
        <w:rPr>
          <w:rFonts w:ascii="Calibri Light" w:hAnsi="Calibri Light"/>
          <w:color w:val="000000"/>
        </w:rPr>
        <w:t xml:space="preserve"> per cent</w:t>
      </w:r>
      <w:r>
        <w:rPr>
          <w:rFonts w:ascii="Calibri Light" w:hAnsi="Calibri Light"/>
          <w:color w:val="000000"/>
        </w:rPr>
        <w:t xml:space="preserve">) students expecting to graduate in 2019 are women. </w:t>
      </w:r>
    </w:p>
    <w:p w:rsidR="00B53274" w:rsidRDefault="00F77FAA" w:rsidP="008D5394">
      <w:pPr>
        <w:suppressAutoHyphens w:val="0"/>
        <w:spacing w:before="77" w:after="0" w:line="240" w:lineRule="auto"/>
        <w:rPr>
          <w:rFonts w:ascii="Calibri Light" w:hAnsi="Calibri Light"/>
          <w:color w:val="000000"/>
        </w:rPr>
      </w:pPr>
      <w:r>
        <w:rPr>
          <w:rFonts w:ascii="Calibri Light" w:eastAsia="Times New Roman" w:hAnsi="Calibri Light"/>
          <w:b/>
          <w:color w:val="000000"/>
        </w:rPr>
        <w:t xml:space="preserve">A number of innovative </w:t>
      </w:r>
      <w:r w:rsidRPr="008D5394">
        <w:rPr>
          <w:rFonts w:ascii="Calibri Light" w:eastAsia="Times New Roman" w:hAnsi="Calibri Light" w:cs="Calibri Light"/>
          <w:b/>
          <w:color w:val="000000"/>
          <w:lang w:val="en-AU"/>
        </w:rPr>
        <w:t>projects</w:t>
      </w:r>
      <w:r>
        <w:rPr>
          <w:rFonts w:ascii="Calibri Light" w:eastAsia="Times New Roman" w:hAnsi="Calibri Light"/>
          <w:b/>
          <w:color w:val="000000"/>
        </w:rPr>
        <w:t xml:space="preserve"> </w:t>
      </w:r>
      <w:r w:rsidR="00893C4F">
        <w:rPr>
          <w:rFonts w:ascii="Calibri Light" w:eastAsia="Times New Roman" w:hAnsi="Calibri Light"/>
          <w:b/>
          <w:color w:val="000000"/>
        </w:rPr>
        <w:t xml:space="preserve">funded by Australia </w:t>
      </w:r>
      <w:r>
        <w:rPr>
          <w:rFonts w:ascii="Calibri Light" w:eastAsia="Times New Roman" w:hAnsi="Calibri Light"/>
          <w:b/>
          <w:color w:val="000000"/>
        </w:rPr>
        <w:t>were successfully implemented</w:t>
      </w:r>
      <w:r>
        <w:rPr>
          <w:rFonts w:ascii="Calibri Light" w:eastAsia="Times New Roman" w:hAnsi="Calibri Light"/>
          <w:color w:val="000000"/>
        </w:rPr>
        <w:t>. CARE</w:t>
      </w:r>
      <w:r>
        <w:rPr>
          <w:rFonts w:ascii="Calibri Light" w:hAnsi="Calibri Light"/>
          <w:color w:val="000000"/>
        </w:rPr>
        <w:t xml:space="preserve"> International trialled community score cards as a way to bring communities and health workers together to solve local health problems.  A science innovation by Monash University introduced Wolbachia bacteria into Port Vila’s wild mosquito population</w:t>
      </w:r>
      <w:r w:rsidR="00893C4F">
        <w:rPr>
          <w:rFonts w:ascii="Calibri Light" w:hAnsi="Calibri Light"/>
          <w:color w:val="000000"/>
        </w:rPr>
        <w:t xml:space="preserve"> which will help combat dengue</w:t>
      </w:r>
      <w:r>
        <w:rPr>
          <w:rFonts w:ascii="Calibri Light" w:hAnsi="Calibri Light"/>
          <w:color w:val="000000"/>
        </w:rPr>
        <w:t>. Vanuatu won the Pacific Islands Food Revolution, a reality television series that delivered healthy eating messages across the Pacific.</w:t>
      </w:r>
      <w:r w:rsidR="00B142F9">
        <w:rPr>
          <w:rFonts w:ascii="Calibri Light" w:hAnsi="Calibri Light"/>
          <w:color w:val="000000"/>
        </w:rPr>
        <w:t xml:space="preserve"> </w:t>
      </w:r>
    </w:p>
    <w:p w:rsidR="00F77FAA" w:rsidRDefault="00F77FAA" w:rsidP="008D5394">
      <w:pPr>
        <w:suppressAutoHyphens w:val="0"/>
        <w:spacing w:before="77" w:after="0" w:line="240" w:lineRule="auto"/>
        <w:rPr>
          <w:rFonts w:ascii="Calibri Light" w:hAnsi="Calibri Light"/>
          <w:color w:val="000000"/>
        </w:rPr>
      </w:pPr>
      <w:r>
        <w:rPr>
          <w:rFonts w:ascii="Calibri Light" w:hAnsi="Calibri Light"/>
          <w:b/>
          <w:bCs/>
          <w:color w:val="000000"/>
        </w:rPr>
        <w:t xml:space="preserve">Australian </w:t>
      </w:r>
      <w:r w:rsidRPr="008D5394">
        <w:rPr>
          <w:rFonts w:ascii="Calibri Light" w:eastAsia="Times New Roman" w:hAnsi="Calibri Light" w:cs="Calibri Light"/>
          <w:b/>
          <w:color w:val="000000"/>
          <w:lang w:val="en-AU"/>
        </w:rPr>
        <w:t>volunteers</w:t>
      </w:r>
      <w:r>
        <w:rPr>
          <w:rFonts w:ascii="Calibri Light" w:hAnsi="Calibri Light"/>
          <w:b/>
          <w:bCs/>
          <w:color w:val="000000"/>
        </w:rPr>
        <w:t xml:space="preserve"> complement the advisory support to </w:t>
      </w:r>
      <w:r w:rsidR="00893C4F">
        <w:rPr>
          <w:rFonts w:ascii="Calibri Light" w:hAnsi="Calibri Light"/>
          <w:b/>
          <w:bCs/>
          <w:color w:val="000000"/>
        </w:rPr>
        <w:t xml:space="preserve">Ministry of Health </w:t>
      </w:r>
      <w:r>
        <w:rPr>
          <w:rFonts w:ascii="Calibri Light" w:hAnsi="Calibri Light"/>
          <w:b/>
          <w:bCs/>
          <w:color w:val="000000"/>
        </w:rPr>
        <w:t xml:space="preserve">and private health facilities. </w:t>
      </w:r>
      <w:r w:rsidR="00BC169F" w:rsidRPr="00BC169F">
        <w:rPr>
          <w:rFonts w:ascii="Calibri Light" w:hAnsi="Calibri Light"/>
          <w:bCs/>
          <w:color w:val="000000"/>
        </w:rPr>
        <w:t>Non-g</w:t>
      </w:r>
      <w:r w:rsidR="00BC169F">
        <w:rPr>
          <w:rFonts w:ascii="Calibri Light" w:hAnsi="Calibri Light"/>
          <w:color w:val="000000"/>
        </w:rPr>
        <w:t>overnment organisation</w:t>
      </w:r>
      <w:r w:rsidR="005266A2">
        <w:rPr>
          <w:rFonts w:ascii="Calibri Light" w:hAnsi="Calibri Light"/>
          <w:color w:val="000000"/>
        </w:rPr>
        <w:t>s</w:t>
      </w:r>
      <w:r w:rsidR="00893C4F">
        <w:rPr>
          <w:rFonts w:ascii="Calibri Light" w:hAnsi="Calibri Light"/>
          <w:color w:val="000000"/>
        </w:rPr>
        <w:t xml:space="preserve"> (NGOs)</w:t>
      </w:r>
      <w:r w:rsidR="00BC169F">
        <w:rPr>
          <w:rFonts w:ascii="Calibri Light" w:hAnsi="Calibri Light"/>
          <w:color w:val="000000"/>
        </w:rPr>
        <w:t xml:space="preserve"> funded under the Australian NGO Cooperation Program </w:t>
      </w:r>
      <w:r>
        <w:rPr>
          <w:rFonts w:ascii="Calibri Light" w:hAnsi="Calibri Light"/>
          <w:color w:val="000000"/>
        </w:rPr>
        <w:t xml:space="preserve">extend </w:t>
      </w:r>
      <w:r w:rsidR="00075574">
        <w:rPr>
          <w:rFonts w:ascii="Calibri Light" w:hAnsi="Calibri Light"/>
          <w:color w:val="000000"/>
        </w:rPr>
        <w:t>Australia’s</w:t>
      </w:r>
      <w:r>
        <w:rPr>
          <w:rFonts w:ascii="Calibri Light" w:hAnsi="Calibri Light"/>
          <w:color w:val="000000"/>
        </w:rPr>
        <w:t xml:space="preserve"> support to the community level.  For example, </w:t>
      </w:r>
      <w:r w:rsidR="00893C4F">
        <w:rPr>
          <w:rFonts w:ascii="Calibri Light" w:hAnsi="Calibri Light"/>
          <w:color w:val="000000"/>
        </w:rPr>
        <w:t xml:space="preserve">the successful </w:t>
      </w:r>
      <w:r>
        <w:rPr>
          <w:rFonts w:ascii="Calibri Light" w:hAnsi="Calibri Light"/>
          <w:color w:val="000000"/>
        </w:rPr>
        <w:t xml:space="preserve">World Vision’s Ademap </w:t>
      </w:r>
      <w:r w:rsidR="00CD0E1C">
        <w:rPr>
          <w:rFonts w:ascii="Calibri Light" w:hAnsi="Calibri Light"/>
          <w:color w:val="000000"/>
        </w:rPr>
        <w:t>Kala</w:t>
      </w:r>
      <w:r>
        <w:rPr>
          <w:rFonts w:ascii="Calibri Light" w:hAnsi="Calibri Light"/>
          <w:color w:val="000000"/>
        </w:rPr>
        <w:t xml:space="preserve"> campaign</w:t>
      </w:r>
      <w:r w:rsidR="00893C4F">
        <w:rPr>
          <w:rFonts w:ascii="Calibri Light" w:hAnsi="Calibri Light"/>
          <w:color w:val="000000"/>
        </w:rPr>
        <w:t xml:space="preserve"> which</w:t>
      </w:r>
      <w:r>
        <w:rPr>
          <w:rFonts w:ascii="Calibri Light" w:hAnsi="Calibri Light"/>
          <w:color w:val="000000"/>
        </w:rPr>
        <w:t xml:space="preserve"> raise</w:t>
      </w:r>
      <w:r w:rsidR="00893C4F">
        <w:rPr>
          <w:rFonts w:ascii="Calibri Light" w:hAnsi="Calibri Light"/>
          <w:color w:val="000000"/>
        </w:rPr>
        <w:t>s</w:t>
      </w:r>
      <w:r>
        <w:rPr>
          <w:rFonts w:ascii="Calibri Light" w:hAnsi="Calibri Light"/>
          <w:color w:val="000000"/>
        </w:rPr>
        <w:t xml:space="preserve"> awareness on nutrition.  </w:t>
      </w:r>
    </w:p>
    <w:p w:rsidR="00934CB5" w:rsidRPr="00877607" w:rsidRDefault="00F77FAA" w:rsidP="00F77FAA">
      <w:pPr>
        <w:spacing w:before="240"/>
        <w:rPr>
          <w:rFonts w:asciiTheme="majorHAnsi" w:eastAsiaTheme="majorEastAsia" w:hAnsiTheme="majorHAnsi" w:cstheme="majorBidi"/>
          <w:caps/>
          <w:sz w:val="32"/>
          <w:szCs w:val="32"/>
        </w:rPr>
      </w:pPr>
      <w:r w:rsidRPr="00877607">
        <w:rPr>
          <w:rFonts w:asciiTheme="majorHAnsi" w:eastAsiaTheme="majorEastAsia" w:hAnsiTheme="majorHAnsi" w:cstheme="majorBidi"/>
          <w:caps/>
          <w:sz w:val="32"/>
          <w:szCs w:val="32"/>
        </w:rPr>
        <w:t xml:space="preserve"> </w:t>
      </w:r>
      <w:r w:rsidR="00934CB5" w:rsidRPr="00877607">
        <w:rPr>
          <w:rFonts w:asciiTheme="majorHAnsi" w:eastAsiaTheme="majorEastAsia" w:hAnsiTheme="majorHAnsi" w:cstheme="majorBidi"/>
          <w:caps/>
          <w:sz w:val="32"/>
          <w:szCs w:val="32"/>
        </w:rPr>
        <w:t xml:space="preserve">Objective </w:t>
      </w:r>
      <w:r w:rsidR="00934CB5">
        <w:rPr>
          <w:rFonts w:asciiTheme="majorHAnsi" w:eastAsiaTheme="majorEastAsia" w:hAnsiTheme="majorHAnsi" w:cstheme="majorBidi"/>
          <w:caps/>
          <w:sz w:val="32"/>
          <w:szCs w:val="32"/>
        </w:rPr>
        <w:t xml:space="preserve">3 </w:t>
      </w:r>
      <w:r w:rsidR="00934CB5" w:rsidRPr="00934CB5">
        <w:rPr>
          <w:rFonts w:asciiTheme="majorHAnsi" w:eastAsiaTheme="majorEastAsia" w:hAnsiTheme="majorHAnsi" w:cstheme="majorBidi"/>
          <w:caps/>
          <w:sz w:val="32"/>
          <w:szCs w:val="32"/>
        </w:rPr>
        <w:t>Improving community safety and resilience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9"/>
        <w:gridCol w:w="1911"/>
        <w:gridCol w:w="1911"/>
        <w:gridCol w:w="1891"/>
      </w:tblGrid>
      <w:tr w:rsidR="000C2054" w:rsidTr="00474A83">
        <w:tc>
          <w:tcPr>
            <w:tcW w:w="2016" w:type="dxa"/>
          </w:tcPr>
          <w:p w:rsidR="000C2054" w:rsidRDefault="000C2054" w:rsidP="00474A83">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3C2226A0" wp14:editId="053092E8">
                  <wp:extent cx="1137600" cy="720000"/>
                  <wp:effectExtent l="0" t="0" r="5715" b="444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9" w:type="dxa"/>
          </w:tcPr>
          <w:p w:rsidR="000C2054" w:rsidRDefault="000C2054" w:rsidP="00474A83">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33808C66" wp14:editId="6596EEC8">
                  <wp:extent cx="612000" cy="6120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11" w:type="dxa"/>
          </w:tcPr>
          <w:p w:rsidR="000C2054" w:rsidRDefault="000C2054" w:rsidP="00474A83">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6A5364AB" wp14:editId="1C49D12F">
                  <wp:extent cx="612000" cy="6120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11" w:type="dxa"/>
          </w:tcPr>
          <w:p w:rsidR="000C2054" w:rsidRDefault="000C2054" w:rsidP="00474A83">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56EAC27A" wp14:editId="0733AA53">
                  <wp:extent cx="608400" cy="612000"/>
                  <wp:effectExtent l="0" t="0" r="127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1891" w:type="dxa"/>
          </w:tcPr>
          <w:p w:rsidR="000C2054" w:rsidRDefault="000C2054" w:rsidP="00474A83">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p>
        </w:tc>
      </w:tr>
    </w:tbl>
    <w:p w:rsidR="00263C1A" w:rsidRDefault="00B142F9" w:rsidP="00263C1A">
      <w:pPr>
        <w:rPr>
          <w:color w:val="000000" w:themeColor="text1"/>
        </w:rPr>
      </w:pPr>
      <w:r>
        <w:rPr>
          <w:rFonts w:ascii="Calibri Light" w:hAnsi="Calibri Light"/>
          <w:color w:val="000000" w:themeColor="text1"/>
        </w:rPr>
        <w:t>Objective 3 f</w:t>
      </w:r>
      <w:r w:rsidR="0097484B">
        <w:rPr>
          <w:rFonts w:ascii="Calibri Light" w:hAnsi="Calibri Light"/>
          <w:color w:val="000000" w:themeColor="text1"/>
        </w:rPr>
        <w:t xml:space="preserve">ocusses on </w:t>
      </w:r>
      <w:r w:rsidR="0097484B" w:rsidRPr="00B83D47">
        <w:rPr>
          <w:rFonts w:ascii="Calibri Light" w:hAnsi="Calibri Light"/>
          <w:color w:val="000000" w:themeColor="text1"/>
        </w:rPr>
        <w:t xml:space="preserve">improving policing and justice, </w:t>
      </w:r>
      <w:r w:rsidR="000C2054" w:rsidRPr="00B83D47">
        <w:rPr>
          <w:rFonts w:ascii="Calibri Light" w:hAnsi="Calibri Light"/>
          <w:color w:val="000000" w:themeColor="text1"/>
        </w:rPr>
        <w:t xml:space="preserve">services </w:t>
      </w:r>
      <w:r w:rsidR="000C2054" w:rsidRPr="00B83D47">
        <w:rPr>
          <w:rFonts w:ascii="Calibri Light" w:hAnsi="Calibri Light"/>
          <w:color w:val="000000"/>
          <w:lang w:val="en-AU"/>
        </w:rPr>
        <w:t>for</w:t>
      </w:r>
      <w:r w:rsidR="000C2054" w:rsidRPr="00B83D47">
        <w:rPr>
          <w:rFonts w:ascii="Calibri Light" w:hAnsi="Calibri Light"/>
          <w:color w:val="000000" w:themeColor="text1"/>
        </w:rPr>
        <w:t xml:space="preserve"> women and children survivors of violence, and support for youth and marginalised people.</w:t>
      </w:r>
      <w:r w:rsidR="00263C1A" w:rsidRPr="00B83D47">
        <w:rPr>
          <w:rFonts w:ascii="Calibri Light" w:hAnsi="Calibri Light"/>
          <w:color w:val="000000" w:themeColor="text1"/>
        </w:rPr>
        <w:t xml:space="preserve"> </w:t>
      </w:r>
      <w:r w:rsidR="00263C1A" w:rsidRPr="00B83D47">
        <w:rPr>
          <w:color w:val="000000" w:themeColor="text1"/>
        </w:rPr>
        <w:t xml:space="preserve">Objective 3 is rated green as all investments were </w:t>
      </w:r>
      <w:r w:rsidRPr="00B83D47">
        <w:rPr>
          <w:color w:val="000000" w:themeColor="text1"/>
        </w:rPr>
        <w:t xml:space="preserve">rated </w:t>
      </w:r>
      <w:r w:rsidR="00263C1A" w:rsidRPr="00B83D47">
        <w:rPr>
          <w:color w:val="000000" w:themeColor="text1"/>
        </w:rPr>
        <w:t xml:space="preserve">adequate or higher for efficiency and effectiveness </w:t>
      </w:r>
      <w:r w:rsidRPr="00B83D47">
        <w:rPr>
          <w:color w:val="000000" w:themeColor="text1"/>
        </w:rPr>
        <w:t>and p</w:t>
      </w:r>
      <w:r w:rsidR="006F41EF" w:rsidRPr="00B83D47">
        <w:rPr>
          <w:color w:val="000000" w:themeColor="text1"/>
        </w:rPr>
        <w:t xml:space="preserve">erformance targets </w:t>
      </w:r>
      <w:r w:rsidR="00734CD4" w:rsidRPr="00B83D47">
        <w:rPr>
          <w:color w:val="000000" w:themeColor="text1"/>
        </w:rPr>
        <w:t xml:space="preserve">were </w:t>
      </w:r>
      <w:r w:rsidR="006F41EF" w:rsidRPr="00B83D47">
        <w:rPr>
          <w:color w:val="000000" w:themeColor="text1"/>
        </w:rPr>
        <w:t>met or exceeded.</w:t>
      </w:r>
      <w:r w:rsidR="006F41EF">
        <w:rPr>
          <w:color w:val="000000" w:themeColor="text1"/>
        </w:rPr>
        <w:t xml:space="preserve"> </w:t>
      </w:r>
    </w:p>
    <w:p w:rsidR="001D6203" w:rsidRDefault="00DE5B68" w:rsidP="008D5394">
      <w:pPr>
        <w:suppressAutoHyphens w:val="0"/>
        <w:spacing w:before="77" w:after="0" w:line="240" w:lineRule="auto"/>
        <w:rPr>
          <w:rFonts w:ascii="Calibri Light" w:eastAsia="Times New Roman" w:hAnsi="Calibri Light" w:cs="Calibri Light"/>
          <w:b/>
          <w:color w:val="000000"/>
          <w:lang w:val="en-AU"/>
        </w:rPr>
      </w:pPr>
      <w:r w:rsidRPr="00DE5B68">
        <w:rPr>
          <w:rFonts w:ascii="Calibri Light" w:eastAsia="Times New Roman" w:hAnsi="Calibri Light" w:cs="Calibri Light"/>
          <w:b/>
          <w:color w:val="000000"/>
          <w:lang w:val="en-AU"/>
        </w:rPr>
        <w:t>Justice and security are critical foundations for Vanuatu’s stability and prosperity, allowing communities and citizens to live without fear and maximise human potential.</w:t>
      </w:r>
      <w:r w:rsidRPr="00DE5B68">
        <w:rPr>
          <w:rFonts w:ascii="Calibri Light" w:eastAsia="Times New Roman" w:hAnsi="Calibri Light" w:cs="Calibri Light"/>
          <w:color w:val="000000"/>
          <w:lang w:val="en-AU"/>
        </w:rPr>
        <w:t xml:space="preserve"> </w:t>
      </w:r>
      <w:r w:rsidR="00075574">
        <w:rPr>
          <w:rFonts w:ascii="Calibri Light" w:eastAsia="Times New Roman" w:hAnsi="Calibri Light" w:cs="Calibri Light"/>
          <w:color w:val="000000"/>
          <w:lang w:val="en-AU"/>
        </w:rPr>
        <w:t>Australia’s</w:t>
      </w:r>
      <w:r w:rsidRPr="00DE5B68">
        <w:rPr>
          <w:rFonts w:ascii="Calibri Light" w:eastAsia="Times New Roman" w:hAnsi="Calibri Light" w:cs="Calibri Light"/>
          <w:color w:val="000000"/>
          <w:lang w:val="en-AU"/>
        </w:rPr>
        <w:t xml:space="preserve"> support </w:t>
      </w:r>
      <w:r w:rsidR="006E3063">
        <w:rPr>
          <w:rFonts w:ascii="Calibri Light" w:eastAsia="Times New Roman" w:hAnsi="Calibri Light" w:cs="Calibri Light"/>
          <w:color w:val="000000"/>
          <w:lang w:val="en-AU"/>
        </w:rPr>
        <w:t>helped</w:t>
      </w:r>
      <w:r w:rsidRPr="00DE5B68">
        <w:rPr>
          <w:rFonts w:ascii="Calibri Light" w:eastAsia="Times New Roman" w:hAnsi="Calibri Light" w:cs="Calibri Light"/>
          <w:color w:val="000000"/>
          <w:lang w:val="en-AU"/>
        </w:rPr>
        <w:t xml:space="preserve"> mor</w:t>
      </w:r>
      <w:r w:rsidR="003A1E88">
        <w:rPr>
          <w:rFonts w:ascii="Calibri Light" w:eastAsia="Times New Roman" w:hAnsi="Calibri Light" w:cs="Calibri Light"/>
          <w:color w:val="000000"/>
          <w:lang w:val="en-AU"/>
        </w:rPr>
        <w:t xml:space="preserve">e women, children and youth </w:t>
      </w:r>
      <w:r w:rsidRPr="00DE5B68">
        <w:rPr>
          <w:rFonts w:ascii="Calibri Light" w:eastAsia="Times New Roman" w:hAnsi="Calibri Light" w:cs="Calibri Light"/>
          <w:color w:val="000000"/>
          <w:lang w:val="en-AU"/>
        </w:rPr>
        <w:t xml:space="preserve">access policing, justice and community services </w:t>
      </w:r>
      <w:r w:rsidR="006E3063">
        <w:rPr>
          <w:rFonts w:ascii="Calibri Light" w:eastAsia="Times New Roman" w:hAnsi="Calibri Light" w:cs="Calibri Light"/>
          <w:color w:val="000000"/>
          <w:lang w:val="en-AU"/>
        </w:rPr>
        <w:t>and</w:t>
      </w:r>
      <w:r w:rsidRPr="00DE5B68">
        <w:rPr>
          <w:rFonts w:ascii="Calibri Light" w:eastAsia="Times New Roman" w:hAnsi="Calibri Light" w:cs="Calibri Light"/>
          <w:color w:val="000000"/>
          <w:lang w:val="en-AU"/>
        </w:rPr>
        <w:t xml:space="preserve"> </w:t>
      </w:r>
      <w:r w:rsidR="00C05986">
        <w:rPr>
          <w:rFonts w:ascii="Calibri Light" w:eastAsia="Times New Roman" w:hAnsi="Calibri Light" w:cs="Calibri Light"/>
          <w:color w:val="000000"/>
          <w:lang w:val="en-AU"/>
        </w:rPr>
        <w:t>helped</w:t>
      </w:r>
      <w:r w:rsidRPr="00DE5B68">
        <w:rPr>
          <w:rFonts w:ascii="Calibri Light" w:eastAsia="Times New Roman" w:hAnsi="Calibri Light" w:cs="Calibri Light"/>
          <w:color w:val="000000"/>
          <w:lang w:val="en-AU"/>
        </w:rPr>
        <w:t xml:space="preserve"> </w:t>
      </w:r>
      <w:r w:rsidR="00707912">
        <w:rPr>
          <w:rFonts w:ascii="Calibri Light" w:eastAsia="Times New Roman" w:hAnsi="Calibri Light" w:cs="Calibri Light"/>
          <w:color w:val="000000"/>
          <w:lang w:val="en-AU"/>
        </w:rPr>
        <w:t xml:space="preserve">state </w:t>
      </w:r>
      <w:r w:rsidRPr="00DE5B68">
        <w:rPr>
          <w:rFonts w:ascii="Calibri Light" w:eastAsia="Times New Roman" w:hAnsi="Calibri Light" w:cs="Calibri Light"/>
          <w:color w:val="000000"/>
          <w:lang w:val="en-AU"/>
        </w:rPr>
        <w:t>agencies</w:t>
      </w:r>
      <w:r w:rsidR="00707912">
        <w:rPr>
          <w:rFonts w:ascii="Calibri Light" w:eastAsia="Times New Roman" w:hAnsi="Calibri Light" w:cs="Calibri Light"/>
          <w:color w:val="000000"/>
          <w:lang w:val="en-AU"/>
        </w:rPr>
        <w:t xml:space="preserve"> and others</w:t>
      </w:r>
      <w:r w:rsidRPr="00DE5B68">
        <w:rPr>
          <w:rFonts w:ascii="Calibri Light" w:eastAsia="Times New Roman" w:hAnsi="Calibri Light" w:cs="Calibri Light"/>
          <w:color w:val="000000"/>
          <w:lang w:val="en-AU"/>
        </w:rPr>
        <w:t xml:space="preserve"> provid</w:t>
      </w:r>
      <w:r w:rsidR="003A1E88">
        <w:rPr>
          <w:rFonts w:ascii="Calibri Light" w:eastAsia="Times New Roman" w:hAnsi="Calibri Light" w:cs="Calibri Light"/>
          <w:color w:val="000000"/>
          <w:lang w:val="en-AU"/>
        </w:rPr>
        <w:t>e</w:t>
      </w:r>
      <w:r w:rsidRPr="00DE5B68">
        <w:rPr>
          <w:rFonts w:ascii="Calibri Light" w:eastAsia="Times New Roman" w:hAnsi="Calibri Light" w:cs="Calibri Light"/>
          <w:color w:val="000000"/>
          <w:lang w:val="en-AU"/>
        </w:rPr>
        <w:t xml:space="preserve"> improved services. </w:t>
      </w:r>
    </w:p>
    <w:p w:rsidR="00DE5B68" w:rsidRPr="00DE5B68" w:rsidRDefault="00DE5B68" w:rsidP="008D5394">
      <w:pPr>
        <w:suppressAutoHyphens w:val="0"/>
        <w:spacing w:before="77" w:after="0" w:line="240" w:lineRule="auto"/>
        <w:rPr>
          <w:rFonts w:ascii="Calibri Light" w:eastAsia="Times New Roman" w:hAnsi="Calibri Light" w:cs="Calibri Light"/>
          <w:color w:val="000000"/>
          <w:lang w:val="en-AU"/>
        </w:rPr>
      </w:pPr>
      <w:r w:rsidRPr="00DE5B68">
        <w:rPr>
          <w:rFonts w:ascii="Calibri Light" w:eastAsia="Times New Roman" w:hAnsi="Calibri Light" w:cs="Calibri Light"/>
          <w:b/>
          <w:color w:val="000000"/>
          <w:lang w:val="en-AU"/>
        </w:rPr>
        <w:t xml:space="preserve">Australia continued working with Vanuatu to increase the reach and effectiveness of </w:t>
      </w:r>
      <w:r w:rsidR="00DD4364">
        <w:rPr>
          <w:rFonts w:ascii="Calibri Light" w:eastAsia="Times New Roman" w:hAnsi="Calibri Light" w:cs="Calibri Light"/>
          <w:b/>
          <w:color w:val="000000"/>
          <w:lang w:val="en-AU"/>
        </w:rPr>
        <w:t xml:space="preserve">police and </w:t>
      </w:r>
      <w:r w:rsidRPr="00DE5B68">
        <w:rPr>
          <w:rFonts w:ascii="Calibri Light" w:eastAsia="Times New Roman" w:hAnsi="Calibri Light" w:cs="Calibri Light"/>
          <w:b/>
          <w:color w:val="000000"/>
          <w:lang w:val="en-AU"/>
        </w:rPr>
        <w:t xml:space="preserve">justice sector institutions. </w:t>
      </w:r>
      <w:r w:rsidR="00A538C6">
        <w:rPr>
          <w:rFonts w:ascii="Calibri Light" w:eastAsia="Times New Roman" w:hAnsi="Calibri Light" w:cs="Calibri Light"/>
          <w:color w:val="000000"/>
          <w:lang w:val="en-AU"/>
        </w:rPr>
        <w:t xml:space="preserve">Overall, </w:t>
      </w:r>
      <w:r w:rsidRPr="00DE5B68">
        <w:rPr>
          <w:rFonts w:ascii="Calibri Light" w:eastAsia="Times New Roman" w:hAnsi="Calibri Light" w:cs="Calibri Light"/>
          <w:color w:val="000000"/>
          <w:lang w:val="en-AU"/>
        </w:rPr>
        <w:t xml:space="preserve">433 (168 </w:t>
      </w:r>
      <w:r w:rsidR="003A1E88">
        <w:rPr>
          <w:rFonts w:ascii="Calibri Light" w:eastAsia="Times New Roman" w:hAnsi="Calibri Light" w:cs="Calibri Light"/>
          <w:color w:val="000000"/>
          <w:lang w:val="en-AU"/>
        </w:rPr>
        <w:t>women</w:t>
      </w:r>
      <w:r w:rsidRPr="008F2430">
        <w:rPr>
          <w:rFonts w:ascii="Calibri Light" w:eastAsia="Times New Roman" w:hAnsi="Calibri Light" w:cs="Calibri Light"/>
          <w:color w:val="000000"/>
          <w:lang w:val="en-AU"/>
        </w:rPr>
        <w:t xml:space="preserve">) </w:t>
      </w:r>
      <w:r w:rsidR="004C29C1" w:rsidRPr="008F2430">
        <w:rPr>
          <w:rFonts w:ascii="Calibri Light" w:eastAsia="Times New Roman" w:hAnsi="Calibri Light" w:cs="Calibri Light"/>
          <w:color w:val="000000"/>
          <w:lang w:val="en-AU"/>
        </w:rPr>
        <w:t>[e</w:t>
      </w:r>
      <w:r w:rsidR="001845A4" w:rsidRPr="006F41EF">
        <w:rPr>
          <w:rFonts w:ascii="Calibri Light" w:eastAsia="Times New Roman" w:hAnsi="Calibri Light" w:cs="Calibri Light"/>
          <w:color w:val="000000"/>
          <w:lang w:val="en-AU"/>
        </w:rPr>
        <w:t>xceeded PAF target 3.</w:t>
      </w:r>
      <w:r w:rsidR="00264B9D" w:rsidRPr="006F41EF">
        <w:rPr>
          <w:rFonts w:ascii="Calibri Light" w:eastAsia="Times New Roman" w:hAnsi="Calibri Light" w:cs="Calibri Light"/>
          <w:color w:val="000000"/>
          <w:lang w:val="en-AU"/>
        </w:rPr>
        <w:t>5</w:t>
      </w:r>
      <w:r w:rsidR="001845A4" w:rsidRPr="008F2430">
        <w:rPr>
          <w:rFonts w:ascii="Calibri Light" w:eastAsia="Times New Roman" w:hAnsi="Calibri Light" w:cs="Calibri Light"/>
          <w:color w:val="000000"/>
          <w:lang w:val="en-AU"/>
        </w:rPr>
        <w:t>]</w:t>
      </w:r>
      <w:r w:rsidR="004C29C1" w:rsidRPr="008F2430">
        <w:rPr>
          <w:rFonts w:ascii="Calibri Light" w:eastAsia="Times New Roman" w:hAnsi="Calibri Light" w:cs="Calibri Light"/>
          <w:color w:val="000000"/>
          <w:lang w:val="en-AU"/>
        </w:rPr>
        <w:t xml:space="preserve"> </w:t>
      </w:r>
      <w:r w:rsidRPr="008F2430">
        <w:rPr>
          <w:rFonts w:ascii="Calibri Light" w:eastAsia="Times New Roman" w:hAnsi="Calibri Light" w:cs="Calibri Light"/>
          <w:color w:val="000000"/>
          <w:lang w:val="en-AU"/>
        </w:rPr>
        <w:t>law</w:t>
      </w:r>
      <w:r w:rsidRPr="00DE5B68">
        <w:rPr>
          <w:rFonts w:ascii="Calibri Light" w:eastAsia="Times New Roman" w:hAnsi="Calibri Light" w:cs="Calibri Light"/>
          <w:color w:val="000000"/>
          <w:lang w:val="en-AU"/>
        </w:rPr>
        <w:t xml:space="preserve"> and justice officials </w:t>
      </w:r>
      <w:r w:rsidR="00A538C6">
        <w:rPr>
          <w:rFonts w:ascii="Calibri Light" w:eastAsia="Times New Roman" w:hAnsi="Calibri Light" w:cs="Calibri Light"/>
          <w:color w:val="000000"/>
          <w:lang w:val="en-AU"/>
        </w:rPr>
        <w:t>were supported to improve their skills</w:t>
      </w:r>
      <w:r w:rsidR="00893C4F">
        <w:rPr>
          <w:rFonts w:ascii="Calibri Light" w:eastAsia="Times New Roman" w:hAnsi="Calibri Light" w:cs="Calibri Light"/>
          <w:color w:val="000000"/>
          <w:lang w:val="en-AU"/>
        </w:rPr>
        <w:t>. A</w:t>
      </w:r>
      <w:r w:rsidR="00A538C6">
        <w:rPr>
          <w:rFonts w:ascii="Calibri Light" w:eastAsia="Times New Roman" w:hAnsi="Calibri Light" w:cs="Calibri Light"/>
          <w:color w:val="000000"/>
          <w:lang w:val="en-AU"/>
        </w:rPr>
        <w:t>ll</w:t>
      </w:r>
      <w:r w:rsidRPr="00DE5B68">
        <w:rPr>
          <w:rFonts w:ascii="Calibri Light" w:eastAsia="Times New Roman" w:hAnsi="Calibri Light" w:cs="Calibri Light"/>
          <w:color w:val="000000"/>
          <w:lang w:val="en-AU"/>
        </w:rPr>
        <w:t xml:space="preserve"> sector agencies </w:t>
      </w:r>
      <w:r w:rsidR="00DD4364">
        <w:rPr>
          <w:rFonts w:ascii="Calibri Light" w:eastAsia="Times New Roman" w:hAnsi="Calibri Light" w:cs="Calibri Light"/>
          <w:color w:val="000000"/>
          <w:lang w:val="en-AU"/>
        </w:rPr>
        <w:t>and</w:t>
      </w:r>
      <w:r w:rsidR="00DD4364" w:rsidRPr="00DE5B68">
        <w:rPr>
          <w:rFonts w:ascii="Calibri Light" w:eastAsia="Times New Roman" w:hAnsi="Calibri Light" w:cs="Calibri Light"/>
          <w:color w:val="000000"/>
          <w:lang w:val="en-AU"/>
        </w:rPr>
        <w:t xml:space="preserve"> </w:t>
      </w:r>
      <w:r w:rsidRPr="00DE5B68">
        <w:rPr>
          <w:rFonts w:ascii="Calibri Light" w:eastAsia="Times New Roman" w:hAnsi="Calibri Light" w:cs="Calibri Light"/>
          <w:color w:val="000000"/>
          <w:lang w:val="en-AU"/>
        </w:rPr>
        <w:t xml:space="preserve">police units </w:t>
      </w:r>
      <w:r w:rsidR="00DD4364">
        <w:rPr>
          <w:rFonts w:ascii="Calibri Light" w:eastAsia="Times New Roman" w:hAnsi="Calibri Light" w:cs="Calibri Light"/>
          <w:color w:val="000000"/>
          <w:lang w:val="en-AU"/>
        </w:rPr>
        <w:t xml:space="preserve">supported </w:t>
      </w:r>
      <w:r w:rsidR="00425C1D">
        <w:rPr>
          <w:rFonts w:ascii="Calibri Light" w:eastAsia="Times New Roman" w:hAnsi="Calibri Light" w:cs="Calibri Light"/>
          <w:color w:val="000000"/>
          <w:lang w:val="en-AU"/>
        </w:rPr>
        <w:t xml:space="preserve">by advisers – including five from the Australian Federal Police </w:t>
      </w:r>
      <w:r w:rsidR="00BC169F">
        <w:rPr>
          <w:rFonts w:ascii="Calibri Light" w:eastAsia="Times New Roman" w:hAnsi="Calibri Light" w:cs="Calibri Light"/>
          <w:color w:val="000000"/>
          <w:lang w:val="en-AU"/>
        </w:rPr>
        <w:t>–</w:t>
      </w:r>
      <w:r w:rsidRPr="00DE5B68">
        <w:rPr>
          <w:rFonts w:ascii="Calibri Light" w:eastAsia="Times New Roman" w:hAnsi="Calibri Light" w:cs="Calibri Light"/>
          <w:color w:val="000000"/>
          <w:lang w:val="en-AU"/>
        </w:rPr>
        <w:t xml:space="preserve"> continued to show </w:t>
      </w:r>
      <w:r w:rsidR="00BC169F">
        <w:rPr>
          <w:rFonts w:ascii="Calibri Light" w:eastAsia="Times New Roman" w:hAnsi="Calibri Light" w:cs="Calibri Light"/>
          <w:color w:val="000000"/>
          <w:lang w:val="en-AU"/>
        </w:rPr>
        <w:t>progress in applying learnings.</w:t>
      </w:r>
      <w:r w:rsidR="008A60EF" w:rsidRPr="008A60EF">
        <w:rPr>
          <w:rFonts w:ascii="Calibri Light" w:eastAsia="Times New Roman" w:hAnsi="Calibri Light" w:cs="Calibri Light"/>
          <w:color w:val="000000"/>
          <w:lang w:val="en-AU"/>
        </w:rPr>
        <w:t xml:space="preserve"> </w:t>
      </w:r>
      <w:r w:rsidR="008A60EF">
        <w:rPr>
          <w:rFonts w:ascii="Calibri Light" w:eastAsia="Times New Roman" w:hAnsi="Calibri Light" w:cs="Calibri Light"/>
          <w:color w:val="000000"/>
          <w:lang w:val="en-AU"/>
        </w:rPr>
        <w:t xml:space="preserve">The average number of days for completion of a criminal matter through the State Prosecutions Department and the Magistrates Court </w:t>
      </w:r>
      <w:r w:rsidR="006F41EF">
        <w:rPr>
          <w:rFonts w:ascii="Calibri Light" w:eastAsia="Times New Roman" w:hAnsi="Calibri Light" w:cs="Calibri Light"/>
          <w:color w:val="000000"/>
          <w:lang w:val="en-AU"/>
        </w:rPr>
        <w:t xml:space="preserve">was reduced </w:t>
      </w:r>
      <w:r w:rsidR="008A60EF">
        <w:rPr>
          <w:rFonts w:ascii="Calibri Light" w:eastAsia="Times New Roman" w:hAnsi="Calibri Light" w:cs="Calibri Light"/>
          <w:color w:val="000000"/>
          <w:lang w:val="en-AU"/>
        </w:rPr>
        <w:t>[</w:t>
      </w:r>
      <w:r w:rsidR="008A60EF" w:rsidRPr="006F41EF">
        <w:rPr>
          <w:rFonts w:ascii="Calibri Light" w:eastAsia="Times New Roman" w:hAnsi="Calibri Light" w:cs="Calibri Light"/>
          <w:color w:val="000000"/>
          <w:lang w:val="en-AU"/>
        </w:rPr>
        <w:t>exceeded PAF target 3.1</w:t>
      </w:r>
      <w:r w:rsidR="008A60EF" w:rsidRPr="008F2430">
        <w:rPr>
          <w:rFonts w:ascii="Calibri Light" w:eastAsia="Times New Roman" w:hAnsi="Calibri Light" w:cs="Calibri Light"/>
          <w:color w:val="000000"/>
          <w:lang w:val="en-AU"/>
        </w:rPr>
        <w:t xml:space="preserve">]. The average days through the Office of the Public Prosecutor and Supreme Court </w:t>
      </w:r>
      <w:r w:rsidR="0053551D">
        <w:rPr>
          <w:rFonts w:ascii="Calibri Light" w:eastAsia="Times New Roman" w:hAnsi="Calibri Light" w:cs="Calibri Light"/>
          <w:color w:val="000000"/>
          <w:lang w:val="en-AU"/>
        </w:rPr>
        <w:t>exceeded the target</w:t>
      </w:r>
      <w:r w:rsidR="006F41EF">
        <w:rPr>
          <w:rFonts w:ascii="Calibri Light" w:eastAsia="Times New Roman" w:hAnsi="Calibri Light" w:cs="Calibri Light"/>
          <w:color w:val="000000"/>
          <w:lang w:val="en-AU"/>
        </w:rPr>
        <w:t xml:space="preserve"> </w:t>
      </w:r>
      <w:r w:rsidR="006F41EF" w:rsidRPr="008F2430">
        <w:rPr>
          <w:rFonts w:ascii="Calibri Light" w:eastAsia="Times New Roman" w:hAnsi="Calibri Light" w:cs="Calibri Light"/>
          <w:color w:val="000000"/>
          <w:lang w:val="en-AU"/>
        </w:rPr>
        <w:t>[</w:t>
      </w:r>
      <w:r w:rsidR="006F41EF" w:rsidRPr="006F41EF">
        <w:rPr>
          <w:rFonts w:ascii="Calibri Light" w:eastAsia="Times New Roman" w:hAnsi="Calibri Light" w:cs="Calibri Light"/>
          <w:color w:val="000000"/>
          <w:lang w:val="en-AU"/>
        </w:rPr>
        <w:t xml:space="preserve">PAF </w:t>
      </w:r>
      <w:r w:rsidR="0053551D">
        <w:rPr>
          <w:rFonts w:ascii="Calibri Light" w:eastAsia="Times New Roman" w:hAnsi="Calibri Light" w:cs="Calibri Light"/>
          <w:color w:val="000000"/>
          <w:lang w:val="en-AU"/>
        </w:rPr>
        <w:t>target</w:t>
      </w:r>
      <w:r w:rsidR="006F41EF" w:rsidRPr="006F41EF">
        <w:rPr>
          <w:rFonts w:ascii="Calibri Light" w:eastAsia="Times New Roman" w:hAnsi="Calibri Light" w:cs="Calibri Light"/>
          <w:color w:val="000000"/>
          <w:lang w:val="en-AU"/>
        </w:rPr>
        <w:t xml:space="preserve"> 3.2</w:t>
      </w:r>
      <w:r w:rsidR="006F41EF" w:rsidRPr="008F2430">
        <w:rPr>
          <w:rFonts w:ascii="Calibri Light" w:eastAsia="Times New Roman" w:hAnsi="Calibri Light" w:cs="Calibri Light"/>
          <w:color w:val="000000"/>
          <w:lang w:val="en-AU"/>
        </w:rPr>
        <w:t>]</w:t>
      </w:r>
      <w:r w:rsidR="00CB27A1">
        <w:rPr>
          <w:rStyle w:val="FootnoteReference"/>
          <w:rFonts w:ascii="Calibri Light" w:eastAsia="Times New Roman" w:hAnsi="Calibri Light" w:cs="Calibri Light"/>
          <w:color w:val="000000"/>
          <w:lang w:val="en-AU"/>
        </w:rPr>
        <w:footnoteReference w:id="8"/>
      </w:r>
      <w:r w:rsidR="008A60EF">
        <w:rPr>
          <w:rFonts w:ascii="Calibri Light" w:eastAsia="Times New Roman" w:hAnsi="Calibri Light" w:cs="Calibri Light"/>
          <w:color w:val="000000"/>
          <w:lang w:val="en-AU"/>
        </w:rPr>
        <w:t>.</w:t>
      </w:r>
      <w:r w:rsidRPr="00DE5B68">
        <w:rPr>
          <w:rFonts w:ascii="Calibri Light" w:eastAsia="Times New Roman" w:hAnsi="Calibri Light" w:cs="Calibri Light"/>
          <w:color w:val="000000"/>
          <w:lang w:val="en-AU"/>
        </w:rPr>
        <w:t xml:space="preserve"> Case management support </w:t>
      </w:r>
      <w:r w:rsidR="00BC169F">
        <w:rPr>
          <w:rFonts w:ascii="Calibri Light" w:eastAsia="Times New Roman" w:hAnsi="Calibri Light" w:cs="Calibri Light"/>
          <w:color w:val="000000"/>
          <w:lang w:val="en-AU"/>
        </w:rPr>
        <w:t xml:space="preserve">resulted in </w:t>
      </w:r>
      <w:r w:rsidR="00425C1D">
        <w:rPr>
          <w:rFonts w:ascii="Calibri Light" w:eastAsia="Times New Roman" w:hAnsi="Calibri Light" w:cs="Calibri Light"/>
          <w:color w:val="000000"/>
          <w:lang w:val="en-AU"/>
        </w:rPr>
        <w:t>t</w:t>
      </w:r>
      <w:r w:rsidR="00425C1D" w:rsidRPr="00DE5B68">
        <w:rPr>
          <w:rFonts w:ascii="Calibri Light" w:eastAsia="Times New Roman" w:hAnsi="Calibri Light" w:cs="Calibri Light"/>
          <w:color w:val="000000"/>
          <w:lang w:val="en-AU"/>
        </w:rPr>
        <w:t xml:space="preserve">he courts and </w:t>
      </w:r>
      <w:r w:rsidR="00BC169F">
        <w:rPr>
          <w:rFonts w:ascii="Calibri Light" w:eastAsia="Times New Roman" w:hAnsi="Calibri Light" w:cs="Calibri Light"/>
          <w:color w:val="000000"/>
          <w:lang w:val="en-AU"/>
        </w:rPr>
        <w:t>Vanuatu Police Force</w:t>
      </w:r>
      <w:r w:rsidR="001D6203">
        <w:rPr>
          <w:rFonts w:ascii="Calibri Light" w:eastAsia="Times New Roman" w:hAnsi="Calibri Light" w:cs="Calibri Light"/>
          <w:color w:val="000000"/>
          <w:lang w:val="en-AU"/>
        </w:rPr>
        <w:t xml:space="preserve"> (VPF)</w:t>
      </w:r>
      <w:r w:rsidR="00BC169F">
        <w:rPr>
          <w:rFonts w:ascii="Calibri Light" w:eastAsia="Times New Roman" w:hAnsi="Calibri Light" w:cs="Calibri Light"/>
          <w:color w:val="000000"/>
          <w:lang w:val="en-AU"/>
        </w:rPr>
        <w:t xml:space="preserve"> </w:t>
      </w:r>
      <w:r w:rsidR="00425C1D" w:rsidRPr="00DE5B68">
        <w:rPr>
          <w:rFonts w:ascii="Calibri Light" w:eastAsia="Times New Roman" w:hAnsi="Calibri Light" w:cs="Calibri Light"/>
          <w:color w:val="000000"/>
          <w:lang w:val="en-AU"/>
        </w:rPr>
        <w:t xml:space="preserve">leadership </w:t>
      </w:r>
      <w:r w:rsidR="00425C1D">
        <w:rPr>
          <w:rFonts w:ascii="Calibri Light" w:eastAsia="Times New Roman" w:hAnsi="Calibri Light" w:cs="Calibri Light"/>
          <w:color w:val="000000"/>
          <w:lang w:val="en-AU"/>
        </w:rPr>
        <w:t>receiving</w:t>
      </w:r>
      <w:r w:rsidR="00425C1D" w:rsidRPr="00DE5B68">
        <w:rPr>
          <w:rFonts w:ascii="Calibri Light" w:eastAsia="Times New Roman" w:hAnsi="Calibri Light" w:cs="Calibri Light"/>
          <w:color w:val="000000"/>
          <w:lang w:val="en-AU"/>
        </w:rPr>
        <w:t xml:space="preserve"> monthly dashboard reports</w:t>
      </w:r>
      <w:r w:rsidR="00425C1D">
        <w:rPr>
          <w:rFonts w:ascii="Calibri Light" w:eastAsia="Times New Roman" w:hAnsi="Calibri Light" w:cs="Calibri Light"/>
          <w:color w:val="000000"/>
          <w:lang w:val="en-AU"/>
        </w:rPr>
        <w:t xml:space="preserve"> and all involved</w:t>
      </w:r>
      <w:r w:rsidRPr="00DE5B68">
        <w:rPr>
          <w:rFonts w:ascii="Calibri Light" w:eastAsia="Times New Roman" w:hAnsi="Calibri Light" w:cs="Calibri Light"/>
          <w:color w:val="000000"/>
          <w:lang w:val="en-AU"/>
        </w:rPr>
        <w:t xml:space="preserve"> agencies showing improvements</w:t>
      </w:r>
      <w:r w:rsidR="000F0884">
        <w:rPr>
          <w:rFonts w:ascii="Calibri Light" w:eastAsia="Times New Roman" w:hAnsi="Calibri Light" w:cs="Calibri Light"/>
          <w:color w:val="000000"/>
          <w:lang w:val="en-AU"/>
        </w:rPr>
        <w:t xml:space="preserve"> in</w:t>
      </w:r>
      <w:r w:rsidR="000F0884" w:rsidRPr="00DE5B68">
        <w:rPr>
          <w:rFonts w:ascii="Calibri Light" w:eastAsia="Times New Roman" w:hAnsi="Calibri Light" w:cs="Calibri Light"/>
          <w:color w:val="000000"/>
          <w:lang w:val="en-AU"/>
        </w:rPr>
        <w:t xml:space="preserve"> </w:t>
      </w:r>
      <w:r w:rsidR="000F0884">
        <w:rPr>
          <w:rFonts w:ascii="Calibri Light" w:eastAsia="Times New Roman" w:hAnsi="Calibri Light" w:cs="Calibri Light"/>
          <w:color w:val="000000"/>
          <w:lang w:val="en-AU"/>
        </w:rPr>
        <w:t>the</w:t>
      </w:r>
      <w:r w:rsidR="000F0884" w:rsidRPr="00DE5B68">
        <w:rPr>
          <w:rFonts w:ascii="Calibri Light" w:eastAsia="Times New Roman" w:hAnsi="Calibri Light" w:cs="Calibri Light"/>
          <w:color w:val="000000"/>
          <w:lang w:val="en-AU"/>
        </w:rPr>
        <w:t xml:space="preserve"> collection and analysis of accurate case information</w:t>
      </w:r>
      <w:r w:rsidRPr="00DE5B68">
        <w:rPr>
          <w:rFonts w:ascii="Calibri Light" w:eastAsia="Times New Roman" w:hAnsi="Calibri Light" w:cs="Calibri Light"/>
          <w:color w:val="000000"/>
          <w:lang w:val="en-AU"/>
        </w:rPr>
        <w:t>.</w:t>
      </w:r>
    </w:p>
    <w:p w:rsidR="008D5394" w:rsidRPr="008D5394" w:rsidRDefault="00DE5B68" w:rsidP="008D5394">
      <w:pPr>
        <w:suppressAutoHyphens w:val="0"/>
        <w:spacing w:before="77" w:after="0" w:line="240" w:lineRule="auto"/>
        <w:rPr>
          <w:rFonts w:ascii="Calibri Light" w:eastAsia="Times New Roman" w:hAnsi="Calibri Light" w:cs="Calibri Light"/>
          <w:color w:val="000000"/>
          <w:lang w:val="en-AU"/>
        </w:rPr>
      </w:pPr>
      <w:r w:rsidRPr="00DE5B68">
        <w:rPr>
          <w:rFonts w:ascii="Calibri Light" w:eastAsia="Times New Roman" w:hAnsi="Calibri Light" w:cs="Calibri Light"/>
          <w:b/>
          <w:color w:val="000000"/>
          <w:lang w:val="en-AU"/>
        </w:rPr>
        <w:t>Australia’s support focussed on building</w:t>
      </w:r>
      <w:r w:rsidR="00893C4F" w:rsidRPr="00893C4F">
        <w:rPr>
          <w:rFonts w:ascii="Calibri Light" w:eastAsia="Times New Roman" w:hAnsi="Calibri Light" w:cs="Calibri Light"/>
          <w:color w:val="000000"/>
          <w:lang w:val="en-AU"/>
        </w:rPr>
        <w:t xml:space="preserve"> </w:t>
      </w:r>
      <w:r w:rsidR="00893C4F" w:rsidRPr="00930E65">
        <w:rPr>
          <w:rFonts w:ascii="Calibri Light" w:eastAsia="Times New Roman" w:hAnsi="Calibri Light" w:cs="Calibri Light"/>
          <w:b/>
          <w:color w:val="000000"/>
          <w:lang w:val="en-AU"/>
        </w:rPr>
        <w:t>V</w:t>
      </w:r>
      <w:r w:rsidR="001D6203">
        <w:rPr>
          <w:rFonts w:ascii="Calibri Light" w:eastAsia="Times New Roman" w:hAnsi="Calibri Light" w:cs="Calibri Light"/>
          <w:b/>
          <w:color w:val="000000"/>
          <w:lang w:val="en-AU"/>
        </w:rPr>
        <w:t>PF</w:t>
      </w:r>
      <w:r w:rsidR="00893C4F">
        <w:rPr>
          <w:rFonts w:ascii="Calibri Light" w:eastAsia="Times New Roman" w:hAnsi="Calibri Light" w:cs="Calibri Light"/>
          <w:color w:val="000000"/>
          <w:lang w:val="en-AU"/>
        </w:rPr>
        <w:t xml:space="preserve"> </w:t>
      </w:r>
      <w:r w:rsidRPr="00DE5B68">
        <w:rPr>
          <w:rFonts w:ascii="Calibri Light" w:eastAsia="Times New Roman" w:hAnsi="Calibri Light" w:cs="Calibri Light"/>
          <w:b/>
          <w:color w:val="000000"/>
          <w:lang w:val="en-AU"/>
        </w:rPr>
        <w:t xml:space="preserve">capacity to foster a more responsive and community orientated </w:t>
      </w:r>
      <w:r w:rsidR="00707912">
        <w:rPr>
          <w:rFonts w:ascii="Calibri Light" w:eastAsia="Times New Roman" w:hAnsi="Calibri Light" w:cs="Calibri Light"/>
          <w:b/>
          <w:color w:val="000000"/>
          <w:lang w:val="en-AU"/>
        </w:rPr>
        <w:t>p</w:t>
      </w:r>
      <w:r w:rsidRPr="00DE5B68">
        <w:rPr>
          <w:rFonts w:ascii="Calibri Light" w:eastAsia="Times New Roman" w:hAnsi="Calibri Light" w:cs="Calibri Light"/>
          <w:b/>
          <w:color w:val="000000"/>
          <w:lang w:val="en-AU"/>
        </w:rPr>
        <w:t xml:space="preserve">olice </w:t>
      </w:r>
      <w:r w:rsidR="00707912">
        <w:rPr>
          <w:rFonts w:ascii="Calibri Light" w:eastAsia="Times New Roman" w:hAnsi="Calibri Light" w:cs="Calibri Light"/>
          <w:b/>
          <w:color w:val="000000"/>
          <w:lang w:val="en-AU"/>
        </w:rPr>
        <w:t>f</w:t>
      </w:r>
      <w:r w:rsidRPr="00DE5B68">
        <w:rPr>
          <w:rFonts w:ascii="Calibri Light" w:eastAsia="Times New Roman" w:hAnsi="Calibri Light" w:cs="Calibri Light"/>
          <w:b/>
          <w:color w:val="000000"/>
          <w:lang w:val="en-AU"/>
        </w:rPr>
        <w:t xml:space="preserve">orce. </w:t>
      </w:r>
      <w:r w:rsidR="00DD4364" w:rsidRPr="00DE5B68">
        <w:rPr>
          <w:rFonts w:ascii="Calibri Light" w:eastAsia="Times New Roman" w:hAnsi="Calibri Light" w:cs="Calibri Light"/>
          <w:color w:val="000000"/>
          <w:lang w:val="en-AU"/>
        </w:rPr>
        <w:t>In November 2018, Australia announced enhanced security cooperation with Vanuatu, providing additional funding for policing and infrastructure.</w:t>
      </w:r>
      <w:r w:rsidR="00DD4364">
        <w:rPr>
          <w:rFonts w:ascii="Calibri Light" w:eastAsia="Times New Roman" w:hAnsi="Calibri Light" w:cs="Calibri Light"/>
          <w:color w:val="000000"/>
          <w:lang w:val="en-AU"/>
        </w:rPr>
        <w:t xml:space="preserve"> Australia</w:t>
      </w:r>
      <w:r w:rsidRPr="00DE5B68">
        <w:rPr>
          <w:rFonts w:ascii="Calibri Light" w:eastAsia="Times New Roman" w:hAnsi="Calibri Light" w:cs="Calibri Light"/>
          <w:color w:val="000000"/>
          <w:lang w:val="en-AU"/>
        </w:rPr>
        <w:t xml:space="preserve"> supported </w:t>
      </w:r>
      <w:r w:rsidR="00DD4364">
        <w:rPr>
          <w:rFonts w:ascii="Calibri Light" w:eastAsia="Times New Roman" w:hAnsi="Calibri Light" w:cs="Calibri Light"/>
          <w:color w:val="000000"/>
          <w:lang w:val="en-AU"/>
        </w:rPr>
        <w:t xml:space="preserve">the training of </w:t>
      </w:r>
      <w:r w:rsidR="00DE739F" w:rsidRPr="00D367DD">
        <w:rPr>
          <w:rFonts w:ascii="Calibri Light" w:eastAsia="Calibri" w:hAnsi="Calibri Light" w:cs="Times New Roman"/>
          <w:color w:val="000000"/>
          <w:kern w:val="20"/>
          <w:lang w:eastAsia="ja-JP"/>
        </w:rPr>
        <w:t xml:space="preserve">187 </w:t>
      </w:r>
      <w:r w:rsidR="00707912">
        <w:rPr>
          <w:rFonts w:ascii="Calibri Light" w:eastAsia="Calibri" w:hAnsi="Calibri Light" w:cs="Times New Roman"/>
          <w:color w:val="000000"/>
          <w:kern w:val="20"/>
          <w:lang w:eastAsia="ja-JP"/>
        </w:rPr>
        <w:t xml:space="preserve">police recruits </w:t>
      </w:r>
      <w:r w:rsidR="00DE739F" w:rsidRPr="00D367DD">
        <w:rPr>
          <w:rFonts w:ascii="Calibri Light" w:eastAsia="Calibri" w:hAnsi="Calibri Light" w:cs="Times New Roman"/>
          <w:color w:val="000000"/>
          <w:kern w:val="20"/>
          <w:lang w:eastAsia="ja-JP"/>
        </w:rPr>
        <w:t>(50</w:t>
      </w:r>
      <w:r w:rsidR="00DE739F" w:rsidRPr="00892C04">
        <w:rPr>
          <w:rFonts w:ascii="Calibri Light" w:hAnsi="Calibri Light"/>
          <w:color w:val="000000"/>
          <w:kern w:val="20"/>
        </w:rPr>
        <w:t xml:space="preserve"> women) </w:t>
      </w:r>
      <w:r w:rsidRPr="00DE5B68">
        <w:rPr>
          <w:rFonts w:ascii="Calibri Light" w:eastAsia="Times New Roman" w:hAnsi="Calibri Light" w:cs="Calibri Light"/>
          <w:color w:val="000000"/>
          <w:lang w:val="en-AU"/>
        </w:rPr>
        <w:t xml:space="preserve">in the reporting period. </w:t>
      </w:r>
      <w:r w:rsidR="00DD4364">
        <w:rPr>
          <w:rFonts w:ascii="Calibri Light" w:eastAsia="Times New Roman" w:hAnsi="Calibri Light" w:cs="Calibri Light"/>
          <w:color w:val="000000"/>
          <w:lang w:val="en-AU"/>
        </w:rPr>
        <w:t>S</w:t>
      </w:r>
      <w:r w:rsidRPr="00DE5B68">
        <w:rPr>
          <w:rFonts w:ascii="Calibri Light" w:eastAsia="Times New Roman" w:hAnsi="Calibri Light" w:cs="Calibri Light"/>
          <w:color w:val="000000"/>
          <w:lang w:val="en-AU"/>
        </w:rPr>
        <w:t xml:space="preserve">upport </w:t>
      </w:r>
      <w:r w:rsidR="00DD4364">
        <w:rPr>
          <w:rFonts w:ascii="Calibri Light" w:eastAsia="Times New Roman" w:hAnsi="Calibri Light" w:cs="Calibri Light"/>
          <w:color w:val="000000"/>
          <w:lang w:val="en-AU"/>
        </w:rPr>
        <w:t xml:space="preserve">for greater mobility </w:t>
      </w:r>
      <w:r w:rsidRPr="00DE5B68">
        <w:rPr>
          <w:rFonts w:ascii="Calibri Light" w:eastAsia="Times New Roman" w:hAnsi="Calibri Light" w:cs="Calibri Light"/>
          <w:color w:val="000000"/>
          <w:lang w:val="en-AU"/>
        </w:rPr>
        <w:t>enabled 92</w:t>
      </w:r>
      <w:r w:rsidR="00893C4F">
        <w:rPr>
          <w:rFonts w:ascii="Calibri Light" w:eastAsia="Times New Roman" w:hAnsi="Calibri Light" w:cs="Calibri Light"/>
          <w:color w:val="000000"/>
          <w:lang w:val="en-AU"/>
        </w:rPr>
        <w:t xml:space="preserve"> per cent</w:t>
      </w:r>
      <w:r w:rsidRPr="00DE5B68">
        <w:rPr>
          <w:rFonts w:ascii="Calibri Light" w:eastAsia="Times New Roman" w:hAnsi="Calibri Light" w:cs="Calibri Light"/>
          <w:color w:val="000000"/>
          <w:lang w:val="en-AU"/>
        </w:rPr>
        <w:t xml:space="preserve"> (150/168) of summons to be served by </w:t>
      </w:r>
      <w:r w:rsidR="00DD4364">
        <w:rPr>
          <w:rFonts w:ascii="Calibri Light" w:eastAsia="Times New Roman" w:hAnsi="Calibri Light" w:cs="Calibri Light"/>
          <w:color w:val="000000"/>
          <w:lang w:val="en-AU"/>
        </w:rPr>
        <w:t xml:space="preserve">the </w:t>
      </w:r>
      <w:r w:rsidRPr="00DE5B68">
        <w:rPr>
          <w:rFonts w:ascii="Calibri Light" w:eastAsia="Times New Roman" w:hAnsi="Calibri Light" w:cs="Calibri Light"/>
          <w:color w:val="000000"/>
          <w:lang w:val="en-AU"/>
        </w:rPr>
        <w:t>S</w:t>
      </w:r>
      <w:r w:rsidR="00DD4364">
        <w:rPr>
          <w:rFonts w:ascii="Calibri Light" w:eastAsia="Times New Roman" w:hAnsi="Calibri Light" w:cs="Calibri Light"/>
          <w:color w:val="000000"/>
          <w:lang w:val="en-AU"/>
        </w:rPr>
        <w:t xml:space="preserve">tate </w:t>
      </w:r>
      <w:r w:rsidRPr="00DE5B68">
        <w:rPr>
          <w:rFonts w:ascii="Calibri Light" w:eastAsia="Times New Roman" w:hAnsi="Calibri Light" w:cs="Calibri Light"/>
          <w:color w:val="000000"/>
          <w:lang w:val="en-AU"/>
        </w:rPr>
        <w:t>P</w:t>
      </w:r>
      <w:r w:rsidR="00DD4364">
        <w:rPr>
          <w:rFonts w:ascii="Calibri Light" w:eastAsia="Times New Roman" w:hAnsi="Calibri Light" w:cs="Calibri Light"/>
          <w:color w:val="000000"/>
          <w:lang w:val="en-AU"/>
        </w:rPr>
        <w:t xml:space="preserve">rosecutions </w:t>
      </w:r>
      <w:r w:rsidRPr="00DE5B68">
        <w:rPr>
          <w:rFonts w:ascii="Calibri Light" w:eastAsia="Times New Roman" w:hAnsi="Calibri Light" w:cs="Calibri Light"/>
          <w:color w:val="000000"/>
          <w:lang w:val="en-AU"/>
        </w:rPr>
        <w:t>D</w:t>
      </w:r>
      <w:r w:rsidR="00DD4364">
        <w:rPr>
          <w:rFonts w:ascii="Calibri Light" w:eastAsia="Times New Roman" w:hAnsi="Calibri Light" w:cs="Calibri Light"/>
          <w:color w:val="000000"/>
          <w:lang w:val="en-AU"/>
        </w:rPr>
        <w:t>epartment</w:t>
      </w:r>
      <w:r w:rsidRPr="00DE5B68">
        <w:rPr>
          <w:rFonts w:ascii="Calibri Light" w:eastAsia="Times New Roman" w:hAnsi="Calibri Light" w:cs="Calibri Light"/>
          <w:color w:val="000000"/>
          <w:lang w:val="en-AU"/>
        </w:rPr>
        <w:t xml:space="preserve">, remedying a </w:t>
      </w:r>
      <w:r w:rsidR="00DD4364">
        <w:rPr>
          <w:rFonts w:ascii="Calibri Light" w:eastAsia="Times New Roman" w:hAnsi="Calibri Light" w:cs="Calibri Light"/>
          <w:color w:val="000000"/>
          <w:lang w:val="en-AU"/>
        </w:rPr>
        <w:t xml:space="preserve">large </w:t>
      </w:r>
      <w:r w:rsidRPr="00DE5B68">
        <w:rPr>
          <w:rFonts w:ascii="Calibri Light" w:eastAsia="Times New Roman" w:hAnsi="Calibri Light" w:cs="Calibri Light"/>
          <w:color w:val="000000"/>
          <w:lang w:val="en-AU"/>
        </w:rPr>
        <w:t xml:space="preserve">backlog. </w:t>
      </w:r>
    </w:p>
    <w:p w:rsidR="008D5394" w:rsidRDefault="00DE5B68" w:rsidP="008D5394">
      <w:pPr>
        <w:suppressAutoHyphens w:val="0"/>
        <w:spacing w:before="77" w:after="0" w:line="240" w:lineRule="auto"/>
        <w:rPr>
          <w:rFonts w:ascii="Calibri Light" w:eastAsia="Times New Roman" w:hAnsi="Calibri Light" w:cs="Calibri Light"/>
          <w:color w:val="000000"/>
          <w:lang w:val="en-AU"/>
        </w:rPr>
      </w:pPr>
      <w:r w:rsidRPr="00DE5B68">
        <w:rPr>
          <w:rFonts w:ascii="Calibri Light" w:eastAsia="Times New Roman" w:hAnsi="Calibri Light" w:cs="Calibri Light"/>
          <w:b/>
          <w:color w:val="000000"/>
          <w:lang w:val="en-AU"/>
        </w:rPr>
        <w:t>Women, children and youth in Vanuatu face additional challenges in accessing justice with 80</w:t>
      </w:r>
      <w:r w:rsidR="00EB387A">
        <w:rPr>
          <w:rFonts w:ascii="Calibri Light" w:eastAsia="Times New Roman" w:hAnsi="Calibri Light" w:cs="Calibri Light"/>
          <w:b/>
          <w:color w:val="000000"/>
          <w:lang w:val="en-AU"/>
        </w:rPr>
        <w:t xml:space="preserve"> per cent</w:t>
      </w:r>
      <w:r w:rsidRPr="00DE5B68">
        <w:rPr>
          <w:rFonts w:ascii="Calibri Light" w:eastAsia="Times New Roman" w:hAnsi="Calibri Light" w:cs="Calibri Light"/>
          <w:b/>
          <w:color w:val="000000"/>
          <w:lang w:val="en-AU"/>
        </w:rPr>
        <w:t xml:space="preserve"> </w:t>
      </w:r>
      <w:r w:rsidR="005266A2">
        <w:rPr>
          <w:rFonts w:ascii="Calibri Light" w:eastAsia="Times New Roman" w:hAnsi="Calibri Light" w:cs="Calibri Light"/>
          <w:b/>
          <w:color w:val="000000"/>
          <w:lang w:val="en-AU"/>
        </w:rPr>
        <w:t xml:space="preserve">of the </w:t>
      </w:r>
      <w:r w:rsidRPr="00DE5B68">
        <w:rPr>
          <w:rFonts w:ascii="Calibri Light" w:eastAsia="Times New Roman" w:hAnsi="Calibri Light" w:cs="Calibri Light"/>
          <w:b/>
          <w:color w:val="000000"/>
          <w:lang w:val="en-AU"/>
        </w:rPr>
        <w:t xml:space="preserve">criminal caseload </w:t>
      </w:r>
      <w:r w:rsidR="00FE2B1E">
        <w:rPr>
          <w:rFonts w:ascii="Calibri Light" w:eastAsia="Times New Roman" w:hAnsi="Calibri Light" w:cs="Calibri Light"/>
          <w:b/>
          <w:color w:val="000000"/>
          <w:lang w:val="en-AU"/>
        </w:rPr>
        <w:t>involving</w:t>
      </w:r>
      <w:r w:rsidR="00FE2B1E" w:rsidRPr="00DE5B68">
        <w:rPr>
          <w:rFonts w:ascii="Calibri Light" w:eastAsia="Times New Roman" w:hAnsi="Calibri Light" w:cs="Calibri Light"/>
          <w:b/>
          <w:color w:val="000000"/>
          <w:lang w:val="en-AU"/>
        </w:rPr>
        <w:t xml:space="preserve"> </w:t>
      </w:r>
      <w:r w:rsidRPr="00DE5B68">
        <w:rPr>
          <w:rFonts w:ascii="Calibri Light" w:eastAsia="Times New Roman" w:hAnsi="Calibri Light" w:cs="Calibri Light"/>
          <w:b/>
          <w:color w:val="000000"/>
          <w:lang w:val="en-AU"/>
        </w:rPr>
        <w:t>family and sexual violence.</w:t>
      </w:r>
      <w:r w:rsidRPr="00DE5B68">
        <w:rPr>
          <w:rFonts w:ascii="Calibri Light" w:eastAsia="Times New Roman" w:hAnsi="Calibri Light" w:cs="Calibri Light"/>
          <w:color w:val="000000"/>
          <w:lang w:val="en-AU"/>
        </w:rPr>
        <w:t xml:space="preserve"> </w:t>
      </w:r>
      <w:r w:rsidR="00560088">
        <w:rPr>
          <w:rFonts w:ascii="Calibri Light" w:eastAsia="Times New Roman" w:hAnsi="Calibri Light" w:cs="Calibri Light"/>
          <w:color w:val="000000"/>
          <w:lang w:val="en-AU"/>
        </w:rPr>
        <w:t>Australia</w:t>
      </w:r>
      <w:r w:rsidRPr="00DE5B68">
        <w:rPr>
          <w:rFonts w:ascii="Calibri Light" w:eastAsia="Times New Roman" w:hAnsi="Calibri Light" w:cs="Calibri Light"/>
          <w:color w:val="000000"/>
          <w:lang w:val="en-AU"/>
        </w:rPr>
        <w:t xml:space="preserve"> supported </w:t>
      </w:r>
      <w:r w:rsidR="001D6203">
        <w:rPr>
          <w:rFonts w:ascii="Calibri Light" w:eastAsia="Times New Roman" w:hAnsi="Calibri Light" w:cs="Calibri Light"/>
          <w:color w:val="000000"/>
          <w:lang w:val="en-AU"/>
        </w:rPr>
        <w:t>the pilot</w:t>
      </w:r>
      <w:r w:rsidR="000F0884">
        <w:rPr>
          <w:rFonts w:ascii="Calibri Light" w:eastAsia="Times New Roman" w:hAnsi="Calibri Light" w:cs="Calibri Light"/>
          <w:color w:val="000000"/>
          <w:lang w:val="en-AU"/>
        </w:rPr>
        <w:t xml:space="preserve"> and evaluat</w:t>
      </w:r>
      <w:r w:rsidR="001D6203">
        <w:rPr>
          <w:rFonts w:ascii="Calibri Light" w:eastAsia="Times New Roman" w:hAnsi="Calibri Light" w:cs="Calibri Light"/>
          <w:color w:val="000000"/>
          <w:lang w:val="en-AU"/>
        </w:rPr>
        <w:t>ion of a</w:t>
      </w:r>
      <w:r w:rsidR="000F0884" w:rsidRPr="00DE5B68">
        <w:rPr>
          <w:rFonts w:ascii="Calibri Light" w:eastAsia="Times New Roman" w:hAnsi="Calibri Light" w:cs="Calibri Light"/>
          <w:color w:val="000000"/>
          <w:lang w:val="en-AU"/>
        </w:rPr>
        <w:t xml:space="preserve"> </w:t>
      </w:r>
      <w:r w:rsidR="00B63ECD">
        <w:rPr>
          <w:rFonts w:ascii="Calibri Light" w:eastAsia="Times New Roman" w:hAnsi="Calibri Light" w:cs="Calibri Light"/>
          <w:color w:val="000000"/>
          <w:lang w:val="en-AU"/>
        </w:rPr>
        <w:t xml:space="preserve">community and formal justice </w:t>
      </w:r>
      <w:r w:rsidR="000F0884" w:rsidRPr="00DE5B68">
        <w:rPr>
          <w:rFonts w:ascii="Calibri Light" w:eastAsia="Times New Roman" w:hAnsi="Calibri Light" w:cs="Calibri Light"/>
          <w:color w:val="000000"/>
          <w:lang w:val="en-AU"/>
        </w:rPr>
        <w:t>cooperation</w:t>
      </w:r>
      <w:r w:rsidR="000F0884">
        <w:rPr>
          <w:rFonts w:ascii="Calibri Light" w:eastAsia="Times New Roman" w:hAnsi="Calibri Light" w:cs="Calibri Light"/>
          <w:color w:val="000000"/>
          <w:lang w:val="en-AU"/>
        </w:rPr>
        <w:t xml:space="preserve"> </w:t>
      </w:r>
      <w:r w:rsidR="001D6203">
        <w:rPr>
          <w:rFonts w:ascii="Calibri Light" w:eastAsia="Times New Roman" w:hAnsi="Calibri Light" w:cs="Calibri Light"/>
          <w:color w:val="000000"/>
          <w:lang w:val="en-AU"/>
        </w:rPr>
        <w:t xml:space="preserve">model </w:t>
      </w:r>
      <w:r w:rsidR="00B63ECD">
        <w:rPr>
          <w:rFonts w:ascii="Calibri Light" w:eastAsia="Times New Roman" w:hAnsi="Calibri Light" w:cs="Calibri Light"/>
          <w:color w:val="000000"/>
          <w:lang w:val="en-AU"/>
        </w:rPr>
        <w:t>for domestic violence protection</w:t>
      </w:r>
      <w:r w:rsidR="001D6203">
        <w:rPr>
          <w:rFonts w:ascii="Calibri Light" w:eastAsia="Times New Roman" w:hAnsi="Calibri Light" w:cs="Calibri Light"/>
          <w:color w:val="000000"/>
          <w:lang w:val="en-AU"/>
        </w:rPr>
        <w:t>,</w:t>
      </w:r>
      <w:r w:rsidR="00B63ECD">
        <w:rPr>
          <w:rFonts w:ascii="Calibri Light" w:eastAsia="Times New Roman" w:hAnsi="Calibri Light" w:cs="Calibri Light"/>
          <w:color w:val="000000"/>
          <w:lang w:val="en-AU"/>
        </w:rPr>
        <w:t xml:space="preserve"> provided </w:t>
      </w:r>
      <w:r w:rsidR="000F0884">
        <w:rPr>
          <w:rFonts w:ascii="Calibri Light" w:eastAsia="Calibri" w:hAnsi="Calibri Light" w:cs="Calibri Light"/>
          <w:iCs/>
          <w:color w:val="000000"/>
          <w:lang w:val="en-US"/>
        </w:rPr>
        <w:t>for under</w:t>
      </w:r>
      <w:r w:rsidR="000F0884" w:rsidRPr="00DE5B68">
        <w:rPr>
          <w:rFonts w:ascii="Calibri Light" w:eastAsia="Times New Roman" w:hAnsi="Calibri Light" w:cs="Calibri Light"/>
          <w:color w:val="000000"/>
          <w:lang w:val="en-AU"/>
        </w:rPr>
        <w:t xml:space="preserve"> the Family Protection Act 2008</w:t>
      </w:r>
      <w:r w:rsidR="00B63ECD">
        <w:rPr>
          <w:rFonts w:ascii="Calibri Light" w:eastAsia="Times New Roman" w:hAnsi="Calibri Light" w:cs="Calibri Light"/>
          <w:color w:val="000000"/>
          <w:lang w:val="en-AU"/>
        </w:rPr>
        <w:t>.</w:t>
      </w:r>
      <w:r w:rsidRPr="00DE5B68">
        <w:rPr>
          <w:rFonts w:ascii="Calibri Light" w:eastAsia="Times New Roman" w:hAnsi="Calibri Light" w:cs="Calibri Light"/>
          <w:color w:val="000000"/>
          <w:lang w:val="en-AU"/>
        </w:rPr>
        <w:t xml:space="preserve"> </w:t>
      </w:r>
      <w:r w:rsidR="00B63ECD">
        <w:rPr>
          <w:rFonts w:ascii="Calibri Light" w:eastAsia="Times New Roman" w:hAnsi="Calibri Light" w:cs="Calibri Light"/>
          <w:color w:val="000000"/>
          <w:lang w:val="en-AU"/>
        </w:rPr>
        <w:t>In 2018, t</w:t>
      </w:r>
      <w:r w:rsidRPr="00DE5B68">
        <w:rPr>
          <w:rFonts w:ascii="Calibri Light" w:eastAsia="Times New Roman" w:hAnsi="Calibri Light" w:cs="Calibri Light"/>
          <w:color w:val="000000"/>
          <w:lang w:val="en-AU"/>
        </w:rPr>
        <w:t xml:space="preserve">he pilot </w:t>
      </w:r>
      <w:r w:rsidR="00BC169F">
        <w:rPr>
          <w:rFonts w:ascii="Calibri Light" w:eastAsia="Times New Roman" w:hAnsi="Calibri Light" w:cs="Calibri Light"/>
          <w:color w:val="000000"/>
          <w:lang w:val="en-AU"/>
        </w:rPr>
        <w:t xml:space="preserve">enabled </w:t>
      </w:r>
      <w:r w:rsidR="00B63ECD">
        <w:rPr>
          <w:rFonts w:ascii="Calibri Light" w:eastAsia="Times New Roman" w:hAnsi="Calibri Light" w:cs="Calibri Light"/>
          <w:color w:val="000000"/>
          <w:lang w:val="en-AU"/>
        </w:rPr>
        <w:t>12</w:t>
      </w:r>
      <w:r w:rsidR="00B63ECD" w:rsidRPr="000E616C">
        <w:rPr>
          <w:rFonts w:ascii="Calibri Light" w:eastAsia="Times New Roman" w:hAnsi="Calibri Light" w:cs="Calibri Light"/>
          <w:color w:val="000000"/>
          <w:lang w:val="en-AU"/>
        </w:rPr>
        <w:t xml:space="preserve"> </w:t>
      </w:r>
      <w:r w:rsidR="00B63ECD">
        <w:rPr>
          <w:rFonts w:ascii="Calibri Light" w:eastAsia="Times New Roman" w:hAnsi="Calibri Light" w:cs="Calibri Light"/>
          <w:color w:val="000000"/>
          <w:lang w:val="en-AU"/>
        </w:rPr>
        <w:t xml:space="preserve">community members </w:t>
      </w:r>
      <w:r w:rsidR="00BC169F">
        <w:rPr>
          <w:rFonts w:ascii="Calibri Light" w:eastAsia="Times New Roman" w:hAnsi="Calibri Light" w:cs="Calibri Light"/>
          <w:color w:val="000000"/>
          <w:lang w:val="en-AU"/>
        </w:rPr>
        <w:t xml:space="preserve">to be </w:t>
      </w:r>
      <w:r w:rsidR="00B63ECD">
        <w:rPr>
          <w:rFonts w:ascii="Calibri Light" w:eastAsia="Times New Roman" w:hAnsi="Calibri Light" w:cs="Calibri Light"/>
          <w:color w:val="000000"/>
          <w:lang w:val="en-AU"/>
        </w:rPr>
        <w:t xml:space="preserve">appointed as </w:t>
      </w:r>
      <w:r w:rsidR="00B63ECD" w:rsidRPr="00DE5B68">
        <w:rPr>
          <w:rFonts w:ascii="Calibri Light" w:eastAsia="Calibri" w:hAnsi="Calibri Light" w:cs="Calibri Light"/>
          <w:iCs/>
          <w:color w:val="000000"/>
          <w:lang w:val="en-US"/>
        </w:rPr>
        <w:t xml:space="preserve">Authorised Persons </w:t>
      </w:r>
      <w:r w:rsidR="001D6203">
        <w:rPr>
          <w:rFonts w:ascii="Calibri Light" w:eastAsia="Calibri" w:hAnsi="Calibri Light" w:cs="Calibri Light"/>
          <w:iCs/>
          <w:color w:val="000000"/>
          <w:lang w:val="en-US"/>
        </w:rPr>
        <w:t xml:space="preserve">(APs) </w:t>
      </w:r>
      <w:r w:rsidR="00B63ECD" w:rsidRPr="00DE5B68">
        <w:rPr>
          <w:rFonts w:ascii="Calibri Light" w:eastAsia="Calibri" w:hAnsi="Calibri Light" w:cs="Calibri Light"/>
          <w:iCs/>
          <w:color w:val="000000"/>
          <w:lang w:val="en-US"/>
        </w:rPr>
        <w:t>and Registered Counsellors</w:t>
      </w:r>
      <w:r w:rsidR="00EB387A">
        <w:rPr>
          <w:rFonts w:ascii="Calibri Light" w:eastAsia="Calibri" w:hAnsi="Calibri Light" w:cs="Calibri Light"/>
          <w:iCs/>
          <w:color w:val="000000"/>
          <w:lang w:val="en-US"/>
        </w:rPr>
        <w:t>. They</w:t>
      </w:r>
      <w:r w:rsidRPr="00DE5B68">
        <w:rPr>
          <w:rFonts w:ascii="Calibri Light" w:eastAsia="Times New Roman" w:hAnsi="Calibri Light" w:cs="Calibri Light"/>
          <w:color w:val="000000"/>
          <w:lang w:val="en-AU"/>
        </w:rPr>
        <w:t xml:space="preserve"> issue</w:t>
      </w:r>
      <w:r w:rsidR="00EB387A">
        <w:rPr>
          <w:rFonts w:ascii="Calibri Light" w:eastAsia="Times New Roman" w:hAnsi="Calibri Light" w:cs="Calibri Light"/>
          <w:color w:val="000000"/>
          <w:lang w:val="en-AU"/>
        </w:rPr>
        <w:t>d</w:t>
      </w:r>
      <w:r w:rsidRPr="00DE5B68">
        <w:rPr>
          <w:rFonts w:ascii="Calibri Light" w:eastAsia="Times New Roman" w:hAnsi="Calibri Light" w:cs="Calibri Light"/>
          <w:color w:val="000000"/>
          <w:lang w:val="en-AU"/>
        </w:rPr>
        <w:t xml:space="preserve"> </w:t>
      </w:r>
      <w:r w:rsidR="000F0884">
        <w:rPr>
          <w:rFonts w:ascii="Calibri Light" w:eastAsia="Times New Roman" w:hAnsi="Calibri Light" w:cs="Calibri Light"/>
          <w:color w:val="000000"/>
          <w:lang w:val="en-AU"/>
        </w:rPr>
        <w:t xml:space="preserve">79 </w:t>
      </w:r>
      <w:r w:rsidRPr="00DE5B68">
        <w:rPr>
          <w:rFonts w:ascii="Calibri Light" w:eastAsia="Times New Roman" w:hAnsi="Calibri Light" w:cs="Calibri Light"/>
          <w:color w:val="000000"/>
          <w:lang w:val="en-AU"/>
        </w:rPr>
        <w:t xml:space="preserve">Temporary Protection Orders </w:t>
      </w:r>
      <w:r w:rsidR="00EB387A">
        <w:rPr>
          <w:rFonts w:ascii="Calibri Light" w:eastAsia="Times New Roman" w:hAnsi="Calibri Light" w:cs="Calibri Light"/>
          <w:color w:val="000000"/>
          <w:lang w:val="en-AU"/>
        </w:rPr>
        <w:t xml:space="preserve">which </w:t>
      </w:r>
      <w:r w:rsidR="000F0884">
        <w:rPr>
          <w:rFonts w:ascii="Calibri Light" w:eastAsia="Times New Roman" w:hAnsi="Calibri Light" w:cs="Calibri Light"/>
          <w:color w:val="000000"/>
          <w:lang w:val="en-AU"/>
        </w:rPr>
        <w:lastRenderedPageBreak/>
        <w:t>protect</w:t>
      </w:r>
      <w:r w:rsidR="00EB387A">
        <w:rPr>
          <w:rFonts w:ascii="Calibri Light" w:eastAsia="Times New Roman" w:hAnsi="Calibri Light" w:cs="Calibri Light"/>
          <w:color w:val="000000"/>
          <w:lang w:val="en-AU"/>
        </w:rPr>
        <w:t>ed</w:t>
      </w:r>
      <w:r w:rsidR="000F0884" w:rsidRPr="00DE5B68">
        <w:rPr>
          <w:rFonts w:ascii="Calibri Light" w:eastAsia="Times New Roman" w:hAnsi="Calibri Light" w:cs="Calibri Light"/>
          <w:color w:val="000000"/>
          <w:lang w:val="en-AU"/>
        </w:rPr>
        <w:t xml:space="preserve"> </w:t>
      </w:r>
      <w:r w:rsidR="008D5394">
        <w:rPr>
          <w:rFonts w:ascii="Calibri Light" w:eastAsia="Times New Roman" w:hAnsi="Calibri Light" w:cs="Calibri Light"/>
          <w:color w:val="000000"/>
          <w:lang w:val="en-AU"/>
        </w:rPr>
        <w:t>70 </w:t>
      </w:r>
      <w:r w:rsidRPr="00DE5B68">
        <w:rPr>
          <w:rFonts w:ascii="Calibri Light" w:eastAsia="Times New Roman" w:hAnsi="Calibri Light" w:cs="Calibri Light"/>
          <w:color w:val="000000"/>
          <w:lang w:val="en-AU"/>
        </w:rPr>
        <w:t>women, 9 men and 5 children</w:t>
      </w:r>
      <w:r w:rsidR="000F0884">
        <w:rPr>
          <w:rFonts w:ascii="Calibri Light" w:eastAsia="Times New Roman" w:hAnsi="Calibri Light" w:cs="Calibri Light"/>
          <w:color w:val="000000"/>
          <w:lang w:val="en-AU"/>
        </w:rPr>
        <w:t xml:space="preserve"> affected by domestic violence</w:t>
      </w:r>
      <w:r w:rsidRPr="00DE5B68">
        <w:rPr>
          <w:rFonts w:ascii="Calibri Light" w:eastAsia="Times New Roman" w:hAnsi="Calibri Light" w:cs="Calibri Light"/>
          <w:color w:val="000000"/>
          <w:lang w:val="en-AU"/>
        </w:rPr>
        <w:t xml:space="preserve">. </w:t>
      </w:r>
      <w:r w:rsidR="00215FED" w:rsidRPr="00D367DD">
        <w:rPr>
          <w:rFonts w:ascii="Calibri Light" w:eastAsia="Times New Roman" w:hAnsi="Calibri Light" w:cs="Calibri Light"/>
          <w:color w:val="000000"/>
          <w:lang w:val="en-AU"/>
        </w:rPr>
        <w:t>An</w:t>
      </w:r>
      <w:r w:rsidR="003A1E88">
        <w:rPr>
          <w:rFonts w:ascii="Calibri Light" w:eastAsia="Times New Roman" w:hAnsi="Calibri Light" w:cs="Calibri Light"/>
          <w:color w:val="000000"/>
          <w:lang w:val="en-AU"/>
        </w:rPr>
        <w:t xml:space="preserve"> e</w:t>
      </w:r>
      <w:r w:rsidRPr="00DE5B68">
        <w:rPr>
          <w:rFonts w:ascii="Calibri Light" w:eastAsia="Times New Roman" w:hAnsi="Calibri Light" w:cs="Calibri Light"/>
          <w:color w:val="000000"/>
          <w:lang w:val="en-AU"/>
        </w:rPr>
        <w:t>valuation</w:t>
      </w:r>
      <w:r w:rsidR="00215FED" w:rsidRPr="00D367DD">
        <w:rPr>
          <w:rFonts w:ascii="Calibri Light" w:eastAsia="Times New Roman" w:hAnsi="Calibri Light" w:cs="Calibri Light"/>
          <w:color w:val="000000"/>
          <w:lang w:val="en-AU"/>
        </w:rPr>
        <w:t xml:space="preserve"> </w:t>
      </w:r>
      <w:r w:rsidR="000F0884">
        <w:rPr>
          <w:rFonts w:ascii="Calibri Light" w:eastAsia="Times New Roman" w:hAnsi="Calibri Light" w:cs="Calibri Light"/>
          <w:color w:val="000000"/>
          <w:lang w:val="en-AU"/>
        </w:rPr>
        <w:t>reported</w:t>
      </w:r>
      <w:r w:rsidRPr="00DE5B68">
        <w:rPr>
          <w:rFonts w:ascii="Calibri Light" w:eastAsia="Times New Roman" w:hAnsi="Calibri Light" w:cs="Calibri Light"/>
          <w:color w:val="000000"/>
          <w:lang w:val="en-AU"/>
        </w:rPr>
        <w:t xml:space="preserve"> that </w:t>
      </w:r>
      <w:r w:rsidR="000F0884">
        <w:rPr>
          <w:rFonts w:ascii="Calibri Light" w:eastAsia="Times New Roman" w:hAnsi="Calibri Light" w:cs="Calibri Light"/>
          <w:color w:val="000000"/>
          <w:lang w:val="en-AU"/>
        </w:rPr>
        <w:t xml:space="preserve">the work of </w:t>
      </w:r>
      <w:r w:rsidR="00EB387A">
        <w:rPr>
          <w:rFonts w:ascii="Calibri Light" w:eastAsia="Times New Roman" w:hAnsi="Calibri Light" w:cs="Calibri Light"/>
          <w:color w:val="000000"/>
          <w:lang w:val="en-AU"/>
        </w:rPr>
        <w:t>these roles</w:t>
      </w:r>
      <w:r w:rsidRPr="00DE5B68">
        <w:rPr>
          <w:rFonts w:ascii="Calibri Light" w:eastAsia="Times New Roman" w:hAnsi="Calibri Light" w:cs="Calibri Light"/>
          <w:color w:val="000000"/>
          <w:lang w:val="en-AU"/>
        </w:rPr>
        <w:t xml:space="preserve"> had increased police performance and community security</w:t>
      </w:r>
      <w:r w:rsidR="00EB387A">
        <w:rPr>
          <w:rFonts w:ascii="Calibri Light" w:eastAsia="Times New Roman" w:hAnsi="Calibri Light" w:cs="Calibri Light"/>
          <w:color w:val="000000"/>
          <w:lang w:val="en-AU"/>
        </w:rPr>
        <w:t xml:space="preserve">, with </w:t>
      </w:r>
      <w:r w:rsidR="00B63ECD" w:rsidRPr="00DE5B68">
        <w:rPr>
          <w:rFonts w:ascii="Calibri Light" w:eastAsia="Times New Roman" w:hAnsi="Calibri Light" w:cs="Calibri Light"/>
          <w:color w:val="000000"/>
          <w:lang w:val="en-AU"/>
        </w:rPr>
        <w:t>strong community support to continue the pilot</w:t>
      </w:r>
      <w:r w:rsidRPr="00DE5B68">
        <w:rPr>
          <w:rFonts w:ascii="Calibri Light" w:eastAsia="Times New Roman" w:hAnsi="Calibri Light" w:cs="Calibri Light"/>
          <w:color w:val="000000"/>
          <w:lang w:val="en-AU"/>
        </w:rPr>
        <w:t>.</w:t>
      </w:r>
      <w:r w:rsidR="00B63ECD">
        <w:rPr>
          <w:rFonts w:ascii="Calibri Light" w:eastAsia="Times New Roman" w:hAnsi="Calibri Light" w:cs="Calibri Light"/>
          <w:color w:val="000000"/>
          <w:lang w:val="en-AU"/>
        </w:rPr>
        <w:t xml:space="preserve"> Trials of p</w:t>
      </w:r>
      <w:r w:rsidRPr="00DE5B68">
        <w:rPr>
          <w:rFonts w:ascii="Calibri Light" w:eastAsia="Times New Roman" w:hAnsi="Calibri Light" w:cs="Calibri Light"/>
          <w:color w:val="000000"/>
          <w:lang w:val="en-AU"/>
        </w:rPr>
        <w:t>olice rotation</w:t>
      </w:r>
      <w:r w:rsidR="000F0884">
        <w:rPr>
          <w:rFonts w:ascii="Calibri Light" w:eastAsia="Times New Roman" w:hAnsi="Calibri Light" w:cs="Calibri Light"/>
          <w:color w:val="000000"/>
          <w:lang w:val="en-AU"/>
        </w:rPr>
        <w:t xml:space="preserve">s to </w:t>
      </w:r>
      <w:r w:rsidR="00B63ECD">
        <w:rPr>
          <w:rFonts w:ascii="Calibri Light" w:eastAsia="Times New Roman" w:hAnsi="Calibri Light" w:cs="Calibri Light"/>
          <w:color w:val="000000"/>
          <w:lang w:val="en-AU"/>
        </w:rPr>
        <w:t xml:space="preserve">communities with </w:t>
      </w:r>
      <w:r w:rsidR="00EB387A" w:rsidRPr="00DE5B68">
        <w:rPr>
          <w:rFonts w:ascii="Calibri Light" w:eastAsia="Calibri" w:hAnsi="Calibri Light" w:cs="Calibri Light"/>
          <w:iCs/>
          <w:color w:val="000000"/>
          <w:lang w:val="en-US"/>
        </w:rPr>
        <w:t>A</w:t>
      </w:r>
      <w:r w:rsidR="001D6203">
        <w:rPr>
          <w:rFonts w:ascii="Calibri Light" w:eastAsia="Calibri" w:hAnsi="Calibri Light" w:cs="Calibri Light"/>
          <w:iCs/>
          <w:color w:val="000000"/>
          <w:lang w:val="en-US"/>
        </w:rPr>
        <w:t>P</w:t>
      </w:r>
      <w:r w:rsidR="00EB387A" w:rsidRPr="00DE5B68">
        <w:rPr>
          <w:rFonts w:ascii="Calibri Light" w:eastAsia="Calibri" w:hAnsi="Calibri Light" w:cs="Calibri Light"/>
          <w:iCs/>
          <w:color w:val="000000"/>
          <w:lang w:val="en-US"/>
        </w:rPr>
        <w:t xml:space="preserve">s </w:t>
      </w:r>
      <w:r w:rsidR="000F0884">
        <w:rPr>
          <w:rFonts w:ascii="Calibri Light" w:eastAsia="Times New Roman" w:hAnsi="Calibri Light" w:cs="Calibri Light"/>
          <w:color w:val="000000"/>
          <w:lang w:val="en-AU"/>
        </w:rPr>
        <w:t>we</w:t>
      </w:r>
      <w:r w:rsidRPr="00DE5B68">
        <w:rPr>
          <w:rFonts w:ascii="Calibri Light" w:eastAsia="Times New Roman" w:hAnsi="Calibri Light" w:cs="Calibri Light"/>
          <w:color w:val="000000"/>
          <w:lang w:val="en-AU"/>
        </w:rPr>
        <w:t>re seen to increase access to police services and led to increased trust and confidence in the police (78</w:t>
      </w:r>
      <w:r w:rsidR="00EB387A">
        <w:rPr>
          <w:rFonts w:ascii="Calibri Light" w:eastAsia="Times New Roman" w:hAnsi="Calibri Light" w:cs="Calibri Light"/>
          <w:color w:val="000000"/>
          <w:lang w:val="en-AU"/>
        </w:rPr>
        <w:t xml:space="preserve"> per cent</w:t>
      </w:r>
      <w:r w:rsidRPr="00DE5B68">
        <w:rPr>
          <w:rFonts w:ascii="Calibri Light" w:eastAsia="Times New Roman" w:hAnsi="Calibri Light" w:cs="Calibri Light"/>
          <w:color w:val="000000"/>
          <w:lang w:val="en-AU"/>
        </w:rPr>
        <w:t xml:space="preserve"> community; 85</w:t>
      </w:r>
      <w:r w:rsidR="00EB387A">
        <w:rPr>
          <w:rFonts w:ascii="Calibri Light" w:eastAsia="Times New Roman" w:hAnsi="Calibri Light" w:cs="Calibri Light"/>
          <w:color w:val="000000"/>
          <w:lang w:val="en-AU"/>
        </w:rPr>
        <w:t xml:space="preserve"> per cent</w:t>
      </w:r>
      <w:r w:rsidRPr="00DE5B68">
        <w:rPr>
          <w:rFonts w:ascii="Calibri Light" w:eastAsia="Times New Roman" w:hAnsi="Calibri Light" w:cs="Calibri Light"/>
          <w:color w:val="000000"/>
          <w:lang w:val="en-AU"/>
        </w:rPr>
        <w:t xml:space="preserve"> leaders said rotations </w:t>
      </w:r>
      <w:r w:rsidR="00A00762">
        <w:rPr>
          <w:rFonts w:ascii="Calibri Light" w:eastAsia="Times New Roman" w:hAnsi="Calibri Light" w:cs="Calibri Light"/>
          <w:color w:val="000000"/>
          <w:lang w:val="en-AU"/>
        </w:rPr>
        <w:t xml:space="preserve">were </w:t>
      </w:r>
      <w:r w:rsidRPr="00DE5B68">
        <w:rPr>
          <w:rFonts w:ascii="Calibri Light" w:eastAsia="Times New Roman" w:hAnsi="Calibri Light" w:cs="Calibri Light"/>
          <w:color w:val="000000"/>
          <w:lang w:val="en-AU"/>
        </w:rPr>
        <w:t xml:space="preserve">helpful). </w:t>
      </w:r>
      <w:r w:rsidR="001D6203">
        <w:rPr>
          <w:rFonts w:ascii="Calibri Light" w:eastAsia="Times New Roman" w:hAnsi="Calibri Light" w:cs="Calibri Light"/>
          <w:color w:val="000000"/>
          <w:lang w:val="en-AU"/>
        </w:rPr>
        <w:t>D</w:t>
      </w:r>
      <w:r w:rsidR="001D6203" w:rsidRPr="00D367DD">
        <w:rPr>
          <w:rFonts w:ascii="Calibri Light" w:eastAsia="Times New Roman" w:hAnsi="Calibri Light" w:cs="Calibri Light"/>
          <w:color w:val="000000"/>
          <w:lang w:val="en-AU"/>
        </w:rPr>
        <w:t>espite pockets</w:t>
      </w:r>
      <w:r w:rsidR="001D6203" w:rsidRPr="00892C04">
        <w:rPr>
          <w:rFonts w:ascii="Calibri Light" w:hAnsi="Calibri Light"/>
          <w:color w:val="000000"/>
          <w:lang w:val="en-AU"/>
        </w:rPr>
        <w:t xml:space="preserve"> of</w:t>
      </w:r>
      <w:r w:rsidR="001D6203" w:rsidRPr="00D367DD">
        <w:rPr>
          <w:rFonts w:ascii="Calibri Light" w:eastAsia="Times New Roman" w:hAnsi="Calibri Light" w:cs="Calibri Light"/>
          <w:color w:val="000000"/>
          <w:lang w:val="en-AU"/>
        </w:rPr>
        <w:t xml:space="preserve"> commitment, </w:t>
      </w:r>
      <w:r w:rsidR="001D6203">
        <w:rPr>
          <w:rFonts w:ascii="Calibri Light" w:eastAsia="Times New Roman" w:hAnsi="Calibri Light" w:cs="Calibri Light"/>
          <w:color w:val="000000"/>
          <w:lang w:val="en-AU"/>
        </w:rPr>
        <w:t xml:space="preserve">there remains challenges to ensuring prioritisation of responses to violence against women in </w:t>
      </w:r>
      <w:r w:rsidR="001D6203" w:rsidRPr="00D367DD">
        <w:rPr>
          <w:rFonts w:ascii="Calibri Light" w:eastAsia="Times New Roman" w:hAnsi="Calibri Light" w:cs="Calibri Light"/>
          <w:color w:val="000000"/>
          <w:lang w:val="en-AU"/>
        </w:rPr>
        <w:t>policing</w:t>
      </w:r>
      <w:r w:rsidR="001D6203" w:rsidRPr="00892C04">
        <w:rPr>
          <w:rFonts w:ascii="Calibri Light" w:hAnsi="Calibri Light"/>
          <w:color w:val="000000"/>
          <w:lang w:val="en-AU"/>
        </w:rPr>
        <w:t xml:space="preserve"> and </w:t>
      </w:r>
      <w:r w:rsidR="001D6203" w:rsidRPr="00D367DD">
        <w:rPr>
          <w:rFonts w:ascii="Calibri Light" w:eastAsia="Times New Roman" w:hAnsi="Calibri Light" w:cs="Calibri Light"/>
          <w:color w:val="000000"/>
          <w:lang w:val="en-AU"/>
        </w:rPr>
        <w:t>justice institutions</w:t>
      </w:r>
      <w:r w:rsidR="001D6203" w:rsidRPr="00892C04">
        <w:rPr>
          <w:rFonts w:ascii="Calibri Light" w:hAnsi="Calibri Light"/>
          <w:color w:val="000000"/>
          <w:lang w:val="en-AU"/>
        </w:rPr>
        <w:t>.</w:t>
      </w:r>
    </w:p>
    <w:p w:rsidR="003A1E88" w:rsidRPr="00BB3BB9" w:rsidRDefault="000E616C" w:rsidP="008D5394">
      <w:pPr>
        <w:suppressAutoHyphens w:val="0"/>
        <w:spacing w:before="77" w:after="0" w:line="240" w:lineRule="auto"/>
        <w:rPr>
          <w:rFonts w:ascii="Calibri Light" w:hAnsi="Calibri Light"/>
          <w:color w:val="000000"/>
          <w:lang w:val="en-AU"/>
        </w:rPr>
      </w:pPr>
      <w:r w:rsidRPr="008D5394">
        <w:rPr>
          <w:rFonts w:ascii="Calibri Light" w:eastAsia="Calibri" w:hAnsi="Calibri Light" w:cs="Calibri Light"/>
          <w:b/>
          <w:color w:val="000000"/>
          <w:lang w:val="en-AU"/>
        </w:rPr>
        <w:t xml:space="preserve">Ongoing </w:t>
      </w:r>
      <w:r w:rsidRPr="008D5394">
        <w:rPr>
          <w:rFonts w:ascii="Calibri Light" w:eastAsia="Times New Roman" w:hAnsi="Calibri Light" w:cs="Calibri Light"/>
          <w:b/>
          <w:color w:val="000000"/>
          <w:lang w:val="en-AU"/>
        </w:rPr>
        <w:t>support</w:t>
      </w:r>
      <w:r w:rsidRPr="008D5394">
        <w:rPr>
          <w:rFonts w:ascii="Calibri Light" w:eastAsia="Calibri" w:hAnsi="Calibri Light" w:cs="Calibri Light"/>
          <w:b/>
          <w:color w:val="000000"/>
          <w:lang w:val="en-AU"/>
        </w:rPr>
        <w:t xml:space="preserve"> to the Vanuatu Women’s Centre</w:t>
      </w:r>
      <w:r w:rsidR="00BC169F">
        <w:rPr>
          <w:rFonts w:ascii="Calibri Light" w:eastAsia="Calibri" w:hAnsi="Calibri Light" w:cs="Calibri Light"/>
          <w:b/>
          <w:color w:val="000000"/>
          <w:lang w:val="en-AU"/>
        </w:rPr>
        <w:t xml:space="preserve"> </w:t>
      </w:r>
      <w:r w:rsidR="00560088" w:rsidRPr="008D5394">
        <w:rPr>
          <w:rFonts w:ascii="Calibri Light" w:eastAsia="Calibri" w:hAnsi="Calibri Light" w:cs="Calibri Light"/>
          <w:b/>
          <w:color w:val="000000"/>
          <w:lang w:val="en-AU"/>
        </w:rPr>
        <w:t>played a critical role in supporting women and children’s access to justice</w:t>
      </w:r>
      <w:r w:rsidR="00560088">
        <w:rPr>
          <w:rFonts w:ascii="Calibri Light" w:eastAsia="Calibri" w:hAnsi="Calibri Light" w:cs="Calibri Light"/>
          <w:color w:val="000000"/>
          <w:lang w:val="en-AU"/>
        </w:rPr>
        <w:t xml:space="preserve"> as well as</w:t>
      </w:r>
      <w:r w:rsidRPr="00D367DD">
        <w:rPr>
          <w:rFonts w:ascii="Calibri Light" w:eastAsia="Calibri" w:hAnsi="Calibri Light" w:cs="Calibri Light"/>
          <w:color w:val="000000"/>
          <w:lang w:val="en-AU"/>
        </w:rPr>
        <w:t xml:space="preserve"> </w:t>
      </w:r>
      <w:r w:rsidR="00560088">
        <w:rPr>
          <w:rFonts w:ascii="Calibri Light" w:eastAsia="Calibri" w:hAnsi="Calibri Light" w:cs="Calibri Light"/>
          <w:color w:val="000000"/>
          <w:lang w:val="en-AU"/>
        </w:rPr>
        <w:t>targeting</w:t>
      </w:r>
      <w:r w:rsidRPr="00D367DD">
        <w:rPr>
          <w:rFonts w:ascii="Calibri Light" w:eastAsia="Calibri" w:hAnsi="Calibri Light" w:cs="Calibri Light"/>
          <w:color w:val="000000"/>
          <w:lang w:val="en-AU"/>
        </w:rPr>
        <w:t xml:space="preserve"> a reduction in violence against women.</w:t>
      </w:r>
      <w:r w:rsidRPr="00B81CBF">
        <w:rPr>
          <w:rFonts w:ascii="Calibri Light" w:eastAsia="Calibri" w:hAnsi="Calibri Light" w:cs="Calibri Light"/>
          <w:color w:val="000000"/>
          <w:lang w:val="en-AU"/>
        </w:rPr>
        <w:t xml:space="preserve"> </w:t>
      </w:r>
      <w:r>
        <w:rPr>
          <w:rFonts w:ascii="Calibri Light" w:eastAsia="Calibri" w:hAnsi="Calibri Light" w:cs="Calibri Light"/>
          <w:color w:val="000000"/>
          <w:lang w:val="en-AU"/>
        </w:rPr>
        <w:t>Th</w:t>
      </w:r>
      <w:r w:rsidR="0053551D">
        <w:rPr>
          <w:rFonts w:ascii="Calibri Light" w:eastAsia="Calibri" w:hAnsi="Calibri Light" w:cs="Calibri Light"/>
          <w:color w:val="000000"/>
          <w:lang w:val="en-AU"/>
        </w:rPr>
        <w:t xml:space="preserve">e Centre provided </w:t>
      </w:r>
      <w:r>
        <w:rPr>
          <w:rFonts w:ascii="Calibri Light" w:eastAsia="Calibri" w:hAnsi="Calibri Light" w:cs="Calibri Light"/>
          <w:color w:val="000000"/>
          <w:lang w:val="en-AU"/>
        </w:rPr>
        <w:t>counselling and legal services</w:t>
      </w:r>
      <w:r w:rsidR="0053551D">
        <w:rPr>
          <w:rFonts w:ascii="Calibri Light" w:eastAsia="Calibri" w:hAnsi="Calibri Light" w:cs="Calibri Light"/>
          <w:color w:val="000000"/>
          <w:lang w:val="en-AU"/>
        </w:rPr>
        <w:t xml:space="preserve"> to </w:t>
      </w:r>
      <w:r w:rsidR="00B35C00">
        <w:rPr>
          <w:rFonts w:ascii="Calibri Light" w:eastAsia="Calibri" w:hAnsi="Calibri Light" w:cs="Calibri Light"/>
          <w:color w:val="000000"/>
          <w:lang w:val="en-AU"/>
        </w:rPr>
        <w:t xml:space="preserve">8,859 </w:t>
      </w:r>
      <w:r w:rsidR="0053551D">
        <w:rPr>
          <w:rFonts w:ascii="Calibri Light" w:eastAsia="Calibri" w:hAnsi="Calibri Light" w:cs="Calibri Light"/>
          <w:color w:val="000000"/>
          <w:lang w:val="en-AU"/>
        </w:rPr>
        <w:t>women and children [</w:t>
      </w:r>
      <w:r w:rsidR="00B35C00">
        <w:rPr>
          <w:rFonts w:ascii="Calibri Light" w:eastAsia="Calibri" w:hAnsi="Calibri Light" w:cs="Calibri Light"/>
          <w:color w:val="000000"/>
          <w:lang w:val="en-AU"/>
        </w:rPr>
        <w:t>exceed</w:t>
      </w:r>
      <w:r w:rsidR="0053551D">
        <w:rPr>
          <w:rFonts w:ascii="Calibri Light" w:eastAsia="Calibri" w:hAnsi="Calibri Light" w:cs="Calibri Light"/>
          <w:color w:val="000000"/>
          <w:lang w:val="en-AU"/>
        </w:rPr>
        <w:t>ed PAF target 3.3]</w:t>
      </w:r>
      <w:r w:rsidR="00B35C00">
        <w:rPr>
          <w:rFonts w:ascii="Calibri Light" w:eastAsia="Calibri" w:hAnsi="Calibri Light" w:cs="Calibri Light"/>
          <w:color w:val="000000"/>
          <w:lang w:val="en-AU"/>
        </w:rPr>
        <w:t xml:space="preserve">. This included </w:t>
      </w:r>
      <w:r w:rsidR="0053551D">
        <w:rPr>
          <w:rFonts w:ascii="Calibri Light" w:eastAsia="Calibri" w:hAnsi="Calibri Light" w:cs="Calibri Light"/>
          <w:color w:val="000000"/>
          <w:lang w:val="en-AU"/>
        </w:rPr>
        <w:t>assist</w:t>
      </w:r>
      <w:r w:rsidR="00944075">
        <w:rPr>
          <w:rFonts w:ascii="Calibri Light" w:eastAsia="Calibri" w:hAnsi="Calibri Light" w:cs="Calibri Light"/>
          <w:color w:val="000000"/>
          <w:lang w:val="en-AU"/>
        </w:rPr>
        <w:t>ance to</w:t>
      </w:r>
      <w:r w:rsidRPr="00B81CBF">
        <w:rPr>
          <w:rFonts w:ascii="Calibri Light" w:eastAsia="Calibri" w:hAnsi="Calibri Light" w:cs="Calibri Light"/>
          <w:color w:val="auto"/>
          <w:lang w:val="en-AU"/>
        </w:rPr>
        <w:t xml:space="preserve"> </w:t>
      </w:r>
      <w:r w:rsidRPr="00B81CBF">
        <w:rPr>
          <w:rFonts w:ascii="Calibri Light" w:hAnsi="Calibri Light"/>
          <w:color w:val="auto"/>
        </w:rPr>
        <w:t xml:space="preserve">1,110 </w:t>
      </w:r>
      <w:r>
        <w:rPr>
          <w:rFonts w:ascii="Calibri Light" w:hAnsi="Calibri Light"/>
          <w:color w:val="auto"/>
        </w:rPr>
        <w:t xml:space="preserve">clients </w:t>
      </w:r>
      <w:r w:rsidRPr="00B81CBF">
        <w:rPr>
          <w:rFonts w:ascii="Calibri Light" w:hAnsi="Calibri Light"/>
          <w:color w:val="auto"/>
        </w:rPr>
        <w:t xml:space="preserve">to report to the police and 971 </w:t>
      </w:r>
      <w:r>
        <w:rPr>
          <w:rFonts w:ascii="Calibri Light" w:hAnsi="Calibri Light"/>
          <w:color w:val="auto"/>
        </w:rPr>
        <w:t xml:space="preserve">clients </w:t>
      </w:r>
      <w:r w:rsidRPr="00B81CBF">
        <w:rPr>
          <w:rFonts w:ascii="Calibri Light" w:hAnsi="Calibri Light"/>
          <w:color w:val="auto"/>
        </w:rPr>
        <w:t>to obtain Family Protection Orders, an increase of 30</w:t>
      </w:r>
      <w:r w:rsidR="00EB387A">
        <w:rPr>
          <w:rFonts w:ascii="Calibri Light" w:hAnsi="Calibri Light"/>
          <w:color w:val="auto"/>
        </w:rPr>
        <w:t xml:space="preserve"> per cent</w:t>
      </w:r>
      <w:r w:rsidRPr="00B81CBF">
        <w:rPr>
          <w:rFonts w:ascii="Calibri Light" w:hAnsi="Calibri Light"/>
          <w:color w:val="auto"/>
        </w:rPr>
        <w:t xml:space="preserve"> </w:t>
      </w:r>
      <w:r w:rsidR="001D6203">
        <w:rPr>
          <w:rFonts w:ascii="Calibri Light" w:hAnsi="Calibri Light"/>
          <w:color w:val="auto"/>
        </w:rPr>
        <w:t>from 2017</w:t>
      </w:r>
      <w:r w:rsidRPr="00B81CBF">
        <w:rPr>
          <w:rFonts w:ascii="Calibri Light" w:hAnsi="Calibri Light"/>
          <w:color w:val="auto"/>
        </w:rPr>
        <w:t>.</w:t>
      </w:r>
      <w:r w:rsidRPr="00B81CBF">
        <w:rPr>
          <w:rFonts w:ascii="Calibri Light" w:eastAsia="Calibri" w:hAnsi="Calibri Light" w:cs="Calibri Light"/>
          <w:color w:val="auto"/>
          <w:lang w:val="en-AU"/>
        </w:rPr>
        <w:t xml:space="preserve"> </w:t>
      </w:r>
      <w:r w:rsidR="00264B9D">
        <w:rPr>
          <w:rFonts w:ascii="Calibri Light" w:eastAsia="Calibri" w:hAnsi="Calibri Light" w:cs="Calibri Light"/>
          <w:color w:val="auto"/>
          <w:lang w:val="en-AU"/>
        </w:rPr>
        <w:t>An additional 2,261 women and children requested information on dealing with violence</w:t>
      </w:r>
      <w:r w:rsidR="00264B9D" w:rsidRPr="008F2430">
        <w:rPr>
          <w:rFonts w:ascii="Calibri Light" w:eastAsia="Calibri" w:hAnsi="Calibri Light" w:cs="Calibri Light"/>
          <w:color w:val="auto"/>
          <w:lang w:val="en-AU"/>
        </w:rPr>
        <w:t>.</w:t>
      </w:r>
      <w:r w:rsidR="00264B9D">
        <w:rPr>
          <w:rFonts w:ascii="Calibri Light" w:eastAsia="Calibri" w:hAnsi="Calibri Light" w:cs="Calibri Light"/>
          <w:color w:val="auto"/>
          <w:lang w:val="en-AU"/>
        </w:rPr>
        <w:t xml:space="preserve"> </w:t>
      </w:r>
      <w:r w:rsidR="00EB387A">
        <w:rPr>
          <w:rFonts w:ascii="Calibri Light" w:hAnsi="Calibri Light"/>
          <w:color w:val="auto"/>
        </w:rPr>
        <w:t>The Centre</w:t>
      </w:r>
      <w:r w:rsidR="00EB387A" w:rsidRPr="00B81CBF">
        <w:rPr>
          <w:rFonts w:ascii="Calibri Light" w:hAnsi="Calibri Light"/>
          <w:color w:val="auto"/>
        </w:rPr>
        <w:t xml:space="preserve"> </w:t>
      </w:r>
      <w:r w:rsidRPr="00B81CBF">
        <w:rPr>
          <w:rFonts w:ascii="Calibri Light" w:hAnsi="Calibri Light"/>
          <w:color w:val="auto"/>
        </w:rPr>
        <w:t xml:space="preserve">reached women in rural and remote communities through their Committees Against Violence Against Women (CAVAW) network and through trained male advocates who support victims </w:t>
      </w:r>
      <w:r w:rsidR="00FA59CD">
        <w:rPr>
          <w:rFonts w:ascii="Calibri Light" w:hAnsi="Calibri Light"/>
          <w:color w:val="auto"/>
        </w:rPr>
        <w:t>to access</w:t>
      </w:r>
      <w:r w:rsidRPr="00892C04">
        <w:rPr>
          <w:rFonts w:ascii="Calibri Light" w:hAnsi="Calibri Light"/>
          <w:color w:val="auto"/>
        </w:rPr>
        <w:t xml:space="preserve"> justice</w:t>
      </w:r>
      <w:r w:rsidRPr="00B81CBF">
        <w:rPr>
          <w:rFonts w:ascii="Calibri Light" w:hAnsi="Calibri Light"/>
          <w:color w:val="auto"/>
        </w:rPr>
        <w:t xml:space="preserve">. </w:t>
      </w:r>
    </w:p>
    <w:p w:rsidR="00756DA1" w:rsidRPr="00892C04" w:rsidRDefault="00756DA1" w:rsidP="00892C04">
      <w:pPr>
        <w:suppressAutoHyphens w:val="0"/>
        <w:spacing w:before="77" w:after="0" w:line="240" w:lineRule="auto"/>
        <w:rPr>
          <w:rFonts w:ascii="Calibri Light" w:hAnsi="Calibri Light"/>
          <w:color w:val="000000"/>
          <w:lang w:val="en-AU"/>
        </w:rPr>
      </w:pPr>
      <w:r w:rsidRPr="00DE5B68">
        <w:rPr>
          <w:rFonts w:ascii="Calibri Light" w:eastAsia="Calibri" w:hAnsi="Calibri Light" w:cs="Calibri Light"/>
          <w:b/>
          <w:color w:val="000000"/>
          <w:lang w:val="en-AU"/>
        </w:rPr>
        <w:t xml:space="preserve">Australia </w:t>
      </w:r>
      <w:r w:rsidR="00EB387A">
        <w:rPr>
          <w:rFonts w:ascii="Calibri Light" w:eastAsia="Calibri" w:hAnsi="Calibri Light" w:cs="Calibri Light"/>
          <w:b/>
          <w:color w:val="000000"/>
          <w:lang w:val="en-AU"/>
        </w:rPr>
        <w:t xml:space="preserve">is a leading advocate and supporter of </w:t>
      </w:r>
      <w:r w:rsidR="0071528A">
        <w:rPr>
          <w:rFonts w:ascii="Calibri Light" w:eastAsia="Calibri" w:hAnsi="Calibri Light" w:cs="Calibri Light"/>
          <w:b/>
          <w:color w:val="000000"/>
          <w:lang w:val="en-AU"/>
        </w:rPr>
        <w:t>gender equality</w:t>
      </w:r>
      <w:r w:rsidR="00EB387A">
        <w:rPr>
          <w:rFonts w:ascii="Calibri Light" w:eastAsia="Calibri" w:hAnsi="Calibri Light" w:cs="Calibri Light"/>
          <w:b/>
          <w:color w:val="000000"/>
          <w:lang w:val="en-AU"/>
        </w:rPr>
        <w:t xml:space="preserve"> in Vanuatu.</w:t>
      </w:r>
      <w:r>
        <w:rPr>
          <w:rFonts w:ascii="Calibri Light" w:eastAsia="Calibri" w:hAnsi="Calibri Light" w:cs="Calibri Light"/>
          <w:color w:val="000000"/>
          <w:lang w:val="en-AU"/>
        </w:rPr>
        <w:t xml:space="preserve"> </w:t>
      </w:r>
      <w:r w:rsidR="00EB387A">
        <w:rPr>
          <w:rFonts w:ascii="Calibri Light" w:eastAsia="Calibri" w:hAnsi="Calibri Light" w:cs="Calibri Light"/>
          <w:color w:val="000000"/>
          <w:lang w:val="en-AU"/>
        </w:rPr>
        <w:t xml:space="preserve">Through our funding, </w:t>
      </w:r>
      <w:r w:rsidRPr="00B81CBF">
        <w:rPr>
          <w:rFonts w:ascii="Calibri Light" w:eastAsia="Calibri" w:hAnsi="Calibri Light" w:cs="Calibri Light"/>
          <w:color w:val="000000"/>
          <w:lang w:val="en-AU"/>
        </w:rPr>
        <w:t>UN Women’s</w:t>
      </w:r>
      <w:r w:rsidRPr="00DE5B68">
        <w:rPr>
          <w:rFonts w:ascii="Calibri Light" w:eastAsia="Calibri" w:hAnsi="Calibri Light" w:cs="Calibri Light"/>
          <w:b/>
          <w:color w:val="000000"/>
          <w:lang w:val="en-AU"/>
        </w:rPr>
        <w:t xml:space="preserve"> </w:t>
      </w:r>
      <w:r w:rsidR="0071528A">
        <w:rPr>
          <w:rFonts w:ascii="Calibri Light" w:eastAsia="Calibri" w:hAnsi="Calibri Light" w:cs="Calibri Light"/>
          <w:color w:val="000000"/>
          <w:lang w:val="en-AU"/>
        </w:rPr>
        <w:t xml:space="preserve">Markets for Change </w:t>
      </w:r>
      <w:r w:rsidR="00944075">
        <w:rPr>
          <w:rFonts w:ascii="Calibri Light" w:eastAsia="Calibri" w:hAnsi="Calibri Light" w:cs="Calibri Light"/>
          <w:color w:val="000000"/>
          <w:lang w:val="en-AU"/>
        </w:rPr>
        <w:t xml:space="preserve">project </w:t>
      </w:r>
      <w:r w:rsidRPr="00DE5B68">
        <w:rPr>
          <w:rFonts w:ascii="Calibri Light" w:eastAsia="Calibri" w:hAnsi="Calibri Light" w:cs="Calibri Light"/>
          <w:color w:val="000000"/>
          <w:lang w:val="en-AU"/>
        </w:rPr>
        <w:t xml:space="preserve">supported </w:t>
      </w:r>
      <w:r w:rsidR="001F12CE">
        <w:rPr>
          <w:rFonts w:ascii="Calibri Light" w:eastAsia="Calibri" w:hAnsi="Calibri Light" w:cs="Calibri Light"/>
          <w:color w:val="000000"/>
          <w:lang w:val="en-AU"/>
        </w:rPr>
        <w:t>a greater voice</w:t>
      </w:r>
      <w:r w:rsidR="000413A5">
        <w:rPr>
          <w:rFonts w:ascii="Calibri Light" w:eastAsia="Calibri" w:hAnsi="Calibri Light" w:cs="Calibri Light"/>
          <w:color w:val="000000"/>
          <w:lang w:val="en-AU"/>
        </w:rPr>
        <w:t xml:space="preserve"> in </w:t>
      </w:r>
      <w:r w:rsidR="000413A5" w:rsidRPr="00DE5B68">
        <w:rPr>
          <w:rFonts w:ascii="Calibri Light" w:eastAsia="Calibri" w:hAnsi="Calibri Light" w:cs="Calibri Light"/>
          <w:color w:val="000000"/>
          <w:lang w:val="en-AU"/>
        </w:rPr>
        <w:t>market place management</w:t>
      </w:r>
      <w:r w:rsidR="001F12CE">
        <w:rPr>
          <w:rFonts w:ascii="Calibri Light" w:eastAsia="Calibri" w:hAnsi="Calibri Light" w:cs="Calibri Light"/>
          <w:color w:val="000000"/>
          <w:lang w:val="en-AU"/>
        </w:rPr>
        <w:t xml:space="preserve"> for over 3,710 women</w:t>
      </w:r>
      <w:r w:rsidRPr="00DE5B68">
        <w:rPr>
          <w:rFonts w:ascii="Calibri Light" w:eastAsia="Calibri" w:hAnsi="Calibri Light" w:cs="Calibri Light"/>
          <w:color w:val="000000"/>
          <w:lang w:val="en-AU"/>
        </w:rPr>
        <w:t xml:space="preserve"> </w:t>
      </w:r>
      <w:r>
        <w:rPr>
          <w:rFonts w:ascii="Calibri Light" w:eastAsia="Calibri" w:hAnsi="Calibri Light" w:cs="Calibri Light"/>
          <w:color w:val="000000"/>
          <w:lang w:val="en-AU"/>
        </w:rPr>
        <w:t>through market vendor associations</w:t>
      </w:r>
      <w:r w:rsidRPr="00091F3A">
        <w:rPr>
          <w:rFonts w:ascii="Calibri Light" w:eastAsia="Calibri" w:hAnsi="Calibri Light" w:cs="Calibri Light"/>
          <w:color w:val="000000"/>
          <w:lang w:val="en-AU"/>
        </w:rPr>
        <w:t xml:space="preserve">. </w:t>
      </w:r>
      <w:r w:rsidR="00930E65">
        <w:rPr>
          <w:rFonts w:ascii="Calibri Light" w:eastAsia="Calibri" w:hAnsi="Calibri Light" w:cs="Calibri Light"/>
          <w:color w:val="000000"/>
          <w:lang w:val="en-AU"/>
        </w:rPr>
        <w:t>The Vanuatu Skills Partnership</w:t>
      </w:r>
      <w:r w:rsidRPr="00091F3A">
        <w:rPr>
          <w:rFonts w:ascii="Calibri Light" w:eastAsia="Calibri" w:hAnsi="Calibri Light" w:cs="Calibri Light"/>
          <w:color w:val="000000"/>
          <w:lang w:val="en-AU"/>
        </w:rPr>
        <w:t xml:space="preserve"> increased </w:t>
      </w:r>
      <w:r w:rsidR="00944075">
        <w:rPr>
          <w:rFonts w:ascii="Calibri Light" w:eastAsia="Calibri" w:hAnsi="Calibri Light" w:cs="Calibri Light"/>
          <w:color w:val="000000"/>
          <w:lang w:val="en-AU"/>
        </w:rPr>
        <w:t xml:space="preserve">their </w:t>
      </w:r>
      <w:r w:rsidRPr="00091F3A">
        <w:rPr>
          <w:rFonts w:ascii="Calibri Light" w:eastAsia="Calibri" w:hAnsi="Calibri Light" w:cs="Calibri Light"/>
          <w:color w:val="000000"/>
          <w:lang w:val="en-AU"/>
        </w:rPr>
        <w:t>number of female clients</w:t>
      </w:r>
      <w:r w:rsidRPr="00DE5B68">
        <w:rPr>
          <w:rFonts w:ascii="Calibri Light" w:eastAsia="Calibri" w:hAnsi="Calibri Light" w:cs="Calibri Light"/>
          <w:color w:val="000000"/>
          <w:lang w:val="en-AU"/>
        </w:rPr>
        <w:t xml:space="preserve"> </w:t>
      </w:r>
      <w:r w:rsidR="00944075">
        <w:rPr>
          <w:rFonts w:ascii="Calibri Light" w:eastAsia="Calibri" w:hAnsi="Calibri Light" w:cs="Calibri Light"/>
          <w:color w:val="000000"/>
          <w:lang w:val="en-AU"/>
        </w:rPr>
        <w:t xml:space="preserve">participating in skills development activities </w:t>
      </w:r>
      <w:r w:rsidR="00E43E41">
        <w:rPr>
          <w:rFonts w:ascii="Calibri Light" w:eastAsia="Calibri" w:hAnsi="Calibri Light" w:cs="Calibri Light"/>
          <w:color w:val="000000"/>
          <w:lang w:val="en-AU"/>
        </w:rPr>
        <w:t>to 67</w:t>
      </w:r>
      <w:r w:rsidR="00EB387A">
        <w:rPr>
          <w:rFonts w:ascii="Calibri Light" w:eastAsia="Calibri" w:hAnsi="Calibri Light" w:cs="Calibri Light"/>
          <w:color w:val="000000"/>
          <w:lang w:val="en-AU"/>
        </w:rPr>
        <w:t xml:space="preserve"> per cent</w:t>
      </w:r>
      <w:r w:rsidRPr="00DE5B68">
        <w:rPr>
          <w:rFonts w:ascii="Calibri Light" w:eastAsia="Calibri" w:hAnsi="Calibri Light" w:cs="Calibri Light"/>
          <w:color w:val="000000"/>
          <w:lang w:val="en-AU"/>
        </w:rPr>
        <w:t xml:space="preserve"> (</w:t>
      </w:r>
      <w:r w:rsidR="00E43E41">
        <w:rPr>
          <w:rFonts w:ascii="Calibri Light" w:eastAsia="Calibri" w:hAnsi="Calibri Light" w:cs="Calibri Light"/>
          <w:color w:val="000000"/>
          <w:lang w:val="en-AU"/>
        </w:rPr>
        <w:t>up</w:t>
      </w:r>
      <w:r w:rsidRPr="00DE5B68">
        <w:rPr>
          <w:rFonts w:ascii="Calibri Light" w:eastAsia="Calibri" w:hAnsi="Calibri Light" w:cs="Calibri Light"/>
          <w:color w:val="000000"/>
          <w:lang w:val="en-AU"/>
        </w:rPr>
        <w:t xml:space="preserve"> </w:t>
      </w:r>
      <w:r w:rsidR="00E43E41">
        <w:rPr>
          <w:rFonts w:ascii="Calibri Light" w:eastAsia="Calibri" w:hAnsi="Calibri Light" w:cs="Calibri Light"/>
          <w:color w:val="000000"/>
          <w:lang w:val="en-AU"/>
        </w:rPr>
        <w:t>2</w:t>
      </w:r>
      <w:r w:rsidRPr="00DE5B68">
        <w:rPr>
          <w:rFonts w:ascii="Calibri Light" w:eastAsia="Calibri" w:hAnsi="Calibri Light" w:cs="Calibri Light"/>
          <w:color w:val="000000"/>
          <w:lang w:val="en-AU"/>
        </w:rPr>
        <w:t>6</w:t>
      </w:r>
      <w:r w:rsidR="00EB387A">
        <w:rPr>
          <w:rFonts w:ascii="Calibri Light" w:eastAsia="Calibri" w:hAnsi="Calibri Light" w:cs="Calibri Light"/>
          <w:color w:val="000000"/>
          <w:lang w:val="en-AU"/>
        </w:rPr>
        <w:t xml:space="preserve"> per cent</w:t>
      </w:r>
      <w:r w:rsidRPr="00DE5B68">
        <w:rPr>
          <w:rFonts w:ascii="Calibri Light" w:eastAsia="Calibri" w:hAnsi="Calibri Light" w:cs="Calibri Light"/>
          <w:color w:val="000000"/>
          <w:lang w:val="en-AU"/>
        </w:rPr>
        <w:t>)</w:t>
      </w:r>
      <w:r w:rsidR="004C5554">
        <w:rPr>
          <w:rFonts w:ascii="Calibri Light" w:eastAsia="Calibri" w:hAnsi="Calibri Light" w:cs="Calibri Light"/>
          <w:color w:val="000000"/>
          <w:lang w:val="en-AU"/>
        </w:rPr>
        <w:t xml:space="preserve">. This </w:t>
      </w:r>
      <w:r>
        <w:rPr>
          <w:rFonts w:ascii="Calibri Light" w:eastAsia="Calibri" w:hAnsi="Calibri Light" w:cs="Calibri Light"/>
          <w:color w:val="000000"/>
          <w:lang w:val="en-AU"/>
        </w:rPr>
        <w:t>includ</w:t>
      </w:r>
      <w:r w:rsidR="004C5554">
        <w:rPr>
          <w:rFonts w:ascii="Calibri Light" w:eastAsia="Calibri" w:hAnsi="Calibri Light" w:cs="Calibri Light"/>
          <w:color w:val="000000"/>
          <w:lang w:val="en-AU"/>
        </w:rPr>
        <w:t>ed</w:t>
      </w:r>
      <w:r>
        <w:rPr>
          <w:rFonts w:ascii="Calibri Light" w:eastAsia="Calibri" w:hAnsi="Calibri Light" w:cs="Calibri Light"/>
          <w:color w:val="000000"/>
          <w:lang w:val="en-AU"/>
        </w:rPr>
        <w:t xml:space="preserve"> </w:t>
      </w:r>
      <w:r w:rsidR="001D6203">
        <w:rPr>
          <w:rFonts w:ascii="Calibri Light" w:eastAsia="Calibri" w:hAnsi="Calibri Light" w:cs="Calibri Light"/>
          <w:color w:val="000000"/>
          <w:lang w:val="en-AU"/>
        </w:rPr>
        <w:t xml:space="preserve">the </w:t>
      </w:r>
      <w:r>
        <w:rPr>
          <w:rFonts w:ascii="Calibri Light" w:eastAsia="Calibri" w:hAnsi="Calibri Light" w:cs="Calibri Light"/>
          <w:color w:val="000000"/>
          <w:lang w:val="en-AU"/>
        </w:rPr>
        <w:t>establishment of the Torba Handicraft Cooperative and the Vetimboso Handicraft Association</w:t>
      </w:r>
      <w:r w:rsidRPr="00DE5B68">
        <w:rPr>
          <w:rFonts w:ascii="Calibri Light" w:eastAsia="Calibri" w:hAnsi="Calibri Light" w:cs="Calibri Light"/>
          <w:color w:val="000000"/>
          <w:lang w:val="en-AU"/>
        </w:rPr>
        <w:t xml:space="preserve">. </w:t>
      </w:r>
      <w:r w:rsidR="0071528A">
        <w:rPr>
          <w:rFonts w:ascii="Calibri Light" w:eastAsia="Calibri" w:hAnsi="Calibri Light" w:cs="Calibri Light"/>
          <w:color w:val="000000"/>
          <w:lang w:val="en-AU"/>
        </w:rPr>
        <w:t xml:space="preserve">Twenty </w:t>
      </w:r>
      <w:r w:rsidRPr="00DE5B68">
        <w:rPr>
          <w:rFonts w:ascii="Calibri Light" w:eastAsia="Calibri" w:hAnsi="Calibri Light" w:cs="Calibri Light"/>
          <w:color w:val="000000"/>
          <w:lang w:val="en-AU"/>
        </w:rPr>
        <w:t xml:space="preserve">young women graduated </w:t>
      </w:r>
      <w:r w:rsidR="00FE2B1E">
        <w:rPr>
          <w:rFonts w:ascii="Calibri Light" w:eastAsia="Calibri" w:hAnsi="Calibri Light" w:cs="Calibri Light"/>
          <w:color w:val="000000"/>
          <w:lang w:val="en-AU"/>
        </w:rPr>
        <w:t xml:space="preserve">from </w:t>
      </w:r>
      <w:r w:rsidR="0071528A">
        <w:rPr>
          <w:rFonts w:ascii="Calibri Light" w:eastAsia="Calibri" w:hAnsi="Calibri Light" w:cs="Calibri Light"/>
          <w:color w:val="000000"/>
          <w:lang w:val="en-AU"/>
        </w:rPr>
        <w:t>CARE International’s</w:t>
      </w:r>
      <w:r>
        <w:rPr>
          <w:rFonts w:ascii="Calibri Light" w:eastAsia="Calibri" w:hAnsi="Calibri Light" w:cs="Calibri Light"/>
          <w:color w:val="000000"/>
          <w:lang w:val="en-AU"/>
        </w:rPr>
        <w:t xml:space="preserve"> 12-month</w:t>
      </w:r>
      <w:r w:rsidRPr="00DE5B68">
        <w:rPr>
          <w:rFonts w:ascii="Calibri Light" w:eastAsia="Calibri" w:hAnsi="Calibri Light" w:cs="Calibri Light"/>
          <w:color w:val="000000"/>
          <w:lang w:val="en-AU"/>
        </w:rPr>
        <w:t xml:space="preserve"> Young Women’s </w:t>
      </w:r>
      <w:r>
        <w:rPr>
          <w:rFonts w:ascii="Calibri Light" w:eastAsia="Calibri" w:hAnsi="Calibri Light" w:cs="Calibri Light"/>
          <w:color w:val="000000"/>
          <w:lang w:val="en-AU"/>
        </w:rPr>
        <w:t>L</w:t>
      </w:r>
      <w:r w:rsidRPr="00DE5B68">
        <w:rPr>
          <w:rFonts w:ascii="Calibri Light" w:eastAsia="Calibri" w:hAnsi="Calibri Light" w:cs="Calibri Light"/>
          <w:color w:val="000000"/>
          <w:lang w:val="en-AU"/>
        </w:rPr>
        <w:t xml:space="preserve">eadership </w:t>
      </w:r>
      <w:r>
        <w:rPr>
          <w:rFonts w:ascii="Calibri Light" w:eastAsia="Calibri" w:hAnsi="Calibri Light" w:cs="Calibri Light"/>
          <w:color w:val="000000"/>
          <w:lang w:val="en-AU"/>
        </w:rPr>
        <w:t>P</w:t>
      </w:r>
      <w:r w:rsidRPr="00DE5B68">
        <w:rPr>
          <w:rFonts w:ascii="Calibri Light" w:eastAsia="Calibri" w:hAnsi="Calibri Light" w:cs="Calibri Light"/>
          <w:color w:val="000000"/>
          <w:lang w:val="en-AU"/>
        </w:rPr>
        <w:t>rogram</w:t>
      </w:r>
      <w:r w:rsidR="001D6203">
        <w:rPr>
          <w:rFonts w:ascii="Calibri Light" w:eastAsia="Calibri" w:hAnsi="Calibri Light" w:cs="Calibri Light"/>
          <w:color w:val="000000"/>
          <w:lang w:val="en-AU"/>
        </w:rPr>
        <w:t>,</w:t>
      </w:r>
      <w:r w:rsidRPr="00DE5B68">
        <w:rPr>
          <w:rFonts w:ascii="Calibri Light" w:eastAsia="Calibri" w:hAnsi="Calibri Light" w:cs="Calibri Light"/>
          <w:color w:val="000000"/>
          <w:lang w:val="en-AU"/>
        </w:rPr>
        <w:t xml:space="preserve"> </w:t>
      </w:r>
      <w:r>
        <w:rPr>
          <w:rFonts w:ascii="Calibri Light" w:eastAsia="Calibri" w:hAnsi="Calibri Light" w:cs="Calibri Light"/>
          <w:color w:val="000000"/>
          <w:lang w:val="en-AU"/>
        </w:rPr>
        <w:t xml:space="preserve">equipping them with skills and knowledge in gender equality and leadership. </w:t>
      </w:r>
      <w:r w:rsidR="00560088">
        <w:rPr>
          <w:rFonts w:ascii="Calibri Light" w:eastAsia="Calibri" w:hAnsi="Calibri Light" w:cs="Calibri Light"/>
          <w:color w:val="000000"/>
          <w:lang w:val="en-AU"/>
        </w:rPr>
        <w:t xml:space="preserve">A </w:t>
      </w:r>
      <w:r w:rsidR="00560088" w:rsidRPr="00D367DD">
        <w:rPr>
          <w:rFonts w:ascii="Calibri Light" w:eastAsia="Times New Roman" w:hAnsi="Calibri Light" w:cs="Calibri Light"/>
          <w:color w:val="000000"/>
          <w:lang w:val="en-AU"/>
        </w:rPr>
        <w:t xml:space="preserve">Women in Leadership mentoring program in the justice sector was revived in 2018 and policing advisors succeeded in supporting </w:t>
      </w:r>
      <w:r w:rsidR="00EB387A">
        <w:rPr>
          <w:rFonts w:ascii="Calibri Light" w:eastAsia="Times New Roman" w:hAnsi="Calibri Light" w:cs="Calibri Light"/>
          <w:color w:val="000000"/>
          <w:lang w:val="en-AU"/>
        </w:rPr>
        <w:t>the V</w:t>
      </w:r>
      <w:r w:rsidR="001D6203">
        <w:rPr>
          <w:rFonts w:ascii="Calibri Light" w:eastAsia="Times New Roman" w:hAnsi="Calibri Light" w:cs="Calibri Light"/>
          <w:color w:val="000000"/>
          <w:lang w:val="en-AU"/>
        </w:rPr>
        <w:t>PF</w:t>
      </w:r>
      <w:r w:rsidR="00EB387A" w:rsidRPr="00D367DD">
        <w:rPr>
          <w:rFonts w:ascii="Calibri Light" w:eastAsia="Times New Roman" w:hAnsi="Calibri Light" w:cs="Calibri Light"/>
          <w:color w:val="000000"/>
          <w:lang w:val="en-AU"/>
        </w:rPr>
        <w:t xml:space="preserve"> </w:t>
      </w:r>
      <w:r w:rsidR="00560088" w:rsidRPr="00D367DD">
        <w:rPr>
          <w:rFonts w:ascii="Calibri Light" w:eastAsia="Times New Roman" w:hAnsi="Calibri Light" w:cs="Calibri Light"/>
          <w:color w:val="000000"/>
          <w:lang w:val="en-AU"/>
        </w:rPr>
        <w:t xml:space="preserve">to start their own training program for female officers to get quad bike licences (11 </w:t>
      </w:r>
      <w:r w:rsidR="00944075">
        <w:rPr>
          <w:rFonts w:ascii="Calibri Light" w:eastAsia="Times New Roman" w:hAnsi="Calibri Light" w:cs="Calibri Light"/>
          <w:color w:val="000000"/>
          <w:lang w:val="en-AU"/>
        </w:rPr>
        <w:t xml:space="preserve">in </w:t>
      </w:r>
      <w:r w:rsidR="00560088" w:rsidRPr="00D367DD">
        <w:rPr>
          <w:rFonts w:ascii="Calibri Light" w:eastAsia="Times New Roman" w:hAnsi="Calibri Light" w:cs="Calibri Light"/>
          <w:color w:val="000000"/>
          <w:lang w:val="en-AU"/>
        </w:rPr>
        <w:t xml:space="preserve">2018). </w:t>
      </w:r>
    </w:p>
    <w:p w:rsidR="00DE5B68" w:rsidRPr="00DE5B68" w:rsidRDefault="00756DA1" w:rsidP="008D5394">
      <w:pPr>
        <w:suppressAutoHyphens w:val="0"/>
        <w:spacing w:before="77" w:after="0" w:line="240" w:lineRule="auto"/>
        <w:rPr>
          <w:rFonts w:ascii="Calibri Light" w:eastAsia="Times New Roman" w:hAnsi="Calibri Light" w:cs="Calibri Light"/>
          <w:color w:val="000000"/>
          <w:lang w:val="en-AU"/>
        </w:rPr>
      </w:pPr>
      <w:r w:rsidRPr="00DE5B68">
        <w:rPr>
          <w:rFonts w:ascii="Calibri Light" w:eastAsia="Calibri" w:hAnsi="Calibri Light" w:cs="Times New Roman"/>
          <w:b/>
          <w:color w:val="000000"/>
          <w:lang w:val="en-AU"/>
        </w:rPr>
        <w:t>Australia</w:t>
      </w:r>
      <w:r w:rsidR="00707912">
        <w:rPr>
          <w:rFonts w:ascii="Calibri Light" w:eastAsia="Calibri" w:hAnsi="Calibri Light" w:cs="Times New Roman"/>
          <w:b/>
          <w:color w:val="000000"/>
          <w:lang w:val="en-AU"/>
        </w:rPr>
        <w:t>’s</w:t>
      </w:r>
      <w:r w:rsidRPr="00DE5B68">
        <w:rPr>
          <w:rFonts w:ascii="Calibri Light" w:eastAsia="Calibri" w:hAnsi="Calibri Light" w:cs="Times New Roman"/>
          <w:b/>
          <w:color w:val="000000"/>
          <w:lang w:val="en-AU"/>
        </w:rPr>
        <w:t xml:space="preserve"> </w:t>
      </w:r>
      <w:r>
        <w:rPr>
          <w:rFonts w:ascii="Calibri Light" w:eastAsia="Calibri" w:hAnsi="Calibri Light" w:cs="Times New Roman"/>
          <w:b/>
          <w:color w:val="000000"/>
          <w:lang w:val="en-AU"/>
        </w:rPr>
        <w:t xml:space="preserve">continued </w:t>
      </w:r>
      <w:r w:rsidRPr="00DE5B68">
        <w:rPr>
          <w:rFonts w:ascii="Calibri Light" w:eastAsia="Calibri" w:hAnsi="Calibri Light" w:cs="Times New Roman"/>
          <w:b/>
          <w:color w:val="000000"/>
          <w:lang w:val="en-AU"/>
        </w:rPr>
        <w:t>support</w:t>
      </w:r>
      <w:r>
        <w:rPr>
          <w:rFonts w:ascii="Calibri Light" w:eastAsia="Calibri" w:hAnsi="Calibri Light" w:cs="Times New Roman"/>
          <w:b/>
          <w:color w:val="000000"/>
          <w:lang w:val="en-AU"/>
        </w:rPr>
        <w:t xml:space="preserve"> to</w:t>
      </w:r>
      <w:r w:rsidRPr="00DE5B68">
        <w:rPr>
          <w:rFonts w:ascii="Calibri Light" w:eastAsia="Calibri" w:hAnsi="Calibri Light" w:cs="Times New Roman"/>
          <w:b/>
          <w:color w:val="000000"/>
          <w:lang w:val="en-AU"/>
        </w:rPr>
        <w:t xml:space="preserve"> the </w:t>
      </w:r>
      <w:r w:rsidR="00FE2B1E">
        <w:rPr>
          <w:rFonts w:ascii="Calibri Light" w:eastAsia="Calibri" w:hAnsi="Calibri Light" w:cs="Times New Roman"/>
          <w:b/>
          <w:color w:val="000000"/>
          <w:lang w:val="en-AU"/>
        </w:rPr>
        <w:t>c</w:t>
      </w:r>
      <w:r w:rsidRPr="00DE5B68">
        <w:rPr>
          <w:rFonts w:ascii="Calibri Light" w:eastAsia="Calibri" w:hAnsi="Calibri Light" w:cs="Times New Roman"/>
          <w:b/>
          <w:color w:val="000000"/>
          <w:lang w:val="en-AU"/>
        </w:rPr>
        <w:t xml:space="preserve">ivil </w:t>
      </w:r>
      <w:r w:rsidR="00FE2B1E">
        <w:rPr>
          <w:rFonts w:ascii="Calibri Light" w:eastAsia="Calibri" w:hAnsi="Calibri Light" w:cs="Times New Roman"/>
          <w:b/>
          <w:color w:val="000000"/>
          <w:lang w:val="en-AU"/>
        </w:rPr>
        <w:t>s</w:t>
      </w:r>
      <w:r w:rsidRPr="00DE5B68">
        <w:rPr>
          <w:rFonts w:ascii="Calibri Light" w:eastAsia="Calibri" w:hAnsi="Calibri Light" w:cs="Times New Roman"/>
          <w:b/>
          <w:color w:val="000000"/>
          <w:lang w:val="en-AU"/>
        </w:rPr>
        <w:t xml:space="preserve">ociety </w:t>
      </w:r>
      <w:r w:rsidR="00FE2B1E">
        <w:rPr>
          <w:rFonts w:ascii="Calibri Light" w:eastAsia="Calibri" w:hAnsi="Calibri Light" w:cs="Times New Roman"/>
          <w:b/>
          <w:color w:val="000000"/>
          <w:lang w:val="en-AU"/>
        </w:rPr>
        <w:t>o</w:t>
      </w:r>
      <w:r w:rsidRPr="00DE5B68">
        <w:rPr>
          <w:rFonts w:ascii="Calibri Light" w:eastAsia="Calibri" w:hAnsi="Calibri Light" w:cs="Times New Roman"/>
          <w:b/>
          <w:color w:val="000000"/>
          <w:lang w:val="en-AU"/>
        </w:rPr>
        <w:t xml:space="preserve">rganisation Wan Smolbag </w:t>
      </w:r>
      <w:r w:rsidR="00707912">
        <w:rPr>
          <w:rFonts w:ascii="Calibri Light" w:eastAsia="Calibri" w:hAnsi="Calibri Light" w:cs="Times New Roman"/>
          <w:b/>
          <w:color w:val="000000"/>
          <w:lang w:val="en-AU"/>
        </w:rPr>
        <w:t>gave</w:t>
      </w:r>
      <w:r w:rsidR="008D5394">
        <w:rPr>
          <w:rFonts w:ascii="Calibri Light" w:eastAsia="Calibri" w:hAnsi="Calibri Light" w:cs="Times New Roman"/>
          <w:b/>
          <w:color w:val="000000"/>
          <w:lang w:val="en-AU"/>
        </w:rPr>
        <w:t xml:space="preserve"> </w:t>
      </w:r>
      <w:r w:rsidRPr="00504F04">
        <w:rPr>
          <w:rFonts w:ascii="Calibri Light" w:eastAsia="Calibri" w:hAnsi="Calibri Light" w:cs="Times New Roman"/>
          <w:b/>
          <w:color w:val="000000"/>
          <w:lang w:val="en-AU"/>
        </w:rPr>
        <w:t xml:space="preserve">ni-Vanuatu </w:t>
      </w:r>
      <w:r w:rsidR="001D6203">
        <w:rPr>
          <w:rFonts w:ascii="Calibri Light" w:eastAsia="Calibri" w:hAnsi="Calibri Light" w:cs="Times New Roman"/>
          <w:b/>
          <w:color w:val="000000"/>
          <w:lang w:val="en-AU"/>
        </w:rPr>
        <w:t xml:space="preserve">communities </w:t>
      </w:r>
      <w:r w:rsidR="00707912">
        <w:rPr>
          <w:rFonts w:ascii="Calibri Light" w:eastAsia="Calibri" w:hAnsi="Calibri Light" w:cs="Times New Roman"/>
          <w:b/>
          <w:color w:val="000000"/>
          <w:lang w:val="en-AU"/>
        </w:rPr>
        <w:t>and at-</w:t>
      </w:r>
      <w:r w:rsidR="00707912" w:rsidRPr="008D5394">
        <w:rPr>
          <w:rFonts w:ascii="Calibri Light" w:eastAsia="Calibri" w:hAnsi="Calibri Light" w:cs="Calibri Light"/>
          <w:b/>
          <w:color w:val="000000"/>
          <w:lang w:val="en-AU"/>
        </w:rPr>
        <w:t>risk</w:t>
      </w:r>
      <w:r w:rsidR="00707912">
        <w:rPr>
          <w:rFonts w:ascii="Calibri Light" w:eastAsia="Calibri" w:hAnsi="Calibri Light" w:cs="Times New Roman"/>
          <w:b/>
          <w:color w:val="000000"/>
          <w:lang w:val="en-AU"/>
        </w:rPr>
        <w:t xml:space="preserve"> groups </w:t>
      </w:r>
      <w:r w:rsidRPr="00504F04">
        <w:rPr>
          <w:rFonts w:ascii="Calibri Light" w:eastAsia="Calibri" w:hAnsi="Calibri Light" w:cs="Times New Roman"/>
          <w:b/>
          <w:color w:val="000000"/>
          <w:lang w:val="en-AU"/>
        </w:rPr>
        <w:t xml:space="preserve">greater opportunities to participate </w:t>
      </w:r>
      <w:r w:rsidR="00707912">
        <w:rPr>
          <w:rFonts w:ascii="Calibri Light" w:eastAsia="Calibri" w:hAnsi="Calibri Light" w:cs="Times New Roman"/>
          <w:b/>
          <w:color w:val="000000"/>
          <w:lang w:val="en-AU"/>
        </w:rPr>
        <w:t xml:space="preserve">in </w:t>
      </w:r>
      <w:r w:rsidRPr="00504F04">
        <w:rPr>
          <w:rFonts w:ascii="Calibri Light" w:eastAsia="Calibri" w:hAnsi="Calibri Light" w:cs="Times New Roman"/>
          <w:b/>
          <w:color w:val="000000"/>
          <w:lang w:val="en-AU"/>
        </w:rPr>
        <w:t>society, improve their health and wellbeing and contribute to Vanuatu’s development.</w:t>
      </w:r>
      <w:r>
        <w:rPr>
          <w:rFonts w:ascii="Calibri Light" w:eastAsia="Calibri" w:hAnsi="Calibri Light" w:cs="Times New Roman"/>
          <w:color w:val="000000"/>
          <w:lang w:val="en-AU"/>
        </w:rPr>
        <w:t xml:space="preserve"> </w:t>
      </w:r>
      <w:r w:rsidR="00EB387A">
        <w:rPr>
          <w:rFonts w:ascii="Calibri Light" w:eastAsia="Calibri" w:hAnsi="Calibri Light" w:cs="Times New Roman"/>
          <w:color w:val="000000"/>
          <w:lang w:val="en-AU"/>
        </w:rPr>
        <w:t xml:space="preserve">Wan Smolbag </w:t>
      </w:r>
      <w:r w:rsidRPr="00B81CBF">
        <w:rPr>
          <w:rFonts w:ascii="Calibri Light" w:hAnsi="Calibri Light"/>
          <w:color w:val="auto"/>
        </w:rPr>
        <w:t>provides a range of services</w:t>
      </w:r>
      <w:r>
        <w:rPr>
          <w:rFonts w:ascii="Calibri Light" w:hAnsi="Calibri Light"/>
          <w:color w:val="auto"/>
        </w:rPr>
        <w:t xml:space="preserve">, with a particular focus on </w:t>
      </w:r>
      <w:r w:rsidRPr="00B81CBF">
        <w:rPr>
          <w:rFonts w:ascii="Calibri Light" w:hAnsi="Calibri Light"/>
          <w:color w:val="auto"/>
        </w:rPr>
        <w:t>youth</w:t>
      </w:r>
      <w:r>
        <w:rPr>
          <w:rFonts w:ascii="Calibri Light" w:hAnsi="Calibri Light"/>
          <w:color w:val="auto"/>
        </w:rPr>
        <w:t xml:space="preserve"> and people with disabilities, </w:t>
      </w:r>
      <w:r w:rsidRPr="00B81CBF">
        <w:rPr>
          <w:rFonts w:ascii="Calibri Light" w:hAnsi="Calibri Light"/>
          <w:color w:val="auto"/>
        </w:rPr>
        <w:t xml:space="preserve">including sexual and reproductive health services, nutrition education, environment conservation awareness and sports and recreational activities. </w:t>
      </w:r>
      <w:r w:rsidR="00EB387A">
        <w:rPr>
          <w:rFonts w:ascii="Calibri Light" w:hAnsi="Calibri Light"/>
          <w:color w:val="auto"/>
        </w:rPr>
        <w:t>T</w:t>
      </w:r>
      <w:r w:rsidR="00707912">
        <w:rPr>
          <w:rFonts w:ascii="Calibri Light" w:hAnsi="Calibri Light"/>
          <w:color w:val="auto"/>
        </w:rPr>
        <w:t xml:space="preserve">heatre and films raised awareness and sought to influence attitudes about </w:t>
      </w:r>
      <w:r w:rsidR="00707912" w:rsidRPr="00B81CBF">
        <w:rPr>
          <w:rFonts w:ascii="Calibri Light" w:hAnsi="Calibri Light"/>
          <w:color w:val="auto"/>
        </w:rPr>
        <w:t>domestic violence</w:t>
      </w:r>
      <w:r w:rsidR="00707912">
        <w:rPr>
          <w:rFonts w:ascii="Calibri Light" w:hAnsi="Calibri Light"/>
          <w:color w:val="auto"/>
        </w:rPr>
        <w:t>, nutrition</w:t>
      </w:r>
      <w:r w:rsidR="00707912" w:rsidRPr="00B81CBF">
        <w:rPr>
          <w:rFonts w:ascii="Calibri Light" w:hAnsi="Calibri Light"/>
          <w:color w:val="auto"/>
        </w:rPr>
        <w:t xml:space="preserve"> </w:t>
      </w:r>
      <w:r w:rsidR="00707912">
        <w:rPr>
          <w:rFonts w:ascii="Calibri Light" w:hAnsi="Calibri Light"/>
          <w:color w:val="auto"/>
        </w:rPr>
        <w:t>and</w:t>
      </w:r>
      <w:r w:rsidR="00707912" w:rsidRPr="00B81CBF">
        <w:rPr>
          <w:rFonts w:ascii="Calibri Light" w:hAnsi="Calibri Light"/>
          <w:color w:val="auto"/>
        </w:rPr>
        <w:t xml:space="preserve"> </w:t>
      </w:r>
      <w:r w:rsidR="00707912">
        <w:rPr>
          <w:rFonts w:ascii="Calibri Light" w:hAnsi="Calibri Light"/>
          <w:color w:val="auto"/>
        </w:rPr>
        <w:t xml:space="preserve">cyclone preparedness, </w:t>
      </w:r>
      <w:r w:rsidR="00707912" w:rsidRPr="00B81CBF">
        <w:rPr>
          <w:rFonts w:ascii="Calibri Light" w:hAnsi="Calibri Light"/>
          <w:color w:val="auto"/>
        </w:rPr>
        <w:t xml:space="preserve">with 20,438 people attending </w:t>
      </w:r>
      <w:r w:rsidR="00EB387A">
        <w:rPr>
          <w:rFonts w:ascii="Calibri Light" w:eastAsia="Calibri" w:hAnsi="Calibri Light" w:cs="Times New Roman"/>
          <w:color w:val="000000"/>
          <w:lang w:val="en-AU"/>
        </w:rPr>
        <w:t xml:space="preserve">Wan Smolbag </w:t>
      </w:r>
      <w:r w:rsidR="00EB387A">
        <w:rPr>
          <w:rFonts w:ascii="Calibri Light" w:hAnsi="Calibri Light"/>
          <w:color w:val="auto"/>
        </w:rPr>
        <w:t>productions</w:t>
      </w:r>
      <w:r w:rsidR="00707912" w:rsidRPr="00B81CBF">
        <w:rPr>
          <w:rFonts w:ascii="Calibri Light" w:hAnsi="Calibri Light"/>
          <w:color w:val="auto"/>
        </w:rPr>
        <w:t xml:space="preserve">. </w:t>
      </w:r>
      <w:r w:rsidR="00EB387A">
        <w:rPr>
          <w:rFonts w:ascii="Calibri Light" w:eastAsia="Calibri" w:hAnsi="Calibri Light" w:cs="Times New Roman"/>
          <w:color w:val="000000"/>
          <w:lang w:val="en-AU"/>
        </w:rPr>
        <w:t>C</w:t>
      </w:r>
      <w:r>
        <w:rPr>
          <w:rFonts w:ascii="Calibri Light" w:eastAsia="Calibri" w:hAnsi="Calibri Light" w:cs="Times New Roman"/>
          <w:color w:val="000000"/>
          <w:lang w:val="en-AU"/>
        </w:rPr>
        <w:t>linic staff in Efate, Santo and Pentecost</w:t>
      </w:r>
      <w:r w:rsidRPr="00DE5B68">
        <w:rPr>
          <w:rFonts w:ascii="Calibri Light" w:eastAsia="Calibri" w:hAnsi="Calibri Light" w:cs="Times New Roman"/>
          <w:color w:val="000000"/>
          <w:lang w:val="en-AU"/>
        </w:rPr>
        <w:t xml:space="preserve"> </w:t>
      </w:r>
      <w:r>
        <w:rPr>
          <w:rFonts w:ascii="Calibri Light" w:eastAsia="Calibri" w:hAnsi="Calibri Light" w:cs="Times New Roman"/>
          <w:color w:val="000000"/>
          <w:lang w:val="en-AU"/>
        </w:rPr>
        <w:t>conducted</w:t>
      </w:r>
      <w:r w:rsidRPr="00DE5B68">
        <w:rPr>
          <w:rFonts w:ascii="Calibri Light" w:eastAsia="Calibri" w:hAnsi="Calibri Light" w:cs="Times New Roman"/>
          <w:color w:val="000000"/>
          <w:lang w:val="en-AU"/>
        </w:rPr>
        <w:t xml:space="preserve"> 15,454 (95</w:t>
      </w:r>
      <w:r w:rsidR="00EB387A">
        <w:rPr>
          <w:rFonts w:ascii="Calibri Light" w:eastAsia="Calibri" w:hAnsi="Calibri Light" w:cs="Times New Roman"/>
          <w:color w:val="000000"/>
          <w:lang w:val="en-AU"/>
        </w:rPr>
        <w:t xml:space="preserve"> per cent</w:t>
      </w:r>
      <w:r w:rsidRPr="00DE5B68">
        <w:rPr>
          <w:rFonts w:ascii="Calibri Light" w:eastAsia="Calibri" w:hAnsi="Calibri Light" w:cs="Times New Roman"/>
          <w:color w:val="000000"/>
          <w:lang w:val="en-AU"/>
        </w:rPr>
        <w:t xml:space="preserve"> of target) primary health care consultations and distributed 79,147 condoms</w:t>
      </w:r>
      <w:r w:rsidR="00707912">
        <w:rPr>
          <w:rFonts w:ascii="Calibri Light" w:eastAsia="Calibri" w:hAnsi="Calibri Light" w:cs="Times New Roman"/>
          <w:color w:val="000000"/>
          <w:lang w:val="en-AU"/>
        </w:rPr>
        <w:t>.</w:t>
      </w:r>
      <w:r w:rsidRPr="00DE5B68">
        <w:rPr>
          <w:rFonts w:ascii="Calibri Light" w:eastAsia="Calibri" w:hAnsi="Calibri Light" w:cs="Times New Roman"/>
          <w:color w:val="000000"/>
          <w:lang w:val="en-AU"/>
        </w:rPr>
        <w:t xml:space="preserve"> </w:t>
      </w:r>
      <w:r w:rsidR="00EB387A" w:rsidRPr="00B81CBF">
        <w:rPr>
          <w:rFonts w:ascii="Calibri Light" w:hAnsi="Calibri Light"/>
          <w:color w:val="auto"/>
        </w:rPr>
        <w:t xml:space="preserve">In 2018, 2,073 youth registered at Port Vila and Santo youth centres. </w:t>
      </w:r>
      <w:r w:rsidR="00707912">
        <w:rPr>
          <w:rFonts w:ascii="Calibri Light" w:eastAsia="Calibri" w:hAnsi="Calibri Light" w:cs="Times New Roman"/>
          <w:color w:val="000000"/>
          <w:lang w:val="en-AU"/>
        </w:rPr>
        <w:t>An e</w:t>
      </w:r>
      <w:r w:rsidRPr="00DE5B68">
        <w:rPr>
          <w:rFonts w:ascii="Calibri Light" w:eastAsia="Calibri" w:hAnsi="Calibri Light" w:cs="Times New Roman"/>
          <w:color w:val="000000"/>
          <w:lang w:val="en-AU"/>
        </w:rPr>
        <w:t>valuation reported greater awareness of causes and prevention of health issues, with 98</w:t>
      </w:r>
      <w:r w:rsidR="00EB387A">
        <w:rPr>
          <w:rFonts w:ascii="Calibri Light" w:eastAsia="Calibri" w:hAnsi="Calibri Light" w:cs="Times New Roman"/>
          <w:color w:val="000000"/>
          <w:lang w:val="en-AU"/>
        </w:rPr>
        <w:t xml:space="preserve"> per cent</w:t>
      </w:r>
      <w:r w:rsidRPr="00DE5B68">
        <w:rPr>
          <w:rFonts w:ascii="Calibri Light" w:eastAsia="Calibri" w:hAnsi="Calibri Light" w:cs="Times New Roman"/>
          <w:color w:val="000000"/>
          <w:lang w:val="en-AU"/>
        </w:rPr>
        <w:t xml:space="preserve"> of youth able to name at least one method of preventing pregnancy. </w:t>
      </w:r>
      <w:r w:rsidR="00EB387A">
        <w:rPr>
          <w:rFonts w:ascii="Calibri Light" w:hAnsi="Calibri Light"/>
          <w:color w:val="auto"/>
        </w:rPr>
        <w:t>Fifty-six per cent</w:t>
      </w:r>
      <w:r w:rsidR="00707912" w:rsidRPr="00B81CBF">
        <w:rPr>
          <w:rFonts w:ascii="Calibri Light" w:hAnsi="Calibri Light"/>
          <w:color w:val="auto"/>
        </w:rPr>
        <w:t xml:space="preserve"> of </w:t>
      </w:r>
      <w:r w:rsidR="00EB387A">
        <w:rPr>
          <w:rFonts w:ascii="Calibri Light" w:hAnsi="Calibri Light"/>
          <w:color w:val="auto"/>
        </w:rPr>
        <w:t xml:space="preserve">youth </w:t>
      </w:r>
      <w:r w:rsidR="00707912" w:rsidRPr="00B81CBF">
        <w:rPr>
          <w:rFonts w:ascii="Calibri Light" w:hAnsi="Calibri Light"/>
          <w:color w:val="auto"/>
        </w:rPr>
        <w:t xml:space="preserve">reported that engagement with </w:t>
      </w:r>
      <w:r w:rsidR="00EB387A">
        <w:rPr>
          <w:rFonts w:ascii="Calibri Light" w:eastAsia="Calibri" w:hAnsi="Calibri Light" w:cs="Times New Roman"/>
          <w:color w:val="000000"/>
          <w:lang w:val="en-AU"/>
        </w:rPr>
        <w:t xml:space="preserve">Wan Smolbag </w:t>
      </w:r>
      <w:r w:rsidR="00707912" w:rsidRPr="00B81CBF">
        <w:rPr>
          <w:rFonts w:ascii="Calibri Light" w:hAnsi="Calibri Light"/>
          <w:color w:val="auto"/>
        </w:rPr>
        <w:t>has assisted them in managing health and substance abuse issues and avoiding social problems.</w:t>
      </w:r>
    </w:p>
    <w:p w:rsidR="00934CB5" w:rsidRPr="00877607" w:rsidRDefault="00934CB5" w:rsidP="00934CB5">
      <w:pPr>
        <w:spacing w:before="240"/>
        <w:rPr>
          <w:rFonts w:asciiTheme="majorHAnsi" w:eastAsiaTheme="majorEastAsia" w:hAnsiTheme="majorHAnsi" w:cstheme="majorBidi"/>
          <w:caps/>
          <w:sz w:val="32"/>
          <w:szCs w:val="32"/>
        </w:rPr>
      </w:pPr>
      <w:r w:rsidRPr="00877607">
        <w:rPr>
          <w:rFonts w:asciiTheme="majorHAnsi" w:eastAsiaTheme="majorEastAsia" w:hAnsiTheme="majorHAnsi" w:cstheme="majorBidi"/>
          <w:caps/>
          <w:sz w:val="32"/>
          <w:szCs w:val="32"/>
        </w:rPr>
        <w:t xml:space="preserve">Objective </w:t>
      </w:r>
      <w:r>
        <w:rPr>
          <w:rFonts w:asciiTheme="majorHAnsi" w:eastAsiaTheme="majorEastAsia" w:hAnsiTheme="majorHAnsi" w:cstheme="majorBidi"/>
          <w:caps/>
          <w:sz w:val="32"/>
          <w:szCs w:val="32"/>
        </w:rPr>
        <w:t xml:space="preserve">4 </w:t>
      </w:r>
      <w:r w:rsidRPr="00934CB5">
        <w:rPr>
          <w:rFonts w:asciiTheme="majorHAnsi" w:eastAsiaTheme="majorEastAsia" w:hAnsiTheme="majorHAnsi" w:cstheme="majorBidi"/>
          <w:caps/>
          <w:sz w:val="32"/>
          <w:szCs w:val="32"/>
        </w:rPr>
        <w:t>Supporting cyclone recovery and reconstruction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9"/>
        <w:gridCol w:w="1911"/>
        <w:gridCol w:w="1911"/>
        <w:gridCol w:w="1891"/>
      </w:tblGrid>
      <w:tr w:rsidR="000C2054" w:rsidTr="00474A83">
        <w:tc>
          <w:tcPr>
            <w:tcW w:w="2016" w:type="dxa"/>
          </w:tcPr>
          <w:p w:rsidR="000C2054" w:rsidRDefault="000C2054" w:rsidP="00474A83">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73C80790" wp14:editId="5BD70716">
                  <wp:extent cx="1137600" cy="720000"/>
                  <wp:effectExtent l="0" t="0" r="5715" b="444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9" w:type="dxa"/>
          </w:tcPr>
          <w:p w:rsidR="000C2054" w:rsidRDefault="000C2054" w:rsidP="00474A83">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6337C6DC" wp14:editId="6DD4C707">
                  <wp:extent cx="612000" cy="6120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11" w:type="dxa"/>
          </w:tcPr>
          <w:p w:rsidR="000C2054" w:rsidRDefault="000C2054" w:rsidP="00474A83">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sidRPr="00B43B06">
              <w:rPr>
                <w:rFonts w:asciiTheme="majorHAnsi" w:eastAsiaTheme="majorEastAsia" w:hAnsiTheme="majorHAnsi" w:cstheme="majorBidi"/>
                <w:caps/>
                <w:noProof/>
                <w:color w:val="495965" w:themeColor="text2"/>
                <w:sz w:val="38"/>
                <w:szCs w:val="26"/>
              </w:rPr>
              <w:drawing>
                <wp:inline distT="0" distB="0" distL="0" distR="0" wp14:anchorId="16E440F8" wp14:editId="4D9D3373">
                  <wp:extent cx="612000" cy="612000"/>
                  <wp:effectExtent l="0" t="0" r="0" b="0"/>
                  <wp:docPr id="48" name="Picture 48" descr="\\TITAN\CHCH\Desktop\Aregnaul\Desktop\sdg-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AN\CHCH\Desktop\Aregnaul\Desktop\sdg-09.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1911" w:type="dxa"/>
          </w:tcPr>
          <w:p w:rsidR="000C2054" w:rsidRDefault="000C2054" w:rsidP="00474A83">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22CB95F3" wp14:editId="77445694">
                  <wp:extent cx="612000" cy="6120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891" w:type="dxa"/>
          </w:tcPr>
          <w:p w:rsidR="000C2054" w:rsidRDefault="000C2054" w:rsidP="00474A83">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13BA5AAA" wp14:editId="6F34D8A3">
                  <wp:extent cx="612000" cy="6120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rsidR="00C82F53" w:rsidRDefault="0097484B" w:rsidP="00C82F53">
      <w:pPr>
        <w:rPr>
          <w:color w:val="000000" w:themeColor="text1"/>
        </w:rPr>
      </w:pPr>
      <w:r w:rsidRPr="00263C1A">
        <w:rPr>
          <w:rFonts w:ascii="Calibri Light" w:hAnsi="Calibri Light"/>
          <w:color w:val="000000" w:themeColor="text1"/>
        </w:rPr>
        <w:t>This objective includes</w:t>
      </w:r>
      <w:r w:rsidR="00110CC4" w:rsidRPr="00263C1A">
        <w:rPr>
          <w:rFonts w:ascii="Calibri Light" w:hAnsi="Calibri Light"/>
          <w:color w:val="000000" w:themeColor="text1"/>
        </w:rPr>
        <w:t xml:space="preserve"> </w:t>
      </w:r>
      <w:r w:rsidR="000C2054" w:rsidRPr="00263C1A">
        <w:rPr>
          <w:rFonts w:ascii="Calibri Light" w:hAnsi="Calibri Light"/>
          <w:color w:val="000000" w:themeColor="text1"/>
        </w:rPr>
        <w:t xml:space="preserve">Australia’s </w:t>
      </w:r>
      <w:r w:rsidRPr="00263C1A">
        <w:rPr>
          <w:rFonts w:ascii="Calibri Light" w:hAnsi="Calibri Light"/>
          <w:color w:val="000000" w:themeColor="text1"/>
        </w:rPr>
        <w:t>Tropical Cyclone Pam recovery efforts,</w:t>
      </w:r>
      <w:r w:rsidR="000C2054" w:rsidRPr="00263C1A">
        <w:rPr>
          <w:rFonts w:ascii="Calibri Light" w:hAnsi="Calibri Light"/>
          <w:color w:val="000000" w:themeColor="text1"/>
        </w:rPr>
        <w:t xml:space="preserve"> </w:t>
      </w:r>
      <w:r w:rsidR="00513785">
        <w:rPr>
          <w:rFonts w:ascii="Calibri Light" w:hAnsi="Calibri Light"/>
          <w:color w:val="000000" w:themeColor="text1"/>
        </w:rPr>
        <w:t xml:space="preserve">plus </w:t>
      </w:r>
      <w:r w:rsidR="000C2054" w:rsidRPr="00263C1A">
        <w:rPr>
          <w:rFonts w:ascii="Calibri Light" w:hAnsi="Calibri Light"/>
          <w:color w:val="000000" w:themeColor="text1"/>
        </w:rPr>
        <w:t>response</w:t>
      </w:r>
      <w:r w:rsidR="00513785">
        <w:rPr>
          <w:rFonts w:ascii="Calibri Light" w:hAnsi="Calibri Light"/>
          <w:color w:val="000000" w:themeColor="text1"/>
        </w:rPr>
        <w:t>s to</w:t>
      </w:r>
      <w:r w:rsidR="000C2054" w:rsidRPr="00263C1A">
        <w:rPr>
          <w:rFonts w:ascii="Calibri Light" w:hAnsi="Calibri Light"/>
          <w:color w:val="000000" w:themeColor="text1"/>
        </w:rPr>
        <w:t xml:space="preserve"> the Ambae </w:t>
      </w:r>
      <w:r w:rsidR="00312659" w:rsidRPr="00263C1A">
        <w:rPr>
          <w:rFonts w:ascii="Calibri Light" w:hAnsi="Calibri Light"/>
          <w:color w:val="000000" w:themeColor="text1"/>
        </w:rPr>
        <w:t xml:space="preserve">and Ambrym </w:t>
      </w:r>
      <w:r w:rsidR="000C2054" w:rsidRPr="00263C1A">
        <w:rPr>
          <w:rFonts w:ascii="Calibri Light" w:hAnsi="Calibri Light"/>
          <w:color w:val="000000" w:themeColor="text1"/>
        </w:rPr>
        <w:t>volcano eruptions</w:t>
      </w:r>
      <w:r w:rsidRPr="00263C1A">
        <w:rPr>
          <w:rFonts w:ascii="Calibri Light" w:hAnsi="Calibri Light"/>
          <w:color w:val="000000" w:themeColor="text1"/>
        </w:rPr>
        <w:t>,</w:t>
      </w:r>
      <w:r w:rsidR="000C2054" w:rsidRPr="00263C1A">
        <w:rPr>
          <w:rFonts w:ascii="Calibri Light" w:hAnsi="Calibri Light"/>
          <w:color w:val="000000" w:themeColor="text1"/>
        </w:rPr>
        <w:t xml:space="preserve"> </w:t>
      </w:r>
      <w:r w:rsidR="00654607">
        <w:rPr>
          <w:rFonts w:ascii="Calibri Light" w:hAnsi="Calibri Light"/>
          <w:color w:val="000000" w:themeColor="text1"/>
        </w:rPr>
        <w:t>C</w:t>
      </w:r>
      <w:r w:rsidR="00312659" w:rsidRPr="00263C1A">
        <w:rPr>
          <w:rFonts w:ascii="Calibri Light" w:hAnsi="Calibri Light"/>
          <w:color w:val="000000" w:themeColor="text1"/>
        </w:rPr>
        <w:t>yclone</w:t>
      </w:r>
      <w:r w:rsidR="00E43E41">
        <w:rPr>
          <w:rFonts w:ascii="Calibri Light" w:hAnsi="Calibri Light"/>
          <w:color w:val="000000" w:themeColor="text1"/>
        </w:rPr>
        <w:t>s Hola and</w:t>
      </w:r>
      <w:r w:rsidR="00312659" w:rsidRPr="00263C1A">
        <w:rPr>
          <w:rFonts w:ascii="Calibri Light" w:hAnsi="Calibri Light"/>
          <w:color w:val="000000" w:themeColor="text1"/>
        </w:rPr>
        <w:t xml:space="preserve"> Oma</w:t>
      </w:r>
      <w:r w:rsidR="000C2054" w:rsidRPr="00263C1A">
        <w:rPr>
          <w:rFonts w:ascii="Calibri Light" w:hAnsi="Calibri Light"/>
          <w:color w:val="000000" w:themeColor="text1"/>
        </w:rPr>
        <w:t xml:space="preserve"> </w:t>
      </w:r>
      <w:r w:rsidR="00B03B20">
        <w:rPr>
          <w:rFonts w:ascii="Calibri Light" w:hAnsi="Calibri Light"/>
          <w:color w:val="000000" w:themeColor="text1"/>
        </w:rPr>
        <w:t>and the Aneityum tsu</w:t>
      </w:r>
      <w:r w:rsidR="00513785">
        <w:rPr>
          <w:rFonts w:ascii="Calibri Light" w:hAnsi="Calibri Light"/>
          <w:color w:val="000000" w:themeColor="text1"/>
        </w:rPr>
        <w:t>nami</w:t>
      </w:r>
      <w:r w:rsidR="00DD0778" w:rsidRPr="00BB3BB9">
        <w:rPr>
          <w:rFonts w:ascii="Calibri Light" w:hAnsi="Calibri Light"/>
          <w:b/>
          <w:color w:val="000000" w:themeColor="text1"/>
        </w:rPr>
        <w:t>.</w:t>
      </w:r>
      <w:r w:rsidR="00263C1A">
        <w:rPr>
          <w:rFonts w:ascii="Calibri Light" w:hAnsi="Calibri Light"/>
          <w:b/>
          <w:color w:val="000000" w:themeColor="text1"/>
        </w:rPr>
        <w:t xml:space="preserve"> </w:t>
      </w:r>
      <w:r w:rsidR="00263C1A">
        <w:rPr>
          <w:color w:val="000000" w:themeColor="text1"/>
        </w:rPr>
        <w:t xml:space="preserve">Objective 4 is rated green as investments were adequate or higher for efficiency and </w:t>
      </w:r>
      <w:r w:rsidR="00944075">
        <w:rPr>
          <w:color w:val="000000" w:themeColor="text1"/>
        </w:rPr>
        <w:t>effectiveness and p</w:t>
      </w:r>
      <w:r w:rsidR="00B35C00">
        <w:rPr>
          <w:color w:val="000000" w:themeColor="text1"/>
        </w:rPr>
        <w:t>erformance targets are on track.</w:t>
      </w:r>
    </w:p>
    <w:p w:rsidR="00DD0778" w:rsidRPr="00840F00" w:rsidRDefault="00DD0778" w:rsidP="00C82F53">
      <w:pPr>
        <w:rPr>
          <w:rFonts w:eastAsia="Calibri" w:cstheme="minorHAnsi"/>
          <w:b/>
          <w:color w:val="000000"/>
          <w:sz w:val="24"/>
          <w:szCs w:val="24"/>
        </w:rPr>
      </w:pPr>
      <w:r w:rsidRPr="00840F00">
        <w:rPr>
          <w:rFonts w:eastAsia="Calibri" w:cstheme="minorHAnsi"/>
          <w:b/>
          <w:color w:val="000000"/>
          <w:sz w:val="24"/>
          <w:szCs w:val="24"/>
        </w:rPr>
        <w:t>TROPICAL CYCLONE PAM RECOVERY</w:t>
      </w:r>
    </w:p>
    <w:p w:rsidR="00281724" w:rsidRPr="008D5394" w:rsidRDefault="00DD0778" w:rsidP="008D5394">
      <w:pPr>
        <w:suppressAutoHyphens w:val="0"/>
        <w:spacing w:before="77" w:after="0" w:line="240" w:lineRule="auto"/>
        <w:rPr>
          <w:rFonts w:ascii="Calibri Light" w:eastAsia="Calibri" w:hAnsi="Calibri Light" w:cs="Times New Roman"/>
          <w:color w:val="000000"/>
          <w:lang w:val="en-AU"/>
        </w:rPr>
      </w:pPr>
      <w:r w:rsidRPr="008D5394">
        <w:rPr>
          <w:rFonts w:ascii="Calibri Light" w:eastAsia="Calibri" w:hAnsi="Calibri Light" w:cs="Times New Roman"/>
          <w:b/>
          <w:color w:val="000000"/>
          <w:lang w:val="en-AU"/>
        </w:rPr>
        <w:t xml:space="preserve">Australia </w:t>
      </w:r>
      <w:r w:rsidR="008021C7">
        <w:rPr>
          <w:rFonts w:ascii="Calibri Light" w:eastAsia="Calibri" w:hAnsi="Calibri Light" w:cs="Times New Roman"/>
          <w:b/>
          <w:color w:val="000000"/>
          <w:lang w:val="en-AU"/>
        </w:rPr>
        <w:t xml:space="preserve">is </w:t>
      </w:r>
      <w:r w:rsidRPr="008D5394">
        <w:rPr>
          <w:rFonts w:ascii="Calibri Light" w:eastAsia="Calibri" w:hAnsi="Calibri Light" w:cs="Times New Roman"/>
          <w:b/>
          <w:color w:val="000000"/>
          <w:lang w:val="en-AU"/>
        </w:rPr>
        <w:t xml:space="preserve">the largest bilateral donor to Vanuatu's </w:t>
      </w:r>
      <w:r w:rsidR="00EB387A">
        <w:rPr>
          <w:rFonts w:ascii="Calibri Light" w:eastAsia="Calibri" w:hAnsi="Calibri Light" w:cs="Times New Roman"/>
          <w:b/>
          <w:color w:val="000000"/>
          <w:lang w:val="en-AU"/>
        </w:rPr>
        <w:t>Tropical Cyclone</w:t>
      </w:r>
      <w:r w:rsidR="00EB387A" w:rsidRPr="008D5394">
        <w:rPr>
          <w:rFonts w:ascii="Calibri Light" w:eastAsia="Calibri" w:hAnsi="Calibri Light" w:cs="Times New Roman"/>
          <w:b/>
          <w:color w:val="000000"/>
          <w:lang w:val="en-AU"/>
        </w:rPr>
        <w:t xml:space="preserve"> </w:t>
      </w:r>
      <w:r w:rsidRPr="008D5394">
        <w:rPr>
          <w:rFonts w:ascii="Calibri Light" w:eastAsia="Calibri" w:hAnsi="Calibri Light" w:cs="Times New Roman"/>
          <w:b/>
          <w:color w:val="000000"/>
          <w:lang w:val="en-AU"/>
        </w:rPr>
        <w:t xml:space="preserve">Pam recovery efforts. </w:t>
      </w:r>
      <w:r w:rsidRPr="008D5394">
        <w:rPr>
          <w:rFonts w:ascii="Calibri Light" w:eastAsia="Calibri" w:hAnsi="Calibri Light" w:cs="Times New Roman"/>
          <w:color w:val="000000"/>
          <w:lang w:val="en-AU"/>
        </w:rPr>
        <w:t xml:space="preserve">Delivered </w:t>
      </w:r>
      <w:r w:rsidR="008021C7">
        <w:rPr>
          <w:rFonts w:ascii="Calibri Light" w:eastAsia="Calibri" w:hAnsi="Calibri Light" w:cs="Times New Roman"/>
          <w:color w:val="000000"/>
          <w:lang w:val="en-AU"/>
        </w:rPr>
        <w:t xml:space="preserve">entirely through government systems, </w:t>
      </w:r>
      <w:r w:rsidRPr="008D5394">
        <w:rPr>
          <w:rFonts w:ascii="Calibri Light" w:eastAsia="Calibri" w:hAnsi="Calibri Light" w:cs="Times New Roman"/>
          <w:color w:val="000000"/>
          <w:lang w:val="en-AU"/>
        </w:rPr>
        <w:t xml:space="preserve">Australia’s investment supported </w:t>
      </w:r>
      <w:r w:rsidR="00654607">
        <w:rPr>
          <w:rFonts w:ascii="Calibri Light" w:eastAsia="Calibri" w:hAnsi="Calibri Light" w:cs="Times New Roman"/>
          <w:color w:val="000000"/>
          <w:lang w:val="en-AU"/>
        </w:rPr>
        <w:t>Vanuatu’s</w:t>
      </w:r>
      <w:r w:rsidR="008021C7">
        <w:rPr>
          <w:rFonts w:ascii="Calibri Light" w:eastAsia="Calibri" w:hAnsi="Calibri Light" w:cs="Times New Roman"/>
          <w:color w:val="000000"/>
          <w:lang w:val="en-AU"/>
        </w:rPr>
        <w:t xml:space="preserve"> </w:t>
      </w:r>
      <w:r w:rsidRPr="008D5394">
        <w:rPr>
          <w:rFonts w:ascii="Calibri Light" w:eastAsia="Calibri" w:hAnsi="Calibri Light" w:cs="Times New Roman"/>
          <w:color w:val="000000"/>
          <w:lang w:val="en-AU"/>
        </w:rPr>
        <w:t xml:space="preserve">National Cyclone Recovery and </w:t>
      </w:r>
      <w:r w:rsidRPr="008D5394">
        <w:rPr>
          <w:rFonts w:ascii="Calibri Light" w:eastAsia="Calibri" w:hAnsi="Calibri Light" w:cs="Times New Roman"/>
          <w:color w:val="000000"/>
          <w:lang w:val="en-AU"/>
        </w:rPr>
        <w:lastRenderedPageBreak/>
        <w:t xml:space="preserve">Economic Strengthening Program. </w:t>
      </w:r>
      <w:r w:rsidR="008021C7">
        <w:rPr>
          <w:rFonts w:ascii="Calibri Light" w:eastAsia="Calibri" w:hAnsi="Calibri Light" w:cs="Times New Roman"/>
          <w:color w:val="000000"/>
          <w:lang w:val="en-AU"/>
        </w:rPr>
        <w:t>A</w:t>
      </w:r>
      <w:r w:rsidR="00654607">
        <w:rPr>
          <w:rFonts w:ascii="Calibri Light" w:eastAsia="Calibri" w:hAnsi="Calibri Light" w:cs="Times New Roman"/>
          <w:color w:val="000000"/>
          <w:lang w:val="en-AU"/>
        </w:rPr>
        <w:t xml:space="preserve"> 2018</w:t>
      </w:r>
      <w:r w:rsidR="008021C7">
        <w:rPr>
          <w:rFonts w:ascii="Calibri Light" w:eastAsia="Calibri" w:hAnsi="Calibri Light" w:cs="Times New Roman"/>
          <w:color w:val="000000"/>
          <w:lang w:val="en-AU"/>
        </w:rPr>
        <w:t xml:space="preserve"> </w:t>
      </w:r>
      <w:r w:rsidR="00EB387A">
        <w:rPr>
          <w:rFonts w:ascii="Calibri Light" w:eastAsia="Calibri" w:hAnsi="Calibri Light" w:cs="Times New Roman"/>
          <w:color w:val="000000"/>
          <w:lang w:val="en-AU"/>
        </w:rPr>
        <w:t>i</w:t>
      </w:r>
      <w:r w:rsidR="008021C7">
        <w:rPr>
          <w:rFonts w:ascii="Calibri Light" w:eastAsia="Calibri" w:hAnsi="Calibri Light" w:cs="Times New Roman"/>
          <w:color w:val="000000"/>
          <w:lang w:val="en-AU"/>
        </w:rPr>
        <w:t>ndependent e</w:t>
      </w:r>
      <w:r w:rsidR="00F4280D" w:rsidRPr="008D5394">
        <w:rPr>
          <w:rFonts w:ascii="Calibri Light" w:eastAsia="Calibri" w:hAnsi="Calibri Light" w:cs="Times New Roman"/>
          <w:color w:val="000000"/>
          <w:lang w:val="en-AU"/>
        </w:rPr>
        <w:t>valuation</w:t>
      </w:r>
      <w:r w:rsidR="00281724" w:rsidRPr="008D5394">
        <w:rPr>
          <w:rFonts w:ascii="Calibri Light" w:eastAsia="Calibri" w:hAnsi="Calibri Light" w:cs="Times New Roman"/>
          <w:color w:val="000000"/>
          <w:lang w:val="en-AU"/>
        </w:rPr>
        <w:t xml:space="preserve"> reported Australia’s</w:t>
      </w:r>
      <w:r w:rsidRPr="008D5394">
        <w:rPr>
          <w:rFonts w:ascii="Calibri Light" w:eastAsia="Calibri" w:hAnsi="Calibri Light" w:cs="Times New Roman"/>
          <w:color w:val="000000"/>
          <w:lang w:val="en-AU"/>
        </w:rPr>
        <w:t xml:space="preserve"> contribution </w:t>
      </w:r>
      <w:r w:rsidR="008021C7">
        <w:rPr>
          <w:rFonts w:ascii="Calibri Light" w:eastAsia="Calibri" w:hAnsi="Calibri Light" w:cs="Times New Roman"/>
          <w:color w:val="000000"/>
          <w:lang w:val="en-AU"/>
        </w:rPr>
        <w:t xml:space="preserve">has </w:t>
      </w:r>
      <w:r w:rsidRPr="008D5394">
        <w:rPr>
          <w:rFonts w:ascii="Calibri Light" w:eastAsia="Calibri" w:hAnsi="Calibri Light" w:cs="Times New Roman"/>
          <w:color w:val="000000"/>
          <w:lang w:val="en-AU"/>
        </w:rPr>
        <w:t xml:space="preserve">assisted </w:t>
      </w:r>
      <w:r w:rsidR="008021C7">
        <w:rPr>
          <w:rFonts w:ascii="Calibri Light" w:eastAsia="Calibri" w:hAnsi="Calibri Light" w:cs="Times New Roman"/>
          <w:color w:val="000000"/>
          <w:lang w:val="en-AU"/>
        </w:rPr>
        <w:t>Vanuatu to recover and rebuild</w:t>
      </w:r>
      <w:r w:rsidRPr="008D5394">
        <w:rPr>
          <w:rFonts w:ascii="Calibri Light" w:eastAsia="Calibri" w:hAnsi="Calibri Light" w:cs="Times New Roman"/>
          <w:color w:val="000000"/>
          <w:lang w:val="en-AU"/>
        </w:rPr>
        <w:t xml:space="preserve"> by restoring livelihoods and boosting Vanuatu’s economy. </w:t>
      </w:r>
      <w:r w:rsidR="00527086" w:rsidRPr="008D5394">
        <w:rPr>
          <w:rFonts w:ascii="Calibri Light" w:eastAsia="Calibri" w:hAnsi="Calibri Light" w:cs="Times New Roman"/>
          <w:color w:val="000000"/>
          <w:lang w:val="en-AU"/>
        </w:rPr>
        <w:t xml:space="preserve">The delivery of Australia’s support through </w:t>
      </w:r>
      <w:r w:rsidR="008021C7">
        <w:rPr>
          <w:rFonts w:ascii="Calibri Light" w:eastAsia="Calibri" w:hAnsi="Calibri Light" w:cs="Times New Roman"/>
          <w:color w:val="000000"/>
          <w:lang w:val="en-AU"/>
        </w:rPr>
        <w:t>government</w:t>
      </w:r>
      <w:r w:rsidR="00527086" w:rsidRPr="008D5394">
        <w:rPr>
          <w:rFonts w:ascii="Calibri Light" w:eastAsia="Calibri" w:hAnsi="Calibri Light" w:cs="Times New Roman"/>
          <w:color w:val="000000"/>
          <w:lang w:val="en-AU"/>
        </w:rPr>
        <w:t xml:space="preserve"> systems</w:t>
      </w:r>
      <w:r w:rsidR="008021C7">
        <w:rPr>
          <w:rFonts w:ascii="Calibri Light" w:eastAsia="Calibri" w:hAnsi="Calibri Light" w:cs="Times New Roman"/>
          <w:color w:val="000000"/>
          <w:lang w:val="en-AU"/>
        </w:rPr>
        <w:t>, while</w:t>
      </w:r>
      <w:r w:rsidR="00EE2190" w:rsidRPr="008D5394">
        <w:rPr>
          <w:rFonts w:ascii="Calibri Light" w:eastAsia="Calibri" w:hAnsi="Calibri Light" w:cs="Times New Roman"/>
          <w:color w:val="000000"/>
          <w:lang w:val="en-AU"/>
        </w:rPr>
        <w:t xml:space="preserve"> creating some challenges,</w:t>
      </w:r>
      <w:r w:rsidR="00527086" w:rsidRPr="008D5394">
        <w:rPr>
          <w:rFonts w:ascii="Calibri Light" w:eastAsia="Calibri" w:hAnsi="Calibri Light" w:cs="Times New Roman"/>
          <w:color w:val="000000"/>
          <w:lang w:val="en-AU"/>
        </w:rPr>
        <w:t xml:space="preserve"> fostered a strengthened bilateral relationship</w:t>
      </w:r>
      <w:r w:rsidR="00EE2190" w:rsidRPr="008D5394">
        <w:rPr>
          <w:rFonts w:ascii="Calibri Light" w:eastAsia="Calibri" w:hAnsi="Calibri Light" w:cs="Times New Roman"/>
          <w:color w:val="000000"/>
          <w:lang w:val="en-AU"/>
        </w:rPr>
        <w:t>, contributed to Australia’s reputation,</w:t>
      </w:r>
      <w:r w:rsidR="00527086" w:rsidRPr="008D5394">
        <w:rPr>
          <w:rFonts w:ascii="Calibri Light" w:eastAsia="Calibri" w:hAnsi="Calibri Light" w:cs="Times New Roman"/>
          <w:color w:val="000000"/>
          <w:lang w:val="en-AU"/>
        </w:rPr>
        <w:t xml:space="preserve"> and embedded our position as Vanuatu’s primary humanitarian partner </w:t>
      </w:r>
      <w:r w:rsidR="00654607">
        <w:rPr>
          <w:rFonts w:ascii="Calibri Light" w:eastAsia="Calibri" w:hAnsi="Calibri Light" w:cs="Times New Roman"/>
          <w:color w:val="000000"/>
          <w:lang w:val="en-AU"/>
        </w:rPr>
        <w:t>t</w:t>
      </w:r>
      <w:r w:rsidR="00527086" w:rsidRPr="008D5394">
        <w:rPr>
          <w:rFonts w:ascii="Calibri Light" w:eastAsia="Calibri" w:hAnsi="Calibri Light" w:cs="Times New Roman"/>
          <w:color w:val="000000"/>
          <w:lang w:val="en-AU"/>
        </w:rPr>
        <w:t xml:space="preserve">hat can be relied on for the delivery of quality, climate resilient infrastructure. </w:t>
      </w:r>
      <w:r w:rsidR="00281724" w:rsidRPr="008D5394">
        <w:rPr>
          <w:rFonts w:ascii="Calibri Light" w:eastAsia="Calibri" w:hAnsi="Calibri Light" w:cs="Times New Roman"/>
          <w:color w:val="000000"/>
          <w:lang w:val="en-AU"/>
        </w:rPr>
        <w:t xml:space="preserve">The evaluation recommended that Australia’s future recovery programming should minimise engagement in sectors in which there is limited prior experience </w:t>
      </w:r>
      <w:r w:rsidR="00EE2190" w:rsidRPr="008D5394">
        <w:rPr>
          <w:rFonts w:ascii="Calibri Light" w:eastAsia="Calibri" w:hAnsi="Calibri Light" w:cs="Times New Roman"/>
          <w:color w:val="000000"/>
          <w:lang w:val="en-AU"/>
        </w:rPr>
        <w:t>and consider different modality options.</w:t>
      </w:r>
      <w:r w:rsidR="008021C7">
        <w:rPr>
          <w:rFonts w:ascii="Calibri Light" w:eastAsia="Calibri" w:hAnsi="Calibri Light" w:cs="Times New Roman"/>
          <w:color w:val="000000"/>
          <w:lang w:val="en-AU"/>
        </w:rPr>
        <w:t xml:space="preserve"> These recommendations have </w:t>
      </w:r>
      <w:r w:rsidR="00654607">
        <w:rPr>
          <w:rFonts w:ascii="Calibri Light" w:eastAsia="Calibri" w:hAnsi="Calibri Light" w:cs="Times New Roman"/>
          <w:color w:val="000000"/>
          <w:lang w:val="en-AU"/>
        </w:rPr>
        <w:t>informed</w:t>
      </w:r>
      <w:r w:rsidR="008021C7">
        <w:rPr>
          <w:rFonts w:ascii="Calibri Light" w:eastAsia="Calibri" w:hAnsi="Calibri Light" w:cs="Times New Roman"/>
          <w:color w:val="000000"/>
          <w:lang w:val="en-AU"/>
        </w:rPr>
        <w:t xml:space="preserve"> Australia’s support following volcanic activity on Ambae </w:t>
      </w:r>
      <w:r w:rsidR="00513785">
        <w:rPr>
          <w:rFonts w:ascii="Calibri Light" w:eastAsia="Calibri" w:hAnsi="Calibri Light" w:cs="Times New Roman"/>
          <w:color w:val="000000"/>
          <w:lang w:val="en-AU"/>
        </w:rPr>
        <w:t>I</w:t>
      </w:r>
      <w:r w:rsidR="008021C7">
        <w:rPr>
          <w:rFonts w:ascii="Calibri Light" w:eastAsia="Calibri" w:hAnsi="Calibri Light" w:cs="Times New Roman"/>
          <w:color w:val="000000"/>
          <w:lang w:val="en-AU"/>
        </w:rPr>
        <w:t xml:space="preserve">sland. </w:t>
      </w:r>
    </w:p>
    <w:p w:rsidR="008F2430" w:rsidRDefault="00075574" w:rsidP="008F2430">
      <w:pPr>
        <w:suppressAutoHyphens w:val="0"/>
        <w:spacing w:before="77" w:after="0" w:line="240" w:lineRule="auto"/>
        <w:rPr>
          <w:rFonts w:ascii="Calibri Light" w:eastAsia="Times New Roman" w:hAnsi="Calibri Light" w:cs="Calibri Light"/>
          <w:color w:val="000000"/>
          <w:lang w:val="en-AU"/>
        </w:rPr>
      </w:pPr>
      <w:r>
        <w:rPr>
          <w:rFonts w:ascii="Calibri Light" w:eastAsia="Times New Roman" w:hAnsi="Calibri Light" w:cs="Calibri Light"/>
          <w:b/>
          <w:color w:val="000000"/>
          <w:lang w:val="en-AU"/>
        </w:rPr>
        <w:t>Australia’s</w:t>
      </w:r>
      <w:r w:rsidR="00DD0778" w:rsidRPr="00DD0778">
        <w:rPr>
          <w:rFonts w:ascii="Calibri Light" w:eastAsia="Times New Roman" w:hAnsi="Calibri Light" w:cs="Calibri Light"/>
          <w:b/>
          <w:color w:val="000000"/>
          <w:lang w:val="en-AU"/>
        </w:rPr>
        <w:t xml:space="preserve"> investment </w:t>
      </w:r>
      <w:r w:rsidR="00DD0778" w:rsidRPr="008D5394">
        <w:rPr>
          <w:rFonts w:ascii="Calibri Light" w:eastAsia="Calibri" w:hAnsi="Calibri Light" w:cs="Times New Roman"/>
          <w:b/>
          <w:color w:val="000000"/>
          <w:lang w:val="en-AU"/>
        </w:rPr>
        <w:t>delivered</w:t>
      </w:r>
      <w:r w:rsidR="00DD0778" w:rsidRPr="00DD0778">
        <w:rPr>
          <w:rFonts w:ascii="Calibri Light" w:eastAsia="Times New Roman" w:hAnsi="Calibri Light" w:cs="Calibri Light"/>
          <w:b/>
          <w:color w:val="000000"/>
          <w:lang w:val="en-AU"/>
        </w:rPr>
        <w:t xml:space="preserve"> improved health, education and public safety facilities and capacity through restoration or construction of</w:t>
      </w:r>
      <w:r w:rsidR="008021C7">
        <w:rPr>
          <w:rFonts w:ascii="Calibri Light" w:eastAsia="Times New Roman" w:hAnsi="Calibri Light" w:cs="Calibri Light"/>
          <w:b/>
          <w:color w:val="000000"/>
          <w:lang w:val="en-AU"/>
        </w:rPr>
        <w:t xml:space="preserve"> </w:t>
      </w:r>
      <w:r w:rsidR="001978C2">
        <w:rPr>
          <w:rFonts w:ascii="Calibri Light" w:eastAsia="Times New Roman" w:hAnsi="Calibri Light" w:cs="Calibri Light"/>
          <w:b/>
          <w:color w:val="000000"/>
          <w:lang w:val="en-AU"/>
        </w:rPr>
        <w:t>2</w:t>
      </w:r>
      <w:r w:rsidR="009F056B">
        <w:rPr>
          <w:rFonts w:ascii="Calibri Light" w:eastAsia="Times New Roman" w:hAnsi="Calibri Light" w:cs="Calibri Light"/>
          <w:b/>
          <w:color w:val="000000"/>
          <w:lang w:val="en-AU"/>
        </w:rPr>
        <w:t>87</w:t>
      </w:r>
      <w:r w:rsidR="001978C2">
        <w:rPr>
          <w:rFonts w:ascii="Calibri Light" w:eastAsia="Times New Roman" w:hAnsi="Calibri Light" w:cs="Calibri Light"/>
          <w:b/>
          <w:color w:val="000000"/>
          <w:lang w:val="en-AU"/>
        </w:rPr>
        <w:t xml:space="preserve"> </w:t>
      </w:r>
      <w:r w:rsidR="00DD0778" w:rsidRPr="00DD0778">
        <w:rPr>
          <w:rFonts w:ascii="Calibri Light" w:eastAsia="Times New Roman" w:hAnsi="Calibri Light" w:cs="Calibri Light"/>
          <w:b/>
          <w:color w:val="000000"/>
          <w:lang w:val="en-AU"/>
        </w:rPr>
        <w:t>buildings</w:t>
      </w:r>
      <w:r w:rsidR="009F056B">
        <w:rPr>
          <w:rFonts w:ascii="Calibri Light" w:eastAsia="Times New Roman" w:hAnsi="Calibri Light" w:cs="Calibri Light"/>
          <w:b/>
          <w:color w:val="000000"/>
          <w:lang w:val="en-AU"/>
        </w:rPr>
        <w:t xml:space="preserve"> </w:t>
      </w:r>
      <w:r w:rsidR="00B35C00" w:rsidRPr="00B35C00">
        <w:rPr>
          <w:rFonts w:ascii="Calibri Light" w:eastAsia="Times New Roman" w:hAnsi="Calibri Light" w:cs="Calibri Light"/>
          <w:color w:val="000000"/>
          <w:lang w:val="en-AU"/>
        </w:rPr>
        <w:t xml:space="preserve">to date </w:t>
      </w:r>
      <w:r w:rsidR="004C29C1" w:rsidRPr="00B35C00">
        <w:rPr>
          <w:rFonts w:ascii="Calibri Light" w:eastAsia="Times New Roman" w:hAnsi="Calibri Light" w:cs="Calibri Light"/>
          <w:color w:val="000000"/>
          <w:lang w:val="en-AU"/>
        </w:rPr>
        <w:t>[PAF target 4.1]</w:t>
      </w:r>
      <w:r w:rsidR="00A86DF5">
        <w:rPr>
          <w:rFonts w:ascii="Calibri Light" w:eastAsia="Times New Roman" w:hAnsi="Calibri Light" w:cs="Calibri Light"/>
          <w:color w:val="000000"/>
          <w:lang w:val="en-AU"/>
        </w:rPr>
        <w:t xml:space="preserve">. The </w:t>
      </w:r>
      <w:r w:rsidR="00944075">
        <w:rPr>
          <w:rFonts w:ascii="Calibri Light" w:eastAsia="Times New Roman" w:hAnsi="Calibri Light" w:cs="Calibri Light"/>
          <w:color w:val="000000"/>
          <w:lang w:val="en-AU"/>
        </w:rPr>
        <w:t xml:space="preserve">Vanuatu </w:t>
      </w:r>
      <w:r w:rsidR="00A86DF5">
        <w:rPr>
          <w:rFonts w:ascii="Calibri Light" w:eastAsia="Times New Roman" w:hAnsi="Calibri Light" w:cs="Calibri Light"/>
          <w:color w:val="000000"/>
          <w:lang w:val="en-AU"/>
        </w:rPr>
        <w:t xml:space="preserve">Government extended the timeframe to finalise </w:t>
      </w:r>
      <w:r w:rsidR="00654607">
        <w:rPr>
          <w:rFonts w:ascii="Calibri Light" w:eastAsia="Times New Roman" w:hAnsi="Calibri Light" w:cs="Calibri Light"/>
          <w:color w:val="000000"/>
          <w:lang w:val="en-AU"/>
        </w:rPr>
        <w:t>outstanding activi</w:t>
      </w:r>
      <w:r w:rsidR="00944075">
        <w:rPr>
          <w:rFonts w:ascii="Calibri Light" w:eastAsia="Times New Roman" w:hAnsi="Calibri Light" w:cs="Calibri Light"/>
          <w:color w:val="000000"/>
          <w:lang w:val="en-AU"/>
        </w:rPr>
        <w:t xml:space="preserve">ties </w:t>
      </w:r>
      <w:r w:rsidR="00A86DF5">
        <w:rPr>
          <w:rFonts w:ascii="Calibri Light" w:eastAsia="Times New Roman" w:hAnsi="Calibri Light" w:cs="Calibri Light"/>
          <w:color w:val="000000"/>
          <w:lang w:val="en-AU"/>
        </w:rPr>
        <w:t xml:space="preserve">and is on track </w:t>
      </w:r>
      <w:r w:rsidR="00944075">
        <w:rPr>
          <w:rFonts w:ascii="Calibri Light" w:eastAsia="Times New Roman" w:hAnsi="Calibri Light" w:cs="Calibri Light"/>
          <w:color w:val="000000"/>
          <w:lang w:val="en-AU"/>
        </w:rPr>
        <w:t>to complete</w:t>
      </w:r>
      <w:r w:rsidR="00A86DF5">
        <w:rPr>
          <w:rFonts w:ascii="Calibri Light" w:eastAsia="Times New Roman" w:hAnsi="Calibri Light" w:cs="Calibri Light"/>
          <w:color w:val="000000"/>
          <w:lang w:val="en-AU"/>
        </w:rPr>
        <w:t xml:space="preserve"> remaining infrastructure work by early 2020. </w:t>
      </w:r>
      <w:r w:rsidR="00EE2190">
        <w:rPr>
          <w:rFonts w:ascii="Calibri Light" w:eastAsia="Times New Roman" w:hAnsi="Calibri Light" w:cs="Calibri Light"/>
          <w:color w:val="000000"/>
          <w:lang w:val="en-AU"/>
        </w:rPr>
        <w:t xml:space="preserve">In </w:t>
      </w:r>
      <w:r w:rsidR="00944075">
        <w:rPr>
          <w:rFonts w:ascii="Calibri Light" w:eastAsia="Times New Roman" w:hAnsi="Calibri Light" w:cs="Calibri Light"/>
          <w:color w:val="000000"/>
          <w:lang w:val="en-AU"/>
        </w:rPr>
        <w:t>2018-19</w:t>
      </w:r>
      <w:r w:rsidR="00EE2190">
        <w:rPr>
          <w:rFonts w:ascii="Calibri Light" w:eastAsia="Times New Roman" w:hAnsi="Calibri Light" w:cs="Calibri Light"/>
          <w:color w:val="000000"/>
          <w:lang w:val="en-AU"/>
        </w:rPr>
        <w:t>,</w:t>
      </w:r>
      <w:r w:rsidR="00DD0778" w:rsidRPr="00DD0778">
        <w:rPr>
          <w:rFonts w:ascii="Calibri Light" w:eastAsia="Times New Roman" w:hAnsi="Calibri Light" w:cs="Calibri Light"/>
          <w:color w:val="000000"/>
          <w:lang w:val="en-AU"/>
        </w:rPr>
        <w:t xml:space="preserve"> 2,475</w:t>
      </w:r>
      <w:r w:rsidR="0045567A">
        <w:rPr>
          <w:rFonts w:ascii="Calibri Light" w:eastAsia="Times New Roman" w:hAnsi="Calibri Light" w:cs="Calibri Light"/>
          <w:color w:val="000000"/>
          <w:lang w:val="en-AU"/>
        </w:rPr>
        <w:t> </w:t>
      </w:r>
      <w:r w:rsidR="00DD0778" w:rsidRPr="00DD0778">
        <w:rPr>
          <w:rFonts w:ascii="Calibri Light" w:eastAsia="Times New Roman" w:hAnsi="Calibri Light" w:cs="Calibri Light"/>
          <w:color w:val="000000"/>
          <w:lang w:val="en-AU"/>
        </w:rPr>
        <w:t>students benefited from the completion of 124 new and repaired classrooms</w:t>
      </w:r>
      <w:r w:rsidR="00EE2190">
        <w:rPr>
          <w:rFonts w:ascii="Calibri Light" w:eastAsia="Times New Roman" w:hAnsi="Calibri Light" w:cs="Calibri Light"/>
          <w:color w:val="000000"/>
          <w:lang w:val="en-AU"/>
        </w:rPr>
        <w:t xml:space="preserve"> (of </w:t>
      </w:r>
      <w:r w:rsidR="009F056B">
        <w:rPr>
          <w:rFonts w:ascii="Calibri Light" w:eastAsia="Times New Roman" w:hAnsi="Calibri Light" w:cs="Calibri Light"/>
          <w:color w:val="000000"/>
          <w:lang w:val="en-AU"/>
        </w:rPr>
        <w:t>165</w:t>
      </w:r>
      <w:r w:rsidR="00EE2190">
        <w:rPr>
          <w:rFonts w:ascii="Calibri Light" w:eastAsia="Times New Roman" w:hAnsi="Calibri Light" w:cs="Calibri Light"/>
          <w:color w:val="000000"/>
          <w:lang w:val="en-AU"/>
        </w:rPr>
        <w:t xml:space="preserve"> complete)</w:t>
      </w:r>
      <w:r w:rsidR="0045567A">
        <w:rPr>
          <w:rFonts w:ascii="Calibri Light" w:eastAsia="Times New Roman" w:hAnsi="Calibri Light" w:cs="Calibri Light"/>
          <w:color w:val="000000"/>
          <w:lang w:val="en-AU"/>
        </w:rPr>
        <w:t xml:space="preserve">. </w:t>
      </w:r>
      <w:r w:rsidR="001003B2">
        <w:rPr>
          <w:rFonts w:ascii="Calibri Light" w:eastAsia="Times New Roman" w:hAnsi="Calibri Light" w:cs="Calibri Light"/>
          <w:color w:val="000000"/>
          <w:lang w:val="en-AU"/>
        </w:rPr>
        <w:t xml:space="preserve">Twenty-four </w:t>
      </w:r>
      <w:r w:rsidR="00EE2190">
        <w:rPr>
          <w:rFonts w:ascii="Calibri Light" w:eastAsia="Times New Roman" w:hAnsi="Calibri Light" w:cs="Calibri Light"/>
          <w:color w:val="000000"/>
          <w:lang w:val="en-AU"/>
        </w:rPr>
        <w:t xml:space="preserve">(of </w:t>
      </w:r>
      <w:r w:rsidR="009F056B">
        <w:rPr>
          <w:rFonts w:ascii="Calibri Light" w:eastAsia="Times New Roman" w:hAnsi="Calibri Light" w:cs="Calibri Light"/>
          <w:color w:val="000000"/>
          <w:lang w:val="en-AU"/>
        </w:rPr>
        <w:t>71</w:t>
      </w:r>
      <w:r w:rsidR="008021C7">
        <w:rPr>
          <w:rFonts w:ascii="Calibri Light" w:eastAsia="Times New Roman" w:hAnsi="Calibri Light" w:cs="Calibri Light"/>
          <w:color w:val="000000"/>
          <w:lang w:val="en-AU"/>
        </w:rPr>
        <w:t xml:space="preserve"> completed</w:t>
      </w:r>
      <w:r w:rsidR="00EE2190">
        <w:rPr>
          <w:rFonts w:ascii="Calibri Light" w:eastAsia="Times New Roman" w:hAnsi="Calibri Light" w:cs="Calibri Light"/>
          <w:color w:val="000000"/>
          <w:lang w:val="en-AU"/>
        </w:rPr>
        <w:t>)</w:t>
      </w:r>
      <w:r w:rsidR="001003B2">
        <w:rPr>
          <w:rFonts w:ascii="Calibri Light" w:eastAsia="Times New Roman" w:hAnsi="Calibri Light" w:cs="Calibri Light"/>
          <w:color w:val="000000"/>
          <w:lang w:val="en-AU"/>
        </w:rPr>
        <w:t xml:space="preserve"> additional </w:t>
      </w:r>
      <w:r w:rsidR="00DD0778" w:rsidRPr="00DD0778">
        <w:rPr>
          <w:rFonts w:ascii="Calibri Light" w:eastAsia="Times New Roman" w:hAnsi="Calibri Light" w:cs="Calibri Light"/>
          <w:color w:val="000000"/>
          <w:lang w:val="en-AU"/>
        </w:rPr>
        <w:t xml:space="preserve">new or repaired health </w:t>
      </w:r>
      <w:r w:rsidR="001003B2">
        <w:rPr>
          <w:rFonts w:ascii="Calibri Light" w:eastAsia="Times New Roman" w:hAnsi="Calibri Light" w:cs="Calibri Light"/>
          <w:color w:val="000000"/>
          <w:lang w:val="en-AU"/>
        </w:rPr>
        <w:t>buildings</w:t>
      </w:r>
      <w:r w:rsidR="001003B2" w:rsidRPr="00DD0778">
        <w:rPr>
          <w:rFonts w:ascii="Calibri Light" w:eastAsia="Times New Roman" w:hAnsi="Calibri Light" w:cs="Calibri Light"/>
          <w:color w:val="000000"/>
          <w:lang w:val="en-AU"/>
        </w:rPr>
        <w:t xml:space="preserve"> </w:t>
      </w:r>
      <w:r w:rsidR="008021C7">
        <w:rPr>
          <w:rFonts w:ascii="Calibri Light" w:eastAsia="Times New Roman" w:hAnsi="Calibri Light" w:cs="Calibri Light"/>
          <w:color w:val="000000"/>
          <w:lang w:val="en-AU"/>
        </w:rPr>
        <w:t xml:space="preserve">were </w:t>
      </w:r>
      <w:r w:rsidR="00DD0778" w:rsidRPr="00DD0778">
        <w:rPr>
          <w:rFonts w:ascii="Calibri Light" w:eastAsia="Times New Roman" w:hAnsi="Calibri Light" w:cs="Calibri Light"/>
          <w:color w:val="000000"/>
          <w:lang w:val="en-AU"/>
        </w:rPr>
        <w:t>complete</w:t>
      </w:r>
      <w:r w:rsidR="008021C7">
        <w:rPr>
          <w:rFonts w:ascii="Calibri Light" w:eastAsia="Times New Roman" w:hAnsi="Calibri Light" w:cs="Calibri Light"/>
          <w:color w:val="000000"/>
          <w:lang w:val="en-AU"/>
        </w:rPr>
        <w:t>d</w:t>
      </w:r>
      <w:r w:rsidR="00DD0778" w:rsidRPr="00DD0778">
        <w:rPr>
          <w:rFonts w:ascii="Calibri Light" w:eastAsia="Times New Roman" w:hAnsi="Calibri Light" w:cs="Calibri Light"/>
          <w:color w:val="000000"/>
          <w:lang w:val="en-AU"/>
        </w:rPr>
        <w:t xml:space="preserve">. </w:t>
      </w:r>
      <w:r w:rsidR="008021C7">
        <w:rPr>
          <w:rFonts w:ascii="Calibri Light" w:eastAsia="Times New Roman" w:hAnsi="Calibri Light" w:cs="Calibri Light"/>
          <w:color w:val="000000"/>
          <w:lang w:val="en-AU"/>
        </w:rPr>
        <w:t xml:space="preserve">Government </w:t>
      </w:r>
      <w:r w:rsidR="00DD0778" w:rsidRPr="00DD0778">
        <w:rPr>
          <w:rFonts w:ascii="Calibri Light" w:eastAsia="Times New Roman" w:hAnsi="Calibri Light" w:cs="Calibri Light"/>
          <w:color w:val="000000"/>
          <w:lang w:val="en-AU"/>
        </w:rPr>
        <w:t xml:space="preserve">officials occupied 35 </w:t>
      </w:r>
      <w:r w:rsidR="00EE2190">
        <w:rPr>
          <w:rFonts w:ascii="Calibri Light" w:eastAsia="Times New Roman" w:hAnsi="Calibri Light" w:cs="Calibri Light"/>
          <w:color w:val="000000"/>
          <w:lang w:val="en-AU"/>
        </w:rPr>
        <w:t xml:space="preserve">(of </w:t>
      </w:r>
      <w:r w:rsidR="009F056B">
        <w:rPr>
          <w:rFonts w:ascii="Calibri Light" w:eastAsia="Times New Roman" w:hAnsi="Calibri Light" w:cs="Calibri Light"/>
          <w:color w:val="000000"/>
          <w:lang w:val="en-AU"/>
        </w:rPr>
        <w:t>51</w:t>
      </w:r>
      <w:r w:rsidR="008021C7">
        <w:rPr>
          <w:rFonts w:ascii="Calibri Light" w:eastAsia="Times New Roman" w:hAnsi="Calibri Light" w:cs="Calibri Light"/>
          <w:color w:val="000000"/>
          <w:lang w:val="en-AU"/>
        </w:rPr>
        <w:t xml:space="preserve"> completed</w:t>
      </w:r>
      <w:r w:rsidR="00EE2190">
        <w:rPr>
          <w:rFonts w:ascii="Calibri Light" w:eastAsia="Times New Roman" w:hAnsi="Calibri Light" w:cs="Calibri Light"/>
          <w:color w:val="000000"/>
          <w:lang w:val="en-AU"/>
        </w:rPr>
        <w:t xml:space="preserve">) </w:t>
      </w:r>
      <w:r w:rsidR="00DD0778" w:rsidRPr="00DD0778">
        <w:rPr>
          <w:rFonts w:ascii="Calibri Light" w:eastAsia="Times New Roman" w:hAnsi="Calibri Light" w:cs="Calibri Light"/>
          <w:color w:val="000000"/>
          <w:lang w:val="en-AU"/>
        </w:rPr>
        <w:t>new or repaired public buildings</w:t>
      </w:r>
      <w:r w:rsidR="0045567A">
        <w:rPr>
          <w:rFonts w:ascii="Calibri Light" w:eastAsia="Times New Roman" w:hAnsi="Calibri Light" w:cs="Calibri Light"/>
          <w:color w:val="000000"/>
          <w:lang w:val="en-AU"/>
        </w:rPr>
        <w:t>.</w:t>
      </w:r>
      <w:r w:rsidR="00B034A4">
        <w:rPr>
          <w:rFonts w:ascii="Calibri Light" w:eastAsia="Times New Roman" w:hAnsi="Calibri Light" w:cs="Calibri Light"/>
          <w:color w:val="000000"/>
          <w:lang w:val="en-AU"/>
        </w:rPr>
        <w:t xml:space="preserve"> </w:t>
      </w:r>
      <w:r w:rsidR="001003B2">
        <w:rPr>
          <w:rFonts w:ascii="Calibri Light" w:eastAsia="Times New Roman" w:hAnsi="Calibri Light" w:cs="Calibri Light"/>
          <w:color w:val="000000"/>
          <w:lang w:val="en-AU"/>
        </w:rPr>
        <w:t>Eighteen</w:t>
      </w:r>
      <w:r w:rsidR="00DD0778" w:rsidRPr="00DD0778">
        <w:rPr>
          <w:rFonts w:ascii="Calibri Light" w:eastAsia="Times New Roman" w:hAnsi="Calibri Light" w:cs="Calibri Light"/>
          <w:color w:val="000000"/>
          <w:lang w:val="en-AU"/>
        </w:rPr>
        <w:t xml:space="preserve"> additional water systems </w:t>
      </w:r>
      <w:r w:rsidR="00EE2190">
        <w:rPr>
          <w:rFonts w:ascii="Calibri Light" w:eastAsia="Times New Roman" w:hAnsi="Calibri Light" w:cs="Calibri Light"/>
          <w:color w:val="000000"/>
          <w:lang w:val="en-AU"/>
        </w:rPr>
        <w:t xml:space="preserve">(of </w:t>
      </w:r>
      <w:r w:rsidR="009F056B">
        <w:rPr>
          <w:rFonts w:ascii="Calibri Light" w:eastAsia="Times New Roman" w:hAnsi="Calibri Light" w:cs="Calibri Light"/>
          <w:color w:val="000000"/>
          <w:lang w:val="en-AU"/>
        </w:rPr>
        <w:t>8</w:t>
      </w:r>
      <w:r w:rsidR="004B4806">
        <w:rPr>
          <w:rFonts w:ascii="Calibri Light" w:eastAsia="Times New Roman" w:hAnsi="Calibri Light" w:cs="Calibri Light"/>
          <w:color w:val="000000"/>
          <w:lang w:val="en-AU"/>
        </w:rPr>
        <w:t>0</w:t>
      </w:r>
      <w:r w:rsidR="00EE2190">
        <w:rPr>
          <w:rFonts w:ascii="Calibri Light" w:eastAsia="Times New Roman" w:hAnsi="Calibri Light" w:cs="Calibri Light"/>
          <w:color w:val="000000"/>
          <w:lang w:val="en-AU"/>
        </w:rPr>
        <w:t xml:space="preserve"> completed)</w:t>
      </w:r>
      <w:r w:rsidR="00DD0778" w:rsidRPr="00DD0778">
        <w:rPr>
          <w:rFonts w:ascii="Calibri Light" w:eastAsia="Times New Roman" w:hAnsi="Calibri Light" w:cs="Calibri Light"/>
          <w:color w:val="000000"/>
          <w:lang w:val="en-AU"/>
        </w:rPr>
        <w:t xml:space="preserve"> were installed</w:t>
      </w:r>
      <w:r w:rsidR="00293D09">
        <w:rPr>
          <w:rFonts w:ascii="Calibri Light" w:eastAsia="Times New Roman" w:hAnsi="Calibri Light" w:cs="Calibri Light"/>
          <w:color w:val="000000"/>
          <w:lang w:val="en-AU"/>
        </w:rPr>
        <w:t xml:space="preserve">. A major project </w:t>
      </w:r>
      <w:r w:rsidR="00513785">
        <w:rPr>
          <w:rFonts w:ascii="Calibri Light" w:eastAsia="Times New Roman" w:hAnsi="Calibri Light" w:cs="Calibri Light"/>
          <w:color w:val="000000"/>
          <w:lang w:val="en-AU"/>
        </w:rPr>
        <w:t xml:space="preserve">to </w:t>
      </w:r>
      <w:r w:rsidR="009F056B">
        <w:rPr>
          <w:rFonts w:ascii="Calibri Light" w:eastAsia="Times New Roman" w:hAnsi="Calibri Light" w:cs="Calibri Light"/>
          <w:color w:val="000000"/>
          <w:lang w:val="en-AU"/>
        </w:rPr>
        <w:t>r</w:t>
      </w:r>
      <w:r w:rsidR="00293D09">
        <w:rPr>
          <w:rFonts w:ascii="Calibri Light" w:eastAsia="Times New Roman" w:hAnsi="Calibri Light" w:cs="Calibri Light"/>
          <w:color w:val="000000"/>
          <w:lang w:val="en-AU"/>
        </w:rPr>
        <w:t xml:space="preserve">elocate </w:t>
      </w:r>
      <w:r w:rsidR="009F056B" w:rsidRPr="009F056B">
        <w:rPr>
          <w:rFonts w:ascii="Calibri Light" w:eastAsia="Times New Roman" w:hAnsi="Calibri Light" w:cs="Calibri Light"/>
          <w:color w:val="000000"/>
          <w:lang w:val="en-AU"/>
        </w:rPr>
        <w:t xml:space="preserve">the water supply </w:t>
      </w:r>
      <w:r w:rsidR="00293D09">
        <w:rPr>
          <w:rFonts w:ascii="Calibri Light" w:eastAsia="Times New Roman" w:hAnsi="Calibri Light" w:cs="Calibri Light"/>
          <w:color w:val="000000"/>
          <w:lang w:val="en-AU"/>
        </w:rPr>
        <w:t xml:space="preserve">for Isangel was completed, </w:t>
      </w:r>
      <w:r w:rsidR="00DD0778" w:rsidRPr="00DD0778">
        <w:rPr>
          <w:rFonts w:ascii="Calibri Light" w:eastAsia="Times New Roman" w:hAnsi="Calibri Light" w:cs="Calibri Light"/>
          <w:color w:val="000000"/>
          <w:lang w:val="en-AU"/>
        </w:rPr>
        <w:t xml:space="preserve">providing better quality and more reliable water to </w:t>
      </w:r>
      <w:r w:rsidR="00312659">
        <w:rPr>
          <w:rFonts w:ascii="Calibri Light" w:eastAsia="Times New Roman" w:hAnsi="Calibri Light" w:cs="Calibri Light"/>
          <w:color w:val="000000"/>
          <w:lang w:val="en-AU"/>
        </w:rPr>
        <w:t>over 20,000</w:t>
      </w:r>
      <w:r w:rsidR="00312659" w:rsidRPr="00DD0778">
        <w:rPr>
          <w:rFonts w:ascii="Calibri Light" w:eastAsia="Times New Roman" w:hAnsi="Calibri Light" w:cs="Calibri Light"/>
          <w:color w:val="000000"/>
          <w:lang w:val="en-AU"/>
        </w:rPr>
        <w:t xml:space="preserve"> </w:t>
      </w:r>
      <w:r w:rsidR="00DD0778" w:rsidRPr="00DD0778">
        <w:rPr>
          <w:rFonts w:ascii="Calibri Light" w:eastAsia="Times New Roman" w:hAnsi="Calibri Light" w:cs="Calibri Light"/>
          <w:color w:val="000000"/>
          <w:lang w:val="en-AU"/>
        </w:rPr>
        <w:t>people on Tan</w:t>
      </w:r>
      <w:r w:rsidR="00225092">
        <w:rPr>
          <w:rFonts w:ascii="Calibri Light" w:eastAsia="Times New Roman" w:hAnsi="Calibri Light" w:cs="Calibri Light"/>
          <w:color w:val="000000"/>
          <w:lang w:val="en-AU"/>
        </w:rPr>
        <w:t>n</w:t>
      </w:r>
      <w:r w:rsidR="00DD0778" w:rsidRPr="00DD0778">
        <w:rPr>
          <w:rFonts w:ascii="Calibri Light" w:eastAsia="Times New Roman" w:hAnsi="Calibri Light" w:cs="Calibri Light"/>
          <w:color w:val="000000"/>
          <w:lang w:val="en-AU"/>
        </w:rPr>
        <w:t>a</w:t>
      </w:r>
      <w:r w:rsidR="0045567A">
        <w:rPr>
          <w:rFonts w:ascii="Calibri Light" w:eastAsia="Times New Roman" w:hAnsi="Calibri Light" w:cs="Calibri Light"/>
          <w:color w:val="000000"/>
          <w:lang w:val="en-AU"/>
        </w:rPr>
        <w:t xml:space="preserve"> Island</w:t>
      </w:r>
      <w:r w:rsidR="00312659">
        <w:rPr>
          <w:rFonts w:ascii="Calibri Light" w:eastAsia="Times New Roman" w:hAnsi="Calibri Light" w:cs="Calibri Light"/>
          <w:color w:val="000000"/>
          <w:lang w:val="en-AU"/>
        </w:rPr>
        <w:t>, including patients and staff of Lenakel hospital</w:t>
      </w:r>
      <w:r w:rsidR="00DD0778" w:rsidRPr="00DD0778">
        <w:rPr>
          <w:rFonts w:ascii="Calibri Light" w:eastAsia="Times New Roman" w:hAnsi="Calibri Light" w:cs="Calibri Light"/>
          <w:color w:val="000000"/>
          <w:lang w:val="en-AU"/>
        </w:rPr>
        <w:t>.</w:t>
      </w:r>
      <w:r w:rsidR="008F2430">
        <w:rPr>
          <w:rFonts w:ascii="Calibri Light" w:eastAsia="Times New Roman" w:hAnsi="Calibri Light" w:cs="Calibri Light"/>
          <w:color w:val="000000"/>
          <w:lang w:val="en-AU"/>
        </w:rPr>
        <w:t xml:space="preserve"> The </w:t>
      </w:r>
      <w:r w:rsidR="00944075">
        <w:rPr>
          <w:rFonts w:ascii="Calibri Light" w:eastAsia="Times New Roman" w:hAnsi="Calibri Light" w:cs="Calibri Light"/>
          <w:color w:val="000000"/>
          <w:lang w:val="en-AU"/>
        </w:rPr>
        <w:t xml:space="preserve">program </w:t>
      </w:r>
      <w:r w:rsidR="008F2430">
        <w:rPr>
          <w:rFonts w:ascii="Calibri Light" w:eastAsia="Times New Roman" w:hAnsi="Calibri Light" w:cs="Calibri Light"/>
          <w:color w:val="000000"/>
          <w:lang w:val="en-AU"/>
        </w:rPr>
        <w:t xml:space="preserve">evaluation </w:t>
      </w:r>
      <w:r w:rsidR="00944075">
        <w:rPr>
          <w:rFonts w:ascii="Calibri Light" w:eastAsia="Times New Roman" w:hAnsi="Calibri Light" w:cs="Calibri Light"/>
          <w:color w:val="000000"/>
          <w:lang w:val="en-AU"/>
        </w:rPr>
        <w:t>found</w:t>
      </w:r>
      <w:r w:rsidR="008F2430">
        <w:rPr>
          <w:rFonts w:ascii="Calibri Light" w:eastAsia="Times New Roman" w:hAnsi="Calibri Light" w:cs="Calibri Light"/>
          <w:color w:val="000000"/>
          <w:lang w:val="en-AU"/>
        </w:rPr>
        <w:t xml:space="preserve"> that the Vanuatu Society for People with Disability (VSPD) and the Vanuatu Government’s disability desk were integral in ensuring disability </w:t>
      </w:r>
      <w:r w:rsidR="00944075">
        <w:rPr>
          <w:rFonts w:ascii="Calibri Light" w:eastAsia="Times New Roman" w:hAnsi="Calibri Light" w:cs="Calibri Light"/>
          <w:color w:val="000000"/>
          <w:lang w:val="en-AU"/>
        </w:rPr>
        <w:t>inclusion and achievement of universal standards in project development</w:t>
      </w:r>
      <w:r w:rsidR="008F2430">
        <w:rPr>
          <w:rFonts w:ascii="Calibri Light" w:eastAsia="Times New Roman" w:hAnsi="Calibri Light" w:cs="Calibri Light"/>
          <w:color w:val="000000"/>
          <w:lang w:val="en-AU"/>
        </w:rPr>
        <w:t xml:space="preserve">. VSPD </w:t>
      </w:r>
      <w:r w:rsidR="00944075">
        <w:rPr>
          <w:rFonts w:ascii="Calibri Light" w:eastAsia="Times New Roman" w:hAnsi="Calibri Light" w:cs="Calibri Light"/>
          <w:color w:val="000000"/>
          <w:lang w:val="en-AU"/>
        </w:rPr>
        <w:t>stated</w:t>
      </w:r>
      <w:r w:rsidR="008F2430">
        <w:rPr>
          <w:rFonts w:ascii="Calibri Light" w:eastAsia="Times New Roman" w:hAnsi="Calibri Light" w:cs="Calibri Light"/>
          <w:color w:val="000000"/>
          <w:lang w:val="en-AU"/>
        </w:rPr>
        <w:t xml:space="preserve"> that since TC Pam</w:t>
      </w:r>
      <w:r w:rsidR="00D950F4">
        <w:rPr>
          <w:rFonts w:ascii="Calibri Light" w:eastAsia="Times New Roman" w:hAnsi="Calibri Light" w:cs="Calibri Light"/>
          <w:color w:val="000000"/>
          <w:lang w:val="en-AU"/>
        </w:rPr>
        <w:t>,</w:t>
      </w:r>
      <w:r w:rsidR="008F2430">
        <w:rPr>
          <w:rFonts w:ascii="Calibri Light" w:eastAsia="Times New Roman" w:hAnsi="Calibri Light" w:cs="Calibri Light"/>
          <w:color w:val="000000"/>
          <w:lang w:val="en-AU"/>
        </w:rPr>
        <w:t xml:space="preserve"> mainstreaming disability has become a stronger priority for government.</w:t>
      </w:r>
    </w:p>
    <w:p w:rsidR="00440223" w:rsidRDefault="00DD0778" w:rsidP="008D5394">
      <w:pPr>
        <w:suppressAutoHyphens w:val="0"/>
        <w:spacing w:before="77" w:after="0" w:line="240" w:lineRule="auto"/>
        <w:rPr>
          <w:rFonts w:ascii="Calibri Light" w:eastAsia="Times New Roman" w:hAnsi="Calibri Light" w:cs="Calibri Light"/>
          <w:color w:val="000000"/>
          <w:lang w:val="en-AU"/>
        </w:rPr>
      </w:pPr>
      <w:r w:rsidRPr="00DD0778">
        <w:rPr>
          <w:rFonts w:ascii="Calibri Light" w:eastAsia="Times New Roman" w:hAnsi="Calibri Light" w:cs="Calibri Light"/>
          <w:b/>
          <w:color w:val="000000"/>
          <w:lang w:val="en-AU"/>
        </w:rPr>
        <w:t xml:space="preserve">The investment contributed to climate and disaster resilience, consistent with Australia’s commitment to the Sendal Framework for Disaster Risk Reduction 2015-30 and Vanuatu’s </w:t>
      </w:r>
      <w:r w:rsidR="0045567A" w:rsidRPr="00105E09">
        <w:rPr>
          <w:b/>
          <w:i/>
          <w:color w:val="000000" w:themeColor="text1"/>
        </w:rPr>
        <w:t>National Sustainable Development Plan</w:t>
      </w:r>
      <w:r w:rsidR="00591BBA">
        <w:rPr>
          <w:b/>
          <w:i/>
          <w:color w:val="000000" w:themeColor="text1"/>
        </w:rPr>
        <w:t xml:space="preserve"> 2030</w:t>
      </w:r>
      <w:r w:rsidRPr="00DD0778">
        <w:rPr>
          <w:rFonts w:ascii="Calibri Light" w:eastAsia="Times New Roman" w:hAnsi="Calibri Light" w:cs="Calibri Light"/>
          <w:b/>
          <w:color w:val="000000"/>
          <w:lang w:val="en-AU"/>
        </w:rPr>
        <w:t>.</w:t>
      </w:r>
      <w:r w:rsidRPr="00DD0778">
        <w:rPr>
          <w:rFonts w:ascii="Calibri Light" w:eastAsia="Times New Roman" w:hAnsi="Calibri Light" w:cs="Calibri Light"/>
          <w:color w:val="000000"/>
          <w:lang w:val="en-AU"/>
        </w:rPr>
        <w:t xml:space="preserve"> Standard drawings of </w:t>
      </w:r>
      <w:r w:rsidR="001003B2">
        <w:rPr>
          <w:rFonts w:ascii="Calibri Light" w:eastAsia="Times New Roman" w:hAnsi="Calibri Light" w:cs="Calibri Light"/>
          <w:color w:val="000000"/>
          <w:lang w:val="en-AU"/>
        </w:rPr>
        <w:t>21</w:t>
      </w:r>
      <w:r w:rsidRPr="00DD0778">
        <w:rPr>
          <w:rFonts w:ascii="Calibri Light" w:eastAsia="Times New Roman" w:hAnsi="Calibri Light" w:cs="Calibri Light"/>
          <w:color w:val="000000"/>
          <w:lang w:val="en-AU"/>
        </w:rPr>
        <w:t xml:space="preserve"> water supply infrastructure elements were developed with the Department of Water Resources and now form part of new </w:t>
      </w:r>
      <w:r w:rsidR="00483CF1">
        <w:rPr>
          <w:rFonts w:ascii="Calibri Light" w:eastAsia="Times New Roman" w:hAnsi="Calibri Light" w:cs="Calibri Light"/>
          <w:color w:val="000000"/>
          <w:lang w:val="en-AU"/>
        </w:rPr>
        <w:t>d</w:t>
      </w:r>
      <w:r w:rsidRPr="00DD0778">
        <w:rPr>
          <w:rFonts w:ascii="Calibri Light" w:eastAsia="Times New Roman" w:hAnsi="Calibri Light" w:cs="Calibri Light"/>
          <w:color w:val="000000"/>
          <w:lang w:val="en-AU"/>
        </w:rPr>
        <w:t xml:space="preserve">esign and </w:t>
      </w:r>
      <w:r w:rsidR="00483CF1">
        <w:rPr>
          <w:rFonts w:ascii="Calibri Light" w:eastAsia="Times New Roman" w:hAnsi="Calibri Light" w:cs="Calibri Light"/>
          <w:color w:val="000000"/>
          <w:lang w:val="en-AU"/>
        </w:rPr>
        <w:t>c</w:t>
      </w:r>
      <w:r w:rsidRPr="00DD0778">
        <w:rPr>
          <w:rFonts w:ascii="Calibri Light" w:eastAsia="Times New Roman" w:hAnsi="Calibri Light" w:cs="Calibri Light"/>
          <w:color w:val="000000"/>
          <w:lang w:val="en-AU"/>
        </w:rPr>
        <w:t xml:space="preserve">onstruction </w:t>
      </w:r>
      <w:r w:rsidR="00483CF1">
        <w:rPr>
          <w:rFonts w:ascii="Calibri Light" w:eastAsia="Times New Roman" w:hAnsi="Calibri Light" w:cs="Calibri Light"/>
          <w:color w:val="000000"/>
          <w:lang w:val="en-AU"/>
        </w:rPr>
        <w:t>s</w:t>
      </w:r>
      <w:r w:rsidRPr="00DD0778">
        <w:rPr>
          <w:rFonts w:ascii="Calibri Light" w:eastAsia="Times New Roman" w:hAnsi="Calibri Light" w:cs="Calibri Light"/>
          <w:color w:val="000000"/>
          <w:lang w:val="en-AU"/>
        </w:rPr>
        <w:t>tandard</w:t>
      </w:r>
      <w:r w:rsidR="003D26D6">
        <w:rPr>
          <w:rFonts w:ascii="Calibri Light" w:eastAsia="Times New Roman" w:hAnsi="Calibri Light" w:cs="Calibri Light"/>
          <w:color w:val="000000"/>
          <w:lang w:val="en-AU"/>
        </w:rPr>
        <w:t>s</w:t>
      </w:r>
      <w:r w:rsidRPr="00DD0778">
        <w:rPr>
          <w:rFonts w:ascii="Calibri Light" w:eastAsia="Times New Roman" w:hAnsi="Calibri Light" w:cs="Calibri Light"/>
          <w:color w:val="000000"/>
          <w:lang w:val="en-AU"/>
        </w:rPr>
        <w:t>, providing on-going improvements in planning, design, maintenance and quality of water infrastructure. The investment also addressed disability inclusion through the application of universal access standards to new buildings.</w:t>
      </w:r>
    </w:p>
    <w:p w:rsidR="00DD0778" w:rsidRPr="00DD0778" w:rsidRDefault="00DD0778" w:rsidP="008D5394">
      <w:pPr>
        <w:suppressAutoHyphens w:val="0"/>
        <w:spacing w:before="77" w:after="0" w:line="240" w:lineRule="auto"/>
        <w:rPr>
          <w:rFonts w:ascii="Calibri Light" w:eastAsia="Times New Roman" w:hAnsi="Calibri Light" w:cs="Calibri Light"/>
          <w:color w:val="000000"/>
          <w:lang w:val="en-AU"/>
        </w:rPr>
      </w:pPr>
      <w:r w:rsidRPr="00DD0778">
        <w:rPr>
          <w:rFonts w:ascii="Calibri Light" w:eastAsia="Times New Roman" w:hAnsi="Calibri Light" w:cs="Calibri Light"/>
          <w:b/>
          <w:color w:val="000000"/>
          <w:lang w:val="en-AU"/>
        </w:rPr>
        <w:t>Australia’s support resulted in improved livelihoods through increased skills and market access opportunities.</w:t>
      </w:r>
      <w:r w:rsidRPr="00DD0778">
        <w:rPr>
          <w:rFonts w:ascii="Calibri Light" w:eastAsia="Times New Roman" w:hAnsi="Calibri Light" w:cs="Calibri Light"/>
          <w:color w:val="000000"/>
          <w:lang w:val="en-AU"/>
        </w:rPr>
        <w:t xml:space="preserve">  </w:t>
      </w:r>
      <w:r w:rsidR="00D60083">
        <w:rPr>
          <w:rFonts w:ascii="Calibri Light" w:eastAsia="Times New Roman" w:hAnsi="Calibri Light" w:cs="Calibri Light"/>
          <w:color w:val="000000"/>
          <w:lang w:val="en-AU"/>
        </w:rPr>
        <w:t xml:space="preserve">In 2018-19 </w:t>
      </w:r>
      <w:r w:rsidR="0045567A">
        <w:rPr>
          <w:rFonts w:ascii="Calibri Light" w:eastAsia="Times New Roman" w:hAnsi="Calibri Light" w:cs="Calibri Light"/>
          <w:color w:val="000000"/>
          <w:lang w:val="en-AU"/>
        </w:rPr>
        <w:t>20</w:t>
      </w:r>
      <w:r w:rsidR="0045567A" w:rsidRPr="00DD0778">
        <w:rPr>
          <w:rFonts w:ascii="Calibri Light" w:eastAsia="Times New Roman" w:hAnsi="Calibri Light" w:cs="Calibri Light"/>
          <w:color w:val="000000"/>
          <w:lang w:val="en-AU"/>
        </w:rPr>
        <w:t xml:space="preserve"> </w:t>
      </w:r>
      <w:r w:rsidRPr="00DD0778">
        <w:rPr>
          <w:rFonts w:ascii="Calibri Light" w:eastAsia="Times New Roman" w:hAnsi="Calibri Light" w:cs="Calibri Light"/>
          <w:color w:val="000000"/>
          <w:lang w:val="en-AU"/>
        </w:rPr>
        <w:t xml:space="preserve">local tourism businesses were supported </w:t>
      </w:r>
      <w:r w:rsidR="00D60083">
        <w:rPr>
          <w:rFonts w:ascii="Calibri Light" w:eastAsia="Times New Roman" w:hAnsi="Calibri Light" w:cs="Calibri Light"/>
          <w:color w:val="000000"/>
          <w:lang w:val="en-AU"/>
        </w:rPr>
        <w:t xml:space="preserve">to </w:t>
      </w:r>
      <w:r w:rsidRPr="00DD0778">
        <w:rPr>
          <w:rFonts w:ascii="Calibri Light" w:eastAsia="Times New Roman" w:hAnsi="Calibri Light" w:cs="Calibri Light"/>
          <w:color w:val="000000"/>
          <w:lang w:val="en-AU"/>
        </w:rPr>
        <w:t>re</w:t>
      </w:r>
      <w:r w:rsidR="00D60083">
        <w:rPr>
          <w:rFonts w:ascii="Calibri Light" w:eastAsia="Times New Roman" w:hAnsi="Calibri Light" w:cs="Calibri Light"/>
          <w:color w:val="000000"/>
          <w:lang w:val="en-AU"/>
        </w:rPr>
        <w:t>construct or re</w:t>
      </w:r>
      <w:r w:rsidRPr="00DD0778">
        <w:rPr>
          <w:rFonts w:ascii="Calibri Light" w:eastAsia="Times New Roman" w:hAnsi="Calibri Light" w:cs="Calibri Light"/>
          <w:color w:val="000000"/>
          <w:lang w:val="en-AU"/>
        </w:rPr>
        <w:t>novat</w:t>
      </w:r>
      <w:r w:rsidR="00D60083">
        <w:rPr>
          <w:rFonts w:ascii="Calibri Light" w:eastAsia="Times New Roman" w:hAnsi="Calibri Light" w:cs="Calibri Light"/>
          <w:color w:val="000000"/>
          <w:lang w:val="en-AU"/>
        </w:rPr>
        <w:t>e f</w:t>
      </w:r>
      <w:r w:rsidRPr="00DD0778">
        <w:rPr>
          <w:rFonts w:ascii="Calibri Light" w:eastAsia="Times New Roman" w:hAnsi="Calibri Light" w:cs="Calibri Light"/>
          <w:color w:val="000000"/>
          <w:lang w:val="en-AU"/>
        </w:rPr>
        <w:t>acilities</w:t>
      </w:r>
      <w:r w:rsidR="001003B2">
        <w:rPr>
          <w:rFonts w:ascii="Calibri Light" w:eastAsia="Times New Roman" w:hAnsi="Calibri Light" w:cs="Calibri Light"/>
          <w:color w:val="000000"/>
          <w:lang w:val="en-AU"/>
        </w:rPr>
        <w:t xml:space="preserve">, and the </w:t>
      </w:r>
      <w:r w:rsidRPr="00DD0778">
        <w:rPr>
          <w:rFonts w:ascii="Calibri Light" w:eastAsia="Times New Roman" w:hAnsi="Calibri Light" w:cs="Calibri Light"/>
          <w:color w:val="000000"/>
          <w:lang w:val="en-AU"/>
        </w:rPr>
        <w:t>Ta</w:t>
      </w:r>
      <w:r w:rsidR="00225092">
        <w:rPr>
          <w:rFonts w:ascii="Calibri Light" w:eastAsia="Times New Roman" w:hAnsi="Calibri Light" w:cs="Calibri Light"/>
          <w:color w:val="000000"/>
          <w:lang w:val="en-AU"/>
        </w:rPr>
        <w:t>n</w:t>
      </w:r>
      <w:r w:rsidRPr="00DD0778">
        <w:rPr>
          <w:rFonts w:ascii="Calibri Light" w:eastAsia="Times New Roman" w:hAnsi="Calibri Light" w:cs="Calibri Light"/>
          <w:color w:val="000000"/>
          <w:lang w:val="en-AU"/>
        </w:rPr>
        <w:t>na Travel Centre promoted an additional 25 local tourism businesses internationally</w:t>
      </w:r>
      <w:r w:rsidR="00513785">
        <w:rPr>
          <w:rFonts w:ascii="Calibri Light" w:eastAsia="Times New Roman" w:hAnsi="Calibri Light" w:cs="Calibri Light"/>
          <w:color w:val="000000"/>
          <w:lang w:val="en-AU"/>
        </w:rPr>
        <w:t>,</w:t>
      </w:r>
      <w:r w:rsidR="00D17778">
        <w:rPr>
          <w:rFonts w:ascii="Calibri Light" w:eastAsia="Times New Roman" w:hAnsi="Calibri Light" w:cs="Calibri Light"/>
          <w:color w:val="000000"/>
          <w:lang w:val="en-AU"/>
        </w:rPr>
        <w:t xml:space="preserve"> </w:t>
      </w:r>
      <w:r w:rsidR="00293D09">
        <w:rPr>
          <w:rFonts w:ascii="Calibri Light" w:eastAsia="Times New Roman" w:hAnsi="Calibri Light" w:cs="Calibri Light"/>
          <w:color w:val="000000"/>
          <w:lang w:val="en-AU"/>
        </w:rPr>
        <w:t xml:space="preserve">generating </w:t>
      </w:r>
      <w:r w:rsidR="00513785">
        <w:rPr>
          <w:rFonts w:ascii="Calibri Light" w:eastAsia="Times New Roman" w:hAnsi="Calibri Light" w:cs="Calibri Light"/>
          <w:color w:val="000000"/>
          <w:lang w:val="en-AU"/>
        </w:rPr>
        <w:t>$</w:t>
      </w:r>
      <w:r w:rsidR="001003B2">
        <w:rPr>
          <w:rFonts w:ascii="Calibri Light" w:eastAsia="Times New Roman" w:hAnsi="Calibri Light" w:cs="Calibri Light"/>
          <w:color w:val="000000"/>
          <w:lang w:val="en-AU"/>
        </w:rPr>
        <w:t xml:space="preserve">6,700 for </w:t>
      </w:r>
      <w:r w:rsidR="00D60083">
        <w:rPr>
          <w:rFonts w:ascii="Calibri Light" w:eastAsia="Times New Roman" w:hAnsi="Calibri Light" w:cs="Calibri Light"/>
          <w:color w:val="000000"/>
          <w:lang w:val="en-AU"/>
        </w:rPr>
        <w:t>the</w:t>
      </w:r>
      <w:r w:rsidR="00D17778">
        <w:rPr>
          <w:rFonts w:ascii="Calibri Light" w:eastAsia="Times New Roman" w:hAnsi="Calibri Light" w:cs="Calibri Light"/>
          <w:color w:val="000000"/>
          <w:lang w:val="en-AU"/>
        </w:rPr>
        <w:t xml:space="preserve"> </w:t>
      </w:r>
      <w:r w:rsidR="001003B2">
        <w:rPr>
          <w:rFonts w:ascii="Calibri Light" w:eastAsia="Times New Roman" w:hAnsi="Calibri Light" w:cs="Calibri Light"/>
          <w:color w:val="000000"/>
          <w:lang w:val="en-AU"/>
        </w:rPr>
        <w:t>businesses</w:t>
      </w:r>
      <w:r w:rsidR="0045567A">
        <w:rPr>
          <w:rFonts w:ascii="Calibri Light" w:eastAsia="Times New Roman" w:hAnsi="Calibri Light" w:cs="Calibri Light"/>
          <w:color w:val="000000"/>
          <w:lang w:val="en-AU"/>
        </w:rPr>
        <w:t xml:space="preserve"> (</w:t>
      </w:r>
      <w:r w:rsidR="00D60083">
        <w:rPr>
          <w:rFonts w:ascii="Calibri Light" w:eastAsia="Times New Roman" w:hAnsi="Calibri Light" w:cs="Calibri Light"/>
          <w:color w:val="000000"/>
          <w:lang w:val="en-AU"/>
        </w:rPr>
        <w:t xml:space="preserve">a </w:t>
      </w:r>
      <w:r w:rsidR="0045567A">
        <w:rPr>
          <w:rFonts w:ascii="Calibri Light" w:eastAsia="Times New Roman" w:hAnsi="Calibri Light" w:cs="Calibri Light"/>
          <w:color w:val="000000"/>
          <w:lang w:val="en-AU"/>
        </w:rPr>
        <w:t>substantial amount for the island)</w:t>
      </w:r>
      <w:r w:rsidR="001003B2">
        <w:rPr>
          <w:rFonts w:ascii="Calibri Light" w:eastAsia="Times New Roman" w:hAnsi="Calibri Light" w:cs="Calibri Light"/>
          <w:color w:val="000000"/>
          <w:lang w:val="en-AU"/>
        </w:rPr>
        <w:t>.</w:t>
      </w:r>
      <w:r w:rsidRPr="00DD0778">
        <w:rPr>
          <w:rFonts w:ascii="Calibri Light" w:eastAsia="Times New Roman" w:hAnsi="Calibri Light" w:cs="Calibri Light"/>
          <w:color w:val="000000"/>
          <w:lang w:val="en-AU"/>
        </w:rPr>
        <w:t xml:space="preserve"> In agriculture, women and men are using new farming and fishing tools, and </w:t>
      </w:r>
      <w:r w:rsidR="001003B2">
        <w:rPr>
          <w:rFonts w:ascii="Calibri Light" w:eastAsia="Times New Roman" w:hAnsi="Calibri Light" w:cs="Calibri Light"/>
          <w:color w:val="000000"/>
          <w:lang w:val="en-AU"/>
        </w:rPr>
        <w:t xml:space="preserve">have generated revenue from harvests of </w:t>
      </w:r>
      <w:r w:rsidR="00513785">
        <w:rPr>
          <w:rFonts w:ascii="Calibri Light" w:eastAsia="Times New Roman" w:hAnsi="Calibri Light" w:cs="Calibri Light"/>
          <w:color w:val="000000"/>
          <w:lang w:val="en-AU"/>
        </w:rPr>
        <w:t>$</w:t>
      </w:r>
      <w:r w:rsidR="001003B2">
        <w:rPr>
          <w:rFonts w:ascii="Calibri Light" w:eastAsia="Times New Roman" w:hAnsi="Calibri Light" w:cs="Calibri Light"/>
          <w:color w:val="000000"/>
          <w:lang w:val="en-AU"/>
        </w:rPr>
        <w:t>150,000</w:t>
      </w:r>
      <w:r w:rsidRPr="00DD0778">
        <w:rPr>
          <w:rFonts w:ascii="Calibri Light" w:eastAsia="Times New Roman" w:hAnsi="Calibri Light" w:cs="Calibri Light"/>
          <w:color w:val="000000"/>
          <w:lang w:val="en-AU"/>
        </w:rPr>
        <w:t xml:space="preserve">. </w:t>
      </w:r>
    </w:p>
    <w:p w:rsidR="00E07BEC" w:rsidRDefault="00E07BEC" w:rsidP="00E07BEC">
      <w:pPr>
        <w:suppressAutoHyphens w:val="0"/>
        <w:spacing w:before="0" w:after="0" w:line="240" w:lineRule="auto"/>
        <w:rPr>
          <w:rFonts w:asciiTheme="majorHAnsi" w:eastAsia="Calibri" w:hAnsiTheme="majorHAnsi" w:cstheme="majorHAnsi"/>
          <w:b/>
          <w:color w:val="000000"/>
          <w:lang w:val="en-AU"/>
        </w:rPr>
      </w:pPr>
    </w:p>
    <w:p w:rsidR="00E07BEC" w:rsidRPr="00C82F53" w:rsidRDefault="00E07BEC" w:rsidP="00E07BEC">
      <w:pPr>
        <w:suppressAutoHyphens w:val="0"/>
        <w:spacing w:before="0" w:after="0" w:line="240" w:lineRule="auto"/>
        <w:rPr>
          <w:rFonts w:asciiTheme="majorHAnsi" w:eastAsia="Calibri" w:hAnsiTheme="majorHAnsi" w:cstheme="majorHAnsi"/>
          <w:b/>
          <w:color w:val="000000"/>
          <w:sz w:val="24"/>
          <w:szCs w:val="24"/>
          <w:lang w:val="en-AU"/>
        </w:rPr>
      </w:pPr>
      <w:r w:rsidRPr="00C82F53">
        <w:rPr>
          <w:rFonts w:asciiTheme="majorHAnsi" w:eastAsia="Calibri" w:hAnsiTheme="majorHAnsi" w:cstheme="majorHAnsi"/>
          <w:b/>
          <w:color w:val="000000"/>
          <w:sz w:val="24"/>
          <w:szCs w:val="24"/>
          <w:lang w:val="en-AU"/>
        </w:rPr>
        <w:t>HUMANITARIAN RESPONSE</w:t>
      </w:r>
      <w:r w:rsidR="00D17778" w:rsidRPr="00C82F53">
        <w:rPr>
          <w:rFonts w:asciiTheme="majorHAnsi" w:eastAsia="Calibri" w:hAnsiTheme="majorHAnsi" w:cstheme="majorHAnsi"/>
          <w:b/>
          <w:color w:val="000000"/>
          <w:sz w:val="24"/>
          <w:szCs w:val="24"/>
          <w:lang w:val="en-AU"/>
        </w:rPr>
        <w:t xml:space="preserve"> TO THE AMBAE AND AMBRYM VOLCANO </w:t>
      </w:r>
      <w:r w:rsidR="004E1026" w:rsidRPr="00C82F53">
        <w:rPr>
          <w:rFonts w:asciiTheme="majorHAnsi" w:eastAsia="Calibri" w:hAnsiTheme="majorHAnsi" w:cstheme="majorHAnsi"/>
          <w:b/>
          <w:color w:val="000000"/>
          <w:sz w:val="24"/>
          <w:szCs w:val="24"/>
          <w:lang w:val="en-AU"/>
        </w:rPr>
        <w:t xml:space="preserve">ERUPTIONS, </w:t>
      </w:r>
      <w:r w:rsidR="00D17778" w:rsidRPr="00C82F53">
        <w:rPr>
          <w:rFonts w:asciiTheme="majorHAnsi" w:eastAsia="Calibri" w:hAnsiTheme="majorHAnsi" w:cstheme="majorHAnsi"/>
          <w:b/>
          <w:color w:val="000000"/>
          <w:sz w:val="24"/>
          <w:szCs w:val="24"/>
          <w:lang w:val="en-AU"/>
        </w:rPr>
        <w:t>TROPICAL CYCLONE OMA</w:t>
      </w:r>
      <w:r w:rsidR="00293D09" w:rsidRPr="00C82F53">
        <w:rPr>
          <w:rFonts w:asciiTheme="majorHAnsi" w:eastAsia="Calibri" w:hAnsiTheme="majorHAnsi" w:cstheme="majorHAnsi"/>
          <w:b/>
          <w:color w:val="000000"/>
          <w:sz w:val="24"/>
          <w:szCs w:val="24"/>
          <w:lang w:val="en-AU"/>
        </w:rPr>
        <w:t>, TROPICAL CYCLONE HOLA</w:t>
      </w:r>
      <w:r w:rsidR="004E1026" w:rsidRPr="00C82F53">
        <w:rPr>
          <w:rFonts w:asciiTheme="majorHAnsi" w:eastAsia="Calibri" w:hAnsiTheme="majorHAnsi" w:cstheme="majorHAnsi"/>
          <w:b/>
          <w:color w:val="000000"/>
          <w:sz w:val="24"/>
          <w:szCs w:val="24"/>
          <w:lang w:val="en-AU"/>
        </w:rPr>
        <w:t xml:space="preserve"> AND THE ANEITYUM TSUNAMI</w:t>
      </w:r>
    </w:p>
    <w:p w:rsidR="000E3E70" w:rsidRDefault="00E372BB" w:rsidP="008D5394">
      <w:pPr>
        <w:spacing w:after="0" w:line="240" w:lineRule="auto"/>
        <w:rPr>
          <w:rFonts w:ascii="Calibri Light" w:eastAsia="Times New Roman" w:hAnsi="Calibri Light" w:cs="Calibri Light"/>
          <w:color w:val="000000"/>
          <w:lang w:val="en-AU"/>
        </w:rPr>
      </w:pPr>
      <w:r w:rsidRPr="00BB3BB9">
        <w:rPr>
          <w:rFonts w:ascii="Calibri Light" w:eastAsia="Calibri" w:hAnsi="Calibri Light" w:cs="Arial"/>
          <w:b/>
          <w:color w:val="000000"/>
          <w:lang w:val="en-AU"/>
        </w:rPr>
        <w:t xml:space="preserve">Australia responded to </w:t>
      </w:r>
      <w:r w:rsidR="00B03B20">
        <w:rPr>
          <w:rFonts w:ascii="Calibri Light" w:eastAsia="Calibri" w:hAnsi="Calibri Light" w:cs="Arial"/>
          <w:b/>
          <w:color w:val="000000"/>
          <w:lang w:val="en-AU"/>
        </w:rPr>
        <w:t xml:space="preserve">one </w:t>
      </w:r>
      <w:r w:rsidRPr="00BB3BB9">
        <w:rPr>
          <w:rFonts w:ascii="Calibri Light" w:eastAsia="Calibri" w:hAnsi="Calibri Light" w:cs="Arial"/>
          <w:b/>
          <w:color w:val="000000"/>
          <w:lang w:val="en-AU"/>
        </w:rPr>
        <w:t xml:space="preserve">protracted and </w:t>
      </w:r>
      <w:r w:rsidR="004E0C79">
        <w:rPr>
          <w:rFonts w:ascii="Calibri Light" w:eastAsia="Calibri" w:hAnsi="Calibri Light" w:cs="Arial"/>
          <w:b/>
          <w:color w:val="000000"/>
          <w:lang w:val="en-AU"/>
        </w:rPr>
        <w:t>four</w:t>
      </w:r>
      <w:r w:rsidR="00B03B20">
        <w:rPr>
          <w:rFonts w:ascii="Calibri Light" w:eastAsia="Calibri" w:hAnsi="Calibri Light" w:cs="Arial"/>
          <w:b/>
          <w:color w:val="000000"/>
          <w:lang w:val="en-AU"/>
        </w:rPr>
        <w:t xml:space="preserve"> </w:t>
      </w:r>
      <w:r>
        <w:rPr>
          <w:rFonts w:ascii="Calibri Light" w:eastAsia="Calibri" w:hAnsi="Calibri Light" w:cs="Arial"/>
          <w:b/>
          <w:color w:val="000000"/>
          <w:lang w:val="en-AU"/>
        </w:rPr>
        <w:t>rapid onset</w:t>
      </w:r>
      <w:r w:rsidRPr="00BB3BB9">
        <w:rPr>
          <w:rFonts w:ascii="Calibri Light" w:eastAsia="Calibri" w:hAnsi="Calibri Light" w:cs="Arial"/>
          <w:b/>
          <w:color w:val="000000"/>
          <w:lang w:val="en-AU"/>
        </w:rPr>
        <w:t xml:space="preserve"> crises</w:t>
      </w:r>
      <w:r w:rsidR="0045567A">
        <w:rPr>
          <w:rFonts w:ascii="Calibri Light" w:eastAsia="Calibri" w:hAnsi="Calibri Light" w:cs="Arial"/>
          <w:b/>
          <w:color w:val="000000"/>
          <w:lang w:val="en-AU"/>
        </w:rPr>
        <w:t xml:space="preserve"> in 2018-19</w:t>
      </w:r>
      <w:r w:rsidRPr="00BB3BB9">
        <w:rPr>
          <w:rFonts w:ascii="Calibri Light" w:eastAsia="Calibri" w:hAnsi="Calibri Light" w:cs="Arial"/>
          <w:b/>
          <w:color w:val="000000"/>
          <w:lang w:val="en-AU"/>
        </w:rPr>
        <w:t>.</w:t>
      </w:r>
      <w:r>
        <w:rPr>
          <w:rFonts w:ascii="Calibri Light" w:eastAsia="Calibri" w:hAnsi="Calibri Light" w:cs="Arial"/>
          <w:color w:val="000000"/>
          <w:lang w:val="en-AU"/>
        </w:rPr>
        <w:t xml:space="preserve"> </w:t>
      </w:r>
      <w:r w:rsidR="00E07BEC" w:rsidRPr="00C21075">
        <w:rPr>
          <w:rFonts w:ascii="Calibri Light" w:eastAsia="Calibri" w:hAnsi="Calibri Light" w:cs="Arial"/>
          <w:color w:val="000000"/>
          <w:lang w:val="en-AU"/>
        </w:rPr>
        <w:t xml:space="preserve">Australia supported </w:t>
      </w:r>
      <w:r w:rsidR="00D950F4">
        <w:rPr>
          <w:rFonts w:ascii="Calibri Light" w:eastAsia="Calibri" w:hAnsi="Calibri Light" w:cs="Arial"/>
          <w:color w:val="000000"/>
          <w:lang w:val="en-AU"/>
        </w:rPr>
        <w:t>Vanuatu’s efforts</w:t>
      </w:r>
      <w:r w:rsidR="00293D09">
        <w:rPr>
          <w:rFonts w:ascii="Calibri Light" w:eastAsia="Calibri" w:hAnsi="Calibri Light" w:cs="Arial"/>
          <w:color w:val="000000"/>
          <w:lang w:val="en-AU"/>
        </w:rPr>
        <w:t xml:space="preserve"> to</w:t>
      </w:r>
      <w:r w:rsidR="00E07BEC" w:rsidRPr="00C21075">
        <w:rPr>
          <w:rFonts w:ascii="Calibri Light" w:eastAsia="Calibri" w:hAnsi="Calibri Light" w:cs="Arial"/>
          <w:color w:val="000000"/>
          <w:lang w:val="en-AU"/>
        </w:rPr>
        <w:t xml:space="preserve"> deliver </w:t>
      </w:r>
      <w:r w:rsidR="00E07BEC">
        <w:rPr>
          <w:rFonts w:ascii="Calibri Light" w:eastAsia="Calibri" w:hAnsi="Calibri Light" w:cs="Arial"/>
          <w:color w:val="000000"/>
          <w:lang w:val="en-AU"/>
        </w:rPr>
        <w:t xml:space="preserve">a package of </w:t>
      </w:r>
      <w:r w:rsidR="00E07BEC" w:rsidRPr="00C21075">
        <w:rPr>
          <w:rFonts w:ascii="Calibri Light" w:eastAsia="Calibri" w:hAnsi="Calibri Light" w:cs="Arial"/>
          <w:color w:val="000000"/>
          <w:lang w:val="en-AU"/>
        </w:rPr>
        <w:t xml:space="preserve">humanitarian assistance in response to </w:t>
      </w:r>
      <w:r w:rsidR="00D17778">
        <w:rPr>
          <w:rFonts w:ascii="Calibri Light" w:eastAsia="Calibri" w:hAnsi="Calibri Light" w:cs="Arial"/>
          <w:color w:val="000000"/>
          <w:lang w:val="en-AU"/>
        </w:rPr>
        <w:t xml:space="preserve">the </w:t>
      </w:r>
      <w:r w:rsidR="004D7FEA">
        <w:rPr>
          <w:rFonts w:ascii="Calibri Light" w:eastAsia="Calibri" w:hAnsi="Calibri Light" w:cs="Arial"/>
          <w:color w:val="000000"/>
          <w:lang w:val="en-AU"/>
        </w:rPr>
        <w:t xml:space="preserve">second </w:t>
      </w:r>
      <w:r w:rsidR="00D17778" w:rsidRPr="00C21075">
        <w:rPr>
          <w:rFonts w:ascii="Calibri Light" w:eastAsia="Calibri" w:hAnsi="Calibri Light" w:cs="Arial"/>
          <w:color w:val="000000"/>
          <w:lang w:val="en-AU"/>
        </w:rPr>
        <w:t>compulsory evacuation of the entire population</w:t>
      </w:r>
      <w:r w:rsidR="00D17778">
        <w:rPr>
          <w:rFonts w:ascii="Calibri Light" w:eastAsia="Calibri" w:hAnsi="Calibri Light" w:cs="Arial"/>
          <w:color w:val="000000"/>
          <w:lang w:val="en-AU"/>
        </w:rPr>
        <w:t xml:space="preserve"> (over 10,000) of </w:t>
      </w:r>
      <w:r w:rsidR="00D950F4">
        <w:rPr>
          <w:rFonts w:ascii="Calibri Light" w:eastAsia="Calibri" w:hAnsi="Calibri Light" w:cs="Arial"/>
          <w:color w:val="000000"/>
          <w:lang w:val="en-AU"/>
        </w:rPr>
        <w:t>Ambae</w:t>
      </w:r>
      <w:r w:rsidR="00E07BEC">
        <w:rPr>
          <w:rFonts w:ascii="Calibri Light" w:eastAsia="Calibri" w:hAnsi="Calibri Light" w:cs="Arial"/>
          <w:color w:val="000000"/>
          <w:lang w:val="en-AU"/>
        </w:rPr>
        <w:t xml:space="preserve"> </w:t>
      </w:r>
      <w:r w:rsidR="00654607">
        <w:rPr>
          <w:rFonts w:ascii="Calibri Light" w:eastAsia="Calibri" w:hAnsi="Calibri Light" w:cs="Arial"/>
          <w:color w:val="000000"/>
          <w:lang w:val="en-AU"/>
        </w:rPr>
        <w:t>I</w:t>
      </w:r>
      <w:r w:rsidR="00D17778">
        <w:rPr>
          <w:rFonts w:ascii="Calibri Light" w:eastAsia="Calibri" w:hAnsi="Calibri Light" w:cs="Arial"/>
          <w:color w:val="000000"/>
          <w:lang w:val="en-AU"/>
        </w:rPr>
        <w:t>sland</w:t>
      </w:r>
      <w:r w:rsidR="00B034A4">
        <w:rPr>
          <w:rFonts w:ascii="Calibri Light" w:eastAsia="Calibri" w:hAnsi="Calibri Light" w:cs="Arial"/>
          <w:color w:val="000000"/>
          <w:lang w:val="en-AU"/>
        </w:rPr>
        <w:t>,</w:t>
      </w:r>
      <w:r w:rsidR="00D17778">
        <w:rPr>
          <w:rFonts w:ascii="Calibri Light" w:eastAsia="Calibri" w:hAnsi="Calibri Light" w:cs="Arial"/>
          <w:color w:val="000000"/>
          <w:lang w:val="en-AU"/>
        </w:rPr>
        <w:t xml:space="preserve"> following increased </w:t>
      </w:r>
      <w:r w:rsidR="00E07BEC" w:rsidRPr="00C21075">
        <w:rPr>
          <w:rFonts w:ascii="Calibri Light" w:eastAsia="Calibri" w:hAnsi="Calibri Light" w:cs="Arial"/>
          <w:color w:val="000000"/>
          <w:lang w:val="en-AU"/>
        </w:rPr>
        <w:t xml:space="preserve">volcanic </w:t>
      </w:r>
      <w:r w:rsidR="00D17778">
        <w:rPr>
          <w:rFonts w:ascii="Calibri Light" w:eastAsia="Calibri" w:hAnsi="Calibri Light" w:cs="Arial"/>
          <w:color w:val="000000"/>
          <w:lang w:val="en-AU"/>
        </w:rPr>
        <w:t xml:space="preserve">activity in July </w:t>
      </w:r>
      <w:r w:rsidR="00E07BEC">
        <w:rPr>
          <w:rFonts w:ascii="Calibri Light" w:eastAsia="Calibri" w:hAnsi="Calibri Light" w:cs="Arial"/>
          <w:color w:val="000000"/>
          <w:lang w:val="en-AU"/>
        </w:rPr>
        <w:t>2018</w:t>
      </w:r>
      <w:r w:rsidR="00E07BEC" w:rsidRPr="00C21075">
        <w:rPr>
          <w:rFonts w:ascii="Calibri Light" w:eastAsia="Calibri" w:hAnsi="Calibri Light" w:cs="Arial"/>
          <w:color w:val="000000"/>
          <w:lang w:val="en-AU"/>
        </w:rPr>
        <w:t xml:space="preserve">. Australia leveraged strong relationships with </w:t>
      </w:r>
      <w:r w:rsidR="0045567A">
        <w:rPr>
          <w:rFonts w:ascii="Calibri Light" w:eastAsia="Calibri" w:hAnsi="Calibri Light" w:cs="Arial"/>
          <w:color w:val="000000"/>
          <w:lang w:val="en-AU"/>
        </w:rPr>
        <w:t xml:space="preserve">the </w:t>
      </w:r>
      <w:r w:rsidR="0045567A" w:rsidRPr="00C21075">
        <w:rPr>
          <w:rFonts w:ascii="Calibri Light" w:eastAsia="Calibri" w:hAnsi="Calibri Light" w:cs="Arial"/>
          <w:color w:val="000000"/>
          <w:lang w:val="en-AU"/>
        </w:rPr>
        <w:t>G</w:t>
      </w:r>
      <w:r w:rsidR="0045567A">
        <w:rPr>
          <w:rFonts w:ascii="Calibri Light" w:eastAsia="Calibri" w:hAnsi="Calibri Light" w:cs="Arial"/>
          <w:color w:val="000000"/>
          <w:lang w:val="en-AU"/>
        </w:rPr>
        <w:t>overnment</w:t>
      </w:r>
      <w:r w:rsidR="0045567A" w:rsidRPr="00C21075">
        <w:rPr>
          <w:rFonts w:ascii="Calibri Light" w:eastAsia="Calibri" w:hAnsi="Calibri Light" w:cs="Arial"/>
          <w:color w:val="000000"/>
          <w:lang w:val="en-AU"/>
        </w:rPr>
        <w:t xml:space="preserve"> </w:t>
      </w:r>
      <w:r w:rsidR="00E07BEC" w:rsidRPr="00C21075">
        <w:rPr>
          <w:rFonts w:ascii="Calibri Light" w:eastAsia="Calibri" w:hAnsi="Calibri Light" w:cs="Arial"/>
          <w:color w:val="000000"/>
          <w:lang w:val="en-AU"/>
        </w:rPr>
        <w:t>and used existing partners and</w:t>
      </w:r>
      <w:r w:rsidR="00293D09">
        <w:rPr>
          <w:rFonts w:ascii="Calibri Light" w:eastAsia="Calibri" w:hAnsi="Calibri Light" w:cs="Arial"/>
          <w:color w:val="000000"/>
          <w:lang w:val="en-AU"/>
        </w:rPr>
        <w:t xml:space="preserve"> funding mechanisms to deliver </w:t>
      </w:r>
      <w:r w:rsidR="00513785">
        <w:rPr>
          <w:rFonts w:ascii="Calibri Light" w:eastAsia="Calibri" w:hAnsi="Calibri Light" w:cs="Arial"/>
          <w:color w:val="000000"/>
          <w:lang w:val="en-AU"/>
        </w:rPr>
        <w:t>$</w:t>
      </w:r>
      <w:r w:rsidR="00D17778">
        <w:rPr>
          <w:rFonts w:ascii="Calibri Light" w:eastAsia="Calibri" w:hAnsi="Calibri Light" w:cs="Arial"/>
          <w:color w:val="000000"/>
          <w:lang w:val="en-AU"/>
        </w:rPr>
        <w:t>2</w:t>
      </w:r>
      <w:r w:rsidR="00293D09">
        <w:rPr>
          <w:rFonts w:ascii="Calibri Light" w:eastAsia="Calibri" w:hAnsi="Calibri Light" w:cs="Arial"/>
          <w:color w:val="000000"/>
          <w:lang w:val="en-AU"/>
        </w:rPr>
        <w:t> </w:t>
      </w:r>
      <w:r w:rsidR="00E07BEC" w:rsidRPr="00C21075">
        <w:rPr>
          <w:rFonts w:ascii="Calibri Light" w:eastAsia="Calibri" w:hAnsi="Calibri Light" w:cs="Arial"/>
          <w:color w:val="000000"/>
          <w:lang w:val="en-AU"/>
        </w:rPr>
        <w:t xml:space="preserve">million </w:t>
      </w:r>
      <w:r w:rsidR="00B034A4">
        <w:rPr>
          <w:rFonts w:ascii="Calibri Light" w:eastAsia="Calibri" w:hAnsi="Calibri Light" w:cs="Arial"/>
          <w:color w:val="000000"/>
          <w:lang w:val="en-AU"/>
        </w:rPr>
        <w:t>in assistance</w:t>
      </w:r>
      <w:r w:rsidR="00D950F4">
        <w:rPr>
          <w:rFonts w:ascii="Calibri Light" w:eastAsia="Calibri" w:hAnsi="Calibri Light" w:cs="Arial"/>
          <w:color w:val="000000"/>
          <w:lang w:val="en-AU"/>
        </w:rPr>
        <w:t>. This included</w:t>
      </w:r>
      <w:r w:rsidR="00E07BEC" w:rsidRPr="00C21075">
        <w:rPr>
          <w:rFonts w:ascii="Calibri Light" w:eastAsia="Calibri" w:hAnsi="Calibri Light" w:cs="Arial"/>
          <w:color w:val="000000"/>
          <w:lang w:val="en-AU"/>
        </w:rPr>
        <w:t xml:space="preserve"> relocation of people to neighbouring islands, support for government and </w:t>
      </w:r>
      <w:r w:rsidR="0045567A">
        <w:rPr>
          <w:rFonts w:ascii="Calibri Light" w:eastAsia="Calibri" w:hAnsi="Calibri Light" w:cs="Arial"/>
          <w:color w:val="000000"/>
          <w:lang w:val="en-AU"/>
        </w:rPr>
        <w:t>NGOs</w:t>
      </w:r>
      <w:r w:rsidR="00293D09">
        <w:rPr>
          <w:rFonts w:ascii="Calibri Light" w:eastAsia="Calibri" w:hAnsi="Calibri Light" w:cs="Arial"/>
          <w:color w:val="000000"/>
          <w:lang w:val="en-AU"/>
        </w:rPr>
        <w:t xml:space="preserve"> </w:t>
      </w:r>
      <w:r w:rsidR="00E07BEC" w:rsidRPr="00C21075">
        <w:rPr>
          <w:rFonts w:ascii="Calibri Light" w:eastAsia="Calibri" w:hAnsi="Calibri Light" w:cs="Arial"/>
          <w:color w:val="000000"/>
          <w:lang w:val="en-AU"/>
        </w:rPr>
        <w:t>to provide core services such as education, healthcare, water and sanitation,</w:t>
      </w:r>
      <w:r w:rsidR="00D17778">
        <w:rPr>
          <w:rFonts w:ascii="Calibri Light" w:eastAsia="Calibri" w:hAnsi="Calibri Light" w:cs="Arial"/>
          <w:color w:val="000000"/>
          <w:lang w:val="en-AU"/>
        </w:rPr>
        <w:t xml:space="preserve"> </w:t>
      </w:r>
      <w:r w:rsidR="00B034A4">
        <w:rPr>
          <w:rFonts w:ascii="Calibri Light" w:eastAsia="Calibri" w:hAnsi="Calibri Light" w:cs="Arial"/>
          <w:color w:val="000000"/>
          <w:lang w:val="en-AU"/>
        </w:rPr>
        <w:t xml:space="preserve">and </w:t>
      </w:r>
      <w:r w:rsidR="00D17778">
        <w:rPr>
          <w:color w:val="000000"/>
        </w:rPr>
        <w:t>the protection of vulnerable people</w:t>
      </w:r>
      <w:r w:rsidR="00D17778">
        <w:rPr>
          <w:rFonts w:ascii="Calibri Light" w:eastAsia="Calibri" w:hAnsi="Calibri Light" w:cs="Arial"/>
          <w:color w:val="000000"/>
          <w:lang w:val="en-AU"/>
        </w:rPr>
        <w:t>.</w:t>
      </w:r>
      <w:r w:rsidR="008F2430" w:rsidRPr="008F2430">
        <w:rPr>
          <w:rFonts w:ascii="Calibri Light" w:eastAsia="Calibri" w:hAnsi="Calibri Light" w:cs="Arial"/>
          <w:color w:val="000000"/>
          <w:lang w:val="en-AU"/>
        </w:rPr>
        <w:t xml:space="preserve"> </w:t>
      </w:r>
      <w:r w:rsidR="008F2430">
        <w:rPr>
          <w:rFonts w:ascii="Calibri Light" w:eastAsia="Calibri" w:hAnsi="Calibri Light" w:cs="Arial"/>
          <w:color w:val="000000"/>
          <w:lang w:val="en-AU"/>
        </w:rPr>
        <w:t>The Department of Women’s Affairs, supported by an Australia</w:t>
      </w:r>
      <w:r w:rsidR="00D950F4">
        <w:rPr>
          <w:rFonts w:ascii="Calibri Light" w:eastAsia="Calibri" w:hAnsi="Calibri Light" w:cs="Arial"/>
          <w:color w:val="000000"/>
          <w:lang w:val="en-AU"/>
        </w:rPr>
        <w:t>n</w:t>
      </w:r>
      <w:r w:rsidR="008F2430">
        <w:rPr>
          <w:rFonts w:ascii="Calibri Light" w:eastAsia="Calibri" w:hAnsi="Calibri Light" w:cs="Arial"/>
          <w:color w:val="000000"/>
          <w:lang w:val="en-AU"/>
        </w:rPr>
        <w:t xml:space="preserve"> gender and protection specialist, worked across all sectors to ensure </w:t>
      </w:r>
      <w:r w:rsidR="00D950F4">
        <w:rPr>
          <w:rFonts w:ascii="Calibri Light" w:eastAsia="Calibri" w:hAnsi="Calibri Light" w:cs="Arial"/>
          <w:color w:val="000000"/>
          <w:lang w:val="en-AU"/>
        </w:rPr>
        <w:t>the</w:t>
      </w:r>
      <w:r w:rsidR="008F2430">
        <w:rPr>
          <w:rFonts w:ascii="Calibri Light" w:eastAsia="Calibri" w:hAnsi="Calibri Light" w:cs="Arial"/>
          <w:color w:val="000000"/>
          <w:lang w:val="en-AU"/>
        </w:rPr>
        <w:t xml:space="preserve"> response was inclusive and</w:t>
      </w:r>
      <w:r w:rsidR="00D950F4">
        <w:rPr>
          <w:rFonts w:ascii="Calibri Light" w:eastAsia="Calibri" w:hAnsi="Calibri Light" w:cs="Arial"/>
          <w:color w:val="000000"/>
          <w:lang w:val="en-AU"/>
        </w:rPr>
        <w:t xml:space="preserve"> </w:t>
      </w:r>
      <w:r w:rsidR="008F2430">
        <w:rPr>
          <w:rFonts w:ascii="Calibri Light" w:eastAsia="Calibri" w:hAnsi="Calibri Light" w:cs="Arial"/>
          <w:color w:val="000000"/>
          <w:lang w:val="en-AU"/>
        </w:rPr>
        <w:t xml:space="preserve">the most vulnerable were accessing assistance. NGOs provided psychosocial support, WASH and nutrition awareness to over 870 children (22 living with disability) and over 300 women (18 living with disability), affected by the emergency. The Vanuatu Women’s Centre provided counselling and other support services to 156 women evacuees. </w:t>
      </w:r>
      <w:r w:rsidR="00D17778">
        <w:rPr>
          <w:rFonts w:ascii="Calibri Light" w:eastAsia="Calibri" w:hAnsi="Calibri Light" w:cs="Arial"/>
          <w:color w:val="000000"/>
          <w:lang w:val="en-AU"/>
        </w:rPr>
        <w:t xml:space="preserve"> </w:t>
      </w:r>
      <w:r w:rsidR="00293D09">
        <w:rPr>
          <w:rFonts w:ascii="Calibri Light" w:eastAsia="Calibri" w:hAnsi="Calibri Light" w:cs="Arial"/>
          <w:color w:val="000000"/>
          <w:lang w:val="en-AU"/>
        </w:rPr>
        <w:t>The Australian Centre for Agriculture Research’s (</w:t>
      </w:r>
      <w:r w:rsidR="00301F47">
        <w:rPr>
          <w:rFonts w:ascii="Calibri Light" w:eastAsia="Times New Roman" w:hAnsi="Calibri Light" w:cs="Calibri Light"/>
          <w:color w:val="000000"/>
          <w:lang w:val="en-AU"/>
        </w:rPr>
        <w:t>ACIAR</w:t>
      </w:r>
      <w:r w:rsidR="00293D09">
        <w:rPr>
          <w:rFonts w:ascii="Calibri Light" w:eastAsia="Times New Roman" w:hAnsi="Calibri Light" w:cs="Calibri Light"/>
          <w:color w:val="000000"/>
          <w:lang w:val="en-AU"/>
        </w:rPr>
        <w:t>)</w:t>
      </w:r>
      <w:r w:rsidR="00301F47">
        <w:rPr>
          <w:rFonts w:ascii="Calibri Light" w:eastAsia="Times New Roman" w:hAnsi="Calibri Light" w:cs="Calibri Light"/>
          <w:color w:val="000000"/>
          <w:lang w:val="en-AU"/>
        </w:rPr>
        <w:t xml:space="preserve"> coastal fisheries project provided awareness, fish-aggregating device equipment and training on Maewo to improve nutrition and food security for Ambae evacuees and host communities. </w:t>
      </w:r>
      <w:r w:rsidR="00880E61">
        <w:rPr>
          <w:rFonts w:ascii="Calibri Light" w:eastAsia="Times New Roman" w:hAnsi="Calibri Light" w:cs="Calibri Light"/>
          <w:color w:val="000000"/>
          <w:lang w:val="en-AU"/>
        </w:rPr>
        <w:t>D</w:t>
      </w:r>
      <w:r w:rsidR="00880E61" w:rsidRPr="00880E61">
        <w:rPr>
          <w:rFonts w:ascii="Calibri Light" w:eastAsia="Times New Roman" w:hAnsi="Calibri Light" w:cs="Calibri Light"/>
          <w:color w:val="000000"/>
          <w:lang w:val="en-AU"/>
        </w:rPr>
        <w:t>isaster preparedness work</w:t>
      </w:r>
      <w:r w:rsidR="00880E61">
        <w:rPr>
          <w:rFonts w:ascii="Calibri Light" w:eastAsia="Times New Roman" w:hAnsi="Calibri Light" w:cs="Calibri Light"/>
          <w:color w:val="000000"/>
          <w:lang w:val="en-AU"/>
        </w:rPr>
        <w:t>,</w:t>
      </w:r>
      <w:r w:rsidR="00880E61" w:rsidRPr="00880E61">
        <w:rPr>
          <w:rFonts w:ascii="Calibri Light" w:eastAsia="Times New Roman" w:hAnsi="Calibri Light" w:cs="Calibri Light"/>
          <w:color w:val="000000"/>
          <w:lang w:val="en-AU"/>
        </w:rPr>
        <w:t xml:space="preserve"> supported by </w:t>
      </w:r>
      <w:r w:rsidR="00CF40E6">
        <w:rPr>
          <w:rFonts w:ascii="Calibri Light" w:eastAsia="Times New Roman" w:hAnsi="Calibri Light" w:cs="Calibri Light"/>
          <w:color w:val="000000"/>
          <w:lang w:val="en-AU"/>
        </w:rPr>
        <w:lastRenderedPageBreak/>
        <w:t xml:space="preserve">Australia’s </w:t>
      </w:r>
      <w:r w:rsidR="003E4CFD">
        <w:rPr>
          <w:rFonts w:ascii="Calibri Light" w:eastAsia="Times New Roman" w:hAnsi="Calibri Light" w:cs="Calibri Light"/>
          <w:color w:val="000000"/>
          <w:lang w:val="en-AU"/>
        </w:rPr>
        <w:t xml:space="preserve">regional </w:t>
      </w:r>
      <w:r w:rsidR="00880E61" w:rsidRPr="00105E09">
        <w:rPr>
          <w:rFonts w:ascii="Calibri Light" w:eastAsia="Times New Roman" w:hAnsi="Calibri Light" w:cs="Calibri Light"/>
          <w:i/>
          <w:color w:val="000000"/>
          <w:lang w:val="en-AU"/>
        </w:rPr>
        <w:t>Disaster READY</w:t>
      </w:r>
      <w:r w:rsidR="003E4CFD">
        <w:rPr>
          <w:rFonts w:ascii="Calibri Light" w:eastAsia="Times New Roman" w:hAnsi="Calibri Light" w:cs="Calibri Light"/>
          <w:color w:val="000000"/>
          <w:lang w:val="en-AU"/>
        </w:rPr>
        <w:t xml:space="preserve"> program</w:t>
      </w:r>
      <w:r w:rsidR="00880E61">
        <w:rPr>
          <w:rFonts w:ascii="Calibri Light" w:eastAsia="Times New Roman" w:hAnsi="Calibri Light" w:cs="Calibri Light"/>
          <w:color w:val="000000"/>
          <w:lang w:val="en-AU"/>
        </w:rPr>
        <w:t>,</w:t>
      </w:r>
      <w:r w:rsidR="00880E61" w:rsidRPr="00880E61">
        <w:rPr>
          <w:rFonts w:ascii="Calibri Light" w:eastAsia="Times New Roman" w:hAnsi="Calibri Light" w:cs="Calibri Light"/>
          <w:color w:val="000000"/>
          <w:lang w:val="en-AU"/>
        </w:rPr>
        <w:t xml:space="preserve"> </w:t>
      </w:r>
      <w:r w:rsidR="00293D09">
        <w:rPr>
          <w:rFonts w:ascii="Calibri Light" w:eastAsia="Times New Roman" w:hAnsi="Calibri Light" w:cs="Calibri Light"/>
          <w:color w:val="000000"/>
          <w:lang w:val="en-AU"/>
        </w:rPr>
        <w:t>resulted</w:t>
      </w:r>
      <w:r w:rsidR="00880E61">
        <w:rPr>
          <w:rFonts w:ascii="Calibri Light" w:eastAsia="Times New Roman" w:hAnsi="Calibri Light" w:cs="Calibri Light"/>
          <w:color w:val="000000"/>
          <w:lang w:val="en-AU"/>
        </w:rPr>
        <w:t xml:space="preserve"> in </w:t>
      </w:r>
      <w:r w:rsidR="00293D09">
        <w:rPr>
          <w:rFonts w:ascii="Calibri Light" w:eastAsia="Times New Roman" w:hAnsi="Calibri Light" w:cs="Calibri Light"/>
          <w:color w:val="000000"/>
          <w:lang w:val="en-AU"/>
        </w:rPr>
        <w:t>improved response</w:t>
      </w:r>
      <w:r w:rsidR="00880E61" w:rsidRPr="00880E61">
        <w:rPr>
          <w:rFonts w:ascii="Calibri Light" w:eastAsia="Times New Roman" w:hAnsi="Calibri Light" w:cs="Calibri Light"/>
          <w:color w:val="000000"/>
          <w:lang w:val="en-AU"/>
        </w:rPr>
        <w:t xml:space="preserve"> to </w:t>
      </w:r>
      <w:r w:rsidR="00880E61">
        <w:rPr>
          <w:rFonts w:ascii="Calibri Light" w:eastAsia="Times New Roman" w:hAnsi="Calibri Light" w:cs="Calibri Light"/>
          <w:color w:val="000000"/>
          <w:lang w:val="en-AU"/>
        </w:rPr>
        <w:t>disasters</w:t>
      </w:r>
      <w:r w:rsidR="00293D09">
        <w:rPr>
          <w:rFonts w:ascii="Calibri Light" w:eastAsia="Times New Roman" w:hAnsi="Calibri Light" w:cs="Calibri Light"/>
          <w:color w:val="000000"/>
          <w:lang w:val="en-AU"/>
        </w:rPr>
        <w:t xml:space="preserve">, including </w:t>
      </w:r>
      <w:r w:rsidR="00880E61" w:rsidRPr="00880E61">
        <w:rPr>
          <w:rFonts w:ascii="Calibri Light" w:eastAsia="Times New Roman" w:hAnsi="Calibri Light" w:cs="Calibri Light"/>
          <w:color w:val="000000"/>
          <w:lang w:val="en-AU"/>
        </w:rPr>
        <w:t xml:space="preserve">a </w:t>
      </w:r>
      <w:r w:rsidR="00CF40E6" w:rsidRPr="00880E61">
        <w:rPr>
          <w:rFonts w:ascii="Calibri Light" w:eastAsia="Times New Roman" w:hAnsi="Calibri Light" w:cs="Calibri Light"/>
          <w:color w:val="000000"/>
          <w:lang w:val="en-AU"/>
        </w:rPr>
        <w:t xml:space="preserve">cash transfer </w:t>
      </w:r>
      <w:r w:rsidR="00880E61" w:rsidRPr="00880E61">
        <w:rPr>
          <w:rFonts w:ascii="Calibri Light" w:eastAsia="Times New Roman" w:hAnsi="Calibri Light" w:cs="Calibri Light"/>
          <w:color w:val="000000"/>
          <w:lang w:val="en-AU"/>
        </w:rPr>
        <w:t xml:space="preserve">feasibility study </w:t>
      </w:r>
      <w:r w:rsidR="00293D09">
        <w:rPr>
          <w:rFonts w:ascii="Calibri Light" w:eastAsia="Times New Roman" w:hAnsi="Calibri Light" w:cs="Calibri Light"/>
          <w:color w:val="000000"/>
          <w:lang w:val="en-AU"/>
        </w:rPr>
        <w:t xml:space="preserve">which </w:t>
      </w:r>
      <w:r w:rsidR="00880E61" w:rsidRPr="00880E61">
        <w:rPr>
          <w:rFonts w:ascii="Calibri Light" w:eastAsia="Times New Roman" w:hAnsi="Calibri Light" w:cs="Calibri Light"/>
          <w:color w:val="000000"/>
          <w:lang w:val="en-AU"/>
        </w:rPr>
        <w:t xml:space="preserve">enabled the roll-out of a </w:t>
      </w:r>
      <w:r w:rsidR="00CF40E6">
        <w:rPr>
          <w:rFonts w:ascii="Calibri Light" w:eastAsia="Times New Roman" w:hAnsi="Calibri Light" w:cs="Calibri Light"/>
          <w:color w:val="000000"/>
          <w:lang w:val="en-AU"/>
        </w:rPr>
        <w:t>(</w:t>
      </w:r>
      <w:r w:rsidR="00513785">
        <w:rPr>
          <w:rFonts w:ascii="Calibri Light" w:eastAsia="Times New Roman" w:hAnsi="Calibri Light" w:cs="Calibri Light"/>
          <w:color w:val="000000"/>
          <w:lang w:val="en-AU"/>
        </w:rPr>
        <w:t>N</w:t>
      </w:r>
      <w:r w:rsidR="0045567A">
        <w:rPr>
          <w:rFonts w:ascii="Calibri Light" w:eastAsia="Times New Roman" w:hAnsi="Calibri Light" w:cs="Calibri Light"/>
          <w:color w:val="000000"/>
          <w:lang w:val="en-AU"/>
        </w:rPr>
        <w:t>ew Zealand</w:t>
      </w:r>
      <w:r w:rsidR="00CF40E6">
        <w:rPr>
          <w:rFonts w:ascii="Calibri Light" w:eastAsia="Times New Roman" w:hAnsi="Calibri Light" w:cs="Calibri Light"/>
          <w:color w:val="000000"/>
          <w:lang w:val="en-AU"/>
        </w:rPr>
        <w:t xml:space="preserve">-funded) </w:t>
      </w:r>
      <w:r w:rsidR="00880E61" w:rsidRPr="00880E61">
        <w:rPr>
          <w:rFonts w:ascii="Calibri Light" w:eastAsia="Times New Roman" w:hAnsi="Calibri Light" w:cs="Calibri Light"/>
          <w:color w:val="000000"/>
          <w:lang w:val="en-AU"/>
        </w:rPr>
        <w:t>cash transfer program supporting evacuees following the Ambae volcano.</w:t>
      </w:r>
    </w:p>
    <w:p w:rsidR="00880E61" w:rsidRPr="00105E09" w:rsidRDefault="004D7FEA" w:rsidP="008D5394">
      <w:pPr>
        <w:spacing w:after="0" w:line="240" w:lineRule="auto"/>
        <w:rPr>
          <w:rFonts w:ascii="Calibri Light" w:eastAsia="Times New Roman" w:hAnsi="Calibri Light" w:cs="Calibri Light"/>
          <w:color w:val="000000"/>
          <w:lang w:val="en-AU"/>
        </w:rPr>
      </w:pPr>
      <w:r w:rsidRPr="00C82F53">
        <w:rPr>
          <w:rFonts w:ascii="Calibri Light" w:eastAsia="Times New Roman" w:hAnsi="Calibri Light" w:cs="Calibri Light"/>
          <w:b/>
          <w:color w:val="000000"/>
          <w:lang w:val="en-AU"/>
        </w:rPr>
        <w:t xml:space="preserve">Australia </w:t>
      </w:r>
      <w:r w:rsidR="003E4CFD" w:rsidRPr="00C82F53">
        <w:rPr>
          <w:rFonts w:ascii="Calibri Light" w:eastAsia="Times New Roman" w:hAnsi="Calibri Light" w:cs="Calibri Light"/>
          <w:b/>
          <w:color w:val="000000"/>
          <w:lang w:val="en-AU"/>
        </w:rPr>
        <w:t xml:space="preserve">also </w:t>
      </w:r>
      <w:r w:rsidRPr="00C82F53">
        <w:rPr>
          <w:rFonts w:ascii="Calibri Light" w:eastAsia="Times New Roman" w:hAnsi="Calibri Light" w:cs="Calibri Light"/>
          <w:b/>
          <w:color w:val="000000"/>
          <w:lang w:val="en-AU"/>
        </w:rPr>
        <w:t xml:space="preserve">responded </w:t>
      </w:r>
      <w:r w:rsidR="003E4CFD" w:rsidRPr="00C82F53">
        <w:rPr>
          <w:rFonts w:ascii="Calibri Light" w:eastAsia="Times New Roman" w:hAnsi="Calibri Light" w:cs="Calibri Light"/>
          <w:b/>
          <w:color w:val="000000"/>
          <w:lang w:val="en-AU"/>
        </w:rPr>
        <w:t xml:space="preserve">to nationally-led responses of </w:t>
      </w:r>
      <w:r w:rsidRPr="00C82F53">
        <w:rPr>
          <w:rFonts w:ascii="Calibri Light" w:eastAsia="Times New Roman" w:hAnsi="Calibri Light" w:cs="Calibri Light"/>
          <w:b/>
          <w:color w:val="000000"/>
          <w:lang w:val="en-AU"/>
        </w:rPr>
        <w:t>the Ambrym volcano and cyclone</w:t>
      </w:r>
      <w:r w:rsidR="00293D09" w:rsidRPr="00C82F53">
        <w:rPr>
          <w:rFonts w:ascii="Calibri Light" w:eastAsia="Times New Roman" w:hAnsi="Calibri Light" w:cs="Calibri Light"/>
          <w:b/>
          <w:color w:val="000000"/>
          <w:lang w:val="en-AU"/>
        </w:rPr>
        <w:t>s</w:t>
      </w:r>
      <w:r w:rsidRPr="00C82F53">
        <w:rPr>
          <w:rFonts w:ascii="Calibri Light" w:eastAsia="Times New Roman" w:hAnsi="Calibri Light" w:cs="Calibri Light"/>
          <w:b/>
          <w:color w:val="000000"/>
          <w:lang w:val="en-AU"/>
        </w:rPr>
        <w:t xml:space="preserve"> Oma </w:t>
      </w:r>
      <w:r w:rsidR="00293D09" w:rsidRPr="00C82F53">
        <w:rPr>
          <w:rFonts w:ascii="Calibri Light" w:eastAsia="Times New Roman" w:hAnsi="Calibri Light" w:cs="Calibri Light"/>
          <w:b/>
          <w:color w:val="000000"/>
          <w:lang w:val="en-AU"/>
        </w:rPr>
        <w:t xml:space="preserve">and Hola </w:t>
      </w:r>
      <w:r w:rsidRPr="00105E09">
        <w:rPr>
          <w:rFonts w:ascii="Calibri Light" w:eastAsia="Times New Roman" w:hAnsi="Calibri Light" w:cs="Calibri Light"/>
          <w:color w:val="000000"/>
          <w:lang w:val="en-AU"/>
        </w:rPr>
        <w:t xml:space="preserve">with the release of pre-positioned </w:t>
      </w:r>
      <w:r w:rsidR="00981987" w:rsidRPr="00105E09">
        <w:rPr>
          <w:rFonts w:ascii="Calibri Light" w:eastAsia="Times New Roman" w:hAnsi="Calibri Light" w:cs="Calibri Light"/>
          <w:color w:val="000000"/>
          <w:lang w:val="en-AU"/>
        </w:rPr>
        <w:t>non-food items</w:t>
      </w:r>
      <w:r w:rsidR="00301F47" w:rsidRPr="00105E09">
        <w:rPr>
          <w:rFonts w:ascii="Calibri Light" w:eastAsia="Times New Roman" w:hAnsi="Calibri Light" w:cs="Calibri Light"/>
          <w:color w:val="000000"/>
          <w:lang w:val="en-AU"/>
        </w:rPr>
        <w:t>, and technical advice followi</w:t>
      </w:r>
      <w:r w:rsidR="00293D09" w:rsidRPr="00105E09">
        <w:rPr>
          <w:rFonts w:ascii="Calibri Light" w:eastAsia="Times New Roman" w:hAnsi="Calibri Light" w:cs="Calibri Light"/>
          <w:color w:val="000000"/>
          <w:lang w:val="en-AU"/>
        </w:rPr>
        <w:t>ng the Aneityum tsunam</w:t>
      </w:r>
      <w:r w:rsidR="00301F47" w:rsidRPr="00105E09">
        <w:rPr>
          <w:rFonts w:ascii="Calibri Light" w:eastAsia="Times New Roman" w:hAnsi="Calibri Light" w:cs="Calibri Light"/>
          <w:color w:val="000000"/>
          <w:lang w:val="en-AU"/>
        </w:rPr>
        <w:t>i</w:t>
      </w:r>
      <w:r w:rsidRPr="00105E09">
        <w:rPr>
          <w:rFonts w:ascii="Calibri Light" w:eastAsia="Times New Roman" w:hAnsi="Calibri Light" w:cs="Calibri Light"/>
          <w:color w:val="000000"/>
          <w:lang w:val="en-AU"/>
        </w:rPr>
        <w:t>.</w:t>
      </w:r>
    </w:p>
    <w:p w:rsidR="00946BE4" w:rsidRDefault="009F056B" w:rsidP="00D950F4">
      <w:pPr>
        <w:spacing w:after="0" w:line="240" w:lineRule="auto"/>
        <w:rPr>
          <w:rFonts w:asciiTheme="majorHAnsi" w:eastAsiaTheme="majorEastAsia" w:hAnsiTheme="majorHAnsi" w:cstheme="majorBidi"/>
          <w:caps/>
          <w:sz w:val="38"/>
          <w:szCs w:val="26"/>
        </w:rPr>
      </w:pPr>
      <w:r w:rsidRPr="00C82F53">
        <w:rPr>
          <w:rFonts w:ascii="Calibri Light" w:eastAsia="Times New Roman" w:hAnsi="Calibri Light" w:cs="Calibri Light"/>
          <w:b/>
          <w:color w:val="000000"/>
          <w:lang w:val="en-AU"/>
        </w:rPr>
        <w:t xml:space="preserve">Across all responses and recovery programs, </w:t>
      </w:r>
      <w:r w:rsidR="003E4CFD" w:rsidRPr="00C82F53">
        <w:rPr>
          <w:rFonts w:ascii="Calibri Light" w:eastAsia="Times New Roman" w:hAnsi="Calibri Light" w:cs="Calibri Light"/>
          <w:b/>
          <w:color w:val="000000"/>
          <w:lang w:val="en-AU"/>
        </w:rPr>
        <w:t>Australia provided a number of experts</w:t>
      </w:r>
      <w:r w:rsidR="00E372BB" w:rsidRPr="00C82F53">
        <w:rPr>
          <w:rFonts w:ascii="Calibri Light" w:eastAsia="Times New Roman" w:hAnsi="Calibri Light" w:cs="Calibri Light"/>
          <w:b/>
          <w:color w:val="000000"/>
          <w:lang w:val="en-AU"/>
        </w:rPr>
        <w:t>,</w:t>
      </w:r>
      <w:r w:rsidR="00E372BB" w:rsidRPr="008D5394">
        <w:rPr>
          <w:rFonts w:ascii="Calibri Light" w:eastAsia="Times New Roman" w:hAnsi="Calibri Light" w:cs="Calibri Light"/>
          <w:color w:val="000000"/>
          <w:lang w:val="en-AU"/>
        </w:rPr>
        <w:t xml:space="preserve"> through Australia Assists</w:t>
      </w:r>
      <w:r w:rsidR="00293D09">
        <w:rPr>
          <w:rFonts w:ascii="Calibri Light" w:eastAsia="Times New Roman" w:hAnsi="Calibri Light" w:cs="Calibri Light"/>
          <w:color w:val="000000"/>
          <w:lang w:val="en-AU"/>
        </w:rPr>
        <w:t xml:space="preserve"> and Australian Volunteers for International Development</w:t>
      </w:r>
      <w:r w:rsidR="00E372BB" w:rsidRPr="008D5394">
        <w:rPr>
          <w:rFonts w:ascii="Calibri Light" w:eastAsia="Times New Roman" w:hAnsi="Calibri Light" w:cs="Calibri Light"/>
          <w:color w:val="000000"/>
          <w:lang w:val="en-AU"/>
        </w:rPr>
        <w:t xml:space="preserve">, </w:t>
      </w:r>
      <w:r w:rsidR="003E4CFD" w:rsidRPr="008D5394">
        <w:rPr>
          <w:rFonts w:ascii="Calibri Light" w:eastAsia="Times New Roman" w:hAnsi="Calibri Light" w:cs="Calibri Light"/>
          <w:color w:val="000000"/>
          <w:lang w:val="en-AU"/>
        </w:rPr>
        <w:t>to work with the Vanuatu Government</w:t>
      </w:r>
      <w:r w:rsidR="00654607">
        <w:rPr>
          <w:rFonts w:ascii="Calibri Light" w:eastAsia="Times New Roman" w:hAnsi="Calibri Light" w:cs="Calibri Light"/>
          <w:color w:val="000000"/>
          <w:lang w:val="en-AU"/>
        </w:rPr>
        <w:t xml:space="preserve"> and multilateral organisations</w:t>
      </w:r>
      <w:r w:rsidR="003E4CFD" w:rsidRPr="008D5394">
        <w:rPr>
          <w:rFonts w:ascii="Calibri Light" w:eastAsia="Times New Roman" w:hAnsi="Calibri Light" w:cs="Calibri Light"/>
          <w:color w:val="000000"/>
          <w:lang w:val="en-AU"/>
        </w:rPr>
        <w:t>.</w:t>
      </w:r>
      <w:r w:rsidR="00301F47" w:rsidRPr="008D5394">
        <w:rPr>
          <w:rFonts w:ascii="Calibri Light" w:eastAsia="Times New Roman" w:hAnsi="Calibri Light" w:cs="Calibri Light"/>
          <w:color w:val="000000"/>
          <w:lang w:val="en-AU"/>
        </w:rPr>
        <w:t xml:space="preserve"> </w:t>
      </w:r>
      <w:r w:rsidRPr="008D5394">
        <w:rPr>
          <w:rFonts w:ascii="Calibri Light" w:eastAsia="Times New Roman" w:hAnsi="Calibri Light" w:cs="Calibri Light"/>
          <w:color w:val="000000"/>
          <w:lang w:val="en-AU"/>
        </w:rPr>
        <w:t>Australia Assists deployees have contributed</w:t>
      </w:r>
      <w:r w:rsidR="00301F47" w:rsidRPr="008D5394">
        <w:rPr>
          <w:rFonts w:ascii="Calibri Light" w:eastAsia="Times New Roman" w:hAnsi="Calibri Light" w:cs="Calibri Light"/>
          <w:color w:val="000000"/>
          <w:lang w:val="en-AU"/>
        </w:rPr>
        <w:t xml:space="preserve"> </w:t>
      </w:r>
      <w:r w:rsidRPr="008D5394">
        <w:rPr>
          <w:rFonts w:ascii="Calibri Light" w:eastAsia="Times New Roman" w:hAnsi="Calibri Light" w:cs="Calibri Light"/>
          <w:color w:val="000000"/>
          <w:lang w:val="en-AU"/>
        </w:rPr>
        <w:t xml:space="preserve">to a number of key </w:t>
      </w:r>
      <w:r w:rsidR="00301F47" w:rsidRPr="008D5394">
        <w:rPr>
          <w:rFonts w:ascii="Calibri Light" w:eastAsia="Times New Roman" w:hAnsi="Calibri Light" w:cs="Calibri Light"/>
          <w:color w:val="000000"/>
          <w:lang w:val="en-AU"/>
        </w:rPr>
        <w:t xml:space="preserve">government </w:t>
      </w:r>
      <w:r w:rsidR="008D5394">
        <w:rPr>
          <w:rFonts w:ascii="Calibri Light" w:eastAsia="Times New Roman" w:hAnsi="Calibri Light" w:cs="Calibri Light"/>
          <w:color w:val="000000"/>
          <w:lang w:val="en-AU"/>
        </w:rPr>
        <w:t xml:space="preserve">reforms including an update to </w:t>
      </w:r>
      <w:r w:rsidR="00483CF1">
        <w:rPr>
          <w:rFonts w:ascii="Calibri Light" w:eastAsia="Times New Roman" w:hAnsi="Calibri Light" w:cs="Calibri Light"/>
          <w:color w:val="000000"/>
          <w:lang w:val="en-AU"/>
        </w:rPr>
        <w:t>n</w:t>
      </w:r>
      <w:r w:rsidR="008D5394">
        <w:rPr>
          <w:rFonts w:ascii="Calibri Light" w:eastAsia="Times New Roman" w:hAnsi="Calibri Light" w:cs="Calibri Light"/>
          <w:color w:val="000000"/>
          <w:lang w:val="en-AU"/>
        </w:rPr>
        <w:t xml:space="preserve">ational </w:t>
      </w:r>
      <w:r w:rsidR="00483CF1">
        <w:rPr>
          <w:rFonts w:ascii="Calibri Light" w:eastAsia="Times New Roman" w:hAnsi="Calibri Light" w:cs="Calibri Light"/>
          <w:color w:val="000000"/>
          <w:lang w:val="en-AU"/>
        </w:rPr>
        <w:t>d</w:t>
      </w:r>
      <w:r w:rsidR="008D5394">
        <w:rPr>
          <w:rFonts w:ascii="Calibri Light" w:eastAsia="Times New Roman" w:hAnsi="Calibri Light" w:cs="Calibri Light"/>
          <w:color w:val="000000"/>
          <w:lang w:val="en-AU"/>
        </w:rPr>
        <w:t>isaster legislation and new p</w:t>
      </w:r>
      <w:r w:rsidR="004B4806" w:rsidRPr="008D5394">
        <w:rPr>
          <w:rFonts w:ascii="Calibri Light" w:eastAsia="Times New Roman" w:hAnsi="Calibri Light" w:cs="Calibri Light"/>
          <w:color w:val="000000"/>
          <w:lang w:val="en-AU"/>
        </w:rPr>
        <w:t xml:space="preserve">olicy on </w:t>
      </w:r>
      <w:r w:rsidR="00483CF1">
        <w:rPr>
          <w:rFonts w:ascii="Calibri Light" w:eastAsia="Times New Roman" w:hAnsi="Calibri Light" w:cs="Calibri Light"/>
          <w:color w:val="000000"/>
          <w:lang w:val="en-AU"/>
        </w:rPr>
        <w:t>c</w:t>
      </w:r>
      <w:r w:rsidR="004B4806" w:rsidRPr="008D5394">
        <w:rPr>
          <w:rFonts w:ascii="Calibri Light" w:eastAsia="Times New Roman" w:hAnsi="Calibri Light" w:cs="Calibri Light"/>
          <w:color w:val="000000"/>
          <w:lang w:val="en-AU"/>
        </w:rPr>
        <w:t xml:space="preserve">limate </w:t>
      </w:r>
      <w:r w:rsidR="00483CF1">
        <w:rPr>
          <w:rFonts w:ascii="Calibri Light" w:eastAsia="Times New Roman" w:hAnsi="Calibri Light" w:cs="Calibri Light"/>
          <w:color w:val="000000"/>
          <w:lang w:val="en-AU"/>
        </w:rPr>
        <w:t>c</w:t>
      </w:r>
      <w:r w:rsidR="004B4806" w:rsidRPr="008D5394">
        <w:rPr>
          <w:rFonts w:ascii="Calibri Light" w:eastAsia="Times New Roman" w:hAnsi="Calibri Light" w:cs="Calibri Light"/>
          <w:color w:val="000000"/>
          <w:lang w:val="en-AU"/>
        </w:rPr>
        <w:t xml:space="preserve">hange and </w:t>
      </w:r>
      <w:r w:rsidR="00483CF1">
        <w:rPr>
          <w:rFonts w:ascii="Calibri Light" w:eastAsia="Times New Roman" w:hAnsi="Calibri Light" w:cs="Calibri Light"/>
          <w:color w:val="000000"/>
          <w:lang w:val="en-AU"/>
        </w:rPr>
        <w:t>d</w:t>
      </w:r>
      <w:r w:rsidR="004B4806" w:rsidRPr="008D5394">
        <w:rPr>
          <w:rFonts w:ascii="Calibri Light" w:eastAsia="Times New Roman" w:hAnsi="Calibri Light" w:cs="Calibri Light"/>
          <w:color w:val="000000"/>
          <w:lang w:val="en-AU"/>
        </w:rPr>
        <w:t xml:space="preserve">isaster-induced </w:t>
      </w:r>
      <w:r w:rsidR="00483CF1">
        <w:rPr>
          <w:rFonts w:ascii="Calibri Light" w:eastAsia="Times New Roman" w:hAnsi="Calibri Light" w:cs="Calibri Light"/>
          <w:color w:val="000000"/>
          <w:lang w:val="en-AU"/>
        </w:rPr>
        <w:t>d</w:t>
      </w:r>
      <w:r w:rsidR="004B4806" w:rsidRPr="008D5394">
        <w:rPr>
          <w:rFonts w:ascii="Calibri Light" w:eastAsia="Times New Roman" w:hAnsi="Calibri Light" w:cs="Calibri Light"/>
          <w:color w:val="000000"/>
          <w:lang w:val="en-AU"/>
        </w:rPr>
        <w:t>isplacement</w:t>
      </w:r>
      <w:r w:rsidR="008D5394">
        <w:rPr>
          <w:rFonts w:ascii="Calibri Light" w:eastAsia="Times New Roman" w:hAnsi="Calibri Light" w:cs="Calibri Light"/>
          <w:color w:val="000000"/>
          <w:lang w:val="en-AU"/>
        </w:rPr>
        <w:t>.</w:t>
      </w:r>
      <w:r w:rsidRPr="008D5394">
        <w:rPr>
          <w:rFonts w:ascii="Calibri Light" w:eastAsia="Times New Roman" w:hAnsi="Calibri Light" w:cs="Calibri Light"/>
          <w:color w:val="000000"/>
          <w:lang w:val="en-AU"/>
        </w:rPr>
        <w:t xml:space="preserve"> </w:t>
      </w:r>
      <w:r w:rsidR="00817063">
        <w:rPr>
          <w:rFonts w:ascii="Calibri Light" w:eastAsia="Times New Roman" w:hAnsi="Calibri Light" w:cs="Calibri Light"/>
          <w:color w:val="000000"/>
          <w:lang w:val="en-AU"/>
        </w:rPr>
        <w:t xml:space="preserve">Humanitarian technical support within the High Commission </w:t>
      </w:r>
      <w:r w:rsidR="00483CF1">
        <w:rPr>
          <w:rFonts w:ascii="Calibri Light" w:eastAsia="Times New Roman" w:hAnsi="Calibri Light" w:cs="Calibri Light"/>
          <w:color w:val="000000"/>
          <w:lang w:val="en-AU"/>
        </w:rPr>
        <w:t>is</w:t>
      </w:r>
      <w:r w:rsidR="00817063">
        <w:rPr>
          <w:rFonts w:ascii="Calibri Light" w:eastAsia="Times New Roman" w:hAnsi="Calibri Light" w:cs="Calibri Light"/>
          <w:color w:val="000000"/>
          <w:lang w:val="en-AU"/>
        </w:rPr>
        <w:t xml:space="preserve"> critical to </w:t>
      </w:r>
      <w:r w:rsidR="00483CF1">
        <w:rPr>
          <w:rFonts w:ascii="Calibri Light" w:eastAsia="Times New Roman" w:hAnsi="Calibri Light" w:cs="Calibri Light"/>
          <w:color w:val="000000"/>
          <w:lang w:val="en-AU"/>
        </w:rPr>
        <w:t>support</w:t>
      </w:r>
      <w:r w:rsidR="00817063">
        <w:rPr>
          <w:rFonts w:ascii="Calibri Light" w:eastAsia="Times New Roman" w:hAnsi="Calibri Light" w:cs="Calibri Light"/>
          <w:color w:val="000000"/>
          <w:lang w:val="en-AU"/>
        </w:rPr>
        <w:t xml:space="preserve"> humanitarian advocacy and policy engagement. </w:t>
      </w:r>
    </w:p>
    <w:p w:rsidR="005B5769" w:rsidRDefault="005B5769" w:rsidP="00BB648A">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Mutual Obligations</w:t>
      </w:r>
    </w:p>
    <w:p w:rsidR="00720563" w:rsidRPr="00BB3BB9" w:rsidRDefault="00720563" w:rsidP="00BB3BB9">
      <w:pPr>
        <w:rPr>
          <w:rFonts w:ascii="Calibri Light" w:hAnsi="Calibri Light"/>
          <w:color w:val="000000"/>
        </w:rPr>
      </w:pPr>
      <w:r w:rsidRPr="00BB3BB9">
        <w:rPr>
          <w:rFonts w:ascii="Calibri Light" w:hAnsi="Calibri Light"/>
          <w:color w:val="000000"/>
        </w:rPr>
        <w:t>Mutual obligations</w:t>
      </w:r>
      <w:r w:rsidR="00654607">
        <w:rPr>
          <w:rFonts w:ascii="Calibri Light" w:hAnsi="Calibri Light"/>
          <w:color w:val="000000"/>
        </w:rPr>
        <w:t>,</w:t>
      </w:r>
      <w:r w:rsidRPr="00BB3BB9">
        <w:rPr>
          <w:rFonts w:ascii="Calibri Light" w:hAnsi="Calibri Light"/>
          <w:color w:val="000000"/>
        </w:rPr>
        <w:t xml:space="preserve"> as outlined in the A</w:t>
      </w:r>
      <w:r w:rsidR="00D950F4">
        <w:rPr>
          <w:rFonts w:ascii="Calibri Light" w:hAnsi="Calibri Light"/>
          <w:color w:val="000000"/>
        </w:rPr>
        <w:t>PA</w:t>
      </w:r>
      <w:r w:rsidRPr="00BB3BB9">
        <w:rPr>
          <w:rFonts w:ascii="Calibri Light" w:hAnsi="Calibri Light"/>
          <w:color w:val="000000"/>
        </w:rPr>
        <w:t xml:space="preserve">, are discussed regularly between governments. The </w:t>
      </w:r>
      <w:r w:rsidRPr="00BB3BB9">
        <w:rPr>
          <w:rFonts w:ascii="Calibri Light" w:hAnsi="Calibri Light"/>
          <w:b/>
          <w:color w:val="000000"/>
        </w:rPr>
        <w:t>inaugural Vanuatu Australia Senior Official Talks</w:t>
      </w:r>
      <w:r w:rsidR="0045567A">
        <w:rPr>
          <w:rFonts w:ascii="Calibri Light" w:hAnsi="Calibri Light"/>
          <w:color w:val="000000"/>
        </w:rPr>
        <w:t xml:space="preserve"> </w:t>
      </w:r>
      <w:r w:rsidRPr="00BB3BB9">
        <w:rPr>
          <w:rFonts w:ascii="Calibri Light" w:hAnsi="Calibri Light"/>
          <w:color w:val="000000"/>
        </w:rPr>
        <w:t>were held in June 2019</w:t>
      </w:r>
      <w:r w:rsidR="0045567A">
        <w:rPr>
          <w:rFonts w:ascii="Calibri Light" w:hAnsi="Calibri Light"/>
          <w:color w:val="000000"/>
        </w:rPr>
        <w:t xml:space="preserve">. </w:t>
      </w:r>
      <w:r w:rsidR="00513785">
        <w:rPr>
          <w:rFonts w:ascii="Calibri Light" w:hAnsi="Calibri Light"/>
          <w:color w:val="000000"/>
        </w:rPr>
        <w:t>T</w:t>
      </w:r>
      <w:r w:rsidRPr="00BB3BB9">
        <w:rPr>
          <w:rFonts w:ascii="Calibri Light" w:hAnsi="Calibri Light"/>
          <w:color w:val="000000"/>
        </w:rPr>
        <w:t xml:space="preserve">he </w:t>
      </w:r>
      <w:r w:rsidR="0045567A">
        <w:rPr>
          <w:rFonts w:ascii="Calibri Light" w:hAnsi="Calibri Light"/>
          <w:color w:val="000000"/>
        </w:rPr>
        <w:t xml:space="preserve">talks </w:t>
      </w:r>
      <w:r w:rsidRPr="00BB3BB9">
        <w:rPr>
          <w:rFonts w:ascii="Calibri Light" w:hAnsi="Calibri Light"/>
          <w:color w:val="000000"/>
        </w:rPr>
        <w:t xml:space="preserve">covered the breadth of the bilateral relationship including economic, security and development cooperation and included senior representatives of agencies from across both governments.  A joint Outcomes Statement outlined key agreements, including a commitment to </w:t>
      </w:r>
      <w:r>
        <w:rPr>
          <w:rFonts w:ascii="Calibri Light" w:eastAsia="Calibri" w:hAnsi="Calibri Light" w:cs="Times New Roman"/>
          <w:color w:val="000000"/>
        </w:rPr>
        <w:t>annual</w:t>
      </w:r>
      <w:r w:rsidRPr="00BB3BB9">
        <w:rPr>
          <w:rFonts w:ascii="Calibri Light" w:hAnsi="Calibri Light"/>
          <w:color w:val="000000"/>
        </w:rPr>
        <w:t xml:space="preserve"> </w:t>
      </w:r>
      <w:r w:rsidR="0045567A">
        <w:rPr>
          <w:rFonts w:ascii="Calibri Light" w:hAnsi="Calibri Light"/>
          <w:color w:val="000000"/>
        </w:rPr>
        <w:t>Senior Official Talks</w:t>
      </w:r>
      <w:r w:rsidR="0045567A" w:rsidRPr="00BB3BB9">
        <w:rPr>
          <w:rFonts w:ascii="Calibri Light" w:hAnsi="Calibri Light"/>
          <w:color w:val="000000"/>
        </w:rPr>
        <w:t xml:space="preserve"> </w:t>
      </w:r>
      <w:r w:rsidRPr="00BB3BB9">
        <w:rPr>
          <w:rFonts w:ascii="Calibri Light" w:hAnsi="Calibri Light"/>
          <w:color w:val="000000"/>
        </w:rPr>
        <w:t xml:space="preserve">and to commence discussions on a new </w:t>
      </w:r>
      <w:r w:rsidR="00C82F53">
        <w:rPr>
          <w:rFonts w:ascii="Calibri Light" w:hAnsi="Calibri Light"/>
          <w:color w:val="000000"/>
        </w:rPr>
        <w:t>APA</w:t>
      </w:r>
      <w:r w:rsidRPr="00BB3BB9">
        <w:rPr>
          <w:rFonts w:ascii="Calibri Light" w:hAnsi="Calibri Light"/>
          <w:color w:val="000000"/>
        </w:rPr>
        <w:t>.</w:t>
      </w:r>
    </w:p>
    <w:p w:rsidR="00720563" w:rsidRPr="00BB3BB9" w:rsidRDefault="00720563" w:rsidP="00720563">
      <w:pPr>
        <w:spacing w:before="0" w:after="0" w:line="240" w:lineRule="auto"/>
        <w:rPr>
          <w:rFonts w:ascii="Calibri Light" w:hAnsi="Calibri Light"/>
          <w:color w:val="000000"/>
        </w:rPr>
      </w:pPr>
      <w:r w:rsidRPr="00BB3BB9">
        <w:rPr>
          <w:rFonts w:ascii="Calibri Light" w:hAnsi="Calibri Light"/>
          <w:color w:val="000000"/>
        </w:rPr>
        <w:t xml:space="preserve">The </w:t>
      </w:r>
      <w:r w:rsidR="00293D09">
        <w:rPr>
          <w:rFonts w:ascii="Calibri Light" w:hAnsi="Calibri Light"/>
          <w:color w:val="000000"/>
        </w:rPr>
        <w:t xml:space="preserve">Government </w:t>
      </w:r>
      <w:r w:rsidR="003A4071">
        <w:rPr>
          <w:rFonts w:ascii="Calibri Light" w:hAnsi="Calibri Light"/>
          <w:color w:val="000000"/>
        </w:rPr>
        <w:t xml:space="preserve">of Vanuatu made </w:t>
      </w:r>
      <w:r w:rsidRPr="008C6D7F">
        <w:rPr>
          <w:rFonts w:ascii="Calibri Light" w:eastAsia="Calibri" w:hAnsi="Calibri Light" w:cs="Times New Roman"/>
          <w:color w:val="000000"/>
        </w:rPr>
        <w:t>allocations</w:t>
      </w:r>
      <w:r w:rsidRPr="00BB3BB9">
        <w:rPr>
          <w:rFonts w:ascii="Calibri Light" w:hAnsi="Calibri Light"/>
          <w:color w:val="000000"/>
        </w:rPr>
        <w:t xml:space="preserve"> in the 2019 Budget to </w:t>
      </w:r>
      <w:r w:rsidRPr="008C6D7F">
        <w:rPr>
          <w:rFonts w:ascii="Calibri Light" w:eastAsia="Calibri" w:hAnsi="Calibri Light" w:cs="Times New Roman"/>
          <w:color w:val="000000"/>
        </w:rPr>
        <w:t>fund</w:t>
      </w:r>
      <w:r w:rsidRPr="00BB3BB9">
        <w:rPr>
          <w:rFonts w:ascii="Calibri Light" w:hAnsi="Calibri Light"/>
          <w:color w:val="000000"/>
        </w:rPr>
        <w:t xml:space="preserve"> mutual commitments, including:</w:t>
      </w:r>
    </w:p>
    <w:p w:rsidR="00720563" w:rsidRPr="000E493E" w:rsidRDefault="00720563" w:rsidP="00BB3BB9">
      <w:pPr>
        <w:pStyle w:val="ListParagraph"/>
        <w:numPr>
          <w:ilvl w:val="0"/>
          <w:numId w:val="47"/>
        </w:numPr>
        <w:ind w:left="426"/>
        <w:rPr>
          <w:rFonts w:ascii="Calibri Light" w:eastAsia="Calibri" w:hAnsi="Calibri Light"/>
          <w:color w:val="000000"/>
          <w:sz w:val="22"/>
          <w:szCs w:val="22"/>
        </w:rPr>
      </w:pPr>
      <w:r w:rsidRPr="000E493E">
        <w:rPr>
          <w:rFonts w:ascii="Calibri Light" w:eastAsia="Calibri" w:hAnsi="Calibri Light"/>
          <w:b/>
          <w:color w:val="000000"/>
          <w:sz w:val="22"/>
          <w:szCs w:val="22"/>
        </w:rPr>
        <w:t>education sector School Rationalisation and Universal Access policies</w:t>
      </w:r>
      <w:r w:rsidRPr="000E493E">
        <w:rPr>
          <w:rFonts w:ascii="Calibri Light" w:eastAsia="Calibri" w:hAnsi="Calibri Light"/>
          <w:color w:val="000000"/>
          <w:sz w:val="22"/>
          <w:szCs w:val="22"/>
        </w:rPr>
        <w:t xml:space="preserve"> (</w:t>
      </w:r>
      <w:r w:rsidR="0045567A">
        <w:rPr>
          <w:rFonts w:ascii="Calibri Light" w:eastAsia="Calibri" w:hAnsi="Calibri Light"/>
          <w:color w:val="000000"/>
          <w:sz w:val="22"/>
          <w:szCs w:val="22"/>
        </w:rPr>
        <w:t>$</w:t>
      </w:r>
      <w:r w:rsidRPr="000E493E">
        <w:rPr>
          <w:rFonts w:ascii="Calibri Light" w:eastAsia="Calibri" w:hAnsi="Calibri Light"/>
          <w:color w:val="000000"/>
          <w:sz w:val="22"/>
          <w:szCs w:val="22"/>
        </w:rPr>
        <w:t>5.5</w:t>
      </w:r>
      <w:r w:rsidR="0045567A">
        <w:rPr>
          <w:rFonts w:ascii="Calibri Light" w:eastAsia="Calibri" w:hAnsi="Calibri Light"/>
          <w:color w:val="000000"/>
          <w:sz w:val="22"/>
          <w:szCs w:val="22"/>
        </w:rPr>
        <w:t xml:space="preserve"> million</w:t>
      </w:r>
      <w:r w:rsidRPr="000E493E">
        <w:rPr>
          <w:rFonts w:ascii="Calibri Light" w:eastAsia="Calibri" w:hAnsi="Calibri Light"/>
          <w:color w:val="000000"/>
          <w:sz w:val="22"/>
          <w:szCs w:val="22"/>
        </w:rPr>
        <w:t>), delivering on an agreed sliding scale of Australian funding for school grants</w:t>
      </w:r>
      <w:r w:rsidR="00D60083">
        <w:rPr>
          <w:rFonts w:ascii="Calibri Light" w:eastAsia="Calibri" w:hAnsi="Calibri Light"/>
          <w:color w:val="000000"/>
          <w:sz w:val="22"/>
          <w:szCs w:val="22"/>
        </w:rPr>
        <w:t>,</w:t>
      </w:r>
      <w:r w:rsidRPr="000E493E">
        <w:rPr>
          <w:rFonts w:ascii="Calibri Light" w:eastAsia="Calibri" w:hAnsi="Calibri Light"/>
          <w:color w:val="000000"/>
          <w:sz w:val="22"/>
          <w:szCs w:val="22"/>
        </w:rPr>
        <w:t xml:space="preserve"> </w:t>
      </w:r>
    </w:p>
    <w:p w:rsidR="00720563" w:rsidRPr="000E493E" w:rsidRDefault="00720563" w:rsidP="00BB3BB9">
      <w:pPr>
        <w:pStyle w:val="ListParagraph"/>
        <w:numPr>
          <w:ilvl w:val="0"/>
          <w:numId w:val="47"/>
        </w:numPr>
        <w:spacing w:after="160" w:line="259" w:lineRule="auto"/>
        <w:ind w:left="426"/>
        <w:rPr>
          <w:rFonts w:ascii="Calibri Light" w:eastAsia="Calibri" w:hAnsi="Calibri Light"/>
          <w:color w:val="000000"/>
          <w:sz w:val="22"/>
          <w:szCs w:val="22"/>
        </w:rPr>
      </w:pPr>
      <w:r w:rsidRPr="000E493E">
        <w:rPr>
          <w:rFonts w:ascii="Calibri Light" w:eastAsia="Calibri" w:hAnsi="Calibri Light"/>
          <w:b/>
          <w:color w:val="000000"/>
          <w:sz w:val="22"/>
          <w:szCs w:val="22"/>
        </w:rPr>
        <w:t>mutual 2017-20 Health Sector Strategy priorities</w:t>
      </w:r>
      <w:r w:rsidRPr="000E493E">
        <w:rPr>
          <w:rFonts w:ascii="Calibri Light" w:eastAsia="Calibri" w:hAnsi="Calibri Light"/>
          <w:color w:val="000000"/>
          <w:sz w:val="22"/>
          <w:szCs w:val="22"/>
        </w:rPr>
        <w:t xml:space="preserve"> (</w:t>
      </w:r>
      <w:r w:rsidR="0045567A">
        <w:rPr>
          <w:rFonts w:ascii="Calibri Light" w:eastAsia="Calibri" w:hAnsi="Calibri Light"/>
          <w:color w:val="000000"/>
          <w:sz w:val="22"/>
          <w:szCs w:val="22"/>
        </w:rPr>
        <w:t>$</w:t>
      </w:r>
      <w:r w:rsidRPr="000E493E">
        <w:rPr>
          <w:rFonts w:ascii="Calibri Light" w:eastAsia="Calibri" w:hAnsi="Calibri Light"/>
          <w:color w:val="000000"/>
          <w:sz w:val="22"/>
          <w:szCs w:val="22"/>
        </w:rPr>
        <w:t>2.5</w:t>
      </w:r>
      <w:r w:rsidR="0045567A">
        <w:rPr>
          <w:rFonts w:ascii="Calibri Light" w:eastAsia="Calibri" w:hAnsi="Calibri Light"/>
          <w:color w:val="000000"/>
          <w:sz w:val="22"/>
          <w:szCs w:val="22"/>
        </w:rPr>
        <w:t xml:space="preserve"> million</w:t>
      </w:r>
      <w:r w:rsidRPr="000E493E">
        <w:rPr>
          <w:rFonts w:ascii="Calibri Light" w:eastAsia="Calibri" w:hAnsi="Calibri Light"/>
          <w:color w:val="000000"/>
          <w:sz w:val="22"/>
          <w:szCs w:val="22"/>
        </w:rPr>
        <w:t>), including workforce development, infrastructure and equipment</w:t>
      </w:r>
      <w:r w:rsidR="00D950F4">
        <w:rPr>
          <w:rFonts w:ascii="Calibri Light" w:eastAsia="Calibri" w:hAnsi="Calibri Light"/>
          <w:color w:val="000000"/>
          <w:sz w:val="22"/>
          <w:szCs w:val="22"/>
        </w:rPr>
        <w:t>, and</w:t>
      </w:r>
    </w:p>
    <w:p w:rsidR="00854CA0" w:rsidRDefault="00720563" w:rsidP="00854CA0">
      <w:pPr>
        <w:pStyle w:val="ListParagraph"/>
        <w:numPr>
          <w:ilvl w:val="0"/>
          <w:numId w:val="47"/>
        </w:numPr>
        <w:spacing w:after="160" w:line="259" w:lineRule="auto"/>
        <w:ind w:left="426"/>
        <w:rPr>
          <w:rFonts w:ascii="Calibri Light" w:eastAsia="Calibri" w:hAnsi="Calibri Light"/>
          <w:b/>
          <w:color w:val="000000"/>
          <w:sz w:val="22"/>
          <w:szCs w:val="22"/>
        </w:rPr>
      </w:pPr>
      <w:r w:rsidRPr="00854CA0">
        <w:rPr>
          <w:rFonts w:ascii="Calibri Light" w:eastAsia="Calibri" w:hAnsi="Calibri Light"/>
          <w:color w:val="000000"/>
          <w:sz w:val="22"/>
          <w:szCs w:val="22"/>
        </w:rPr>
        <w:t>infrastructure (</w:t>
      </w:r>
      <w:r w:rsidR="0045567A" w:rsidRPr="00854CA0">
        <w:rPr>
          <w:rFonts w:ascii="Calibri Light" w:eastAsia="Calibri" w:hAnsi="Calibri Light"/>
          <w:color w:val="000000"/>
          <w:sz w:val="22"/>
          <w:szCs w:val="22"/>
        </w:rPr>
        <w:t>$</w:t>
      </w:r>
      <w:r w:rsidRPr="00854CA0">
        <w:rPr>
          <w:rFonts w:ascii="Calibri Light" w:eastAsia="Calibri" w:hAnsi="Calibri Light"/>
          <w:color w:val="000000"/>
          <w:sz w:val="22"/>
          <w:szCs w:val="22"/>
        </w:rPr>
        <w:t>3.8</w:t>
      </w:r>
      <w:r w:rsidR="0045567A" w:rsidRPr="00854CA0">
        <w:rPr>
          <w:rFonts w:ascii="Calibri Light" w:eastAsia="Calibri" w:hAnsi="Calibri Light"/>
          <w:color w:val="000000"/>
          <w:sz w:val="22"/>
          <w:szCs w:val="22"/>
        </w:rPr>
        <w:t xml:space="preserve"> million</w:t>
      </w:r>
      <w:r w:rsidRPr="00854CA0">
        <w:rPr>
          <w:rFonts w:ascii="Calibri Light" w:eastAsia="Calibri" w:hAnsi="Calibri Light"/>
          <w:color w:val="000000"/>
          <w:sz w:val="22"/>
          <w:szCs w:val="22"/>
        </w:rPr>
        <w:t>) and investment environment</w:t>
      </w:r>
      <w:r w:rsidR="00D950F4" w:rsidRPr="00854CA0">
        <w:rPr>
          <w:rFonts w:ascii="Calibri Light" w:eastAsia="Calibri" w:hAnsi="Calibri Light"/>
          <w:color w:val="000000"/>
          <w:sz w:val="22"/>
          <w:szCs w:val="22"/>
        </w:rPr>
        <w:t xml:space="preserve"> </w:t>
      </w:r>
      <w:r w:rsidR="00854CA0">
        <w:rPr>
          <w:rFonts w:ascii="Calibri Light" w:eastAsia="Calibri" w:hAnsi="Calibri Light"/>
          <w:color w:val="000000"/>
          <w:sz w:val="22"/>
          <w:szCs w:val="22"/>
        </w:rPr>
        <w:t>-</w:t>
      </w:r>
      <w:r w:rsidR="00D950F4" w:rsidRPr="00854CA0">
        <w:rPr>
          <w:rFonts w:ascii="Calibri Light" w:eastAsia="Calibri" w:hAnsi="Calibri Light"/>
          <w:color w:val="000000"/>
          <w:sz w:val="22"/>
          <w:szCs w:val="22"/>
        </w:rPr>
        <w:t xml:space="preserve"> agriculture and tourism</w:t>
      </w:r>
      <w:r w:rsidR="00854CA0">
        <w:rPr>
          <w:rFonts w:ascii="Calibri Light" w:eastAsia="Calibri" w:hAnsi="Calibri Light"/>
          <w:color w:val="000000"/>
          <w:sz w:val="22"/>
          <w:szCs w:val="22"/>
        </w:rPr>
        <w:t xml:space="preserve"> -</w:t>
      </w:r>
      <w:r w:rsidRPr="00854CA0">
        <w:rPr>
          <w:rFonts w:ascii="Calibri Light" w:eastAsia="Calibri" w:hAnsi="Calibri Light"/>
          <w:color w:val="000000"/>
          <w:sz w:val="22"/>
          <w:szCs w:val="22"/>
        </w:rPr>
        <w:t xml:space="preserve"> (</w:t>
      </w:r>
      <w:r w:rsidR="001729E2" w:rsidRPr="00854CA0">
        <w:rPr>
          <w:rFonts w:ascii="Calibri Light" w:eastAsia="Calibri" w:hAnsi="Calibri Light"/>
          <w:color w:val="000000"/>
          <w:sz w:val="22"/>
          <w:szCs w:val="22"/>
        </w:rPr>
        <w:t>$</w:t>
      </w:r>
      <w:r w:rsidRPr="00854CA0">
        <w:rPr>
          <w:rFonts w:ascii="Calibri Light" w:eastAsia="Calibri" w:hAnsi="Calibri Light"/>
          <w:color w:val="000000"/>
          <w:sz w:val="22"/>
          <w:szCs w:val="22"/>
        </w:rPr>
        <w:t>5.8</w:t>
      </w:r>
      <w:r w:rsidR="001729E2" w:rsidRPr="00854CA0">
        <w:rPr>
          <w:rFonts w:ascii="Calibri Light" w:eastAsia="Calibri" w:hAnsi="Calibri Light"/>
          <w:color w:val="000000"/>
          <w:sz w:val="22"/>
          <w:szCs w:val="22"/>
        </w:rPr>
        <w:t> million</w:t>
      </w:r>
      <w:r w:rsidR="00D950F4" w:rsidRPr="00854CA0">
        <w:rPr>
          <w:rFonts w:ascii="Calibri Light" w:eastAsia="Calibri" w:hAnsi="Calibri Light"/>
          <w:color w:val="000000"/>
          <w:sz w:val="22"/>
          <w:szCs w:val="22"/>
        </w:rPr>
        <w:t xml:space="preserve">) </w:t>
      </w:r>
      <w:r w:rsidRPr="00854CA0">
        <w:rPr>
          <w:rFonts w:ascii="Calibri Light" w:eastAsia="Calibri" w:hAnsi="Calibri Light"/>
          <w:color w:val="000000"/>
          <w:sz w:val="22"/>
          <w:szCs w:val="22"/>
        </w:rPr>
        <w:t xml:space="preserve">to </w:t>
      </w:r>
      <w:r w:rsidR="00D950F4" w:rsidRPr="00854CA0">
        <w:rPr>
          <w:rFonts w:ascii="Calibri Light" w:eastAsia="Calibri" w:hAnsi="Calibri Light"/>
          <w:color w:val="000000"/>
          <w:sz w:val="22"/>
          <w:szCs w:val="22"/>
        </w:rPr>
        <w:t>support</w:t>
      </w:r>
      <w:r w:rsidRPr="00854CA0">
        <w:rPr>
          <w:rFonts w:ascii="Calibri Light" w:eastAsia="Calibri" w:hAnsi="Calibri Light"/>
          <w:b/>
          <w:color w:val="000000"/>
          <w:sz w:val="22"/>
          <w:szCs w:val="22"/>
        </w:rPr>
        <w:t xml:space="preserve"> </w:t>
      </w:r>
      <w:r w:rsidRPr="002F401E">
        <w:rPr>
          <w:rFonts w:ascii="Calibri Light" w:eastAsia="Calibri" w:hAnsi="Calibri Light"/>
          <w:b/>
          <w:color w:val="000000"/>
          <w:sz w:val="22"/>
          <w:szCs w:val="22"/>
        </w:rPr>
        <w:t>mutual obligations to</w:t>
      </w:r>
      <w:r w:rsidRPr="008B5AC8">
        <w:rPr>
          <w:rFonts w:ascii="Calibri Light" w:eastAsia="Calibri" w:hAnsi="Calibri Light"/>
          <w:b/>
          <w:color w:val="000000"/>
          <w:sz w:val="22"/>
          <w:szCs w:val="22"/>
        </w:rPr>
        <w:t xml:space="preserve"> strengthen rural productivity and support decentralisation.</w:t>
      </w:r>
    </w:p>
    <w:p w:rsidR="00720563" w:rsidRPr="00854CA0" w:rsidRDefault="001729E2" w:rsidP="00854CA0">
      <w:pPr>
        <w:pStyle w:val="ListParagraph"/>
        <w:ind w:left="0"/>
        <w:rPr>
          <w:rFonts w:ascii="Calibri Light" w:hAnsi="Calibri Light"/>
          <w:b/>
          <w:color w:val="000000"/>
          <w:sz w:val="22"/>
          <w:szCs w:val="22"/>
        </w:rPr>
      </w:pPr>
      <w:r w:rsidRPr="00854CA0">
        <w:rPr>
          <w:rFonts w:ascii="Calibri Light" w:eastAsia="Calibri" w:hAnsi="Calibri Light" w:cs="Arial"/>
          <w:b/>
          <w:color w:val="000000"/>
          <w:sz w:val="22"/>
          <w:szCs w:val="22"/>
        </w:rPr>
        <w:t>Government of Vanuatu</w:t>
      </w:r>
      <w:r w:rsidRPr="00854CA0">
        <w:rPr>
          <w:rFonts w:ascii="Calibri Light" w:hAnsi="Calibri Light"/>
          <w:b/>
          <w:color w:val="000000"/>
          <w:sz w:val="22"/>
          <w:szCs w:val="22"/>
        </w:rPr>
        <w:t xml:space="preserve"> </w:t>
      </w:r>
      <w:r w:rsidR="00720563" w:rsidRPr="00854CA0">
        <w:rPr>
          <w:rFonts w:ascii="Calibri Light" w:hAnsi="Calibri Light"/>
          <w:b/>
          <w:color w:val="000000"/>
          <w:sz w:val="22"/>
          <w:szCs w:val="22"/>
        </w:rPr>
        <w:t>resources to implement the National Gender Equality Policy 2015-19 remain limited</w:t>
      </w:r>
      <w:r w:rsidR="00720563" w:rsidRPr="00854CA0">
        <w:rPr>
          <w:rFonts w:ascii="Calibri Light" w:hAnsi="Calibri Light"/>
          <w:color w:val="000000"/>
          <w:sz w:val="22"/>
          <w:szCs w:val="22"/>
        </w:rPr>
        <w:t xml:space="preserve">. While some targeted initiatives continue, including </w:t>
      </w:r>
      <w:r w:rsidR="002F401E" w:rsidRPr="00854CA0">
        <w:rPr>
          <w:rFonts w:ascii="Calibri Light" w:hAnsi="Calibri Light"/>
          <w:color w:val="000000"/>
          <w:sz w:val="22"/>
          <w:szCs w:val="22"/>
        </w:rPr>
        <w:t>a</w:t>
      </w:r>
      <w:r w:rsidR="00720563" w:rsidRPr="00854CA0">
        <w:rPr>
          <w:rFonts w:ascii="Calibri Light" w:hAnsi="Calibri Light"/>
          <w:color w:val="000000"/>
          <w:sz w:val="22"/>
          <w:szCs w:val="22"/>
        </w:rPr>
        <w:t xml:space="preserve"> Gender Responsive Budgeting </w:t>
      </w:r>
      <w:r w:rsidR="002F401E" w:rsidRPr="00854CA0">
        <w:rPr>
          <w:rFonts w:ascii="Calibri Light" w:hAnsi="Calibri Light"/>
          <w:color w:val="000000"/>
          <w:sz w:val="22"/>
          <w:szCs w:val="22"/>
        </w:rPr>
        <w:t xml:space="preserve">pilot </w:t>
      </w:r>
      <w:r w:rsidR="00720563" w:rsidRPr="00854CA0">
        <w:rPr>
          <w:rFonts w:ascii="Calibri Light" w:hAnsi="Calibri Light"/>
          <w:color w:val="000000"/>
          <w:sz w:val="22"/>
          <w:szCs w:val="22"/>
        </w:rPr>
        <w:t>and adoption of a Gender and Protection cluster under the Climate Change and Disaster Risk Reduction Policy, pursuit of temporary special measures at national level has stalled and services to address violence against women remain primarily funded by donors.</w:t>
      </w:r>
    </w:p>
    <w:p w:rsidR="00720563" w:rsidRPr="000E493E" w:rsidRDefault="00720563" w:rsidP="00B83D47">
      <w:pPr>
        <w:spacing w:after="0" w:line="240" w:lineRule="auto"/>
        <w:rPr>
          <w:rFonts w:ascii="Calibri Light" w:eastAsia="Calibri" w:hAnsi="Calibri Light"/>
          <w:color w:val="000000"/>
        </w:rPr>
      </w:pPr>
      <w:r w:rsidRPr="00BB3BB9">
        <w:rPr>
          <w:rFonts w:ascii="Calibri Light" w:hAnsi="Calibri Light"/>
          <w:color w:val="000000"/>
        </w:rPr>
        <w:t xml:space="preserve">Australia </w:t>
      </w:r>
      <w:r>
        <w:rPr>
          <w:rFonts w:ascii="Calibri Light" w:eastAsia="Calibri" w:hAnsi="Calibri Light" w:cs="Times New Roman"/>
          <w:color w:val="000000"/>
        </w:rPr>
        <w:t>assisted</w:t>
      </w:r>
      <w:r w:rsidRPr="00BB3BB9">
        <w:rPr>
          <w:rFonts w:ascii="Calibri Light" w:hAnsi="Calibri Light"/>
          <w:color w:val="000000"/>
        </w:rPr>
        <w:t xml:space="preserve"> the </w:t>
      </w:r>
      <w:r w:rsidR="00293D09">
        <w:rPr>
          <w:rFonts w:ascii="Calibri Light" w:hAnsi="Calibri Light"/>
          <w:color w:val="000000"/>
        </w:rPr>
        <w:t xml:space="preserve">Government </w:t>
      </w:r>
      <w:r w:rsidRPr="00BB3BB9">
        <w:rPr>
          <w:rFonts w:ascii="Calibri Light" w:hAnsi="Calibri Light"/>
          <w:color w:val="000000"/>
        </w:rPr>
        <w:t xml:space="preserve">to develop evidence-based policy and </w:t>
      </w:r>
      <w:r w:rsidRPr="00BB3BB9">
        <w:rPr>
          <w:rFonts w:ascii="Calibri Light" w:hAnsi="Calibri Light"/>
          <w:b/>
          <w:color w:val="000000"/>
        </w:rPr>
        <w:t xml:space="preserve">deliver aid </w:t>
      </w:r>
      <w:r w:rsidRPr="003A4071">
        <w:rPr>
          <w:rFonts w:ascii="Calibri Light" w:eastAsia="Calibri" w:hAnsi="Calibri Light" w:cs="Arial"/>
          <w:b/>
          <w:color w:val="000000"/>
          <w:lang w:val="en-AU"/>
        </w:rPr>
        <w:t>in</w:t>
      </w:r>
      <w:r w:rsidRPr="00BB3BB9">
        <w:rPr>
          <w:rFonts w:ascii="Calibri Light" w:hAnsi="Calibri Light"/>
          <w:b/>
          <w:color w:val="000000"/>
        </w:rPr>
        <w:t xml:space="preserve"> accordance with </w:t>
      </w:r>
      <w:r w:rsidRPr="00454DD6">
        <w:rPr>
          <w:rFonts w:ascii="Calibri Light" w:eastAsia="Calibri" w:hAnsi="Calibri Light" w:cs="Times New Roman"/>
          <w:b/>
          <w:color w:val="000000"/>
        </w:rPr>
        <w:t>mutual</w:t>
      </w:r>
      <w:r w:rsidRPr="00BB3BB9">
        <w:rPr>
          <w:rFonts w:ascii="Calibri Light" w:hAnsi="Calibri Light"/>
          <w:b/>
          <w:color w:val="000000"/>
        </w:rPr>
        <w:t xml:space="preserve"> objectives </w:t>
      </w:r>
      <w:r w:rsidRPr="00454DD6">
        <w:rPr>
          <w:rFonts w:ascii="Calibri Light" w:eastAsia="Calibri" w:hAnsi="Calibri Light" w:cs="Times New Roman"/>
          <w:b/>
          <w:color w:val="000000"/>
        </w:rPr>
        <w:t>to</w:t>
      </w:r>
      <w:r w:rsidRPr="00BB3BB9">
        <w:rPr>
          <w:rFonts w:ascii="Calibri Light" w:hAnsi="Calibri Light"/>
          <w:b/>
          <w:color w:val="000000"/>
        </w:rPr>
        <w:t xml:space="preserve"> reinforce Vanuatu’s leadership of effective development</w:t>
      </w:r>
      <w:r w:rsidR="0093009D">
        <w:rPr>
          <w:rFonts w:ascii="Calibri Light" w:hAnsi="Calibri Light"/>
          <w:b/>
          <w:color w:val="000000"/>
        </w:rPr>
        <w:t>.</w:t>
      </w:r>
      <w:r w:rsidRPr="00BB3BB9">
        <w:rPr>
          <w:rFonts w:ascii="Calibri Light" w:hAnsi="Calibri Light"/>
          <w:color w:val="000000"/>
        </w:rPr>
        <w:t xml:space="preserve"> </w:t>
      </w:r>
      <w:r w:rsidR="0093009D">
        <w:rPr>
          <w:rFonts w:ascii="Calibri Light" w:hAnsi="Calibri Light"/>
          <w:color w:val="000000"/>
        </w:rPr>
        <w:t>This included</w:t>
      </w:r>
      <w:r w:rsidRPr="00BB3BB9">
        <w:rPr>
          <w:rFonts w:ascii="Calibri Light" w:hAnsi="Calibri Light"/>
          <w:color w:val="000000"/>
        </w:rPr>
        <w:t xml:space="preserve"> support for</w:t>
      </w:r>
      <w:r w:rsidR="0093009D">
        <w:rPr>
          <w:rFonts w:ascii="Calibri Light" w:eastAsia="Calibri" w:hAnsi="Calibri Light"/>
          <w:color w:val="000000"/>
        </w:rPr>
        <w:t xml:space="preserve"> </w:t>
      </w:r>
      <w:r w:rsidRPr="00B83D47">
        <w:rPr>
          <w:rFonts w:ascii="Calibri Light" w:eastAsia="Calibri" w:hAnsi="Calibri Light"/>
          <w:color w:val="000000"/>
        </w:rPr>
        <w:t xml:space="preserve">development of the Aid Management Policy and Implementation Strategy (April 2019) to strengthen coordination </w:t>
      </w:r>
      <w:r w:rsidRPr="00B83D47">
        <w:rPr>
          <w:rFonts w:ascii="Calibri Light" w:hAnsi="Calibri Light"/>
          <w:color w:val="000000"/>
        </w:rPr>
        <w:t xml:space="preserve">and effectiveness of development partner assistance, and </w:t>
      </w:r>
      <w:r w:rsidRPr="000E493E">
        <w:rPr>
          <w:rFonts w:ascii="Calibri Light" w:hAnsi="Calibri Light"/>
          <w:color w:val="000000"/>
        </w:rPr>
        <w:t>implementation of the</w:t>
      </w:r>
      <w:r w:rsidR="003A4071">
        <w:rPr>
          <w:rFonts w:ascii="Calibri Light" w:hAnsi="Calibri Light"/>
          <w:color w:val="000000"/>
        </w:rPr>
        <w:t xml:space="preserve"> </w:t>
      </w:r>
      <w:r w:rsidRPr="000E493E">
        <w:rPr>
          <w:rFonts w:ascii="Calibri Light" w:hAnsi="Calibri Light"/>
          <w:color w:val="000000"/>
        </w:rPr>
        <w:t xml:space="preserve">Public Financial Management </w:t>
      </w:r>
      <w:r w:rsidR="009A25D1">
        <w:rPr>
          <w:rFonts w:ascii="Calibri Light" w:hAnsi="Calibri Light"/>
          <w:color w:val="000000"/>
        </w:rPr>
        <w:t xml:space="preserve">Reform </w:t>
      </w:r>
      <w:r w:rsidRPr="000E493E">
        <w:rPr>
          <w:rFonts w:ascii="Calibri Light" w:hAnsi="Calibri Light"/>
          <w:color w:val="000000"/>
        </w:rPr>
        <w:t>Roadmap 2017- 2021 to strengthen accountability of national systems</w:t>
      </w:r>
      <w:r w:rsidRPr="000E493E">
        <w:rPr>
          <w:rFonts w:ascii="Calibri Light" w:eastAsia="Calibri" w:hAnsi="Calibri Light"/>
          <w:color w:val="000000"/>
        </w:rPr>
        <w:t xml:space="preserve"> to increase their use by development partners.</w:t>
      </w:r>
    </w:p>
    <w:p w:rsidR="00CF6285" w:rsidRPr="002A51CA" w:rsidRDefault="00CF6285" w:rsidP="00CF6285">
      <w:pPr>
        <w:pStyle w:val="Heading2"/>
        <w:spacing w:before="360" w:line="300" w:lineRule="exact"/>
      </w:pPr>
      <w:r w:rsidRPr="002A51CA">
        <w:t xml:space="preserve">Program </w:t>
      </w:r>
      <w:r>
        <w:t>Quality and Partner Performance</w:t>
      </w:r>
    </w:p>
    <w:p w:rsidR="00720563" w:rsidRPr="00BB3BB9" w:rsidRDefault="00720563" w:rsidP="00BB3BB9">
      <w:pPr>
        <w:rPr>
          <w:rFonts w:ascii="Calibri Light" w:hAnsi="Calibri Light"/>
          <w:color w:val="000000"/>
        </w:rPr>
      </w:pPr>
      <w:r w:rsidRPr="00557896">
        <w:rPr>
          <w:rFonts w:ascii="Calibri Light" w:hAnsi="Calibri Light"/>
          <w:b/>
          <w:color w:val="000000"/>
        </w:rPr>
        <w:t>The program continues to invest in development of a systematic approach to monitoring and evaluating.</w:t>
      </w:r>
      <w:r w:rsidRPr="00BB3BB9">
        <w:rPr>
          <w:rFonts w:ascii="Calibri Light" w:hAnsi="Calibri Light"/>
          <w:color w:val="000000"/>
        </w:rPr>
        <w:t xml:space="preserve">  Program level performance is assessed annually against a detailed Performance Assessment Framework (PAF) that incorporates indicators and targets from individual investment</w:t>
      </w:r>
      <w:r w:rsidR="00D950F4">
        <w:rPr>
          <w:rFonts w:ascii="Calibri Light" w:hAnsi="Calibri Light"/>
          <w:color w:val="000000"/>
        </w:rPr>
        <w:t>s</w:t>
      </w:r>
      <w:r w:rsidRPr="00BB3BB9">
        <w:rPr>
          <w:rFonts w:ascii="Calibri Light" w:hAnsi="Calibri Light"/>
          <w:color w:val="000000"/>
        </w:rPr>
        <w:t xml:space="preserve">, aligned with the </w:t>
      </w:r>
      <w:r w:rsidR="001729E2" w:rsidRPr="00105E09">
        <w:rPr>
          <w:i/>
          <w:color w:val="000000" w:themeColor="text1"/>
        </w:rPr>
        <w:t>National Sustainable Development Plan</w:t>
      </w:r>
      <w:r w:rsidRPr="00BB3BB9">
        <w:rPr>
          <w:rFonts w:ascii="Calibri Light" w:hAnsi="Calibri Light"/>
          <w:color w:val="000000"/>
        </w:rPr>
        <w:t xml:space="preserve"> 2030 </w:t>
      </w:r>
      <w:r w:rsidR="001729E2">
        <w:rPr>
          <w:rFonts w:ascii="Calibri Light" w:hAnsi="Calibri Light"/>
          <w:color w:val="000000"/>
        </w:rPr>
        <w:t>Monitoring and Evaluation Framework</w:t>
      </w:r>
      <w:r w:rsidRPr="00BB3BB9">
        <w:rPr>
          <w:rFonts w:ascii="Calibri Light" w:hAnsi="Calibri Light"/>
          <w:color w:val="000000"/>
        </w:rPr>
        <w:t xml:space="preserve">.  The Vanuatu Program PAF (refer Annex E) was updated in </w:t>
      </w:r>
      <w:r w:rsidR="003077EA">
        <w:rPr>
          <w:rFonts w:ascii="Calibri Light" w:hAnsi="Calibri Light"/>
          <w:color w:val="000000"/>
        </w:rPr>
        <w:t>August</w:t>
      </w:r>
      <w:r w:rsidRPr="00BB3BB9">
        <w:rPr>
          <w:rFonts w:ascii="Calibri Light" w:hAnsi="Calibri Light"/>
          <w:color w:val="000000"/>
        </w:rPr>
        <w:t xml:space="preserve"> 2019 to incorporate relevant inputs from investments mobilised in 2018-19. </w:t>
      </w:r>
      <w:r>
        <w:rPr>
          <w:rFonts w:ascii="Calibri Light" w:eastAsia="Calibri" w:hAnsi="Calibri Light" w:cs="Times New Roman"/>
          <w:color w:val="000000"/>
        </w:rPr>
        <w:t xml:space="preserve">PAF benchmarks and targets for 2019-20 </w:t>
      </w:r>
      <w:r w:rsidR="00E43E41">
        <w:rPr>
          <w:rFonts w:ascii="Calibri Light" w:eastAsia="Calibri" w:hAnsi="Calibri Light" w:cs="Times New Roman"/>
          <w:color w:val="000000"/>
        </w:rPr>
        <w:t xml:space="preserve">onwards </w:t>
      </w:r>
      <w:r>
        <w:rPr>
          <w:rFonts w:ascii="Calibri Light" w:eastAsia="Calibri" w:hAnsi="Calibri Light" w:cs="Times New Roman"/>
          <w:color w:val="000000"/>
        </w:rPr>
        <w:t>will be revi</w:t>
      </w:r>
      <w:r w:rsidR="00E43E41">
        <w:rPr>
          <w:rFonts w:ascii="Calibri Light" w:eastAsia="Calibri" w:hAnsi="Calibri Light" w:cs="Times New Roman"/>
          <w:color w:val="000000"/>
        </w:rPr>
        <w:t>ew</w:t>
      </w:r>
      <w:r>
        <w:rPr>
          <w:rFonts w:ascii="Calibri Light" w:eastAsia="Calibri" w:hAnsi="Calibri Light" w:cs="Times New Roman"/>
          <w:color w:val="000000"/>
        </w:rPr>
        <w:t>ed</w:t>
      </w:r>
      <w:r w:rsidR="00E43E41">
        <w:rPr>
          <w:rFonts w:ascii="Calibri Light" w:eastAsia="Calibri" w:hAnsi="Calibri Light" w:cs="Times New Roman"/>
          <w:color w:val="000000"/>
        </w:rPr>
        <w:t xml:space="preserve"> during development of the new </w:t>
      </w:r>
      <w:r w:rsidR="00E43E41" w:rsidRPr="008C6D7F">
        <w:rPr>
          <w:rFonts w:ascii="Calibri Light" w:eastAsia="Calibri" w:hAnsi="Calibri Light" w:cs="Times New Roman"/>
          <w:color w:val="000000"/>
        </w:rPr>
        <w:t>AIP</w:t>
      </w:r>
      <w:r>
        <w:rPr>
          <w:rFonts w:ascii="Calibri Light" w:eastAsia="Calibri" w:hAnsi="Calibri Light" w:cs="Times New Roman"/>
          <w:color w:val="000000"/>
        </w:rPr>
        <w:t>.</w:t>
      </w:r>
    </w:p>
    <w:p w:rsidR="00720563" w:rsidRPr="00BB3BB9" w:rsidRDefault="00720563" w:rsidP="00BB3BB9">
      <w:pPr>
        <w:rPr>
          <w:rFonts w:ascii="Calibri Light" w:hAnsi="Calibri Light"/>
          <w:color w:val="000000"/>
        </w:rPr>
      </w:pPr>
      <w:r w:rsidRPr="00BB3BB9">
        <w:rPr>
          <w:rFonts w:ascii="Calibri Light" w:hAnsi="Calibri Light"/>
          <w:color w:val="000000"/>
        </w:rPr>
        <w:t>The</w:t>
      </w:r>
      <w:r>
        <w:rPr>
          <w:rFonts w:ascii="Calibri Light" w:eastAsia="Calibri" w:hAnsi="Calibri Light" w:cs="Times New Roman"/>
          <w:color w:val="000000"/>
        </w:rPr>
        <w:t xml:space="preserve"> 2018-19</w:t>
      </w:r>
      <w:r w:rsidRPr="00BB3BB9">
        <w:rPr>
          <w:rFonts w:ascii="Calibri Light" w:hAnsi="Calibri Light"/>
          <w:color w:val="000000"/>
        </w:rPr>
        <w:t xml:space="preserve"> DFAT Annual Aid Evaluation Plan identified one investment requiring independent evaluation, the T</w:t>
      </w:r>
      <w:r w:rsidR="001729E2">
        <w:rPr>
          <w:rFonts w:ascii="Calibri Light" w:hAnsi="Calibri Light"/>
          <w:color w:val="000000"/>
        </w:rPr>
        <w:t>ropical Cyclone</w:t>
      </w:r>
      <w:r w:rsidRPr="00BB3BB9">
        <w:rPr>
          <w:rFonts w:ascii="Calibri Light" w:hAnsi="Calibri Light"/>
          <w:color w:val="000000"/>
        </w:rPr>
        <w:t xml:space="preserve"> Pam Recovery Program. The evaluation was published in December 2018</w:t>
      </w:r>
      <w:r w:rsidR="00840F00">
        <w:rPr>
          <w:rFonts w:ascii="Calibri Light" w:hAnsi="Calibri Light"/>
          <w:color w:val="000000"/>
        </w:rPr>
        <w:t xml:space="preserve">. </w:t>
      </w:r>
      <w:r w:rsidR="00840F00">
        <w:rPr>
          <w:rFonts w:ascii="Calibri Light" w:hAnsi="Calibri Light"/>
          <w:color w:val="000000"/>
        </w:rPr>
        <w:lastRenderedPageBreak/>
        <w:t>R</w:t>
      </w:r>
      <w:r w:rsidRPr="00BB3BB9">
        <w:rPr>
          <w:rFonts w:ascii="Calibri Light" w:hAnsi="Calibri Light"/>
          <w:color w:val="000000"/>
        </w:rPr>
        <w:t>ecommendations - particularly on modality and governance arrangements - inform</w:t>
      </w:r>
      <w:r w:rsidR="001729E2">
        <w:rPr>
          <w:rFonts w:ascii="Calibri Light" w:hAnsi="Calibri Light"/>
          <w:color w:val="000000"/>
        </w:rPr>
        <w:t>ed</w:t>
      </w:r>
      <w:r w:rsidRPr="00BB3BB9">
        <w:rPr>
          <w:rFonts w:ascii="Calibri Light" w:hAnsi="Calibri Light"/>
          <w:color w:val="000000"/>
        </w:rPr>
        <w:t xml:space="preserve"> delivery of Australia’s ongoing support for disaster response and recovery in Vanuatu, including for the new Volcano Recovery Program. </w:t>
      </w:r>
      <w:r w:rsidR="0071335B">
        <w:rPr>
          <w:rFonts w:ascii="Calibri Light" w:hAnsi="Calibri Light"/>
          <w:color w:val="000000"/>
        </w:rPr>
        <w:t>Several</w:t>
      </w:r>
      <w:r w:rsidRPr="00BB3BB9">
        <w:rPr>
          <w:rFonts w:ascii="Calibri Light" w:hAnsi="Calibri Light"/>
          <w:color w:val="000000"/>
        </w:rPr>
        <w:t xml:space="preserve"> targeted evaluative and client tracer studies</w:t>
      </w:r>
      <w:r w:rsidRPr="00BB3BB9">
        <w:rPr>
          <w:rStyle w:val="FootnoteReference"/>
          <w:rFonts w:ascii="Calibri Light" w:hAnsi="Calibri Light"/>
          <w:color w:val="000000"/>
        </w:rPr>
        <w:footnoteReference w:id="9"/>
      </w:r>
      <w:r w:rsidRPr="00BB3BB9">
        <w:rPr>
          <w:rFonts w:ascii="Calibri Light" w:hAnsi="Calibri Light"/>
          <w:color w:val="000000"/>
        </w:rPr>
        <w:t xml:space="preserve"> undertaken in 2018-19 have informed investment level decisions on modality choices, sustainability strategies and value for money considerations. </w:t>
      </w:r>
    </w:p>
    <w:p w:rsidR="00720563" w:rsidRPr="00BB3BB9" w:rsidRDefault="00720563" w:rsidP="00BB3BB9">
      <w:pPr>
        <w:rPr>
          <w:rFonts w:ascii="Calibri Light" w:hAnsi="Calibri Light"/>
          <w:color w:val="000000"/>
        </w:rPr>
      </w:pPr>
      <w:r w:rsidRPr="00557896">
        <w:rPr>
          <w:rFonts w:ascii="Calibri Light" w:hAnsi="Calibri Light"/>
          <w:b/>
          <w:color w:val="000000"/>
        </w:rPr>
        <w:t>The program made good progress in consolidating</w:t>
      </w:r>
      <w:r w:rsidR="003077EA" w:rsidRPr="00557896">
        <w:rPr>
          <w:rFonts w:ascii="Calibri Light" w:hAnsi="Calibri Light"/>
          <w:b/>
          <w:color w:val="000000"/>
        </w:rPr>
        <w:t xml:space="preserve"> major</w:t>
      </w:r>
      <w:r w:rsidRPr="00557896">
        <w:rPr>
          <w:rFonts w:ascii="Calibri Light" w:hAnsi="Calibri Light"/>
          <w:b/>
          <w:color w:val="000000"/>
        </w:rPr>
        <w:t xml:space="preserve"> investments.</w:t>
      </w:r>
      <w:r w:rsidRPr="00BB3BB9">
        <w:rPr>
          <w:rFonts w:ascii="Calibri Light" w:hAnsi="Calibri Light"/>
          <w:color w:val="000000"/>
        </w:rPr>
        <w:t xml:space="preserve">  </w:t>
      </w:r>
      <w:r w:rsidR="003A4071">
        <w:rPr>
          <w:rFonts w:ascii="Calibri Light" w:hAnsi="Calibri Light"/>
          <w:color w:val="000000"/>
        </w:rPr>
        <w:t>The Vanuatu Education Support Program</w:t>
      </w:r>
      <w:r w:rsidRPr="00BB3BB9">
        <w:rPr>
          <w:rFonts w:ascii="Calibri Light" w:hAnsi="Calibri Light"/>
          <w:color w:val="000000"/>
        </w:rPr>
        <w:t xml:space="preserve"> Phase 2 integrated the previously separate </w:t>
      </w:r>
      <w:r w:rsidR="003A4071">
        <w:rPr>
          <w:rFonts w:ascii="Calibri Light" w:hAnsi="Calibri Light"/>
          <w:color w:val="000000"/>
        </w:rPr>
        <w:t>Vanuatu Education Support Program</w:t>
      </w:r>
      <w:r w:rsidR="003A4071" w:rsidRPr="00BB3BB9">
        <w:rPr>
          <w:rFonts w:ascii="Calibri Light" w:hAnsi="Calibri Light"/>
          <w:color w:val="000000"/>
        </w:rPr>
        <w:t xml:space="preserve"> </w:t>
      </w:r>
      <w:r w:rsidRPr="00BB3BB9">
        <w:rPr>
          <w:rFonts w:ascii="Calibri Light" w:hAnsi="Calibri Light"/>
          <w:color w:val="000000"/>
        </w:rPr>
        <w:t xml:space="preserve">and Australia Awards investments under one managing contractor to achieve efficiency gains and ensure closer alignment of objectives. The new </w:t>
      </w:r>
      <w:r w:rsidR="002F401E">
        <w:rPr>
          <w:rFonts w:ascii="Calibri Light" w:hAnsi="Calibri Light"/>
          <w:color w:val="000000"/>
        </w:rPr>
        <w:t>Roads for Development Phase 2</w:t>
      </w:r>
      <w:r w:rsidRPr="00BB3BB9">
        <w:rPr>
          <w:rFonts w:ascii="Calibri Light" w:hAnsi="Calibri Light"/>
          <w:color w:val="000000"/>
        </w:rPr>
        <w:t xml:space="preserve"> design incorporates provision for high impact infrastructure investments combined with continued support for rural road network development to streamline Australia’s infrastructure support under one investment</w:t>
      </w:r>
      <w:r w:rsidR="001729E2">
        <w:rPr>
          <w:rFonts w:ascii="Calibri Light" w:hAnsi="Calibri Light"/>
          <w:color w:val="000000"/>
        </w:rPr>
        <w:t>. T</w:t>
      </w:r>
      <w:r w:rsidRPr="00BB3BB9">
        <w:rPr>
          <w:rFonts w:ascii="Calibri Light" w:hAnsi="Calibri Light"/>
          <w:color w:val="000000"/>
        </w:rPr>
        <w:t xml:space="preserve">he new health program design integrates all health sector </w:t>
      </w:r>
      <w:r w:rsidR="003A4071">
        <w:rPr>
          <w:rFonts w:ascii="Calibri Light" w:hAnsi="Calibri Light"/>
          <w:color w:val="000000"/>
        </w:rPr>
        <w:t xml:space="preserve">activities </w:t>
      </w:r>
      <w:r w:rsidRPr="00BB3BB9">
        <w:rPr>
          <w:rFonts w:ascii="Calibri Light" w:hAnsi="Calibri Light"/>
          <w:color w:val="000000"/>
        </w:rPr>
        <w:t>under one management arrangement.</w:t>
      </w:r>
      <w:r>
        <w:rPr>
          <w:rFonts w:ascii="Calibri Light" w:eastAsia="Calibri" w:hAnsi="Calibri Light" w:cs="Times New Roman"/>
          <w:color w:val="000000"/>
        </w:rPr>
        <w:t xml:space="preserve"> </w:t>
      </w:r>
    </w:p>
    <w:p w:rsidR="00CF6285" w:rsidRPr="00CF62AE" w:rsidRDefault="00CF6285" w:rsidP="00CF6285">
      <w:pPr>
        <w:rPr>
          <w:sz w:val="32"/>
          <w:szCs w:val="32"/>
          <w:lang w:eastAsia="zh-CN"/>
        </w:rPr>
      </w:pPr>
      <w:r w:rsidRPr="00CF62AE">
        <w:rPr>
          <w:sz w:val="32"/>
          <w:szCs w:val="32"/>
          <w:lang w:eastAsia="zh-CN"/>
        </w:rPr>
        <w:t>Aid Quality Checks (AQCs)</w:t>
      </w:r>
    </w:p>
    <w:p w:rsidR="00854CA0" w:rsidRDefault="00720563" w:rsidP="00CF6285">
      <w:pPr>
        <w:rPr>
          <w:rFonts w:ascii="Calibri Light" w:hAnsi="Calibri Light"/>
          <w:color w:val="000000"/>
        </w:rPr>
      </w:pPr>
      <w:r w:rsidRPr="00BB3BB9">
        <w:rPr>
          <w:rFonts w:ascii="Calibri Light" w:hAnsi="Calibri Light"/>
          <w:color w:val="000000"/>
        </w:rPr>
        <w:t xml:space="preserve">The program continued to use the AQC process as an </w:t>
      </w:r>
      <w:r w:rsidRPr="00B83D47">
        <w:rPr>
          <w:rFonts w:ascii="Calibri Light" w:hAnsi="Calibri Light"/>
          <w:color w:val="000000"/>
        </w:rPr>
        <w:t xml:space="preserve">opportunity for critical reflection: nine AQCs and two </w:t>
      </w:r>
      <w:r w:rsidR="0071335B" w:rsidRPr="00B83D47">
        <w:rPr>
          <w:rFonts w:ascii="Calibri Light" w:hAnsi="Calibri Light"/>
          <w:color w:val="000000"/>
        </w:rPr>
        <w:t>f</w:t>
      </w:r>
      <w:r w:rsidRPr="00B83D47">
        <w:rPr>
          <w:rFonts w:ascii="Calibri Light" w:hAnsi="Calibri Light"/>
          <w:color w:val="000000"/>
        </w:rPr>
        <w:t xml:space="preserve">inal AQCs were conducted - ratings are summarised in Annex D.  </w:t>
      </w:r>
      <w:r w:rsidR="00854CA0" w:rsidRPr="00B83D47">
        <w:rPr>
          <w:rFonts w:ascii="Calibri Light" w:hAnsi="Calibri Light"/>
          <w:b/>
          <w:color w:val="000000"/>
        </w:rPr>
        <w:t>The effectiveness of investments improved</w:t>
      </w:r>
      <w:r w:rsidR="00854CA0" w:rsidRPr="00B83D47">
        <w:rPr>
          <w:rFonts w:ascii="Calibri Light" w:hAnsi="Calibri Light"/>
          <w:color w:val="000000"/>
        </w:rPr>
        <w:t xml:space="preserve">, with 91 per cent rated ‘4’ or above, compared to 75 per cent in 2017-18.  </w:t>
      </w:r>
      <w:r w:rsidRPr="00B83D47">
        <w:rPr>
          <w:rFonts w:ascii="Calibri Light" w:hAnsi="Calibri Light"/>
          <w:color w:val="000000"/>
        </w:rPr>
        <w:t xml:space="preserve">Efficiency ratings remained relatively consistent. </w:t>
      </w:r>
      <w:r w:rsidR="00854CA0" w:rsidRPr="00B83D47">
        <w:rPr>
          <w:rFonts w:ascii="Calibri Light" w:hAnsi="Calibri Light"/>
          <w:b/>
          <w:color w:val="000000"/>
        </w:rPr>
        <w:t>Seventy-three per cent of investments rated ‘4’ or above for gender equality, falling short of DFAT’s target of 80 per cent</w:t>
      </w:r>
      <w:r w:rsidR="00854CA0" w:rsidRPr="00B83D47">
        <w:rPr>
          <w:rFonts w:ascii="Calibri Light" w:hAnsi="Calibri Light"/>
          <w:color w:val="000000"/>
        </w:rPr>
        <w:t xml:space="preserve">, </w:t>
      </w:r>
      <w:r w:rsidR="00A86DF5" w:rsidRPr="00B83D47">
        <w:rPr>
          <w:rFonts w:ascii="Calibri Light" w:hAnsi="Calibri Light"/>
          <w:color w:val="000000"/>
        </w:rPr>
        <w:t xml:space="preserve">reflecting some stakeholder </w:t>
      </w:r>
      <w:r w:rsidRPr="00B83D47">
        <w:rPr>
          <w:rFonts w:ascii="Calibri Light" w:hAnsi="Calibri Light"/>
          <w:color w:val="000000"/>
        </w:rPr>
        <w:t xml:space="preserve">commitment to gender </w:t>
      </w:r>
      <w:r w:rsidR="00A86DF5" w:rsidRPr="00B83D47">
        <w:rPr>
          <w:rFonts w:ascii="Calibri Light" w:hAnsi="Calibri Light"/>
          <w:color w:val="000000"/>
        </w:rPr>
        <w:t xml:space="preserve">equality action </w:t>
      </w:r>
      <w:r w:rsidRPr="00B83D47">
        <w:rPr>
          <w:rFonts w:ascii="Calibri Light" w:hAnsi="Calibri Light"/>
          <w:color w:val="000000"/>
        </w:rPr>
        <w:t>remains limited. Gender equality advisers have been mobilised to</w:t>
      </w:r>
      <w:r w:rsidR="00854CA0" w:rsidRPr="00B83D47">
        <w:rPr>
          <w:rFonts w:ascii="Calibri Light" w:hAnsi="Calibri Light"/>
          <w:color w:val="000000"/>
        </w:rPr>
        <w:t xml:space="preserve"> enable</w:t>
      </w:r>
      <w:r w:rsidRPr="00B83D47">
        <w:rPr>
          <w:rFonts w:ascii="Calibri Light" w:hAnsi="Calibri Light"/>
          <w:color w:val="000000"/>
        </w:rPr>
        <w:t xml:space="preserve"> focussed efforts to lift</w:t>
      </w:r>
      <w:r w:rsidRPr="00BB3BB9">
        <w:rPr>
          <w:rFonts w:ascii="Calibri Light" w:hAnsi="Calibri Light"/>
          <w:color w:val="000000"/>
        </w:rPr>
        <w:t xml:space="preserve"> ratings in the coming year in </w:t>
      </w:r>
      <w:r w:rsidR="00854CA0">
        <w:rPr>
          <w:rFonts w:ascii="Calibri Light" w:hAnsi="Calibri Light"/>
          <w:color w:val="000000"/>
        </w:rPr>
        <w:t xml:space="preserve">health, </w:t>
      </w:r>
      <w:r w:rsidR="002F401E">
        <w:rPr>
          <w:rFonts w:ascii="Calibri Light" w:hAnsi="Calibri Light"/>
          <w:color w:val="000000"/>
        </w:rPr>
        <w:t>infrastructure, education, governance and humanitarian investments</w:t>
      </w:r>
      <w:r w:rsidRPr="00BB3BB9">
        <w:rPr>
          <w:rFonts w:ascii="Calibri Light" w:hAnsi="Calibri Light"/>
          <w:color w:val="000000"/>
        </w:rPr>
        <w:t xml:space="preserve">. </w:t>
      </w:r>
      <w:r>
        <w:rPr>
          <w:rFonts w:ascii="Calibri Light" w:eastAsia="Calibri" w:hAnsi="Calibri Light" w:cs="Times New Roman"/>
          <w:color w:val="000000"/>
        </w:rPr>
        <w:t xml:space="preserve"> </w:t>
      </w:r>
      <w:r w:rsidR="003A4071">
        <w:rPr>
          <w:rFonts w:ascii="Calibri Light" w:eastAsia="Calibri" w:hAnsi="Calibri Light" w:cs="Times New Roman"/>
          <w:color w:val="000000"/>
        </w:rPr>
        <w:t xml:space="preserve">A </w:t>
      </w:r>
      <w:r w:rsidRPr="00BB3BB9">
        <w:rPr>
          <w:rFonts w:ascii="Calibri Light" w:hAnsi="Calibri Light"/>
          <w:color w:val="000000"/>
        </w:rPr>
        <w:t>Gender Action Plan</w:t>
      </w:r>
      <w:r>
        <w:rPr>
          <w:rFonts w:ascii="Calibri Light" w:eastAsia="Calibri" w:hAnsi="Calibri Light" w:cs="Times New Roman"/>
          <w:color w:val="000000"/>
        </w:rPr>
        <w:t>,</w:t>
      </w:r>
      <w:r w:rsidRPr="00BB3BB9">
        <w:rPr>
          <w:rFonts w:ascii="Calibri Light" w:hAnsi="Calibri Light"/>
          <w:color w:val="000000"/>
        </w:rPr>
        <w:t xml:space="preserve"> developed </w:t>
      </w:r>
      <w:r>
        <w:rPr>
          <w:rFonts w:ascii="Calibri Light" w:eastAsia="Calibri" w:hAnsi="Calibri Light" w:cs="Times New Roman"/>
          <w:color w:val="000000"/>
        </w:rPr>
        <w:t xml:space="preserve">in 2018-19, </w:t>
      </w:r>
      <w:r w:rsidR="003A4071">
        <w:rPr>
          <w:rFonts w:ascii="Calibri Light" w:eastAsia="Calibri" w:hAnsi="Calibri Light" w:cs="Times New Roman"/>
          <w:color w:val="000000"/>
        </w:rPr>
        <w:t>will be implemented in 2019-20</w:t>
      </w:r>
      <w:r>
        <w:rPr>
          <w:rFonts w:ascii="Calibri Light" w:eastAsia="Calibri" w:hAnsi="Calibri Light" w:cs="Times New Roman"/>
          <w:color w:val="000000"/>
        </w:rPr>
        <w:t>.</w:t>
      </w:r>
      <w:r w:rsidRPr="00BB3BB9">
        <w:rPr>
          <w:rFonts w:ascii="Calibri Light" w:hAnsi="Calibri Light"/>
          <w:color w:val="000000"/>
        </w:rPr>
        <w:t xml:space="preserve"> </w:t>
      </w:r>
      <w:r w:rsidR="001729E2">
        <w:rPr>
          <w:rFonts w:ascii="Calibri Light" w:hAnsi="Calibri Light"/>
          <w:color w:val="000000"/>
        </w:rPr>
        <w:t>The Port Vila Urban Development Project</w:t>
      </w:r>
      <w:r w:rsidRPr="00BB3BB9">
        <w:rPr>
          <w:rFonts w:ascii="Calibri Light" w:hAnsi="Calibri Light"/>
          <w:color w:val="000000"/>
        </w:rPr>
        <w:t>, assessed as an ‘Investment Requiring Improvement</w:t>
      </w:r>
      <w:r w:rsidR="001729E2">
        <w:rPr>
          <w:rFonts w:ascii="Calibri Light" w:hAnsi="Calibri Light"/>
          <w:color w:val="000000"/>
        </w:rPr>
        <w:t xml:space="preserve"> in 2018</w:t>
      </w:r>
      <w:r w:rsidRPr="00BB3BB9">
        <w:rPr>
          <w:rFonts w:ascii="Calibri Light" w:hAnsi="Calibri Light"/>
          <w:color w:val="000000"/>
        </w:rPr>
        <w:t>, finished in December 2018 with all major construction works completed to quality standard, despite scope reductions and delays.</w:t>
      </w:r>
    </w:p>
    <w:p w:rsidR="00CF6285" w:rsidRPr="00CF62AE" w:rsidRDefault="00CF6285" w:rsidP="00CF6285">
      <w:pPr>
        <w:rPr>
          <w:sz w:val="32"/>
          <w:szCs w:val="32"/>
          <w:lang w:eastAsia="zh-CN"/>
        </w:rPr>
      </w:pPr>
      <w:r w:rsidRPr="00CF62AE">
        <w:rPr>
          <w:sz w:val="32"/>
          <w:szCs w:val="32"/>
          <w:lang w:eastAsia="zh-CN"/>
        </w:rPr>
        <w:t>Performance of key delivery partners</w:t>
      </w:r>
    </w:p>
    <w:p w:rsidR="00847738" w:rsidRPr="00B83D47" w:rsidRDefault="00720563" w:rsidP="00B83D47">
      <w:pPr>
        <w:rPr>
          <w:rFonts w:ascii="Calibri Light" w:hAnsi="Calibri Light"/>
          <w:color w:val="000000"/>
        </w:rPr>
      </w:pPr>
      <w:r w:rsidRPr="00BB3BB9">
        <w:rPr>
          <w:rFonts w:ascii="Calibri Light" w:hAnsi="Calibri Light"/>
          <w:color w:val="000000"/>
        </w:rPr>
        <w:t xml:space="preserve">Australia’s investments were delivered through four main implementing partner mechanisms: managing contractors (6), NGOs (2), multilateral organisations (1) and </w:t>
      </w:r>
      <w:r w:rsidR="001729E2" w:rsidRPr="00BB3BB9">
        <w:rPr>
          <w:rFonts w:ascii="Calibri Light" w:hAnsi="Calibri Light"/>
          <w:color w:val="000000"/>
        </w:rPr>
        <w:t>G</w:t>
      </w:r>
      <w:r w:rsidR="001729E2">
        <w:rPr>
          <w:rFonts w:ascii="Calibri Light" w:hAnsi="Calibri Light"/>
          <w:color w:val="000000"/>
        </w:rPr>
        <w:t>overnment of Vanuatu</w:t>
      </w:r>
      <w:r w:rsidR="001729E2" w:rsidRPr="00BB3BB9">
        <w:rPr>
          <w:rFonts w:ascii="Calibri Light" w:hAnsi="Calibri Light"/>
          <w:color w:val="000000"/>
        </w:rPr>
        <w:t xml:space="preserve"> </w:t>
      </w:r>
      <w:r w:rsidRPr="00BB3BB9">
        <w:rPr>
          <w:rFonts w:ascii="Calibri Light" w:hAnsi="Calibri Light"/>
          <w:color w:val="000000"/>
        </w:rPr>
        <w:t xml:space="preserve">(2). Nine Partner Performance Assessment </w:t>
      </w:r>
      <w:r w:rsidR="001729E2">
        <w:rPr>
          <w:rFonts w:ascii="Calibri Light" w:hAnsi="Calibri Light"/>
          <w:color w:val="000000"/>
        </w:rPr>
        <w:t xml:space="preserve">were </w:t>
      </w:r>
      <w:r w:rsidRPr="00BB3BB9">
        <w:rPr>
          <w:rFonts w:ascii="Calibri Light" w:hAnsi="Calibri Light"/>
          <w:color w:val="000000"/>
        </w:rPr>
        <w:t>completed</w:t>
      </w:r>
      <w:r w:rsidR="00322A76">
        <w:rPr>
          <w:rFonts w:ascii="Calibri Light" w:hAnsi="Calibri Light"/>
          <w:color w:val="000000"/>
        </w:rPr>
        <w:t xml:space="preserve"> </w:t>
      </w:r>
      <w:r w:rsidR="001729E2">
        <w:rPr>
          <w:rFonts w:ascii="Calibri Light" w:hAnsi="Calibri Light"/>
          <w:color w:val="000000"/>
        </w:rPr>
        <w:t xml:space="preserve">and </w:t>
      </w:r>
      <w:r w:rsidR="00322A76" w:rsidRPr="00B83D47">
        <w:rPr>
          <w:rFonts w:ascii="Calibri Light" w:hAnsi="Calibri Light"/>
          <w:color w:val="000000"/>
        </w:rPr>
        <w:t xml:space="preserve">assessed </w:t>
      </w:r>
      <w:r w:rsidRPr="00B83D47">
        <w:rPr>
          <w:rFonts w:ascii="Calibri Light" w:hAnsi="Calibri Light"/>
          <w:color w:val="000000"/>
        </w:rPr>
        <w:t xml:space="preserve">partners as </w:t>
      </w:r>
      <w:r w:rsidR="001729E2" w:rsidRPr="00B83D47">
        <w:rPr>
          <w:rFonts w:ascii="Calibri Light" w:hAnsi="Calibri Light"/>
          <w:color w:val="000000"/>
        </w:rPr>
        <w:t>‘</w:t>
      </w:r>
      <w:r w:rsidRPr="00B83D47">
        <w:rPr>
          <w:rFonts w:ascii="Calibri Light" w:hAnsi="Calibri Light"/>
          <w:color w:val="000000"/>
        </w:rPr>
        <w:t>performing effectively</w:t>
      </w:r>
      <w:r w:rsidR="001729E2" w:rsidRPr="00B83D47">
        <w:rPr>
          <w:rFonts w:ascii="Calibri Light" w:hAnsi="Calibri Light"/>
          <w:color w:val="000000"/>
        </w:rPr>
        <w:t>’</w:t>
      </w:r>
      <w:r w:rsidRPr="00BB3BB9">
        <w:rPr>
          <w:rFonts w:ascii="Calibri Light" w:hAnsi="Calibri Light"/>
          <w:color w:val="000000"/>
        </w:rPr>
        <w:t xml:space="preserve">.  A strength across all partnerships was a strong sense of collaboration, flexibility and responsiveness to emerging issues and provision of effective partner personnel. </w:t>
      </w:r>
      <w:r w:rsidR="00847738" w:rsidRPr="00B83D47">
        <w:rPr>
          <w:rFonts w:ascii="Calibri Light" w:hAnsi="Calibri Light"/>
          <w:color w:val="000000"/>
        </w:rPr>
        <w:t>Targeted engagement with the multilateral development banks, such as the World Bank in the health sector, has</w:t>
      </w:r>
      <w:r w:rsidR="00847738" w:rsidRPr="00847738">
        <w:rPr>
          <w:rFonts w:ascii="Calibri Light" w:hAnsi="Calibri Light"/>
          <w:color w:val="000000"/>
        </w:rPr>
        <w:t xml:space="preserve"> enhanced policy implementation.</w:t>
      </w:r>
    </w:p>
    <w:p w:rsidR="00637DD4" w:rsidRDefault="00720563" w:rsidP="00FC29A9">
      <w:pPr>
        <w:rPr>
          <w:rFonts w:ascii="Calibri Light" w:hAnsi="Calibri Light"/>
          <w:color w:val="000000"/>
        </w:rPr>
      </w:pPr>
      <w:r w:rsidRPr="007752EE">
        <w:rPr>
          <w:rFonts w:ascii="Calibri Light" w:hAnsi="Calibri Light"/>
          <w:b/>
          <w:color w:val="000000"/>
        </w:rPr>
        <w:t xml:space="preserve">Approximately 22 per cent of </w:t>
      </w:r>
      <w:r w:rsidR="00075574" w:rsidRPr="007752EE">
        <w:rPr>
          <w:rFonts w:ascii="Calibri Light" w:hAnsi="Calibri Light"/>
          <w:b/>
          <w:color w:val="000000"/>
        </w:rPr>
        <w:t>Australia’s</w:t>
      </w:r>
      <w:r w:rsidRPr="007752EE">
        <w:rPr>
          <w:rFonts w:ascii="Calibri Light" w:hAnsi="Calibri Light"/>
          <w:b/>
          <w:color w:val="000000"/>
        </w:rPr>
        <w:t xml:space="preserve"> bilateral support is delivered through direct support to </w:t>
      </w:r>
      <w:r w:rsidR="003A4071" w:rsidRPr="007752EE">
        <w:rPr>
          <w:rFonts w:ascii="Calibri Light" w:hAnsi="Calibri Light"/>
          <w:b/>
          <w:color w:val="000000"/>
        </w:rPr>
        <w:t xml:space="preserve">government </w:t>
      </w:r>
      <w:r w:rsidRPr="007752EE">
        <w:rPr>
          <w:rFonts w:ascii="Calibri Light" w:hAnsi="Calibri Light"/>
          <w:b/>
          <w:color w:val="000000"/>
        </w:rPr>
        <w:t>sectoral budgets</w:t>
      </w:r>
      <w:r w:rsidRPr="002F401E">
        <w:rPr>
          <w:rFonts w:ascii="Calibri Light" w:hAnsi="Calibri Light"/>
          <w:color w:val="000000"/>
        </w:rPr>
        <w:t xml:space="preserve">, </w:t>
      </w:r>
      <w:r w:rsidR="00324D1E">
        <w:rPr>
          <w:rFonts w:ascii="Calibri Light" w:hAnsi="Calibri Light"/>
          <w:color w:val="000000"/>
        </w:rPr>
        <w:t>in eight ministries</w:t>
      </w:r>
      <w:r w:rsidR="00324D1E">
        <w:rPr>
          <w:rStyle w:val="FootnoteReference"/>
          <w:rFonts w:ascii="Calibri Light" w:hAnsi="Calibri Light"/>
          <w:color w:val="000000"/>
        </w:rPr>
        <w:footnoteReference w:id="10"/>
      </w:r>
      <w:r w:rsidR="00324D1E">
        <w:rPr>
          <w:rFonts w:ascii="Calibri Light" w:hAnsi="Calibri Light"/>
          <w:color w:val="000000"/>
        </w:rPr>
        <w:t>.</w:t>
      </w:r>
      <w:r w:rsidRPr="002F401E">
        <w:rPr>
          <w:rFonts w:ascii="Calibri Light" w:hAnsi="Calibri Light"/>
          <w:color w:val="000000"/>
        </w:rPr>
        <w:t xml:space="preserve"> This approach, combined with ongoing support for </w:t>
      </w:r>
      <w:r w:rsidR="00854CA0">
        <w:rPr>
          <w:rFonts w:ascii="Calibri Light" w:hAnsi="Calibri Light"/>
          <w:color w:val="000000"/>
        </w:rPr>
        <w:t>Vanuatu</w:t>
      </w:r>
      <w:r w:rsidR="003A4071" w:rsidRPr="002F401E">
        <w:rPr>
          <w:rFonts w:ascii="Calibri Light" w:hAnsi="Calibri Light"/>
          <w:color w:val="000000"/>
        </w:rPr>
        <w:t xml:space="preserve">’s </w:t>
      </w:r>
      <w:r w:rsidRPr="00C82F53">
        <w:rPr>
          <w:rFonts w:ascii="Calibri Light" w:hAnsi="Calibri Light"/>
          <w:i/>
          <w:color w:val="000000"/>
        </w:rPr>
        <w:t>Public Financial Management</w:t>
      </w:r>
      <w:r w:rsidR="002F401E" w:rsidRPr="00C82F53">
        <w:rPr>
          <w:rFonts w:ascii="Calibri Light" w:hAnsi="Calibri Light"/>
          <w:i/>
          <w:color w:val="000000"/>
        </w:rPr>
        <w:t xml:space="preserve"> </w:t>
      </w:r>
      <w:r w:rsidRPr="00C82F53">
        <w:rPr>
          <w:rFonts w:ascii="Calibri Light" w:hAnsi="Calibri Light"/>
          <w:i/>
          <w:color w:val="000000"/>
        </w:rPr>
        <w:t>Reform Roadmap 2017</w:t>
      </w:r>
      <w:r w:rsidR="001729E2" w:rsidRPr="00C82F53">
        <w:rPr>
          <w:rFonts w:ascii="Calibri Light" w:hAnsi="Calibri Light"/>
          <w:i/>
          <w:color w:val="000000"/>
        </w:rPr>
        <w:noBreakHyphen/>
      </w:r>
      <w:r w:rsidRPr="00C82F53">
        <w:rPr>
          <w:rFonts w:ascii="Calibri Light" w:hAnsi="Calibri Light"/>
          <w:i/>
          <w:color w:val="000000"/>
        </w:rPr>
        <w:t>2021</w:t>
      </w:r>
      <w:r w:rsidRPr="002F401E">
        <w:rPr>
          <w:rFonts w:ascii="Calibri Light" w:hAnsi="Calibri Light"/>
          <w:color w:val="000000"/>
        </w:rPr>
        <w:t>, continues to build ownership, capacity and resilience in national systems</w:t>
      </w:r>
      <w:r w:rsidRPr="00BB3BB9">
        <w:rPr>
          <w:rFonts w:ascii="Calibri Light" w:hAnsi="Calibri Light"/>
          <w:color w:val="000000"/>
        </w:rPr>
        <w:t xml:space="preserve"> although resource constraints remain, contributing to fiduciary risks in some sectors. </w:t>
      </w:r>
    </w:p>
    <w:p w:rsidR="00B83D47" w:rsidRDefault="00B83D47" w:rsidP="00892C04">
      <w:pPr>
        <w:suppressAutoHyphens w:val="0"/>
        <w:spacing w:before="0" w:after="120" w:line="440" w:lineRule="atLeast"/>
        <w:rPr>
          <w:rFonts w:asciiTheme="majorHAnsi" w:hAnsiTheme="majorHAnsi" w:cstheme="majorHAnsi"/>
          <w:sz w:val="38"/>
          <w:szCs w:val="38"/>
        </w:rPr>
      </w:pPr>
    </w:p>
    <w:p w:rsidR="00CF6285" w:rsidRPr="00892C04" w:rsidRDefault="00CF6285" w:rsidP="00892C04">
      <w:pPr>
        <w:suppressAutoHyphens w:val="0"/>
        <w:spacing w:before="0" w:after="120" w:line="440" w:lineRule="atLeast"/>
        <w:rPr>
          <w:b/>
        </w:rPr>
      </w:pPr>
      <w:r w:rsidRPr="00D367DD">
        <w:rPr>
          <w:rFonts w:asciiTheme="majorHAnsi" w:hAnsiTheme="majorHAnsi" w:cstheme="majorHAnsi"/>
          <w:sz w:val="38"/>
          <w:szCs w:val="38"/>
        </w:rPr>
        <w:t>R</w:t>
      </w:r>
      <w:r w:rsidR="002F41AF" w:rsidRPr="00D367DD">
        <w:rPr>
          <w:rFonts w:asciiTheme="majorHAnsi" w:hAnsiTheme="majorHAnsi" w:cstheme="majorHAnsi"/>
          <w:sz w:val="38"/>
          <w:szCs w:val="38"/>
        </w:rPr>
        <w:t>ISKS</w:t>
      </w:r>
    </w:p>
    <w:p w:rsidR="00C82F53" w:rsidRDefault="00730876" w:rsidP="00CF6285">
      <w:pPr>
        <w:rPr>
          <w:b/>
          <w:sz w:val="24"/>
        </w:rPr>
      </w:pPr>
      <w:r w:rsidRPr="00F878B5">
        <w:rPr>
          <w:color w:val="000000" w:themeColor="text1"/>
        </w:rPr>
        <w:t xml:space="preserve">The overall risk profile for the Vanuatu program has not changed over the reporting period.  Government systems remain stable, the economy is operating steadily without major disruptions, </w:t>
      </w:r>
      <w:r w:rsidR="002F401E">
        <w:rPr>
          <w:color w:val="000000" w:themeColor="text1"/>
        </w:rPr>
        <w:t xml:space="preserve">and </w:t>
      </w:r>
      <w:r w:rsidRPr="00F878B5">
        <w:rPr>
          <w:color w:val="000000" w:themeColor="text1"/>
        </w:rPr>
        <w:t xml:space="preserve">civil society and </w:t>
      </w:r>
      <w:r w:rsidRPr="003A4071">
        <w:rPr>
          <w:i/>
          <w:color w:val="000000" w:themeColor="text1"/>
        </w:rPr>
        <w:t>kastom</w:t>
      </w:r>
      <w:r w:rsidRPr="00F878B5">
        <w:rPr>
          <w:color w:val="000000" w:themeColor="text1"/>
        </w:rPr>
        <w:t xml:space="preserve"> continue to evolve modestly within the national context</w:t>
      </w:r>
      <w:r w:rsidR="003A4071">
        <w:rPr>
          <w:color w:val="000000" w:themeColor="text1"/>
        </w:rPr>
        <w:t xml:space="preserve">. Some new </w:t>
      </w:r>
      <w:r w:rsidRPr="00F878B5">
        <w:rPr>
          <w:color w:val="000000" w:themeColor="text1"/>
        </w:rPr>
        <w:t>natural disasters occurred</w:t>
      </w:r>
      <w:r w:rsidR="003A4071">
        <w:rPr>
          <w:color w:val="000000" w:themeColor="text1"/>
        </w:rPr>
        <w:t xml:space="preserve"> and others were ongoing</w:t>
      </w:r>
      <w:r w:rsidRPr="00F878B5">
        <w:rPr>
          <w:color w:val="000000" w:themeColor="text1"/>
        </w:rPr>
        <w:t xml:space="preserve">.  </w:t>
      </w:r>
      <w:r w:rsidR="00F878B5" w:rsidRPr="00F878B5">
        <w:rPr>
          <w:color w:val="000000" w:themeColor="text1"/>
        </w:rPr>
        <w:t>Key risks to achieving objectives and their management are presented in Table 3.</w:t>
      </w:r>
    </w:p>
    <w:p w:rsidR="00F92740" w:rsidRDefault="00F92740" w:rsidP="00CF6285">
      <w:pPr>
        <w:rPr>
          <w:b/>
          <w:sz w:val="24"/>
        </w:rPr>
      </w:pPr>
    </w:p>
    <w:p w:rsidR="00CF6285" w:rsidRDefault="00CF6285" w:rsidP="00CF6285">
      <w:pPr>
        <w:rPr>
          <w:b/>
          <w:sz w:val="24"/>
        </w:rPr>
      </w:pPr>
      <w:r w:rsidRPr="008C2F58">
        <w:rPr>
          <w:b/>
          <w:sz w:val="24"/>
        </w:rPr>
        <w:lastRenderedPageBreak/>
        <w:t>Table 3</w:t>
      </w:r>
      <w:r>
        <w:rPr>
          <w:b/>
          <w:sz w:val="24"/>
        </w:rPr>
        <w:t>:</w:t>
      </w:r>
      <w:r w:rsidRPr="008C2F58">
        <w:rPr>
          <w:b/>
          <w:sz w:val="24"/>
        </w:rPr>
        <w:t xml:space="preserve"> Management of Key Risks to Achieving Objectives</w:t>
      </w:r>
    </w:p>
    <w:tbl>
      <w:tblPr>
        <w:tblStyle w:val="TableGrid"/>
        <w:tblW w:w="10632" w:type="dxa"/>
        <w:tblInd w:w="-431" w:type="dxa"/>
        <w:tblLook w:val="04A0" w:firstRow="1" w:lastRow="0" w:firstColumn="1" w:lastColumn="0" w:noHBand="0" w:noVBand="1"/>
      </w:tblPr>
      <w:tblGrid>
        <w:gridCol w:w="3261"/>
        <w:gridCol w:w="4111"/>
        <w:gridCol w:w="3260"/>
      </w:tblGrid>
      <w:tr w:rsidR="009A309B" w:rsidTr="00C82F53">
        <w:trPr>
          <w:tblHeader/>
        </w:trPr>
        <w:tc>
          <w:tcPr>
            <w:tcW w:w="3261" w:type="dxa"/>
            <w:shd w:val="clear" w:color="auto" w:fill="D9D9D9" w:themeFill="background1" w:themeFillShade="D9"/>
          </w:tcPr>
          <w:p w:rsidR="009A309B" w:rsidRPr="007F54B5" w:rsidRDefault="009A309B">
            <w:pPr>
              <w:rPr>
                <w:rFonts w:ascii="Franklin Gothic Book" w:hAnsi="Franklin Gothic Book"/>
                <w:b/>
                <w:sz w:val="17"/>
                <w:szCs w:val="17"/>
              </w:rPr>
            </w:pPr>
            <w:r w:rsidRPr="007F54B5">
              <w:rPr>
                <w:rFonts w:ascii="Franklin Gothic Book" w:hAnsi="Franklin Gothic Book"/>
                <w:b/>
                <w:sz w:val="17"/>
                <w:szCs w:val="17"/>
              </w:rPr>
              <w:t>Key risks (emerging and ongoing)</w:t>
            </w:r>
            <w:r w:rsidR="00B77B79">
              <w:rPr>
                <w:rFonts w:ascii="Franklin Gothic Book" w:hAnsi="Franklin Gothic Book"/>
                <w:b/>
                <w:sz w:val="17"/>
                <w:szCs w:val="17"/>
              </w:rPr>
              <w:t xml:space="preserve"> and risk rating</w:t>
            </w:r>
          </w:p>
        </w:tc>
        <w:tc>
          <w:tcPr>
            <w:tcW w:w="4111" w:type="dxa"/>
            <w:shd w:val="clear" w:color="auto" w:fill="D9D9D9" w:themeFill="background1" w:themeFillShade="D9"/>
          </w:tcPr>
          <w:p w:rsidR="009A309B" w:rsidRPr="007F54B5" w:rsidRDefault="009A309B" w:rsidP="009A309B">
            <w:pPr>
              <w:rPr>
                <w:rFonts w:ascii="Franklin Gothic Book" w:hAnsi="Franklin Gothic Book"/>
                <w:b/>
                <w:sz w:val="17"/>
                <w:szCs w:val="17"/>
              </w:rPr>
            </w:pPr>
            <w:r w:rsidRPr="007F54B5">
              <w:rPr>
                <w:rFonts w:ascii="Franklin Gothic Book" w:hAnsi="Franklin Gothic Book"/>
                <w:b/>
                <w:sz w:val="17"/>
                <w:szCs w:val="17"/>
              </w:rPr>
              <w:t>What actions were taken to manage the risks over the past year?</w:t>
            </w:r>
          </w:p>
        </w:tc>
        <w:tc>
          <w:tcPr>
            <w:tcW w:w="3260" w:type="dxa"/>
            <w:shd w:val="clear" w:color="auto" w:fill="D9D9D9" w:themeFill="background1" w:themeFillShade="D9"/>
          </w:tcPr>
          <w:p w:rsidR="009A309B" w:rsidRPr="007F54B5" w:rsidRDefault="009A309B" w:rsidP="009A309B">
            <w:pPr>
              <w:rPr>
                <w:rFonts w:ascii="Franklin Gothic Book" w:hAnsi="Franklin Gothic Book"/>
                <w:b/>
                <w:sz w:val="17"/>
                <w:szCs w:val="17"/>
              </w:rPr>
            </w:pPr>
            <w:r w:rsidRPr="007F54B5">
              <w:rPr>
                <w:rFonts w:ascii="Franklin Gothic Book" w:hAnsi="Franklin Gothic Book"/>
                <w:b/>
                <w:sz w:val="17"/>
                <w:szCs w:val="17"/>
              </w:rPr>
              <w:t>What further actions will be taken to manage the risks in the coming year?</w:t>
            </w:r>
          </w:p>
        </w:tc>
      </w:tr>
      <w:tr w:rsidR="009A309B" w:rsidTr="00C82F53">
        <w:tc>
          <w:tcPr>
            <w:tcW w:w="3261" w:type="dxa"/>
          </w:tcPr>
          <w:p w:rsidR="009A309B" w:rsidRPr="007F54B5" w:rsidRDefault="009A309B" w:rsidP="00C82F53">
            <w:pPr>
              <w:spacing w:before="0" w:after="0" w:line="240" w:lineRule="auto"/>
              <w:rPr>
                <w:rFonts w:ascii="Franklin Gothic Book" w:hAnsi="Franklin Gothic Book"/>
                <w:sz w:val="17"/>
                <w:szCs w:val="17"/>
              </w:rPr>
            </w:pPr>
            <w:r w:rsidRPr="007F54B5">
              <w:rPr>
                <w:rFonts w:ascii="Franklin Gothic Book" w:hAnsi="Franklin Gothic Book"/>
                <w:sz w:val="17"/>
                <w:szCs w:val="17"/>
              </w:rPr>
              <w:t>Economic shocks or natural disasters to Vanuatu (such as global shocks, shocks to tourism including the airport, cyclones, earthquakes, volcanos or tsunamis).</w:t>
            </w:r>
          </w:p>
          <w:p w:rsidR="009A309B" w:rsidRPr="007F54B5" w:rsidRDefault="009A309B" w:rsidP="00C82F53">
            <w:pPr>
              <w:spacing w:before="0" w:after="0" w:line="240" w:lineRule="auto"/>
              <w:rPr>
                <w:rFonts w:ascii="Franklin Gothic Book" w:hAnsi="Franklin Gothic Book"/>
                <w:b/>
                <w:sz w:val="17"/>
                <w:szCs w:val="17"/>
              </w:rPr>
            </w:pPr>
            <w:r w:rsidRPr="007F54B5">
              <w:rPr>
                <w:rFonts w:ascii="Franklin Gothic Book" w:hAnsi="Franklin Gothic Book"/>
                <w:b/>
                <w:sz w:val="17"/>
                <w:szCs w:val="17"/>
              </w:rPr>
              <w:t>Risk Rating</w:t>
            </w:r>
            <w:r>
              <w:rPr>
                <w:rFonts w:ascii="Franklin Gothic Book" w:hAnsi="Franklin Gothic Book"/>
                <w:b/>
                <w:sz w:val="17"/>
                <w:szCs w:val="17"/>
              </w:rPr>
              <w:t>: High</w:t>
            </w:r>
          </w:p>
          <w:p w:rsidR="009A309B" w:rsidRPr="007F54B5" w:rsidRDefault="007752EE" w:rsidP="00C82F53">
            <w:pPr>
              <w:spacing w:before="0" w:after="0" w:line="240" w:lineRule="auto"/>
              <w:rPr>
                <w:rFonts w:ascii="Franklin Gothic Book" w:hAnsi="Franklin Gothic Book"/>
                <w:b/>
                <w:sz w:val="17"/>
                <w:szCs w:val="17"/>
              </w:rPr>
            </w:pPr>
            <w:r>
              <w:rPr>
                <w:rFonts w:ascii="Franklin Gothic Book" w:hAnsi="Franklin Gothic Book"/>
                <w:b/>
                <w:sz w:val="17"/>
                <w:szCs w:val="17"/>
              </w:rPr>
              <w:t xml:space="preserve">Is risk in </w:t>
            </w:r>
            <w:r w:rsidR="009A309B" w:rsidRPr="007F54B5">
              <w:rPr>
                <w:rFonts w:ascii="Franklin Gothic Book" w:hAnsi="Franklin Gothic Book"/>
                <w:b/>
                <w:sz w:val="17"/>
                <w:szCs w:val="17"/>
              </w:rPr>
              <w:t>Post’s Risk Register</w:t>
            </w:r>
            <w:r w:rsidR="009A309B">
              <w:rPr>
                <w:rFonts w:ascii="Franklin Gothic Book" w:hAnsi="Franklin Gothic Book"/>
                <w:b/>
                <w:sz w:val="17"/>
                <w:szCs w:val="17"/>
              </w:rPr>
              <w:t>: Yes</w:t>
            </w:r>
          </w:p>
        </w:tc>
        <w:tc>
          <w:tcPr>
            <w:tcW w:w="4111" w:type="dxa"/>
          </w:tcPr>
          <w:p w:rsidR="009A309B" w:rsidRPr="009A309B" w:rsidRDefault="009A309B" w:rsidP="007F54B5">
            <w:pPr>
              <w:pStyle w:val="ListParagraph"/>
              <w:numPr>
                <w:ilvl w:val="0"/>
                <w:numId w:val="39"/>
              </w:numPr>
              <w:ind w:left="46" w:hanging="107"/>
              <w:rPr>
                <w:rFonts w:ascii="Franklin Gothic Book" w:hAnsi="Franklin Gothic Book"/>
                <w:color w:val="495965" w:themeColor="text2"/>
                <w:sz w:val="17"/>
                <w:szCs w:val="17"/>
              </w:rPr>
            </w:pPr>
            <w:r w:rsidRPr="009A309B">
              <w:rPr>
                <w:rFonts w:ascii="Franklin Gothic Book" w:hAnsi="Franklin Gothic Book"/>
                <w:color w:val="495965" w:themeColor="text2"/>
                <w:sz w:val="17"/>
                <w:szCs w:val="17"/>
              </w:rPr>
              <w:t>Climate change and disaster resilience in all investments</w:t>
            </w:r>
          </w:p>
          <w:p w:rsidR="009A309B" w:rsidRPr="007F54B5" w:rsidRDefault="009A309B" w:rsidP="007F54B5">
            <w:pPr>
              <w:pStyle w:val="ListParagraph"/>
              <w:numPr>
                <w:ilvl w:val="0"/>
                <w:numId w:val="39"/>
              </w:numPr>
              <w:ind w:left="46" w:hanging="107"/>
              <w:rPr>
                <w:rFonts w:ascii="Franklin Gothic Book" w:hAnsi="Franklin Gothic Book"/>
                <w:color w:val="495965" w:themeColor="text2"/>
                <w:sz w:val="17"/>
                <w:szCs w:val="17"/>
              </w:rPr>
            </w:pPr>
            <w:r w:rsidRPr="007F54B5">
              <w:rPr>
                <w:rFonts w:ascii="Franklin Gothic Book" w:hAnsi="Franklin Gothic Book"/>
                <w:color w:val="495965" w:themeColor="text2"/>
                <w:sz w:val="17"/>
                <w:szCs w:val="17"/>
              </w:rPr>
              <w:t xml:space="preserve">Help </w:t>
            </w:r>
            <w:r w:rsidR="001729E2">
              <w:rPr>
                <w:rFonts w:ascii="Franklin Gothic Book" w:hAnsi="Franklin Gothic Book"/>
                <w:color w:val="495965" w:themeColor="text2"/>
                <w:sz w:val="17"/>
                <w:szCs w:val="17"/>
              </w:rPr>
              <w:t xml:space="preserve">the </w:t>
            </w:r>
            <w:r w:rsidR="001729E2" w:rsidRPr="007F54B5">
              <w:rPr>
                <w:rFonts w:ascii="Franklin Gothic Book" w:hAnsi="Franklin Gothic Book"/>
                <w:color w:val="495965" w:themeColor="text2"/>
                <w:sz w:val="17"/>
                <w:szCs w:val="17"/>
              </w:rPr>
              <w:t>G</w:t>
            </w:r>
            <w:r w:rsidR="001729E2">
              <w:rPr>
                <w:rFonts w:ascii="Franklin Gothic Book" w:hAnsi="Franklin Gothic Book"/>
                <w:color w:val="495965" w:themeColor="text2"/>
                <w:sz w:val="17"/>
                <w:szCs w:val="17"/>
              </w:rPr>
              <w:t>overnment of Vanuatu</w:t>
            </w:r>
            <w:r w:rsidR="001729E2" w:rsidRPr="007F54B5">
              <w:rPr>
                <w:rFonts w:ascii="Franklin Gothic Book" w:hAnsi="Franklin Gothic Book"/>
                <w:color w:val="495965" w:themeColor="text2"/>
                <w:sz w:val="17"/>
                <w:szCs w:val="17"/>
              </w:rPr>
              <w:t xml:space="preserve"> </w:t>
            </w:r>
            <w:r w:rsidR="00840F00">
              <w:rPr>
                <w:rFonts w:ascii="Franklin Gothic Book" w:hAnsi="Franklin Gothic Book"/>
                <w:color w:val="495965" w:themeColor="text2"/>
                <w:sz w:val="17"/>
                <w:szCs w:val="17"/>
              </w:rPr>
              <w:t xml:space="preserve">(GoV) </w:t>
            </w:r>
            <w:r w:rsidRPr="007F54B5">
              <w:rPr>
                <w:rFonts w:ascii="Franklin Gothic Book" w:hAnsi="Franklin Gothic Book"/>
                <w:color w:val="495965" w:themeColor="text2"/>
                <w:sz w:val="17"/>
                <w:szCs w:val="17"/>
              </w:rPr>
              <w:t>maintain revenue through systems and compliance, broad-based growth and service delivery</w:t>
            </w:r>
          </w:p>
          <w:p w:rsidR="007F54B5" w:rsidRPr="007F54B5" w:rsidRDefault="007F54B5" w:rsidP="009A5CB7">
            <w:pPr>
              <w:pStyle w:val="ListParagraph"/>
              <w:numPr>
                <w:ilvl w:val="0"/>
                <w:numId w:val="39"/>
              </w:numPr>
              <w:ind w:left="46" w:hanging="107"/>
              <w:rPr>
                <w:rFonts w:ascii="Franklin Gothic Book" w:hAnsi="Franklin Gothic Book"/>
                <w:color w:val="495965" w:themeColor="text2"/>
                <w:sz w:val="17"/>
                <w:szCs w:val="17"/>
              </w:rPr>
            </w:pPr>
            <w:r w:rsidRPr="009A309B">
              <w:rPr>
                <w:rFonts w:ascii="Franklin Gothic Book" w:hAnsi="Franklin Gothic Book"/>
                <w:color w:val="495965" w:themeColor="text2"/>
                <w:sz w:val="17"/>
                <w:szCs w:val="17"/>
              </w:rPr>
              <w:t>Build i</w:t>
            </w:r>
            <w:r w:rsidR="009A5CB7">
              <w:rPr>
                <w:rFonts w:ascii="Franklin Gothic Book" w:hAnsi="Franklin Gothic Book"/>
                <w:color w:val="495965" w:themeColor="text2"/>
                <w:sz w:val="17"/>
                <w:szCs w:val="17"/>
              </w:rPr>
              <w:t>n flexibility to new investments.</w:t>
            </w:r>
          </w:p>
        </w:tc>
        <w:tc>
          <w:tcPr>
            <w:tcW w:w="3260" w:type="dxa"/>
          </w:tcPr>
          <w:p w:rsidR="009A309B" w:rsidRPr="007F54B5" w:rsidRDefault="009A309B" w:rsidP="007F54B5">
            <w:pPr>
              <w:pStyle w:val="ListParagraph"/>
              <w:numPr>
                <w:ilvl w:val="0"/>
                <w:numId w:val="39"/>
              </w:numPr>
              <w:ind w:left="46" w:hanging="107"/>
              <w:rPr>
                <w:rFonts w:ascii="Franklin Gothic Book" w:hAnsi="Franklin Gothic Book"/>
                <w:color w:val="495965" w:themeColor="text2"/>
                <w:sz w:val="17"/>
                <w:szCs w:val="17"/>
              </w:rPr>
            </w:pPr>
            <w:r w:rsidRPr="007F54B5">
              <w:rPr>
                <w:rFonts w:ascii="Franklin Gothic Book" w:hAnsi="Franklin Gothic Book"/>
                <w:color w:val="495965" w:themeColor="text2"/>
                <w:sz w:val="17"/>
                <w:szCs w:val="17"/>
              </w:rPr>
              <w:t>Develop capacity of emergency clusters to respond and manage recovery.</w:t>
            </w:r>
          </w:p>
        </w:tc>
      </w:tr>
      <w:tr w:rsidR="009A309B" w:rsidTr="00207232">
        <w:tc>
          <w:tcPr>
            <w:tcW w:w="3261" w:type="dxa"/>
          </w:tcPr>
          <w:p w:rsidR="009A309B" w:rsidRDefault="009A309B" w:rsidP="00C82F53">
            <w:pPr>
              <w:spacing w:before="0" w:after="0" w:line="240" w:lineRule="auto"/>
              <w:rPr>
                <w:rFonts w:ascii="Franklin Gothic Book" w:hAnsi="Franklin Gothic Book"/>
                <w:sz w:val="17"/>
                <w:szCs w:val="17"/>
              </w:rPr>
            </w:pPr>
            <w:r w:rsidRPr="007F54B5">
              <w:rPr>
                <w:rFonts w:ascii="Franklin Gothic Book" w:hAnsi="Franklin Gothic Book"/>
                <w:sz w:val="17"/>
                <w:szCs w:val="17"/>
              </w:rPr>
              <w:t xml:space="preserve">Political instability and capacity and </w:t>
            </w:r>
            <w:r w:rsidR="001729E2">
              <w:rPr>
                <w:rFonts w:ascii="Franklin Gothic Book" w:hAnsi="Franklin Gothic Book"/>
                <w:sz w:val="17"/>
                <w:szCs w:val="17"/>
              </w:rPr>
              <w:t xml:space="preserve">human resource </w:t>
            </w:r>
            <w:r w:rsidRPr="007F54B5">
              <w:rPr>
                <w:rFonts w:ascii="Franklin Gothic Book" w:hAnsi="Franklin Gothic Book"/>
                <w:sz w:val="17"/>
                <w:szCs w:val="17"/>
              </w:rPr>
              <w:t>constraints in government institutions</w:t>
            </w:r>
            <w:r>
              <w:rPr>
                <w:rFonts w:ascii="Franklin Gothic Book" w:hAnsi="Franklin Gothic Book"/>
                <w:sz w:val="17"/>
                <w:szCs w:val="17"/>
              </w:rPr>
              <w:t>.</w:t>
            </w:r>
          </w:p>
          <w:p w:rsidR="009A309B" w:rsidRPr="00A71DF2" w:rsidRDefault="009A309B" w:rsidP="00C82F53">
            <w:pPr>
              <w:spacing w:before="0" w:after="0" w:line="240" w:lineRule="auto"/>
              <w:rPr>
                <w:rFonts w:ascii="Franklin Gothic Book" w:hAnsi="Franklin Gothic Book"/>
                <w:b/>
                <w:sz w:val="17"/>
                <w:szCs w:val="17"/>
              </w:rPr>
            </w:pPr>
            <w:r w:rsidRPr="00A71DF2">
              <w:rPr>
                <w:rFonts w:ascii="Franklin Gothic Book" w:hAnsi="Franklin Gothic Book"/>
                <w:b/>
                <w:sz w:val="17"/>
                <w:szCs w:val="17"/>
              </w:rPr>
              <w:t>Risk Rating</w:t>
            </w:r>
            <w:r>
              <w:rPr>
                <w:rFonts w:ascii="Franklin Gothic Book" w:hAnsi="Franklin Gothic Book"/>
                <w:b/>
                <w:sz w:val="17"/>
                <w:szCs w:val="17"/>
              </w:rPr>
              <w:t>: High</w:t>
            </w:r>
          </w:p>
          <w:p w:rsidR="009A309B" w:rsidRPr="007F54B5" w:rsidRDefault="007752EE" w:rsidP="00C82F53">
            <w:pPr>
              <w:spacing w:before="0" w:after="0" w:line="240" w:lineRule="auto"/>
              <w:rPr>
                <w:rFonts w:ascii="Franklin Gothic Book" w:hAnsi="Franklin Gothic Book"/>
                <w:b/>
                <w:sz w:val="17"/>
                <w:szCs w:val="17"/>
              </w:rPr>
            </w:pPr>
            <w:r>
              <w:rPr>
                <w:rFonts w:ascii="Franklin Gothic Book" w:hAnsi="Franklin Gothic Book"/>
                <w:b/>
                <w:sz w:val="17"/>
                <w:szCs w:val="17"/>
              </w:rPr>
              <w:t>Is risk in</w:t>
            </w:r>
            <w:r w:rsidR="009A309B" w:rsidRPr="00A71DF2">
              <w:rPr>
                <w:rFonts w:ascii="Franklin Gothic Book" w:hAnsi="Franklin Gothic Book"/>
                <w:b/>
                <w:sz w:val="17"/>
                <w:szCs w:val="17"/>
              </w:rPr>
              <w:t xml:space="preserve"> Post’s Risk Register</w:t>
            </w:r>
            <w:r w:rsidR="009A309B">
              <w:rPr>
                <w:rFonts w:ascii="Franklin Gothic Book" w:hAnsi="Franklin Gothic Book"/>
                <w:b/>
                <w:sz w:val="17"/>
                <w:szCs w:val="17"/>
              </w:rPr>
              <w:t>: Yes</w:t>
            </w:r>
          </w:p>
        </w:tc>
        <w:tc>
          <w:tcPr>
            <w:tcW w:w="4111" w:type="dxa"/>
          </w:tcPr>
          <w:p w:rsidR="009A309B" w:rsidRPr="009A309B" w:rsidRDefault="009A309B" w:rsidP="007F54B5">
            <w:pPr>
              <w:pStyle w:val="ListParagraph"/>
              <w:numPr>
                <w:ilvl w:val="0"/>
                <w:numId w:val="39"/>
              </w:numPr>
              <w:ind w:left="46" w:hanging="107"/>
              <w:rPr>
                <w:rFonts w:ascii="Franklin Gothic Book" w:hAnsi="Franklin Gothic Book"/>
                <w:color w:val="495965" w:themeColor="text2"/>
                <w:sz w:val="17"/>
                <w:szCs w:val="17"/>
              </w:rPr>
            </w:pPr>
            <w:r w:rsidRPr="009A309B">
              <w:rPr>
                <w:rFonts w:ascii="Franklin Gothic Book" w:hAnsi="Franklin Gothic Book"/>
                <w:color w:val="495965" w:themeColor="text2"/>
                <w:sz w:val="17"/>
                <w:szCs w:val="17"/>
              </w:rPr>
              <w:t xml:space="preserve">Regular formal and informal engagement with </w:t>
            </w:r>
            <w:r w:rsidR="001729E2">
              <w:rPr>
                <w:rFonts w:ascii="Franklin Gothic Book" w:hAnsi="Franklin Gothic Book"/>
                <w:color w:val="495965" w:themeColor="text2"/>
                <w:sz w:val="17"/>
                <w:szCs w:val="17"/>
              </w:rPr>
              <w:t xml:space="preserve">the </w:t>
            </w:r>
            <w:r w:rsidR="001729E2" w:rsidRPr="007F54B5">
              <w:rPr>
                <w:rFonts w:ascii="Franklin Gothic Book" w:hAnsi="Franklin Gothic Book"/>
                <w:color w:val="495965" w:themeColor="text2"/>
                <w:sz w:val="17"/>
                <w:szCs w:val="17"/>
              </w:rPr>
              <w:t>G</w:t>
            </w:r>
            <w:r w:rsidR="001729E2">
              <w:rPr>
                <w:rFonts w:ascii="Franklin Gothic Book" w:hAnsi="Franklin Gothic Book"/>
                <w:color w:val="495965" w:themeColor="text2"/>
                <w:sz w:val="17"/>
                <w:szCs w:val="17"/>
              </w:rPr>
              <w:t>o</w:t>
            </w:r>
            <w:r w:rsidR="00207232">
              <w:rPr>
                <w:rFonts w:ascii="Franklin Gothic Book" w:hAnsi="Franklin Gothic Book"/>
                <w:color w:val="495965" w:themeColor="text2"/>
                <w:sz w:val="17"/>
                <w:szCs w:val="17"/>
              </w:rPr>
              <w:t>V</w:t>
            </w:r>
            <w:r w:rsidRPr="009A309B">
              <w:rPr>
                <w:rFonts w:ascii="Franklin Gothic Book" w:hAnsi="Franklin Gothic Book"/>
                <w:color w:val="495965" w:themeColor="text2"/>
                <w:sz w:val="17"/>
                <w:szCs w:val="17"/>
              </w:rPr>
              <w:t xml:space="preserve"> to ensure shared understanding </w:t>
            </w:r>
          </w:p>
          <w:p w:rsidR="009A309B" w:rsidRPr="009A309B" w:rsidRDefault="009A309B" w:rsidP="007F54B5">
            <w:pPr>
              <w:pStyle w:val="ListParagraph"/>
              <w:numPr>
                <w:ilvl w:val="0"/>
                <w:numId w:val="39"/>
              </w:numPr>
              <w:ind w:left="46" w:hanging="107"/>
              <w:rPr>
                <w:rFonts w:ascii="Franklin Gothic Book" w:hAnsi="Franklin Gothic Book"/>
                <w:color w:val="495965" w:themeColor="text2"/>
                <w:sz w:val="17"/>
                <w:szCs w:val="17"/>
              </w:rPr>
            </w:pPr>
            <w:r w:rsidRPr="009A309B">
              <w:rPr>
                <w:rFonts w:ascii="Franklin Gothic Book" w:hAnsi="Franklin Gothic Book"/>
                <w:color w:val="495965" w:themeColor="text2"/>
                <w:sz w:val="17"/>
                <w:szCs w:val="17"/>
              </w:rPr>
              <w:t>Focus resources on agreed priorities and work plans</w:t>
            </w:r>
          </w:p>
          <w:p w:rsidR="009A309B" w:rsidRPr="007F54B5" w:rsidRDefault="00E43E41" w:rsidP="007F54B5">
            <w:pPr>
              <w:pStyle w:val="ListParagraph"/>
              <w:numPr>
                <w:ilvl w:val="0"/>
                <w:numId w:val="39"/>
              </w:numPr>
              <w:ind w:left="46" w:hanging="107"/>
              <w:rPr>
                <w:rFonts w:ascii="Franklin Gothic Book" w:hAnsi="Franklin Gothic Book"/>
                <w:color w:val="495965" w:themeColor="text2"/>
                <w:sz w:val="17"/>
                <w:szCs w:val="17"/>
              </w:rPr>
            </w:pPr>
            <w:r>
              <w:rPr>
                <w:rFonts w:ascii="Franklin Gothic Book" w:hAnsi="Franklin Gothic Book"/>
                <w:color w:val="495965" w:themeColor="text2"/>
                <w:sz w:val="17"/>
                <w:szCs w:val="17"/>
              </w:rPr>
              <w:t>Inaugural Senior Officials Talks held</w:t>
            </w:r>
          </w:p>
          <w:p w:rsidR="007F54B5" w:rsidRPr="007F54B5" w:rsidRDefault="007F54B5" w:rsidP="007F54B5">
            <w:pPr>
              <w:pStyle w:val="ListParagraph"/>
              <w:numPr>
                <w:ilvl w:val="0"/>
                <w:numId w:val="39"/>
              </w:numPr>
              <w:ind w:left="46" w:hanging="107"/>
              <w:rPr>
                <w:rFonts w:ascii="Franklin Gothic Book" w:hAnsi="Franklin Gothic Book"/>
                <w:color w:val="495965" w:themeColor="text2"/>
                <w:sz w:val="17"/>
                <w:szCs w:val="17"/>
              </w:rPr>
            </w:pPr>
            <w:r w:rsidRPr="009A309B">
              <w:rPr>
                <w:rFonts w:ascii="Franklin Gothic Book" w:hAnsi="Franklin Gothic Book"/>
                <w:color w:val="495965" w:themeColor="text2"/>
                <w:sz w:val="17"/>
                <w:szCs w:val="17"/>
              </w:rPr>
              <w:t xml:space="preserve">Increase Ministerial and senior level engagement </w:t>
            </w:r>
          </w:p>
        </w:tc>
        <w:tc>
          <w:tcPr>
            <w:tcW w:w="3260" w:type="dxa"/>
          </w:tcPr>
          <w:p w:rsidR="009A309B" w:rsidRPr="00B83D47" w:rsidRDefault="007F54B5" w:rsidP="007F54B5">
            <w:pPr>
              <w:pStyle w:val="ListParagraph"/>
              <w:numPr>
                <w:ilvl w:val="0"/>
                <w:numId w:val="41"/>
              </w:numPr>
              <w:ind w:left="31" w:hanging="122"/>
              <w:rPr>
                <w:rFonts w:ascii="Franklin Gothic Book" w:hAnsi="Franklin Gothic Book"/>
                <w:b/>
                <w:sz w:val="17"/>
                <w:szCs w:val="17"/>
              </w:rPr>
            </w:pPr>
            <w:r>
              <w:rPr>
                <w:rFonts w:ascii="Franklin Gothic Book" w:hAnsi="Franklin Gothic Book"/>
                <w:color w:val="495965" w:themeColor="text2"/>
                <w:sz w:val="17"/>
                <w:szCs w:val="17"/>
              </w:rPr>
              <w:t>Annual Senior Official Talks</w:t>
            </w:r>
          </w:p>
          <w:p w:rsidR="00F92740" w:rsidRPr="007F54B5" w:rsidRDefault="00F92740" w:rsidP="007F54B5">
            <w:pPr>
              <w:pStyle w:val="ListParagraph"/>
              <w:numPr>
                <w:ilvl w:val="0"/>
                <w:numId w:val="41"/>
              </w:numPr>
              <w:ind w:left="31" w:hanging="122"/>
              <w:rPr>
                <w:rFonts w:ascii="Franklin Gothic Book" w:hAnsi="Franklin Gothic Book"/>
                <w:b/>
                <w:sz w:val="17"/>
                <w:szCs w:val="17"/>
              </w:rPr>
            </w:pPr>
            <w:r>
              <w:rPr>
                <w:rFonts w:ascii="Franklin Gothic Book" w:hAnsi="Franklin Gothic Book"/>
                <w:color w:val="495965" w:themeColor="text2"/>
                <w:sz w:val="17"/>
                <w:szCs w:val="17"/>
              </w:rPr>
              <w:t>Enhanced engagement following the 2020 Vanuatu national elections.</w:t>
            </w:r>
          </w:p>
        </w:tc>
      </w:tr>
      <w:tr w:rsidR="009A309B" w:rsidTr="00207232">
        <w:tc>
          <w:tcPr>
            <w:tcW w:w="3261" w:type="dxa"/>
          </w:tcPr>
          <w:p w:rsidR="009A309B" w:rsidRDefault="009A309B" w:rsidP="00C82F53">
            <w:pPr>
              <w:spacing w:before="0" w:after="0" w:line="240" w:lineRule="auto"/>
              <w:rPr>
                <w:rFonts w:ascii="Franklin Gothic Book" w:hAnsi="Franklin Gothic Book"/>
                <w:sz w:val="17"/>
                <w:szCs w:val="17"/>
              </w:rPr>
            </w:pPr>
            <w:r w:rsidRPr="007F54B5">
              <w:rPr>
                <w:rFonts w:ascii="Franklin Gothic Book" w:hAnsi="Franklin Gothic Book"/>
                <w:sz w:val="17"/>
                <w:szCs w:val="17"/>
              </w:rPr>
              <w:t>Reputational risk: Australian investments and activities are misunderstood, misrepresented or fail to meet the needs or priorities of Vanuatu</w:t>
            </w:r>
            <w:r>
              <w:rPr>
                <w:rFonts w:ascii="Franklin Gothic Book" w:hAnsi="Franklin Gothic Book"/>
                <w:sz w:val="17"/>
                <w:szCs w:val="17"/>
              </w:rPr>
              <w:t>.</w:t>
            </w:r>
          </w:p>
          <w:p w:rsidR="009A309B" w:rsidRPr="00A71DF2" w:rsidRDefault="009A309B" w:rsidP="00C82F53">
            <w:pPr>
              <w:spacing w:before="0" w:after="0" w:line="240" w:lineRule="auto"/>
              <w:rPr>
                <w:rFonts w:ascii="Franklin Gothic Book" w:hAnsi="Franklin Gothic Book"/>
                <w:b/>
                <w:sz w:val="17"/>
                <w:szCs w:val="17"/>
              </w:rPr>
            </w:pPr>
            <w:r w:rsidRPr="00A71DF2">
              <w:rPr>
                <w:rFonts w:ascii="Franklin Gothic Book" w:hAnsi="Franklin Gothic Book"/>
                <w:b/>
                <w:sz w:val="17"/>
                <w:szCs w:val="17"/>
              </w:rPr>
              <w:t>Risk Rating</w:t>
            </w:r>
            <w:r>
              <w:rPr>
                <w:rFonts w:ascii="Franklin Gothic Book" w:hAnsi="Franklin Gothic Book"/>
                <w:b/>
                <w:sz w:val="17"/>
                <w:szCs w:val="17"/>
              </w:rPr>
              <w:t>: Medium</w:t>
            </w:r>
          </w:p>
          <w:p w:rsidR="009A309B" w:rsidRPr="007F54B5" w:rsidRDefault="007752EE" w:rsidP="00C82F53">
            <w:pPr>
              <w:spacing w:before="0" w:after="0" w:line="240" w:lineRule="auto"/>
              <w:rPr>
                <w:rFonts w:ascii="Franklin Gothic Book" w:hAnsi="Franklin Gothic Book"/>
                <w:b/>
                <w:sz w:val="17"/>
                <w:szCs w:val="17"/>
              </w:rPr>
            </w:pPr>
            <w:r>
              <w:rPr>
                <w:rFonts w:ascii="Franklin Gothic Book" w:hAnsi="Franklin Gothic Book"/>
                <w:b/>
                <w:sz w:val="17"/>
                <w:szCs w:val="17"/>
              </w:rPr>
              <w:t xml:space="preserve">Is risk in </w:t>
            </w:r>
            <w:r w:rsidR="009A309B" w:rsidRPr="00A71DF2">
              <w:rPr>
                <w:rFonts w:ascii="Franklin Gothic Book" w:hAnsi="Franklin Gothic Book"/>
                <w:b/>
                <w:sz w:val="17"/>
                <w:szCs w:val="17"/>
              </w:rPr>
              <w:t>Post’s Risk Register</w:t>
            </w:r>
            <w:r w:rsidR="009A309B">
              <w:rPr>
                <w:rFonts w:ascii="Franklin Gothic Book" w:hAnsi="Franklin Gothic Book"/>
                <w:b/>
                <w:sz w:val="17"/>
                <w:szCs w:val="17"/>
              </w:rPr>
              <w:t>: Yes</w:t>
            </w:r>
          </w:p>
        </w:tc>
        <w:tc>
          <w:tcPr>
            <w:tcW w:w="4111" w:type="dxa"/>
          </w:tcPr>
          <w:p w:rsidR="007F54B5" w:rsidRDefault="009A5CB7" w:rsidP="00207232">
            <w:pPr>
              <w:pStyle w:val="ListParagraph"/>
              <w:numPr>
                <w:ilvl w:val="0"/>
                <w:numId w:val="39"/>
              </w:numPr>
              <w:tabs>
                <w:tab w:val="left" w:pos="361"/>
              </w:tabs>
              <w:ind w:left="46" w:hanging="107"/>
              <w:rPr>
                <w:rFonts w:ascii="Franklin Gothic Book" w:hAnsi="Franklin Gothic Book"/>
                <w:color w:val="495965" w:themeColor="text2"/>
                <w:sz w:val="17"/>
                <w:szCs w:val="17"/>
              </w:rPr>
            </w:pPr>
            <w:r>
              <w:rPr>
                <w:rFonts w:ascii="Franklin Gothic Book" w:hAnsi="Franklin Gothic Book"/>
                <w:color w:val="495965" w:themeColor="text2"/>
                <w:sz w:val="17"/>
                <w:szCs w:val="17"/>
              </w:rPr>
              <w:t xml:space="preserve">Programs </w:t>
            </w:r>
            <w:r w:rsidR="007F54B5">
              <w:rPr>
                <w:rFonts w:ascii="Franklin Gothic Book" w:hAnsi="Franklin Gothic Book"/>
                <w:color w:val="495965" w:themeColor="text2"/>
                <w:sz w:val="17"/>
                <w:szCs w:val="17"/>
              </w:rPr>
              <w:t xml:space="preserve">align with </w:t>
            </w:r>
            <w:r>
              <w:rPr>
                <w:rFonts w:ascii="Franklin Gothic Book" w:hAnsi="Franklin Gothic Book"/>
                <w:color w:val="495965" w:themeColor="text2"/>
                <w:sz w:val="17"/>
                <w:szCs w:val="17"/>
              </w:rPr>
              <w:t>GoV plans and agreed work.</w:t>
            </w:r>
          </w:p>
          <w:p w:rsidR="009A309B" w:rsidRDefault="007F54B5" w:rsidP="007F54B5">
            <w:pPr>
              <w:pStyle w:val="ListParagraph"/>
              <w:numPr>
                <w:ilvl w:val="0"/>
                <w:numId w:val="39"/>
              </w:numPr>
              <w:ind w:left="46" w:hanging="107"/>
              <w:rPr>
                <w:rFonts w:ascii="Franklin Gothic Book" w:hAnsi="Franklin Gothic Book"/>
                <w:color w:val="495965" w:themeColor="text2"/>
                <w:sz w:val="17"/>
                <w:szCs w:val="17"/>
              </w:rPr>
            </w:pPr>
            <w:r>
              <w:rPr>
                <w:rFonts w:ascii="Franklin Gothic Book" w:hAnsi="Franklin Gothic Book"/>
                <w:color w:val="495965" w:themeColor="text2"/>
                <w:sz w:val="17"/>
                <w:szCs w:val="17"/>
              </w:rPr>
              <w:t xml:space="preserve">Regular dialogue </w:t>
            </w:r>
            <w:r w:rsidR="00C03D8F">
              <w:rPr>
                <w:rFonts w:ascii="Franklin Gothic Book" w:hAnsi="Franklin Gothic Book"/>
                <w:color w:val="495965" w:themeColor="text2"/>
                <w:sz w:val="17"/>
                <w:szCs w:val="17"/>
              </w:rPr>
              <w:t xml:space="preserve">to </w:t>
            </w:r>
            <w:r>
              <w:rPr>
                <w:rFonts w:ascii="Franklin Gothic Book" w:hAnsi="Franklin Gothic Book"/>
                <w:color w:val="495965" w:themeColor="text2"/>
                <w:sz w:val="17"/>
                <w:szCs w:val="17"/>
              </w:rPr>
              <w:t xml:space="preserve">enable Australia to be responsive to changing context and priorities </w:t>
            </w:r>
          </w:p>
          <w:p w:rsidR="007F54B5" w:rsidRPr="007F54B5" w:rsidRDefault="007F54B5" w:rsidP="007F54B5">
            <w:pPr>
              <w:pStyle w:val="ListParagraph"/>
              <w:numPr>
                <w:ilvl w:val="0"/>
                <w:numId w:val="39"/>
              </w:numPr>
              <w:ind w:left="46" w:hanging="107"/>
              <w:rPr>
                <w:rFonts w:ascii="Franklin Gothic Book" w:hAnsi="Franklin Gothic Book"/>
                <w:color w:val="495965" w:themeColor="text2"/>
                <w:sz w:val="17"/>
                <w:szCs w:val="17"/>
              </w:rPr>
            </w:pPr>
            <w:r w:rsidRPr="009A309B">
              <w:rPr>
                <w:rFonts w:ascii="Franklin Gothic Book" w:hAnsi="Franklin Gothic Book"/>
                <w:color w:val="495965" w:themeColor="text2"/>
                <w:sz w:val="17"/>
                <w:szCs w:val="17"/>
              </w:rPr>
              <w:t xml:space="preserve">Increase Ministerial engagement </w:t>
            </w:r>
          </w:p>
          <w:p w:rsidR="007F54B5" w:rsidRPr="007F54B5" w:rsidRDefault="007F54B5" w:rsidP="009A5CB7">
            <w:pPr>
              <w:pStyle w:val="ListParagraph"/>
              <w:numPr>
                <w:ilvl w:val="0"/>
                <w:numId w:val="39"/>
              </w:numPr>
              <w:ind w:left="46" w:hanging="107"/>
              <w:rPr>
                <w:rFonts w:ascii="Franklin Gothic Book" w:hAnsi="Franklin Gothic Book"/>
                <w:color w:val="495965" w:themeColor="text2"/>
                <w:sz w:val="17"/>
                <w:szCs w:val="17"/>
              </w:rPr>
            </w:pPr>
            <w:r>
              <w:rPr>
                <w:rFonts w:ascii="Franklin Gothic Book" w:hAnsi="Franklin Gothic Book"/>
                <w:color w:val="495965" w:themeColor="text2"/>
                <w:sz w:val="17"/>
                <w:szCs w:val="17"/>
              </w:rPr>
              <w:t>Public communication on Australia’s investment</w:t>
            </w:r>
            <w:r w:rsidR="009A5CB7">
              <w:rPr>
                <w:rFonts w:ascii="Franklin Gothic Book" w:hAnsi="Franklin Gothic Book"/>
                <w:color w:val="495965" w:themeColor="text2"/>
                <w:sz w:val="17"/>
                <w:szCs w:val="17"/>
              </w:rPr>
              <w:t>.</w:t>
            </w:r>
          </w:p>
        </w:tc>
        <w:tc>
          <w:tcPr>
            <w:tcW w:w="3260" w:type="dxa"/>
          </w:tcPr>
          <w:p w:rsidR="009A309B" w:rsidRPr="007F54B5" w:rsidRDefault="007F54B5" w:rsidP="007F54B5">
            <w:pPr>
              <w:pStyle w:val="ListParagraph"/>
              <w:numPr>
                <w:ilvl w:val="0"/>
                <w:numId w:val="41"/>
              </w:numPr>
              <w:ind w:left="31" w:hanging="122"/>
              <w:rPr>
                <w:rFonts w:ascii="Franklin Gothic Book" w:hAnsi="Franklin Gothic Book"/>
                <w:b/>
                <w:sz w:val="17"/>
                <w:szCs w:val="17"/>
              </w:rPr>
            </w:pPr>
            <w:r>
              <w:rPr>
                <w:rFonts w:ascii="Franklin Gothic Book" w:hAnsi="Franklin Gothic Book"/>
                <w:color w:val="495965" w:themeColor="text2"/>
                <w:sz w:val="17"/>
                <w:szCs w:val="17"/>
              </w:rPr>
              <w:t>Engagement of a comm</w:t>
            </w:r>
            <w:r w:rsidR="001729E2">
              <w:rPr>
                <w:rFonts w:ascii="Franklin Gothic Book" w:hAnsi="Franklin Gothic Book"/>
                <w:color w:val="495965" w:themeColor="text2"/>
                <w:sz w:val="17"/>
                <w:szCs w:val="17"/>
              </w:rPr>
              <w:t>unication</w:t>
            </w:r>
            <w:r>
              <w:rPr>
                <w:rFonts w:ascii="Franklin Gothic Book" w:hAnsi="Franklin Gothic Book"/>
                <w:color w:val="495965" w:themeColor="text2"/>
                <w:sz w:val="17"/>
                <w:szCs w:val="17"/>
              </w:rPr>
              <w:t xml:space="preserve"> adviser to analyse perceptions of Australian aid and provide support </w:t>
            </w:r>
            <w:r w:rsidR="0071335B">
              <w:rPr>
                <w:rFonts w:ascii="Franklin Gothic Book" w:hAnsi="Franklin Gothic Book"/>
                <w:color w:val="495965" w:themeColor="text2"/>
                <w:sz w:val="17"/>
                <w:szCs w:val="17"/>
              </w:rPr>
              <w:t xml:space="preserve">to </w:t>
            </w:r>
            <w:r>
              <w:rPr>
                <w:rFonts w:ascii="Franklin Gothic Book" w:hAnsi="Franklin Gothic Book"/>
                <w:color w:val="495965" w:themeColor="text2"/>
                <w:sz w:val="17"/>
                <w:szCs w:val="17"/>
              </w:rPr>
              <w:t>public communications</w:t>
            </w:r>
          </w:p>
          <w:p w:rsidR="007F54B5" w:rsidRPr="007F54B5" w:rsidRDefault="007F54B5" w:rsidP="00854CA0">
            <w:pPr>
              <w:pStyle w:val="ListParagraph"/>
              <w:numPr>
                <w:ilvl w:val="0"/>
                <w:numId w:val="41"/>
              </w:numPr>
              <w:ind w:left="31" w:hanging="122"/>
              <w:rPr>
                <w:rFonts w:ascii="Franklin Gothic Book" w:hAnsi="Franklin Gothic Book"/>
                <w:b/>
                <w:sz w:val="17"/>
                <w:szCs w:val="17"/>
              </w:rPr>
            </w:pPr>
            <w:r>
              <w:rPr>
                <w:rFonts w:ascii="Franklin Gothic Book" w:hAnsi="Franklin Gothic Book"/>
                <w:color w:val="495965" w:themeColor="text2"/>
                <w:sz w:val="17"/>
                <w:szCs w:val="17"/>
              </w:rPr>
              <w:t>Develop and agree on new A</w:t>
            </w:r>
            <w:r w:rsidR="00F73A03">
              <w:rPr>
                <w:rFonts w:ascii="Franklin Gothic Book" w:hAnsi="Franklin Gothic Book"/>
                <w:color w:val="495965" w:themeColor="text2"/>
                <w:sz w:val="17"/>
                <w:szCs w:val="17"/>
              </w:rPr>
              <w:t>IP</w:t>
            </w:r>
            <w:r>
              <w:rPr>
                <w:rFonts w:ascii="Franklin Gothic Book" w:hAnsi="Franklin Gothic Book"/>
                <w:color w:val="495965" w:themeColor="text2"/>
                <w:sz w:val="17"/>
                <w:szCs w:val="17"/>
              </w:rPr>
              <w:t xml:space="preserve"> and </w:t>
            </w:r>
            <w:r w:rsidR="001729E2">
              <w:rPr>
                <w:rFonts w:ascii="Franklin Gothic Book" w:hAnsi="Franklin Gothic Book"/>
                <w:color w:val="495965" w:themeColor="text2"/>
                <w:sz w:val="17"/>
                <w:szCs w:val="17"/>
              </w:rPr>
              <w:t>A</w:t>
            </w:r>
            <w:r w:rsidR="00F73A03">
              <w:rPr>
                <w:rFonts w:ascii="Franklin Gothic Book" w:hAnsi="Franklin Gothic Book"/>
                <w:color w:val="495965" w:themeColor="text2"/>
                <w:sz w:val="17"/>
                <w:szCs w:val="17"/>
              </w:rPr>
              <w:t>PA</w:t>
            </w:r>
            <w:r w:rsidR="001729E2">
              <w:rPr>
                <w:rFonts w:ascii="Franklin Gothic Book" w:hAnsi="Franklin Gothic Book"/>
                <w:color w:val="495965" w:themeColor="text2"/>
                <w:sz w:val="17"/>
                <w:szCs w:val="17"/>
              </w:rPr>
              <w:t>.</w:t>
            </w:r>
          </w:p>
        </w:tc>
      </w:tr>
      <w:tr w:rsidR="009A309B" w:rsidTr="00C03D8F">
        <w:trPr>
          <w:trHeight w:val="1630"/>
        </w:trPr>
        <w:tc>
          <w:tcPr>
            <w:tcW w:w="3261" w:type="dxa"/>
          </w:tcPr>
          <w:p w:rsidR="009A309B" w:rsidRPr="007F54B5" w:rsidRDefault="009A309B" w:rsidP="00C82F53">
            <w:pPr>
              <w:spacing w:before="0" w:after="0" w:line="240" w:lineRule="auto"/>
              <w:rPr>
                <w:rFonts w:ascii="Franklin Gothic Book" w:hAnsi="Franklin Gothic Book"/>
                <w:sz w:val="17"/>
                <w:szCs w:val="17"/>
              </w:rPr>
            </w:pPr>
            <w:r w:rsidRPr="007F54B5">
              <w:rPr>
                <w:rFonts w:ascii="Franklin Gothic Book" w:hAnsi="Franklin Gothic Book"/>
                <w:sz w:val="17"/>
                <w:szCs w:val="17"/>
              </w:rPr>
              <w:t>Fiduciary risk:</w:t>
            </w:r>
          </w:p>
          <w:p w:rsidR="009A309B" w:rsidRPr="009A309B" w:rsidRDefault="009A309B" w:rsidP="00840F00">
            <w:pPr>
              <w:pStyle w:val="ListParagraph"/>
              <w:numPr>
                <w:ilvl w:val="0"/>
                <w:numId w:val="39"/>
              </w:numPr>
              <w:ind w:left="46" w:hanging="107"/>
              <w:rPr>
                <w:rFonts w:ascii="Franklin Gothic Book" w:hAnsi="Franklin Gothic Book"/>
                <w:color w:val="495965" w:themeColor="text2"/>
                <w:sz w:val="17"/>
                <w:szCs w:val="17"/>
              </w:rPr>
            </w:pPr>
            <w:r w:rsidRPr="009A309B">
              <w:rPr>
                <w:rFonts w:ascii="Franklin Gothic Book" w:hAnsi="Franklin Gothic Book"/>
                <w:color w:val="495965" w:themeColor="text2"/>
                <w:sz w:val="17"/>
                <w:szCs w:val="17"/>
              </w:rPr>
              <w:t>Funds are misused or misallocated</w:t>
            </w:r>
          </w:p>
          <w:p w:rsidR="009A309B" w:rsidRPr="009A309B" w:rsidRDefault="001729E2" w:rsidP="00207232">
            <w:pPr>
              <w:pStyle w:val="ListParagraph"/>
              <w:numPr>
                <w:ilvl w:val="0"/>
                <w:numId w:val="39"/>
              </w:numPr>
              <w:ind w:left="46" w:hanging="107"/>
              <w:rPr>
                <w:rFonts w:ascii="Franklin Gothic Book" w:hAnsi="Franklin Gothic Book"/>
                <w:color w:val="495965" w:themeColor="text2"/>
                <w:sz w:val="17"/>
                <w:szCs w:val="17"/>
              </w:rPr>
            </w:pPr>
            <w:r w:rsidRPr="009A309B">
              <w:rPr>
                <w:rFonts w:ascii="Franklin Gothic Book" w:hAnsi="Franklin Gothic Book"/>
                <w:color w:val="495965" w:themeColor="text2"/>
                <w:sz w:val="17"/>
                <w:szCs w:val="17"/>
              </w:rPr>
              <w:t>G</w:t>
            </w:r>
            <w:r>
              <w:rPr>
                <w:rFonts w:ascii="Franklin Gothic Book" w:hAnsi="Franklin Gothic Book"/>
                <w:color w:val="495965" w:themeColor="text2"/>
                <w:sz w:val="17"/>
                <w:szCs w:val="17"/>
              </w:rPr>
              <w:t>overnment of Vanuatu</w:t>
            </w:r>
            <w:r w:rsidRPr="009A309B">
              <w:rPr>
                <w:rFonts w:ascii="Franklin Gothic Book" w:hAnsi="Franklin Gothic Book"/>
                <w:color w:val="495965" w:themeColor="text2"/>
                <w:sz w:val="17"/>
                <w:szCs w:val="17"/>
              </w:rPr>
              <w:t xml:space="preserve"> </w:t>
            </w:r>
            <w:r w:rsidR="009A309B" w:rsidRPr="009A309B">
              <w:rPr>
                <w:rFonts w:ascii="Franklin Gothic Book" w:hAnsi="Franklin Gothic Book"/>
                <w:color w:val="495965" w:themeColor="text2"/>
                <w:sz w:val="17"/>
                <w:szCs w:val="17"/>
              </w:rPr>
              <w:t>reduces investment in priority sectors/ areas</w:t>
            </w:r>
          </w:p>
          <w:p w:rsidR="009A309B" w:rsidRPr="009A309B" w:rsidRDefault="009A309B" w:rsidP="00207232">
            <w:pPr>
              <w:pStyle w:val="ListParagraph"/>
              <w:numPr>
                <w:ilvl w:val="0"/>
                <w:numId w:val="39"/>
              </w:numPr>
              <w:ind w:left="46" w:hanging="107"/>
              <w:rPr>
                <w:rFonts w:ascii="Franklin Gothic Book" w:hAnsi="Franklin Gothic Book"/>
                <w:color w:val="495965" w:themeColor="text2"/>
                <w:sz w:val="17"/>
                <w:szCs w:val="17"/>
              </w:rPr>
            </w:pPr>
            <w:r w:rsidRPr="009A309B">
              <w:rPr>
                <w:rFonts w:ascii="Franklin Gothic Book" w:hAnsi="Franklin Gothic Book"/>
                <w:color w:val="495965" w:themeColor="text2"/>
                <w:sz w:val="17"/>
                <w:szCs w:val="17"/>
              </w:rPr>
              <w:t>Limited value for money</w:t>
            </w:r>
          </w:p>
          <w:p w:rsidR="009A309B" w:rsidRPr="008B5AC8" w:rsidRDefault="009A309B" w:rsidP="00207232">
            <w:pPr>
              <w:pStyle w:val="ListParagraph"/>
              <w:numPr>
                <w:ilvl w:val="0"/>
                <w:numId w:val="39"/>
              </w:numPr>
              <w:ind w:left="46" w:hanging="107"/>
              <w:rPr>
                <w:rFonts w:ascii="Franklin Gothic Book" w:hAnsi="Franklin Gothic Book"/>
                <w:sz w:val="17"/>
                <w:szCs w:val="17"/>
              </w:rPr>
            </w:pPr>
            <w:r w:rsidRPr="007F54B5">
              <w:rPr>
                <w:rFonts w:ascii="Franklin Gothic Book" w:hAnsi="Franklin Gothic Book"/>
                <w:color w:val="495965" w:themeColor="text2"/>
                <w:sz w:val="17"/>
                <w:szCs w:val="17"/>
              </w:rPr>
              <w:t xml:space="preserve">Non-compliance </w:t>
            </w:r>
            <w:r w:rsidR="009A5CB7">
              <w:rPr>
                <w:rFonts w:ascii="Franklin Gothic Book" w:hAnsi="Franklin Gothic Book"/>
                <w:color w:val="495965" w:themeColor="text2"/>
                <w:sz w:val="17"/>
                <w:szCs w:val="17"/>
              </w:rPr>
              <w:t xml:space="preserve">on </w:t>
            </w:r>
            <w:r w:rsidRPr="007F54B5">
              <w:rPr>
                <w:rFonts w:ascii="Franklin Gothic Book" w:hAnsi="Franklin Gothic Book"/>
                <w:color w:val="495965" w:themeColor="text2"/>
                <w:sz w:val="17"/>
                <w:szCs w:val="17"/>
              </w:rPr>
              <w:t>procurement.</w:t>
            </w:r>
          </w:p>
          <w:p w:rsidR="009A309B" w:rsidRPr="00A71DF2" w:rsidRDefault="009A309B" w:rsidP="00C82F53">
            <w:pPr>
              <w:spacing w:before="0" w:after="0" w:line="240" w:lineRule="auto"/>
              <w:rPr>
                <w:rFonts w:ascii="Franklin Gothic Book" w:hAnsi="Franklin Gothic Book"/>
                <w:b/>
                <w:sz w:val="17"/>
                <w:szCs w:val="17"/>
              </w:rPr>
            </w:pPr>
            <w:r w:rsidRPr="00A71DF2">
              <w:rPr>
                <w:rFonts w:ascii="Franklin Gothic Book" w:hAnsi="Franklin Gothic Book"/>
                <w:b/>
                <w:sz w:val="17"/>
                <w:szCs w:val="17"/>
              </w:rPr>
              <w:t>Risk Rating</w:t>
            </w:r>
            <w:r>
              <w:rPr>
                <w:rFonts w:ascii="Franklin Gothic Book" w:hAnsi="Franklin Gothic Book"/>
                <w:b/>
                <w:sz w:val="17"/>
                <w:szCs w:val="17"/>
              </w:rPr>
              <w:t>: High</w:t>
            </w:r>
          </w:p>
          <w:p w:rsidR="009A309B" w:rsidRPr="007F54B5" w:rsidRDefault="007752EE" w:rsidP="00C82F53">
            <w:pPr>
              <w:spacing w:before="0" w:after="0" w:line="240" w:lineRule="auto"/>
              <w:rPr>
                <w:rFonts w:ascii="Franklin Gothic Book" w:hAnsi="Franklin Gothic Book"/>
                <w:b/>
                <w:sz w:val="17"/>
                <w:szCs w:val="17"/>
              </w:rPr>
            </w:pPr>
            <w:r>
              <w:rPr>
                <w:rFonts w:ascii="Franklin Gothic Book" w:hAnsi="Franklin Gothic Book"/>
                <w:b/>
                <w:sz w:val="17"/>
                <w:szCs w:val="17"/>
              </w:rPr>
              <w:t xml:space="preserve">Is risk in </w:t>
            </w:r>
            <w:r w:rsidR="009A309B" w:rsidRPr="00A71DF2">
              <w:rPr>
                <w:rFonts w:ascii="Franklin Gothic Book" w:hAnsi="Franklin Gothic Book"/>
                <w:b/>
                <w:sz w:val="17"/>
                <w:szCs w:val="17"/>
              </w:rPr>
              <w:t>Post’s Risk Register</w:t>
            </w:r>
            <w:r w:rsidR="009A309B">
              <w:rPr>
                <w:rFonts w:ascii="Franklin Gothic Book" w:hAnsi="Franklin Gothic Book"/>
                <w:b/>
                <w:sz w:val="17"/>
                <w:szCs w:val="17"/>
              </w:rPr>
              <w:t>: Yes</w:t>
            </w:r>
          </w:p>
        </w:tc>
        <w:tc>
          <w:tcPr>
            <w:tcW w:w="4111" w:type="dxa"/>
          </w:tcPr>
          <w:p w:rsidR="009A309B" w:rsidRPr="009A309B" w:rsidRDefault="009A309B" w:rsidP="009A309B">
            <w:pPr>
              <w:pStyle w:val="ListParagraph"/>
              <w:numPr>
                <w:ilvl w:val="0"/>
                <w:numId w:val="42"/>
              </w:numPr>
              <w:ind w:left="46" w:hanging="107"/>
              <w:rPr>
                <w:rFonts w:ascii="Franklin Gothic Book" w:hAnsi="Franklin Gothic Book"/>
                <w:color w:val="495965" w:themeColor="text2"/>
                <w:sz w:val="17"/>
                <w:szCs w:val="17"/>
              </w:rPr>
            </w:pPr>
            <w:r w:rsidRPr="009A309B">
              <w:rPr>
                <w:rFonts w:ascii="Franklin Gothic Book" w:hAnsi="Franklin Gothic Book"/>
                <w:color w:val="495965" w:themeColor="text2"/>
                <w:sz w:val="17"/>
                <w:szCs w:val="17"/>
              </w:rPr>
              <w:t>Regular assessment of national systems and monitor</w:t>
            </w:r>
            <w:r w:rsidRPr="001729E2">
              <w:rPr>
                <w:rFonts w:ascii="Franklin Gothic Book" w:hAnsi="Franklin Gothic Book"/>
                <w:color w:val="495965" w:themeColor="text2"/>
                <w:sz w:val="17"/>
                <w:szCs w:val="17"/>
              </w:rPr>
              <w:t xml:space="preserve">ing of </w:t>
            </w:r>
            <w:r w:rsidR="001729E2" w:rsidRPr="001729E2">
              <w:rPr>
                <w:rFonts w:ascii="Franklin Gothic Book" w:hAnsi="Franklin Gothic Book"/>
                <w:color w:val="495965" w:themeColor="text2"/>
                <w:sz w:val="17"/>
                <w:szCs w:val="17"/>
              </w:rPr>
              <w:t>Direct Fin</w:t>
            </w:r>
            <w:r w:rsidR="001729E2" w:rsidRPr="00105E09">
              <w:rPr>
                <w:rFonts w:ascii="Franklin Gothic Book" w:hAnsi="Franklin Gothic Book"/>
                <w:color w:val="495965" w:themeColor="text2"/>
                <w:sz w:val="17"/>
                <w:szCs w:val="17"/>
              </w:rPr>
              <w:t xml:space="preserve">ancing </w:t>
            </w:r>
            <w:r w:rsidR="001729E2" w:rsidRPr="001729E2">
              <w:rPr>
                <w:rFonts w:ascii="Franklin Gothic Book" w:hAnsi="Franklin Gothic Book"/>
                <w:color w:val="495965" w:themeColor="text2"/>
                <w:sz w:val="17"/>
                <w:szCs w:val="17"/>
              </w:rPr>
              <w:t>Agreements</w:t>
            </w:r>
            <w:r w:rsidR="001729E2">
              <w:rPr>
                <w:rFonts w:ascii="Franklin Gothic Book" w:hAnsi="Franklin Gothic Book"/>
                <w:color w:val="495965" w:themeColor="text2"/>
                <w:sz w:val="17"/>
                <w:szCs w:val="17"/>
              </w:rPr>
              <w:t xml:space="preserve"> </w:t>
            </w:r>
            <w:r w:rsidR="001729E2" w:rsidRPr="009A309B">
              <w:rPr>
                <w:rFonts w:ascii="Franklin Gothic Book" w:hAnsi="Franklin Gothic Book"/>
                <w:color w:val="495965" w:themeColor="text2"/>
                <w:sz w:val="17"/>
                <w:szCs w:val="17"/>
              </w:rPr>
              <w:t xml:space="preserve"> </w:t>
            </w:r>
          </w:p>
          <w:p w:rsidR="009A309B" w:rsidRPr="009A309B" w:rsidRDefault="009A309B" w:rsidP="009A309B">
            <w:pPr>
              <w:pStyle w:val="ListParagraph"/>
              <w:numPr>
                <w:ilvl w:val="0"/>
                <w:numId w:val="42"/>
              </w:numPr>
              <w:ind w:left="46" w:hanging="107"/>
              <w:rPr>
                <w:rFonts w:ascii="Franklin Gothic Book" w:hAnsi="Franklin Gothic Book"/>
                <w:color w:val="495965" w:themeColor="text2"/>
                <w:sz w:val="17"/>
                <w:szCs w:val="17"/>
              </w:rPr>
            </w:pPr>
            <w:r w:rsidRPr="009A309B">
              <w:rPr>
                <w:rFonts w:ascii="Franklin Gothic Book" w:hAnsi="Franklin Gothic Book"/>
                <w:color w:val="495965" w:themeColor="text2"/>
                <w:sz w:val="17"/>
                <w:szCs w:val="17"/>
              </w:rPr>
              <w:t xml:space="preserve">Provide targeted technical assistance </w:t>
            </w:r>
            <w:r w:rsidR="007F54B5">
              <w:rPr>
                <w:rFonts w:ascii="Franklin Gothic Book" w:hAnsi="Franklin Gothic Book"/>
                <w:color w:val="495965" w:themeColor="text2"/>
                <w:sz w:val="17"/>
                <w:szCs w:val="17"/>
              </w:rPr>
              <w:t xml:space="preserve">to oversight expenditure of fund, </w:t>
            </w:r>
            <w:r w:rsidRPr="009A309B">
              <w:rPr>
                <w:rFonts w:ascii="Franklin Gothic Book" w:hAnsi="Franklin Gothic Book"/>
                <w:color w:val="495965" w:themeColor="text2"/>
                <w:sz w:val="17"/>
                <w:szCs w:val="17"/>
              </w:rPr>
              <w:t xml:space="preserve">strengthen </w:t>
            </w:r>
            <w:r w:rsidR="001729E2">
              <w:rPr>
                <w:rFonts w:ascii="Franklin Gothic Book" w:hAnsi="Franklin Gothic Book"/>
                <w:color w:val="495965" w:themeColor="text2"/>
                <w:sz w:val="17"/>
                <w:szCs w:val="17"/>
              </w:rPr>
              <w:t>public financial management</w:t>
            </w:r>
            <w:r w:rsidR="001729E2" w:rsidRPr="009A309B">
              <w:rPr>
                <w:rFonts w:ascii="Franklin Gothic Book" w:hAnsi="Franklin Gothic Book"/>
                <w:color w:val="495965" w:themeColor="text2"/>
                <w:sz w:val="17"/>
                <w:szCs w:val="17"/>
              </w:rPr>
              <w:t xml:space="preserve"> </w:t>
            </w:r>
            <w:r w:rsidRPr="009A309B">
              <w:rPr>
                <w:rFonts w:ascii="Franklin Gothic Book" w:hAnsi="Franklin Gothic Book"/>
                <w:color w:val="495965" w:themeColor="text2"/>
                <w:sz w:val="17"/>
                <w:szCs w:val="17"/>
              </w:rPr>
              <w:t>and program management</w:t>
            </w:r>
          </w:p>
          <w:p w:rsidR="009A309B" w:rsidRPr="009A309B" w:rsidRDefault="009A309B" w:rsidP="009A309B">
            <w:pPr>
              <w:pStyle w:val="ListParagraph"/>
              <w:numPr>
                <w:ilvl w:val="0"/>
                <w:numId w:val="42"/>
              </w:numPr>
              <w:ind w:left="46" w:hanging="107"/>
              <w:rPr>
                <w:rFonts w:ascii="Franklin Gothic Book" w:hAnsi="Franklin Gothic Book"/>
                <w:color w:val="495965" w:themeColor="text2"/>
                <w:sz w:val="17"/>
                <w:szCs w:val="17"/>
              </w:rPr>
            </w:pPr>
            <w:r w:rsidRPr="009A309B">
              <w:rPr>
                <w:rFonts w:ascii="Franklin Gothic Book" w:hAnsi="Franklin Gothic Book"/>
                <w:color w:val="495965" w:themeColor="text2"/>
                <w:sz w:val="17"/>
                <w:szCs w:val="17"/>
              </w:rPr>
              <w:t>Regular reporting, acquittals and audits of funds</w:t>
            </w:r>
          </w:p>
          <w:p w:rsidR="009A309B" w:rsidRPr="009A309B" w:rsidRDefault="009A309B" w:rsidP="009A309B">
            <w:pPr>
              <w:pStyle w:val="ListParagraph"/>
              <w:numPr>
                <w:ilvl w:val="0"/>
                <w:numId w:val="42"/>
              </w:numPr>
              <w:ind w:left="46" w:hanging="107"/>
              <w:rPr>
                <w:rFonts w:ascii="Franklin Gothic Book" w:hAnsi="Franklin Gothic Book"/>
                <w:color w:val="495965" w:themeColor="text2"/>
                <w:sz w:val="17"/>
                <w:szCs w:val="17"/>
              </w:rPr>
            </w:pPr>
            <w:r w:rsidRPr="009A309B">
              <w:rPr>
                <w:rFonts w:ascii="Franklin Gothic Book" w:hAnsi="Franklin Gothic Book"/>
                <w:color w:val="495965" w:themeColor="text2"/>
                <w:sz w:val="17"/>
                <w:szCs w:val="17"/>
              </w:rPr>
              <w:t xml:space="preserve">Due diligence assessments of </w:t>
            </w:r>
            <w:r w:rsidR="009A5CB7">
              <w:rPr>
                <w:rFonts w:ascii="Franklin Gothic Book" w:hAnsi="Franklin Gothic Book"/>
                <w:color w:val="495965" w:themeColor="text2"/>
                <w:sz w:val="17"/>
                <w:szCs w:val="17"/>
              </w:rPr>
              <w:t xml:space="preserve">all </w:t>
            </w:r>
            <w:r w:rsidRPr="009A309B">
              <w:rPr>
                <w:rFonts w:ascii="Franklin Gothic Book" w:hAnsi="Franklin Gothic Book"/>
                <w:color w:val="495965" w:themeColor="text2"/>
                <w:sz w:val="17"/>
                <w:szCs w:val="17"/>
              </w:rPr>
              <w:t xml:space="preserve">partners </w:t>
            </w:r>
          </w:p>
          <w:p w:rsidR="009A309B" w:rsidRPr="007F54B5" w:rsidRDefault="009A309B" w:rsidP="009A5CB7">
            <w:pPr>
              <w:pStyle w:val="ListParagraph"/>
              <w:numPr>
                <w:ilvl w:val="0"/>
                <w:numId w:val="41"/>
              </w:numPr>
              <w:ind w:left="31" w:hanging="122"/>
              <w:rPr>
                <w:rFonts w:ascii="Franklin Gothic Book" w:hAnsi="Franklin Gothic Book"/>
                <w:b/>
                <w:sz w:val="17"/>
                <w:szCs w:val="17"/>
              </w:rPr>
            </w:pPr>
            <w:r w:rsidRPr="007F54B5">
              <w:rPr>
                <w:rFonts w:ascii="Franklin Gothic Book" w:hAnsi="Franklin Gothic Book"/>
                <w:color w:val="495965" w:themeColor="text2"/>
                <w:sz w:val="17"/>
                <w:szCs w:val="17"/>
              </w:rPr>
              <w:t xml:space="preserve">Zero tolerance </w:t>
            </w:r>
            <w:r w:rsidR="009A5CB7">
              <w:rPr>
                <w:rFonts w:ascii="Franklin Gothic Book" w:hAnsi="Franklin Gothic Book"/>
                <w:color w:val="495965" w:themeColor="text2"/>
                <w:sz w:val="17"/>
                <w:szCs w:val="17"/>
              </w:rPr>
              <w:t xml:space="preserve">on </w:t>
            </w:r>
            <w:r w:rsidRPr="007F54B5">
              <w:rPr>
                <w:rFonts w:ascii="Franklin Gothic Book" w:hAnsi="Franklin Gothic Book"/>
                <w:color w:val="495965" w:themeColor="text2"/>
                <w:sz w:val="17"/>
                <w:szCs w:val="17"/>
              </w:rPr>
              <w:t>fraud</w:t>
            </w:r>
          </w:p>
        </w:tc>
        <w:tc>
          <w:tcPr>
            <w:tcW w:w="3260" w:type="dxa"/>
          </w:tcPr>
          <w:p w:rsidR="009A309B" w:rsidRPr="009A309B" w:rsidRDefault="007F54B5" w:rsidP="009A309B">
            <w:pPr>
              <w:pStyle w:val="ListParagraph"/>
              <w:numPr>
                <w:ilvl w:val="0"/>
                <w:numId w:val="42"/>
              </w:numPr>
              <w:ind w:left="31" w:hanging="122"/>
              <w:rPr>
                <w:rFonts w:ascii="Franklin Gothic Book" w:hAnsi="Franklin Gothic Book"/>
                <w:color w:val="495965" w:themeColor="text2"/>
                <w:sz w:val="17"/>
                <w:szCs w:val="17"/>
              </w:rPr>
            </w:pPr>
            <w:r>
              <w:rPr>
                <w:rFonts w:ascii="Franklin Gothic Book" w:hAnsi="Franklin Gothic Book"/>
                <w:color w:val="495965" w:themeColor="text2"/>
                <w:sz w:val="17"/>
                <w:szCs w:val="17"/>
              </w:rPr>
              <w:t xml:space="preserve">Finalise </w:t>
            </w:r>
            <w:r w:rsidR="009A309B" w:rsidRPr="009A309B">
              <w:rPr>
                <w:rFonts w:ascii="Franklin Gothic Book" w:hAnsi="Franklin Gothic Book"/>
                <w:color w:val="495965" w:themeColor="text2"/>
                <w:sz w:val="17"/>
                <w:szCs w:val="17"/>
              </w:rPr>
              <w:t>sector financial assessments</w:t>
            </w:r>
          </w:p>
          <w:p w:rsidR="009A309B" w:rsidRPr="009A309B" w:rsidRDefault="009A309B" w:rsidP="009A309B">
            <w:pPr>
              <w:pStyle w:val="ListParagraph"/>
              <w:numPr>
                <w:ilvl w:val="0"/>
                <w:numId w:val="42"/>
              </w:numPr>
              <w:ind w:left="31" w:hanging="122"/>
              <w:rPr>
                <w:rFonts w:ascii="Franklin Gothic Book" w:hAnsi="Franklin Gothic Book"/>
                <w:color w:val="495965" w:themeColor="text2"/>
                <w:sz w:val="17"/>
                <w:szCs w:val="17"/>
              </w:rPr>
            </w:pPr>
            <w:r w:rsidRPr="009A309B">
              <w:rPr>
                <w:rFonts w:ascii="Franklin Gothic Book" w:hAnsi="Franklin Gothic Book"/>
                <w:color w:val="495965" w:themeColor="text2"/>
                <w:sz w:val="17"/>
                <w:szCs w:val="17"/>
              </w:rPr>
              <w:t xml:space="preserve">Monitor progress of </w:t>
            </w:r>
            <w:r w:rsidR="001729E2">
              <w:rPr>
                <w:rFonts w:ascii="Franklin Gothic Book" w:hAnsi="Franklin Gothic Book"/>
                <w:color w:val="495965" w:themeColor="text2"/>
                <w:sz w:val="17"/>
                <w:szCs w:val="17"/>
              </w:rPr>
              <w:t>Public Financial Management</w:t>
            </w:r>
            <w:r w:rsidR="001729E2" w:rsidRPr="009A309B">
              <w:rPr>
                <w:rFonts w:ascii="Franklin Gothic Book" w:hAnsi="Franklin Gothic Book"/>
                <w:color w:val="495965" w:themeColor="text2"/>
                <w:sz w:val="17"/>
                <w:szCs w:val="17"/>
              </w:rPr>
              <w:t xml:space="preserve"> </w:t>
            </w:r>
            <w:r w:rsidR="009A25D1">
              <w:rPr>
                <w:rFonts w:ascii="Franklin Gothic Book" w:hAnsi="Franklin Gothic Book"/>
                <w:color w:val="495965" w:themeColor="text2"/>
                <w:sz w:val="17"/>
                <w:szCs w:val="17"/>
              </w:rPr>
              <w:t xml:space="preserve">Reform </w:t>
            </w:r>
            <w:r w:rsidRPr="009A309B">
              <w:rPr>
                <w:rFonts w:ascii="Franklin Gothic Book" w:hAnsi="Franklin Gothic Book"/>
                <w:color w:val="495965" w:themeColor="text2"/>
                <w:sz w:val="17"/>
                <w:szCs w:val="17"/>
              </w:rPr>
              <w:t xml:space="preserve">Roadmap and facilitate </w:t>
            </w:r>
            <w:r w:rsidRPr="009A25D1">
              <w:rPr>
                <w:rFonts w:ascii="Franklin Gothic Book" w:hAnsi="Franklin Gothic Book"/>
                <w:color w:val="495965" w:themeColor="text2"/>
                <w:sz w:val="17"/>
                <w:szCs w:val="17"/>
              </w:rPr>
              <w:t xml:space="preserve">improved </w:t>
            </w:r>
            <w:r w:rsidRPr="00A86DF5">
              <w:rPr>
                <w:rFonts w:ascii="Franklin Gothic Book" w:hAnsi="Franklin Gothic Book"/>
                <w:color w:val="495965" w:themeColor="text2"/>
                <w:sz w:val="17"/>
                <w:szCs w:val="17"/>
              </w:rPr>
              <w:t>F</w:t>
            </w:r>
            <w:r w:rsidR="009A25D1" w:rsidRPr="00A86DF5">
              <w:rPr>
                <w:rFonts w:ascii="Franklin Gothic Book" w:hAnsi="Franklin Gothic Book"/>
                <w:color w:val="495965" w:themeColor="text2"/>
                <w:sz w:val="17"/>
                <w:szCs w:val="17"/>
              </w:rPr>
              <w:t xml:space="preserve">inancial </w:t>
            </w:r>
            <w:r w:rsidRPr="00A86DF5">
              <w:rPr>
                <w:rFonts w:ascii="Franklin Gothic Book" w:hAnsi="Franklin Gothic Book"/>
                <w:color w:val="495965" w:themeColor="text2"/>
                <w:sz w:val="17"/>
                <w:szCs w:val="17"/>
              </w:rPr>
              <w:t>M</w:t>
            </w:r>
            <w:r w:rsidR="009A25D1" w:rsidRPr="00A86DF5">
              <w:rPr>
                <w:rFonts w:ascii="Franklin Gothic Book" w:hAnsi="Franklin Gothic Book"/>
                <w:color w:val="495965" w:themeColor="text2"/>
                <w:sz w:val="17"/>
                <w:szCs w:val="17"/>
              </w:rPr>
              <w:t xml:space="preserve">anagement and </w:t>
            </w:r>
            <w:r w:rsidRPr="00A86DF5">
              <w:rPr>
                <w:rFonts w:ascii="Franklin Gothic Book" w:hAnsi="Franklin Gothic Book"/>
                <w:color w:val="495965" w:themeColor="text2"/>
                <w:sz w:val="17"/>
                <w:szCs w:val="17"/>
              </w:rPr>
              <w:t>I</w:t>
            </w:r>
            <w:r w:rsidR="009A25D1" w:rsidRPr="00A86DF5">
              <w:rPr>
                <w:rFonts w:ascii="Franklin Gothic Book" w:hAnsi="Franklin Gothic Book"/>
                <w:color w:val="495965" w:themeColor="text2"/>
                <w:sz w:val="17"/>
                <w:szCs w:val="17"/>
              </w:rPr>
              <w:t xml:space="preserve">nformation </w:t>
            </w:r>
            <w:r w:rsidRPr="00A86DF5">
              <w:rPr>
                <w:rFonts w:ascii="Franklin Gothic Book" w:hAnsi="Franklin Gothic Book"/>
                <w:color w:val="495965" w:themeColor="text2"/>
                <w:sz w:val="17"/>
                <w:szCs w:val="17"/>
              </w:rPr>
              <w:t>S</w:t>
            </w:r>
            <w:r w:rsidR="009A25D1" w:rsidRPr="009A25D1">
              <w:rPr>
                <w:rFonts w:ascii="Franklin Gothic Book" w:hAnsi="Franklin Gothic Book"/>
                <w:color w:val="495965" w:themeColor="text2"/>
                <w:sz w:val="17"/>
                <w:szCs w:val="17"/>
              </w:rPr>
              <w:t>ystem</w:t>
            </w:r>
            <w:r w:rsidRPr="009A309B">
              <w:rPr>
                <w:rFonts w:ascii="Franklin Gothic Book" w:hAnsi="Franklin Gothic Book"/>
                <w:color w:val="495965" w:themeColor="text2"/>
                <w:sz w:val="17"/>
                <w:szCs w:val="17"/>
              </w:rPr>
              <w:t xml:space="preserve"> reporting</w:t>
            </w:r>
          </w:p>
          <w:p w:rsidR="009A309B" w:rsidRPr="007F54B5" w:rsidRDefault="009A309B" w:rsidP="00B83D47">
            <w:pPr>
              <w:pStyle w:val="ListParagraph"/>
              <w:numPr>
                <w:ilvl w:val="0"/>
                <w:numId w:val="42"/>
              </w:numPr>
              <w:ind w:left="31" w:hanging="122"/>
              <w:rPr>
                <w:rFonts w:ascii="Franklin Gothic Book" w:hAnsi="Franklin Gothic Book"/>
                <w:b/>
                <w:sz w:val="17"/>
                <w:szCs w:val="17"/>
              </w:rPr>
            </w:pPr>
            <w:r w:rsidRPr="009A309B">
              <w:rPr>
                <w:rFonts w:ascii="Franklin Gothic Book" w:hAnsi="Franklin Gothic Book"/>
                <w:color w:val="495965" w:themeColor="text2"/>
                <w:sz w:val="17"/>
                <w:szCs w:val="17"/>
              </w:rPr>
              <w:t>Support adviser inputs to work with the Central Tender Board</w:t>
            </w:r>
          </w:p>
        </w:tc>
      </w:tr>
      <w:tr w:rsidR="009A309B" w:rsidTr="00840F00">
        <w:tc>
          <w:tcPr>
            <w:tcW w:w="3261" w:type="dxa"/>
          </w:tcPr>
          <w:p w:rsidR="009A309B" w:rsidRDefault="009A309B" w:rsidP="00840F00">
            <w:pPr>
              <w:spacing w:before="0" w:after="0" w:line="240" w:lineRule="auto"/>
              <w:rPr>
                <w:rFonts w:ascii="Franklin Gothic Book" w:hAnsi="Franklin Gothic Book"/>
                <w:sz w:val="17"/>
                <w:szCs w:val="17"/>
              </w:rPr>
            </w:pPr>
            <w:r w:rsidRPr="007F54B5">
              <w:rPr>
                <w:rFonts w:ascii="Franklin Gothic Book" w:hAnsi="Franklin Gothic Book"/>
                <w:sz w:val="17"/>
                <w:szCs w:val="17"/>
              </w:rPr>
              <w:t xml:space="preserve">Under-delivery of </w:t>
            </w:r>
            <w:r w:rsidR="001729E2">
              <w:rPr>
                <w:rFonts w:ascii="Franklin Gothic Book" w:hAnsi="Franklin Gothic Book"/>
                <w:sz w:val="17"/>
                <w:szCs w:val="17"/>
              </w:rPr>
              <w:t>Gender and Social Inclusion</w:t>
            </w:r>
            <w:r w:rsidR="001729E2" w:rsidRPr="007F54B5">
              <w:rPr>
                <w:rFonts w:ascii="Franklin Gothic Book" w:hAnsi="Franklin Gothic Book"/>
                <w:sz w:val="17"/>
                <w:szCs w:val="17"/>
              </w:rPr>
              <w:t xml:space="preserve"> </w:t>
            </w:r>
            <w:r w:rsidR="00840F00">
              <w:rPr>
                <w:rFonts w:ascii="Franklin Gothic Book" w:hAnsi="Franklin Gothic Book"/>
                <w:sz w:val="17"/>
                <w:szCs w:val="17"/>
              </w:rPr>
              <w:t xml:space="preserve">(GESI) </w:t>
            </w:r>
            <w:r w:rsidRPr="007F54B5">
              <w:rPr>
                <w:rFonts w:ascii="Franklin Gothic Book" w:hAnsi="Franklin Gothic Book"/>
                <w:sz w:val="17"/>
                <w:szCs w:val="17"/>
              </w:rPr>
              <w:t>results and breach of environmental and social safeguards</w:t>
            </w:r>
            <w:r>
              <w:rPr>
                <w:rFonts w:ascii="Franklin Gothic Book" w:hAnsi="Franklin Gothic Book"/>
                <w:sz w:val="17"/>
                <w:szCs w:val="17"/>
              </w:rPr>
              <w:t>.</w:t>
            </w:r>
          </w:p>
          <w:p w:rsidR="009A309B" w:rsidRPr="00A71DF2" w:rsidRDefault="009A309B" w:rsidP="00C82F53">
            <w:pPr>
              <w:spacing w:before="0" w:after="0" w:line="240" w:lineRule="auto"/>
              <w:rPr>
                <w:rFonts w:ascii="Franklin Gothic Book" w:hAnsi="Franklin Gothic Book"/>
                <w:b/>
                <w:sz w:val="17"/>
                <w:szCs w:val="17"/>
              </w:rPr>
            </w:pPr>
            <w:r w:rsidRPr="00A71DF2">
              <w:rPr>
                <w:rFonts w:ascii="Franklin Gothic Book" w:hAnsi="Franklin Gothic Book"/>
                <w:b/>
                <w:sz w:val="17"/>
                <w:szCs w:val="17"/>
              </w:rPr>
              <w:t>Risk Rating</w:t>
            </w:r>
            <w:r>
              <w:rPr>
                <w:rFonts w:ascii="Franklin Gothic Book" w:hAnsi="Franklin Gothic Book"/>
                <w:b/>
                <w:sz w:val="17"/>
                <w:szCs w:val="17"/>
              </w:rPr>
              <w:t>: Medium</w:t>
            </w:r>
          </w:p>
          <w:p w:rsidR="009A309B" w:rsidRPr="007F54B5" w:rsidRDefault="007752EE" w:rsidP="00C82F53">
            <w:pPr>
              <w:spacing w:before="0" w:after="0" w:line="240" w:lineRule="auto"/>
              <w:rPr>
                <w:rFonts w:ascii="Franklin Gothic Book" w:hAnsi="Franklin Gothic Book"/>
                <w:b/>
                <w:sz w:val="17"/>
                <w:szCs w:val="17"/>
              </w:rPr>
            </w:pPr>
            <w:r>
              <w:rPr>
                <w:rFonts w:ascii="Franklin Gothic Book" w:hAnsi="Franklin Gothic Book"/>
                <w:b/>
                <w:sz w:val="17"/>
                <w:szCs w:val="17"/>
              </w:rPr>
              <w:t xml:space="preserve">Is risk in </w:t>
            </w:r>
            <w:r w:rsidR="009A309B" w:rsidRPr="00A71DF2">
              <w:rPr>
                <w:rFonts w:ascii="Franklin Gothic Book" w:hAnsi="Franklin Gothic Book"/>
                <w:b/>
                <w:sz w:val="17"/>
                <w:szCs w:val="17"/>
              </w:rPr>
              <w:t>Post’s Risk Register</w:t>
            </w:r>
            <w:r w:rsidR="009A309B">
              <w:rPr>
                <w:rFonts w:ascii="Franklin Gothic Book" w:hAnsi="Franklin Gothic Book"/>
                <w:b/>
                <w:sz w:val="17"/>
                <w:szCs w:val="17"/>
              </w:rPr>
              <w:t>: Yes</w:t>
            </w:r>
          </w:p>
        </w:tc>
        <w:tc>
          <w:tcPr>
            <w:tcW w:w="4111" w:type="dxa"/>
          </w:tcPr>
          <w:p w:rsidR="009A309B" w:rsidRPr="009A309B" w:rsidRDefault="009A309B" w:rsidP="009A309B">
            <w:pPr>
              <w:pStyle w:val="ListParagraph"/>
              <w:numPr>
                <w:ilvl w:val="0"/>
                <w:numId w:val="41"/>
              </w:numPr>
              <w:ind w:left="46" w:hanging="107"/>
              <w:rPr>
                <w:rFonts w:ascii="Franklin Gothic Book" w:hAnsi="Franklin Gothic Book"/>
                <w:color w:val="495965" w:themeColor="text2"/>
                <w:sz w:val="17"/>
                <w:szCs w:val="17"/>
              </w:rPr>
            </w:pPr>
            <w:r w:rsidRPr="009A309B">
              <w:rPr>
                <w:rFonts w:ascii="Franklin Gothic Book" w:hAnsi="Franklin Gothic Book"/>
                <w:color w:val="495965" w:themeColor="text2"/>
                <w:sz w:val="17"/>
                <w:szCs w:val="17"/>
              </w:rPr>
              <w:t>Do no harm by seeking to protect rights, health, safety and livelihoods of all people</w:t>
            </w:r>
          </w:p>
          <w:p w:rsidR="009A309B" w:rsidRPr="009A309B" w:rsidRDefault="009A309B" w:rsidP="009A309B">
            <w:pPr>
              <w:pStyle w:val="ListParagraph"/>
              <w:numPr>
                <w:ilvl w:val="0"/>
                <w:numId w:val="41"/>
              </w:numPr>
              <w:ind w:left="46" w:hanging="107"/>
              <w:rPr>
                <w:rFonts w:ascii="Franklin Gothic Book" w:hAnsi="Franklin Gothic Book"/>
                <w:color w:val="495965" w:themeColor="text2"/>
                <w:sz w:val="17"/>
                <w:szCs w:val="17"/>
              </w:rPr>
            </w:pPr>
            <w:r w:rsidRPr="009A309B">
              <w:rPr>
                <w:rFonts w:ascii="Franklin Gothic Book" w:hAnsi="Franklin Gothic Book"/>
                <w:color w:val="495965" w:themeColor="text2"/>
                <w:sz w:val="17"/>
                <w:szCs w:val="17"/>
              </w:rPr>
              <w:t>Assess &amp; manage social and environmental impacts</w:t>
            </w:r>
          </w:p>
          <w:p w:rsidR="009A309B" w:rsidRPr="009A309B" w:rsidRDefault="009A309B" w:rsidP="009A309B">
            <w:pPr>
              <w:pStyle w:val="ListParagraph"/>
              <w:numPr>
                <w:ilvl w:val="0"/>
                <w:numId w:val="41"/>
              </w:numPr>
              <w:ind w:left="46" w:hanging="107"/>
              <w:rPr>
                <w:rFonts w:ascii="Franklin Gothic Book" w:hAnsi="Franklin Gothic Book"/>
                <w:color w:val="495965" w:themeColor="text2"/>
                <w:sz w:val="17"/>
                <w:szCs w:val="17"/>
              </w:rPr>
            </w:pPr>
            <w:r w:rsidRPr="009A309B">
              <w:rPr>
                <w:rFonts w:ascii="Franklin Gothic Book" w:hAnsi="Franklin Gothic Book"/>
                <w:color w:val="495965" w:themeColor="text2"/>
                <w:sz w:val="17"/>
                <w:szCs w:val="17"/>
              </w:rPr>
              <w:t xml:space="preserve">Comply with </w:t>
            </w:r>
            <w:r w:rsidR="00EB1AA1">
              <w:rPr>
                <w:rFonts w:ascii="Franklin Gothic Book" w:hAnsi="Franklin Gothic Book"/>
                <w:color w:val="495965" w:themeColor="text2"/>
                <w:sz w:val="17"/>
                <w:szCs w:val="17"/>
              </w:rPr>
              <w:t>Vanuatu</w:t>
            </w:r>
            <w:r w:rsidR="00EB1AA1" w:rsidRPr="009A309B">
              <w:rPr>
                <w:rFonts w:ascii="Franklin Gothic Book" w:hAnsi="Franklin Gothic Book"/>
                <w:color w:val="495965" w:themeColor="text2"/>
                <w:sz w:val="17"/>
                <w:szCs w:val="17"/>
              </w:rPr>
              <w:t xml:space="preserve"> </w:t>
            </w:r>
            <w:r w:rsidRPr="009A309B">
              <w:rPr>
                <w:rFonts w:ascii="Franklin Gothic Book" w:hAnsi="Franklin Gothic Book"/>
                <w:color w:val="495965" w:themeColor="text2"/>
                <w:sz w:val="17"/>
                <w:szCs w:val="17"/>
              </w:rPr>
              <w:t>safeguard laws and policies</w:t>
            </w:r>
          </w:p>
          <w:p w:rsidR="009A309B" w:rsidRPr="007F54B5" w:rsidRDefault="009A309B" w:rsidP="007F54B5">
            <w:pPr>
              <w:pStyle w:val="ListParagraph"/>
              <w:numPr>
                <w:ilvl w:val="0"/>
                <w:numId w:val="41"/>
              </w:numPr>
              <w:ind w:left="31" w:hanging="122"/>
              <w:rPr>
                <w:rFonts w:ascii="Franklin Gothic Book" w:hAnsi="Franklin Gothic Book"/>
                <w:b/>
                <w:sz w:val="17"/>
                <w:szCs w:val="17"/>
              </w:rPr>
            </w:pPr>
            <w:r w:rsidRPr="007F54B5">
              <w:rPr>
                <w:rFonts w:ascii="Franklin Gothic Book" w:hAnsi="Franklin Gothic Book"/>
                <w:color w:val="495965" w:themeColor="text2"/>
                <w:sz w:val="17"/>
                <w:szCs w:val="17"/>
              </w:rPr>
              <w:t xml:space="preserve">Implement child protection policies </w:t>
            </w:r>
          </w:p>
        </w:tc>
        <w:tc>
          <w:tcPr>
            <w:tcW w:w="3260" w:type="dxa"/>
          </w:tcPr>
          <w:p w:rsidR="009A309B" w:rsidRPr="009A309B" w:rsidRDefault="009A309B" w:rsidP="009A309B">
            <w:pPr>
              <w:pStyle w:val="ListParagraph"/>
              <w:numPr>
                <w:ilvl w:val="0"/>
                <w:numId w:val="41"/>
              </w:numPr>
              <w:ind w:left="31" w:hanging="122"/>
              <w:rPr>
                <w:rFonts w:ascii="Franklin Gothic Book" w:hAnsi="Franklin Gothic Book"/>
                <w:color w:val="495965" w:themeColor="text2"/>
                <w:sz w:val="17"/>
                <w:szCs w:val="17"/>
              </w:rPr>
            </w:pPr>
            <w:r w:rsidRPr="009A309B">
              <w:rPr>
                <w:rFonts w:ascii="Franklin Gothic Book" w:hAnsi="Franklin Gothic Book"/>
                <w:color w:val="495965" w:themeColor="text2"/>
                <w:sz w:val="17"/>
                <w:szCs w:val="17"/>
              </w:rPr>
              <w:t>Engage partners in safeguards and</w:t>
            </w:r>
            <w:r w:rsidR="00EB1AA1">
              <w:rPr>
                <w:rFonts w:ascii="Franklin Gothic Book" w:hAnsi="Franklin Gothic Book"/>
                <w:color w:val="495965" w:themeColor="text2"/>
                <w:sz w:val="17"/>
                <w:szCs w:val="17"/>
              </w:rPr>
              <w:t xml:space="preserve"> G</w:t>
            </w:r>
            <w:r w:rsidR="00840F00">
              <w:rPr>
                <w:rFonts w:ascii="Franklin Gothic Book" w:hAnsi="Franklin Gothic Book"/>
                <w:color w:val="495965" w:themeColor="text2"/>
                <w:sz w:val="17"/>
                <w:szCs w:val="17"/>
              </w:rPr>
              <w:t>ESI</w:t>
            </w:r>
            <w:r w:rsidRPr="009A309B">
              <w:rPr>
                <w:rFonts w:ascii="Franklin Gothic Book" w:hAnsi="Franklin Gothic Book"/>
                <w:color w:val="495965" w:themeColor="text2"/>
                <w:sz w:val="17"/>
                <w:szCs w:val="17"/>
              </w:rPr>
              <w:t xml:space="preserve"> discussions to facilitate change</w:t>
            </w:r>
          </w:p>
          <w:p w:rsidR="009A309B" w:rsidRPr="007F54B5" w:rsidRDefault="009A309B" w:rsidP="007F54B5">
            <w:pPr>
              <w:pStyle w:val="ListParagraph"/>
              <w:numPr>
                <w:ilvl w:val="0"/>
                <w:numId w:val="41"/>
              </w:numPr>
              <w:ind w:left="31" w:hanging="122"/>
              <w:rPr>
                <w:rFonts w:ascii="Franklin Gothic Book" w:hAnsi="Franklin Gothic Book"/>
                <w:b/>
                <w:sz w:val="17"/>
                <w:szCs w:val="17"/>
              </w:rPr>
            </w:pPr>
            <w:r w:rsidRPr="007F54B5">
              <w:rPr>
                <w:rFonts w:ascii="Franklin Gothic Book" w:hAnsi="Franklin Gothic Book"/>
                <w:color w:val="495965" w:themeColor="text2"/>
                <w:sz w:val="17"/>
                <w:szCs w:val="17"/>
              </w:rPr>
              <w:t xml:space="preserve">Identify opportunities to work with </w:t>
            </w:r>
            <w:r w:rsidR="00EB1AA1" w:rsidRPr="007F54B5">
              <w:rPr>
                <w:rFonts w:ascii="Franklin Gothic Book" w:hAnsi="Franklin Gothic Book"/>
                <w:color w:val="495965" w:themeColor="text2"/>
                <w:sz w:val="17"/>
                <w:szCs w:val="17"/>
              </w:rPr>
              <w:t>G</w:t>
            </w:r>
            <w:r w:rsidR="00EB1AA1">
              <w:rPr>
                <w:rFonts w:ascii="Franklin Gothic Book" w:hAnsi="Franklin Gothic Book"/>
                <w:color w:val="495965" w:themeColor="text2"/>
                <w:sz w:val="17"/>
                <w:szCs w:val="17"/>
              </w:rPr>
              <w:t>o</w:t>
            </w:r>
            <w:r w:rsidR="00207232">
              <w:rPr>
                <w:rFonts w:ascii="Franklin Gothic Book" w:hAnsi="Franklin Gothic Book"/>
                <w:color w:val="495965" w:themeColor="text2"/>
                <w:sz w:val="17"/>
                <w:szCs w:val="17"/>
              </w:rPr>
              <w:t>V</w:t>
            </w:r>
            <w:r w:rsidR="00EB1AA1">
              <w:rPr>
                <w:rFonts w:ascii="Franklin Gothic Book" w:hAnsi="Franklin Gothic Book"/>
                <w:color w:val="495965" w:themeColor="text2"/>
                <w:sz w:val="17"/>
                <w:szCs w:val="17"/>
              </w:rPr>
              <w:t xml:space="preserve"> </w:t>
            </w:r>
            <w:r w:rsidR="00EB1AA1" w:rsidRPr="007F54B5">
              <w:rPr>
                <w:rFonts w:ascii="Franklin Gothic Book" w:hAnsi="Franklin Gothic Book"/>
                <w:color w:val="495965" w:themeColor="text2"/>
                <w:sz w:val="17"/>
                <w:szCs w:val="17"/>
              </w:rPr>
              <w:t xml:space="preserve"> </w:t>
            </w:r>
            <w:r w:rsidRPr="007F54B5">
              <w:rPr>
                <w:rFonts w:ascii="Franklin Gothic Book" w:hAnsi="Franklin Gothic Book"/>
                <w:color w:val="495965" w:themeColor="text2"/>
                <w:sz w:val="17"/>
                <w:szCs w:val="17"/>
              </w:rPr>
              <w:t>on environmental protection standards</w:t>
            </w:r>
          </w:p>
          <w:p w:rsidR="007F54B5" w:rsidRPr="007F54B5" w:rsidRDefault="007F54B5" w:rsidP="009A5CB7">
            <w:pPr>
              <w:pStyle w:val="ListParagraph"/>
              <w:numPr>
                <w:ilvl w:val="0"/>
                <w:numId w:val="41"/>
              </w:numPr>
              <w:ind w:left="31" w:hanging="122"/>
              <w:rPr>
                <w:rFonts w:ascii="Franklin Gothic Book" w:hAnsi="Franklin Gothic Book"/>
                <w:b/>
                <w:sz w:val="17"/>
                <w:szCs w:val="17"/>
              </w:rPr>
            </w:pPr>
            <w:r>
              <w:rPr>
                <w:rFonts w:ascii="Franklin Gothic Book" w:hAnsi="Franklin Gothic Book"/>
                <w:color w:val="495965" w:themeColor="text2"/>
                <w:sz w:val="17"/>
                <w:szCs w:val="17"/>
              </w:rPr>
              <w:t xml:space="preserve">Consider </w:t>
            </w:r>
            <w:r w:rsidR="009A5CB7">
              <w:rPr>
                <w:rFonts w:ascii="Franklin Gothic Book" w:hAnsi="Franklin Gothic Book"/>
                <w:color w:val="495965" w:themeColor="text2"/>
                <w:sz w:val="17"/>
                <w:szCs w:val="17"/>
              </w:rPr>
              <w:t xml:space="preserve">GESI </w:t>
            </w:r>
            <w:r>
              <w:rPr>
                <w:rFonts w:ascii="Franklin Gothic Book" w:hAnsi="Franklin Gothic Book"/>
                <w:color w:val="495965" w:themeColor="text2"/>
                <w:sz w:val="17"/>
                <w:szCs w:val="17"/>
              </w:rPr>
              <w:t xml:space="preserve">adviser </w:t>
            </w:r>
            <w:r w:rsidR="00EB1AA1">
              <w:rPr>
                <w:rFonts w:ascii="Franklin Gothic Book" w:hAnsi="Franklin Gothic Book"/>
                <w:color w:val="495965" w:themeColor="text2"/>
                <w:sz w:val="17"/>
                <w:szCs w:val="17"/>
              </w:rPr>
              <w:t xml:space="preserve">at </w:t>
            </w:r>
            <w:r w:rsidR="009A5CB7">
              <w:rPr>
                <w:rFonts w:ascii="Franklin Gothic Book" w:hAnsi="Franklin Gothic Book"/>
                <w:color w:val="495965" w:themeColor="text2"/>
                <w:sz w:val="17"/>
                <w:szCs w:val="17"/>
              </w:rPr>
              <w:t>AHC.</w:t>
            </w:r>
          </w:p>
        </w:tc>
      </w:tr>
    </w:tbl>
    <w:p w:rsidR="005B5769" w:rsidRDefault="005B5769" w:rsidP="00BB648A">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 xml:space="preserve">Management </w:t>
      </w:r>
      <w:r w:rsidR="00E65105">
        <w:rPr>
          <w:rFonts w:asciiTheme="majorHAnsi" w:eastAsiaTheme="majorEastAsia" w:hAnsiTheme="majorHAnsi" w:cstheme="majorBidi"/>
          <w:caps/>
          <w:color w:val="495965" w:themeColor="text2"/>
          <w:sz w:val="38"/>
          <w:szCs w:val="26"/>
          <w:lang w:val="en-GB" w:eastAsia="en-US"/>
        </w:rPr>
        <w:t>actions</w:t>
      </w:r>
    </w:p>
    <w:p w:rsidR="00207232" w:rsidRPr="00C03D8F" w:rsidRDefault="00207232" w:rsidP="00C82F53">
      <w:pPr>
        <w:suppressAutoHyphens w:val="0"/>
        <w:autoSpaceDE w:val="0"/>
        <w:autoSpaceDN w:val="0"/>
        <w:adjustRightInd w:val="0"/>
        <w:spacing w:before="0" w:after="0" w:line="240" w:lineRule="auto"/>
        <w:rPr>
          <w:rFonts w:ascii="Calibri Light" w:hAnsi="Calibri Light" w:cs="Arial"/>
          <w:color w:val="auto"/>
        </w:rPr>
      </w:pPr>
      <w:r w:rsidRPr="00C03D8F">
        <w:rPr>
          <w:rFonts w:ascii="Calibri Light" w:hAnsi="Calibri Light" w:cs="Arial"/>
          <w:color w:val="auto"/>
        </w:rPr>
        <w:t>Good</w:t>
      </w:r>
      <w:r w:rsidRPr="00C03D8F">
        <w:rPr>
          <w:rFonts w:ascii="Calibri Light" w:hAnsi="Calibri Light"/>
          <w:color w:val="auto"/>
        </w:rPr>
        <w:t xml:space="preserve"> progress </w:t>
      </w:r>
      <w:r w:rsidRPr="00C03D8F">
        <w:rPr>
          <w:rFonts w:ascii="Calibri Light" w:hAnsi="Calibri Light" w:cs="Arial"/>
          <w:color w:val="auto"/>
        </w:rPr>
        <w:t xml:space="preserve">was </w:t>
      </w:r>
      <w:r w:rsidRPr="00C03D8F">
        <w:rPr>
          <w:rFonts w:ascii="Calibri Light" w:hAnsi="Calibri Light"/>
          <w:color w:val="auto"/>
        </w:rPr>
        <w:t xml:space="preserve">made </w:t>
      </w:r>
      <w:r w:rsidRPr="00C03D8F">
        <w:rPr>
          <w:rFonts w:ascii="Calibri Light" w:hAnsi="Calibri Light" w:cs="Arial"/>
          <w:color w:val="auto"/>
        </w:rPr>
        <w:t xml:space="preserve">against </w:t>
      </w:r>
      <w:r w:rsidRPr="00C03D8F">
        <w:rPr>
          <w:rFonts w:ascii="Calibri Light" w:hAnsi="Calibri Light"/>
          <w:color w:val="auto"/>
        </w:rPr>
        <w:t>the management actions identified in the</w:t>
      </w:r>
      <w:r w:rsidRPr="00C03D8F">
        <w:rPr>
          <w:rFonts w:ascii="Calibri Light" w:hAnsi="Calibri Light" w:cs="Arial"/>
          <w:color w:val="auto"/>
        </w:rPr>
        <w:t xml:space="preserve"> 2017-18</w:t>
      </w:r>
      <w:r w:rsidRPr="00C03D8F">
        <w:rPr>
          <w:rFonts w:ascii="Calibri Light" w:hAnsi="Calibri Light"/>
          <w:color w:val="auto"/>
        </w:rPr>
        <w:t xml:space="preserve"> APPR</w:t>
      </w:r>
      <w:r w:rsidRPr="00C03D8F">
        <w:rPr>
          <w:rFonts w:ascii="Calibri Light" w:hAnsi="Calibri Light" w:cs="Arial"/>
          <w:color w:val="auto"/>
        </w:rPr>
        <w:t xml:space="preserve"> with all</w:t>
      </w:r>
      <w:r w:rsidRPr="00C03D8F">
        <w:rPr>
          <w:rFonts w:ascii="Calibri Light" w:hAnsi="Calibri Light"/>
          <w:color w:val="auto"/>
        </w:rPr>
        <w:t xml:space="preserve"> actions </w:t>
      </w:r>
      <w:r w:rsidRPr="00C03D8F">
        <w:rPr>
          <w:rFonts w:ascii="Calibri Light" w:hAnsi="Calibri Light" w:cs="Arial"/>
          <w:color w:val="auto"/>
        </w:rPr>
        <w:t xml:space="preserve">completed during </w:t>
      </w:r>
      <w:r w:rsidRPr="00C03D8F">
        <w:rPr>
          <w:rFonts w:ascii="Calibri Light" w:hAnsi="Calibri Light"/>
          <w:color w:val="auto"/>
        </w:rPr>
        <w:t xml:space="preserve">the </w:t>
      </w:r>
      <w:r w:rsidRPr="00C03D8F">
        <w:rPr>
          <w:rFonts w:ascii="Calibri Light" w:hAnsi="Calibri Light" w:cs="Arial"/>
          <w:color w:val="auto"/>
        </w:rPr>
        <w:t>period (see</w:t>
      </w:r>
      <w:r w:rsidRPr="00C03D8F">
        <w:rPr>
          <w:rFonts w:ascii="Calibri Light" w:hAnsi="Calibri Light"/>
          <w:color w:val="auto"/>
        </w:rPr>
        <w:t xml:space="preserve"> Annex A). </w:t>
      </w:r>
      <w:r w:rsidRPr="00C03D8F">
        <w:rPr>
          <w:rFonts w:ascii="Calibri Light" w:hAnsi="Calibri Light" w:cs="Arial"/>
          <w:color w:val="auto"/>
        </w:rPr>
        <w:t>Management actions for 2019-20 are as follows:</w:t>
      </w:r>
    </w:p>
    <w:p w:rsidR="00207232" w:rsidRPr="00C03D8F" w:rsidRDefault="00324D1E" w:rsidP="00207232">
      <w:pPr>
        <w:numPr>
          <w:ilvl w:val="0"/>
          <w:numId w:val="46"/>
        </w:numPr>
        <w:suppressAutoHyphens w:val="0"/>
        <w:autoSpaceDE w:val="0"/>
        <w:autoSpaceDN w:val="0"/>
        <w:adjustRightInd w:val="0"/>
        <w:spacing w:before="0" w:after="0" w:line="240" w:lineRule="auto"/>
        <w:ind w:left="284" w:hanging="284"/>
        <w:rPr>
          <w:rFonts w:ascii="Calibri Light" w:hAnsi="Calibri Light" w:cs="Arial"/>
          <w:color w:val="auto"/>
        </w:rPr>
      </w:pPr>
      <w:r w:rsidRPr="00C03D8F">
        <w:rPr>
          <w:rFonts w:ascii="Calibri Light" w:hAnsi="Calibri Light" w:cs="Arial"/>
          <w:color w:val="auto"/>
        </w:rPr>
        <w:t>DFAT Canberra and Australian High Commission</w:t>
      </w:r>
      <w:r w:rsidR="0078154C">
        <w:rPr>
          <w:rFonts w:ascii="Calibri Light" w:hAnsi="Calibri Light" w:cs="Arial"/>
          <w:color w:val="auto"/>
        </w:rPr>
        <w:t xml:space="preserve"> (AHC)</w:t>
      </w:r>
      <w:r w:rsidRPr="00C03D8F">
        <w:rPr>
          <w:rFonts w:ascii="Calibri Light" w:hAnsi="Calibri Light" w:cs="Arial"/>
          <w:color w:val="auto"/>
        </w:rPr>
        <w:t>, Vanuatu will d</w:t>
      </w:r>
      <w:r w:rsidR="00207232" w:rsidRPr="00C03D8F">
        <w:rPr>
          <w:rFonts w:ascii="Calibri Light" w:hAnsi="Calibri Light" w:cs="Arial"/>
          <w:color w:val="auto"/>
        </w:rPr>
        <w:t>evelop new overarching frameworks (AIP and APA) that</w:t>
      </w:r>
      <w:r w:rsidR="0071335B">
        <w:rPr>
          <w:rFonts w:ascii="Calibri Light" w:hAnsi="Calibri Light" w:cs="Arial"/>
          <w:color w:val="auto"/>
        </w:rPr>
        <w:t xml:space="preserve"> </w:t>
      </w:r>
      <w:r w:rsidR="00C03D8F">
        <w:rPr>
          <w:rFonts w:ascii="Calibri Light" w:hAnsi="Calibri Light" w:cs="Arial"/>
          <w:color w:val="auto"/>
        </w:rPr>
        <w:t xml:space="preserve">sets out </w:t>
      </w:r>
      <w:r w:rsidR="00207232" w:rsidRPr="00C03D8F">
        <w:rPr>
          <w:rFonts w:ascii="Calibri Light" w:hAnsi="Calibri Light" w:cs="Arial"/>
          <w:color w:val="auto"/>
        </w:rPr>
        <w:t>Australia’s development cooperation with Vanuatu</w:t>
      </w:r>
      <w:r w:rsidRPr="00C03D8F">
        <w:rPr>
          <w:rFonts w:ascii="Calibri Light" w:hAnsi="Calibri Light" w:cs="Arial"/>
          <w:color w:val="auto"/>
        </w:rPr>
        <w:t>. The Deputy High Commissioner</w:t>
      </w:r>
      <w:r w:rsidR="0078154C">
        <w:rPr>
          <w:rFonts w:ascii="Calibri Light" w:hAnsi="Calibri Light" w:cs="Arial"/>
          <w:color w:val="auto"/>
        </w:rPr>
        <w:t xml:space="preserve"> (DHOM)</w:t>
      </w:r>
      <w:r w:rsidRPr="00C03D8F">
        <w:rPr>
          <w:rFonts w:ascii="Calibri Light" w:hAnsi="Calibri Light" w:cs="Arial"/>
          <w:color w:val="auto"/>
        </w:rPr>
        <w:t xml:space="preserve"> will lead consultations </w:t>
      </w:r>
      <w:r w:rsidR="00C03D8F">
        <w:rPr>
          <w:rFonts w:ascii="Calibri Light" w:hAnsi="Calibri Light" w:cs="Arial"/>
          <w:color w:val="auto"/>
        </w:rPr>
        <w:t xml:space="preserve">in Vanuatu </w:t>
      </w:r>
      <w:r w:rsidR="007729A6" w:rsidRPr="00C03D8F">
        <w:rPr>
          <w:rFonts w:ascii="Calibri Light" w:hAnsi="Calibri Light" w:cs="Arial"/>
          <w:color w:val="auto"/>
        </w:rPr>
        <w:t xml:space="preserve">[AIP </w:t>
      </w:r>
      <w:r w:rsidR="0078154C">
        <w:rPr>
          <w:rFonts w:ascii="Calibri Light" w:hAnsi="Calibri Light" w:cs="Arial"/>
          <w:color w:val="auto"/>
        </w:rPr>
        <w:t>-</w:t>
      </w:r>
      <w:r w:rsidR="00C03D8F">
        <w:rPr>
          <w:rFonts w:ascii="Calibri Light" w:hAnsi="Calibri Light" w:cs="Arial"/>
          <w:color w:val="auto"/>
        </w:rPr>
        <w:t xml:space="preserve"> </w:t>
      </w:r>
      <w:r w:rsidR="007729A6" w:rsidRPr="00C03D8F">
        <w:rPr>
          <w:rFonts w:ascii="Calibri Light" w:hAnsi="Calibri Light" w:cs="Arial"/>
          <w:color w:val="auto"/>
        </w:rPr>
        <w:t xml:space="preserve">December 2019, APA </w:t>
      </w:r>
      <w:r w:rsidR="0078154C">
        <w:rPr>
          <w:rFonts w:ascii="Calibri Light" w:hAnsi="Calibri Light" w:cs="Arial"/>
          <w:color w:val="auto"/>
        </w:rPr>
        <w:t>-</w:t>
      </w:r>
      <w:r w:rsidR="007729A6" w:rsidRPr="00C03D8F">
        <w:rPr>
          <w:rFonts w:ascii="Calibri Light" w:hAnsi="Calibri Light" w:cs="Arial"/>
          <w:color w:val="auto"/>
        </w:rPr>
        <w:t xml:space="preserve"> June </w:t>
      </w:r>
      <w:r w:rsidRPr="00C03D8F">
        <w:rPr>
          <w:rFonts w:ascii="Calibri Light" w:hAnsi="Calibri Light" w:cs="Arial"/>
          <w:color w:val="auto"/>
        </w:rPr>
        <w:t>2020</w:t>
      </w:r>
      <w:r w:rsidR="007729A6" w:rsidRPr="00C03D8F">
        <w:rPr>
          <w:rFonts w:ascii="Calibri Light" w:hAnsi="Calibri Light" w:cs="Arial"/>
          <w:color w:val="auto"/>
        </w:rPr>
        <w:t>]</w:t>
      </w:r>
      <w:r w:rsidR="00207232" w:rsidRPr="00C03D8F">
        <w:rPr>
          <w:rFonts w:ascii="Calibri Light" w:hAnsi="Calibri Light" w:cs="Arial"/>
          <w:color w:val="auto"/>
        </w:rPr>
        <w:t xml:space="preserve">. </w:t>
      </w:r>
    </w:p>
    <w:p w:rsidR="00207232" w:rsidRPr="00C03D8F" w:rsidRDefault="00A86DF5" w:rsidP="00207232">
      <w:pPr>
        <w:numPr>
          <w:ilvl w:val="0"/>
          <w:numId w:val="46"/>
        </w:numPr>
        <w:suppressAutoHyphens w:val="0"/>
        <w:autoSpaceDE w:val="0"/>
        <w:autoSpaceDN w:val="0"/>
        <w:adjustRightInd w:val="0"/>
        <w:spacing w:before="0" w:after="0" w:line="240" w:lineRule="auto"/>
        <w:ind w:left="284" w:hanging="284"/>
        <w:rPr>
          <w:rFonts w:ascii="Calibri Light" w:hAnsi="Calibri Light" w:cs="Arial"/>
          <w:color w:val="auto"/>
        </w:rPr>
      </w:pPr>
      <w:r w:rsidRPr="00C03D8F">
        <w:rPr>
          <w:rFonts w:ascii="Calibri Light" w:hAnsi="Calibri Light" w:cs="Arial"/>
          <w:color w:val="auto"/>
        </w:rPr>
        <w:t xml:space="preserve">DFAT Canberra and the </w:t>
      </w:r>
      <w:r w:rsidR="0078154C">
        <w:rPr>
          <w:rFonts w:ascii="Calibri Light" w:hAnsi="Calibri Light" w:cs="Arial"/>
          <w:color w:val="auto"/>
        </w:rPr>
        <w:t>AHC</w:t>
      </w:r>
      <w:r w:rsidRPr="00C03D8F">
        <w:rPr>
          <w:rFonts w:ascii="Calibri Light" w:hAnsi="Calibri Light" w:cs="Arial"/>
          <w:color w:val="auto"/>
        </w:rPr>
        <w:t xml:space="preserve"> will </w:t>
      </w:r>
      <w:r w:rsidR="00C03D8F">
        <w:rPr>
          <w:rFonts w:ascii="Calibri Light" w:hAnsi="Calibri Light" w:cs="Arial"/>
          <w:color w:val="auto"/>
        </w:rPr>
        <w:t xml:space="preserve">implement </w:t>
      </w:r>
      <w:r w:rsidR="00207232" w:rsidRPr="00C03D8F">
        <w:rPr>
          <w:rFonts w:ascii="Calibri Light" w:hAnsi="Calibri Light" w:cs="Arial"/>
          <w:color w:val="auto"/>
        </w:rPr>
        <w:t xml:space="preserve">new investments under the Pacific Step-up, including </w:t>
      </w:r>
      <w:r w:rsidRPr="00C03D8F">
        <w:rPr>
          <w:rFonts w:ascii="Calibri Light" w:hAnsi="Calibri Light" w:cs="Arial"/>
          <w:color w:val="auto"/>
        </w:rPr>
        <w:t>negotiating an MOU on secondary school scholarships [Dec 2019]</w:t>
      </w:r>
      <w:r w:rsidR="00C03D8F">
        <w:rPr>
          <w:rFonts w:ascii="Calibri Light" w:hAnsi="Calibri Light" w:cs="Arial"/>
          <w:color w:val="auto"/>
        </w:rPr>
        <w:t xml:space="preserve">; </w:t>
      </w:r>
      <w:r w:rsidR="0071335B">
        <w:rPr>
          <w:rFonts w:ascii="Calibri Light" w:hAnsi="Calibri Light" w:cs="Arial"/>
          <w:color w:val="auto"/>
        </w:rPr>
        <w:t>refin</w:t>
      </w:r>
      <w:r w:rsidR="00C03D8F">
        <w:rPr>
          <w:rFonts w:ascii="Calibri Light" w:hAnsi="Calibri Light" w:cs="Arial"/>
          <w:color w:val="auto"/>
        </w:rPr>
        <w:t xml:space="preserve">ing </w:t>
      </w:r>
      <w:r w:rsidRPr="00C03D8F">
        <w:rPr>
          <w:rFonts w:ascii="Calibri Light" w:hAnsi="Calibri Light" w:cs="Arial"/>
          <w:color w:val="auto"/>
        </w:rPr>
        <w:t xml:space="preserve">options for the </w:t>
      </w:r>
      <w:r w:rsidR="00207232" w:rsidRPr="00C03D8F">
        <w:rPr>
          <w:rFonts w:ascii="Calibri Light" w:hAnsi="Calibri Light" w:cs="Arial"/>
          <w:color w:val="auto"/>
        </w:rPr>
        <w:t xml:space="preserve">Australian Infrastructure Financing Facility for the Pacific </w:t>
      </w:r>
      <w:r w:rsidRPr="00C03D8F">
        <w:rPr>
          <w:rFonts w:ascii="Calibri Light" w:hAnsi="Calibri Light" w:cs="Arial"/>
          <w:color w:val="auto"/>
        </w:rPr>
        <w:t xml:space="preserve">[ongoing for 2019-20] </w:t>
      </w:r>
      <w:r w:rsidR="00207232" w:rsidRPr="00C03D8F">
        <w:rPr>
          <w:rFonts w:ascii="Calibri Light" w:hAnsi="Calibri Light" w:cs="Arial"/>
          <w:color w:val="auto"/>
        </w:rPr>
        <w:t xml:space="preserve">and </w:t>
      </w:r>
      <w:r w:rsidRPr="00C03D8F">
        <w:rPr>
          <w:rFonts w:ascii="Calibri Light" w:hAnsi="Calibri Light" w:cs="Arial"/>
          <w:color w:val="auto"/>
        </w:rPr>
        <w:t xml:space="preserve">increasing support for </w:t>
      </w:r>
      <w:r w:rsidR="00207232" w:rsidRPr="00C03D8F">
        <w:rPr>
          <w:rFonts w:ascii="Calibri Light" w:hAnsi="Calibri Light" w:cs="Arial"/>
          <w:color w:val="auto"/>
        </w:rPr>
        <w:t>labour mobility</w:t>
      </w:r>
      <w:r w:rsidR="009648E9">
        <w:rPr>
          <w:rFonts w:ascii="Calibri Light" w:hAnsi="Calibri Light" w:cs="Arial"/>
          <w:color w:val="auto"/>
        </w:rPr>
        <w:t xml:space="preserve"> and climate change</w:t>
      </w:r>
      <w:r w:rsidR="00324D1E" w:rsidRPr="00C03D8F">
        <w:rPr>
          <w:rFonts w:ascii="Calibri Light" w:hAnsi="Calibri Light" w:cs="Arial"/>
          <w:color w:val="auto"/>
        </w:rPr>
        <w:t xml:space="preserve"> [</w:t>
      </w:r>
      <w:r w:rsidR="004C29C1" w:rsidRPr="00C03D8F">
        <w:rPr>
          <w:rFonts w:ascii="Calibri Light" w:hAnsi="Calibri Light" w:cs="Arial"/>
          <w:color w:val="auto"/>
        </w:rPr>
        <w:t>o</w:t>
      </w:r>
      <w:r w:rsidR="00324D1E" w:rsidRPr="00C03D8F">
        <w:rPr>
          <w:rFonts w:ascii="Calibri Light" w:hAnsi="Calibri Light" w:cs="Arial"/>
          <w:color w:val="auto"/>
        </w:rPr>
        <w:t>ngoing for 2019-20]</w:t>
      </w:r>
      <w:r w:rsidR="00207232" w:rsidRPr="00C03D8F">
        <w:rPr>
          <w:rFonts w:ascii="Calibri Light" w:hAnsi="Calibri Light" w:cs="Arial"/>
          <w:color w:val="auto"/>
        </w:rPr>
        <w:t xml:space="preserve">. </w:t>
      </w:r>
    </w:p>
    <w:p w:rsidR="00A86DF5" w:rsidRPr="00C03D8F" w:rsidRDefault="00A86DF5" w:rsidP="00207232">
      <w:pPr>
        <w:numPr>
          <w:ilvl w:val="0"/>
          <w:numId w:val="46"/>
        </w:numPr>
        <w:suppressAutoHyphens w:val="0"/>
        <w:autoSpaceDE w:val="0"/>
        <w:autoSpaceDN w:val="0"/>
        <w:adjustRightInd w:val="0"/>
        <w:spacing w:before="0" w:after="0" w:line="240" w:lineRule="auto"/>
        <w:ind w:left="284" w:hanging="284"/>
        <w:rPr>
          <w:rFonts w:ascii="Calibri Light" w:hAnsi="Calibri Light" w:cs="Arial"/>
          <w:color w:val="auto"/>
        </w:rPr>
      </w:pPr>
      <w:r w:rsidRPr="00C03D8F">
        <w:rPr>
          <w:rFonts w:ascii="Calibri Light" w:hAnsi="Calibri Light" w:cs="Arial"/>
          <w:color w:val="auto"/>
        </w:rPr>
        <w:t>D</w:t>
      </w:r>
      <w:r w:rsidR="0078154C">
        <w:rPr>
          <w:rFonts w:ascii="Calibri Light" w:hAnsi="Calibri Light" w:cs="Arial"/>
          <w:color w:val="auto"/>
        </w:rPr>
        <w:t xml:space="preserve">HOM </w:t>
      </w:r>
      <w:r w:rsidRPr="00C03D8F">
        <w:rPr>
          <w:rFonts w:ascii="Calibri Light" w:hAnsi="Calibri Light" w:cs="Arial"/>
          <w:color w:val="auto"/>
        </w:rPr>
        <w:t xml:space="preserve">and First Secretary Health will </w:t>
      </w:r>
      <w:r w:rsidR="00C03D8F">
        <w:rPr>
          <w:rFonts w:ascii="Calibri Light" w:hAnsi="Calibri Light" w:cs="Arial"/>
          <w:color w:val="auto"/>
        </w:rPr>
        <w:t xml:space="preserve">provide close oversight to </w:t>
      </w:r>
      <w:r w:rsidRPr="00C03D8F">
        <w:rPr>
          <w:rFonts w:ascii="Calibri Light" w:hAnsi="Calibri Light" w:cs="Arial"/>
          <w:color w:val="auto"/>
        </w:rPr>
        <w:t xml:space="preserve">transition </w:t>
      </w:r>
      <w:r w:rsidR="00EF32D0" w:rsidRPr="00C03D8F">
        <w:rPr>
          <w:rFonts w:ascii="Calibri Light" w:hAnsi="Calibri Light" w:cs="Arial"/>
          <w:color w:val="auto"/>
        </w:rPr>
        <w:t xml:space="preserve">health investments </w:t>
      </w:r>
      <w:r w:rsidR="00C03D8F">
        <w:rPr>
          <w:rFonts w:ascii="Calibri Light" w:hAnsi="Calibri Light" w:cs="Arial"/>
          <w:color w:val="auto"/>
        </w:rPr>
        <w:t xml:space="preserve">to ensure new </w:t>
      </w:r>
      <w:r w:rsidR="00EF32D0" w:rsidRPr="00C03D8F">
        <w:rPr>
          <w:rFonts w:ascii="Calibri Light" w:hAnsi="Calibri Light" w:cs="Arial"/>
          <w:color w:val="auto"/>
        </w:rPr>
        <w:t xml:space="preserve">management arrangements are </w:t>
      </w:r>
      <w:r w:rsidR="00DC248A">
        <w:rPr>
          <w:rFonts w:ascii="Calibri Light" w:hAnsi="Calibri Light" w:cs="Arial"/>
          <w:color w:val="auto"/>
        </w:rPr>
        <w:t>effective</w:t>
      </w:r>
      <w:r w:rsidRPr="00C03D8F">
        <w:rPr>
          <w:rFonts w:ascii="Calibri Light" w:hAnsi="Calibri Light" w:cs="Arial"/>
          <w:color w:val="auto"/>
        </w:rPr>
        <w:t xml:space="preserve"> [2019-20]</w:t>
      </w:r>
      <w:r w:rsidR="00C03D8F">
        <w:rPr>
          <w:rFonts w:ascii="Calibri Light" w:hAnsi="Calibri Light" w:cs="Arial"/>
          <w:color w:val="auto"/>
        </w:rPr>
        <w:t>.</w:t>
      </w:r>
    </w:p>
    <w:p w:rsidR="00207232" w:rsidRPr="00C03D8F" w:rsidRDefault="00324D1E" w:rsidP="00207232">
      <w:pPr>
        <w:numPr>
          <w:ilvl w:val="0"/>
          <w:numId w:val="46"/>
        </w:numPr>
        <w:suppressAutoHyphens w:val="0"/>
        <w:autoSpaceDE w:val="0"/>
        <w:autoSpaceDN w:val="0"/>
        <w:adjustRightInd w:val="0"/>
        <w:spacing w:before="0" w:after="0" w:line="240" w:lineRule="auto"/>
        <w:ind w:left="284" w:hanging="284"/>
        <w:rPr>
          <w:rFonts w:ascii="Calibri Light" w:hAnsi="Calibri Light" w:cs="Arial"/>
          <w:color w:val="auto"/>
        </w:rPr>
      </w:pPr>
      <w:r w:rsidRPr="00C03D8F">
        <w:rPr>
          <w:rFonts w:ascii="Calibri Light" w:hAnsi="Calibri Light" w:cs="Arial"/>
          <w:color w:val="auto"/>
        </w:rPr>
        <w:t xml:space="preserve">Senior Program Manager, Recovery </w:t>
      </w:r>
      <w:r w:rsidR="00C03D8F">
        <w:rPr>
          <w:rFonts w:ascii="Calibri Light" w:hAnsi="Calibri Light" w:cs="Arial"/>
          <w:color w:val="auto"/>
        </w:rPr>
        <w:t xml:space="preserve">will </w:t>
      </w:r>
      <w:r w:rsidRPr="00C03D8F">
        <w:rPr>
          <w:rFonts w:ascii="Calibri Light" w:hAnsi="Calibri Light" w:cs="Arial"/>
          <w:color w:val="auto"/>
        </w:rPr>
        <w:t>s</w:t>
      </w:r>
      <w:r w:rsidR="00207232" w:rsidRPr="00C03D8F">
        <w:rPr>
          <w:rFonts w:ascii="Calibri Light" w:hAnsi="Calibri Light" w:cs="Arial"/>
          <w:color w:val="auto"/>
        </w:rPr>
        <w:t>upport Government of Vanuatu disaster response and recovery efforts</w:t>
      </w:r>
      <w:r w:rsidRPr="00C03D8F">
        <w:rPr>
          <w:rFonts w:ascii="Calibri Light" w:hAnsi="Calibri Light" w:cs="Arial"/>
          <w:color w:val="auto"/>
        </w:rPr>
        <w:t xml:space="preserve">, including management of Ambae </w:t>
      </w:r>
      <w:r w:rsidR="00A86DF5" w:rsidRPr="00C03D8F">
        <w:rPr>
          <w:rFonts w:ascii="Calibri Light" w:hAnsi="Calibri Light" w:cs="Arial"/>
          <w:color w:val="auto"/>
        </w:rPr>
        <w:t>r</w:t>
      </w:r>
      <w:r w:rsidRPr="00C03D8F">
        <w:rPr>
          <w:rFonts w:ascii="Calibri Light" w:hAnsi="Calibri Light" w:cs="Arial"/>
          <w:color w:val="auto"/>
        </w:rPr>
        <w:t xml:space="preserve">ecovery </w:t>
      </w:r>
      <w:r w:rsidR="00EF32D0" w:rsidRPr="00C03D8F">
        <w:rPr>
          <w:rFonts w:ascii="Calibri Light" w:hAnsi="Calibri Light" w:cs="Arial"/>
          <w:color w:val="auto"/>
        </w:rPr>
        <w:t xml:space="preserve">efforts </w:t>
      </w:r>
      <w:r w:rsidR="00A86DF5" w:rsidRPr="00C03D8F">
        <w:rPr>
          <w:rFonts w:ascii="Calibri Light" w:hAnsi="Calibri Light" w:cs="Arial"/>
          <w:color w:val="auto"/>
        </w:rPr>
        <w:t>[</w:t>
      </w:r>
      <w:r w:rsidRPr="00C03D8F">
        <w:rPr>
          <w:rFonts w:ascii="Calibri Light" w:hAnsi="Calibri Light" w:cs="Arial"/>
          <w:color w:val="auto"/>
        </w:rPr>
        <w:t>2019</w:t>
      </w:r>
      <w:r w:rsidR="00A86DF5" w:rsidRPr="00C03D8F">
        <w:rPr>
          <w:rFonts w:ascii="Calibri Light" w:hAnsi="Calibri Light" w:cs="Arial"/>
          <w:color w:val="auto"/>
        </w:rPr>
        <w:t>-ongoing]</w:t>
      </w:r>
      <w:r w:rsidR="00207232" w:rsidRPr="00C03D8F">
        <w:rPr>
          <w:rFonts w:ascii="Calibri Light" w:hAnsi="Calibri Light" w:cs="Arial"/>
          <w:color w:val="auto"/>
        </w:rPr>
        <w:t>.</w:t>
      </w:r>
      <w:r w:rsidRPr="00C03D8F">
        <w:rPr>
          <w:rFonts w:ascii="Calibri Light" w:hAnsi="Calibri Light" w:cs="Arial"/>
          <w:color w:val="auto"/>
        </w:rPr>
        <w:t xml:space="preserve"> </w:t>
      </w:r>
    </w:p>
    <w:p w:rsidR="007729A6" w:rsidRPr="00C03D8F" w:rsidRDefault="00EF32D0" w:rsidP="007729A6">
      <w:pPr>
        <w:numPr>
          <w:ilvl w:val="0"/>
          <w:numId w:val="46"/>
        </w:numPr>
        <w:suppressAutoHyphens w:val="0"/>
        <w:autoSpaceDE w:val="0"/>
        <w:autoSpaceDN w:val="0"/>
        <w:adjustRightInd w:val="0"/>
        <w:spacing w:before="0" w:after="0" w:line="240" w:lineRule="auto"/>
        <w:ind w:left="284" w:hanging="284"/>
        <w:rPr>
          <w:rFonts w:ascii="Calibri Light" w:hAnsi="Calibri Light" w:cs="Arial"/>
          <w:color w:val="auto"/>
        </w:rPr>
      </w:pPr>
      <w:r w:rsidRPr="00C03D8F">
        <w:rPr>
          <w:rFonts w:ascii="Calibri Light" w:hAnsi="Calibri Light" w:cs="Arial"/>
          <w:color w:val="auto"/>
        </w:rPr>
        <w:t xml:space="preserve">The </w:t>
      </w:r>
      <w:r w:rsidR="00324D1E" w:rsidRPr="00C03D8F">
        <w:rPr>
          <w:rFonts w:ascii="Calibri Light" w:hAnsi="Calibri Light" w:cs="Arial"/>
          <w:color w:val="auto"/>
        </w:rPr>
        <w:t>D</w:t>
      </w:r>
      <w:r w:rsidR="0078154C">
        <w:rPr>
          <w:rFonts w:ascii="Calibri Light" w:hAnsi="Calibri Light" w:cs="Arial"/>
          <w:color w:val="auto"/>
        </w:rPr>
        <w:t>HOM</w:t>
      </w:r>
      <w:r w:rsidR="00324D1E" w:rsidRPr="00C03D8F">
        <w:rPr>
          <w:rFonts w:ascii="Calibri Light" w:hAnsi="Calibri Light" w:cs="Arial"/>
          <w:color w:val="auto"/>
        </w:rPr>
        <w:t xml:space="preserve"> </w:t>
      </w:r>
      <w:r w:rsidRPr="00C03D8F">
        <w:rPr>
          <w:rFonts w:ascii="Calibri Light" w:hAnsi="Calibri Light" w:cs="Arial"/>
          <w:color w:val="auto"/>
        </w:rPr>
        <w:t xml:space="preserve">will </w:t>
      </w:r>
      <w:r w:rsidR="00324D1E" w:rsidRPr="00C03D8F">
        <w:rPr>
          <w:rFonts w:ascii="Calibri Light" w:hAnsi="Calibri Light" w:cs="Arial"/>
          <w:color w:val="auto"/>
        </w:rPr>
        <w:t xml:space="preserve">lead </w:t>
      </w:r>
      <w:r w:rsidR="00207232" w:rsidRPr="00C03D8F">
        <w:rPr>
          <w:rFonts w:ascii="Calibri Light" w:hAnsi="Calibri Light" w:cs="Arial"/>
          <w:color w:val="auto"/>
        </w:rPr>
        <w:t>development components of the gender action plan</w:t>
      </w:r>
      <w:r w:rsidR="00061287" w:rsidRPr="00C03D8F">
        <w:rPr>
          <w:rFonts w:ascii="Calibri Light" w:hAnsi="Calibri Light" w:cs="Arial"/>
          <w:color w:val="auto"/>
        </w:rPr>
        <w:t xml:space="preserve"> to help reach DFAT’s 80 per cent target for gender equality effective investments</w:t>
      </w:r>
      <w:r w:rsidR="00207232" w:rsidRPr="00C03D8F">
        <w:rPr>
          <w:rFonts w:ascii="Calibri Light" w:hAnsi="Calibri Light" w:cs="Arial"/>
          <w:color w:val="auto"/>
        </w:rPr>
        <w:t xml:space="preserve">, </w:t>
      </w:r>
      <w:r w:rsidR="007729A6" w:rsidRPr="00C03D8F">
        <w:rPr>
          <w:rFonts w:ascii="Calibri Light" w:hAnsi="Calibri Light" w:cs="Arial"/>
          <w:color w:val="auto"/>
        </w:rPr>
        <w:t xml:space="preserve">and </w:t>
      </w:r>
      <w:r w:rsidR="00207232" w:rsidRPr="00C03D8F">
        <w:rPr>
          <w:rFonts w:ascii="Calibri Light" w:hAnsi="Calibri Light" w:cs="Arial"/>
          <w:color w:val="auto"/>
        </w:rPr>
        <w:t xml:space="preserve">ensure </w:t>
      </w:r>
      <w:r w:rsidRPr="00C03D8F">
        <w:rPr>
          <w:rFonts w:ascii="Calibri Light" w:hAnsi="Calibri Light" w:cs="Arial"/>
          <w:color w:val="auto"/>
        </w:rPr>
        <w:t xml:space="preserve">continued focus on </w:t>
      </w:r>
      <w:r w:rsidR="00207232" w:rsidRPr="00C03D8F">
        <w:rPr>
          <w:rFonts w:ascii="Calibri Light" w:hAnsi="Calibri Light" w:cs="Arial"/>
          <w:color w:val="auto"/>
        </w:rPr>
        <w:t>disability inclusive approaches and climate integration</w:t>
      </w:r>
      <w:r w:rsidR="007729A6" w:rsidRPr="00C03D8F">
        <w:rPr>
          <w:rFonts w:ascii="Calibri Light" w:hAnsi="Calibri Light" w:cs="Arial"/>
          <w:color w:val="auto"/>
        </w:rPr>
        <w:t xml:space="preserve"> in investments [</w:t>
      </w:r>
      <w:r w:rsidR="004C29C1" w:rsidRPr="00C03D8F">
        <w:rPr>
          <w:rFonts w:ascii="Calibri Light" w:hAnsi="Calibri Light" w:cs="Arial"/>
          <w:color w:val="auto"/>
        </w:rPr>
        <w:t>o</w:t>
      </w:r>
      <w:r w:rsidR="007729A6" w:rsidRPr="00C03D8F">
        <w:rPr>
          <w:rFonts w:ascii="Calibri Light" w:hAnsi="Calibri Light" w:cs="Arial"/>
          <w:color w:val="auto"/>
        </w:rPr>
        <w:t xml:space="preserve">ngoing for 2019-20]. </w:t>
      </w:r>
    </w:p>
    <w:p w:rsidR="00946BE4" w:rsidRPr="00C03D8F" w:rsidRDefault="00EF32D0" w:rsidP="00C03D8F">
      <w:pPr>
        <w:numPr>
          <w:ilvl w:val="0"/>
          <w:numId w:val="46"/>
        </w:numPr>
        <w:suppressAutoHyphens w:val="0"/>
        <w:autoSpaceDE w:val="0"/>
        <w:autoSpaceDN w:val="0"/>
        <w:adjustRightInd w:val="0"/>
        <w:spacing w:before="0" w:after="0" w:line="240" w:lineRule="auto"/>
        <w:ind w:left="284" w:hanging="284"/>
        <w:rPr>
          <w:rFonts w:ascii="Calibri Light" w:hAnsi="Calibri Light" w:cs="Arial"/>
          <w:color w:val="auto"/>
        </w:rPr>
      </w:pPr>
      <w:r w:rsidRPr="00C03D8F">
        <w:rPr>
          <w:rFonts w:ascii="Calibri Light" w:hAnsi="Calibri Light" w:cs="Arial"/>
          <w:color w:val="auto"/>
        </w:rPr>
        <w:t>The D</w:t>
      </w:r>
      <w:r w:rsidR="0078154C">
        <w:rPr>
          <w:rFonts w:ascii="Calibri Light" w:hAnsi="Calibri Light" w:cs="Arial"/>
          <w:color w:val="auto"/>
        </w:rPr>
        <w:t>HOM</w:t>
      </w:r>
      <w:r w:rsidRPr="00C03D8F">
        <w:rPr>
          <w:rFonts w:ascii="Calibri Light" w:hAnsi="Calibri Light" w:cs="Arial"/>
          <w:color w:val="auto"/>
        </w:rPr>
        <w:t xml:space="preserve"> will ensure the </w:t>
      </w:r>
      <w:r w:rsidR="0078154C">
        <w:rPr>
          <w:rFonts w:ascii="Calibri Light" w:hAnsi="Calibri Light" w:cs="Arial"/>
          <w:color w:val="auto"/>
        </w:rPr>
        <w:t>AHC</w:t>
      </w:r>
      <w:r w:rsidRPr="00C03D8F">
        <w:rPr>
          <w:rFonts w:ascii="Calibri Light" w:hAnsi="Calibri Light" w:cs="Arial"/>
          <w:color w:val="auto"/>
        </w:rPr>
        <w:t xml:space="preserve"> has the skills and resources in place to deliver program objectives, including technical advisory support for infrastructure and humanitarian work and locally engaged resources to manage the humanitarian portfolio [ongoing for 2019-20].</w:t>
      </w:r>
      <w:r w:rsidR="00946BE4">
        <w:br w:type="page"/>
      </w:r>
    </w:p>
    <w:p w:rsidR="005B1777" w:rsidRDefault="005B1777" w:rsidP="00D25882">
      <w:pPr>
        <w:pStyle w:val="Subtitle"/>
        <w:spacing w:before="360" w:after="120" w:line="300" w:lineRule="exact"/>
        <w:rPr>
          <w:rFonts w:asciiTheme="majorHAnsi" w:hAnsiTheme="majorHAnsi" w:cstheme="majorHAnsi"/>
        </w:rPr>
      </w:pPr>
    </w:p>
    <w:p w:rsidR="00CC37E2" w:rsidRPr="00D25882" w:rsidRDefault="00AF1B85" w:rsidP="00D25882">
      <w:pPr>
        <w:pStyle w:val="Subtitle"/>
        <w:spacing w:before="360" w:after="120" w:line="300" w:lineRule="exact"/>
        <w:rPr>
          <w:rFonts w:asciiTheme="majorHAnsi" w:hAnsiTheme="majorHAnsi" w:cstheme="majorHAnsi"/>
        </w:rPr>
      </w:pPr>
      <w:r w:rsidRPr="00EF26B5">
        <w:rPr>
          <w:rFonts w:asciiTheme="majorHAnsi" w:hAnsiTheme="majorHAnsi" w:cstheme="majorHAnsi"/>
        </w:rPr>
        <w:t>Annex A - Progress in Addressing Management Responses</w:t>
      </w:r>
    </w:p>
    <w:tbl>
      <w:tblPr>
        <w:tblStyle w:val="APPR"/>
        <w:tblpPr w:leftFromText="180" w:rightFromText="180" w:vertAnchor="text" w:tblpY="1"/>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3"/>
        <w:gridCol w:w="1069"/>
        <w:gridCol w:w="4735"/>
      </w:tblGrid>
      <w:tr w:rsidR="00CC37E2" w:rsidRPr="00812509" w:rsidTr="00EF32D0">
        <w:trPr>
          <w:cnfStyle w:val="000000010000" w:firstRow="0" w:lastRow="0" w:firstColumn="0" w:lastColumn="0" w:oddVBand="0" w:evenVBand="0" w:oddHBand="0" w:evenHBand="1" w:firstRowFirstColumn="0" w:firstRowLastColumn="0" w:lastRowFirstColumn="0" w:lastRowLastColumn="0"/>
        </w:trPr>
        <w:tc>
          <w:tcPr>
            <w:tcW w:w="427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C37E2" w:rsidRPr="00812509" w:rsidRDefault="00CC37E2" w:rsidP="00802977">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Management responses identified in 20</w:t>
            </w:r>
            <w:r>
              <w:rPr>
                <w:rFonts w:asciiTheme="minorHAnsi" w:eastAsia="Times New Roman" w:hAnsiTheme="minorHAnsi"/>
                <w:b/>
                <w:iCs/>
                <w:szCs w:val="17"/>
                <w:lang w:eastAsia="en-US"/>
              </w:rPr>
              <w:t>17-18</w:t>
            </w:r>
            <w:r w:rsidRPr="00812509">
              <w:rPr>
                <w:rFonts w:asciiTheme="minorHAnsi" w:eastAsia="Times New Roman" w:hAnsiTheme="minorHAnsi"/>
                <w:b/>
                <w:iCs/>
                <w:szCs w:val="17"/>
                <w:lang w:eastAsia="en-US"/>
              </w:rPr>
              <w:t xml:space="preserve"> APPR</w:t>
            </w:r>
            <w:r w:rsidRPr="00812509">
              <w:rPr>
                <w:rFonts w:asciiTheme="minorHAnsi" w:eastAsia="Times New Roman" w:hAnsiTheme="minorHAnsi"/>
                <w:b/>
                <w:iCs/>
                <w:szCs w:val="17"/>
                <w:lang w:eastAsia="en-US"/>
              </w:rPr>
              <w:tab/>
            </w:r>
          </w:p>
        </w:tc>
        <w:tc>
          <w:tcPr>
            <w:tcW w:w="10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C37E2" w:rsidRPr="00812509" w:rsidRDefault="00CC37E2" w:rsidP="00802977">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Rating</w:t>
            </w:r>
          </w:p>
        </w:tc>
        <w:tc>
          <w:tcPr>
            <w:tcW w:w="4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C37E2" w:rsidRPr="00812509" w:rsidRDefault="00CC37E2" w:rsidP="00802977">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Progress made  in 201</w:t>
            </w:r>
            <w:r>
              <w:rPr>
                <w:rFonts w:asciiTheme="minorHAnsi" w:eastAsia="Times New Roman" w:hAnsiTheme="minorHAnsi"/>
                <w:b/>
                <w:iCs/>
                <w:szCs w:val="17"/>
                <w:lang w:eastAsia="en-US"/>
              </w:rPr>
              <w:t>8-19</w:t>
            </w:r>
          </w:p>
        </w:tc>
      </w:tr>
      <w:tr w:rsidR="00BB3BB9" w:rsidRPr="00812509" w:rsidTr="00B83D47">
        <w:trPr>
          <w:cnfStyle w:val="000000010000" w:firstRow="0" w:lastRow="0" w:firstColumn="0" w:lastColumn="0" w:oddVBand="0" w:evenVBand="0" w:oddHBand="0" w:evenHBand="1" w:firstRowFirstColumn="0" w:firstRowLastColumn="0" w:lastRowFirstColumn="0" w:lastRowLastColumn="0"/>
        </w:trPr>
        <w:tc>
          <w:tcPr>
            <w:tcW w:w="4271" w:type="dxa"/>
          </w:tcPr>
          <w:p w:rsidR="00CC37E2" w:rsidRDefault="00CC37E2" w:rsidP="00F73A03">
            <w:pPr>
              <w:suppressAutoHyphens w:val="0"/>
              <w:autoSpaceDE w:val="0"/>
              <w:autoSpaceDN w:val="0"/>
              <w:adjustRightInd w:val="0"/>
              <w:spacing w:before="0" w:after="0" w:line="240" w:lineRule="auto"/>
              <w:rPr>
                <w:rFonts w:asciiTheme="minorHAnsi" w:hAnsiTheme="minorHAnsi" w:cstheme="minorHAnsi"/>
                <w:color w:val="auto"/>
              </w:rPr>
            </w:pPr>
            <w:r w:rsidRPr="00C82F53">
              <w:rPr>
                <w:rFonts w:asciiTheme="minorHAnsi" w:hAnsiTheme="minorHAnsi" w:cstheme="minorHAnsi"/>
                <w:color w:val="auto"/>
              </w:rPr>
              <w:t xml:space="preserve">Commence preparatory work with the </w:t>
            </w:r>
            <w:r w:rsidRPr="00C82F53">
              <w:rPr>
                <w:rFonts w:ascii="Calibri Light" w:hAnsi="Calibri Light" w:cs="Arial"/>
                <w:color w:val="auto"/>
              </w:rPr>
              <w:t>GoV to develop the Vanuatu A</w:t>
            </w:r>
            <w:r w:rsidR="00F73A03">
              <w:rPr>
                <w:rFonts w:ascii="Calibri Light" w:hAnsi="Calibri Light" w:cs="Arial"/>
                <w:color w:val="auto"/>
              </w:rPr>
              <w:t>IP</w:t>
            </w:r>
            <w:r w:rsidRPr="00C82F53">
              <w:rPr>
                <w:rFonts w:ascii="Calibri Light" w:hAnsi="Calibri Light" w:cs="Arial"/>
                <w:color w:val="auto"/>
              </w:rPr>
              <w:t xml:space="preserve"> 2019-20 to 2022-23, </w:t>
            </w:r>
            <w:r w:rsidRPr="00B83D47">
              <w:rPr>
                <w:rFonts w:asciiTheme="minorHAnsi" w:hAnsiTheme="minorHAnsi" w:cstheme="minorHAnsi"/>
                <w:color w:val="auto"/>
              </w:rPr>
              <w:t>responding</w:t>
            </w:r>
            <w:r w:rsidRPr="00C82F53">
              <w:rPr>
                <w:rFonts w:ascii="Calibri Light" w:hAnsi="Calibri Light" w:cs="Arial"/>
                <w:color w:val="auto"/>
              </w:rPr>
              <w:t xml:space="preserve"> to priorities of </w:t>
            </w:r>
            <w:r w:rsidRPr="00C82F53">
              <w:rPr>
                <w:rFonts w:asciiTheme="minorHAnsi" w:hAnsiTheme="minorHAnsi" w:cstheme="minorHAnsi"/>
                <w:color w:val="auto"/>
              </w:rPr>
              <w:t xml:space="preserve">Vanuatu’s National Sustainable Development Plan and Australia’s Foreign Policy White Paper. </w:t>
            </w:r>
          </w:p>
          <w:p w:rsidR="005B1777" w:rsidRPr="00C82F53" w:rsidRDefault="005B1777" w:rsidP="00F73A03">
            <w:pPr>
              <w:suppressAutoHyphens w:val="0"/>
              <w:autoSpaceDE w:val="0"/>
              <w:autoSpaceDN w:val="0"/>
              <w:adjustRightInd w:val="0"/>
              <w:spacing w:before="0" w:after="0" w:line="240" w:lineRule="auto"/>
              <w:rPr>
                <w:rFonts w:asciiTheme="minorHAnsi" w:hAnsiTheme="minorHAnsi" w:cstheme="minorHAnsi"/>
                <w:color w:val="auto"/>
                <w:sz w:val="22"/>
              </w:rPr>
            </w:pPr>
          </w:p>
        </w:tc>
        <w:tc>
          <w:tcPr>
            <w:tcW w:w="1041" w:type="dxa"/>
            <w:shd w:val="clear" w:color="auto" w:fill="92D050"/>
          </w:tcPr>
          <w:p w:rsidR="00CC37E2" w:rsidRPr="00EB1AA1" w:rsidRDefault="00083755" w:rsidP="00802977">
            <w:pPr>
              <w:keepLines/>
              <w:spacing w:before="40" w:after="40" w:line="200" w:lineRule="atLeast"/>
              <w:jc w:val="center"/>
              <w:rPr>
                <w:rFonts w:asciiTheme="minorHAnsi" w:eastAsia="Times New Roman" w:hAnsiTheme="minorHAnsi" w:cstheme="minorHAnsi"/>
                <w:iCs/>
                <w:color w:val="FFFFFF" w:themeColor="background1"/>
                <w:sz w:val="22"/>
                <w:lang w:eastAsia="en-US"/>
              </w:rPr>
            </w:pPr>
            <w:r w:rsidRPr="00EB1AA1">
              <w:rPr>
                <w:rFonts w:eastAsia="Times New Roman" w:cstheme="minorHAnsi"/>
                <w:b/>
                <w:color w:val="FFFFFF" w:themeColor="background1"/>
              </w:rPr>
              <w:t>Achieved</w:t>
            </w:r>
            <w:r w:rsidRPr="00EB1AA1">
              <w:rPr>
                <w:rFonts w:eastAsia="Times New Roman" w:cstheme="minorHAnsi"/>
                <w:iCs/>
                <w:color w:val="FFFFFF" w:themeColor="background1"/>
              </w:rPr>
              <w:t xml:space="preserve"> </w:t>
            </w:r>
          </w:p>
        </w:tc>
        <w:tc>
          <w:tcPr>
            <w:tcW w:w="4693" w:type="dxa"/>
          </w:tcPr>
          <w:p w:rsidR="00CC37E2" w:rsidRPr="00C82F53" w:rsidRDefault="00B97735" w:rsidP="00C82F53">
            <w:pPr>
              <w:suppressAutoHyphens w:val="0"/>
              <w:autoSpaceDE w:val="0"/>
              <w:autoSpaceDN w:val="0"/>
              <w:adjustRightInd w:val="0"/>
              <w:spacing w:before="0" w:after="0" w:line="240" w:lineRule="auto"/>
              <w:rPr>
                <w:rFonts w:asciiTheme="minorHAnsi" w:hAnsiTheme="minorHAnsi" w:cstheme="minorHAnsi"/>
                <w:color w:val="auto"/>
                <w:sz w:val="22"/>
              </w:rPr>
            </w:pPr>
            <w:r w:rsidRPr="00C82F53">
              <w:rPr>
                <w:rFonts w:asciiTheme="minorHAnsi" w:hAnsiTheme="minorHAnsi" w:cstheme="minorHAnsi"/>
                <w:color w:val="auto"/>
              </w:rPr>
              <w:t>Preparatory work for a new A</w:t>
            </w:r>
            <w:r w:rsidR="00C82F53">
              <w:rPr>
                <w:rFonts w:asciiTheme="minorHAnsi" w:hAnsiTheme="minorHAnsi" w:cstheme="minorHAnsi"/>
                <w:color w:val="auto"/>
              </w:rPr>
              <w:t>IP</w:t>
            </w:r>
            <w:r w:rsidRPr="00C82F53">
              <w:rPr>
                <w:rFonts w:asciiTheme="minorHAnsi" w:hAnsiTheme="minorHAnsi" w:cstheme="minorHAnsi"/>
                <w:color w:val="auto"/>
              </w:rPr>
              <w:t xml:space="preserve"> has commenced, with a</w:t>
            </w:r>
            <w:r w:rsidR="00083755" w:rsidRPr="00C82F53">
              <w:rPr>
                <w:rFonts w:asciiTheme="minorHAnsi" w:hAnsiTheme="minorHAnsi" w:cstheme="minorHAnsi"/>
                <w:color w:val="auto"/>
              </w:rPr>
              <w:t xml:space="preserve">nalysis to inform </w:t>
            </w:r>
            <w:r w:rsidRPr="00C82F53">
              <w:rPr>
                <w:rFonts w:asciiTheme="minorHAnsi" w:hAnsiTheme="minorHAnsi" w:cstheme="minorHAnsi"/>
                <w:color w:val="auto"/>
              </w:rPr>
              <w:t xml:space="preserve">the </w:t>
            </w:r>
            <w:r w:rsidR="00EB1AA1" w:rsidRPr="00C82F53">
              <w:rPr>
                <w:rFonts w:asciiTheme="minorHAnsi" w:hAnsiTheme="minorHAnsi" w:cstheme="minorHAnsi"/>
                <w:color w:val="auto"/>
              </w:rPr>
              <w:t>Plan</w:t>
            </w:r>
            <w:r w:rsidRPr="00C82F53">
              <w:rPr>
                <w:rFonts w:asciiTheme="minorHAnsi" w:hAnsiTheme="minorHAnsi" w:cstheme="minorHAnsi"/>
                <w:color w:val="auto"/>
              </w:rPr>
              <w:t xml:space="preserve"> </w:t>
            </w:r>
            <w:r w:rsidR="00083755" w:rsidRPr="00C82F53">
              <w:rPr>
                <w:rFonts w:asciiTheme="minorHAnsi" w:hAnsiTheme="minorHAnsi" w:cstheme="minorHAnsi"/>
                <w:color w:val="auto"/>
              </w:rPr>
              <w:t xml:space="preserve">complete and drafting </w:t>
            </w:r>
            <w:r w:rsidRPr="00C82F53">
              <w:rPr>
                <w:rFonts w:asciiTheme="minorHAnsi" w:hAnsiTheme="minorHAnsi" w:cstheme="minorHAnsi"/>
                <w:color w:val="auto"/>
              </w:rPr>
              <w:t>underway</w:t>
            </w:r>
            <w:r w:rsidR="00083755" w:rsidRPr="00C82F53">
              <w:rPr>
                <w:rFonts w:asciiTheme="minorHAnsi" w:hAnsiTheme="minorHAnsi" w:cstheme="minorHAnsi"/>
                <w:color w:val="auto"/>
              </w:rPr>
              <w:t xml:space="preserve">. </w:t>
            </w:r>
            <w:r w:rsidRPr="00C82F53">
              <w:rPr>
                <w:rFonts w:asciiTheme="minorHAnsi" w:hAnsiTheme="minorHAnsi" w:cstheme="minorHAnsi"/>
                <w:color w:val="auto"/>
              </w:rPr>
              <w:t xml:space="preserve"> </w:t>
            </w:r>
          </w:p>
        </w:tc>
      </w:tr>
      <w:tr w:rsidR="002C4F7D" w:rsidRPr="00812509" w:rsidTr="001D0CCB">
        <w:trPr>
          <w:cnfStyle w:val="000000010000" w:firstRow="0" w:lastRow="0" w:firstColumn="0" w:lastColumn="0" w:oddVBand="0" w:evenVBand="0" w:oddHBand="0" w:evenHBand="1" w:firstRowFirstColumn="0" w:firstRowLastColumn="0" w:lastRowFirstColumn="0" w:lastRowLastColumn="0"/>
        </w:trPr>
        <w:tc>
          <w:tcPr>
            <w:tcW w:w="4271" w:type="dxa"/>
          </w:tcPr>
          <w:p w:rsidR="00CC37E2" w:rsidRPr="00C82F53" w:rsidRDefault="00CC37E2" w:rsidP="003D26D6">
            <w:pPr>
              <w:suppressAutoHyphens w:val="0"/>
              <w:autoSpaceDE w:val="0"/>
              <w:autoSpaceDN w:val="0"/>
              <w:adjustRightInd w:val="0"/>
              <w:spacing w:before="0" w:after="0" w:line="240" w:lineRule="auto"/>
              <w:rPr>
                <w:rFonts w:asciiTheme="minorHAnsi" w:hAnsiTheme="minorHAnsi" w:cstheme="minorHAnsi"/>
                <w:color w:val="auto"/>
                <w:sz w:val="22"/>
              </w:rPr>
            </w:pPr>
            <w:r w:rsidRPr="00C82F53">
              <w:rPr>
                <w:rFonts w:asciiTheme="minorHAnsi" w:hAnsiTheme="minorHAnsi" w:cstheme="minorHAnsi"/>
                <w:color w:val="auto"/>
              </w:rPr>
              <w:t xml:space="preserve">Progress commitments announced during Prime Minister Salwai’s Guest of Government visit to Australia in June 2018: including supporting a feasibility study of Vanuatu’s future telecommunications needs, enhanced policing, cybersecurity and labour mobility initiatives. </w:t>
            </w:r>
          </w:p>
        </w:tc>
        <w:tc>
          <w:tcPr>
            <w:tcW w:w="1041" w:type="dxa"/>
            <w:shd w:val="clear" w:color="auto" w:fill="92D050"/>
          </w:tcPr>
          <w:p w:rsidR="00CC37E2" w:rsidRPr="00EB1AA1" w:rsidRDefault="00083755" w:rsidP="00802977">
            <w:pPr>
              <w:keepLines/>
              <w:spacing w:before="40" w:after="40" w:line="200" w:lineRule="atLeast"/>
              <w:jc w:val="center"/>
              <w:rPr>
                <w:rFonts w:asciiTheme="minorHAnsi" w:eastAsia="Times New Roman" w:hAnsiTheme="minorHAnsi" w:cstheme="minorHAnsi"/>
                <w:iCs/>
                <w:color w:val="FFFFFF" w:themeColor="background1"/>
                <w:sz w:val="22"/>
                <w:lang w:eastAsia="en-US"/>
              </w:rPr>
            </w:pPr>
            <w:r w:rsidRPr="00EB1AA1">
              <w:rPr>
                <w:rFonts w:eastAsia="Times New Roman" w:cstheme="minorHAnsi"/>
                <w:b/>
                <w:color w:val="FFFFFF" w:themeColor="background1"/>
              </w:rPr>
              <w:t>Achieved</w:t>
            </w:r>
            <w:r w:rsidRPr="00EB1AA1">
              <w:rPr>
                <w:rFonts w:eastAsia="Times New Roman" w:cstheme="minorHAnsi"/>
                <w:iCs/>
                <w:color w:val="FFFFFF" w:themeColor="background1"/>
              </w:rPr>
              <w:t xml:space="preserve"> </w:t>
            </w:r>
          </w:p>
        </w:tc>
        <w:tc>
          <w:tcPr>
            <w:tcW w:w="4693" w:type="dxa"/>
          </w:tcPr>
          <w:p w:rsidR="00CC37E2" w:rsidRDefault="00B97735" w:rsidP="003D26D6">
            <w:pPr>
              <w:suppressAutoHyphens w:val="0"/>
              <w:autoSpaceDE w:val="0"/>
              <w:autoSpaceDN w:val="0"/>
              <w:adjustRightInd w:val="0"/>
              <w:spacing w:before="0" w:after="0" w:line="240" w:lineRule="auto"/>
              <w:rPr>
                <w:rFonts w:asciiTheme="minorHAnsi" w:hAnsiTheme="minorHAnsi" w:cstheme="minorHAnsi"/>
                <w:color w:val="auto"/>
              </w:rPr>
            </w:pPr>
            <w:r w:rsidRPr="00C82F53">
              <w:rPr>
                <w:rFonts w:asciiTheme="minorHAnsi" w:hAnsiTheme="minorHAnsi" w:cstheme="minorHAnsi"/>
                <w:color w:val="auto"/>
              </w:rPr>
              <w:t xml:space="preserve">A </w:t>
            </w:r>
            <w:r w:rsidR="00083755" w:rsidRPr="00C82F53">
              <w:rPr>
                <w:rFonts w:asciiTheme="minorHAnsi" w:hAnsiTheme="minorHAnsi" w:cstheme="minorHAnsi"/>
                <w:color w:val="auto"/>
              </w:rPr>
              <w:t>feasibility study into Vanuat</w:t>
            </w:r>
            <w:r w:rsidRPr="00C82F53">
              <w:rPr>
                <w:rFonts w:asciiTheme="minorHAnsi" w:hAnsiTheme="minorHAnsi" w:cstheme="minorHAnsi"/>
                <w:color w:val="auto"/>
              </w:rPr>
              <w:t>u</w:t>
            </w:r>
            <w:r w:rsidR="00083755" w:rsidRPr="00C82F53">
              <w:rPr>
                <w:rFonts w:asciiTheme="minorHAnsi" w:hAnsiTheme="minorHAnsi" w:cstheme="minorHAnsi"/>
                <w:color w:val="auto"/>
              </w:rPr>
              <w:t>'s telecommunication needs</w:t>
            </w:r>
            <w:r w:rsidRPr="00C82F53">
              <w:rPr>
                <w:rFonts w:asciiTheme="minorHAnsi" w:hAnsiTheme="minorHAnsi" w:cstheme="minorHAnsi"/>
                <w:color w:val="auto"/>
              </w:rPr>
              <w:t xml:space="preserve"> is complete. Australia provided enhanced </w:t>
            </w:r>
            <w:r w:rsidR="00D25882" w:rsidRPr="00C82F53">
              <w:rPr>
                <w:rFonts w:asciiTheme="minorHAnsi" w:hAnsiTheme="minorHAnsi" w:cstheme="minorHAnsi"/>
                <w:color w:val="auto"/>
              </w:rPr>
              <w:t xml:space="preserve">policing </w:t>
            </w:r>
            <w:r w:rsidR="007752EE" w:rsidRPr="00C82F53">
              <w:rPr>
                <w:rFonts w:asciiTheme="minorHAnsi" w:hAnsiTheme="minorHAnsi" w:cstheme="minorHAnsi"/>
                <w:color w:val="auto"/>
              </w:rPr>
              <w:t xml:space="preserve">support </w:t>
            </w:r>
            <w:r w:rsidR="00D25882" w:rsidRPr="00C82F53">
              <w:rPr>
                <w:rFonts w:asciiTheme="minorHAnsi" w:hAnsiTheme="minorHAnsi" w:cstheme="minorHAnsi"/>
                <w:color w:val="auto"/>
              </w:rPr>
              <w:t xml:space="preserve">including increasing the number of advisers and </w:t>
            </w:r>
            <w:r w:rsidRPr="00C82F53">
              <w:rPr>
                <w:rFonts w:asciiTheme="minorHAnsi" w:hAnsiTheme="minorHAnsi" w:cstheme="minorHAnsi"/>
                <w:color w:val="auto"/>
              </w:rPr>
              <w:t>training of new recruits</w:t>
            </w:r>
            <w:r w:rsidR="00D25882" w:rsidRPr="00C82F53">
              <w:rPr>
                <w:rFonts w:asciiTheme="minorHAnsi" w:hAnsiTheme="minorHAnsi" w:cstheme="minorHAnsi"/>
                <w:color w:val="auto"/>
              </w:rPr>
              <w:t xml:space="preserve">. Australia </w:t>
            </w:r>
            <w:r w:rsidR="004E0C79" w:rsidRPr="00C82F53">
              <w:rPr>
                <w:rFonts w:asciiTheme="minorHAnsi" w:hAnsiTheme="minorHAnsi" w:cstheme="minorHAnsi"/>
                <w:color w:val="auto"/>
              </w:rPr>
              <w:t xml:space="preserve">provided support for </w:t>
            </w:r>
            <w:r w:rsidR="00083755" w:rsidRPr="00C82F53">
              <w:rPr>
                <w:rFonts w:asciiTheme="minorHAnsi" w:hAnsiTheme="minorHAnsi" w:cstheme="minorHAnsi"/>
                <w:color w:val="auto"/>
              </w:rPr>
              <w:t xml:space="preserve">cyber </w:t>
            </w:r>
            <w:r w:rsidR="004E0C79" w:rsidRPr="00C82F53">
              <w:rPr>
                <w:rFonts w:asciiTheme="minorHAnsi" w:hAnsiTheme="minorHAnsi" w:cstheme="minorHAnsi"/>
                <w:color w:val="auto"/>
              </w:rPr>
              <w:t>security</w:t>
            </w:r>
            <w:r w:rsidR="007752EE" w:rsidRPr="00C82F53">
              <w:rPr>
                <w:rFonts w:asciiTheme="minorHAnsi" w:hAnsiTheme="minorHAnsi" w:cstheme="minorHAnsi"/>
                <w:color w:val="auto"/>
              </w:rPr>
              <w:t>. The new</w:t>
            </w:r>
            <w:r w:rsidR="004E0C79" w:rsidRPr="00C82F53">
              <w:rPr>
                <w:rFonts w:asciiTheme="minorHAnsi" w:hAnsiTheme="minorHAnsi" w:cstheme="minorHAnsi"/>
                <w:color w:val="auto"/>
              </w:rPr>
              <w:t xml:space="preserve"> </w:t>
            </w:r>
            <w:r w:rsidR="00D25882" w:rsidRPr="00C82F53">
              <w:rPr>
                <w:rFonts w:asciiTheme="minorHAnsi" w:hAnsiTheme="minorHAnsi" w:cstheme="minorHAnsi"/>
                <w:color w:val="auto"/>
              </w:rPr>
              <w:t xml:space="preserve">Pacific Labour Scheme </w:t>
            </w:r>
            <w:r w:rsidR="007752EE" w:rsidRPr="00C82F53">
              <w:rPr>
                <w:rFonts w:asciiTheme="minorHAnsi" w:hAnsiTheme="minorHAnsi" w:cstheme="minorHAnsi"/>
                <w:color w:val="auto"/>
              </w:rPr>
              <w:t xml:space="preserve">commenced </w:t>
            </w:r>
            <w:r w:rsidR="00D25882" w:rsidRPr="00C82F53">
              <w:rPr>
                <w:rFonts w:asciiTheme="minorHAnsi" w:hAnsiTheme="minorHAnsi" w:cstheme="minorHAnsi"/>
                <w:color w:val="auto"/>
              </w:rPr>
              <w:t xml:space="preserve">with </w:t>
            </w:r>
            <w:r w:rsidR="007752EE" w:rsidRPr="00C82F53">
              <w:rPr>
                <w:rFonts w:asciiTheme="minorHAnsi" w:hAnsiTheme="minorHAnsi" w:cstheme="minorHAnsi"/>
                <w:color w:val="auto"/>
              </w:rPr>
              <w:t xml:space="preserve">51 ni-Vanuatu workers mobilised to Australia under the scheme in 2018-19. </w:t>
            </w:r>
            <w:r w:rsidR="00D25882" w:rsidRPr="00C82F53">
              <w:rPr>
                <w:rFonts w:asciiTheme="minorHAnsi" w:hAnsiTheme="minorHAnsi" w:cstheme="minorHAnsi"/>
                <w:color w:val="auto"/>
              </w:rPr>
              <w:t xml:space="preserve"> </w:t>
            </w:r>
          </w:p>
          <w:p w:rsidR="005B1777" w:rsidRPr="00C82F53" w:rsidRDefault="005B1777" w:rsidP="003D26D6">
            <w:pPr>
              <w:suppressAutoHyphens w:val="0"/>
              <w:autoSpaceDE w:val="0"/>
              <w:autoSpaceDN w:val="0"/>
              <w:adjustRightInd w:val="0"/>
              <w:spacing w:before="0" w:after="0" w:line="240" w:lineRule="auto"/>
              <w:rPr>
                <w:rFonts w:asciiTheme="minorHAnsi" w:hAnsiTheme="minorHAnsi" w:cstheme="minorHAnsi"/>
                <w:color w:val="auto"/>
                <w:sz w:val="22"/>
              </w:rPr>
            </w:pPr>
          </w:p>
        </w:tc>
      </w:tr>
      <w:tr w:rsidR="002C4F7D" w:rsidRPr="00812509" w:rsidTr="001D0CCB">
        <w:trPr>
          <w:cnfStyle w:val="000000010000" w:firstRow="0" w:lastRow="0" w:firstColumn="0" w:lastColumn="0" w:oddVBand="0" w:evenVBand="0" w:oddHBand="0" w:evenHBand="1" w:firstRowFirstColumn="0" w:firstRowLastColumn="0" w:lastRowFirstColumn="0" w:lastRowLastColumn="0"/>
        </w:trPr>
        <w:tc>
          <w:tcPr>
            <w:tcW w:w="4271" w:type="dxa"/>
          </w:tcPr>
          <w:p w:rsidR="00CC37E2" w:rsidRPr="00C82F53" w:rsidRDefault="00CC37E2" w:rsidP="003D26D6">
            <w:pPr>
              <w:suppressAutoHyphens w:val="0"/>
              <w:autoSpaceDE w:val="0"/>
              <w:autoSpaceDN w:val="0"/>
              <w:adjustRightInd w:val="0"/>
              <w:spacing w:before="0" w:after="0" w:line="240" w:lineRule="auto"/>
              <w:rPr>
                <w:rFonts w:asciiTheme="minorHAnsi" w:hAnsiTheme="minorHAnsi" w:cstheme="minorHAnsi"/>
                <w:color w:val="auto"/>
                <w:sz w:val="22"/>
              </w:rPr>
            </w:pPr>
            <w:r w:rsidRPr="00C82F53">
              <w:rPr>
                <w:rFonts w:asciiTheme="minorHAnsi" w:hAnsiTheme="minorHAnsi" w:cstheme="minorHAnsi"/>
                <w:color w:val="auto"/>
              </w:rPr>
              <w:t>Undertake a gender stocktake and develop an action plan to identify key activities to strengthen gender equality programming, policy and diplomacy outcomes.</w:t>
            </w:r>
          </w:p>
        </w:tc>
        <w:tc>
          <w:tcPr>
            <w:tcW w:w="1041" w:type="dxa"/>
            <w:shd w:val="clear" w:color="auto" w:fill="92D050"/>
          </w:tcPr>
          <w:p w:rsidR="00CC37E2" w:rsidRPr="00EB1AA1" w:rsidRDefault="00083755" w:rsidP="00802977">
            <w:pPr>
              <w:keepLines/>
              <w:spacing w:before="40" w:after="40" w:line="200" w:lineRule="atLeast"/>
              <w:rPr>
                <w:rFonts w:asciiTheme="minorHAnsi" w:eastAsia="Times New Roman" w:hAnsiTheme="minorHAnsi" w:cstheme="minorHAnsi"/>
                <w:iCs/>
                <w:color w:val="FFFFFF" w:themeColor="background1"/>
                <w:sz w:val="22"/>
                <w:lang w:eastAsia="en-US"/>
              </w:rPr>
            </w:pPr>
            <w:r w:rsidRPr="00EB1AA1">
              <w:rPr>
                <w:rFonts w:eastAsia="Times New Roman" w:cstheme="minorHAnsi"/>
                <w:b/>
                <w:color w:val="FFFFFF" w:themeColor="background1"/>
              </w:rPr>
              <w:t>Achieved</w:t>
            </w:r>
            <w:r w:rsidRPr="00EB1AA1">
              <w:rPr>
                <w:rFonts w:eastAsia="Times New Roman" w:cstheme="minorHAnsi"/>
                <w:iCs/>
                <w:color w:val="FFFFFF" w:themeColor="background1"/>
              </w:rPr>
              <w:t xml:space="preserve"> </w:t>
            </w:r>
          </w:p>
        </w:tc>
        <w:tc>
          <w:tcPr>
            <w:tcW w:w="4693" w:type="dxa"/>
          </w:tcPr>
          <w:p w:rsidR="00CC37E2" w:rsidRDefault="00D25882" w:rsidP="003D26D6">
            <w:pPr>
              <w:suppressAutoHyphens w:val="0"/>
              <w:autoSpaceDE w:val="0"/>
              <w:autoSpaceDN w:val="0"/>
              <w:adjustRightInd w:val="0"/>
              <w:spacing w:before="0" w:after="0" w:line="240" w:lineRule="auto"/>
              <w:rPr>
                <w:rFonts w:asciiTheme="minorHAnsi" w:hAnsiTheme="minorHAnsi" w:cstheme="minorHAnsi"/>
                <w:color w:val="auto"/>
              </w:rPr>
            </w:pPr>
            <w:r w:rsidRPr="00C82F53">
              <w:rPr>
                <w:rFonts w:asciiTheme="minorHAnsi" w:hAnsiTheme="minorHAnsi" w:cstheme="minorHAnsi"/>
                <w:color w:val="auto"/>
              </w:rPr>
              <w:t xml:space="preserve">A </w:t>
            </w:r>
            <w:r w:rsidR="00CC37E2" w:rsidRPr="00C82F53">
              <w:rPr>
                <w:rFonts w:asciiTheme="minorHAnsi" w:hAnsiTheme="minorHAnsi" w:cstheme="minorHAnsi"/>
                <w:color w:val="auto"/>
              </w:rPr>
              <w:t xml:space="preserve">gender stocktake and action plan </w:t>
            </w:r>
            <w:r w:rsidRPr="00C82F53">
              <w:rPr>
                <w:rFonts w:asciiTheme="minorHAnsi" w:hAnsiTheme="minorHAnsi" w:cstheme="minorHAnsi"/>
                <w:color w:val="auto"/>
              </w:rPr>
              <w:t xml:space="preserve">was </w:t>
            </w:r>
            <w:r w:rsidR="00CC37E2" w:rsidRPr="00C82F53">
              <w:rPr>
                <w:rFonts w:asciiTheme="minorHAnsi" w:hAnsiTheme="minorHAnsi" w:cstheme="minorHAnsi"/>
                <w:color w:val="auto"/>
              </w:rPr>
              <w:t>completed in late 2018. The action plan incorporates activities across all work</w:t>
            </w:r>
            <w:r w:rsidRPr="00C82F53">
              <w:rPr>
                <w:rFonts w:asciiTheme="minorHAnsi" w:hAnsiTheme="minorHAnsi" w:cstheme="minorHAnsi"/>
                <w:color w:val="auto"/>
              </w:rPr>
              <w:t xml:space="preserve"> areas</w:t>
            </w:r>
            <w:r w:rsidR="00CC37E2" w:rsidRPr="00C82F53">
              <w:rPr>
                <w:rFonts w:asciiTheme="minorHAnsi" w:hAnsiTheme="minorHAnsi" w:cstheme="minorHAnsi"/>
                <w:color w:val="auto"/>
              </w:rPr>
              <w:t xml:space="preserve">. Activities within the plan </w:t>
            </w:r>
            <w:r w:rsidRPr="00C82F53">
              <w:rPr>
                <w:rFonts w:asciiTheme="minorHAnsi" w:hAnsiTheme="minorHAnsi" w:cstheme="minorHAnsi"/>
                <w:color w:val="auto"/>
              </w:rPr>
              <w:t xml:space="preserve">will </w:t>
            </w:r>
            <w:r w:rsidR="00CC37E2" w:rsidRPr="00C82F53">
              <w:rPr>
                <w:rFonts w:asciiTheme="minorHAnsi" w:hAnsiTheme="minorHAnsi" w:cstheme="minorHAnsi"/>
                <w:color w:val="auto"/>
              </w:rPr>
              <w:t>be progressed in 2019-2020.</w:t>
            </w:r>
          </w:p>
          <w:p w:rsidR="005B1777" w:rsidRPr="00C82F53" w:rsidRDefault="005B1777" w:rsidP="003D26D6">
            <w:pPr>
              <w:suppressAutoHyphens w:val="0"/>
              <w:autoSpaceDE w:val="0"/>
              <w:autoSpaceDN w:val="0"/>
              <w:adjustRightInd w:val="0"/>
              <w:spacing w:before="0" w:after="0" w:line="240" w:lineRule="auto"/>
              <w:rPr>
                <w:rFonts w:asciiTheme="minorHAnsi" w:hAnsiTheme="minorHAnsi" w:cstheme="minorHAnsi"/>
                <w:color w:val="auto"/>
                <w:sz w:val="22"/>
              </w:rPr>
            </w:pPr>
          </w:p>
        </w:tc>
      </w:tr>
      <w:tr w:rsidR="002C4F7D" w:rsidRPr="00812509" w:rsidTr="001D0CCB">
        <w:trPr>
          <w:cnfStyle w:val="000000010000" w:firstRow="0" w:lastRow="0" w:firstColumn="0" w:lastColumn="0" w:oddVBand="0" w:evenVBand="0" w:oddHBand="0" w:evenHBand="1" w:firstRowFirstColumn="0" w:firstRowLastColumn="0" w:lastRowFirstColumn="0" w:lastRowLastColumn="0"/>
        </w:trPr>
        <w:tc>
          <w:tcPr>
            <w:tcW w:w="4271" w:type="dxa"/>
          </w:tcPr>
          <w:p w:rsidR="00CC37E2" w:rsidRPr="00C82F53" w:rsidRDefault="00CC37E2" w:rsidP="00E01ADA">
            <w:pPr>
              <w:suppressAutoHyphens w:val="0"/>
              <w:autoSpaceDE w:val="0"/>
              <w:autoSpaceDN w:val="0"/>
              <w:adjustRightInd w:val="0"/>
              <w:spacing w:before="0" w:after="0" w:line="240" w:lineRule="auto"/>
              <w:rPr>
                <w:rFonts w:asciiTheme="minorHAnsi" w:hAnsiTheme="minorHAnsi" w:cstheme="minorHAnsi"/>
                <w:color w:val="auto"/>
                <w:sz w:val="22"/>
              </w:rPr>
            </w:pPr>
            <w:r w:rsidRPr="00C82F53">
              <w:rPr>
                <w:rFonts w:asciiTheme="minorHAnsi" w:hAnsiTheme="minorHAnsi" w:cstheme="minorHAnsi"/>
                <w:color w:val="auto"/>
              </w:rPr>
              <w:t xml:space="preserve">Implement the </w:t>
            </w:r>
            <w:r w:rsidR="00EB1AA1" w:rsidRPr="00C82F53">
              <w:rPr>
                <w:rFonts w:asciiTheme="minorHAnsi" w:hAnsiTheme="minorHAnsi" w:cstheme="minorHAnsi"/>
                <w:color w:val="auto"/>
              </w:rPr>
              <w:t xml:space="preserve">Port Vila Urban Development Project </w:t>
            </w:r>
            <w:r w:rsidRPr="00C82F53">
              <w:rPr>
                <w:rFonts w:asciiTheme="minorHAnsi" w:hAnsiTheme="minorHAnsi" w:cstheme="minorHAnsi"/>
                <w:color w:val="auto"/>
              </w:rPr>
              <w:t xml:space="preserve">Remediation Plan. </w:t>
            </w:r>
          </w:p>
        </w:tc>
        <w:tc>
          <w:tcPr>
            <w:tcW w:w="1041" w:type="dxa"/>
            <w:shd w:val="clear" w:color="auto" w:fill="92D050"/>
          </w:tcPr>
          <w:p w:rsidR="00CC37E2" w:rsidRPr="00EB1AA1" w:rsidRDefault="00CC37E2" w:rsidP="00802977">
            <w:pPr>
              <w:keepLines/>
              <w:spacing w:before="40" w:after="40" w:line="200" w:lineRule="atLeast"/>
              <w:jc w:val="center"/>
              <w:rPr>
                <w:rFonts w:asciiTheme="minorHAnsi" w:eastAsia="Times New Roman" w:hAnsiTheme="minorHAnsi" w:cstheme="minorHAnsi"/>
                <w:iCs/>
                <w:color w:val="FFFFFF" w:themeColor="background1"/>
                <w:sz w:val="22"/>
                <w:lang w:eastAsia="en-US"/>
              </w:rPr>
            </w:pPr>
            <w:r w:rsidRPr="00EB1AA1">
              <w:rPr>
                <w:rFonts w:eastAsia="Times New Roman" w:cstheme="minorHAnsi"/>
                <w:b/>
                <w:color w:val="FFFFFF" w:themeColor="background1"/>
              </w:rPr>
              <w:t>Achieved</w:t>
            </w:r>
          </w:p>
        </w:tc>
        <w:tc>
          <w:tcPr>
            <w:tcW w:w="4693" w:type="dxa"/>
          </w:tcPr>
          <w:p w:rsidR="00CC37E2" w:rsidRDefault="00CC37E2" w:rsidP="00E01ADA">
            <w:pPr>
              <w:suppressAutoHyphens w:val="0"/>
              <w:autoSpaceDE w:val="0"/>
              <w:autoSpaceDN w:val="0"/>
              <w:adjustRightInd w:val="0"/>
              <w:spacing w:before="0" w:after="0" w:line="240" w:lineRule="auto"/>
              <w:rPr>
                <w:rFonts w:asciiTheme="minorHAnsi" w:hAnsiTheme="minorHAnsi" w:cstheme="minorHAnsi"/>
                <w:color w:val="auto"/>
              </w:rPr>
            </w:pPr>
            <w:r w:rsidRPr="00C82F53">
              <w:rPr>
                <w:rFonts w:asciiTheme="minorHAnsi" w:hAnsiTheme="minorHAnsi" w:cstheme="minorHAnsi"/>
                <w:color w:val="auto"/>
              </w:rPr>
              <w:t xml:space="preserve">Implementation of </w:t>
            </w:r>
            <w:r w:rsidR="00EB1AA1" w:rsidRPr="00C82F53">
              <w:rPr>
                <w:rFonts w:asciiTheme="minorHAnsi" w:hAnsiTheme="minorHAnsi" w:cstheme="minorHAnsi"/>
                <w:color w:val="auto"/>
              </w:rPr>
              <w:t xml:space="preserve">the </w:t>
            </w:r>
            <w:r w:rsidRPr="00C82F53">
              <w:rPr>
                <w:rFonts w:asciiTheme="minorHAnsi" w:hAnsiTheme="minorHAnsi" w:cstheme="minorHAnsi"/>
                <w:color w:val="auto"/>
              </w:rPr>
              <w:t>Remediation Plan completed in November 2018</w:t>
            </w:r>
            <w:r w:rsidR="007752EE" w:rsidRPr="00C82F53">
              <w:rPr>
                <w:rFonts w:asciiTheme="minorHAnsi" w:hAnsiTheme="minorHAnsi" w:cstheme="minorHAnsi"/>
                <w:color w:val="auto"/>
              </w:rPr>
              <w:t>.</w:t>
            </w:r>
          </w:p>
          <w:p w:rsidR="005B1777" w:rsidRPr="00C82F53" w:rsidRDefault="005B1777" w:rsidP="00E01ADA">
            <w:pPr>
              <w:suppressAutoHyphens w:val="0"/>
              <w:autoSpaceDE w:val="0"/>
              <w:autoSpaceDN w:val="0"/>
              <w:adjustRightInd w:val="0"/>
              <w:spacing w:before="0" w:after="0" w:line="240" w:lineRule="auto"/>
              <w:rPr>
                <w:rFonts w:asciiTheme="minorHAnsi" w:hAnsiTheme="minorHAnsi" w:cstheme="minorHAnsi"/>
                <w:color w:val="auto"/>
                <w:sz w:val="22"/>
              </w:rPr>
            </w:pPr>
          </w:p>
        </w:tc>
      </w:tr>
      <w:tr w:rsidR="002C4F7D" w:rsidRPr="00812509" w:rsidTr="001D0CCB">
        <w:trPr>
          <w:cnfStyle w:val="000000010000" w:firstRow="0" w:lastRow="0" w:firstColumn="0" w:lastColumn="0" w:oddVBand="0" w:evenVBand="0" w:oddHBand="0" w:evenHBand="1" w:firstRowFirstColumn="0" w:firstRowLastColumn="0" w:lastRowFirstColumn="0" w:lastRowLastColumn="0"/>
        </w:trPr>
        <w:tc>
          <w:tcPr>
            <w:tcW w:w="4271" w:type="dxa"/>
          </w:tcPr>
          <w:p w:rsidR="00CC37E2" w:rsidRPr="00C82F53" w:rsidRDefault="00CC37E2" w:rsidP="003D26D6">
            <w:pPr>
              <w:suppressAutoHyphens w:val="0"/>
              <w:autoSpaceDE w:val="0"/>
              <w:autoSpaceDN w:val="0"/>
              <w:adjustRightInd w:val="0"/>
              <w:spacing w:before="0" w:after="0" w:line="240" w:lineRule="auto"/>
              <w:rPr>
                <w:rFonts w:asciiTheme="minorHAnsi" w:hAnsiTheme="minorHAnsi" w:cstheme="minorHAnsi"/>
                <w:color w:val="auto"/>
                <w:sz w:val="22"/>
              </w:rPr>
            </w:pPr>
            <w:r w:rsidRPr="00C82F53">
              <w:rPr>
                <w:rFonts w:asciiTheme="minorHAnsi" w:hAnsiTheme="minorHAnsi" w:cstheme="minorHAnsi"/>
                <w:color w:val="auto"/>
              </w:rPr>
              <w:t>Capture and share learning from the Evaluation of the T</w:t>
            </w:r>
            <w:r w:rsidR="00EB1AA1" w:rsidRPr="00C82F53">
              <w:rPr>
                <w:rFonts w:asciiTheme="minorHAnsi" w:hAnsiTheme="minorHAnsi" w:cstheme="minorHAnsi"/>
                <w:color w:val="auto"/>
              </w:rPr>
              <w:t xml:space="preserve">ropical </w:t>
            </w:r>
            <w:r w:rsidRPr="00C82F53">
              <w:rPr>
                <w:rFonts w:asciiTheme="minorHAnsi" w:hAnsiTheme="minorHAnsi" w:cstheme="minorHAnsi"/>
                <w:color w:val="auto"/>
              </w:rPr>
              <w:t>C</w:t>
            </w:r>
            <w:r w:rsidR="00EB1AA1" w:rsidRPr="00C82F53">
              <w:rPr>
                <w:rFonts w:asciiTheme="minorHAnsi" w:hAnsiTheme="minorHAnsi" w:cstheme="minorHAnsi"/>
                <w:color w:val="auto"/>
              </w:rPr>
              <w:t>yclone</w:t>
            </w:r>
            <w:r w:rsidRPr="00C82F53">
              <w:rPr>
                <w:rFonts w:asciiTheme="minorHAnsi" w:hAnsiTheme="minorHAnsi" w:cstheme="minorHAnsi"/>
                <w:color w:val="auto"/>
              </w:rPr>
              <w:t xml:space="preserve"> Pam Recovery Program to inform funding, coordination and governance arrangements for future recovery programs. </w:t>
            </w:r>
          </w:p>
        </w:tc>
        <w:tc>
          <w:tcPr>
            <w:tcW w:w="1041" w:type="dxa"/>
            <w:shd w:val="clear" w:color="auto" w:fill="92D050"/>
          </w:tcPr>
          <w:p w:rsidR="00CC37E2" w:rsidRPr="00EB1AA1" w:rsidRDefault="00CC37E2" w:rsidP="00802977">
            <w:pPr>
              <w:keepLines/>
              <w:spacing w:before="40" w:after="40" w:line="200" w:lineRule="atLeast"/>
              <w:jc w:val="center"/>
              <w:rPr>
                <w:rFonts w:asciiTheme="minorHAnsi" w:eastAsia="Times New Roman" w:hAnsiTheme="minorHAnsi" w:cstheme="minorHAnsi"/>
                <w:iCs/>
                <w:color w:val="FFFFFF" w:themeColor="background1"/>
                <w:sz w:val="22"/>
                <w:lang w:eastAsia="en-US"/>
              </w:rPr>
            </w:pPr>
            <w:r w:rsidRPr="00EB1AA1">
              <w:rPr>
                <w:rFonts w:eastAsia="Times New Roman" w:cstheme="minorHAnsi"/>
                <w:b/>
                <w:color w:val="FFFFFF" w:themeColor="background1"/>
              </w:rPr>
              <w:t>Achieved</w:t>
            </w:r>
          </w:p>
        </w:tc>
        <w:tc>
          <w:tcPr>
            <w:tcW w:w="4693" w:type="dxa"/>
          </w:tcPr>
          <w:p w:rsidR="00CC37E2" w:rsidRDefault="00CC37E2" w:rsidP="003D26D6">
            <w:pPr>
              <w:suppressAutoHyphens w:val="0"/>
              <w:autoSpaceDE w:val="0"/>
              <w:autoSpaceDN w:val="0"/>
              <w:adjustRightInd w:val="0"/>
              <w:spacing w:before="0" w:after="0" w:line="240" w:lineRule="auto"/>
              <w:rPr>
                <w:rFonts w:asciiTheme="minorHAnsi" w:hAnsiTheme="minorHAnsi" w:cstheme="minorHAnsi"/>
                <w:color w:val="auto"/>
              </w:rPr>
            </w:pPr>
            <w:r w:rsidRPr="00C82F53">
              <w:rPr>
                <w:rFonts w:asciiTheme="minorHAnsi" w:hAnsiTheme="minorHAnsi" w:cstheme="minorHAnsi"/>
                <w:color w:val="auto"/>
              </w:rPr>
              <w:t>The lessons learnt from the T</w:t>
            </w:r>
            <w:r w:rsidR="00EB1AA1" w:rsidRPr="00C82F53">
              <w:rPr>
                <w:rFonts w:asciiTheme="minorHAnsi" w:hAnsiTheme="minorHAnsi" w:cstheme="minorHAnsi"/>
                <w:color w:val="auto"/>
              </w:rPr>
              <w:t>ropical Cyclone</w:t>
            </w:r>
            <w:r w:rsidRPr="00C82F53">
              <w:rPr>
                <w:rFonts w:asciiTheme="minorHAnsi" w:hAnsiTheme="minorHAnsi" w:cstheme="minorHAnsi"/>
                <w:color w:val="auto"/>
              </w:rPr>
              <w:t xml:space="preserve"> Pam evaluation </w:t>
            </w:r>
            <w:r w:rsidR="00D25882" w:rsidRPr="00C82F53">
              <w:rPr>
                <w:rFonts w:asciiTheme="minorHAnsi" w:hAnsiTheme="minorHAnsi" w:cstheme="minorHAnsi"/>
                <w:color w:val="auto"/>
              </w:rPr>
              <w:t xml:space="preserve">were </w:t>
            </w:r>
            <w:r w:rsidRPr="00C82F53">
              <w:rPr>
                <w:rFonts w:asciiTheme="minorHAnsi" w:hAnsiTheme="minorHAnsi" w:cstheme="minorHAnsi"/>
                <w:color w:val="auto"/>
              </w:rPr>
              <w:t xml:space="preserve">shared </w:t>
            </w:r>
            <w:r w:rsidRPr="00C82F53">
              <w:rPr>
                <w:rFonts w:ascii="Calibri Light" w:hAnsi="Calibri Light" w:cs="Arial"/>
                <w:color w:val="auto"/>
              </w:rPr>
              <w:t xml:space="preserve">with </w:t>
            </w:r>
            <w:r w:rsidR="00083755" w:rsidRPr="00C82F53">
              <w:rPr>
                <w:rFonts w:ascii="Calibri Light" w:hAnsi="Calibri Light" w:cs="Arial"/>
                <w:color w:val="auto"/>
              </w:rPr>
              <w:t xml:space="preserve">GoV, </w:t>
            </w:r>
            <w:r w:rsidR="00D25882" w:rsidRPr="00C82F53">
              <w:rPr>
                <w:rFonts w:ascii="Calibri Light" w:hAnsi="Calibri Light" w:cs="Arial"/>
                <w:color w:val="auto"/>
              </w:rPr>
              <w:t xml:space="preserve">and </w:t>
            </w:r>
            <w:r w:rsidR="00083755" w:rsidRPr="00C82F53">
              <w:rPr>
                <w:rFonts w:ascii="Calibri Light" w:hAnsi="Calibri Light" w:cs="Arial"/>
                <w:color w:val="auto"/>
              </w:rPr>
              <w:t>presented and discussed at a stakeholder workshop in May 2019</w:t>
            </w:r>
            <w:r w:rsidR="00083755" w:rsidRPr="00C82F53">
              <w:rPr>
                <w:rFonts w:asciiTheme="minorHAnsi" w:hAnsiTheme="minorHAnsi" w:cstheme="minorHAnsi"/>
                <w:color w:val="auto"/>
              </w:rPr>
              <w:t xml:space="preserve">. Lessons have been </w:t>
            </w:r>
            <w:r w:rsidRPr="00C82F53">
              <w:rPr>
                <w:rFonts w:asciiTheme="minorHAnsi" w:hAnsiTheme="minorHAnsi" w:cstheme="minorHAnsi"/>
                <w:color w:val="auto"/>
              </w:rPr>
              <w:t xml:space="preserve">used to inform </w:t>
            </w:r>
            <w:r w:rsidR="00D25882" w:rsidRPr="00C82F53">
              <w:rPr>
                <w:rFonts w:asciiTheme="minorHAnsi" w:hAnsiTheme="minorHAnsi" w:cstheme="minorHAnsi"/>
                <w:color w:val="auto"/>
              </w:rPr>
              <w:t>Australia’s support for Ambae volcano recovery.</w:t>
            </w:r>
          </w:p>
          <w:p w:rsidR="005B1777" w:rsidRPr="00C82F53" w:rsidRDefault="005B1777" w:rsidP="003D26D6">
            <w:pPr>
              <w:suppressAutoHyphens w:val="0"/>
              <w:autoSpaceDE w:val="0"/>
              <w:autoSpaceDN w:val="0"/>
              <w:adjustRightInd w:val="0"/>
              <w:spacing w:before="0" w:after="0" w:line="240" w:lineRule="auto"/>
              <w:rPr>
                <w:rFonts w:asciiTheme="minorHAnsi" w:hAnsiTheme="minorHAnsi" w:cstheme="minorHAnsi"/>
                <w:color w:val="auto"/>
                <w:sz w:val="22"/>
              </w:rPr>
            </w:pPr>
          </w:p>
        </w:tc>
      </w:tr>
      <w:tr w:rsidR="002C4F7D" w:rsidRPr="00812509" w:rsidTr="001D0CCB">
        <w:trPr>
          <w:cnfStyle w:val="000000010000" w:firstRow="0" w:lastRow="0" w:firstColumn="0" w:lastColumn="0" w:oddVBand="0" w:evenVBand="0" w:oddHBand="0" w:evenHBand="1" w:firstRowFirstColumn="0" w:firstRowLastColumn="0" w:lastRowFirstColumn="0" w:lastRowLastColumn="0"/>
        </w:trPr>
        <w:tc>
          <w:tcPr>
            <w:tcW w:w="4271" w:type="dxa"/>
          </w:tcPr>
          <w:p w:rsidR="00CC37E2" w:rsidRPr="00C82F53" w:rsidRDefault="00CC37E2" w:rsidP="00E01ADA">
            <w:pPr>
              <w:suppressAutoHyphens w:val="0"/>
              <w:autoSpaceDE w:val="0"/>
              <w:autoSpaceDN w:val="0"/>
              <w:adjustRightInd w:val="0"/>
              <w:spacing w:before="0" w:after="0" w:line="240" w:lineRule="auto"/>
              <w:rPr>
                <w:rFonts w:asciiTheme="minorHAnsi" w:hAnsiTheme="minorHAnsi" w:cstheme="minorHAnsi"/>
                <w:color w:val="auto"/>
                <w:sz w:val="22"/>
              </w:rPr>
            </w:pPr>
            <w:r w:rsidRPr="00C82F53">
              <w:rPr>
                <w:rFonts w:asciiTheme="minorHAnsi" w:hAnsiTheme="minorHAnsi" w:cstheme="minorHAnsi"/>
                <w:color w:val="auto"/>
              </w:rPr>
              <w:t xml:space="preserve">Finalise designs, tendering and mobilisation of the </w:t>
            </w:r>
            <w:r w:rsidR="007752EE" w:rsidRPr="00C82F53">
              <w:rPr>
                <w:rFonts w:asciiTheme="minorHAnsi" w:hAnsiTheme="minorHAnsi" w:cstheme="minorHAnsi"/>
                <w:color w:val="auto"/>
              </w:rPr>
              <w:t>Health Sector Program</w:t>
            </w:r>
            <w:r w:rsidRPr="00C82F53">
              <w:rPr>
                <w:rFonts w:asciiTheme="minorHAnsi" w:hAnsiTheme="minorHAnsi" w:cstheme="minorHAnsi"/>
                <w:color w:val="auto"/>
              </w:rPr>
              <w:t>, V</w:t>
            </w:r>
            <w:r w:rsidR="007752EE" w:rsidRPr="00C82F53">
              <w:rPr>
                <w:rFonts w:asciiTheme="minorHAnsi" w:hAnsiTheme="minorHAnsi" w:cstheme="minorHAnsi"/>
                <w:color w:val="auto"/>
              </w:rPr>
              <w:t xml:space="preserve">anuatu Education Sector Program </w:t>
            </w:r>
            <w:r w:rsidRPr="00C82F53">
              <w:rPr>
                <w:rFonts w:asciiTheme="minorHAnsi" w:hAnsiTheme="minorHAnsi" w:cstheme="minorHAnsi"/>
                <w:color w:val="auto"/>
              </w:rPr>
              <w:t>Phase 2 and R</w:t>
            </w:r>
            <w:r w:rsidR="007752EE" w:rsidRPr="00C82F53">
              <w:rPr>
                <w:rFonts w:asciiTheme="minorHAnsi" w:hAnsiTheme="minorHAnsi" w:cstheme="minorHAnsi"/>
                <w:color w:val="auto"/>
              </w:rPr>
              <w:t>oads for Development Ph</w:t>
            </w:r>
            <w:r w:rsidR="00EB1AA1" w:rsidRPr="00C82F53">
              <w:rPr>
                <w:rFonts w:asciiTheme="minorHAnsi" w:hAnsiTheme="minorHAnsi" w:cstheme="minorHAnsi"/>
                <w:color w:val="auto"/>
              </w:rPr>
              <w:t>ase 2</w:t>
            </w:r>
            <w:r w:rsidRPr="00C82F53">
              <w:rPr>
                <w:rFonts w:asciiTheme="minorHAnsi" w:hAnsiTheme="minorHAnsi" w:cstheme="minorHAnsi"/>
                <w:color w:val="auto"/>
              </w:rPr>
              <w:t xml:space="preserve"> programs.</w:t>
            </w:r>
          </w:p>
        </w:tc>
        <w:tc>
          <w:tcPr>
            <w:tcW w:w="1041" w:type="dxa"/>
            <w:shd w:val="clear" w:color="auto" w:fill="92D050"/>
          </w:tcPr>
          <w:p w:rsidR="00CC37E2" w:rsidRPr="00EB1AA1" w:rsidRDefault="00CC37E2" w:rsidP="00802977">
            <w:pPr>
              <w:keepLines/>
              <w:spacing w:before="40" w:after="40" w:line="200" w:lineRule="atLeast"/>
              <w:jc w:val="center"/>
              <w:rPr>
                <w:rFonts w:asciiTheme="minorHAnsi" w:eastAsia="Times New Roman" w:hAnsiTheme="minorHAnsi" w:cstheme="minorHAnsi"/>
                <w:iCs/>
                <w:color w:val="FFFFFF" w:themeColor="background1"/>
                <w:sz w:val="22"/>
              </w:rPr>
            </w:pPr>
            <w:r w:rsidRPr="00EB1AA1">
              <w:rPr>
                <w:rFonts w:eastAsia="Times New Roman" w:cstheme="minorHAnsi"/>
                <w:b/>
                <w:color w:val="FFFFFF" w:themeColor="background1"/>
              </w:rPr>
              <w:t>Achieved</w:t>
            </w:r>
          </w:p>
        </w:tc>
        <w:tc>
          <w:tcPr>
            <w:tcW w:w="4693" w:type="dxa"/>
          </w:tcPr>
          <w:p w:rsidR="00CC37E2" w:rsidRDefault="00CC37E2" w:rsidP="000146E4">
            <w:pPr>
              <w:suppressAutoHyphens w:val="0"/>
              <w:autoSpaceDE w:val="0"/>
              <w:autoSpaceDN w:val="0"/>
              <w:adjustRightInd w:val="0"/>
              <w:spacing w:before="0" w:after="0" w:line="240" w:lineRule="auto"/>
              <w:rPr>
                <w:rFonts w:asciiTheme="minorHAnsi" w:hAnsiTheme="minorHAnsi" w:cstheme="minorHAnsi"/>
                <w:color w:val="auto"/>
              </w:rPr>
            </w:pPr>
            <w:r w:rsidRPr="00C82F53">
              <w:rPr>
                <w:rFonts w:asciiTheme="minorHAnsi" w:hAnsiTheme="minorHAnsi" w:cstheme="minorHAnsi"/>
                <w:color w:val="auto"/>
              </w:rPr>
              <w:t>Completed designs and tenders.</w:t>
            </w:r>
            <w:r w:rsidR="00EB1AA1" w:rsidRPr="00C82F53">
              <w:rPr>
                <w:rFonts w:asciiTheme="minorHAnsi" w:hAnsiTheme="minorHAnsi" w:cstheme="minorHAnsi"/>
                <w:color w:val="auto"/>
              </w:rPr>
              <w:t xml:space="preserve">  Mobilisation of the Vanuatu Education Sector Program Phase 2 and Roads for Development Phase 2 programs completed.  Health Sector Program to commence by December 2019.</w:t>
            </w:r>
          </w:p>
          <w:p w:rsidR="005B1777" w:rsidRPr="00C82F53" w:rsidRDefault="005B1777" w:rsidP="000146E4">
            <w:pPr>
              <w:suppressAutoHyphens w:val="0"/>
              <w:autoSpaceDE w:val="0"/>
              <w:autoSpaceDN w:val="0"/>
              <w:adjustRightInd w:val="0"/>
              <w:spacing w:before="0" w:after="0" w:line="240" w:lineRule="auto"/>
              <w:rPr>
                <w:rFonts w:asciiTheme="minorHAnsi" w:hAnsiTheme="minorHAnsi" w:cstheme="minorHAnsi"/>
                <w:color w:val="auto"/>
                <w:sz w:val="22"/>
              </w:rPr>
            </w:pPr>
          </w:p>
        </w:tc>
      </w:tr>
      <w:tr w:rsidR="002C4F7D" w:rsidRPr="00812509" w:rsidTr="001D0CCB">
        <w:trPr>
          <w:cnfStyle w:val="000000010000" w:firstRow="0" w:lastRow="0" w:firstColumn="0" w:lastColumn="0" w:oddVBand="0" w:evenVBand="0" w:oddHBand="0" w:evenHBand="1" w:firstRowFirstColumn="0" w:firstRowLastColumn="0" w:lastRowFirstColumn="0" w:lastRowLastColumn="0"/>
        </w:trPr>
        <w:tc>
          <w:tcPr>
            <w:tcW w:w="4271" w:type="dxa"/>
          </w:tcPr>
          <w:p w:rsidR="00CC37E2" w:rsidRPr="00C82F53" w:rsidRDefault="00CC37E2" w:rsidP="00E01ADA">
            <w:pPr>
              <w:suppressAutoHyphens w:val="0"/>
              <w:autoSpaceDE w:val="0"/>
              <w:autoSpaceDN w:val="0"/>
              <w:adjustRightInd w:val="0"/>
              <w:spacing w:before="0" w:after="0" w:line="240" w:lineRule="auto"/>
              <w:rPr>
                <w:rFonts w:asciiTheme="minorHAnsi" w:hAnsiTheme="minorHAnsi" w:cstheme="minorHAnsi"/>
                <w:color w:val="auto"/>
                <w:sz w:val="22"/>
              </w:rPr>
            </w:pPr>
            <w:r w:rsidRPr="00C82F53">
              <w:rPr>
                <w:rFonts w:asciiTheme="minorHAnsi" w:hAnsiTheme="minorHAnsi" w:cstheme="minorHAnsi"/>
                <w:color w:val="auto"/>
              </w:rPr>
              <w:t xml:space="preserve">Support effective and </w:t>
            </w:r>
            <w:r w:rsidRPr="00C82F53">
              <w:rPr>
                <w:rFonts w:ascii="Calibri Light" w:hAnsi="Calibri Light" w:cs="Arial"/>
                <w:color w:val="auto"/>
              </w:rPr>
              <w:t>efficient GoV disaster response and recovery efforts, including for Ambae Island.</w:t>
            </w:r>
          </w:p>
        </w:tc>
        <w:tc>
          <w:tcPr>
            <w:tcW w:w="1041" w:type="dxa"/>
            <w:shd w:val="clear" w:color="auto" w:fill="92D050"/>
          </w:tcPr>
          <w:p w:rsidR="00CC37E2" w:rsidRPr="00EB1AA1" w:rsidRDefault="00CC37E2" w:rsidP="00802977">
            <w:pPr>
              <w:keepLines/>
              <w:spacing w:before="40" w:after="40" w:line="200" w:lineRule="atLeast"/>
              <w:rPr>
                <w:rFonts w:asciiTheme="minorHAnsi" w:eastAsia="Times New Roman" w:hAnsiTheme="minorHAnsi" w:cstheme="minorHAnsi"/>
                <w:iCs/>
                <w:color w:val="FFFFFF" w:themeColor="background1"/>
                <w:sz w:val="22"/>
              </w:rPr>
            </w:pPr>
            <w:r w:rsidRPr="00EB1AA1">
              <w:rPr>
                <w:rFonts w:eastAsia="Times New Roman" w:cstheme="minorHAnsi"/>
                <w:b/>
                <w:color w:val="FFFFFF" w:themeColor="background1"/>
              </w:rPr>
              <w:t>Achieved</w:t>
            </w:r>
          </w:p>
        </w:tc>
        <w:tc>
          <w:tcPr>
            <w:tcW w:w="4693" w:type="dxa"/>
          </w:tcPr>
          <w:p w:rsidR="00CC37E2" w:rsidRPr="00C82F53" w:rsidRDefault="00CC37E2" w:rsidP="00E01ADA">
            <w:pPr>
              <w:suppressAutoHyphens w:val="0"/>
              <w:autoSpaceDE w:val="0"/>
              <w:autoSpaceDN w:val="0"/>
              <w:adjustRightInd w:val="0"/>
              <w:spacing w:before="0" w:after="0" w:line="240" w:lineRule="auto"/>
              <w:rPr>
                <w:rFonts w:asciiTheme="minorHAnsi" w:hAnsiTheme="minorHAnsi" w:cstheme="minorHAnsi"/>
                <w:color w:val="auto"/>
                <w:sz w:val="22"/>
              </w:rPr>
            </w:pPr>
            <w:r w:rsidRPr="00C82F53">
              <w:rPr>
                <w:rFonts w:asciiTheme="minorHAnsi" w:hAnsiTheme="minorHAnsi" w:cstheme="minorHAnsi"/>
                <w:color w:val="auto"/>
              </w:rPr>
              <w:t xml:space="preserve">Australia </w:t>
            </w:r>
            <w:r w:rsidRPr="00C82F53">
              <w:rPr>
                <w:rFonts w:ascii="Calibri Light" w:hAnsi="Calibri Light" w:cs="Arial"/>
                <w:color w:val="auto"/>
              </w:rPr>
              <w:t xml:space="preserve">supported </w:t>
            </w:r>
            <w:r w:rsidR="00083755" w:rsidRPr="00C82F53">
              <w:rPr>
                <w:rFonts w:ascii="Calibri Light" w:hAnsi="Calibri Light" w:cs="Arial"/>
                <w:color w:val="auto"/>
              </w:rPr>
              <w:t>GoV</w:t>
            </w:r>
            <w:r w:rsidRPr="00C82F53">
              <w:rPr>
                <w:rFonts w:ascii="Calibri Light" w:hAnsi="Calibri Light" w:cs="Arial"/>
                <w:color w:val="auto"/>
              </w:rPr>
              <w:t xml:space="preserve"> in response to the second evacuation of Ambae using existing partners and funding mechanisms. In the </w:t>
            </w:r>
            <w:r w:rsidR="00083755" w:rsidRPr="00C82F53">
              <w:rPr>
                <w:rFonts w:ascii="Calibri Light" w:hAnsi="Calibri Light" w:cs="Arial"/>
                <w:color w:val="auto"/>
              </w:rPr>
              <w:t>GoV</w:t>
            </w:r>
            <w:r w:rsidRPr="00C82F53">
              <w:rPr>
                <w:rFonts w:asciiTheme="minorHAnsi" w:hAnsiTheme="minorHAnsi" w:cstheme="minorHAnsi"/>
                <w:color w:val="auto"/>
              </w:rPr>
              <w:t>-led response to T</w:t>
            </w:r>
            <w:r w:rsidR="00EB1AA1" w:rsidRPr="00C82F53">
              <w:rPr>
                <w:rFonts w:asciiTheme="minorHAnsi" w:hAnsiTheme="minorHAnsi" w:cstheme="minorHAnsi"/>
                <w:color w:val="auto"/>
              </w:rPr>
              <w:t>ropical Cyclone</w:t>
            </w:r>
            <w:r w:rsidRPr="00C82F53">
              <w:rPr>
                <w:rFonts w:asciiTheme="minorHAnsi" w:hAnsiTheme="minorHAnsi" w:cstheme="minorHAnsi"/>
                <w:color w:val="auto"/>
              </w:rPr>
              <w:t xml:space="preserve"> Oma and Ambrym Volcano, Australia released pre-positioned </w:t>
            </w:r>
            <w:r w:rsidRPr="00EF32D0">
              <w:rPr>
                <w:rFonts w:cstheme="minorHAnsi"/>
                <w:color w:val="auto"/>
              </w:rPr>
              <w:t>N</w:t>
            </w:r>
            <w:r w:rsidR="009A25D1" w:rsidRPr="00EF32D0">
              <w:rPr>
                <w:rFonts w:cstheme="minorHAnsi"/>
                <w:color w:val="auto"/>
              </w:rPr>
              <w:t xml:space="preserve">on </w:t>
            </w:r>
            <w:r w:rsidRPr="00EF32D0">
              <w:rPr>
                <w:rFonts w:cstheme="minorHAnsi"/>
                <w:color w:val="auto"/>
              </w:rPr>
              <w:t>F</w:t>
            </w:r>
            <w:r w:rsidR="009A25D1" w:rsidRPr="00EF32D0">
              <w:rPr>
                <w:rFonts w:cstheme="minorHAnsi"/>
                <w:color w:val="auto"/>
              </w:rPr>
              <w:t xml:space="preserve">ood </w:t>
            </w:r>
            <w:r w:rsidRPr="00EF32D0">
              <w:rPr>
                <w:rFonts w:cstheme="minorHAnsi"/>
                <w:color w:val="auto"/>
              </w:rPr>
              <w:t>I</w:t>
            </w:r>
            <w:r w:rsidR="009A25D1" w:rsidRPr="00EF32D0">
              <w:rPr>
                <w:rFonts w:cstheme="minorHAnsi"/>
                <w:color w:val="auto"/>
              </w:rPr>
              <w:t>tem</w:t>
            </w:r>
            <w:r w:rsidRPr="00EF32D0">
              <w:rPr>
                <w:rFonts w:cstheme="minorHAnsi"/>
                <w:color w:val="auto"/>
              </w:rPr>
              <w:t>s</w:t>
            </w:r>
            <w:r w:rsidRPr="00C82F53">
              <w:rPr>
                <w:rFonts w:asciiTheme="minorHAnsi" w:hAnsiTheme="minorHAnsi" w:cstheme="minorHAnsi"/>
                <w:color w:val="auto"/>
              </w:rPr>
              <w:t xml:space="preserve"> to affected communities at the request of </w:t>
            </w:r>
            <w:r w:rsidR="00EB1AA1" w:rsidRPr="00C82F53">
              <w:rPr>
                <w:rFonts w:asciiTheme="minorHAnsi" w:hAnsiTheme="minorHAnsi" w:cstheme="minorHAnsi"/>
                <w:color w:val="auto"/>
              </w:rPr>
              <w:t>the government</w:t>
            </w:r>
            <w:r w:rsidRPr="00C82F53">
              <w:rPr>
                <w:rFonts w:asciiTheme="minorHAnsi" w:hAnsiTheme="minorHAnsi" w:cstheme="minorHAnsi"/>
                <w:color w:val="auto"/>
              </w:rPr>
              <w:t xml:space="preserve">. </w:t>
            </w:r>
            <w:r w:rsidR="00D25882" w:rsidRPr="00C82F53">
              <w:rPr>
                <w:rFonts w:asciiTheme="minorHAnsi" w:hAnsiTheme="minorHAnsi" w:cstheme="minorHAnsi"/>
                <w:color w:val="auto"/>
              </w:rPr>
              <w:t>Australia’s support for r</w:t>
            </w:r>
            <w:r w:rsidRPr="00C82F53">
              <w:rPr>
                <w:rFonts w:asciiTheme="minorHAnsi" w:hAnsiTheme="minorHAnsi" w:cstheme="minorHAnsi"/>
                <w:color w:val="auto"/>
              </w:rPr>
              <w:t xml:space="preserve">ecovery </w:t>
            </w:r>
            <w:r w:rsidR="00D25882" w:rsidRPr="00C82F53">
              <w:rPr>
                <w:rFonts w:asciiTheme="minorHAnsi" w:hAnsiTheme="minorHAnsi" w:cstheme="minorHAnsi"/>
                <w:color w:val="auto"/>
              </w:rPr>
              <w:t xml:space="preserve">from the Ambae volcano </w:t>
            </w:r>
            <w:r w:rsidR="007752EE" w:rsidRPr="00C82F53">
              <w:rPr>
                <w:rFonts w:asciiTheme="minorHAnsi" w:hAnsiTheme="minorHAnsi" w:cstheme="minorHAnsi"/>
                <w:color w:val="auto"/>
              </w:rPr>
              <w:t>align</w:t>
            </w:r>
            <w:r w:rsidR="00EB1AA1" w:rsidRPr="00C82F53">
              <w:rPr>
                <w:rFonts w:asciiTheme="minorHAnsi" w:hAnsiTheme="minorHAnsi" w:cstheme="minorHAnsi"/>
                <w:color w:val="auto"/>
              </w:rPr>
              <w:t>ed</w:t>
            </w:r>
            <w:r w:rsidR="007752EE" w:rsidRPr="00C82F53">
              <w:rPr>
                <w:rFonts w:asciiTheme="minorHAnsi" w:hAnsiTheme="minorHAnsi" w:cstheme="minorHAnsi"/>
                <w:color w:val="auto"/>
              </w:rPr>
              <w:t xml:space="preserve"> </w:t>
            </w:r>
            <w:r w:rsidR="007752EE" w:rsidRPr="00C82F53">
              <w:rPr>
                <w:rFonts w:ascii="Calibri Light" w:hAnsi="Calibri Light" w:cs="Arial"/>
                <w:color w:val="auto"/>
              </w:rPr>
              <w:t>with GoV’s</w:t>
            </w:r>
            <w:r w:rsidRPr="00C82F53">
              <w:rPr>
                <w:rFonts w:ascii="Calibri Light" w:hAnsi="Calibri Light" w:cs="Arial"/>
                <w:color w:val="auto"/>
              </w:rPr>
              <w:t xml:space="preserve"> ‘Ambae and Affected Islands Recovery Plan’.</w:t>
            </w:r>
          </w:p>
        </w:tc>
      </w:tr>
    </w:tbl>
    <w:p w:rsidR="00CC37E2" w:rsidRPr="00812509" w:rsidRDefault="00CC37E2" w:rsidP="00CC37E2">
      <w:pPr>
        <w:spacing w:before="20" w:after="20" w:line="180" w:lineRule="atLeast"/>
        <w:jc w:val="both"/>
        <w:rPr>
          <w:rFonts w:eastAsia="Times New Roman"/>
          <w:b/>
          <w:sz w:val="16"/>
          <w:szCs w:val="14"/>
        </w:rPr>
      </w:pPr>
      <w:r w:rsidRPr="00812509">
        <w:rPr>
          <w:rFonts w:eastAsia="Times New Roman"/>
          <w:b/>
          <w:sz w:val="16"/>
          <w:szCs w:val="14"/>
        </w:rPr>
        <w:t xml:space="preserve">Note: </w:t>
      </w:r>
    </w:p>
    <w:p w:rsidR="00CC37E2" w:rsidRPr="00812509" w:rsidRDefault="00CC37E2" w:rsidP="00CC37E2">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been made in addressing the issue </w:t>
      </w:r>
    </w:p>
    <w:p w:rsidR="00CC37E2" w:rsidRPr="00812509" w:rsidRDefault="00CC37E2" w:rsidP="00CC37E2">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rsidR="00CC37E2" w:rsidRPr="00812509" w:rsidRDefault="00CC37E2" w:rsidP="00CC37E2">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rsidR="00AF1B85" w:rsidRPr="00812509" w:rsidRDefault="00AF1B85" w:rsidP="00AF1B85">
      <w:pPr>
        <w:spacing w:before="20" w:after="20" w:line="180" w:lineRule="atLeast"/>
        <w:jc w:val="both"/>
        <w:rPr>
          <w:rFonts w:eastAsia="Times New Roman"/>
          <w:b/>
          <w:sz w:val="16"/>
          <w:szCs w:val="14"/>
        </w:rPr>
      </w:pPr>
    </w:p>
    <w:p w:rsidR="00D00802" w:rsidRDefault="00D00802" w:rsidP="005B5769">
      <w:pPr>
        <w:pStyle w:val="ListBullet"/>
        <w:tabs>
          <w:tab w:val="clear" w:pos="284"/>
        </w:tabs>
        <w:sectPr w:rsidR="00D00802" w:rsidSect="00DC248A">
          <w:headerReference w:type="first" r:id="rId28"/>
          <w:pgSz w:w="11906" w:h="16838" w:code="9"/>
          <w:pgMar w:top="851" w:right="1134" w:bottom="1952" w:left="1134" w:header="1107" w:footer="567" w:gutter="0"/>
          <w:cols w:space="397"/>
          <w:titlePg/>
          <w:docGrid w:linePitch="360"/>
        </w:sectPr>
      </w:pPr>
    </w:p>
    <w:p w:rsidR="00184F1E" w:rsidRPr="00EF26B5" w:rsidRDefault="00184F1E" w:rsidP="00BB648A">
      <w:pPr>
        <w:pStyle w:val="Subtitle"/>
        <w:spacing w:before="360" w:after="120" w:line="300" w:lineRule="exact"/>
        <w:rPr>
          <w:rFonts w:asciiTheme="majorHAnsi" w:hAnsiTheme="majorHAnsi" w:cstheme="majorHAnsi"/>
        </w:rPr>
      </w:pPr>
      <w:r w:rsidRPr="00EF26B5">
        <w:rPr>
          <w:rFonts w:asciiTheme="majorHAnsi" w:hAnsiTheme="majorHAnsi" w:cstheme="majorHAnsi"/>
        </w:rPr>
        <w:lastRenderedPageBreak/>
        <w:t>Annex B – PERFORMANCE BENCHMARKS</w:t>
      </w:r>
    </w:p>
    <w:p w:rsidR="00CC37E2" w:rsidRPr="00CC3C2A" w:rsidRDefault="00184F1E" w:rsidP="00CC3C2A">
      <w:pPr>
        <w:rPr>
          <w:rFonts w:eastAsia="Times New Roman" w:cstheme="minorHAnsi"/>
          <w:sz w:val="32"/>
          <w:szCs w:val="32"/>
        </w:rPr>
      </w:pPr>
      <w:r w:rsidRPr="00F8189A">
        <w:rPr>
          <w:rFonts w:eastAsia="Times New Roman" w:cstheme="minorHAnsi"/>
          <w:sz w:val="32"/>
          <w:szCs w:val="32"/>
        </w:rPr>
        <w:t>Progress towards Performance Benchmarks in 201</w:t>
      </w:r>
      <w:r w:rsidR="00F8189A" w:rsidRPr="00F8189A">
        <w:rPr>
          <w:rFonts w:eastAsia="Times New Roman" w:cstheme="minorHAnsi"/>
          <w:sz w:val="32"/>
          <w:szCs w:val="32"/>
        </w:rPr>
        <w:t>8-19</w:t>
      </w:r>
    </w:p>
    <w:tbl>
      <w:tblPr>
        <w:tblStyle w:val="DFATTable"/>
        <w:tblW w:w="5569" w:type="pct"/>
        <w:tblLook w:val="04A0" w:firstRow="1" w:lastRow="0" w:firstColumn="1" w:lastColumn="0" w:noHBand="0" w:noVBand="1"/>
      </w:tblPr>
      <w:tblGrid>
        <w:gridCol w:w="2091"/>
        <w:gridCol w:w="4827"/>
        <w:gridCol w:w="963"/>
        <w:gridCol w:w="7751"/>
      </w:tblGrid>
      <w:tr w:rsidR="00CC3C2A" w:rsidRPr="00C61187" w:rsidTr="00B97A7B">
        <w:trPr>
          <w:tblHeader/>
        </w:trPr>
        <w:tc>
          <w:tcPr>
            <w:tcW w:w="682" w:type="pct"/>
            <w:tcMar>
              <w:top w:w="57" w:type="dxa"/>
              <w:bottom w:w="57" w:type="dxa"/>
            </w:tcMar>
          </w:tcPr>
          <w:p w:rsidR="00CC37E2" w:rsidRPr="00880004" w:rsidRDefault="00CC37E2" w:rsidP="00802977">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Aid objective</w:t>
            </w:r>
          </w:p>
        </w:tc>
        <w:tc>
          <w:tcPr>
            <w:tcW w:w="1557" w:type="pct"/>
          </w:tcPr>
          <w:p w:rsidR="00CC37E2" w:rsidRPr="00880004" w:rsidRDefault="00CC37E2" w:rsidP="00802977">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r w:rsidR="00962CC5">
              <w:rPr>
                <w:rFonts w:asciiTheme="minorHAnsi" w:eastAsia="Times New Roman" w:hAnsiTheme="minorHAnsi"/>
                <w:b/>
                <w:iCs/>
                <w:szCs w:val="17"/>
                <w:lang w:eastAsia="en-US"/>
              </w:rPr>
              <w:t>(Target)</w:t>
            </w:r>
          </w:p>
        </w:tc>
        <w:tc>
          <w:tcPr>
            <w:tcW w:w="269" w:type="pct"/>
          </w:tcPr>
          <w:p w:rsidR="00CC37E2" w:rsidRPr="00880004" w:rsidRDefault="00CC37E2" w:rsidP="00802977">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2492" w:type="pct"/>
          </w:tcPr>
          <w:p w:rsidR="00CC37E2" w:rsidRPr="00880004" w:rsidRDefault="00CC37E2" w:rsidP="00802977">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w:t>
            </w:r>
            <w:r>
              <w:rPr>
                <w:rFonts w:asciiTheme="minorHAnsi" w:eastAsia="Times New Roman" w:hAnsiTheme="minorHAnsi"/>
                <w:b/>
                <w:iCs/>
                <w:szCs w:val="17"/>
                <w:lang w:eastAsia="en-US"/>
              </w:rPr>
              <w:t>8-19</w:t>
            </w:r>
          </w:p>
        </w:tc>
      </w:tr>
      <w:tr w:rsidR="00CC3C2A" w:rsidRPr="00C61187" w:rsidTr="00B97A7B">
        <w:tc>
          <w:tcPr>
            <w:tcW w:w="682" w:type="pct"/>
            <w:tcMar>
              <w:top w:w="57" w:type="dxa"/>
              <w:bottom w:w="57" w:type="dxa"/>
            </w:tcMar>
          </w:tcPr>
          <w:p w:rsidR="00CC37E2" w:rsidRPr="00085E5F" w:rsidRDefault="00CC37E2" w:rsidP="00802977">
            <w:pPr>
              <w:keepLines/>
              <w:spacing w:before="40" w:after="40" w:line="200" w:lineRule="atLeast"/>
              <w:rPr>
                <w:rFonts w:asciiTheme="minorHAnsi" w:eastAsia="Times New Roman" w:hAnsiTheme="minorHAnsi"/>
                <w:iCs/>
                <w:color w:val="FF0000"/>
                <w:szCs w:val="17"/>
                <w:lang w:eastAsia="en-US"/>
              </w:rPr>
            </w:pPr>
            <w:r>
              <w:rPr>
                <w:rFonts w:eastAsia="Times New Roman"/>
                <w:iCs/>
                <w:szCs w:val="17"/>
              </w:rPr>
              <w:t xml:space="preserve">Objective 1: Build better infrastructure and an environment for economic opportunity </w:t>
            </w:r>
            <w:r w:rsidRPr="00FA6D9E">
              <w:rPr>
                <w:rFonts w:eastAsia="Times New Roman"/>
                <w:iCs/>
                <w:szCs w:val="17"/>
              </w:rPr>
              <w:t xml:space="preserve"> </w:t>
            </w:r>
          </w:p>
        </w:tc>
        <w:tc>
          <w:tcPr>
            <w:tcW w:w="1557" w:type="pct"/>
          </w:tcPr>
          <w:p w:rsidR="00CC37E2" w:rsidRDefault="00CC37E2" w:rsidP="00802977">
            <w:pPr>
              <w:keepLines/>
              <w:spacing w:before="40" w:after="40" w:line="200" w:lineRule="atLeast"/>
              <w:rPr>
                <w:rFonts w:eastAsia="Times New Roman"/>
                <w:iCs/>
                <w:szCs w:val="17"/>
              </w:rPr>
            </w:pPr>
            <w:r>
              <w:rPr>
                <w:rFonts w:eastAsia="Times New Roman"/>
                <w:iCs/>
                <w:szCs w:val="17"/>
              </w:rPr>
              <w:t>Annual change in VAT revenue (9.3%)</w:t>
            </w:r>
          </w:p>
          <w:p w:rsidR="00CC37E2" w:rsidRPr="00CC3C2A" w:rsidRDefault="00CC37E2" w:rsidP="00802977">
            <w:pPr>
              <w:keepLines/>
              <w:spacing w:before="40" w:after="40" w:line="200" w:lineRule="atLeast"/>
              <w:rPr>
                <w:rFonts w:eastAsia="Times New Roman"/>
                <w:iCs/>
                <w:sz w:val="7"/>
                <w:szCs w:val="17"/>
              </w:rPr>
            </w:pPr>
          </w:p>
          <w:p w:rsidR="00CC37E2" w:rsidRDefault="00CC37E2" w:rsidP="00802977">
            <w:pPr>
              <w:keepLines/>
              <w:spacing w:before="40" w:after="40" w:line="200" w:lineRule="atLeast"/>
              <w:rPr>
                <w:rFonts w:eastAsia="Times New Roman"/>
                <w:iCs/>
                <w:szCs w:val="17"/>
              </w:rPr>
            </w:pPr>
            <w:r>
              <w:rPr>
                <w:rFonts w:eastAsia="Times New Roman"/>
                <w:iCs/>
                <w:szCs w:val="17"/>
              </w:rPr>
              <w:t>Vanuatu Rural Access Index</w:t>
            </w:r>
            <w:r w:rsidR="00962CC5">
              <w:rPr>
                <w:rFonts w:eastAsia="Times New Roman"/>
                <w:iCs/>
                <w:szCs w:val="17"/>
              </w:rPr>
              <w:t xml:space="preserve"> (55% RAI) </w:t>
            </w:r>
            <w:r>
              <w:rPr>
                <w:rFonts w:eastAsia="Times New Roman"/>
                <w:iCs/>
                <w:szCs w:val="17"/>
              </w:rPr>
              <w:t>and Le</w:t>
            </w:r>
            <w:r w:rsidR="00280F0C">
              <w:rPr>
                <w:rFonts w:eastAsia="Times New Roman"/>
                <w:iCs/>
                <w:szCs w:val="17"/>
              </w:rPr>
              <w:t xml:space="preserve">ngth of rural roads </w:t>
            </w:r>
            <w:r>
              <w:rPr>
                <w:rFonts w:eastAsia="Times New Roman"/>
                <w:iCs/>
                <w:szCs w:val="17"/>
              </w:rPr>
              <w:t>maintained, rehabilitated or repaired</w:t>
            </w:r>
            <w:r w:rsidR="00962CC5">
              <w:rPr>
                <w:rFonts w:eastAsia="Times New Roman"/>
                <w:iCs/>
                <w:szCs w:val="17"/>
              </w:rPr>
              <w:t xml:space="preserve"> (</w:t>
            </w:r>
            <w:r>
              <w:rPr>
                <w:rFonts w:eastAsia="Times New Roman"/>
                <w:iCs/>
                <w:szCs w:val="17"/>
              </w:rPr>
              <w:t>550km)</w:t>
            </w:r>
          </w:p>
          <w:p w:rsidR="00CC37E2" w:rsidRPr="00CC3C2A" w:rsidRDefault="00CC37E2" w:rsidP="00802977">
            <w:pPr>
              <w:keepLines/>
              <w:spacing w:before="40" w:after="40" w:line="200" w:lineRule="atLeast"/>
              <w:rPr>
                <w:rFonts w:eastAsia="Times New Roman"/>
                <w:iCs/>
                <w:sz w:val="9"/>
                <w:szCs w:val="17"/>
              </w:rPr>
            </w:pPr>
          </w:p>
          <w:p w:rsidR="00CC37E2" w:rsidRPr="00085E5F" w:rsidRDefault="00CC37E2" w:rsidP="00802977">
            <w:pPr>
              <w:keepLines/>
              <w:spacing w:before="40" w:after="40" w:line="200" w:lineRule="atLeast"/>
              <w:rPr>
                <w:rFonts w:asciiTheme="minorHAnsi" w:eastAsia="Times New Roman" w:hAnsiTheme="minorHAnsi"/>
                <w:iCs/>
                <w:color w:val="FF0000"/>
                <w:szCs w:val="17"/>
                <w:lang w:eastAsia="en-US"/>
              </w:rPr>
            </w:pPr>
            <w:r>
              <w:rPr>
                <w:rFonts w:eastAsia="Times New Roman"/>
                <w:iCs/>
                <w:szCs w:val="17"/>
              </w:rPr>
              <w:t>Number of ni-Vanuatu women and women engaged in seasonal worker program</w:t>
            </w:r>
            <w:r w:rsidR="00B77B79">
              <w:rPr>
                <w:rFonts w:eastAsia="Times New Roman"/>
                <w:iCs/>
                <w:szCs w:val="17"/>
              </w:rPr>
              <w:t xml:space="preserve"> (SWP)</w:t>
            </w:r>
            <w:r>
              <w:rPr>
                <w:rFonts w:eastAsia="Times New Roman"/>
                <w:iCs/>
                <w:szCs w:val="17"/>
              </w:rPr>
              <w:t xml:space="preserve"> (target 550</w:t>
            </w:r>
            <w:r w:rsidR="00432E50">
              <w:rPr>
                <w:rFonts w:eastAsia="Times New Roman"/>
                <w:iCs/>
                <w:szCs w:val="17"/>
              </w:rPr>
              <w:t xml:space="preserve"> F I </w:t>
            </w:r>
            <w:r>
              <w:rPr>
                <w:rFonts w:eastAsia="Times New Roman"/>
                <w:iCs/>
                <w:szCs w:val="17"/>
              </w:rPr>
              <w:t>2,850</w:t>
            </w:r>
            <w:r w:rsidR="00432E50">
              <w:rPr>
                <w:rFonts w:eastAsia="Times New Roman"/>
                <w:iCs/>
                <w:szCs w:val="17"/>
              </w:rPr>
              <w:t>M</w:t>
            </w:r>
            <w:r>
              <w:rPr>
                <w:rFonts w:eastAsia="Times New Roman"/>
                <w:iCs/>
                <w:szCs w:val="17"/>
              </w:rPr>
              <w:t>)</w:t>
            </w:r>
          </w:p>
        </w:tc>
        <w:tc>
          <w:tcPr>
            <w:tcW w:w="269" w:type="pct"/>
            <w:shd w:val="clear" w:color="auto" w:fill="92D050"/>
          </w:tcPr>
          <w:p w:rsidR="00CC37E2" w:rsidRPr="005B1777" w:rsidRDefault="00B97A7B" w:rsidP="005B1777">
            <w:pPr>
              <w:keepLines/>
              <w:spacing w:before="40" w:after="40" w:line="200" w:lineRule="atLeast"/>
              <w:rPr>
                <w:rFonts w:eastAsia="Times New Roman"/>
                <w:b/>
                <w:color w:val="FFFFFF" w:themeColor="background1"/>
                <w:sz w:val="16"/>
                <w:szCs w:val="14"/>
              </w:rPr>
            </w:pPr>
            <w:r w:rsidRPr="005B1777">
              <w:rPr>
                <w:rFonts w:eastAsia="Times New Roman"/>
                <w:b/>
                <w:color w:val="FFFFFF" w:themeColor="background1"/>
                <w:sz w:val="16"/>
                <w:szCs w:val="14"/>
              </w:rPr>
              <w:t xml:space="preserve">Achieved </w:t>
            </w:r>
          </w:p>
          <w:p w:rsidR="00CC37E2" w:rsidRPr="005B1777" w:rsidRDefault="00CC37E2" w:rsidP="005B1777">
            <w:pPr>
              <w:keepLines/>
              <w:spacing w:before="40" w:after="40" w:line="200" w:lineRule="atLeast"/>
              <w:rPr>
                <w:rFonts w:eastAsia="Times New Roman"/>
                <w:b/>
                <w:color w:val="FFFFFF" w:themeColor="background1"/>
                <w:sz w:val="16"/>
                <w:szCs w:val="14"/>
              </w:rPr>
            </w:pPr>
          </w:p>
          <w:p w:rsidR="00CC37E2" w:rsidRPr="005B1777" w:rsidRDefault="00B97A7B" w:rsidP="005B1777">
            <w:pPr>
              <w:keepLines/>
              <w:spacing w:before="40" w:after="40" w:line="200" w:lineRule="atLeast"/>
              <w:rPr>
                <w:rFonts w:eastAsia="Times New Roman"/>
                <w:b/>
                <w:color w:val="FFFFFF" w:themeColor="background1"/>
                <w:sz w:val="16"/>
                <w:szCs w:val="14"/>
              </w:rPr>
            </w:pPr>
            <w:r w:rsidRPr="005B1777">
              <w:rPr>
                <w:rFonts w:eastAsia="Times New Roman"/>
                <w:b/>
                <w:color w:val="FFFFFF" w:themeColor="background1"/>
                <w:sz w:val="16"/>
                <w:szCs w:val="14"/>
              </w:rPr>
              <w:t xml:space="preserve">Achieved </w:t>
            </w:r>
          </w:p>
          <w:p w:rsidR="00CC37E2" w:rsidRPr="005B1777" w:rsidRDefault="00CC37E2" w:rsidP="005B1777">
            <w:pPr>
              <w:keepLines/>
              <w:spacing w:before="40" w:after="40" w:line="200" w:lineRule="atLeast"/>
              <w:rPr>
                <w:rFonts w:eastAsia="Times New Roman"/>
                <w:b/>
                <w:color w:val="FFFFFF" w:themeColor="background1"/>
                <w:sz w:val="16"/>
                <w:szCs w:val="14"/>
              </w:rPr>
            </w:pPr>
          </w:p>
          <w:p w:rsidR="00CC37E2" w:rsidRPr="005B1777" w:rsidRDefault="00B77B79" w:rsidP="005B1777">
            <w:pPr>
              <w:keepLines/>
              <w:spacing w:before="40" w:after="40" w:line="200" w:lineRule="atLeast"/>
              <w:rPr>
                <w:rFonts w:eastAsia="Times New Roman"/>
                <w:b/>
                <w:color w:val="FFFFFF" w:themeColor="background1"/>
                <w:sz w:val="16"/>
                <w:szCs w:val="14"/>
              </w:rPr>
            </w:pPr>
            <w:r w:rsidRPr="005B1777">
              <w:rPr>
                <w:rFonts w:eastAsia="Times New Roman"/>
                <w:b/>
                <w:color w:val="FFFFFF" w:themeColor="background1"/>
                <w:sz w:val="16"/>
                <w:szCs w:val="14"/>
              </w:rPr>
              <w:t>Achieved</w:t>
            </w:r>
          </w:p>
        </w:tc>
        <w:tc>
          <w:tcPr>
            <w:tcW w:w="2492" w:type="pct"/>
          </w:tcPr>
          <w:p w:rsidR="00CC37E2" w:rsidRDefault="00F77A0A" w:rsidP="00802977">
            <w:pPr>
              <w:keepLines/>
              <w:spacing w:before="40" w:after="40" w:line="200" w:lineRule="atLeast"/>
              <w:rPr>
                <w:rFonts w:eastAsia="Times New Roman"/>
                <w:iCs/>
                <w:szCs w:val="17"/>
              </w:rPr>
            </w:pPr>
            <w:r w:rsidRPr="00B83D47">
              <w:rPr>
                <w:rFonts w:eastAsia="Times New Roman"/>
                <w:iCs/>
                <w:szCs w:val="17"/>
              </w:rPr>
              <w:t>20</w:t>
            </w:r>
            <w:r w:rsidR="00CC37E2" w:rsidRPr="00B83D47">
              <w:rPr>
                <w:rFonts w:eastAsia="Times New Roman"/>
                <w:iCs/>
                <w:szCs w:val="17"/>
              </w:rPr>
              <w:t>%</w:t>
            </w:r>
          </w:p>
          <w:p w:rsidR="00CC37E2" w:rsidRPr="00CC3C2A" w:rsidRDefault="00CC37E2" w:rsidP="00802977">
            <w:pPr>
              <w:keepLines/>
              <w:spacing w:before="40" w:after="40" w:line="200" w:lineRule="atLeast"/>
              <w:rPr>
                <w:rFonts w:eastAsia="Times New Roman"/>
                <w:iCs/>
                <w:sz w:val="9"/>
                <w:szCs w:val="17"/>
              </w:rPr>
            </w:pPr>
          </w:p>
          <w:p w:rsidR="00CC37E2" w:rsidRDefault="00CC37E2" w:rsidP="00802977">
            <w:pPr>
              <w:keepLines/>
              <w:spacing w:before="40" w:after="40" w:line="200" w:lineRule="atLeast"/>
              <w:rPr>
                <w:rFonts w:eastAsia="Times New Roman"/>
                <w:iCs/>
                <w:szCs w:val="17"/>
              </w:rPr>
            </w:pPr>
            <w:r>
              <w:rPr>
                <w:rFonts w:eastAsia="Times New Roman"/>
                <w:iCs/>
                <w:szCs w:val="17"/>
              </w:rPr>
              <w:t xml:space="preserve">55.1% RAI and </w:t>
            </w:r>
            <w:r w:rsidR="00EC5732" w:rsidRPr="00EC5732">
              <w:rPr>
                <w:rFonts w:eastAsia="Times New Roman"/>
                <w:iCs/>
                <w:szCs w:val="17"/>
              </w:rPr>
              <w:t>6</w:t>
            </w:r>
            <w:r w:rsidR="00432E50">
              <w:rPr>
                <w:rFonts w:eastAsia="Times New Roman"/>
                <w:iCs/>
                <w:szCs w:val="17"/>
              </w:rPr>
              <w:t>82</w:t>
            </w:r>
            <w:r>
              <w:rPr>
                <w:rFonts w:eastAsia="Times New Roman"/>
                <w:iCs/>
                <w:szCs w:val="17"/>
              </w:rPr>
              <w:t xml:space="preserve"> km of rural roads maintained or repaired </w:t>
            </w:r>
          </w:p>
          <w:p w:rsidR="00CC37E2" w:rsidRDefault="00CC37E2" w:rsidP="00802977">
            <w:pPr>
              <w:keepLines/>
              <w:spacing w:before="40" w:after="40" w:line="200" w:lineRule="atLeast"/>
              <w:rPr>
                <w:rFonts w:eastAsia="Times New Roman"/>
                <w:iCs/>
                <w:szCs w:val="17"/>
              </w:rPr>
            </w:pPr>
          </w:p>
          <w:p w:rsidR="00CC37E2" w:rsidRPr="00085E5F" w:rsidRDefault="007752EE" w:rsidP="007752EE">
            <w:pPr>
              <w:keepLines/>
              <w:spacing w:before="40" w:after="40" w:line="200" w:lineRule="atLeast"/>
              <w:rPr>
                <w:rFonts w:asciiTheme="minorHAnsi" w:eastAsia="Times New Roman" w:hAnsiTheme="minorHAnsi"/>
                <w:iCs/>
                <w:color w:val="FF0000"/>
                <w:szCs w:val="17"/>
                <w:lang w:eastAsia="en-US"/>
              </w:rPr>
            </w:pPr>
            <w:r>
              <w:rPr>
                <w:rStyle w:val="Emphasis"/>
                <w:i w:val="0"/>
                <w:iCs w:val="0"/>
              </w:rPr>
              <w:t>4,964 SWP workers (889</w:t>
            </w:r>
            <w:r w:rsidR="00432E50">
              <w:rPr>
                <w:rStyle w:val="Emphasis"/>
                <w:i w:val="0"/>
                <w:iCs w:val="0"/>
              </w:rPr>
              <w:t xml:space="preserve"> </w:t>
            </w:r>
            <w:r w:rsidR="00B77B79">
              <w:rPr>
                <w:rStyle w:val="Emphasis"/>
                <w:i w:val="0"/>
                <w:iCs w:val="0"/>
              </w:rPr>
              <w:t>F</w:t>
            </w:r>
            <w:r w:rsidR="00432E50">
              <w:rPr>
                <w:rStyle w:val="Emphasis"/>
                <w:i w:val="0"/>
                <w:iCs w:val="0"/>
              </w:rPr>
              <w:t xml:space="preserve"> I </w:t>
            </w:r>
            <w:r w:rsidR="00B77B79">
              <w:rPr>
                <w:rStyle w:val="Emphasis"/>
                <w:i w:val="0"/>
                <w:iCs w:val="0"/>
              </w:rPr>
              <w:t>4</w:t>
            </w:r>
            <w:r>
              <w:rPr>
                <w:rStyle w:val="Emphasis"/>
                <w:i w:val="0"/>
                <w:iCs w:val="0"/>
              </w:rPr>
              <w:t>,</w:t>
            </w:r>
            <w:r w:rsidR="00B77B79">
              <w:rPr>
                <w:rStyle w:val="Emphasis"/>
                <w:i w:val="0"/>
                <w:iCs w:val="0"/>
              </w:rPr>
              <w:t>075M); 51 Pacific Labour Scheme workers  (14F</w:t>
            </w:r>
            <w:r w:rsidR="00432E50">
              <w:rPr>
                <w:rStyle w:val="Emphasis"/>
                <w:i w:val="0"/>
                <w:iCs w:val="0"/>
              </w:rPr>
              <w:t xml:space="preserve"> I </w:t>
            </w:r>
            <w:r w:rsidR="00B77B79">
              <w:rPr>
                <w:rStyle w:val="Emphasis"/>
                <w:i w:val="0"/>
                <w:iCs w:val="0"/>
              </w:rPr>
              <w:t>37M)</w:t>
            </w:r>
          </w:p>
        </w:tc>
      </w:tr>
      <w:tr w:rsidR="00CC3C2A" w:rsidRPr="00C61187" w:rsidTr="00B97A7B">
        <w:tc>
          <w:tcPr>
            <w:tcW w:w="682" w:type="pct"/>
            <w:tcMar>
              <w:top w:w="57" w:type="dxa"/>
              <w:bottom w:w="57" w:type="dxa"/>
            </w:tcMar>
          </w:tcPr>
          <w:p w:rsidR="00CC37E2" w:rsidRPr="00085E5F" w:rsidRDefault="00CC37E2" w:rsidP="00802977">
            <w:pPr>
              <w:keepLines/>
              <w:spacing w:before="40" w:after="40" w:line="200" w:lineRule="atLeast"/>
              <w:rPr>
                <w:rFonts w:asciiTheme="minorHAnsi" w:eastAsia="Times New Roman" w:hAnsiTheme="minorHAnsi"/>
                <w:iCs/>
                <w:color w:val="FF0000"/>
                <w:szCs w:val="17"/>
                <w:lang w:eastAsia="en-US"/>
              </w:rPr>
            </w:pPr>
            <w:r>
              <w:rPr>
                <w:rFonts w:eastAsia="Times New Roman"/>
                <w:iCs/>
                <w:szCs w:val="17"/>
              </w:rPr>
              <w:t>Objective 2: Improve early education and essential health services</w:t>
            </w:r>
            <w:r w:rsidRPr="00FA6D9E">
              <w:rPr>
                <w:rFonts w:eastAsia="Times New Roman"/>
                <w:iCs/>
                <w:szCs w:val="17"/>
              </w:rPr>
              <w:t>.</w:t>
            </w:r>
          </w:p>
        </w:tc>
        <w:tc>
          <w:tcPr>
            <w:tcW w:w="1557" w:type="pct"/>
          </w:tcPr>
          <w:p w:rsidR="00CC37E2" w:rsidRDefault="00CC37E2" w:rsidP="00802977">
            <w:pPr>
              <w:keepLines/>
              <w:spacing w:before="40" w:after="40" w:line="200" w:lineRule="atLeast"/>
              <w:rPr>
                <w:rFonts w:ascii="Franklin Gothic Book" w:eastAsia="Times New Roman" w:hAnsi="Franklin Gothic Book"/>
                <w:iCs/>
                <w:szCs w:val="17"/>
                <w:lang w:eastAsia="en-US"/>
              </w:rPr>
            </w:pPr>
            <w:r>
              <w:rPr>
                <w:rFonts w:ascii="Franklin Gothic Book" w:eastAsia="Times New Roman" w:hAnsi="Franklin Gothic Book"/>
                <w:iCs/>
                <w:szCs w:val="17"/>
                <w:lang w:eastAsia="en-US"/>
              </w:rPr>
              <w:t>Proportion of Year 4 students (girls/boys) meeting national l</w:t>
            </w:r>
            <w:r w:rsidRPr="00772167">
              <w:rPr>
                <w:rFonts w:ascii="Franklin Gothic Book" w:eastAsia="Times New Roman" w:hAnsi="Franklin Gothic Book"/>
                <w:iCs/>
                <w:szCs w:val="17"/>
                <w:lang w:eastAsia="en-US"/>
              </w:rPr>
              <w:t>iteracy and n</w:t>
            </w:r>
            <w:r>
              <w:rPr>
                <w:rFonts w:ascii="Franklin Gothic Book" w:eastAsia="Times New Roman" w:hAnsi="Franklin Gothic Book"/>
                <w:iCs/>
                <w:szCs w:val="17"/>
                <w:lang w:eastAsia="en-US"/>
              </w:rPr>
              <w:t>umeracy standards</w:t>
            </w:r>
            <w:r w:rsidR="00196344">
              <w:rPr>
                <w:rFonts w:ascii="Franklin Gothic Book" w:eastAsia="Times New Roman" w:hAnsi="Franklin Gothic Book"/>
                <w:iCs/>
                <w:szCs w:val="17"/>
                <w:lang w:eastAsia="en-US"/>
              </w:rPr>
              <w:t xml:space="preserve"> (VANSTA baseline data for 2017)</w:t>
            </w:r>
          </w:p>
          <w:p w:rsidR="00CC37E2" w:rsidRDefault="00CC37E2" w:rsidP="00802977">
            <w:pPr>
              <w:keepLines/>
              <w:spacing w:before="40" w:after="40" w:line="200" w:lineRule="atLeast"/>
              <w:rPr>
                <w:rFonts w:ascii="Franklin Gothic Book" w:eastAsia="Times New Roman" w:hAnsi="Franklin Gothic Book"/>
                <w:iCs/>
                <w:szCs w:val="17"/>
                <w:lang w:eastAsia="en-US"/>
              </w:rPr>
            </w:pPr>
          </w:p>
          <w:p w:rsidR="00CC3C2A" w:rsidRDefault="00CC3C2A" w:rsidP="00802977">
            <w:pPr>
              <w:keepLines/>
              <w:spacing w:before="40" w:after="40" w:line="200" w:lineRule="atLeast"/>
              <w:rPr>
                <w:rFonts w:ascii="Franklin Gothic Book" w:eastAsia="Times New Roman" w:hAnsi="Franklin Gothic Book"/>
                <w:iCs/>
                <w:szCs w:val="17"/>
                <w:lang w:eastAsia="en-US"/>
              </w:rPr>
            </w:pPr>
          </w:p>
          <w:p w:rsidR="00CC37E2" w:rsidRPr="00085E5F" w:rsidRDefault="00CC37E2" w:rsidP="00CC3C2A">
            <w:pPr>
              <w:keepLines/>
              <w:spacing w:before="40" w:after="40" w:line="200" w:lineRule="atLeast"/>
              <w:ind w:right="-113"/>
              <w:rPr>
                <w:rFonts w:asciiTheme="minorHAnsi" w:eastAsia="Times New Roman" w:hAnsiTheme="minorHAnsi"/>
                <w:iCs/>
                <w:color w:val="FF0000"/>
                <w:szCs w:val="17"/>
                <w:lang w:eastAsia="en-US"/>
              </w:rPr>
            </w:pPr>
            <w:r>
              <w:rPr>
                <w:rFonts w:ascii="Franklin Gothic Book" w:eastAsia="Times New Roman" w:hAnsi="Franklin Gothic Book"/>
                <w:iCs/>
                <w:szCs w:val="17"/>
                <w:lang w:eastAsia="en-US"/>
              </w:rPr>
              <w:t>Proportion of children (0-5yrs) with full routine immunisation (</w:t>
            </w:r>
            <w:r w:rsidR="00432E50">
              <w:rPr>
                <w:rFonts w:ascii="Franklin Gothic Book" w:eastAsia="Times New Roman" w:hAnsi="Franklin Gothic Book"/>
                <w:iCs/>
                <w:szCs w:val="17"/>
                <w:lang w:eastAsia="en-US"/>
              </w:rPr>
              <w:t>94</w:t>
            </w:r>
            <w:r>
              <w:rPr>
                <w:rFonts w:ascii="Franklin Gothic Book" w:eastAsia="Times New Roman" w:hAnsi="Franklin Gothic Book"/>
                <w:iCs/>
                <w:szCs w:val="17"/>
                <w:lang w:eastAsia="en-US"/>
              </w:rPr>
              <w:t>%</w:t>
            </w:r>
            <w:r w:rsidR="00432E50">
              <w:rPr>
                <w:rFonts w:ascii="Franklin Gothic Book" w:eastAsia="Times New Roman" w:hAnsi="Franklin Gothic Book"/>
                <w:iCs/>
                <w:szCs w:val="17"/>
                <w:lang w:eastAsia="en-US"/>
              </w:rPr>
              <w:t xml:space="preserve"> DPT3</w:t>
            </w:r>
            <w:r>
              <w:rPr>
                <w:rFonts w:ascii="Franklin Gothic Book" w:eastAsia="Times New Roman" w:hAnsi="Franklin Gothic Book"/>
                <w:iCs/>
                <w:szCs w:val="17"/>
                <w:lang w:eastAsia="en-US"/>
              </w:rPr>
              <w:t>)</w:t>
            </w:r>
          </w:p>
        </w:tc>
        <w:tc>
          <w:tcPr>
            <w:tcW w:w="269" w:type="pct"/>
            <w:shd w:val="clear" w:color="auto" w:fill="92D050"/>
          </w:tcPr>
          <w:p w:rsidR="00CC37E2" w:rsidRPr="00FD601B" w:rsidRDefault="0009788B" w:rsidP="00802977">
            <w:pPr>
              <w:keepLines/>
              <w:spacing w:before="40" w:after="40" w:line="200" w:lineRule="atLeast"/>
              <w:jc w:val="center"/>
              <w:rPr>
                <w:rFonts w:eastAsia="Times New Roman" w:cs="Helvetica"/>
                <w:iCs/>
                <w:color w:val="FFFFFF" w:themeColor="background1"/>
                <w:szCs w:val="17"/>
                <w:lang w:eastAsia="en-US"/>
              </w:rPr>
            </w:pPr>
            <w:r w:rsidRPr="00F554BF">
              <w:rPr>
                <w:rFonts w:eastAsia="Times New Roman" w:cs="Helvetica"/>
                <w:b/>
                <w:iCs/>
                <w:color w:val="FFFFFF" w:themeColor="background1"/>
                <w:szCs w:val="17"/>
              </w:rPr>
              <w:t xml:space="preserve">Data not Available </w:t>
            </w:r>
          </w:p>
          <w:p w:rsidR="00CC37E2" w:rsidRDefault="00CC37E2" w:rsidP="00802977">
            <w:pPr>
              <w:keepLines/>
              <w:spacing w:before="40" w:after="40" w:line="200" w:lineRule="atLeast"/>
              <w:jc w:val="center"/>
              <w:rPr>
                <w:rFonts w:asciiTheme="minorHAnsi" w:eastAsia="Times New Roman" w:hAnsiTheme="minorHAnsi"/>
                <w:iCs/>
                <w:color w:val="FFFFFF" w:themeColor="background1"/>
                <w:szCs w:val="17"/>
                <w:lang w:eastAsia="en-US"/>
              </w:rPr>
            </w:pPr>
          </w:p>
          <w:p w:rsidR="00CC37E2" w:rsidRDefault="00CC37E2" w:rsidP="00802977">
            <w:pPr>
              <w:keepLines/>
              <w:spacing w:before="40" w:after="40" w:line="200" w:lineRule="atLeast"/>
              <w:jc w:val="center"/>
              <w:rPr>
                <w:rFonts w:asciiTheme="minorHAnsi" w:eastAsia="Times New Roman" w:hAnsiTheme="minorHAnsi"/>
                <w:iCs/>
                <w:color w:val="FFFFFF" w:themeColor="background1"/>
                <w:szCs w:val="17"/>
                <w:lang w:eastAsia="en-US"/>
              </w:rPr>
            </w:pPr>
          </w:p>
          <w:p w:rsidR="00CC37E2" w:rsidRDefault="00CC37E2" w:rsidP="00802977">
            <w:pPr>
              <w:keepLines/>
              <w:spacing w:before="40" w:after="40" w:line="200" w:lineRule="atLeast"/>
              <w:jc w:val="center"/>
              <w:rPr>
                <w:rFonts w:asciiTheme="minorHAnsi" w:eastAsia="Times New Roman" w:hAnsiTheme="minorHAnsi"/>
                <w:iCs/>
                <w:color w:val="FFFFFF" w:themeColor="background1"/>
                <w:szCs w:val="17"/>
                <w:lang w:eastAsia="en-US"/>
              </w:rPr>
            </w:pPr>
          </w:p>
          <w:p w:rsidR="00CC37E2" w:rsidRPr="00880004" w:rsidRDefault="00EF32D0" w:rsidP="00EF32D0">
            <w:pPr>
              <w:keepLines/>
              <w:spacing w:before="40" w:after="40" w:line="200" w:lineRule="atLeast"/>
              <w:rPr>
                <w:rFonts w:asciiTheme="minorHAnsi" w:eastAsia="Times New Roman" w:hAnsiTheme="minorHAnsi"/>
                <w:iCs/>
                <w:szCs w:val="17"/>
                <w:lang w:eastAsia="en-US"/>
              </w:rPr>
            </w:pPr>
            <w:r>
              <w:rPr>
                <w:rFonts w:eastAsia="Times New Roman"/>
                <w:b/>
                <w:color w:val="FFFFFF" w:themeColor="background1"/>
                <w:sz w:val="16"/>
                <w:szCs w:val="14"/>
              </w:rPr>
              <w:t>A</w:t>
            </w:r>
            <w:r w:rsidR="00B97A7B" w:rsidRPr="00B97A7B">
              <w:rPr>
                <w:rFonts w:eastAsia="Times New Roman"/>
                <w:b/>
                <w:color w:val="FFFFFF" w:themeColor="background1"/>
                <w:sz w:val="16"/>
                <w:szCs w:val="14"/>
              </w:rPr>
              <w:t>chieved</w:t>
            </w:r>
          </w:p>
        </w:tc>
        <w:tc>
          <w:tcPr>
            <w:tcW w:w="2492" w:type="pct"/>
          </w:tcPr>
          <w:p w:rsidR="00CC37E2" w:rsidRPr="007752EE" w:rsidRDefault="001D0CCB" w:rsidP="007752EE">
            <w:pPr>
              <w:keepLines/>
              <w:spacing w:before="40" w:after="40" w:line="200" w:lineRule="atLeast"/>
              <w:ind w:right="-113"/>
              <w:rPr>
                <w:rFonts w:ascii="Franklin Gothic Book" w:eastAsia="Times New Roman" w:hAnsi="Franklin Gothic Book"/>
                <w:b/>
                <w:iCs/>
                <w:szCs w:val="17"/>
                <w:lang w:eastAsia="en-US"/>
              </w:rPr>
            </w:pPr>
            <w:r>
              <w:rPr>
                <w:rFonts w:ascii="Franklin Gothic Book" w:eastAsia="Times New Roman" w:hAnsi="Franklin Gothic Book"/>
                <w:b/>
                <w:iCs/>
                <w:szCs w:val="17"/>
                <w:lang w:eastAsia="en-US"/>
              </w:rPr>
              <w:t>VANSTA data</w:t>
            </w:r>
            <w:r w:rsidR="00CC37E2" w:rsidRPr="007752EE">
              <w:rPr>
                <w:rFonts w:ascii="Franklin Gothic Book" w:eastAsia="Times New Roman" w:hAnsi="Franklin Gothic Book"/>
                <w:b/>
                <w:iCs/>
                <w:szCs w:val="17"/>
                <w:lang w:eastAsia="en-US"/>
              </w:rPr>
              <w:t xml:space="preserve"> for year 4 </w:t>
            </w:r>
            <w:r>
              <w:rPr>
                <w:rFonts w:ascii="Franklin Gothic Book" w:eastAsia="Times New Roman" w:hAnsi="Franklin Gothic Book"/>
                <w:b/>
                <w:iCs/>
                <w:szCs w:val="17"/>
                <w:lang w:eastAsia="en-US"/>
              </w:rPr>
              <w:t>will be</w:t>
            </w:r>
            <w:r w:rsidR="00CC37E2" w:rsidRPr="007752EE">
              <w:rPr>
                <w:rFonts w:ascii="Franklin Gothic Book" w:eastAsia="Times New Roman" w:hAnsi="Franklin Gothic Book"/>
                <w:b/>
                <w:iCs/>
                <w:szCs w:val="17"/>
                <w:lang w:eastAsia="en-US"/>
              </w:rPr>
              <w:t xml:space="preserve"> </w:t>
            </w:r>
            <w:r w:rsidR="00DD2D3C">
              <w:rPr>
                <w:rFonts w:ascii="Franklin Gothic Book" w:eastAsia="Times New Roman" w:hAnsi="Franklin Gothic Book"/>
                <w:b/>
                <w:iCs/>
                <w:szCs w:val="17"/>
                <w:lang w:eastAsia="en-US"/>
              </w:rPr>
              <w:t xml:space="preserve">available </w:t>
            </w:r>
            <w:r>
              <w:rPr>
                <w:rFonts w:ascii="Franklin Gothic Book" w:eastAsia="Times New Roman" w:hAnsi="Franklin Gothic Book"/>
                <w:b/>
                <w:iCs/>
                <w:szCs w:val="17"/>
                <w:lang w:eastAsia="en-US"/>
              </w:rPr>
              <w:t xml:space="preserve">in </w:t>
            </w:r>
            <w:r w:rsidR="00DD2D3C">
              <w:rPr>
                <w:rFonts w:ascii="Franklin Gothic Book" w:eastAsia="Times New Roman" w:hAnsi="Franklin Gothic Book"/>
                <w:b/>
                <w:iCs/>
                <w:szCs w:val="17"/>
                <w:lang w:eastAsia="en-US"/>
              </w:rPr>
              <w:t>late 2019</w:t>
            </w:r>
            <w:r w:rsidR="00CC37E2" w:rsidRPr="007752EE">
              <w:rPr>
                <w:rFonts w:ascii="Franklin Gothic Book" w:eastAsia="Times New Roman" w:hAnsi="Franklin Gothic Book"/>
                <w:b/>
                <w:iCs/>
                <w:szCs w:val="17"/>
                <w:lang w:eastAsia="en-US"/>
              </w:rPr>
              <w:t xml:space="preserve">. </w:t>
            </w:r>
            <w:r w:rsidR="00325D59">
              <w:rPr>
                <w:rFonts w:ascii="Franklin Gothic Book" w:eastAsia="Times New Roman" w:hAnsi="Franklin Gothic Book"/>
                <w:b/>
                <w:iCs/>
                <w:szCs w:val="17"/>
                <w:lang w:eastAsia="en-US"/>
              </w:rPr>
              <w:t xml:space="preserve">Data below is the </w:t>
            </w:r>
            <w:r w:rsidR="00432E50">
              <w:rPr>
                <w:rFonts w:ascii="Franklin Gothic Book" w:eastAsia="Times New Roman" w:hAnsi="Franklin Gothic Book"/>
                <w:b/>
                <w:iCs/>
                <w:szCs w:val="17"/>
                <w:lang w:eastAsia="en-US"/>
              </w:rPr>
              <w:t xml:space="preserve">VANSTA </w:t>
            </w:r>
            <w:r w:rsidR="00325D59">
              <w:rPr>
                <w:rFonts w:ascii="Franklin Gothic Book" w:eastAsia="Times New Roman" w:hAnsi="Franklin Gothic Book"/>
                <w:b/>
                <w:iCs/>
                <w:szCs w:val="17"/>
                <w:lang w:eastAsia="en-US"/>
              </w:rPr>
              <w:t>baseline data for 2017.</w:t>
            </w:r>
          </w:p>
          <w:p w:rsidR="00CC37E2" w:rsidRPr="007752EE" w:rsidRDefault="00CC37E2" w:rsidP="007752EE">
            <w:pPr>
              <w:keepLines/>
              <w:spacing w:before="40" w:after="40" w:line="200" w:lineRule="atLeast"/>
              <w:ind w:right="-113"/>
              <w:rPr>
                <w:rFonts w:ascii="Franklin Gothic Book" w:eastAsia="Times New Roman" w:hAnsi="Franklin Gothic Book"/>
                <w:iCs/>
                <w:szCs w:val="17"/>
                <w:lang w:eastAsia="en-US"/>
              </w:rPr>
            </w:pPr>
            <w:r w:rsidRPr="007752EE">
              <w:rPr>
                <w:rFonts w:ascii="Franklin Gothic Book" w:eastAsia="Times New Roman" w:hAnsi="Franklin Gothic Book"/>
                <w:iCs/>
                <w:szCs w:val="17"/>
                <w:lang w:eastAsia="en-US"/>
              </w:rPr>
              <w:t>E</w:t>
            </w:r>
            <w:r w:rsidR="004E773C" w:rsidRPr="007752EE">
              <w:rPr>
                <w:rFonts w:ascii="Franklin Gothic Book" w:eastAsia="Times New Roman" w:hAnsi="Franklin Gothic Book"/>
                <w:iCs/>
                <w:szCs w:val="17"/>
                <w:lang w:eastAsia="en-US"/>
              </w:rPr>
              <w:t xml:space="preserve">nglish literacy year 4 - </w:t>
            </w:r>
            <w:r w:rsidR="001D0CCB" w:rsidRPr="00EF32D0">
              <w:rPr>
                <w:rFonts w:ascii="Franklin Gothic Book" w:eastAsia="Times New Roman" w:hAnsi="Franklin Gothic Book"/>
                <w:iCs/>
                <w:szCs w:val="17"/>
              </w:rPr>
              <w:t>65</w:t>
            </w:r>
            <w:r w:rsidR="004E773C" w:rsidRPr="00EF32D0">
              <w:rPr>
                <w:rFonts w:ascii="Franklin Gothic Book" w:eastAsia="Times New Roman" w:hAnsi="Franklin Gothic Book"/>
                <w:iCs/>
                <w:szCs w:val="17"/>
              </w:rPr>
              <w:t>%</w:t>
            </w:r>
            <w:r w:rsidR="001D0CCB">
              <w:rPr>
                <w:rFonts w:ascii="Franklin Gothic Book" w:eastAsia="Times New Roman" w:hAnsi="Franklin Gothic Book"/>
                <w:iCs/>
                <w:szCs w:val="17"/>
                <w:lang w:eastAsia="en-US"/>
              </w:rPr>
              <w:t xml:space="preserve"> meeting or exceeding the minimum standard. Boys 58% Girls 73%</w:t>
            </w:r>
            <w:r w:rsidR="004E773C" w:rsidRPr="007752EE">
              <w:rPr>
                <w:rFonts w:ascii="Franklin Gothic Book" w:eastAsia="Times New Roman" w:hAnsi="Franklin Gothic Book"/>
                <w:iCs/>
                <w:szCs w:val="17"/>
                <w:lang w:eastAsia="en-US"/>
              </w:rPr>
              <w:t xml:space="preserve"> </w:t>
            </w:r>
          </w:p>
          <w:p w:rsidR="00CC37E2" w:rsidRPr="007752EE" w:rsidRDefault="004E773C" w:rsidP="007752EE">
            <w:pPr>
              <w:keepLines/>
              <w:spacing w:before="40" w:after="40" w:line="200" w:lineRule="atLeast"/>
              <w:ind w:right="-113"/>
              <w:rPr>
                <w:rFonts w:ascii="Franklin Gothic Book" w:eastAsia="Times New Roman" w:hAnsi="Franklin Gothic Book"/>
                <w:iCs/>
                <w:szCs w:val="17"/>
                <w:lang w:eastAsia="en-US"/>
              </w:rPr>
            </w:pPr>
            <w:r w:rsidRPr="007752EE">
              <w:rPr>
                <w:rFonts w:ascii="Franklin Gothic Book" w:eastAsia="Times New Roman" w:hAnsi="Franklin Gothic Book"/>
                <w:iCs/>
                <w:szCs w:val="17"/>
                <w:lang w:eastAsia="en-US"/>
              </w:rPr>
              <w:t xml:space="preserve">French literacy year 4 - </w:t>
            </w:r>
            <w:r w:rsidR="001D0CCB" w:rsidRPr="00EF32D0">
              <w:rPr>
                <w:rFonts w:ascii="Franklin Gothic Book" w:eastAsia="Times New Roman" w:hAnsi="Franklin Gothic Book"/>
                <w:iCs/>
                <w:szCs w:val="17"/>
              </w:rPr>
              <w:t>64</w:t>
            </w:r>
            <w:r w:rsidRPr="00EF32D0">
              <w:rPr>
                <w:rFonts w:ascii="Franklin Gothic Book" w:eastAsia="Times New Roman" w:hAnsi="Franklin Gothic Book"/>
                <w:iCs/>
                <w:szCs w:val="17"/>
              </w:rPr>
              <w:t>%</w:t>
            </w:r>
            <w:r w:rsidR="001D0CCB">
              <w:rPr>
                <w:rFonts w:ascii="Franklin Gothic Book" w:eastAsia="Times New Roman" w:hAnsi="Franklin Gothic Book"/>
                <w:iCs/>
                <w:szCs w:val="17"/>
                <w:lang w:eastAsia="en-US"/>
              </w:rPr>
              <w:t xml:space="preserve"> meeting or exceeding the minimum standard. Boys 59% Girls 71%</w:t>
            </w:r>
          </w:p>
          <w:p w:rsidR="00CC37E2" w:rsidRPr="007752EE" w:rsidRDefault="004E773C" w:rsidP="007752EE">
            <w:pPr>
              <w:keepLines/>
              <w:spacing w:before="40" w:after="40" w:line="200" w:lineRule="atLeast"/>
              <w:ind w:right="-113"/>
              <w:rPr>
                <w:rFonts w:ascii="Franklin Gothic Book" w:eastAsia="Times New Roman" w:hAnsi="Franklin Gothic Book"/>
                <w:iCs/>
                <w:szCs w:val="17"/>
                <w:lang w:eastAsia="en-US"/>
              </w:rPr>
            </w:pPr>
            <w:r w:rsidRPr="007752EE">
              <w:rPr>
                <w:rFonts w:ascii="Franklin Gothic Book" w:eastAsia="Times New Roman" w:hAnsi="Franklin Gothic Book"/>
                <w:iCs/>
                <w:szCs w:val="17"/>
                <w:lang w:eastAsia="en-US"/>
              </w:rPr>
              <w:t xml:space="preserve">Numeracy year 4 – </w:t>
            </w:r>
            <w:r w:rsidR="001D0CCB">
              <w:rPr>
                <w:rFonts w:ascii="Franklin Gothic Book" w:eastAsia="Times New Roman" w:hAnsi="Franklin Gothic Book"/>
                <w:iCs/>
                <w:szCs w:val="17"/>
                <w:lang w:eastAsia="en-US"/>
              </w:rPr>
              <w:t>85</w:t>
            </w:r>
            <w:r w:rsidRPr="00EF32D0">
              <w:rPr>
                <w:rFonts w:ascii="Franklin Gothic Book" w:eastAsia="Times New Roman" w:hAnsi="Franklin Gothic Book"/>
                <w:iCs/>
                <w:szCs w:val="17"/>
              </w:rPr>
              <w:t>%</w:t>
            </w:r>
            <w:r w:rsidRPr="007752EE">
              <w:rPr>
                <w:rFonts w:ascii="Franklin Gothic Book" w:eastAsia="Times New Roman" w:hAnsi="Franklin Gothic Book"/>
                <w:iCs/>
                <w:szCs w:val="17"/>
                <w:lang w:eastAsia="en-US"/>
              </w:rPr>
              <w:t xml:space="preserve"> </w:t>
            </w:r>
            <w:r w:rsidR="001D0CCB">
              <w:rPr>
                <w:rFonts w:ascii="Franklin Gothic Book" w:eastAsia="Times New Roman" w:hAnsi="Franklin Gothic Book"/>
                <w:iCs/>
                <w:szCs w:val="17"/>
                <w:lang w:eastAsia="en-US"/>
              </w:rPr>
              <w:t>meeting or exceeding the minimum standard. Boys 84% Girls 88%</w:t>
            </w:r>
          </w:p>
          <w:p w:rsidR="00CC37E2" w:rsidRPr="007752EE" w:rsidRDefault="00CC37E2" w:rsidP="007752EE">
            <w:pPr>
              <w:keepLines/>
              <w:spacing w:before="40" w:after="40" w:line="200" w:lineRule="atLeast"/>
              <w:ind w:right="-113"/>
              <w:rPr>
                <w:rFonts w:ascii="Franklin Gothic Book" w:eastAsia="Times New Roman" w:hAnsi="Franklin Gothic Book"/>
                <w:iCs/>
                <w:szCs w:val="17"/>
                <w:lang w:eastAsia="en-US"/>
              </w:rPr>
            </w:pPr>
            <w:r w:rsidRPr="007752EE">
              <w:rPr>
                <w:rFonts w:ascii="Franklin Gothic Book" w:eastAsia="Times New Roman" w:hAnsi="Franklin Gothic Book"/>
                <w:iCs/>
                <w:szCs w:val="17"/>
                <w:lang w:eastAsia="en-US"/>
              </w:rPr>
              <w:t xml:space="preserve"> </w:t>
            </w:r>
          </w:p>
          <w:p w:rsidR="00CC37E2" w:rsidRPr="007752EE" w:rsidRDefault="00EC5732" w:rsidP="007752EE">
            <w:pPr>
              <w:keepLines/>
              <w:spacing w:before="40" w:after="40" w:line="200" w:lineRule="atLeast"/>
              <w:ind w:right="-113"/>
              <w:rPr>
                <w:rFonts w:ascii="Franklin Gothic Book" w:eastAsia="Times New Roman" w:hAnsi="Franklin Gothic Book"/>
                <w:iCs/>
                <w:szCs w:val="17"/>
                <w:lang w:eastAsia="en-US"/>
              </w:rPr>
            </w:pPr>
            <w:r w:rsidRPr="007752EE">
              <w:rPr>
                <w:rFonts w:ascii="Franklin Gothic Book" w:eastAsia="Times New Roman" w:hAnsi="Franklin Gothic Book"/>
                <w:iCs/>
                <w:szCs w:val="17"/>
                <w:lang w:eastAsia="en-US"/>
              </w:rPr>
              <w:t>9</w:t>
            </w:r>
            <w:r w:rsidR="00432E50">
              <w:rPr>
                <w:rFonts w:ascii="Franklin Gothic Book" w:eastAsia="Times New Roman" w:hAnsi="Franklin Gothic Book"/>
                <w:iCs/>
                <w:szCs w:val="17"/>
                <w:lang w:eastAsia="en-US"/>
              </w:rPr>
              <w:t>3</w:t>
            </w:r>
            <w:r w:rsidR="00CC37E2" w:rsidRPr="007752EE">
              <w:rPr>
                <w:rFonts w:ascii="Franklin Gothic Book" w:eastAsia="Times New Roman" w:hAnsi="Franklin Gothic Book"/>
                <w:iCs/>
                <w:szCs w:val="17"/>
                <w:lang w:eastAsia="en-US"/>
              </w:rPr>
              <w:t>% DPT3</w:t>
            </w:r>
            <w:r w:rsidR="00EF32D0">
              <w:rPr>
                <w:rStyle w:val="FootnoteReference"/>
                <w:rFonts w:ascii="Franklin Gothic Book" w:eastAsia="Times New Roman" w:hAnsi="Franklin Gothic Book"/>
                <w:iCs/>
                <w:szCs w:val="17"/>
                <w:lang w:eastAsia="en-US"/>
              </w:rPr>
              <w:footnoteReference w:id="11"/>
            </w:r>
            <w:r w:rsidR="00CC37E2" w:rsidRPr="007752EE">
              <w:rPr>
                <w:rFonts w:ascii="Franklin Gothic Book" w:eastAsia="Times New Roman" w:hAnsi="Franklin Gothic Book"/>
                <w:iCs/>
                <w:szCs w:val="17"/>
                <w:lang w:eastAsia="en-US"/>
              </w:rPr>
              <w:t xml:space="preserve"> </w:t>
            </w:r>
          </w:p>
        </w:tc>
      </w:tr>
      <w:tr w:rsidR="00CC3C2A" w:rsidRPr="00C61187" w:rsidTr="00B97A7B">
        <w:tc>
          <w:tcPr>
            <w:tcW w:w="682" w:type="pct"/>
            <w:tcMar>
              <w:top w:w="57" w:type="dxa"/>
              <w:bottom w:w="57" w:type="dxa"/>
            </w:tcMar>
          </w:tcPr>
          <w:p w:rsidR="00CC37E2" w:rsidRPr="0018219A" w:rsidRDefault="00CC37E2" w:rsidP="0018219A">
            <w:pPr>
              <w:keepLines/>
              <w:spacing w:before="40" w:after="40" w:line="200" w:lineRule="atLeast"/>
              <w:rPr>
                <w:rFonts w:eastAsia="Times New Roman"/>
                <w:iCs/>
                <w:szCs w:val="17"/>
              </w:rPr>
            </w:pPr>
            <w:r>
              <w:rPr>
                <w:rFonts w:eastAsia="Times New Roman"/>
                <w:iCs/>
                <w:szCs w:val="17"/>
              </w:rPr>
              <w:t xml:space="preserve">Objective 3: Improve community safety and resilience </w:t>
            </w:r>
          </w:p>
        </w:tc>
        <w:tc>
          <w:tcPr>
            <w:tcW w:w="1557" w:type="pct"/>
          </w:tcPr>
          <w:p w:rsidR="00CC37E2" w:rsidRPr="00CC3C2A" w:rsidRDefault="00CC37E2" w:rsidP="00802977">
            <w:pPr>
              <w:keepLines/>
              <w:spacing w:before="40" w:after="40" w:line="200" w:lineRule="atLeast"/>
              <w:rPr>
                <w:rFonts w:eastAsia="Times New Roman"/>
                <w:iCs/>
                <w:szCs w:val="17"/>
              </w:rPr>
            </w:pPr>
            <w:r>
              <w:rPr>
                <w:rFonts w:eastAsia="Times New Roman"/>
                <w:iCs/>
                <w:szCs w:val="17"/>
              </w:rPr>
              <w:t xml:space="preserve">Number of women and children survivors of violence provided counselling, support, </w:t>
            </w:r>
            <w:r w:rsidR="002155C3">
              <w:rPr>
                <w:rFonts w:eastAsia="Times New Roman"/>
                <w:iCs/>
                <w:szCs w:val="17"/>
              </w:rPr>
              <w:t xml:space="preserve">and </w:t>
            </w:r>
            <w:r>
              <w:rPr>
                <w:rFonts w:eastAsia="Times New Roman"/>
                <w:iCs/>
                <w:szCs w:val="17"/>
              </w:rPr>
              <w:t>legal services</w:t>
            </w:r>
            <w:r w:rsidR="00196344">
              <w:rPr>
                <w:rFonts w:eastAsia="Times New Roman"/>
                <w:iCs/>
                <w:szCs w:val="17"/>
              </w:rPr>
              <w:t xml:space="preserve"> (8,500)</w:t>
            </w:r>
          </w:p>
        </w:tc>
        <w:tc>
          <w:tcPr>
            <w:tcW w:w="269" w:type="pct"/>
            <w:shd w:val="clear" w:color="auto" w:fill="92D050"/>
          </w:tcPr>
          <w:p w:rsidR="00CC37E2" w:rsidRPr="005B1777" w:rsidRDefault="007752EE" w:rsidP="005B1777">
            <w:pPr>
              <w:keepLines/>
              <w:spacing w:before="40" w:after="40" w:line="200" w:lineRule="atLeast"/>
              <w:rPr>
                <w:rFonts w:eastAsia="Times New Roman"/>
                <w:b/>
                <w:color w:val="FFFFFF" w:themeColor="background1"/>
                <w:sz w:val="16"/>
                <w:szCs w:val="14"/>
              </w:rPr>
            </w:pPr>
            <w:r w:rsidRPr="005B1777">
              <w:rPr>
                <w:rFonts w:eastAsia="Times New Roman"/>
                <w:b/>
                <w:color w:val="FFFFFF" w:themeColor="background1"/>
                <w:sz w:val="16"/>
                <w:szCs w:val="14"/>
              </w:rPr>
              <w:t>Achieved</w:t>
            </w:r>
          </w:p>
        </w:tc>
        <w:tc>
          <w:tcPr>
            <w:tcW w:w="2492" w:type="pct"/>
          </w:tcPr>
          <w:p w:rsidR="00CC37E2" w:rsidRPr="007752EE" w:rsidRDefault="00B71FC4" w:rsidP="00B71FC4">
            <w:pPr>
              <w:keepLines/>
              <w:spacing w:before="40" w:after="40" w:line="200" w:lineRule="atLeast"/>
              <w:ind w:right="-113"/>
              <w:rPr>
                <w:rFonts w:ascii="Franklin Gothic Book" w:eastAsia="Times New Roman" w:hAnsi="Franklin Gothic Book"/>
                <w:iCs/>
                <w:szCs w:val="17"/>
                <w:lang w:eastAsia="en-US"/>
              </w:rPr>
            </w:pPr>
            <w:r>
              <w:rPr>
                <w:rFonts w:ascii="Franklin Gothic Book" w:eastAsia="Times New Roman" w:hAnsi="Franklin Gothic Book"/>
                <w:iCs/>
                <w:szCs w:val="17"/>
                <w:lang w:eastAsia="en-US"/>
              </w:rPr>
              <w:t>8,859</w:t>
            </w:r>
            <w:r w:rsidR="00E6394C" w:rsidRPr="007752EE">
              <w:rPr>
                <w:rFonts w:ascii="Franklin Gothic Book" w:eastAsia="Times New Roman" w:hAnsi="Franklin Gothic Book"/>
                <w:iCs/>
                <w:szCs w:val="17"/>
                <w:lang w:eastAsia="en-US"/>
              </w:rPr>
              <w:t xml:space="preserve"> clients accessed counselling support and legal services from Vanuatu Women’s Centre.</w:t>
            </w:r>
          </w:p>
        </w:tc>
      </w:tr>
      <w:tr w:rsidR="00CC3C2A" w:rsidRPr="00C61187" w:rsidTr="00B97A7B">
        <w:tc>
          <w:tcPr>
            <w:tcW w:w="682" w:type="pct"/>
            <w:tcMar>
              <w:top w:w="57" w:type="dxa"/>
              <w:bottom w:w="57" w:type="dxa"/>
            </w:tcMar>
          </w:tcPr>
          <w:p w:rsidR="00CC37E2" w:rsidRDefault="00CC37E2" w:rsidP="0018219A">
            <w:pPr>
              <w:keepLines/>
              <w:spacing w:before="40" w:after="40" w:line="200" w:lineRule="atLeast"/>
              <w:rPr>
                <w:rFonts w:eastAsia="Times New Roman"/>
                <w:iCs/>
                <w:szCs w:val="17"/>
              </w:rPr>
            </w:pPr>
            <w:r>
              <w:rPr>
                <w:rFonts w:eastAsia="Times New Roman"/>
                <w:iCs/>
                <w:szCs w:val="17"/>
              </w:rPr>
              <w:t>Objective 4: Support</w:t>
            </w:r>
            <w:r w:rsidRPr="00FA6D9E">
              <w:rPr>
                <w:rFonts w:eastAsia="Times New Roman"/>
                <w:iCs/>
                <w:szCs w:val="17"/>
              </w:rPr>
              <w:t xml:space="preserve"> cyclone recovery and reconstruction. </w:t>
            </w:r>
          </w:p>
        </w:tc>
        <w:tc>
          <w:tcPr>
            <w:tcW w:w="1557" w:type="pct"/>
          </w:tcPr>
          <w:p w:rsidR="00CC37E2" w:rsidRPr="00085E5F" w:rsidRDefault="00CC37E2" w:rsidP="00802977">
            <w:pPr>
              <w:keepLines/>
              <w:spacing w:before="40" w:after="40" w:line="200" w:lineRule="atLeast"/>
              <w:rPr>
                <w:rFonts w:eastAsia="Times New Roman"/>
                <w:iCs/>
                <w:color w:val="FF0000"/>
                <w:szCs w:val="17"/>
              </w:rPr>
            </w:pPr>
            <w:r w:rsidRPr="00FA6D9E">
              <w:rPr>
                <w:rFonts w:eastAsia="Times New Roman"/>
                <w:iCs/>
                <w:szCs w:val="17"/>
              </w:rPr>
              <w:t xml:space="preserve">Number of public service delivery </w:t>
            </w:r>
            <w:r>
              <w:rPr>
                <w:rFonts w:eastAsia="Times New Roman"/>
                <w:iCs/>
                <w:szCs w:val="17"/>
              </w:rPr>
              <w:t>facilities</w:t>
            </w:r>
            <w:r w:rsidRPr="00FA6D9E">
              <w:rPr>
                <w:rFonts w:eastAsia="Times New Roman"/>
                <w:iCs/>
                <w:szCs w:val="17"/>
              </w:rPr>
              <w:t xml:space="preserve"> reconstructed or repaired</w:t>
            </w:r>
            <w:r>
              <w:rPr>
                <w:rFonts w:eastAsia="Times New Roman"/>
                <w:iCs/>
                <w:szCs w:val="17"/>
              </w:rPr>
              <w:t xml:space="preserve"> - cumulative (220)</w:t>
            </w:r>
          </w:p>
        </w:tc>
        <w:tc>
          <w:tcPr>
            <w:tcW w:w="269" w:type="pct"/>
            <w:shd w:val="clear" w:color="auto" w:fill="92D050"/>
          </w:tcPr>
          <w:p w:rsidR="00CC37E2" w:rsidRPr="005B1777" w:rsidRDefault="00CC37E2" w:rsidP="005B1777">
            <w:pPr>
              <w:keepLines/>
              <w:spacing w:before="40" w:after="40" w:line="200" w:lineRule="atLeast"/>
              <w:rPr>
                <w:rFonts w:eastAsia="Times New Roman"/>
                <w:b/>
                <w:color w:val="FFFFFF" w:themeColor="background1"/>
                <w:sz w:val="16"/>
                <w:szCs w:val="14"/>
              </w:rPr>
            </w:pPr>
            <w:r w:rsidRPr="005B1777">
              <w:rPr>
                <w:rFonts w:eastAsia="Times New Roman"/>
                <w:b/>
                <w:color w:val="FFFFFF" w:themeColor="background1"/>
                <w:sz w:val="16"/>
                <w:szCs w:val="14"/>
              </w:rPr>
              <w:t>Achieved</w:t>
            </w:r>
          </w:p>
        </w:tc>
        <w:tc>
          <w:tcPr>
            <w:tcW w:w="2492" w:type="pct"/>
          </w:tcPr>
          <w:p w:rsidR="00CC37E2" w:rsidRPr="007752EE" w:rsidRDefault="009F056B" w:rsidP="007752EE">
            <w:pPr>
              <w:keepLines/>
              <w:spacing w:before="40" w:after="40" w:line="200" w:lineRule="atLeast"/>
              <w:ind w:right="-113"/>
              <w:rPr>
                <w:rFonts w:ascii="Franklin Gothic Book" w:eastAsia="Times New Roman" w:hAnsi="Franklin Gothic Book"/>
                <w:iCs/>
                <w:szCs w:val="17"/>
                <w:lang w:eastAsia="en-US"/>
              </w:rPr>
            </w:pPr>
            <w:r w:rsidRPr="007752EE">
              <w:rPr>
                <w:rFonts w:ascii="Franklin Gothic Book" w:eastAsia="Times New Roman" w:hAnsi="Franklin Gothic Book"/>
                <w:iCs/>
                <w:szCs w:val="17"/>
                <w:lang w:eastAsia="en-US"/>
              </w:rPr>
              <w:t>287</w:t>
            </w:r>
            <w:r w:rsidR="00CC37E2" w:rsidRPr="007752EE">
              <w:rPr>
                <w:rFonts w:ascii="Franklin Gothic Book" w:eastAsia="Times New Roman" w:hAnsi="Franklin Gothic Book"/>
                <w:iCs/>
                <w:szCs w:val="17"/>
                <w:lang w:eastAsia="en-US"/>
              </w:rPr>
              <w:t xml:space="preserve"> public service delivery facilities have been constructed or repaired under the TC Pam Recovery Program.</w:t>
            </w:r>
          </w:p>
        </w:tc>
      </w:tr>
    </w:tbl>
    <w:p w:rsidR="00CC37E2" w:rsidRPr="00880004" w:rsidRDefault="00CC37E2" w:rsidP="00CC37E2">
      <w:pPr>
        <w:spacing w:before="20" w:after="20" w:line="180" w:lineRule="atLeast"/>
        <w:jc w:val="both"/>
        <w:rPr>
          <w:rFonts w:eastAsia="Times New Roman"/>
          <w:b/>
          <w:sz w:val="16"/>
          <w:szCs w:val="14"/>
        </w:rPr>
      </w:pPr>
      <w:r w:rsidRPr="00880004">
        <w:rPr>
          <w:rFonts w:eastAsia="Times New Roman"/>
          <w:b/>
          <w:sz w:val="16"/>
          <w:szCs w:val="14"/>
        </w:rPr>
        <w:t xml:space="preserve">Note: </w:t>
      </w:r>
    </w:p>
    <w:p w:rsidR="00CC37E2" w:rsidRPr="00880004" w:rsidRDefault="00CC37E2" w:rsidP="00CC37E2">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rsidR="00CC37E2" w:rsidRPr="00880004" w:rsidRDefault="00CC37E2" w:rsidP="00CC37E2">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rsidR="00CC37E2" w:rsidRPr="00880004" w:rsidRDefault="00CC37E2" w:rsidP="00CC37E2">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rsidR="000300AE" w:rsidRDefault="000300AE" w:rsidP="00914413">
      <w:pPr>
        <w:rPr>
          <w:rFonts w:eastAsia="Times New Roman" w:cstheme="minorHAnsi"/>
          <w:sz w:val="32"/>
          <w:szCs w:val="32"/>
        </w:rPr>
      </w:pPr>
    </w:p>
    <w:p w:rsidR="00914413" w:rsidRPr="00F8189A" w:rsidRDefault="00914413" w:rsidP="00914413">
      <w:pPr>
        <w:rPr>
          <w:rFonts w:eastAsia="Times New Roman" w:cstheme="minorHAnsi"/>
          <w:sz w:val="32"/>
          <w:szCs w:val="32"/>
        </w:rPr>
      </w:pPr>
      <w:r w:rsidRPr="00F8189A">
        <w:rPr>
          <w:rFonts w:eastAsia="Times New Roman" w:cstheme="minorHAnsi"/>
          <w:sz w:val="32"/>
          <w:szCs w:val="32"/>
        </w:rPr>
        <w:lastRenderedPageBreak/>
        <w:t xml:space="preserve">Performance Benchmarks for </w:t>
      </w:r>
      <w:r>
        <w:rPr>
          <w:rFonts w:eastAsia="Times New Roman" w:cstheme="minorHAnsi"/>
          <w:sz w:val="32"/>
          <w:szCs w:val="32"/>
        </w:rPr>
        <w:t>2019-20</w:t>
      </w:r>
    </w:p>
    <w:tbl>
      <w:tblPr>
        <w:tblStyle w:val="DFATTable"/>
        <w:tblW w:w="5000" w:type="pct"/>
        <w:tblLook w:val="04A0" w:firstRow="1" w:lastRow="0" w:firstColumn="1" w:lastColumn="0" w:noHBand="0" w:noVBand="1"/>
      </w:tblPr>
      <w:tblGrid>
        <w:gridCol w:w="2242"/>
        <w:gridCol w:w="4225"/>
        <w:gridCol w:w="2240"/>
        <w:gridCol w:w="5328"/>
      </w:tblGrid>
      <w:tr w:rsidR="00914413" w:rsidTr="00802977">
        <w:trPr>
          <w:trHeight w:val="245"/>
        </w:trPr>
        <w:tc>
          <w:tcPr>
            <w:tcW w:w="799" w:type="pct"/>
            <w:tcBorders>
              <w:top w:val="single" w:sz="12" w:space="0" w:color="auto"/>
              <w:left w:val="nil"/>
              <w:bottom w:val="nil"/>
              <w:right w:val="nil"/>
            </w:tcBorders>
          </w:tcPr>
          <w:p w:rsidR="00914413" w:rsidRPr="00BE6C6D" w:rsidRDefault="00914413" w:rsidP="00802977">
            <w:pPr>
              <w:pStyle w:val="NormalIndented"/>
              <w:rPr>
                <w:rFonts w:asciiTheme="minorHAnsi" w:hAnsiTheme="minorHAnsi"/>
              </w:rPr>
            </w:pPr>
            <w:r w:rsidRPr="00880004">
              <w:rPr>
                <w:rFonts w:asciiTheme="minorHAnsi" w:eastAsia="Times New Roman" w:hAnsiTheme="minorHAnsi"/>
                <w:b/>
                <w:iCs/>
                <w:szCs w:val="17"/>
                <w:lang w:eastAsia="en-US"/>
              </w:rPr>
              <w:t>Aid objective</w:t>
            </w:r>
          </w:p>
        </w:tc>
        <w:tc>
          <w:tcPr>
            <w:tcW w:w="1505" w:type="pct"/>
            <w:tcBorders>
              <w:top w:val="single" w:sz="12" w:space="0" w:color="auto"/>
              <w:left w:val="nil"/>
              <w:bottom w:val="nil"/>
              <w:right w:val="nil"/>
            </w:tcBorders>
          </w:tcPr>
          <w:p w:rsidR="00914413" w:rsidRPr="00BE6C6D" w:rsidRDefault="00914413" w:rsidP="00802977">
            <w:pPr>
              <w:pStyle w:val="NormalIndented"/>
              <w:rPr>
                <w:rFonts w:asciiTheme="minorHAnsi" w:hAnsiTheme="minorHAnsi"/>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798" w:type="pct"/>
            <w:tcBorders>
              <w:top w:val="single" w:sz="12" w:space="0" w:color="auto"/>
              <w:left w:val="nil"/>
              <w:bottom w:val="nil"/>
              <w:right w:val="nil"/>
            </w:tcBorders>
            <w:hideMark/>
          </w:tcPr>
          <w:p w:rsidR="00914413" w:rsidRPr="00BE6C6D" w:rsidRDefault="00914413" w:rsidP="00802977">
            <w:pPr>
              <w:pStyle w:val="NormalIndented"/>
              <w:ind w:left="0"/>
              <w:jc w:val="center"/>
              <w:rPr>
                <w:rFonts w:asciiTheme="minorHAnsi" w:hAnsiTheme="minorHAnsi"/>
                <w:b/>
              </w:rPr>
            </w:pPr>
            <w:r w:rsidRPr="00BE6C6D">
              <w:rPr>
                <w:rFonts w:asciiTheme="minorHAnsi" w:hAnsiTheme="minorHAnsi"/>
                <w:b/>
              </w:rPr>
              <w:t>201</w:t>
            </w:r>
            <w:r>
              <w:rPr>
                <w:rFonts w:asciiTheme="minorHAnsi" w:hAnsiTheme="minorHAnsi"/>
                <w:b/>
              </w:rPr>
              <w:t>9-20</w:t>
            </w:r>
          </w:p>
        </w:tc>
        <w:tc>
          <w:tcPr>
            <w:tcW w:w="1898" w:type="pct"/>
            <w:tcBorders>
              <w:top w:val="single" w:sz="12" w:space="0" w:color="auto"/>
              <w:left w:val="nil"/>
              <w:bottom w:val="nil"/>
              <w:right w:val="nil"/>
            </w:tcBorders>
            <w:hideMark/>
          </w:tcPr>
          <w:p w:rsidR="00914413" w:rsidRPr="00BE6C6D" w:rsidRDefault="00914413" w:rsidP="00802977">
            <w:pPr>
              <w:pStyle w:val="NormalIndented"/>
              <w:ind w:left="33"/>
              <w:jc w:val="center"/>
              <w:rPr>
                <w:rFonts w:asciiTheme="minorHAnsi" w:hAnsiTheme="minorHAnsi"/>
                <w:b/>
              </w:rPr>
            </w:pPr>
          </w:p>
        </w:tc>
      </w:tr>
      <w:tr w:rsidR="00914413" w:rsidTr="00802977">
        <w:trPr>
          <w:trHeight w:val="730"/>
        </w:trPr>
        <w:tc>
          <w:tcPr>
            <w:tcW w:w="799" w:type="pct"/>
            <w:tcBorders>
              <w:top w:val="nil"/>
              <w:left w:val="nil"/>
              <w:bottom w:val="nil"/>
              <w:right w:val="nil"/>
            </w:tcBorders>
          </w:tcPr>
          <w:p w:rsidR="00914413" w:rsidRDefault="00914413" w:rsidP="00802977">
            <w:pPr>
              <w:pStyle w:val="NormalIndented"/>
              <w:ind w:left="0"/>
              <w:rPr>
                <w:rFonts w:eastAsia="Times New Roman"/>
                <w:iCs/>
                <w:szCs w:val="17"/>
              </w:rPr>
            </w:pPr>
          </w:p>
          <w:p w:rsidR="00914413" w:rsidRDefault="00914413" w:rsidP="00802977">
            <w:pPr>
              <w:pStyle w:val="NormalIndented"/>
              <w:ind w:left="0"/>
              <w:rPr>
                <w:rFonts w:eastAsia="Times New Roman"/>
                <w:iCs/>
                <w:szCs w:val="17"/>
              </w:rPr>
            </w:pPr>
            <w:r>
              <w:rPr>
                <w:rFonts w:eastAsia="Times New Roman"/>
                <w:iCs/>
                <w:szCs w:val="17"/>
              </w:rPr>
              <w:t xml:space="preserve">Objective 1: Build better infrastructure and an environment for economic opportunity </w:t>
            </w:r>
            <w:r w:rsidRPr="00FA6D9E">
              <w:rPr>
                <w:rFonts w:eastAsia="Times New Roman"/>
                <w:iCs/>
                <w:szCs w:val="17"/>
              </w:rPr>
              <w:t xml:space="preserve"> </w:t>
            </w:r>
          </w:p>
          <w:p w:rsidR="00914413" w:rsidRDefault="00914413" w:rsidP="00802977">
            <w:pPr>
              <w:pStyle w:val="NormalIndented"/>
              <w:rPr>
                <w:rFonts w:eastAsia="Times New Roman"/>
                <w:iCs/>
                <w:szCs w:val="17"/>
              </w:rPr>
            </w:pPr>
          </w:p>
          <w:p w:rsidR="00914413" w:rsidRDefault="00914413" w:rsidP="00802977">
            <w:pPr>
              <w:pStyle w:val="NormalIndented"/>
              <w:rPr>
                <w:rFonts w:eastAsia="Times New Roman"/>
                <w:iCs/>
                <w:szCs w:val="17"/>
              </w:rPr>
            </w:pPr>
          </w:p>
          <w:p w:rsidR="00914413" w:rsidRDefault="00914413" w:rsidP="00802977">
            <w:pPr>
              <w:pStyle w:val="NormalIndented"/>
              <w:rPr>
                <w:rFonts w:eastAsia="Times New Roman"/>
                <w:iCs/>
                <w:szCs w:val="17"/>
              </w:rPr>
            </w:pPr>
          </w:p>
          <w:p w:rsidR="00914413" w:rsidRDefault="00914413" w:rsidP="00802977">
            <w:pPr>
              <w:pStyle w:val="NormalIndented"/>
              <w:ind w:left="0"/>
              <w:rPr>
                <w:rFonts w:eastAsia="Times New Roman"/>
                <w:iCs/>
                <w:szCs w:val="17"/>
              </w:rPr>
            </w:pPr>
          </w:p>
          <w:p w:rsidR="00914413" w:rsidRDefault="00914413" w:rsidP="00802977">
            <w:pPr>
              <w:pStyle w:val="NormalIndented"/>
              <w:ind w:left="0"/>
              <w:rPr>
                <w:rFonts w:eastAsia="Times New Roman"/>
                <w:iCs/>
                <w:szCs w:val="17"/>
              </w:rPr>
            </w:pPr>
            <w:r>
              <w:rPr>
                <w:rFonts w:eastAsia="Times New Roman"/>
                <w:iCs/>
                <w:szCs w:val="17"/>
              </w:rPr>
              <w:t>Objective 2: Improve early education and essential health services</w:t>
            </w:r>
            <w:r w:rsidRPr="00FA6D9E">
              <w:rPr>
                <w:rFonts w:eastAsia="Times New Roman"/>
                <w:iCs/>
                <w:szCs w:val="17"/>
              </w:rPr>
              <w:t>.</w:t>
            </w:r>
          </w:p>
          <w:p w:rsidR="00914413" w:rsidRDefault="00914413" w:rsidP="00802977">
            <w:pPr>
              <w:pStyle w:val="NormalIndented"/>
              <w:rPr>
                <w:rFonts w:eastAsia="Times New Roman"/>
                <w:iCs/>
                <w:szCs w:val="17"/>
              </w:rPr>
            </w:pPr>
          </w:p>
          <w:p w:rsidR="00914413" w:rsidRDefault="00914413" w:rsidP="00802977">
            <w:pPr>
              <w:pStyle w:val="NormalIndented"/>
              <w:ind w:left="0"/>
              <w:rPr>
                <w:rFonts w:eastAsia="Times New Roman"/>
                <w:iCs/>
                <w:szCs w:val="17"/>
              </w:rPr>
            </w:pPr>
          </w:p>
          <w:p w:rsidR="00914413" w:rsidRDefault="00914413" w:rsidP="00802977">
            <w:pPr>
              <w:pStyle w:val="NormalIndented"/>
              <w:ind w:left="0"/>
              <w:rPr>
                <w:rFonts w:eastAsia="Times New Roman"/>
                <w:iCs/>
                <w:szCs w:val="17"/>
              </w:rPr>
            </w:pPr>
            <w:r>
              <w:rPr>
                <w:rFonts w:eastAsia="Times New Roman"/>
                <w:iCs/>
                <w:szCs w:val="17"/>
              </w:rPr>
              <w:t xml:space="preserve">Objective 3: Improving community safety and resilience </w:t>
            </w:r>
          </w:p>
          <w:p w:rsidR="00914413" w:rsidRDefault="00914413" w:rsidP="00802977">
            <w:pPr>
              <w:pStyle w:val="NormalIndented"/>
              <w:ind w:left="0"/>
              <w:rPr>
                <w:rFonts w:eastAsia="Times New Roman"/>
                <w:iCs/>
                <w:szCs w:val="17"/>
              </w:rPr>
            </w:pPr>
          </w:p>
          <w:p w:rsidR="00914413" w:rsidRPr="00085E5F" w:rsidRDefault="00914413" w:rsidP="00802977">
            <w:pPr>
              <w:pStyle w:val="NormalIndented"/>
              <w:ind w:left="0"/>
              <w:rPr>
                <w:rFonts w:asciiTheme="minorHAnsi" w:hAnsiTheme="minorHAnsi"/>
                <w:i/>
                <w:color w:val="FF0000"/>
                <w:sz w:val="18"/>
              </w:rPr>
            </w:pPr>
            <w:r w:rsidRPr="00FA6D9E">
              <w:rPr>
                <w:rFonts w:eastAsia="Times New Roman"/>
                <w:iCs/>
                <w:szCs w:val="17"/>
              </w:rPr>
              <w:t>Objective 4: Supporting cyclone recovery and reconstruction.</w:t>
            </w:r>
          </w:p>
        </w:tc>
        <w:tc>
          <w:tcPr>
            <w:tcW w:w="1505" w:type="pct"/>
            <w:tcBorders>
              <w:top w:val="nil"/>
              <w:left w:val="nil"/>
              <w:bottom w:val="nil"/>
              <w:right w:val="nil"/>
            </w:tcBorders>
          </w:tcPr>
          <w:p w:rsidR="00914413" w:rsidRDefault="00914413" w:rsidP="00802977">
            <w:pPr>
              <w:keepLines/>
              <w:spacing w:before="40" w:after="40" w:line="200" w:lineRule="atLeast"/>
              <w:rPr>
                <w:rFonts w:eastAsia="Times New Roman"/>
                <w:iCs/>
                <w:szCs w:val="17"/>
              </w:rPr>
            </w:pPr>
          </w:p>
          <w:p w:rsidR="00914413" w:rsidRDefault="00914413" w:rsidP="00802977">
            <w:pPr>
              <w:keepLines/>
              <w:spacing w:before="40" w:after="40" w:line="200" w:lineRule="atLeast"/>
              <w:rPr>
                <w:rFonts w:eastAsia="Times New Roman"/>
                <w:iCs/>
                <w:szCs w:val="17"/>
              </w:rPr>
            </w:pPr>
          </w:p>
          <w:p w:rsidR="00914413" w:rsidRDefault="00914413" w:rsidP="00802977">
            <w:pPr>
              <w:keepLines/>
              <w:spacing w:before="40" w:after="40" w:line="200" w:lineRule="atLeast"/>
              <w:rPr>
                <w:rFonts w:eastAsia="Times New Roman"/>
                <w:iCs/>
                <w:szCs w:val="17"/>
              </w:rPr>
            </w:pPr>
            <w:r>
              <w:rPr>
                <w:rFonts w:eastAsia="Times New Roman"/>
                <w:iCs/>
                <w:szCs w:val="17"/>
              </w:rPr>
              <w:t>Annual change in VAT revenue (%)</w:t>
            </w:r>
          </w:p>
          <w:p w:rsidR="00914413" w:rsidRDefault="00914413" w:rsidP="00802977">
            <w:pPr>
              <w:keepLines/>
              <w:spacing w:before="40" w:after="40" w:line="200" w:lineRule="atLeast"/>
              <w:rPr>
                <w:rFonts w:eastAsia="Times New Roman"/>
                <w:iCs/>
                <w:szCs w:val="17"/>
              </w:rPr>
            </w:pPr>
          </w:p>
          <w:p w:rsidR="00914413" w:rsidRDefault="00914413" w:rsidP="00802977">
            <w:pPr>
              <w:keepLines/>
              <w:spacing w:before="40" w:after="40" w:line="200" w:lineRule="atLeast"/>
              <w:rPr>
                <w:rFonts w:eastAsia="Times New Roman"/>
                <w:iCs/>
                <w:szCs w:val="17"/>
              </w:rPr>
            </w:pPr>
            <w:r>
              <w:rPr>
                <w:rFonts w:eastAsia="Times New Roman"/>
                <w:iCs/>
                <w:szCs w:val="17"/>
              </w:rPr>
              <w:t>Vanuatu Rural Access Index and Length of rural roads (%) maintained, rehabilitated or repaired (km)</w:t>
            </w:r>
          </w:p>
          <w:p w:rsidR="00914413" w:rsidRDefault="00914413" w:rsidP="00802977">
            <w:pPr>
              <w:keepLines/>
              <w:spacing w:before="40" w:after="40" w:line="200" w:lineRule="atLeast"/>
              <w:rPr>
                <w:rFonts w:eastAsia="Times New Roman"/>
                <w:iCs/>
                <w:szCs w:val="17"/>
              </w:rPr>
            </w:pPr>
          </w:p>
          <w:p w:rsidR="007B6053" w:rsidRDefault="007B6053" w:rsidP="00802977">
            <w:pPr>
              <w:keepLines/>
              <w:spacing w:before="40" w:after="40" w:line="200" w:lineRule="atLeast"/>
              <w:rPr>
                <w:rFonts w:eastAsia="Times New Roman"/>
                <w:iCs/>
                <w:szCs w:val="17"/>
              </w:rPr>
            </w:pPr>
          </w:p>
          <w:p w:rsidR="007B6053" w:rsidRDefault="007B6053" w:rsidP="00802977">
            <w:pPr>
              <w:keepLines/>
              <w:spacing w:before="40" w:after="40" w:line="200" w:lineRule="atLeast"/>
              <w:rPr>
                <w:rFonts w:eastAsia="Times New Roman"/>
                <w:iCs/>
                <w:szCs w:val="17"/>
              </w:rPr>
            </w:pPr>
          </w:p>
          <w:p w:rsidR="00914413" w:rsidRDefault="00914413" w:rsidP="00802977">
            <w:pPr>
              <w:keepLines/>
              <w:spacing w:before="40" w:after="40" w:line="200" w:lineRule="atLeast"/>
              <w:rPr>
                <w:rFonts w:eastAsia="Times New Roman"/>
                <w:iCs/>
                <w:szCs w:val="17"/>
              </w:rPr>
            </w:pPr>
            <w:r>
              <w:rPr>
                <w:rFonts w:eastAsia="Times New Roman"/>
                <w:iCs/>
                <w:szCs w:val="17"/>
              </w:rPr>
              <w:t>N</w:t>
            </w:r>
            <w:r w:rsidR="007B6053">
              <w:rPr>
                <w:rFonts w:eastAsia="Times New Roman"/>
                <w:iCs/>
                <w:szCs w:val="17"/>
              </w:rPr>
              <w:t xml:space="preserve">umber of ni-Vanuatu women and </w:t>
            </w:r>
            <w:r>
              <w:rPr>
                <w:rFonts w:eastAsia="Times New Roman"/>
                <w:iCs/>
                <w:szCs w:val="17"/>
              </w:rPr>
              <w:t>men enga</w:t>
            </w:r>
            <w:r w:rsidR="00EC5732">
              <w:rPr>
                <w:rFonts w:eastAsia="Times New Roman"/>
                <w:iCs/>
                <w:szCs w:val="17"/>
              </w:rPr>
              <w:t xml:space="preserve">ged in seasonal worker program </w:t>
            </w:r>
          </w:p>
          <w:p w:rsidR="00914413" w:rsidRDefault="00914413" w:rsidP="00802977">
            <w:pPr>
              <w:keepLines/>
              <w:spacing w:before="40" w:after="40" w:line="200" w:lineRule="atLeast"/>
              <w:rPr>
                <w:rFonts w:ascii="Franklin Gothic Book" w:eastAsia="Times New Roman" w:hAnsi="Franklin Gothic Book"/>
                <w:iCs/>
                <w:szCs w:val="17"/>
                <w:lang w:eastAsia="en-US"/>
              </w:rPr>
            </w:pPr>
          </w:p>
          <w:p w:rsidR="007B6053" w:rsidRDefault="007B6053" w:rsidP="00802977">
            <w:pPr>
              <w:keepLines/>
              <w:spacing w:before="40" w:after="40" w:line="200" w:lineRule="atLeast"/>
              <w:rPr>
                <w:rFonts w:ascii="Franklin Gothic Book" w:eastAsia="Times New Roman" w:hAnsi="Franklin Gothic Book"/>
                <w:iCs/>
                <w:szCs w:val="17"/>
                <w:lang w:eastAsia="en-US"/>
              </w:rPr>
            </w:pPr>
          </w:p>
          <w:p w:rsidR="00914413" w:rsidRDefault="00914413" w:rsidP="00802977">
            <w:pPr>
              <w:keepLines/>
              <w:spacing w:before="40" w:after="40" w:line="200" w:lineRule="atLeast"/>
              <w:rPr>
                <w:rFonts w:ascii="Franklin Gothic Book" w:eastAsia="Times New Roman" w:hAnsi="Franklin Gothic Book"/>
                <w:iCs/>
                <w:szCs w:val="17"/>
                <w:lang w:eastAsia="en-US"/>
              </w:rPr>
            </w:pPr>
            <w:r>
              <w:rPr>
                <w:rFonts w:ascii="Franklin Gothic Book" w:eastAsia="Times New Roman" w:hAnsi="Franklin Gothic Book"/>
                <w:iCs/>
                <w:szCs w:val="17"/>
                <w:lang w:eastAsia="en-US"/>
              </w:rPr>
              <w:t>Proportion of Year 4 students (girls/boys) meeting national l</w:t>
            </w:r>
            <w:r w:rsidRPr="00772167">
              <w:rPr>
                <w:rFonts w:ascii="Franklin Gothic Book" w:eastAsia="Times New Roman" w:hAnsi="Franklin Gothic Book"/>
                <w:iCs/>
                <w:szCs w:val="17"/>
                <w:lang w:eastAsia="en-US"/>
              </w:rPr>
              <w:t>iteracy and n</w:t>
            </w:r>
            <w:r>
              <w:rPr>
                <w:rFonts w:ascii="Franklin Gothic Book" w:eastAsia="Times New Roman" w:hAnsi="Franklin Gothic Book"/>
                <w:iCs/>
                <w:szCs w:val="17"/>
                <w:lang w:eastAsia="en-US"/>
              </w:rPr>
              <w:t>umeracy standards</w:t>
            </w:r>
          </w:p>
          <w:p w:rsidR="00914413" w:rsidRDefault="00914413" w:rsidP="007B6053">
            <w:pPr>
              <w:pStyle w:val="NormalIndented"/>
              <w:ind w:left="0"/>
              <w:rPr>
                <w:rFonts w:eastAsia="Times New Roman"/>
                <w:iCs/>
                <w:szCs w:val="17"/>
              </w:rPr>
            </w:pPr>
            <w:r>
              <w:rPr>
                <w:rFonts w:ascii="Franklin Gothic Book" w:eastAsia="Times New Roman" w:hAnsi="Franklin Gothic Book"/>
                <w:iCs/>
                <w:szCs w:val="17"/>
                <w:lang w:eastAsia="en-US"/>
              </w:rPr>
              <w:t>Proportion of children (0-5yrs) with full routine immunisation (%)</w:t>
            </w:r>
          </w:p>
          <w:p w:rsidR="00914413" w:rsidRDefault="00914413" w:rsidP="00802977">
            <w:pPr>
              <w:pStyle w:val="NormalIndented"/>
              <w:rPr>
                <w:rFonts w:eastAsia="Times New Roman"/>
                <w:iCs/>
                <w:szCs w:val="17"/>
              </w:rPr>
            </w:pPr>
          </w:p>
          <w:p w:rsidR="00914413" w:rsidRPr="00F370D4" w:rsidRDefault="00914413" w:rsidP="00802977">
            <w:pPr>
              <w:keepLines/>
              <w:spacing w:before="40" w:after="40" w:line="200" w:lineRule="atLeast"/>
              <w:rPr>
                <w:rFonts w:eastAsia="Times New Roman"/>
                <w:iCs/>
                <w:szCs w:val="17"/>
              </w:rPr>
            </w:pPr>
            <w:r w:rsidRPr="00F370D4">
              <w:rPr>
                <w:rFonts w:eastAsia="Times New Roman"/>
                <w:iCs/>
                <w:szCs w:val="17"/>
              </w:rPr>
              <w:t xml:space="preserve">Number of women and children survivors of violence provided counselling, support, </w:t>
            </w:r>
            <w:r w:rsidR="002155C3">
              <w:rPr>
                <w:rFonts w:eastAsia="Times New Roman"/>
                <w:iCs/>
                <w:szCs w:val="17"/>
              </w:rPr>
              <w:t xml:space="preserve">and </w:t>
            </w:r>
            <w:r w:rsidRPr="00F370D4">
              <w:rPr>
                <w:rFonts w:eastAsia="Times New Roman"/>
                <w:iCs/>
                <w:szCs w:val="17"/>
              </w:rPr>
              <w:t>legal services</w:t>
            </w:r>
          </w:p>
          <w:p w:rsidR="00914413" w:rsidRDefault="00914413" w:rsidP="00802977">
            <w:pPr>
              <w:pStyle w:val="NormalIndented"/>
              <w:rPr>
                <w:rFonts w:eastAsia="Times New Roman"/>
                <w:iCs/>
                <w:szCs w:val="17"/>
              </w:rPr>
            </w:pPr>
          </w:p>
          <w:p w:rsidR="00196344" w:rsidRDefault="00196344" w:rsidP="00802977">
            <w:pPr>
              <w:pStyle w:val="NormalIndented"/>
              <w:ind w:left="0"/>
              <w:rPr>
                <w:rFonts w:eastAsia="Times New Roman"/>
                <w:iCs/>
                <w:szCs w:val="17"/>
              </w:rPr>
            </w:pPr>
          </w:p>
          <w:p w:rsidR="00914413" w:rsidRPr="00085E5F" w:rsidRDefault="00914413" w:rsidP="00802977">
            <w:pPr>
              <w:pStyle w:val="NormalIndented"/>
              <w:ind w:left="0"/>
              <w:rPr>
                <w:rFonts w:asciiTheme="minorHAnsi" w:hAnsiTheme="minorHAnsi"/>
                <w:i/>
                <w:color w:val="FF0000"/>
                <w:szCs w:val="20"/>
                <w:lang w:eastAsia="en-US"/>
              </w:rPr>
            </w:pPr>
            <w:r w:rsidRPr="00FA6D9E">
              <w:rPr>
                <w:rFonts w:eastAsia="Times New Roman"/>
                <w:iCs/>
                <w:szCs w:val="17"/>
              </w:rPr>
              <w:t xml:space="preserve">Number of public service delivery </w:t>
            </w:r>
            <w:r>
              <w:rPr>
                <w:rFonts w:eastAsia="Times New Roman"/>
                <w:iCs/>
                <w:szCs w:val="17"/>
              </w:rPr>
              <w:t>facilities</w:t>
            </w:r>
            <w:r w:rsidRPr="00FA6D9E">
              <w:rPr>
                <w:rFonts w:eastAsia="Times New Roman"/>
                <w:iCs/>
                <w:szCs w:val="17"/>
              </w:rPr>
              <w:t xml:space="preserve"> reconstructed or repaired</w:t>
            </w:r>
            <w:r>
              <w:rPr>
                <w:rFonts w:eastAsia="Times New Roman"/>
                <w:iCs/>
                <w:szCs w:val="17"/>
              </w:rPr>
              <w:t xml:space="preserve"> (cumulative)</w:t>
            </w:r>
          </w:p>
        </w:tc>
        <w:tc>
          <w:tcPr>
            <w:tcW w:w="798" w:type="pct"/>
            <w:tcBorders>
              <w:top w:val="nil"/>
              <w:left w:val="nil"/>
              <w:bottom w:val="nil"/>
              <w:right w:val="nil"/>
            </w:tcBorders>
            <w:hideMark/>
          </w:tcPr>
          <w:p w:rsidR="00914413" w:rsidRDefault="00914413" w:rsidP="00802977">
            <w:pPr>
              <w:pStyle w:val="NormalIndented"/>
              <w:ind w:left="33"/>
              <w:jc w:val="center"/>
              <w:rPr>
                <w:rFonts w:eastAsia="Times New Roman"/>
                <w:iCs/>
                <w:szCs w:val="17"/>
              </w:rPr>
            </w:pPr>
          </w:p>
          <w:p w:rsidR="00914413" w:rsidRDefault="00EC5732" w:rsidP="00802977">
            <w:pPr>
              <w:pStyle w:val="NormalIndented"/>
              <w:ind w:left="33"/>
              <w:jc w:val="center"/>
              <w:rPr>
                <w:rFonts w:eastAsia="Times New Roman"/>
                <w:iCs/>
                <w:szCs w:val="17"/>
              </w:rPr>
            </w:pPr>
            <w:r>
              <w:rPr>
                <w:rFonts w:eastAsia="Times New Roman"/>
                <w:iCs/>
                <w:szCs w:val="17"/>
              </w:rPr>
              <w:t>7%</w:t>
            </w:r>
          </w:p>
          <w:p w:rsidR="00914413" w:rsidRDefault="00280F0C" w:rsidP="00802977">
            <w:pPr>
              <w:pStyle w:val="NormalIndented"/>
              <w:ind w:left="33"/>
              <w:jc w:val="center"/>
              <w:rPr>
                <w:rFonts w:eastAsia="Times New Roman"/>
                <w:iCs/>
                <w:szCs w:val="17"/>
              </w:rPr>
            </w:pPr>
            <w:r>
              <w:rPr>
                <w:rFonts w:eastAsia="Times New Roman"/>
                <w:iCs/>
                <w:szCs w:val="17"/>
              </w:rPr>
              <w:t>56%</w:t>
            </w:r>
            <w:r w:rsidR="007B6053">
              <w:rPr>
                <w:rFonts w:eastAsia="Times New Roman"/>
                <w:iCs/>
                <w:szCs w:val="17"/>
              </w:rPr>
              <w:t xml:space="preserve"> RAI</w:t>
            </w:r>
          </w:p>
          <w:p w:rsidR="00914413" w:rsidRDefault="00EC5732" w:rsidP="00802977">
            <w:pPr>
              <w:pStyle w:val="NormalIndented"/>
              <w:ind w:left="33"/>
              <w:jc w:val="center"/>
              <w:rPr>
                <w:rFonts w:eastAsia="Times New Roman"/>
                <w:iCs/>
                <w:szCs w:val="17"/>
              </w:rPr>
            </w:pPr>
            <w:r>
              <w:rPr>
                <w:rFonts w:eastAsia="Times New Roman"/>
                <w:iCs/>
                <w:szCs w:val="17"/>
              </w:rPr>
              <w:t>680km</w:t>
            </w:r>
            <w:r w:rsidR="007B6053">
              <w:rPr>
                <w:rFonts w:eastAsia="Times New Roman"/>
                <w:iCs/>
                <w:szCs w:val="17"/>
              </w:rPr>
              <w:t xml:space="preserve"> of rural roads maintained or repaired</w:t>
            </w:r>
          </w:p>
          <w:p w:rsidR="00EC5732" w:rsidRDefault="00EC5732" w:rsidP="00802977">
            <w:pPr>
              <w:pStyle w:val="NormalIndented"/>
              <w:ind w:left="33"/>
              <w:jc w:val="center"/>
              <w:rPr>
                <w:rFonts w:eastAsia="Times New Roman"/>
                <w:iCs/>
                <w:szCs w:val="17"/>
              </w:rPr>
            </w:pPr>
          </w:p>
          <w:p w:rsidR="00914413" w:rsidRDefault="007B6053" w:rsidP="00802977">
            <w:pPr>
              <w:pStyle w:val="NormalIndented"/>
              <w:ind w:left="33"/>
              <w:jc w:val="center"/>
              <w:rPr>
                <w:rFonts w:eastAsia="Times New Roman"/>
                <w:iCs/>
                <w:szCs w:val="17"/>
              </w:rPr>
            </w:pPr>
            <w:r>
              <w:rPr>
                <w:rFonts w:eastAsia="Times New Roman"/>
                <w:iCs/>
                <w:szCs w:val="17"/>
              </w:rPr>
              <w:t>4,250 (</w:t>
            </w:r>
            <w:r w:rsidR="00EC5732">
              <w:rPr>
                <w:rFonts w:eastAsia="Times New Roman"/>
                <w:iCs/>
                <w:szCs w:val="17"/>
              </w:rPr>
              <w:t>750F I 3,500M</w:t>
            </w:r>
            <w:r>
              <w:rPr>
                <w:rFonts w:eastAsia="Times New Roman"/>
                <w:iCs/>
                <w:szCs w:val="17"/>
              </w:rPr>
              <w:t>)</w:t>
            </w:r>
          </w:p>
          <w:p w:rsidR="00914413" w:rsidRDefault="00914413" w:rsidP="00802977">
            <w:pPr>
              <w:pStyle w:val="NormalIndented"/>
              <w:ind w:left="33"/>
              <w:jc w:val="center"/>
              <w:rPr>
                <w:rFonts w:eastAsia="Times New Roman"/>
                <w:iCs/>
                <w:szCs w:val="17"/>
              </w:rPr>
            </w:pPr>
          </w:p>
          <w:p w:rsidR="007B6053" w:rsidRDefault="007B6053" w:rsidP="00802977">
            <w:pPr>
              <w:pStyle w:val="NormalIndented"/>
              <w:ind w:left="33"/>
              <w:jc w:val="center"/>
              <w:rPr>
                <w:rFonts w:eastAsia="Times New Roman"/>
                <w:iCs/>
                <w:szCs w:val="17"/>
              </w:rPr>
            </w:pPr>
          </w:p>
          <w:p w:rsidR="00914413" w:rsidRDefault="00280F0C" w:rsidP="00802977">
            <w:pPr>
              <w:pStyle w:val="NormalIndented"/>
              <w:ind w:left="33"/>
              <w:jc w:val="center"/>
              <w:rPr>
                <w:rFonts w:eastAsia="Times New Roman"/>
                <w:iCs/>
                <w:szCs w:val="17"/>
              </w:rPr>
            </w:pPr>
            <w:r w:rsidRPr="00DC248A">
              <w:rPr>
                <w:rFonts w:eastAsia="Times New Roman"/>
                <w:iCs/>
                <w:szCs w:val="17"/>
              </w:rPr>
              <w:t>TBC</w:t>
            </w:r>
          </w:p>
          <w:p w:rsidR="00914413" w:rsidRDefault="00914413" w:rsidP="00802977">
            <w:pPr>
              <w:pStyle w:val="NormalIndented"/>
              <w:ind w:left="33"/>
              <w:jc w:val="center"/>
              <w:rPr>
                <w:rFonts w:eastAsia="Times New Roman"/>
                <w:iCs/>
                <w:szCs w:val="17"/>
              </w:rPr>
            </w:pPr>
          </w:p>
          <w:p w:rsidR="00914413" w:rsidRDefault="00826E56" w:rsidP="00802977">
            <w:pPr>
              <w:pStyle w:val="NormalIndented"/>
              <w:ind w:left="33"/>
              <w:jc w:val="center"/>
              <w:rPr>
                <w:rFonts w:eastAsia="Times New Roman"/>
                <w:iCs/>
                <w:szCs w:val="17"/>
              </w:rPr>
            </w:pPr>
            <w:r w:rsidRPr="00DC248A">
              <w:rPr>
                <w:rFonts w:eastAsia="Times New Roman"/>
                <w:iCs/>
                <w:szCs w:val="17"/>
              </w:rPr>
              <w:t>TBC</w:t>
            </w:r>
          </w:p>
          <w:p w:rsidR="00914413" w:rsidRDefault="00914413" w:rsidP="00802977">
            <w:pPr>
              <w:pStyle w:val="NormalIndented"/>
              <w:ind w:left="0"/>
              <w:jc w:val="center"/>
              <w:rPr>
                <w:rFonts w:eastAsia="Times New Roman"/>
                <w:iCs/>
                <w:szCs w:val="17"/>
              </w:rPr>
            </w:pPr>
          </w:p>
          <w:p w:rsidR="00914413" w:rsidRDefault="00196344" w:rsidP="00802977">
            <w:pPr>
              <w:pStyle w:val="NormalIndented"/>
              <w:ind w:left="0"/>
              <w:jc w:val="center"/>
              <w:rPr>
                <w:rFonts w:eastAsia="Times New Roman"/>
                <w:iCs/>
                <w:szCs w:val="17"/>
              </w:rPr>
            </w:pPr>
            <w:r>
              <w:rPr>
                <w:rFonts w:eastAsia="Times New Roman"/>
                <w:iCs/>
                <w:szCs w:val="17"/>
              </w:rPr>
              <w:t>7,750</w:t>
            </w:r>
          </w:p>
          <w:p w:rsidR="00914413" w:rsidRDefault="00914413" w:rsidP="00802977">
            <w:pPr>
              <w:pStyle w:val="NormalIndented"/>
              <w:ind w:left="0"/>
              <w:jc w:val="center"/>
              <w:rPr>
                <w:rFonts w:eastAsia="Times New Roman"/>
                <w:iCs/>
                <w:szCs w:val="17"/>
              </w:rPr>
            </w:pPr>
          </w:p>
          <w:p w:rsidR="007B6053" w:rsidRDefault="007B6053" w:rsidP="00802977">
            <w:pPr>
              <w:pStyle w:val="NormalIndented"/>
              <w:ind w:left="0"/>
              <w:jc w:val="center"/>
              <w:rPr>
                <w:rFonts w:eastAsia="Times New Roman"/>
                <w:iCs/>
                <w:szCs w:val="17"/>
              </w:rPr>
            </w:pPr>
          </w:p>
          <w:p w:rsidR="00914413" w:rsidRDefault="00EC5732" w:rsidP="00802977">
            <w:pPr>
              <w:pStyle w:val="NormalIndented"/>
              <w:ind w:left="0"/>
              <w:jc w:val="center"/>
              <w:rPr>
                <w:rFonts w:eastAsia="Times New Roman"/>
                <w:iCs/>
                <w:szCs w:val="17"/>
              </w:rPr>
            </w:pPr>
            <w:r>
              <w:rPr>
                <w:rFonts w:eastAsia="Times New Roman"/>
                <w:iCs/>
                <w:szCs w:val="17"/>
              </w:rPr>
              <w:t>330</w:t>
            </w:r>
          </w:p>
          <w:p w:rsidR="00914413" w:rsidRPr="00085E5F" w:rsidRDefault="00914413" w:rsidP="007F54B5">
            <w:pPr>
              <w:pStyle w:val="NormalIndented"/>
              <w:ind w:left="0"/>
              <w:rPr>
                <w:rFonts w:asciiTheme="minorHAnsi" w:hAnsiTheme="minorHAnsi"/>
                <w:i/>
                <w:color w:val="FF0000"/>
                <w:szCs w:val="20"/>
                <w:lang w:eastAsia="en-US"/>
              </w:rPr>
            </w:pPr>
            <w:r>
              <w:rPr>
                <w:rFonts w:eastAsia="Times New Roman"/>
                <w:iCs/>
                <w:szCs w:val="17"/>
              </w:rPr>
              <w:t xml:space="preserve">                </w:t>
            </w:r>
          </w:p>
        </w:tc>
        <w:tc>
          <w:tcPr>
            <w:tcW w:w="1898" w:type="pct"/>
            <w:tcBorders>
              <w:top w:val="nil"/>
              <w:left w:val="nil"/>
              <w:bottom w:val="nil"/>
              <w:right w:val="nil"/>
            </w:tcBorders>
            <w:hideMark/>
          </w:tcPr>
          <w:p w:rsidR="00914413" w:rsidRDefault="00914413" w:rsidP="00802977">
            <w:pPr>
              <w:pStyle w:val="NormalIndented"/>
              <w:jc w:val="center"/>
              <w:rPr>
                <w:rFonts w:eastAsia="Times New Roman"/>
                <w:iCs/>
                <w:szCs w:val="17"/>
              </w:rPr>
            </w:pPr>
          </w:p>
          <w:p w:rsidR="00914413" w:rsidRDefault="00914413" w:rsidP="00802977">
            <w:pPr>
              <w:pStyle w:val="NormalIndented"/>
              <w:jc w:val="center"/>
              <w:rPr>
                <w:rFonts w:eastAsia="Times New Roman"/>
                <w:iCs/>
                <w:szCs w:val="17"/>
              </w:rPr>
            </w:pPr>
          </w:p>
          <w:p w:rsidR="00914413" w:rsidRDefault="00914413" w:rsidP="00802977">
            <w:pPr>
              <w:pStyle w:val="NormalIndented"/>
              <w:jc w:val="center"/>
              <w:rPr>
                <w:rFonts w:eastAsia="Times New Roman"/>
                <w:iCs/>
                <w:szCs w:val="17"/>
              </w:rPr>
            </w:pPr>
          </w:p>
          <w:p w:rsidR="00914413" w:rsidRDefault="00914413" w:rsidP="00802977">
            <w:pPr>
              <w:pStyle w:val="NormalIndented"/>
              <w:jc w:val="center"/>
              <w:rPr>
                <w:rFonts w:eastAsia="Times New Roman"/>
                <w:iCs/>
                <w:szCs w:val="17"/>
              </w:rPr>
            </w:pPr>
          </w:p>
          <w:p w:rsidR="00914413" w:rsidRDefault="00914413" w:rsidP="00802977">
            <w:pPr>
              <w:pStyle w:val="NormalIndented"/>
              <w:jc w:val="center"/>
              <w:rPr>
                <w:rFonts w:eastAsia="Times New Roman"/>
                <w:iCs/>
                <w:szCs w:val="17"/>
              </w:rPr>
            </w:pPr>
          </w:p>
          <w:p w:rsidR="00914413" w:rsidRDefault="00914413" w:rsidP="00802977">
            <w:pPr>
              <w:pStyle w:val="NormalIndented"/>
              <w:jc w:val="center"/>
              <w:rPr>
                <w:rFonts w:eastAsia="Times New Roman"/>
                <w:iCs/>
                <w:szCs w:val="17"/>
              </w:rPr>
            </w:pPr>
          </w:p>
          <w:p w:rsidR="00914413" w:rsidRDefault="00914413" w:rsidP="00802977">
            <w:pPr>
              <w:pStyle w:val="NormalIndented"/>
              <w:jc w:val="center"/>
              <w:rPr>
                <w:rFonts w:eastAsia="Times New Roman"/>
                <w:iCs/>
                <w:szCs w:val="17"/>
              </w:rPr>
            </w:pPr>
          </w:p>
          <w:p w:rsidR="00914413" w:rsidRPr="00085E5F" w:rsidRDefault="00914413" w:rsidP="00802977">
            <w:pPr>
              <w:pStyle w:val="NormalIndented"/>
              <w:jc w:val="center"/>
              <w:rPr>
                <w:rFonts w:asciiTheme="minorHAnsi" w:hAnsiTheme="minorHAnsi"/>
                <w:i/>
                <w:color w:val="FF0000"/>
                <w:szCs w:val="20"/>
                <w:lang w:eastAsia="en-US"/>
              </w:rPr>
            </w:pPr>
          </w:p>
        </w:tc>
      </w:tr>
      <w:tr w:rsidR="00914413" w:rsidTr="00802977">
        <w:trPr>
          <w:trHeight w:val="455"/>
        </w:trPr>
        <w:tc>
          <w:tcPr>
            <w:tcW w:w="799" w:type="pct"/>
            <w:tcBorders>
              <w:top w:val="nil"/>
              <w:left w:val="nil"/>
              <w:bottom w:val="single" w:sz="12" w:space="0" w:color="auto"/>
              <w:right w:val="nil"/>
            </w:tcBorders>
          </w:tcPr>
          <w:p w:rsidR="00914413" w:rsidRPr="00085E5F" w:rsidRDefault="00914413" w:rsidP="00802977">
            <w:pPr>
              <w:pStyle w:val="NormalIndented"/>
              <w:rPr>
                <w:rFonts w:eastAsia="Times New Roman"/>
                <w:iCs/>
                <w:color w:val="FF0000"/>
                <w:szCs w:val="17"/>
              </w:rPr>
            </w:pPr>
          </w:p>
        </w:tc>
        <w:tc>
          <w:tcPr>
            <w:tcW w:w="1505" w:type="pct"/>
            <w:tcBorders>
              <w:top w:val="nil"/>
              <w:left w:val="nil"/>
              <w:bottom w:val="single" w:sz="12" w:space="0" w:color="auto"/>
              <w:right w:val="nil"/>
            </w:tcBorders>
          </w:tcPr>
          <w:p w:rsidR="00914413" w:rsidRPr="00085E5F" w:rsidRDefault="00914413" w:rsidP="00802977">
            <w:pPr>
              <w:pStyle w:val="NormalIndented"/>
              <w:rPr>
                <w:rFonts w:eastAsia="Times New Roman"/>
                <w:iCs/>
                <w:color w:val="FF0000"/>
                <w:szCs w:val="17"/>
              </w:rPr>
            </w:pPr>
          </w:p>
        </w:tc>
        <w:tc>
          <w:tcPr>
            <w:tcW w:w="798" w:type="pct"/>
            <w:tcBorders>
              <w:top w:val="nil"/>
              <w:left w:val="nil"/>
              <w:bottom w:val="single" w:sz="12" w:space="0" w:color="auto"/>
              <w:right w:val="nil"/>
            </w:tcBorders>
          </w:tcPr>
          <w:p w:rsidR="00914413" w:rsidRPr="00085E5F" w:rsidRDefault="00914413" w:rsidP="00802977">
            <w:pPr>
              <w:pStyle w:val="NormalIndented"/>
              <w:ind w:left="33"/>
              <w:jc w:val="center"/>
              <w:rPr>
                <w:i/>
                <w:color w:val="FF0000"/>
                <w:szCs w:val="20"/>
              </w:rPr>
            </w:pPr>
          </w:p>
        </w:tc>
        <w:tc>
          <w:tcPr>
            <w:tcW w:w="1898" w:type="pct"/>
            <w:tcBorders>
              <w:top w:val="nil"/>
              <w:left w:val="nil"/>
              <w:bottom w:val="single" w:sz="12" w:space="0" w:color="auto"/>
              <w:right w:val="nil"/>
            </w:tcBorders>
          </w:tcPr>
          <w:p w:rsidR="00914413" w:rsidRPr="00085E5F" w:rsidRDefault="00914413" w:rsidP="00802977">
            <w:pPr>
              <w:pStyle w:val="NormalIndented"/>
              <w:ind w:left="33"/>
              <w:jc w:val="center"/>
              <w:rPr>
                <w:i/>
                <w:color w:val="FF0000"/>
                <w:szCs w:val="20"/>
              </w:rPr>
            </w:pPr>
          </w:p>
        </w:tc>
      </w:tr>
    </w:tbl>
    <w:p w:rsidR="00AF1B85" w:rsidRPr="00EF26B5" w:rsidRDefault="00184F1E" w:rsidP="00BB648A">
      <w:pPr>
        <w:pStyle w:val="Subtitle"/>
        <w:spacing w:before="360" w:after="120" w:line="300" w:lineRule="exact"/>
        <w:rPr>
          <w:rFonts w:asciiTheme="majorHAnsi" w:hAnsiTheme="majorHAnsi" w:cstheme="majorHAnsi"/>
        </w:rPr>
      </w:pPr>
      <w:r>
        <w:br w:type="page"/>
      </w:r>
      <w:r w:rsidR="00AF1B85" w:rsidRPr="00EF26B5">
        <w:rPr>
          <w:rFonts w:asciiTheme="majorHAnsi" w:hAnsiTheme="majorHAnsi" w:cstheme="majorHAnsi"/>
        </w:rPr>
        <w:lastRenderedPageBreak/>
        <w:t xml:space="preserve">Annex </w:t>
      </w:r>
      <w:r w:rsidRPr="00EF26B5">
        <w:rPr>
          <w:rFonts w:asciiTheme="majorHAnsi" w:hAnsiTheme="majorHAnsi" w:cstheme="majorHAnsi"/>
        </w:rPr>
        <w:t>C</w:t>
      </w:r>
      <w:r w:rsidR="00AF1B85" w:rsidRPr="00EF26B5">
        <w:rPr>
          <w:rFonts w:asciiTheme="majorHAnsi" w:hAnsiTheme="majorHAnsi" w:cstheme="majorHAnsi"/>
        </w:rPr>
        <w:t xml:space="preserve"> - Evaluation Planning</w:t>
      </w:r>
    </w:p>
    <w:p w:rsidR="00914413" w:rsidRPr="00EF26B5" w:rsidRDefault="00914413" w:rsidP="00914413">
      <w:pPr>
        <w:spacing w:before="360"/>
        <w:rPr>
          <w:rFonts w:eastAsiaTheme="majorEastAsia" w:cstheme="minorHAnsi"/>
          <w:caps/>
          <w:sz w:val="36"/>
          <w:szCs w:val="36"/>
        </w:rPr>
      </w:pPr>
      <w:r w:rsidRPr="00EF26B5">
        <w:rPr>
          <w:rFonts w:eastAsiaTheme="majorEastAsia" w:cstheme="minorHAnsi"/>
          <w:caps/>
          <w:sz w:val="36"/>
          <w:szCs w:val="36"/>
        </w:rPr>
        <w:t xml:space="preserve">1 List of evaluations completed in the reporting period </w:t>
      </w:r>
    </w:p>
    <w:tbl>
      <w:tblPr>
        <w:tblStyle w:val="APPR"/>
        <w:tblW w:w="14311" w:type="dxa"/>
        <w:tblLayout w:type="fixed"/>
        <w:tblLook w:val="04A0" w:firstRow="1" w:lastRow="0" w:firstColumn="1" w:lastColumn="0" w:noHBand="0" w:noVBand="1"/>
      </w:tblPr>
      <w:tblGrid>
        <w:gridCol w:w="3106"/>
        <w:gridCol w:w="3693"/>
        <w:gridCol w:w="1425"/>
        <w:gridCol w:w="1981"/>
        <w:gridCol w:w="1699"/>
        <w:gridCol w:w="2407"/>
      </w:tblGrid>
      <w:tr w:rsidR="00914413" w:rsidRPr="00C61187" w:rsidTr="00802977">
        <w:trPr>
          <w:cnfStyle w:val="100000000000" w:firstRow="1" w:lastRow="0" w:firstColumn="0" w:lastColumn="0" w:oddVBand="0" w:evenVBand="0" w:oddHBand="0" w:evenHBand="0" w:firstRowFirstColumn="0" w:firstRowLastColumn="0" w:lastRowFirstColumn="0" w:lastRowLastColumn="0"/>
        </w:trPr>
        <w:tc>
          <w:tcPr>
            <w:tcW w:w="3064" w:type="dxa"/>
          </w:tcPr>
          <w:p w:rsidR="00914413" w:rsidRPr="00812509" w:rsidRDefault="00914413" w:rsidP="00802977">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rsidR="00914413" w:rsidRPr="00812509" w:rsidRDefault="00914413" w:rsidP="00802977">
            <w:pPr>
              <w:keepLines/>
              <w:spacing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(if applicable) </w:t>
            </w:r>
          </w:p>
        </w:tc>
        <w:tc>
          <w:tcPr>
            <w:tcW w:w="3665" w:type="dxa"/>
          </w:tcPr>
          <w:p w:rsidR="00914413" w:rsidRPr="00812509" w:rsidRDefault="00914413" w:rsidP="00802977">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397" w:type="dxa"/>
          </w:tcPr>
          <w:p w:rsidR="00914413" w:rsidRPr="00812509" w:rsidRDefault="00914413" w:rsidP="00802977">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Pr>
          <w:p w:rsidR="00914413" w:rsidRPr="00812509" w:rsidRDefault="00914413" w:rsidP="00802977">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Evaluation report Uploaded into AidWorks</w:t>
            </w:r>
          </w:p>
        </w:tc>
        <w:tc>
          <w:tcPr>
            <w:tcW w:w="1671" w:type="dxa"/>
          </w:tcPr>
          <w:p w:rsidR="00914413" w:rsidRPr="00812509" w:rsidRDefault="00914413" w:rsidP="00802977">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Management response uploaded into AidWorks</w:t>
            </w:r>
          </w:p>
        </w:tc>
        <w:tc>
          <w:tcPr>
            <w:tcW w:w="2365" w:type="dxa"/>
          </w:tcPr>
          <w:p w:rsidR="00914413" w:rsidRPr="00812509" w:rsidRDefault="00914413" w:rsidP="00802977">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914413" w:rsidRPr="003B5EE5" w:rsidTr="00802977">
        <w:trPr>
          <w:cnfStyle w:val="100000000000" w:firstRow="1" w:lastRow="0" w:firstColumn="0" w:lastColumn="0" w:oddVBand="0" w:evenVBand="0" w:oddHBand="0" w:evenHBand="0" w:firstRowFirstColumn="0" w:firstRowLastColumn="0" w:lastRowFirstColumn="0" w:lastRowLastColumn="0"/>
        </w:trPr>
        <w:tc>
          <w:tcPr>
            <w:tcW w:w="3064" w:type="dxa"/>
          </w:tcPr>
          <w:p w:rsidR="00914413" w:rsidRPr="00C86E29" w:rsidRDefault="00914413" w:rsidP="00802977">
            <w:pPr>
              <w:keepLines/>
              <w:spacing w:before="40" w:after="40" w:line="200" w:lineRule="atLeast"/>
              <w:rPr>
                <w:rFonts w:asciiTheme="minorHAnsi" w:eastAsia="Times New Roman" w:hAnsiTheme="minorHAnsi"/>
                <w:b w:val="0"/>
                <w:iCs/>
                <w:szCs w:val="17"/>
                <w:lang w:eastAsia="en-US"/>
              </w:rPr>
            </w:pPr>
            <w:r w:rsidRPr="00C86E29">
              <w:rPr>
                <w:rFonts w:asciiTheme="minorHAnsi" w:eastAsia="Times New Roman" w:hAnsiTheme="minorHAnsi"/>
                <w:b w:val="0"/>
                <w:iCs/>
                <w:szCs w:val="17"/>
                <w:lang w:eastAsia="en-US"/>
              </w:rPr>
              <w:t xml:space="preserve">INL732 </w:t>
            </w:r>
            <w:r w:rsidRPr="00C86E29">
              <w:rPr>
                <w:rFonts w:asciiTheme="minorHAnsi" w:eastAsia="Times New Roman" w:hAnsiTheme="minorHAnsi"/>
                <w:b w:val="0"/>
                <w:iCs/>
                <w:szCs w:val="17"/>
              </w:rPr>
              <w:t>Tropical Cyclone Pam long-term recovery program</w:t>
            </w:r>
          </w:p>
          <w:p w:rsidR="00914413" w:rsidRPr="00C86E29" w:rsidRDefault="00914413" w:rsidP="00802977">
            <w:pPr>
              <w:keepLines/>
              <w:spacing w:before="40" w:after="40" w:line="200" w:lineRule="atLeast"/>
              <w:rPr>
                <w:rFonts w:asciiTheme="minorHAnsi" w:eastAsia="Times New Roman" w:hAnsiTheme="minorHAnsi"/>
                <w:b w:val="0"/>
                <w:iCs/>
                <w:color w:val="FF0000"/>
                <w:szCs w:val="17"/>
                <w:lang w:eastAsia="en-US"/>
              </w:rPr>
            </w:pPr>
          </w:p>
        </w:tc>
        <w:tc>
          <w:tcPr>
            <w:tcW w:w="3665" w:type="dxa"/>
          </w:tcPr>
          <w:p w:rsidR="00914413" w:rsidRPr="00C86E29" w:rsidRDefault="00914413" w:rsidP="00802977">
            <w:pPr>
              <w:keepLines/>
              <w:spacing w:before="40" w:after="40" w:line="200" w:lineRule="atLeast"/>
              <w:rPr>
                <w:rFonts w:asciiTheme="minorHAnsi" w:eastAsia="Times New Roman" w:hAnsiTheme="minorHAnsi"/>
                <w:b w:val="0"/>
                <w:iCs/>
                <w:color w:val="FF0000"/>
                <w:szCs w:val="17"/>
                <w:lang w:eastAsia="en-US"/>
              </w:rPr>
            </w:pPr>
            <w:r w:rsidRPr="00C86E29">
              <w:rPr>
                <w:rFonts w:asciiTheme="minorHAnsi" w:eastAsia="Times New Roman" w:hAnsiTheme="minorHAnsi"/>
                <w:b w:val="0"/>
                <w:iCs/>
                <w:szCs w:val="17"/>
                <w:lang w:eastAsia="en-US"/>
              </w:rPr>
              <w:t>Independent Evaluation of the Tropical Cyclone Pam Recovery Program</w:t>
            </w:r>
          </w:p>
        </w:tc>
        <w:tc>
          <w:tcPr>
            <w:tcW w:w="1397" w:type="dxa"/>
          </w:tcPr>
          <w:p w:rsidR="00914413" w:rsidRPr="00085E5F" w:rsidRDefault="00914413" w:rsidP="00802977">
            <w:pPr>
              <w:keepLines/>
              <w:spacing w:before="40" w:after="40" w:line="200" w:lineRule="atLeast"/>
              <w:rPr>
                <w:rFonts w:asciiTheme="minorHAnsi" w:eastAsia="Times New Roman" w:hAnsiTheme="minorHAnsi"/>
                <w:b w:val="0"/>
                <w:iCs/>
                <w:color w:val="FF0000"/>
                <w:szCs w:val="17"/>
                <w:lang w:eastAsia="en-US"/>
              </w:rPr>
            </w:pPr>
            <w:r w:rsidRPr="00BA2818">
              <w:rPr>
                <w:rFonts w:asciiTheme="minorHAnsi" w:eastAsia="Times New Roman" w:hAnsiTheme="minorHAnsi"/>
                <w:b w:val="0"/>
                <w:iCs/>
                <w:szCs w:val="17"/>
                <w:lang w:eastAsia="en-US"/>
              </w:rPr>
              <w:t>Jun</w:t>
            </w:r>
            <w:r>
              <w:rPr>
                <w:rFonts w:asciiTheme="minorHAnsi" w:eastAsia="Times New Roman" w:hAnsiTheme="minorHAnsi"/>
                <w:b w:val="0"/>
                <w:iCs/>
                <w:szCs w:val="17"/>
                <w:lang w:eastAsia="en-US"/>
              </w:rPr>
              <w:t>e</w:t>
            </w:r>
            <w:r w:rsidRPr="00BA2818">
              <w:rPr>
                <w:rFonts w:asciiTheme="minorHAnsi" w:eastAsia="Times New Roman" w:hAnsiTheme="minorHAnsi"/>
                <w:b w:val="0"/>
                <w:iCs/>
                <w:szCs w:val="17"/>
                <w:lang w:eastAsia="en-US"/>
              </w:rPr>
              <w:t xml:space="preserve"> 2018</w:t>
            </w:r>
          </w:p>
        </w:tc>
        <w:tc>
          <w:tcPr>
            <w:tcW w:w="1953" w:type="dxa"/>
          </w:tcPr>
          <w:p w:rsidR="00914413" w:rsidRPr="00085E5F" w:rsidRDefault="00914413" w:rsidP="00802977">
            <w:pPr>
              <w:keepLines/>
              <w:spacing w:before="40" w:after="40" w:line="200" w:lineRule="atLeast"/>
              <w:rPr>
                <w:rFonts w:asciiTheme="minorHAnsi" w:eastAsia="Times New Roman" w:hAnsiTheme="minorHAnsi"/>
                <w:b w:val="0"/>
                <w:iCs/>
                <w:color w:val="FF0000"/>
                <w:szCs w:val="17"/>
                <w:lang w:eastAsia="en-US"/>
              </w:rPr>
            </w:pPr>
            <w:r w:rsidRPr="00BA2818">
              <w:rPr>
                <w:rFonts w:asciiTheme="minorHAnsi" w:eastAsia="Times New Roman" w:hAnsiTheme="minorHAnsi"/>
                <w:b w:val="0"/>
                <w:iCs/>
                <w:szCs w:val="17"/>
                <w:lang w:eastAsia="en-US"/>
              </w:rPr>
              <w:t xml:space="preserve">December 2018 </w:t>
            </w:r>
          </w:p>
        </w:tc>
        <w:tc>
          <w:tcPr>
            <w:tcW w:w="1671" w:type="dxa"/>
          </w:tcPr>
          <w:p w:rsidR="00914413" w:rsidRPr="00085E5F" w:rsidRDefault="00914413" w:rsidP="00802977">
            <w:pPr>
              <w:keepLines/>
              <w:spacing w:before="40" w:after="40" w:line="200" w:lineRule="atLeast"/>
              <w:rPr>
                <w:rFonts w:asciiTheme="minorHAnsi" w:eastAsia="Times New Roman" w:hAnsiTheme="minorHAnsi"/>
                <w:b w:val="0"/>
                <w:iCs/>
                <w:color w:val="FF0000"/>
                <w:szCs w:val="17"/>
                <w:lang w:eastAsia="en-US"/>
              </w:rPr>
            </w:pPr>
            <w:r w:rsidRPr="00BA2818">
              <w:rPr>
                <w:rFonts w:asciiTheme="minorHAnsi" w:eastAsia="Times New Roman" w:hAnsiTheme="minorHAnsi"/>
                <w:b w:val="0"/>
                <w:iCs/>
                <w:szCs w:val="17"/>
                <w:lang w:eastAsia="en-US"/>
              </w:rPr>
              <w:t>February 2019</w:t>
            </w:r>
          </w:p>
        </w:tc>
        <w:tc>
          <w:tcPr>
            <w:tcW w:w="2365" w:type="dxa"/>
          </w:tcPr>
          <w:p w:rsidR="00914413" w:rsidRPr="00085E5F" w:rsidRDefault="00914413" w:rsidP="00802977">
            <w:pPr>
              <w:keepLines/>
              <w:spacing w:before="40" w:after="40" w:line="200" w:lineRule="atLeast"/>
              <w:rPr>
                <w:rFonts w:asciiTheme="minorHAnsi" w:eastAsia="Times New Roman" w:hAnsiTheme="minorHAnsi"/>
                <w:b w:val="0"/>
                <w:iCs/>
                <w:color w:val="FF0000"/>
                <w:szCs w:val="17"/>
                <w:lang w:eastAsia="en-US"/>
              </w:rPr>
            </w:pPr>
            <w:r w:rsidRPr="00BA2818">
              <w:rPr>
                <w:rFonts w:asciiTheme="minorHAnsi" w:eastAsia="Times New Roman" w:hAnsiTheme="minorHAnsi"/>
                <w:b w:val="0"/>
                <w:iCs/>
                <w:szCs w:val="17"/>
                <w:lang w:eastAsia="en-US"/>
              </w:rPr>
              <w:t>December 2018</w:t>
            </w:r>
          </w:p>
        </w:tc>
      </w:tr>
    </w:tbl>
    <w:p w:rsidR="00914413" w:rsidRPr="00EF26B5" w:rsidRDefault="00914413" w:rsidP="00914413">
      <w:pPr>
        <w:spacing w:before="360"/>
        <w:rPr>
          <w:rFonts w:eastAsiaTheme="majorEastAsia" w:cstheme="minorHAnsi"/>
          <w:caps/>
          <w:sz w:val="36"/>
          <w:szCs w:val="36"/>
        </w:rPr>
      </w:pPr>
      <w:r w:rsidRPr="00EF26B5">
        <w:rPr>
          <w:rFonts w:eastAsiaTheme="majorEastAsia" w:cstheme="minorHAnsi"/>
          <w:caps/>
          <w:sz w:val="36"/>
          <w:szCs w:val="36"/>
        </w:rPr>
        <w:t xml:space="preserve">2 List of program prioritised evaluations </w:t>
      </w:r>
      <w:r w:rsidRPr="00B77B79">
        <w:rPr>
          <w:rFonts w:eastAsiaTheme="majorEastAsia" w:cstheme="minorHAnsi"/>
          <w:caps/>
          <w:sz w:val="36"/>
          <w:szCs w:val="36"/>
        </w:rPr>
        <w:t>planned for the next 12 months</w:t>
      </w:r>
      <w:r w:rsidRPr="00EF26B5">
        <w:rPr>
          <w:rFonts w:eastAsiaTheme="majorEastAsia" w:cstheme="minorHAnsi"/>
          <w:caps/>
          <w:sz w:val="36"/>
          <w:szCs w:val="36"/>
        </w:rPr>
        <w:t xml:space="preserve"> </w:t>
      </w:r>
    </w:p>
    <w:tbl>
      <w:tblPr>
        <w:tblStyle w:val="APPR"/>
        <w:tblW w:w="14311" w:type="dxa"/>
        <w:tblLook w:val="0600" w:firstRow="0" w:lastRow="0" w:firstColumn="0" w:lastColumn="0" w:noHBand="1" w:noVBand="1"/>
      </w:tblPr>
      <w:tblGrid>
        <w:gridCol w:w="2486"/>
        <w:gridCol w:w="2384"/>
        <w:gridCol w:w="2070"/>
        <w:gridCol w:w="2236"/>
        <w:gridCol w:w="2353"/>
        <w:gridCol w:w="2782"/>
      </w:tblGrid>
      <w:tr w:rsidR="00914413" w:rsidRPr="00C61187" w:rsidTr="00802977">
        <w:tc>
          <w:tcPr>
            <w:tcW w:w="2444" w:type="dxa"/>
          </w:tcPr>
          <w:p w:rsidR="00914413" w:rsidRPr="00812509" w:rsidRDefault="00914413" w:rsidP="00802977">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356" w:type="dxa"/>
          </w:tcPr>
          <w:p w:rsidR="00914413" w:rsidRPr="00812509" w:rsidRDefault="00914413" w:rsidP="00802977">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2042" w:type="dxa"/>
          </w:tcPr>
          <w:p w:rsidR="00914413" w:rsidRPr="00812509" w:rsidRDefault="00914413" w:rsidP="00802977">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2208" w:type="dxa"/>
          </w:tcPr>
          <w:p w:rsidR="00914413" w:rsidRPr="00812509" w:rsidRDefault="00914413" w:rsidP="00802977">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2325" w:type="dxa"/>
          </w:tcPr>
          <w:p w:rsidR="00914413" w:rsidRPr="00812509" w:rsidRDefault="00914413" w:rsidP="00802977">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2740" w:type="dxa"/>
          </w:tcPr>
          <w:p w:rsidR="00914413" w:rsidRPr="00812509" w:rsidRDefault="00914413" w:rsidP="00802977">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914413" w:rsidRPr="00C61187" w:rsidTr="00802977">
        <w:tc>
          <w:tcPr>
            <w:tcW w:w="2444" w:type="dxa"/>
          </w:tcPr>
          <w:p w:rsidR="00914413" w:rsidRPr="006C0E16" w:rsidRDefault="00914413" w:rsidP="00802977">
            <w:pPr>
              <w:keepLines/>
              <w:spacing w:before="40" w:after="40" w:line="200" w:lineRule="atLeast"/>
              <w:rPr>
                <w:rFonts w:asciiTheme="minorHAnsi" w:eastAsia="Times New Roman" w:hAnsiTheme="minorHAnsi"/>
                <w:iCs/>
                <w:szCs w:val="17"/>
                <w:lang w:eastAsia="en-US"/>
              </w:rPr>
            </w:pPr>
            <w:r w:rsidRPr="006C0E16">
              <w:rPr>
                <w:rFonts w:asciiTheme="minorHAnsi" w:eastAsia="Times New Roman" w:hAnsiTheme="minorHAnsi"/>
                <w:iCs/>
                <w:szCs w:val="17"/>
                <w:lang w:eastAsia="en-US"/>
              </w:rPr>
              <w:t xml:space="preserve">Independent evaluation of </w:t>
            </w:r>
            <w:r w:rsidRPr="006C0E16">
              <w:rPr>
                <w:rFonts w:asciiTheme="minorHAnsi" w:eastAsia="Times New Roman" w:hAnsiTheme="minorHAnsi"/>
                <w:iCs/>
                <w:szCs w:val="17"/>
              </w:rPr>
              <w:t>Vanuatu Australia Policing &amp; Justice Program</w:t>
            </w:r>
          </w:p>
          <w:p w:rsidR="00914413" w:rsidRPr="006C0E16" w:rsidRDefault="00914413" w:rsidP="00802977">
            <w:pPr>
              <w:keepLines/>
              <w:spacing w:before="40" w:after="40" w:line="200" w:lineRule="atLeast"/>
              <w:rPr>
                <w:rFonts w:asciiTheme="minorHAnsi" w:eastAsia="Times New Roman" w:hAnsiTheme="minorHAnsi"/>
                <w:iCs/>
                <w:color w:val="FF0000"/>
                <w:szCs w:val="17"/>
                <w:lang w:eastAsia="en-US"/>
              </w:rPr>
            </w:pPr>
          </w:p>
        </w:tc>
        <w:tc>
          <w:tcPr>
            <w:tcW w:w="2356" w:type="dxa"/>
          </w:tcPr>
          <w:p w:rsidR="00914413" w:rsidRPr="006C0E16" w:rsidRDefault="00914413" w:rsidP="00802977">
            <w:pPr>
              <w:keepLines/>
              <w:spacing w:before="40" w:after="40" w:line="200" w:lineRule="atLeast"/>
              <w:rPr>
                <w:rFonts w:asciiTheme="minorHAnsi" w:eastAsia="Times New Roman" w:hAnsiTheme="minorHAnsi"/>
                <w:iCs/>
                <w:szCs w:val="17"/>
                <w:lang w:eastAsia="en-US"/>
              </w:rPr>
            </w:pPr>
            <w:r w:rsidRPr="006C0E16">
              <w:rPr>
                <w:rFonts w:asciiTheme="minorHAnsi" w:eastAsia="Times New Roman" w:hAnsiTheme="minorHAnsi"/>
                <w:iCs/>
                <w:szCs w:val="17"/>
                <w:lang w:eastAsia="en-US"/>
              </w:rPr>
              <w:t xml:space="preserve">INL997 </w:t>
            </w:r>
            <w:r w:rsidRPr="006C0E16">
              <w:rPr>
                <w:rFonts w:asciiTheme="minorHAnsi" w:eastAsia="Times New Roman" w:hAnsiTheme="minorHAnsi"/>
                <w:iCs/>
                <w:szCs w:val="17"/>
              </w:rPr>
              <w:t>Vanuatu Australia Policing &amp; Justice Program</w:t>
            </w:r>
          </w:p>
          <w:p w:rsidR="00914413" w:rsidRPr="006C0E16" w:rsidRDefault="00914413" w:rsidP="00802977">
            <w:pPr>
              <w:keepLines/>
              <w:spacing w:before="40" w:after="40" w:line="200" w:lineRule="atLeast"/>
              <w:rPr>
                <w:rFonts w:asciiTheme="minorHAnsi" w:eastAsia="Times New Roman" w:hAnsiTheme="minorHAnsi"/>
                <w:iCs/>
                <w:color w:val="FF0000"/>
                <w:szCs w:val="17"/>
                <w:lang w:eastAsia="en-US"/>
              </w:rPr>
            </w:pPr>
          </w:p>
        </w:tc>
        <w:tc>
          <w:tcPr>
            <w:tcW w:w="2042" w:type="dxa"/>
          </w:tcPr>
          <w:p w:rsidR="00914413" w:rsidRPr="006C0E16" w:rsidRDefault="00914413" w:rsidP="00802977">
            <w:pPr>
              <w:keepLines/>
              <w:spacing w:before="40" w:after="40" w:line="200" w:lineRule="atLeast"/>
              <w:rPr>
                <w:rFonts w:asciiTheme="minorHAnsi" w:eastAsia="Times New Roman" w:hAnsiTheme="minorHAnsi"/>
                <w:iCs/>
                <w:szCs w:val="17"/>
                <w:lang w:eastAsia="en-US"/>
              </w:rPr>
            </w:pPr>
            <w:r w:rsidRPr="006C0E16">
              <w:rPr>
                <w:rFonts w:asciiTheme="minorHAnsi" w:eastAsia="Times New Roman" w:hAnsiTheme="minorHAnsi"/>
                <w:iCs/>
                <w:szCs w:val="17"/>
                <w:lang w:eastAsia="en-US"/>
              </w:rPr>
              <w:t>September-October 2019</w:t>
            </w:r>
          </w:p>
          <w:p w:rsidR="00914413" w:rsidRPr="006C0E16" w:rsidRDefault="00914413" w:rsidP="00802977">
            <w:pPr>
              <w:keepLines/>
              <w:spacing w:before="40" w:after="40" w:line="200" w:lineRule="atLeast"/>
              <w:rPr>
                <w:rFonts w:asciiTheme="minorHAnsi" w:eastAsia="Times New Roman" w:hAnsiTheme="minorHAnsi"/>
                <w:iCs/>
                <w:color w:val="FF0000"/>
                <w:szCs w:val="17"/>
                <w:lang w:eastAsia="en-US"/>
              </w:rPr>
            </w:pPr>
          </w:p>
        </w:tc>
        <w:tc>
          <w:tcPr>
            <w:tcW w:w="2208" w:type="dxa"/>
          </w:tcPr>
          <w:p w:rsidR="00914413" w:rsidRPr="006C0E16" w:rsidRDefault="00914413" w:rsidP="00802977">
            <w:pPr>
              <w:keepLines/>
              <w:spacing w:before="40" w:after="40" w:line="200" w:lineRule="atLeast"/>
              <w:rPr>
                <w:rFonts w:asciiTheme="minorHAnsi" w:eastAsia="Times New Roman" w:hAnsiTheme="minorHAnsi"/>
                <w:iCs/>
                <w:szCs w:val="17"/>
                <w:lang w:eastAsia="en-US"/>
              </w:rPr>
            </w:pPr>
            <w:r w:rsidRPr="006C0E16">
              <w:rPr>
                <w:rFonts w:asciiTheme="minorHAnsi" w:eastAsia="Times New Roman" w:hAnsiTheme="minorHAnsi"/>
                <w:iCs/>
                <w:szCs w:val="17"/>
                <w:lang w:eastAsia="en-US"/>
              </w:rPr>
              <w:t>December 2019</w:t>
            </w:r>
          </w:p>
          <w:p w:rsidR="00914413" w:rsidRPr="006C0E16" w:rsidRDefault="00914413" w:rsidP="00802977">
            <w:pPr>
              <w:keepLines/>
              <w:spacing w:before="40" w:after="40" w:line="200" w:lineRule="atLeast"/>
              <w:rPr>
                <w:rFonts w:asciiTheme="minorHAnsi" w:eastAsia="Times New Roman" w:hAnsiTheme="minorHAnsi"/>
                <w:iCs/>
                <w:color w:val="FF0000"/>
                <w:szCs w:val="17"/>
                <w:lang w:eastAsia="en-US"/>
              </w:rPr>
            </w:pPr>
          </w:p>
        </w:tc>
        <w:tc>
          <w:tcPr>
            <w:tcW w:w="2325" w:type="dxa"/>
          </w:tcPr>
          <w:p w:rsidR="00914413" w:rsidRPr="00914413" w:rsidRDefault="00914413" w:rsidP="00802977">
            <w:pPr>
              <w:keepLines/>
              <w:spacing w:before="40" w:after="40" w:line="200" w:lineRule="atLeast"/>
              <w:rPr>
                <w:rFonts w:asciiTheme="minorHAnsi" w:eastAsia="Times New Roman" w:hAnsiTheme="minorHAnsi"/>
                <w:iCs/>
                <w:szCs w:val="17"/>
                <w:lang w:eastAsia="en-US"/>
              </w:rPr>
            </w:pPr>
            <w:r w:rsidRPr="00F370D4">
              <w:rPr>
                <w:rFonts w:asciiTheme="minorHAnsi" w:eastAsia="Times New Roman" w:hAnsiTheme="minorHAnsi"/>
                <w:iCs/>
                <w:szCs w:val="17"/>
                <w:lang w:eastAsia="en-US"/>
              </w:rPr>
              <w:t>The evaluation will assess the effectiveness and efficiency of Australia’s current contribution to the policing and justice sectors in Vanuatu and future opportunities.</w:t>
            </w:r>
          </w:p>
        </w:tc>
        <w:tc>
          <w:tcPr>
            <w:tcW w:w="2740" w:type="dxa"/>
          </w:tcPr>
          <w:p w:rsidR="00914413" w:rsidRPr="00F370D4" w:rsidRDefault="00914413" w:rsidP="0080297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DFAT led (includes consultants engaged by DFAT)</w:t>
            </w:r>
          </w:p>
          <w:p w:rsidR="00914413" w:rsidRPr="00F370D4" w:rsidRDefault="00914413" w:rsidP="00802977">
            <w:pPr>
              <w:keepLines/>
              <w:spacing w:before="40" w:after="40" w:line="200" w:lineRule="atLeast"/>
              <w:rPr>
                <w:rFonts w:asciiTheme="minorHAnsi" w:eastAsia="Times New Roman" w:hAnsiTheme="minorHAnsi"/>
                <w:iCs/>
                <w:color w:val="FF0000"/>
                <w:szCs w:val="17"/>
                <w:lang w:eastAsia="en-US"/>
              </w:rPr>
            </w:pPr>
          </w:p>
        </w:tc>
      </w:tr>
    </w:tbl>
    <w:p w:rsidR="0059146A" w:rsidRDefault="0059146A" w:rsidP="005B5769">
      <w:pPr>
        <w:pStyle w:val="ListBullet"/>
        <w:tabs>
          <w:tab w:val="clear" w:pos="284"/>
        </w:tabs>
      </w:pPr>
    </w:p>
    <w:p w:rsidR="005E606B" w:rsidRDefault="005E606B" w:rsidP="005B5769">
      <w:pPr>
        <w:pStyle w:val="ListBullet"/>
        <w:tabs>
          <w:tab w:val="clear" w:pos="284"/>
        </w:tabs>
        <w:sectPr w:rsidR="005E606B" w:rsidSect="00D2653F">
          <w:headerReference w:type="default" r:id="rId29"/>
          <w:headerReference w:type="first" r:id="rId30"/>
          <w:pgSz w:w="16838" w:h="11906" w:orient="landscape" w:code="9"/>
          <w:pgMar w:top="1134" w:right="1952" w:bottom="1134" w:left="851" w:header="1107" w:footer="567" w:gutter="0"/>
          <w:cols w:space="397"/>
          <w:docGrid w:linePitch="360"/>
        </w:sectPr>
      </w:pPr>
    </w:p>
    <w:p w:rsidR="005E606B" w:rsidRPr="00EF26B5" w:rsidRDefault="005E606B" w:rsidP="00BB648A">
      <w:pPr>
        <w:pStyle w:val="Subtitle"/>
        <w:spacing w:before="360" w:after="120" w:line="300" w:lineRule="exact"/>
        <w:rPr>
          <w:rFonts w:asciiTheme="majorHAnsi" w:hAnsiTheme="majorHAnsi" w:cstheme="majorHAnsi"/>
        </w:rPr>
      </w:pPr>
      <w:r w:rsidRPr="00EF26B5">
        <w:rPr>
          <w:rFonts w:asciiTheme="majorHAnsi" w:hAnsiTheme="majorHAnsi" w:cstheme="majorHAnsi"/>
        </w:rPr>
        <w:lastRenderedPageBreak/>
        <w:t xml:space="preserve">Annex </w:t>
      </w:r>
      <w:r w:rsidR="00184F1E" w:rsidRPr="00EF26B5">
        <w:rPr>
          <w:rFonts w:asciiTheme="majorHAnsi" w:hAnsiTheme="majorHAnsi" w:cstheme="majorHAnsi"/>
        </w:rPr>
        <w:t>D</w:t>
      </w:r>
      <w:r w:rsidRPr="00EF26B5">
        <w:rPr>
          <w:rFonts w:asciiTheme="majorHAnsi" w:hAnsiTheme="majorHAnsi" w:cstheme="majorHAnsi"/>
        </w:rPr>
        <w:t xml:space="preserve"> - Aid Quality Check ratings</w:t>
      </w:r>
    </w:p>
    <w:p w:rsidR="00802977" w:rsidRPr="00EF26B5" w:rsidRDefault="00802977" w:rsidP="00B83D47">
      <w:pPr>
        <w:pStyle w:val="ListBullet"/>
        <w:tabs>
          <w:tab w:val="clear" w:pos="284"/>
        </w:tabs>
        <w:spacing w:before="240"/>
        <w:rPr>
          <w:rFonts w:asciiTheme="minorHAnsi" w:eastAsiaTheme="majorEastAsia" w:hAnsiTheme="minorHAnsi" w:cstheme="minorHAnsi"/>
          <w:caps/>
          <w:color w:val="495965" w:themeColor="text2"/>
          <w:sz w:val="36"/>
          <w:szCs w:val="36"/>
          <w:lang w:val="en-GB" w:eastAsia="en-US"/>
        </w:rPr>
      </w:pPr>
      <w:r w:rsidRPr="00EF26B5">
        <w:rPr>
          <w:rFonts w:asciiTheme="minorHAnsi" w:eastAsiaTheme="majorEastAsia" w:hAnsiTheme="minorHAnsi" w:cstheme="minorHAnsi"/>
          <w:caps/>
          <w:color w:val="495965" w:themeColor="text2"/>
          <w:sz w:val="36"/>
          <w:szCs w:val="36"/>
          <w:lang w:val="en-GB" w:eastAsia="en-US"/>
        </w:rPr>
        <w:t>1 AQC ratings</w:t>
      </w:r>
    </w:p>
    <w:tbl>
      <w:tblPr>
        <w:tblW w:w="12139" w:type="dxa"/>
        <w:tblLook w:val="04A0" w:firstRow="1" w:lastRow="0" w:firstColumn="1" w:lastColumn="0" w:noHBand="0" w:noVBand="1"/>
      </w:tblPr>
      <w:tblGrid>
        <w:gridCol w:w="3360"/>
        <w:gridCol w:w="1520"/>
        <w:gridCol w:w="1499"/>
        <w:gridCol w:w="960"/>
        <w:gridCol w:w="960"/>
        <w:gridCol w:w="960"/>
        <w:gridCol w:w="960"/>
        <w:gridCol w:w="960"/>
        <w:gridCol w:w="960"/>
      </w:tblGrid>
      <w:tr w:rsidR="006C4EBA" w:rsidRPr="006C4EBA" w:rsidTr="00B83D47">
        <w:trPr>
          <w:trHeight w:val="1091"/>
          <w:tblHeader/>
        </w:trPr>
        <w:tc>
          <w:tcPr>
            <w:tcW w:w="3360" w:type="dxa"/>
            <w:tcBorders>
              <w:top w:val="double" w:sz="6" w:space="0" w:color="auto"/>
              <w:left w:val="nil"/>
              <w:bottom w:val="single" w:sz="8"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b/>
                <w:bCs/>
                <w:color w:val="495965"/>
                <w:sz w:val="17"/>
                <w:szCs w:val="17"/>
                <w:lang w:val="en-AU" w:eastAsia="en-AU"/>
              </w:rPr>
            </w:pPr>
            <w:r w:rsidRPr="006C4EBA">
              <w:rPr>
                <w:rFonts w:ascii="Calibri Light" w:eastAsia="Times New Roman" w:hAnsi="Calibri Light" w:cs="Calibri Light"/>
                <w:b/>
                <w:bCs/>
                <w:noProof/>
                <w:color w:val="495965"/>
                <w:sz w:val="17"/>
                <w:szCs w:val="17"/>
                <w:lang w:val="en-AU" w:eastAsia="en-AU"/>
              </w:rPr>
              <w:drawing>
                <wp:anchor distT="0" distB="0" distL="114300" distR="114300" simplePos="0" relativeHeight="251695104" behindDoc="0" locked="0" layoutInCell="1" allowOverlap="1" wp14:anchorId="5F5EE127" wp14:editId="730099EC">
                  <wp:simplePos x="0" y="0"/>
                  <wp:positionH relativeFrom="column">
                    <wp:posOffset>0</wp:posOffset>
                  </wp:positionH>
                  <wp:positionV relativeFrom="paragraph">
                    <wp:posOffset>0</wp:posOffset>
                  </wp:positionV>
                  <wp:extent cx="5095875" cy="228600"/>
                  <wp:effectExtent l="0" t="0" r="0" b="0"/>
                  <wp:wrapNone/>
                  <wp:docPr id="9" name="Picture 9" hidden="1"/>
                  <wp:cNvGraphicFramePr/>
                  <a:graphic xmlns:a="http://schemas.openxmlformats.org/drawingml/2006/main">
                    <a:graphicData uri="http://schemas.openxmlformats.org/drawingml/2006/picture">
                      <pic:pic xmlns:pic="http://schemas.openxmlformats.org/drawingml/2006/picture">
                        <pic:nvPicPr>
                          <pic:cNvPr id="2" name="Picture 5" hidden="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3750"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6C4EBA">
              <w:rPr>
                <w:rFonts w:ascii="Calibri Light" w:eastAsia="Times New Roman" w:hAnsi="Calibri Light" w:cs="Calibri Light"/>
                <w:b/>
                <w:bCs/>
                <w:color w:val="495965"/>
                <w:sz w:val="17"/>
                <w:szCs w:val="17"/>
                <w:lang w:val="en-AU" w:eastAsia="en-AU"/>
              </w:rPr>
              <w:t>Investment name</w:t>
            </w:r>
          </w:p>
        </w:tc>
        <w:tc>
          <w:tcPr>
            <w:tcW w:w="1520" w:type="dxa"/>
            <w:tcBorders>
              <w:top w:val="double" w:sz="6" w:space="0" w:color="auto"/>
              <w:left w:val="nil"/>
              <w:bottom w:val="single" w:sz="8" w:space="0" w:color="auto"/>
              <w:right w:val="nil"/>
            </w:tcBorders>
            <w:shd w:val="clear" w:color="auto" w:fill="auto"/>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b/>
                <w:bCs/>
                <w:color w:val="495965"/>
                <w:sz w:val="17"/>
                <w:szCs w:val="17"/>
                <w:lang w:val="en-AU" w:eastAsia="en-AU"/>
              </w:rPr>
            </w:pPr>
            <w:r w:rsidRPr="006C4EBA">
              <w:rPr>
                <w:rFonts w:ascii="Calibri Light" w:eastAsia="Times New Roman" w:hAnsi="Calibri Light" w:cs="Calibri Light"/>
                <w:b/>
                <w:bCs/>
                <w:color w:val="495965"/>
                <w:sz w:val="17"/>
                <w:szCs w:val="17"/>
                <w:lang w:val="en-AU" w:eastAsia="en-AU"/>
              </w:rPr>
              <w:t>Approved budget and duration</w:t>
            </w:r>
          </w:p>
        </w:tc>
        <w:tc>
          <w:tcPr>
            <w:tcW w:w="1499" w:type="dxa"/>
            <w:tcBorders>
              <w:top w:val="double" w:sz="6" w:space="0" w:color="auto"/>
              <w:left w:val="nil"/>
              <w:bottom w:val="single" w:sz="8" w:space="0" w:color="auto"/>
              <w:right w:val="nil"/>
            </w:tcBorders>
            <w:shd w:val="clear" w:color="auto" w:fill="auto"/>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b/>
                <w:bCs/>
                <w:color w:val="495965"/>
                <w:sz w:val="17"/>
                <w:szCs w:val="17"/>
                <w:lang w:val="en-AU" w:eastAsia="en-AU"/>
              </w:rPr>
            </w:pPr>
            <w:r w:rsidRPr="006C4EBA">
              <w:rPr>
                <w:rFonts w:ascii="Calibri Light" w:eastAsia="Times New Roman" w:hAnsi="Calibri Light" w:cs="Calibri Light"/>
                <w:b/>
                <w:bCs/>
                <w:color w:val="495965"/>
                <w:sz w:val="17"/>
                <w:szCs w:val="17"/>
                <w:lang w:val="en-AU" w:eastAsia="en-AU"/>
              </w:rPr>
              <w:t>year on year</w:t>
            </w:r>
          </w:p>
        </w:tc>
        <w:tc>
          <w:tcPr>
            <w:tcW w:w="960" w:type="dxa"/>
            <w:tcBorders>
              <w:top w:val="double" w:sz="6" w:space="0" w:color="auto"/>
              <w:left w:val="nil"/>
              <w:bottom w:val="single" w:sz="8" w:space="0" w:color="auto"/>
              <w:right w:val="nil"/>
            </w:tcBorders>
            <w:shd w:val="clear" w:color="auto" w:fill="auto"/>
            <w:textDirection w:val="btLr"/>
            <w:vAlign w:val="center"/>
            <w:hideMark/>
          </w:tcPr>
          <w:p w:rsidR="006C4EBA" w:rsidRPr="006C4EBA" w:rsidRDefault="006C4EBA" w:rsidP="006C4EBA">
            <w:pPr>
              <w:suppressAutoHyphens w:val="0"/>
              <w:spacing w:before="0" w:after="0" w:line="240" w:lineRule="auto"/>
              <w:jc w:val="right"/>
              <w:rPr>
                <w:rFonts w:ascii="Calibri Light" w:eastAsia="Times New Roman" w:hAnsi="Calibri Light" w:cs="Calibri Light"/>
                <w:b/>
                <w:bCs/>
                <w:color w:val="495965"/>
                <w:sz w:val="17"/>
                <w:szCs w:val="17"/>
                <w:lang w:val="en-AU" w:eastAsia="en-AU"/>
              </w:rPr>
            </w:pPr>
            <w:r w:rsidRPr="006C4EBA">
              <w:rPr>
                <w:rFonts w:ascii="Calibri Light" w:eastAsia="Times New Roman" w:hAnsi="Calibri Light" w:cs="Calibri Light"/>
                <w:b/>
                <w:bCs/>
                <w:color w:val="495965"/>
                <w:sz w:val="17"/>
                <w:szCs w:val="17"/>
                <w:lang w:val="en-AU" w:eastAsia="en-AU"/>
              </w:rPr>
              <w:t>Effectiveness</w:t>
            </w:r>
          </w:p>
        </w:tc>
        <w:tc>
          <w:tcPr>
            <w:tcW w:w="960" w:type="dxa"/>
            <w:tcBorders>
              <w:top w:val="double" w:sz="6" w:space="0" w:color="auto"/>
              <w:left w:val="nil"/>
              <w:bottom w:val="single" w:sz="8" w:space="0" w:color="auto"/>
              <w:right w:val="nil"/>
            </w:tcBorders>
            <w:shd w:val="clear" w:color="auto" w:fill="auto"/>
            <w:textDirection w:val="btLr"/>
            <w:vAlign w:val="center"/>
            <w:hideMark/>
          </w:tcPr>
          <w:p w:rsidR="006C4EBA" w:rsidRPr="006C4EBA" w:rsidRDefault="006C4EBA" w:rsidP="006C4EBA">
            <w:pPr>
              <w:suppressAutoHyphens w:val="0"/>
              <w:spacing w:before="0" w:after="0" w:line="240" w:lineRule="auto"/>
              <w:jc w:val="right"/>
              <w:rPr>
                <w:rFonts w:ascii="Calibri Light" w:eastAsia="Times New Roman" w:hAnsi="Calibri Light" w:cs="Calibri Light"/>
                <w:b/>
                <w:bCs/>
                <w:color w:val="495965"/>
                <w:sz w:val="17"/>
                <w:szCs w:val="17"/>
                <w:lang w:val="en-AU" w:eastAsia="en-AU"/>
              </w:rPr>
            </w:pPr>
            <w:r w:rsidRPr="006C4EBA">
              <w:rPr>
                <w:rFonts w:ascii="Calibri Light" w:eastAsia="Times New Roman" w:hAnsi="Calibri Light" w:cs="Calibri Light"/>
                <w:b/>
                <w:bCs/>
                <w:color w:val="495965"/>
                <w:sz w:val="17"/>
                <w:szCs w:val="17"/>
                <w:lang w:val="en-AU" w:eastAsia="en-AU"/>
              </w:rPr>
              <w:t>Efficiency</w:t>
            </w:r>
          </w:p>
        </w:tc>
        <w:tc>
          <w:tcPr>
            <w:tcW w:w="960" w:type="dxa"/>
            <w:tcBorders>
              <w:top w:val="double" w:sz="6" w:space="0" w:color="auto"/>
              <w:left w:val="nil"/>
              <w:bottom w:val="single" w:sz="8" w:space="0" w:color="auto"/>
              <w:right w:val="nil"/>
            </w:tcBorders>
            <w:shd w:val="clear" w:color="auto" w:fill="auto"/>
            <w:textDirection w:val="btLr"/>
            <w:vAlign w:val="center"/>
            <w:hideMark/>
          </w:tcPr>
          <w:p w:rsidR="006C4EBA" w:rsidRPr="006C4EBA" w:rsidRDefault="006C4EBA" w:rsidP="006C4EBA">
            <w:pPr>
              <w:suppressAutoHyphens w:val="0"/>
              <w:spacing w:before="0" w:after="0" w:line="240" w:lineRule="auto"/>
              <w:jc w:val="right"/>
              <w:rPr>
                <w:rFonts w:ascii="Calibri Light" w:eastAsia="Times New Roman" w:hAnsi="Calibri Light" w:cs="Calibri Light"/>
                <w:b/>
                <w:bCs/>
                <w:color w:val="495965"/>
                <w:sz w:val="17"/>
                <w:szCs w:val="17"/>
                <w:lang w:val="en-AU" w:eastAsia="en-AU"/>
              </w:rPr>
            </w:pPr>
            <w:r w:rsidRPr="006C4EBA">
              <w:rPr>
                <w:rFonts w:ascii="Calibri Light" w:eastAsia="Times New Roman" w:hAnsi="Calibri Light" w:cs="Calibri Light"/>
                <w:b/>
                <w:bCs/>
                <w:color w:val="495965"/>
                <w:sz w:val="17"/>
                <w:szCs w:val="17"/>
                <w:lang w:val="en-AU" w:eastAsia="en-AU"/>
              </w:rPr>
              <w:t>Gender equality</w:t>
            </w:r>
          </w:p>
        </w:tc>
        <w:tc>
          <w:tcPr>
            <w:tcW w:w="960" w:type="dxa"/>
            <w:tcBorders>
              <w:top w:val="double" w:sz="6" w:space="0" w:color="auto"/>
              <w:left w:val="nil"/>
              <w:bottom w:val="single" w:sz="8" w:space="0" w:color="auto"/>
              <w:right w:val="nil"/>
            </w:tcBorders>
            <w:shd w:val="clear" w:color="auto" w:fill="auto"/>
            <w:textDirection w:val="btLr"/>
            <w:vAlign w:val="center"/>
            <w:hideMark/>
          </w:tcPr>
          <w:p w:rsidR="006C4EBA" w:rsidRPr="006C4EBA" w:rsidRDefault="006C4EBA" w:rsidP="006C4EBA">
            <w:pPr>
              <w:suppressAutoHyphens w:val="0"/>
              <w:spacing w:before="0" w:after="0" w:line="240" w:lineRule="auto"/>
              <w:jc w:val="right"/>
              <w:rPr>
                <w:rFonts w:ascii="Calibri Light" w:eastAsia="Times New Roman" w:hAnsi="Calibri Light" w:cs="Calibri Light"/>
                <w:b/>
                <w:bCs/>
                <w:color w:val="495965"/>
                <w:sz w:val="17"/>
                <w:szCs w:val="17"/>
                <w:lang w:val="en-AU" w:eastAsia="en-AU"/>
              </w:rPr>
            </w:pPr>
            <w:r w:rsidRPr="006C4EBA">
              <w:rPr>
                <w:rFonts w:ascii="Calibri Light" w:eastAsia="Times New Roman" w:hAnsi="Calibri Light" w:cs="Calibri Light"/>
                <w:b/>
                <w:bCs/>
                <w:color w:val="495965"/>
                <w:sz w:val="17"/>
                <w:szCs w:val="17"/>
                <w:lang w:val="en-AU" w:eastAsia="en-AU"/>
              </w:rPr>
              <w:t>Relevance</w:t>
            </w:r>
          </w:p>
        </w:tc>
        <w:tc>
          <w:tcPr>
            <w:tcW w:w="960" w:type="dxa"/>
            <w:tcBorders>
              <w:top w:val="double" w:sz="6" w:space="0" w:color="auto"/>
              <w:left w:val="nil"/>
              <w:bottom w:val="single" w:sz="8" w:space="0" w:color="auto"/>
              <w:right w:val="nil"/>
            </w:tcBorders>
            <w:shd w:val="clear" w:color="auto" w:fill="auto"/>
            <w:textDirection w:val="btLr"/>
            <w:vAlign w:val="center"/>
            <w:hideMark/>
          </w:tcPr>
          <w:p w:rsidR="006C4EBA" w:rsidRPr="006C4EBA" w:rsidRDefault="006C4EBA" w:rsidP="006C4EBA">
            <w:pPr>
              <w:suppressAutoHyphens w:val="0"/>
              <w:spacing w:before="0" w:after="0" w:line="240" w:lineRule="auto"/>
              <w:jc w:val="right"/>
              <w:rPr>
                <w:rFonts w:ascii="Calibri Light" w:eastAsia="Times New Roman" w:hAnsi="Calibri Light" w:cs="Calibri Light"/>
                <w:b/>
                <w:bCs/>
                <w:color w:val="495965"/>
                <w:sz w:val="17"/>
                <w:szCs w:val="17"/>
                <w:lang w:val="en-AU" w:eastAsia="en-AU"/>
              </w:rPr>
            </w:pPr>
            <w:r w:rsidRPr="006C4EBA">
              <w:rPr>
                <w:rFonts w:ascii="Calibri Light" w:eastAsia="Times New Roman" w:hAnsi="Calibri Light" w:cs="Calibri Light"/>
                <w:b/>
                <w:bCs/>
                <w:color w:val="495965"/>
                <w:sz w:val="17"/>
                <w:szCs w:val="17"/>
                <w:lang w:val="en-AU" w:eastAsia="en-AU"/>
              </w:rPr>
              <w:t>Monitoring and Evaluation</w:t>
            </w:r>
          </w:p>
        </w:tc>
        <w:tc>
          <w:tcPr>
            <w:tcW w:w="960" w:type="dxa"/>
            <w:tcBorders>
              <w:top w:val="double" w:sz="6" w:space="0" w:color="auto"/>
              <w:left w:val="nil"/>
              <w:bottom w:val="single" w:sz="8" w:space="0" w:color="auto"/>
              <w:right w:val="nil"/>
            </w:tcBorders>
            <w:shd w:val="clear" w:color="auto" w:fill="auto"/>
            <w:textDirection w:val="btLr"/>
            <w:vAlign w:val="center"/>
            <w:hideMark/>
          </w:tcPr>
          <w:p w:rsidR="006C4EBA" w:rsidRPr="006C4EBA" w:rsidRDefault="006C4EBA" w:rsidP="006C4EBA">
            <w:pPr>
              <w:suppressAutoHyphens w:val="0"/>
              <w:spacing w:before="0" w:after="0" w:line="240" w:lineRule="auto"/>
              <w:jc w:val="right"/>
              <w:rPr>
                <w:rFonts w:ascii="Calibri Light" w:eastAsia="Times New Roman" w:hAnsi="Calibri Light" w:cs="Calibri Light"/>
                <w:b/>
                <w:bCs/>
                <w:color w:val="495965"/>
                <w:sz w:val="17"/>
                <w:szCs w:val="17"/>
                <w:lang w:val="en-AU" w:eastAsia="en-AU"/>
              </w:rPr>
            </w:pPr>
            <w:r w:rsidRPr="006C4EBA">
              <w:rPr>
                <w:rFonts w:ascii="Calibri Light" w:eastAsia="Times New Roman" w:hAnsi="Calibri Light" w:cs="Calibri Light"/>
                <w:b/>
                <w:bCs/>
                <w:color w:val="495965"/>
                <w:sz w:val="17"/>
                <w:szCs w:val="17"/>
                <w:lang w:val="en-AU" w:eastAsia="en-AU"/>
              </w:rPr>
              <w:t>Sustainability</w:t>
            </w:r>
          </w:p>
        </w:tc>
      </w:tr>
      <w:tr w:rsidR="006C4EBA" w:rsidRPr="006C4EBA" w:rsidTr="00B83D47">
        <w:trPr>
          <w:trHeight w:val="315"/>
        </w:trPr>
        <w:tc>
          <w:tcPr>
            <w:tcW w:w="3360" w:type="dxa"/>
            <w:tcBorders>
              <w:top w:val="nil"/>
              <w:left w:val="single" w:sz="8" w:space="0" w:color="D3D3D3"/>
              <w:bottom w:val="single" w:sz="8" w:space="0" w:color="D3D3D3"/>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w:eastAsia="Times New Roman" w:hAnsi="Calibri" w:cs="Calibri"/>
                <w:b/>
                <w:bCs/>
                <w:color w:val="495965"/>
                <w:sz w:val="17"/>
                <w:szCs w:val="17"/>
                <w:lang w:val="en-AU" w:eastAsia="en-AU"/>
              </w:rPr>
            </w:pPr>
            <w:r w:rsidRPr="006C4EBA">
              <w:rPr>
                <w:rFonts w:ascii="Calibri" w:eastAsia="Times New Roman" w:hAnsi="Calibri" w:cs="Calibri"/>
                <w:b/>
                <w:bCs/>
                <w:color w:val="495965"/>
                <w:sz w:val="17"/>
                <w:szCs w:val="17"/>
                <w:lang w:val="en-AU" w:eastAsia="en-AU"/>
              </w:rPr>
              <w:t xml:space="preserve">INM393  </w:t>
            </w:r>
          </w:p>
        </w:tc>
        <w:tc>
          <w:tcPr>
            <w:tcW w:w="1520" w:type="dxa"/>
            <w:tcBorders>
              <w:top w:val="nil"/>
              <w:left w:val="nil"/>
              <w:bottom w:val="nil"/>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$23,325,172</w:t>
            </w:r>
          </w:p>
        </w:tc>
        <w:tc>
          <w:tcPr>
            <w:tcW w:w="1499" w:type="dxa"/>
            <w:tcBorders>
              <w:top w:val="nil"/>
              <w:left w:val="nil"/>
              <w:bottom w:val="nil"/>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2019 AQC</w:t>
            </w:r>
          </w:p>
        </w:tc>
        <w:tc>
          <w:tcPr>
            <w:tcW w:w="960" w:type="dxa"/>
            <w:tcBorders>
              <w:top w:val="nil"/>
              <w:left w:val="nil"/>
              <w:bottom w:val="nil"/>
              <w:right w:val="nil"/>
            </w:tcBorders>
            <w:shd w:val="clear" w:color="000000" w:fill="92D05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5</w:t>
            </w:r>
          </w:p>
        </w:tc>
        <w:tc>
          <w:tcPr>
            <w:tcW w:w="960" w:type="dxa"/>
            <w:tcBorders>
              <w:top w:val="nil"/>
              <w:left w:val="nil"/>
              <w:bottom w:val="nil"/>
              <w:right w:val="nil"/>
            </w:tcBorders>
            <w:shd w:val="clear" w:color="000000" w:fill="92D05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5</w:t>
            </w:r>
          </w:p>
        </w:tc>
        <w:tc>
          <w:tcPr>
            <w:tcW w:w="960" w:type="dxa"/>
            <w:tcBorders>
              <w:top w:val="nil"/>
              <w:left w:val="nil"/>
              <w:bottom w:val="nil"/>
              <w:right w:val="nil"/>
            </w:tcBorders>
            <w:shd w:val="clear" w:color="000000" w:fill="FFFF0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c>
          <w:tcPr>
            <w:tcW w:w="960" w:type="dxa"/>
            <w:tcBorders>
              <w:top w:val="nil"/>
              <w:left w:val="nil"/>
              <w:bottom w:val="nil"/>
              <w:right w:val="nil"/>
            </w:tcBorders>
            <w:shd w:val="clear" w:color="000000" w:fill="FFFFFF"/>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w:t>
            </w:r>
          </w:p>
        </w:tc>
        <w:tc>
          <w:tcPr>
            <w:tcW w:w="960" w:type="dxa"/>
            <w:tcBorders>
              <w:top w:val="nil"/>
              <w:left w:val="nil"/>
              <w:bottom w:val="nil"/>
              <w:right w:val="nil"/>
            </w:tcBorders>
            <w:shd w:val="clear" w:color="000000" w:fill="FFFFFF"/>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w:t>
            </w:r>
          </w:p>
        </w:tc>
        <w:tc>
          <w:tcPr>
            <w:tcW w:w="960" w:type="dxa"/>
            <w:tcBorders>
              <w:top w:val="nil"/>
              <w:left w:val="nil"/>
              <w:bottom w:val="nil"/>
              <w:right w:val="nil"/>
            </w:tcBorders>
            <w:shd w:val="clear" w:color="000000" w:fill="FFFFFF"/>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w:t>
            </w:r>
          </w:p>
        </w:tc>
      </w:tr>
      <w:tr w:rsidR="006C4EBA" w:rsidRPr="006C4EBA" w:rsidTr="00B83D47">
        <w:trPr>
          <w:trHeight w:val="315"/>
        </w:trPr>
        <w:tc>
          <w:tcPr>
            <w:tcW w:w="3360" w:type="dxa"/>
            <w:tcBorders>
              <w:top w:val="nil"/>
              <w:left w:val="single" w:sz="8" w:space="0" w:color="D3D3D3"/>
              <w:bottom w:val="single" w:sz="8"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w:eastAsia="Times New Roman" w:hAnsi="Calibri" w:cs="Calibri"/>
                <w:b/>
                <w:bCs/>
                <w:color w:val="495965"/>
                <w:sz w:val="17"/>
                <w:szCs w:val="17"/>
                <w:lang w:val="en-AU" w:eastAsia="en-AU"/>
              </w:rPr>
            </w:pPr>
            <w:r w:rsidRPr="006C4EBA">
              <w:rPr>
                <w:rFonts w:ascii="Calibri" w:eastAsia="Times New Roman" w:hAnsi="Calibri" w:cs="Calibri"/>
                <w:b/>
                <w:bCs/>
                <w:color w:val="495965"/>
                <w:sz w:val="17"/>
                <w:szCs w:val="17"/>
                <w:lang w:val="en-AU" w:eastAsia="en-AU"/>
              </w:rPr>
              <w:t>Governance for Growth (GfG) Phase 3</w:t>
            </w:r>
          </w:p>
        </w:tc>
        <w:tc>
          <w:tcPr>
            <w:tcW w:w="1520" w:type="dxa"/>
            <w:tcBorders>
              <w:top w:val="nil"/>
              <w:left w:val="nil"/>
              <w:bottom w:val="single" w:sz="8"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2017-2021</w:t>
            </w:r>
          </w:p>
        </w:tc>
        <w:tc>
          <w:tcPr>
            <w:tcW w:w="1499" w:type="dxa"/>
            <w:tcBorders>
              <w:top w:val="nil"/>
              <w:left w:val="nil"/>
              <w:bottom w:val="single" w:sz="8"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2018 AQC</w:t>
            </w:r>
          </w:p>
        </w:tc>
        <w:tc>
          <w:tcPr>
            <w:tcW w:w="960" w:type="dxa"/>
            <w:tcBorders>
              <w:top w:val="nil"/>
              <w:left w:val="nil"/>
              <w:bottom w:val="single" w:sz="8"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n/a</w:t>
            </w:r>
          </w:p>
        </w:tc>
        <w:tc>
          <w:tcPr>
            <w:tcW w:w="960" w:type="dxa"/>
            <w:tcBorders>
              <w:top w:val="nil"/>
              <w:left w:val="nil"/>
              <w:bottom w:val="single" w:sz="8"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n/a</w:t>
            </w:r>
          </w:p>
        </w:tc>
        <w:tc>
          <w:tcPr>
            <w:tcW w:w="960" w:type="dxa"/>
            <w:tcBorders>
              <w:top w:val="nil"/>
              <w:left w:val="nil"/>
              <w:bottom w:val="single" w:sz="8"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n/a</w:t>
            </w:r>
          </w:p>
        </w:tc>
        <w:tc>
          <w:tcPr>
            <w:tcW w:w="960" w:type="dxa"/>
            <w:tcBorders>
              <w:top w:val="nil"/>
              <w:left w:val="nil"/>
              <w:bottom w:val="single" w:sz="8"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n/a</w:t>
            </w:r>
          </w:p>
        </w:tc>
        <w:tc>
          <w:tcPr>
            <w:tcW w:w="960" w:type="dxa"/>
            <w:tcBorders>
              <w:top w:val="nil"/>
              <w:left w:val="nil"/>
              <w:bottom w:val="single" w:sz="8"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n/a</w:t>
            </w:r>
          </w:p>
        </w:tc>
        <w:tc>
          <w:tcPr>
            <w:tcW w:w="960" w:type="dxa"/>
            <w:tcBorders>
              <w:top w:val="nil"/>
              <w:left w:val="nil"/>
              <w:bottom w:val="single" w:sz="8"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n/a</w:t>
            </w:r>
          </w:p>
        </w:tc>
      </w:tr>
      <w:tr w:rsidR="006C4EBA" w:rsidRPr="006C4EBA" w:rsidTr="00B83D47">
        <w:trPr>
          <w:trHeight w:val="315"/>
        </w:trPr>
        <w:tc>
          <w:tcPr>
            <w:tcW w:w="3360" w:type="dxa"/>
            <w:tcBorders>
              <w:top w:val="nil"/>
              <w:left w:val="single" w:sz="8" w:space="0" w:color="D3D3D3"/>
              <w:bottom w:val="single" w:sz="8" w:space="0" w:color="D3D3D3"/>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w:eastAsia="Times New Roman" w:hAnsi="Calibri" w:cs="Calibri"/>
                <w:b/>
                <w:bCs/>
                <w:color w:val="495965"/>
                <w:sz w:val="17"/>
                <w:szCs w:val="17"/>
                <w:lang w:val="en-AU" w:eastAsia="en-AU"/>
              </w:rPr>
            </w:pPr>
            <w:r w:rsidRPr="006C4EBA">
              <w:rPr>
                <w:rFonts w:ascii="Calibri" w:eastAsia="Times New Roman" w:hAnsi="Calibri" w:cs="Calibri"/>
                <w:b/>
                <w:bCs/>
                <w:color w:val="495965"/>
                <w:sz w:val="17"/>
                <w:szCs w:val="17"/>
                <w:lang w:val="en-AU" w:eastAsia="en-AU"/>
              </w:rPr>
              <w:t xml:space="preserve">INM545  </w:t>
            </w:r>
          </w:p>
        </w:tc>
        <w:tc>
          <w:tcPr>
            <w:tcW w:w="1520" w:type="dxa"/>
            <w:tcBorders>
              <w:top w:val="nil"/>
              <w:left w:val="nil"/>
              <w:bottom w:val="nil"/>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$6,300,000</w:t>
            </w:r>
          </w:p>
        </w:tc>
        <w:tc>
          <w:tcPr>
            <w:tcW w:w="1499" w:type="dxa"/>
            <w:tcBorders>
              <w:top w:val="nil"/>
              <w:left w:val="nil"/>
              <w:bottom w:val="nil"/>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2019 AQC</w:t>
            </w:r>
          </w:p>
        </w:tc>
        <w:tc>
          <w:tcPr>
            <w:tcW w:w="960" w:type="dxa"/>
            <w:tcBorders>
              <w:top w:val="nil"/>
              <w:left w:val="nil"/>
              <w:bottom w:val="nil"/>
              <w:right w:val="nil"/>
            </w:tcBorders>
            <w:shd w:val="clear" w:color="000000" w:fill="92D05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5</w:t>
            </w:r>
          </w:p>
        </w:tc>
        <w:tc>
          <w:tcPr>
            <w:tcW w:w="960" w:type="dxa"/>
            <w:tcBorders>
              <w:top w:val="nil"/>
              <w:left w:val="nil"/>
              <w:bottom w:val="nil"/>
              <w:right w:val="nil"/>
            </w:tcBorders>
            <w:shd w:val="clear" w:color="000000" w:fill="92D05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5</w:t>
            </w:r>
          </w:p>
        </w:tc>
        <w:tc>
          <w:tcPr>
            <w:tcW w:w="960" w:type="dxa"/>
            <w:tcBorders>
              <w:top w:val="nil"/>
              <w:left w:val="nil"/>
              <w:bottom w:val="nil"/>
              <w:right w:val="nil"/>
            </w:tcBorders>
            <w:shd w:val="clear" w:color="000000" w:fill="FFC00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3</w:t>
            </w:r>
          </w:p>
        </w:tc>
        <w:tc>
          <w:tcPr>
            <w:tcW w:w="960" w:type="dxa"/>
            <w:tcBorders>
              <w:top w:val="nil"/>
              <w:left w:val="nil"/>
              <w:bottom w:val="nil"/>
              <w:right w:val="nil"/>
            </w:tcBorders>
            <w:shd w:val="clear" w:color="000000" w:fill="FFFFFF"/>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w:t>
            </w:r>
          </w:p>
        </w:tc>
        <w:tc>
          <w:tcPr>
            <w:tcW w:w="960" w:type="dxa"/>
            <w:tcBorders>
              <w:top w:val="nil"/>
              <w:left w:val="nil"/>
              <w:bottom w:val="nil"/>
              <w:right w:val="nil"/>
            </w:tcBorders>
            <w:shd w:val="clear" w:color="000000" w:fill="FFFFFF"/>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w:t>
            </w:r>
          </w:p>
        </w:tc>
        <w:tc>
          <w:tcPr>
            <w:tcW w:w="960" w:type="dxa"/>
            <w:tcBorders>
              <w:top w:val="nil"/>
              <w:left w:val="nil"/>
              <w:bottom w:val="nil"/>
              <w:right w:val="nil"/>
            </w:tcBorders>
            <w:shd w:val="clear" w:color="000000" w:fill="FFFFFF"/>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w:t>
            </w:r>
          </w:p>
        </w:tc>
      </w:tr>
      <w:tr w:rsidR="006C4EBA" w:rsidRPr="006C4EBA" w:rsidTr="00B83D47">
        <w:trPr>
          <w:trHeight w:val="315"/>
        </w:trPr>
        <w:tc>
          <w:tcPr>
            <w:tcW w:w="3360" w:type="dxa"/>
            <w:tcBorders>
              <w:top w:val="nil"/>
              <w:left w:val="single" w:sz="8" w:space="0" w:color="D3D3D3"/>
              <w:bottom w:val="double" w:sz="6"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w:eastAsia="Times New Roman" w:hAnsi="Calibri" w:cs="Calibri"/>
                <w:b/>
                <w:bCs/>
                <w:color w:val="495965"/>
                <w:sz w:val="17"/>
                <w:szCs w:val="17"/>
                <w:lang w:val="en-AU" w:eastAsia="en-AU"/>
              </w:rPr>
            </w:pPr>
            <w:r w:rsidRPr="006C4EBA">
              <w:rPr>
                <w:rFonts w:ascii="Calibri" w:eastAsia="Times New Roman" w:hAnsi="Calibri" w:cs="Calibri"/>
                <w:b/>
                <w:bCs/>
                <w:color w:val="495965"/>
                <w:sz w:val="17"/>
                <w:szCs w:val="17"/>
                <w:lang w:val="en-AU" w:eastAsia="en-AU"/>
              </w:rPr>
              <w:t>Roads for Development Transition Program</w:t>
            </w:r>
          </w:p>
        </w:tc>
        <w:tc>
          <w:tcPr>
            <w:tcW w:w="1520" w:type="dxa"/>
            <w:tcBorders>
              <w:top w:val="nil"/>
              <w:left w:val="nil"/>
              <w:bottom w:val="double" w:sz="6"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2018-2019</w:t>
            </w:r>
          </w:p>
        </w:tc>
        <w:tc>
          <w:tcPr>
            <w:tcW w:w="1499" w:type="dxa"/>
            <w:tcBorders>
              <w:top w:val="nil"/>
              <w:left w:val="nil"/>
              <w:bottom w:val="double" w:sz="6"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2018 AQC</w:t>
            </w:r>
          </w:p>
        </w:tc>
        <w:tc>
          <w:tcPr>
            <w:tcW w:w="960" w:type="dxa"/>
            <w:tcBorders>
              <w:top w:val="nil"/>
              <w:left w:val="nil"/>
              <w:bottom w:val="double" w:sz="6"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n/a</w:t>
            </w:r>
          </w:p>
        </w:tc>
        <w:tc>
          <w:tcPr>
            <w:tcW w:w="960" w:type="dxa"/>
            <w:tcBorders>
              <w:top w:val="nil"/>
              <w:left w:val="nil"/>
              <w:bottom w:val="double" w:sz="6"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n/a</w:t>
            </w:r>
          </w:p>
        </w:tc>
        <w:tc>
          <w:tcPr>
            <w:tcW w:w="960" w:type="dxa"/>
            <w:tcBorders>
              <w:top w:val="nil"/>
              <w:left w:val="nil"/>
              <w:bottom w:val="double" w:sz="6"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n/a</w:t>
            </w:r>
          </w:p>
        </w:tc>
        <w:tc>
          <w:tcPr>
            <w:tcW w:w="960" w:type="dxa"/>
            <w:tcBorders>
              <w:top w:val="nil"/>
              <w:left w:val="nil"/>
              <w:bottom w:val="double" w:sz="6"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n/a</w:t>
            </w:r>
          </w:p>
        </w:tc>
        <w:tc>
          <w:tcPr>
            <w:tcW w:w="960" w:type="dxa"/>
            <w:tcBorders>
              <w:top w:val="nil"/>
              <w:left w:val="nil"/>
              <w:bottom w:val="double" w:sz="6"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n/a</w:t>
            </w:r>
          </w:p>
        </w:tc>
        <w:tc>
          <w:tcPr>
            <w:tcW w:w="960" w:type="dxa"/>
            <w:tcBorders>
              <w:top w:val="nil"/>
              <w:left w:val="nil"/>
              <w:bottom w:val="double" w:sz="6"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n/a</w:t>
            </w:r>
          </w:p>
        </w:tc>
      </w:tr>
      <w:tr w:rsidR="006C4EBA" w:rsidRPr="006C4EBA" w:rsidTr="00B83D47">
        <w:trPr>
          <w:trHeight w:val="315"/>
        </w:trPr>
        <w:tc>
          <w:tcPr>
            <w:tcW w:w="3360" w:type="dxa"/>
            <w:tcBorders>
              <w:top w:val="nil"/>
              <w:left w:val="nil"/>
              <w:bottom w:val="nil"/>
              <w:right w:val="nil"/>
            </w:tcBorders>
            <w:shd w:val="clear" w:color="000000" w:fill="FFFFFF"/>
            <w:noWrap/>
            <w:vAlign w:val="center"/>
            <w:hideMark/>
          </w:tcPr>
          <w:p w:rsidR="006C4EBA" w:rsidRPr="006C4EBA" w:rsidRDefault="006C4EBA" w:rsidP="006C4EBA">
            <w:pPr>
              <w:suppressAutoHyphens w:val="0"/>
              <w:spacing w:before="0" w:after="0" w:line="240" w:lineRule="auto"/>
              <w:rPr>
                <w:rFonts w:ascii="Calibri" w:eastAsia="Times New Roman" w:hAnsi="Calibri" w:cs="Calibri"/>
                <w:b/>
                <w:bCs/>
                <w:color w:val="495965"/>
                <w:sz w:val="17"/>
                <w:szCs w:val="17"/>
                <w:lang w:val="en-AU" w:eastAsia="en-AU"/>
              </w:rPr>
            </w:pPr>
            <w:r w:rsidRPr="006C4EBA">
              <w:rPr>
                <w:rFonts w:ascii="Calibri" w:eastAsia="Times New Roman" w:hAnsi="Calibri" w:cs="Calibri"/>
                <w:b/>
                <w:bCs/>
                <w:color w:val="495965"/>
                <w:sz w:val="17"/>
                <w:szCs w:val="17"/>
                <w:lang w:val="en-AU" w:eastAsia="en-AU"/>
              </w:rPr>
              <w:t xml:space="preserve">INH654 </w:t>
            </w:r>
          </w:p>
        </w:tc>
        <w:tc>
          <w:tcPr>
            <w:tcW w:w="1520" w:type="dxa"/>
            <w:tcBorders>
              <w:top w:val="nil"/>
              <w:left w:val="nil"/>
              <w:bottom w:val="nil"/>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$7,375,731</w:t>
            </w:r>
          </w:p>
        </w:tc>
        <w:tc>
          <w:tcPr>
            <w:tcW w:w="1499" w:type="dxa"/>
            <w:tcBorders>
              <w:top w:val="nil"/>
              <w:left w:val="nil"/>
              <w:bottom w:val="nil"/>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2019 AQC</w:t>
            </w:r>
          </w:p>
        </w:tc>
        <w:tc>
          <w:tcPr>
            <w:tcW w:w="960" w:type="dxa"/>
            <w:tcBorders>
              <w:top w:val="nil"/>
              <w:left w:val="nil"/>
              <w:bottom w:val="nil"/>
              <w:right w:val="nil"/>
            </w:tcBorders>
            <w:shd w:val="clear" w:color="000000" w:fill="92D05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5</w:t>
            </w:r>
          </w:p>
        </w:tc>
        <w:tc>
          <w:tcPr>
            <w:tcW w:w="960" w:type="dxa"/>
            <w:tcBorders>
              <w:top w:val="nil"/>
              <w:left w:val="nil"/>
              <w:bottom w:val="nil"/>
              <w:right w:val="nil"/>
            </w:tcBorders>
            <w:shd w:val="clear" w:color="000000" w:fill="FFFF0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c>
          <w:tcPr>
            <w:tcW w:w="960" w:type="dxa"/>
            <w:tcBorders>
              <w:top w:val="nil"/>
              <w:left w:val="nil"/>
              <w:bottom w:val="nil"/>
              <w:right w:val="nil"/>
            </w:tcBorders>
            <w:shd w:val="clear" w:color="000000" w:fill="FFFF0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c>
          <w:tcPr>
            <w:tcW w:w="960" w:type="dxa"/>
            <w:tcBorders>
              <w:top w:val="nil"/>
              <w:left w:val="nil"/>
              <w:bottom w:val="nil"/>
              <w:right w:val="nil"/>
            </w:tcBorders>
            <w:shd w:val="clear" w:color="000000" w:fill="FFFFFF"/>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w:t>
            </w:r>
          </w:p>
        </w:tc>
        <w:tc>
          <w:tcPr>
            <w:tcW w:w="960" w:type="dxa"/>
            <w:tcBorders>
              <w:top w:val="nil"/>
              <w:left w:val="nil"/>
              <w:bottom w:val="nil"/>
              <w:right w:val="nil"/>
            </w:tcBorders>
            <w:shd w:val="clear" w:color="000000" w:fill="FFFFFF"/>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w:t>
            </w:r>
          </w:p>
        </w:tc>
        <w:tc>
          <w:tcPr>
            <w:tcW w:w="960" w:type="dxa"/>
            <w:tcBorders>
              <w:top w:val="nil"/>
              <w:left w:val="nil"/>
              <w:bottom w:val="nil"/>
              <w:right w:val="nil"/>
            </w:tcBorders>
            <w:shd w:val="clear" w:color="000000" w:fill="FFFFFF"/>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w:t>
            </w:r>
          </w:p>
        </w:tc>
      </w:tr>
      <w:tr w:rsidR="006C4EBA" w:rsidRPr="006C4EBA" w:rsidTr="00B83D47">
        <w:trPr>
          <w:trHeight w:val="315"/>
        </w:trPr>
        <w:tc>
          <w:tcPr>
            <w:tcW w:w="3360" w:type="dxa"/>
            <w:tcBorders>
              <w:top w:val="nil"/>
              <w:left w:val="nil"/>
              <w:bottom w:val="single" w:sz="8" w:space="0" w:color="auto"/>
              <w:right w:val="nil"/>
            </w:tcBorders>
            <w:shd w:val="clear" w:color="000000" w:fill="FFFFFF"/>
            <w:noWrap/>
            <w:vAlign w:val="center"/>
            <w:hideMark/>
          </w:tcPr>
          <w:p w:rsidR="006C4EBA" w:rsidRPr="006C4EBA" w:rsidRDefault="006C4EBA" w:rsidP="006C4EBA">
            <w:pPr>
              <w:suppressAutoHyphens w:val="0"/>
              <w:spacing w:before="0" w:after="0" w:line="240" w:lineRule="auto"/>
              <w:rPr>
                <w:rFonts w:ascii="Calibri" w:eastAsia="Times New Roman" w:hAnsi="Calibri" w:cs="Calibri"/>
                <w:b/>
                <w:bCs/>
                <w:color w:val="495965"/>
                <w:sz w:val="17"/>
                <w:szCs w:val="17"/>
                <w:lang w:val="en-AU" w:eastAsia="en-AU"/>
              </w:rPr>
            </w:pPr>
            <w:r w:rsidRPr="006C4EBA">
              <w:rPr>
                <w:rFonts w:ascii="Calibri" w:eastAsia="Times New Roman" w:hAnsi="Calibri" w:cs="Calibri"/>
                <w:b/>
                <w:bCs/>
                <w:color w:val="495965"/>
                <w:sz w:val="17"/>
                <w:szCs w:val="17"/>
                <w:lang w:val="en-AU" w:eastAsia="en-AU"/>
              </w:rPr>
              <w:t>Australia Awards - Vanuatu In-Country Costs</w:t>
            </w:r>
          </w:p>
        </w:tc>
        <w:tc>
          <w:tcPr>
            <w:tcW w:w="1520" w:type="dxa"/>
            <w:tcBorders>
              <w:top w:val="nil"/>
              <w:left w:val="nil"/>
              <w:bottom w:val="single" w:sz="8"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2007-2019</w:t>
            </w:r>
          </w:p>
        </w:tc>
        <w:tc>
          <w:tcPr>
            <w:tcW w:w="1499" w:type="dxa"/>
            <w:tcBorders>
              <w:top w:val="nil"/>
              <w:left w:val="nil"/>
              <w:bottom w:val="single" w:sz="8"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2018 AQC</w:t>
            </w:r>
          </w:p>
        </w:tc>
        <w:tc>
          <w:tcPr>
            <w:tcW w:w="960" w:type="dxa"/>
            <w:tcBorders>
              <w:top w:val="nil"/>
              <w:left w:val="nil"/>
              <w:bottom w:val="single" w:sz="8" w:space="0" w:color="auto"/>
              <w:right w:val="nil"/>
            </w:tcBorders>
            <w:shd w:val="clear" w:color="000000" w:fill="FFFF0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c>
          <w:tcPr>
            <w:tcW w:w="960" w:type="dxa"/>
            <w:tcBorders>
              <w:top w:val="nil"/>
              <w:left w:val="nil"/>
              <w:bottom w:val="single" w:sz="8" w:space="0" w:color="auto"/>
              <w:right w:val="nil"/>
            </w:tcBorders>
            <w:shd w:val="clear" w:color="000000" w:fill="92D050"/>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5</w:t>
            </w:r>
          </w:p>
        </w:tc>
        <w:tc>
          <w:tcPr>
            <w:tcW w:w="960" w:type="dxa"/>
            <w:tcBorders>
              <w:top w:val="nil"/>
              <w:left w:val="nil"/>
              <w:bottom w:val="single" w:sz="8" w:space="0" w:color="auto"/>
              <w:right w:val="nil"/>
            </w:tcBorders>
            <w:shd w:val="clear" w:color="000000" w:fill="FFFF0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c>
          <w:tcPr>
            <w:tcW w:w="960" w:type="dxa"/>
            <w:tcBorders>
              <w:top w:val="nil"/>
              <w:left w:val="nil"/>
              <w:bottom w:val="single" w:sz="8" w:space="0" w:color="auto"/>
              <w:right w:val="nil"/>
            </w:tcBorders>
            <w:shd w:val="clear" w:color="000000" w:fill="FFFF0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c>
          <w:tcPr>
            <w:tcW w:w="960" w:type="dxa"/>
            <w:tcBorders>
              <w:top w:val="nil"/>
              <w:left w:val="nil"/>
              <w:bottom w:val="single" w:sz="8" w:space="0" w:color="auto"/>
              <w:right w:val="nil"/>
            </w:tcBorders>
            <w:shd w:val="clear" w:color="000000" w:fill="FFFF00"/>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c>
          <w:tcPr>
            <w:tcW w:w="960" w:type="dxa"/>
            <w:tcBorders>
              <w:top w:val="nil"/>
              <w:left w:val="nil"/>
              <w:bottom w:val="single" w:sz="8" w:space="0" w:color="auto"/>
              <w:right w:val="nil"/>
            </w:tcBorders>
            <w:shd w:val="clear" w:color="000000" w:fill="FFFF00"/>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r>
      <w:tr w:rsidR="006C4EBA" w:rsidRPr="006C4EBA" w:rsidTr="00B83D47">
        <w:trPr>
          <w:trHeight w:val="315"/>
        </w:trPr>
        <w:tc>
          <w:tcPr>
            <w:tcW w:w="3360" w:type="dxa"/>
            <w:tcBorders>
              <w:top w:val="nil"/>
              <w:left w:val="single" w:sz="8" w:space="0" w:color="D3D3D3"/>
              <w:bottom w:val="single" w:sz="8" w:space="0" w:color="D3D3D3"/>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w:eastAsia="Times New Roman" w:hAnsi="Calibri" w:cs="Calibri"/>
                <w:b/>
                <w:bCs/>
                <w:color w:val="495965"/>
                <w:sz w:val="17"/>
                <w:szCs w:val="17"/>
                <w:lang w:val="en-AU" w:eastAsia="en-AU"/>
              </w:rPr>
            </w:pPr>
            <w:r w:rsidRPr="006C4EBA">
              <w:rPr>
                <w:rFonts w:ascii="Calibri" w:eastAsia="Times New Roman" w:hAnsi="Calibri" w:cs="Calibri"/>
                <w:b/>
                <w:bCs/>
                <w:color w:val="495965"/>
                <w:sz w:val="17"/>
                <w:szCs w:val="17"/>
                <w:lang w:val="en-AU" w:eastAsia="en-AU"/>
              </w:rPr>
              <w:t xml:space="preserve">INM038  </w:t>
            </w:r>
          </w:p>
        </w:tc>
        <w:tc>
          <w:tcPr>
            <w:tcW w:w="1520" w:type="dxa"/>
            <w:tcBorders>
              <w:top w:val="nil"/>
              <w:left w:val="nil"/>
              <w:bottom w:val="nil"/>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$22,416,701</w:t>
            </w:r>
          </w:p>
        </w:tc>
        <w:tc>
          <w:tcPr>
            <w:tcW w:w="1499" w:type="dxa"/>
            <w:tcBorders>
              <w:top w:val="nil"/>
              <w:left w:val="nil"/>
              <w:bottom w:val="nil"/>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2019 AQC</w:t>
            </w:r>
          </w:p>
        </w:tc>
        <w:tc>
          <w:tcPr>
            <w:tcW w:w="960" w:type="dxa"/>
            <w:tcBorders>
              <w:top w:val="nil"/>
              <w:left w:val="nil"/>
              <w:bottom w:val="nil"/>
              <w:right w:val="nil"/>
            </w:tcBorders>
            <w:shd w:val="clear" w:color="000000" w:fill="92D05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5</w:t>
            </w:r>
          </w:p>
        </w:tc>
        <w:tc>
          <w:tcPr>
            <w:tcW w:w="960" w:type="dxa"/>
            <w:tcBorders>
              <w:top w:val="nil"/>
              <w:left w:val="nil"/>
              <w:bottom w:val="nil"/>
              <w:right w:val="nil"/>
            </w:tcBorders>
            <w:shd w:val="clear" w:color="000000" w:fill="92D05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5</w:t>
            </w:r>
          </w:p>
        </w:tc>
        <w:tc>
          <w:tcPr>
            <w:tcW w:w="960" w:type="dxa"/>
            <w:tcBorders>
              <w:top w:val="nil"/>
              <w:left w:val="nil"/>
              <w:bottom w:val="nil"/>
              <w:right w:val="nil"/>
            </w:tcBorders>
            <w:shd w:val="clear" w:color="000000" w:fill="92D05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5</w:t>
            </w:r>
          </w:p>
        </w:tc>
        <w:tc>
          <w:tcPr>
            <w:tcW w:w="960" w:type="dxa"/>
            <w:tcBorders>
              <w:top w:val="nil"/>
              <w:left w:val="nil"/>
              <w:bottom w:val="nil"/>
              <w:right w:val="nil"/>
            </w:tcBorders>
            <w:shd w:val="clear" w:color="000000" w:fill="FFFFFF"/>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w:t>
            </w:r>
          </w:p>
        </w:tc>
        <w:tc>
          <w:tcPr>
            <w:tcW w:w="960" w:type="dxa"/>
            <w:tcBorders>
              <w:top w:val="nil"/>
              <w:left w:val="nil"/>
              <w:bottom w:val="nil"/>
              <w:right w:val="nil"/>
            </w:tcBorders>
            <w:shd w:val="clear" w:color="000000" w:fill="FFFFFF"/>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w:t>
            </w:r>
          </w:p>
        </w:tc>
        <w:tc>
          <w:tcPr>
            <w:tcW w:w="960" w:type="dxa"/>
            <w:tcBorders>
              <w:top w:val="nil"/>
              <w:left w:val="nil"/>
              <w:bottom w:val="nil"/>
              <w:right w:val="nil"/>
            </w:tcBorders>
            <w:shd w:val="clear" w:color="000000" w:fill="FFFFFF"/>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w:t>
            </w:r>
          </w:p>
        </w:tc>
      </w:tr>
      <w:tr w:rsidR="006C4EBA" w:rsidRPr="006C4EBA" w:rsidTr="00B83D47">
        <w:trPr>
          <w:trHeight w:val="315"/>
        </w:trPr>
        <w:tc>
          <w:tcPr>
            <w:tcW w:w="3360" w:type="dxa"/>
            <w:tcBorders>
              <w:top w:val="nil"/>
              <w:left w:val="single" w:sz="8" w:space="0" w:color="D3D3D3"/>
              <w:bottom w:val="single" w:sz="8"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w:eastAsia="Times New Roman" w:hAnsi="Calibri" w:cs="Calibri"/>
                <w:b/>
                <w:bCs/>
                <w:color w:val="495965"/>
                <w:sz w:val="17"/>
                <w:szCs w:val="17"/>
                <w:lang w:val="en-AU" w:eastAsia="en-AU"/>
              </w:rPr>
            </w:pPr>
            <w:r w:rsidRPr="006C4EBA">
              <w:rPr>
                <w:rFonts w:ascii="Calibri" w:eastAsia="Times New Roman" w:hAnsi="Calibri" w:cs="Calibri"/>
                <w:b/>
                <w:bCs/>
                <w:color w:val="495965"/>
                <w:sz w:val="17"/>
                <w:szCs w:val="17"/>
                <w:lang w:val="en-AU" w:eastAsia="en-AU"/>
              </w:rPr>
              <w:t>Vanuatu Skills for Economic Growth (phase IV)</w:t>
            </w:r>
          </w:p>
        </w:tc>
        <w:tc>
          <w:tcPr>
            <w:tcW w:w="1520" w:type="dxa"/>
            <w:tcBorders>
              <w:top w:val="nil"/>
              <w:left w:val="nil"/>
              <w:bottom w:val="single" w:sz="8"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2016-2022</w:t>
            </w:r>
          </w:p>
        </w:tc>
        <w:tc>
          <w:tcPr>
            <w:tcW w:w="1499" w:type="dxa"/>
            <w:tcBorders>
              <w:top w:val="nil"/>
              <w:left w:val="nil"/>
              <w:bottom w:val="single" w:sz="8"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2018 AQC</w:t>
            </w:r>
          </w:p>
        </w:tc>
        <w:tc>
          <w:tcPr>
            <w:tcW w:w="960" w:type="dxa"/>
            <w:tcBorders>
              <w:top w:val="nil"/>
              <w:left w:val="nil"/>
              <w:bottom w:val="single" w:sz="8" w:space="0" w:color="auto"/>
              <w:right w:val="nil"/>
            </w:tcBorders>
            <w:shd w:val="clear" w:color="000000" w:fill="FFFF00"/>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c>
          <w:tcPr>
            <w:tcW w:w="960" w:type="dxa"/>
            <w:tcBorders>
              <w:top w:val="nil"/>
              <w:left w:val="nil"/>
              <w:bottom w:val="single" w:sz="8" w:space="0" w:color="auto"/>
              <w:right w:val="nil"/>
            </w:tcBorders>
            <w:shd w:val="clear" w:color="000000" w:fill="92D050"/>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5</w:t>
            </w:r>
          </w:p>
        </w:tc>
        <w:tc>
          <w:tcPr>
            <w:tcW w:w="960" w:type="dxa"/>
            <w:tcBorders>
              <w:top w:val="nil"/>
              <w:left w:val="nil"/>
              <w:bottom w:val="single" w:sz="8" w:space="0" w:color="auto"/>
              <w:right w:val="nil"/>
            </w:tcBorders>
            <w:shd w:val="clear" w:color="000000" w:fill="92D050"/>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5</w:t>
            </w:r>
          </w:p>
        </w:tc>
        <w:tc>
          <w:tcPr>
            <w:tcW w:w="960" w:type="dxa"/>
            <w:tcBorders>
              <w:top w:val="nil"/>
              <w:left w:val="nil"/>
              <w:bottom w:val="single" w:sz="8" w:space="0" w:color="auto"/>
              <w:right w:val="nil"/>
            </w:tcBorders>
            <w:shd w:val="clear" w:color="000000" w:fill="92D050"/>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6</w:t>
            </w:r>
          </w:p>
        </w:tc>
        <w:tc>
          <w:tcPr>
            <w:tcW w:w="960" w:type="dxa"/>
            <w:tcBorders>
              <w:top w:val="nil"/>
              <w:left w:val="nil"/>
              <w:bottom w:val="single" w:sz="8" w:space="0" w:color="auto"/>
              <w:right w:val="nil"/>
            </w:tcBorders>
            <w:shd w:val="clear" w:color="000000" w:fill="FFFF00"/>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c>
          <w:tcPr>
            <w:tcW w:w="960" w:type="dxa"/>
            <w:tcBorders>
              <w:top w:val="nil"/>
              <w:left w:val="nil"/>
              <w:bottom w:val="single" w:sz="8" w:space="0" w:color="auto"/>
              <w:right w:val="nil"/>
            </w:tcBorders>
            <w:shd w:val="clear" w:color="000000" w:fill="92D050"/>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6</w:t>
            </w:r>
          </w:p>
        </w:tc>
      </w:tr>
      <w:tr w:rsidR="006C4EBA" w:rsidRPr="006C4EBA" w:rsidTr="00B83D47">
        <w:trPr>
          <w:trHeight w:val="315"/>
        </w:trPr>
        <w:tc>
          <w:tcPr>
            <w:tcW w:w="3360" w:type="dxa"/>
            <w:tcBorders>
              <w:top w:val="nil"/>
              <w:left w:val="single" w:sz="8" w:space="0" w:color="D3D3D3"/>
              <w:bottom w:val="single" w:sz="8" w:space="0" w:color="D3D3D3"/>
              <w:right w:val="single" w:sz="8" w:space="0" w:color="D3D3D3"/>
            </w:tcBorders>
            <w:shd w:val="clear" w:color="000000" w:fill="FFFFFF"/>
            <w:vAlign w:val="center"/>
            <w:hideMark/>
          </w:tcPr>
          <w:p w:rsidR="006C4EBA" w:rsidRPr="006C4EBA" w:rsidRDefault="006C4EBA" w:rsidP="006C4EBA">
            <w:pPr>
              <w:suppressAutoHyphens w:val="0"/>
              <w:spacing w:before="0" w:after="0" w:line="240" w:lineRule="auto"/>
              <w:rPr>
                <w:rFonts w:ascii="Calibri" w:eastAsia="Times New Roman" w:hAnsi="Calibri" w:cs="Calibri"/>
                <w:b/>
                <w:bCs/>
                <w:color w:val="495965"/>
                <w:sz w:val="17"/>
                <w:szCs w:val="17"/>
                <w:lang w:val="en-AU" w:eastAsia="en-AU"/>
              </w:rPr>
            </w:pPr>
            <w:r w:rsidRPr="006C4EBA">
              <w:rPr>
                <w:rFonts w:ascii="Calibri" w:eastAsia="Times New Roman" w:hAnsi="Calibri" w:cs="Calibri"/>
                <w:b/>
                <w:bCs/>
                <w:color w:val="495965"/>
                <w:sz w:val="17"/>
                <w:szCs w:val="17"/>
                <w:lang w:val="en-AU" w:eastAsia="en-AU"/>
              </w:rPr>
              <w:t xml:space="preserve">INJ438  </w:t>
            </w:r>
          </w:p>
        </w:tc>
        <w:tc>
          <w:tcPr>
            <w:tcW w:w="1520" w:type="dxa"/>
            <w:tcBorders>
              <w:top w:val="nil"/>
              <w:left w:val="nil"/>
              <w:bottom w:val="nil"/>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$45,684,795</w:t>
            </w:r>
          </w:p>
        </w:tc>
        <w:tc>
          <w:tcPr>
            <w:tcW w:w="1499" w:type="dxa"/>
            <w:tcBorders>
              <w:top w:val="nil"/>
              <w:left w:val="nil"/>
              <w:bottom w:val="nil"/>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2019 AQC</w:t>
            </w:r>
          </w:p>
        </w:tc>
        <w:tc>
          <w:tcPr>
            <w:tcW w:w="960" w:type="dxa"/>
            <w:tcBorders>
              <w:top w:val="nil"/>
              <w:left w:val="nil"/>
              <w:bottom w:val="nil"/>
              <w:right w:val="nil"/>
            </w:tcBorders>
            <w:shd w:val="clear" w:color="000000" w:fill="FFFF0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c>
          <w:tcPr>
            <w:tcW w:w="960" w:type="dxa"/>
            <w:tcBorders>
              <w:top w:val="nil"/>
              <w:left w:val="nil"/>
              <w:bottom w:val="nil"/>
              <w:right w:val="nil"/>
            </w:tcBorders>
            <w:shd w:val="clear" w:color="000000" w:fill="FFFF0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c>
          <w:tcPr>
            <w:tcW w:w="960" w:type="dxa"/>
            <w:tcBorders>
              <w:top w:val="nil"/>
              <w:left w:val="nil"/>
              <w:bottom w:val="nil"/>
              <w:right w:val="nil"/>
            </w:tcBorders>
            <w:shd w:val="clear" w:color="000000" w:fill="FFC00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3</w:t>
            </w:r>
          </w:p>
        </w:tc>
        <w:tc>
          <w:tcPr>
            <w:tcW w:w="960" w:type="dxa"/>
            <w:tcBorders>
              <w:top w:val="nil"/>
              <w:left w:val="nil"/>
              <w:bottom w:val="nil"/>
              <w:right w:val="nil"/>
            </w:tcBorders>
            <w:shd w:val="clear" w:color="000000" w:fill="FFFFFF"/>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w:t>
            </w:r>
          </w:p>
        </w:tc>
        <w:tc>
          <w:tcPr>
            <w:tcW w:w="960" w:type="dxa"/>
            <w:tcBorders>
              <w:top w:val="nil"/>
              <w:left w:val="nil"/>
              <w:bottom w:val="nil"/>
              <w:right w:val="nil"/>
            </w:tcBorders>
            <w:shd w:val="clear" w:color="000000" w:fill="FFFFFF"/>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w:t>
            </w:r>
          </w:p>
        </w:tc>
        <w:tc>
          <w:tcPr>
            <w:tcW w:w="960" w:type="dxa"/>
            <w:tcBorders>
              <w:top w:val="nil"/>
              <w:left w:val="nil"/>
              <w:bottom w:val="nil"/>
              <w:right w:val="nil"/>
            </w:tcBorders>
            <w:shd w:val="clear" w:color="000000" w:fill="FFFFFF"/>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w:t>
            </w:r>
          </w:p>
        </w:tc>
      </w:tr>
      <w:tr w:rsidR="006C4EBA" w:rsidRPr="006C4EBA" w:rsidTr="00B83D47">
        <w:trPr>
          <w:trHeight w:val="315"/>
        </w:trPr>
        <w:tc>
          <w:tcPr>
            <w:tcW w:w="3360" w:type="dxa"/>
            <w:tcBorders>
              <w:top w:val="nil"/>
              <w:left w:val="single" w:sz="8" w:space="0" w:color="D3D3D3"/>
              <w:bottom w:val="single" w:sz="8" w:space="0" w:color="auto"/>
              <w:right w:val="single" w:sz="8" w:space="0" w:color="D3D3D3"/>
            </w:tcBorders>
            <w:shd w:val="clear" w:color="000000" w:fill="FFFFFF"/>
            <w:vAlign w:val="center"/>
            <w:hideMark/>
          </w:tcPr>
          <w:p w:rsidR="006C4EBA" w:rsidRPr="006C4EBA" w:rsidRDefault="006C4EBA" w:rsidP="006C4EBA">
            <w:pPr>
              <w:suppressAutoHyphens w:val="0"/>
              <w:spacing w:before="0" w:after="0" w:line="240" w:lineRule="auto"/>
              <w:rPr>
                <w:rFonts w:ascii="Calibri" w:eastAsia="Times New Roman" w:hAnsi="Calibri" w:cs="Calibri"/>
                <w:b/>
                <w:bCs/>
                <w:color w:val="495965"/>
                <w:sz w:val="17"/>
                <w:szCs w:val="17"/>
                <w:lang w:val="en-AU" w:eastAsia="en-AU"/>
              </w:rPr>
            </w:pPr>
            <w:r w:rsidRPr="006C4EBA">
              <w:rPr>
                <w:rFonts w:ascii="Calibri" w:eastAsia="Times New Roman" w:hAnsi="Calibri" w:cs="Calibri"/>
                <w:b/>
                <w:bCs/>
                <w:color w:val="495965"/>
                <w:sz w:val="17"/>
                <w:szCs w:val="17"/>
                <w:lang w:val="en-AU" w:eastAsia="en-AU"/>
              </w:rPr>
              <w:t>Vanuatu Health Sector Support 2010 - 2019</w:t>
            </w:r>
          </w:p>
        </w:tc>
        <w:tc>
          <w:tcPr>
            <w:tcW w:w="1520" w:type="dxa"/>
            <w:tcBorders>
              <w:top w:val="nil"/>
              <w:left w:val="nil"/>
              <w:bottom w:val="single" w:sz="8"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2010-2019</w:t>
            </w:r>
          </w:p>
        </w:tc>
        <w:tc>
          <w:tcPr>
            <w:tcW w:w="1499" w:type="dxa"/>
            <w:tcBorders>
              <w:top w:val="nil"/>
              <w:left w:val="nil"/>
              <w:bottom w:val="single" w:sz="8"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2018 AQC</w:t>
            </w:r>
          </w:p>
        </w:tc>
        <w:tc>
          <w:tcPr>
            <w:tcW w:w="960" w:type="dxa"/>
            <w:tcBorders>
              <w:top w:val="nil"/>
              <w:left w:val="nil"/>
              <w:bottom w:val="single" w:sz="8" w:space="0" w:color="auto"/>
              <w:right w:val="nil"/>
            </w:tcBorders>
            <w:shd w:val="clear" w:color="000000" w:fill="FFFF0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c>
          <w:tcPr>
            <w:tcW w:w="960" w:type="dxa"/>
            <w:tcBorders>
              <w:top w:val="nil"/>
              <w:left w:val="nil"/>
              <w:bottom w:val="single" w:sz="8" w:space="0" w:color="auto"/>
              <w:right w:val="nil"/>
            </w:tcBorders>
            <w:shd w:val="clear" w:color="000000" w:fill="FFFF0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c>
          <w:tcPr>
            <w:tcW w:w="960" w:type="dxa"/>
            <w:tcBorders>
              <w:top w:val="nil"/>
              <w:left w:val="nil"/>
              <w:bottom w:val="single" w:sz="8" w:space="0" w:color="auto"/>
              <w:right w:val="nil"/>
            </w:tcBorders>
            <w:shd w:val="clear" w:color="000000" w:fill="FF000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2</w:t>
            </w:r>
          </w:p>
        </w:tc>
        <w:tc>
          <w:tcPr>
            <w:tcW w:w="960" w:type="dxa"/>
            <w:tcBorders>
              <w:top w:val="nil"/>
              <w:left w:val="nil"/>
              <w:bottom w:val="single" w:sz="8" w:space="0" w:color="auto"/>
              <w:right w:val="nil"/>
            </w:tcBorders>
            <w:shd w:val="clear" w:color="000000" w:fill="92D050"/>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5</w:t>
            </w:r>
          </w:p>
        </w:tc>
        <w:tc>
          <w:tcPr>
            <w:tcW w:w="960" w:type="dxa"/>
            <w:tcBorders>
              <w:top w:val="nil"/>
              <w:left w:val="nil"/>
              <w:bottom w:val="single" w:sz="8" w:space="0" w:color="auto"/>
              <w:right w:val="nil"/>
            </w:tcBorders>
            <w:shd w:val="clear" w:color="000000" w:fill="FFC000"/>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3</w:t>
            </w:r>
          </w:p>
        </w:tc>
        <w:tc>
          <w:tcPr>
            <w:tcW w:w="960" w:type="dxa"/>
            <w:tcBorders>
              <w:top w:val="nil"/>
              <w:left w:val="nil"/>
              <w:bottom w:val="single" w:sz="8" w:space="0" w:color="auto"/>
              <w:right w:val="nil"/>
            </w:tcBorders>
            <w:shd w:val="clear" w:color="000000" w:fill="FFC000"/>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3</w:t>
            </w:r>
          </w:p>
        </w:tc>
      </w:tr>
      <w:tr w:rsidR="006C4EBA" w:rsidRPr="006C4EBA" w:rsidTr="00B83D47">
        <w:trPr>
          <w:trHeight w:val="315"/>
        </w:trPr>
        <w:tc>
          <w:tcPr>
            <w:tcW w:w="3360" w:type="dxa"/>
            <w:tcBorders>
              <w:top w:val="nil"/>
              <w:left w:val="single" w:sz="8" w:space="0" w:color="D3D3D3"/>
              <w:bottom w:val="single" w:sz="8" w:space="0" w:color="D3D3D3"/>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w:eastAsia="Times New Roman" w:hAnsi="Calibri" w:cs="Calibri"/>
                <w:b/>
                <w:bCs/>
                <w:color w:val="495965"/>
                <w:sz w:val="17"/>
                <w:szCs w:val="17"/>
                <w:lang w:val="en-AU" w:eastAsia="en-AU"/>
              </w:rPr>
            </w:pPr>
            <w:r w:rsidRPr="006C4EBA">
              <w:rPr>
                <w:rFonts w:ascii="Calibri" w:eastAsia="Times New Roman" w:hAnsi="Calibri" w:cs="Calibri"/>
                <w:b/>
                <w:bCs/>
                <w:color w:val="495965"/>
                <w:sz w:val="17"/>
                <w:szCs w:val="17"/>
                <w:lang w:val="en-AU" w:eastAsia="en-AU"/>
              </w:rPr>
              <w:t xml:space="preserve">INL997  </w:t>
            </w:r>
          </w:p>
        </w:tc>
        <w:tc>
          <w:tcPr>
            <w:tcW w:w="1520" w:type="dxa"/>
            <w:tcBorders>
              <w:top w:val="nil"/>
              <w:left w:val="nil"/>
              <w:bottom w:val="nil"/>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$26,937,692</w:t>
            </w:r>
          </w:p>
        </w:tc>
        <w:tc>
          <w:tcPr>
            <w:tcW w:w="1499" w:type="dxa"/>
            <w:tcBorders>
              <w:top w:val="nil"/>
              <w:left w:val="nil"/>
              <w:bottom w:val="nil"/>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2019 AQC</w:t>
            </w:r>
          </w:p>
        </w:tc>
        <w:tc>
          <w:tcPr>
            <w:tcW w:w="960" w:type="dxa"/>
            <w:tcBorders>
              <w:top w:val="nil"/>
              <w:left w:val="nil"/>
              <w:bottom w:val="nil"/>
              <w:right w:val="nil"/>
            </w:tcBorders>
            <w:shd w:val="clear" w:color="000000" w:fill="FFFF0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c>
          <w:tcPr>
            <w:tcW w:w="960" w:type="dxa"/>
            <w:tcBorders>
              <w:top w:val="nil"/>
              <w:left w:val="nil"/>
              <w:bottom w:val="nil"/>
              <w:right w:val="nil"/>
            </w:tcBorders>
            <w:shd w:val="clear" w:color="000000" w:fill="FFFF0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c>
          <w:tcPr>
            <w:tcW w:w="960" w:type="dxa"/>
            <w:tcBorders>
              <w:top w:val="nil"/>
              <w:left w:val="nil"/>
              <w:bottom w:val="nil"/>
              <w:right w:val="nil"/>
            </w:tcBorders>
            <w:shd w:val="clear" w:color="000000" w:fill="FFFF0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c>
          <w:tcPr>
            <w:tcW w:w="960" w:type="dxa"/>
            <w:tcBorders>
              <w:top w:val="nil"/>
              <w:left w:val="nil"/>
              <w:bottom w:val="nil"/>
              <w:right w:val="nil"/>
            </w:tcBorders>
            <w:shd w:val="clear" w:color="000000" w:fill="FFFFFF"/>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w:t>
            </w:r>
          </w:p>
        </w:tc>
        <w:tc>
          <w:tcPr>
            <w:tcW w:w="960" w:type="dxa"/>
            <w:tcBorders>
              <w:top w:val="nil"/>
              <w:left w:val="nil"/>
              <w:bottom w:val="nil"/>
              <w:right w:val="nil"/>
            </w:tcBorders>
            <w:shd w:val="clear" w:color="000000" w:fill="FFFFFF"/>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w:t>
            </w:r>
          </w:p>
        </w:tc>
        <w:tc>
          <w:tcPr>
            <w:tcW w:w="960" w:type="dxa"/>
            <w:tcBorders>
              <w:top w:val="nil"/>
              <w:left w:val="nil"/>
              <w:bottom w:val="nil"/>
              <w:right w:val="nil"/>
            </w:tcBorders>
            <w:shd w:val="clear" w:color="000000" w:fill="FFFFFF"/>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w:t>
            </w:r>
          </w:p>
        </w:tc>
      </w:tr>
      <w:tr w:rsidR="006C4EBA" w:rsidRPr="006C4EBA" w:rsidTr="00B83D47">
        <w:trPr>
          <w:trHeight w:val="465"/>
        </w:trPr>
        <w:tc>
          <w:tcPr>
            <w:tcW w:w="3360" w:type="dxa"/>
            <w:tcBorders>
              <w:top w:val="nil"/>
              <w:left w:val="single" w:sz="8" w:space="0" w:color="D3D3D3"/>
              <w:bottom w:val="single" w:sz="8"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w:eastAsia="Times New Roman" w:hAnsi="Calibri" w:cs="Calibri"/>
                <w:b/>
                <w:bCs/>
                <w:color w:val="495965"/>
                <w:sz w:val="17"/>
                <w:szCs w:val="17"/>
                <w:lang w:val="en-AU" w:eastAsia="en-AU"/>
              </w:rPr>
            </w:pPr>
            <w:r w:rsidRPr="006C4EBA">
              <w:rPr>
                <w:rFonts w:ascii="Calibri" w:eastAsia="Times New Roman" w:hAnsi="Calibri" w:cs="Calibri"/>
                <w:b/>
                <w:bCs/>
                <w:color w:val="495965"/>
                <w:sz w:val="17"/>
                <w:szCs w:val="17"/>
                <w:lang w:val="en-AU" w:eastAsia="en-AU"/>
              </w:rPr>
              <w:t>Vanuatu Australia Policing and Justice Program</w:t>
            </w:r>
          </w:p>
        </w:tc>
        <w:tc>
          <w:tcPr>
            <w:tcW w:w="1520" w:type="dxa"/>
            <w:tcBorders>
              <w:top w:val="nil"/>
              <w:left w:val="nil"/>
              <w:bottom w:val="single" w:sz="8"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2016-2021</w:t>
            </w:r>
          </w:p>
        </w:tc>
        <w:tc>
          <w:tcPr>
            <w:tcW w:w="1499" w:type="dxa"/>
            <w:tcBorders>
              <w:top w:val="nil"/>
              <w:left w:val="nil"/>
              <w:bottom w:val="single" w:sz="8"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2018 AQC</w:t>
            </w:r>
          </w:p>
        </w:tc>
        <w:tc>
          <w:tcPr>
            <w:tcW w:w="960" w:type="dxa"/>
            <w:tcBorders>
              <w:top w:val="nil"/>
              <w:left w:val="nil"/>
              <w:bottom w:val="single" w:sz="8" w:space="0" w:color="auto"/>
              <w:right w:val="nil"/>
            </w:tcBorders>
            <w:shd w:val="clear" w:color="000000" w:fill="FFC000"/>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3</w:t>
            </w:r>
          </w:p>
        </w:tc>
        <w:tc>
          <w:tcPr>
            <w:tcW w:w="960" w:type="dxa"/>
            <w:tcBorders>
              <w:top w:val="nil"/>
              <w:left w:val="nil"/>
              <w:bottom w:val="single" w:sz="8" w:space="0" w:color="auto"/>
              <w:right w:val="nil"/>
            </w:tcBorders>
            <w:shd w:val="clear" w:color="000000" w:fill="FFFF00"/>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c>
          <w:tcPr>
            <w:tcW w:w="960" w:type="dxa"/>
            <w:tcBorders>
              <w:top w:val="nil"/>
              <w:left w:val="nil"/>
              <w:bottom w:val="single" w:sz="8" w:space="0" w:color="auto"/>
              <w:right w:val="nil"/>
            </w:tcBorders>
            <w:shd w:val="clear" w:color="000000" w:fill="FFFF00"/>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c>
          <w:tcPr>
            <w:tcW w:w="960" w:type="dxa"/>
            <w:tcBorders>
              <w:top w:val="nil"/>
              <w:left w:val="nil"/>
              <w:bottom w:val="single" w:sz="8" w:space="0" w:color="auto"/>
              <w:right w:val="nil"/>
            </w:tcBorders>
            <w:shd w:val="clear" w:color="000000" w:fill="92D050"/>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5</w:t>
            </w:r>
          </w:p>
        </w:tc>
        <w:tc>
          <w:tcPr>
            <w:tcW w:w="960" w:type="dxa"/>
            <w:tcBorders>
              <w:top w:val="nil"/>
              <w:left w:val="nil"/>
              <w:bottom w:val="single" w:sz="8" w:space="0" w:color="auto"/>
              <w:right w:val="nil"/>
            </w:tcBorders>
            <w:shd w:val="clear" w:color="000000" w:fill="FFFF00"/>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c>
          <w:tcPr>
            <w:tcW w:w="960" w:type="dxa"/>
            <w:tcBorders>
              <w:top w:val="nil"/>
              <w:left w:val="nil"/>
              <w:bottom w:val="single" w:sz="8" w:space="0" w:color="auto"/>
              <w:right w:val="nil"/>
            </w:tcBorders>
            <w:shd w:val="clear" w:color="000000" w:fill="FFFF00"/>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r>
      <w:tr w:rsidR="006C4EBA" w:rsidRPr="006C4EBA" w:rsidTr="00B83D47">
        <w:trPr>
          <w:trHeight w:val="315"/>
        </w:trPr>
        <w:tc>
          <w:tcPr>
            <w:tcW w:w="3360" w:type="dxa"/>
            <w:tcBorders>
              <w:top w:val="nil"/>
              <w:left w:val="single" w:sz="8" w:space="0" w:color="D3D3D3"/>
              <w:bottom w:val="single" w:sz="8" w:space="0" w:color="D3D3D3"/>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w:eastAsia="Times New Roman" w:hAnsi="Calibri" w:cs="Calibri"/>
                <w:b/>
                <w:bCs/>
                <w:color w:val="495965"/>
                <w:sz w:val="17"/>
                <w:szCs w:val="17"/>
                <w:lang w:val="en-AU" w:eastAsia="en-AU"/>
              </w:rPr>
            </w:pPr>
            <w:r w:rsidRPr="006C4EBA">
              <w:rPr>
                <w:rFonts w:ascii="Calibri" w:eastAsia="Times New Roman" w:hAnsi="Calibri" w:cs="Calibri"/>
                <w:b/>
                <w:bCs/>
                <w:color w:val="495965"/>
                <w:sz w:val="17"/>
                <w:szCs w:val="17"/>
                <w:lang w:val="en-AU" w:eastAsia="en-AU"/>
              </w:rPr>
              <w:t xml:space="preserve">INM045  </w:t>
            </w:r>
          </w:p>
        </w:tc>
        <w:tc>
          <w:tcPr>
            <w:tcW w:w="1520" w:type="dxa"/>
            <w:tcBorders>
              <w:top w:val="nil"/>
              <w:left w:val="nil"/>
              <w:bottom w:val="nil"/>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$10,153,571</w:t>
            </w:r>
          </w:p>
        </w:tc>
        <w:tc>
          <w:tcPr>
            <w:tcW w:w="1499" w:type="dxa"/>
            <w:tcBorders>
              <w:top w:val="nil"/>
              <w:left w:val="nil"/>
              <w:bottom w:val="nil"/>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2019 AQC</w:t>
            </w:r>
          </w:p>
        </w:tc>
        <w:tc>
          <w:tcPr>
            <w:tcW w:w="960" w:type="dxa"/>
            <w:tcBorders>
              <w:top w:val="nil"/>
              <w:left w:val="nil"/>
              <w:bottom w:val="nil"/>
              <w:right w:val="nil"/>
            </w:tcBorders>
            <w:shd w:val="clear" w:color="000000" w:fill="FFFF0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c>
          <w:tcPr>
            <w:tcW w:w="960" w:type="dxa"/>
            <w:tcBorders>
              <w:top w:val="nil"/>
              <w:left w:val="nil"/>
              <w:bottom w:val="nil"/>
              <w:right w:val="nil"/>
            </w:tcBorders>
            <w:shd w:val="clear" w:color="000000" w:fill="FFFF0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c>
          <w:tcPr>
            <w:tcW w:w="960" w:type="dxa"/>
            <w:tcBorders>
              <w:top w:val="nil"/>
              <w:left w:val="nil"/>
              <w:bottom w:val="nil"/>
              <w:right w:val="nil"/>
            </w:tcBorders>
            <w:shd w:val="clear" w:color="000000" w:fill="92D05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5</w:t>
            </w:r>
          </w:p>
        </w:tc>
        <w:tc>
          <w:tcPr>
            <w:tcW w:w="960" w:type="dxa"/>
            <w:tcBorders>
              <w:top w:val="nil"/>
              <w:left w:val="nil"/>
              <w:bottom w:val="nil"/>
              <w:right w:val="nil"/>
            </w:tcBorders>
            <w:shd w:val="clear" w:color="000000" w:fill="FFFFFF"/>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w:t>
            </w:r>
          </w:p>
        </w:tc>
        <w:tc>
          <w:tcPr>
            <w:tcW w:w="960" w:type="dxa"/>
            <w:tcBorders>
              <w:top w:val="nil"/>
              <w:left w:val="nil"/>
              <w:bottom w:val="nil"/>
              <w:right w:val="nil"/>
            </w:tcBorders>
            <w:shd w:val="clear" w:color="000000" w:fill="FFFFFF"/>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w:t>
            </w:r>
          </w:p>
        </w:tc>
        <w:tc>
          <w:tcPr>
            <w:tcW w:w="960" w:type="dxa"/>
            <w:tcBorders>
              <w:top w:val="nil"/>
              <w:left w:val="nil"/>
              <w:bottom w:val="nil"/>
              <w:right w:val="nil"/>
            </w:tcBorders>
            <w:shd w:val="clear" w:color="000000" w:fill="FFFFFF"/>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w:t>
            </w:r>
          </w:p>
        </w:tc>
      </w:tr>
      <w:tr w:rsidR="006C4EBA" w:rsidRPr="006C4EBA" w:rsidTr="00B83D47">
        <w:trPr>
          <w:trHeight w:val="315"/>
        </w:trPr>
        <w:tc>
          <w:tcPr>
            <w:tcW w:w="3360" w:type="dxa"/>
            <w:tcBorders>
              <w:top w:val="nil"/>
              <w:left w:val="single" w:sz="8" w:space="0" w:color="D3D3D3"/>
              <w:bottom w:val="single" w:sz="8"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w:eastAsia="Times New Roman" w:hAnsi="Calibri" w:cs="Calibri"/>
                <w:b/>
                <w:bCs/>
                <w:color w:val="495965"/>
                <w:sz w:val="17"/>
                <w:szCs w:val="17"/>
                <w:lang w:val="en-AU" w:eastAsia="en-AU"/>
              </w:rPr>
            </w:pPr>
            <w:r w:rsidRPr="006C4EBA">
              <w:rPr>
                <w:rFonts w:ascii="Calibri" w:eastAsia="Times New Roman" w:hAnsi="Calibri" w:cs="Calibri"/>
                <w:b/>
                <w:bCs/>
                <w:color w:val="495965"/>
                <w:sz w:val="17"/>
                <w:szCs w:val="17"/>
                <w:lang w:val="en-AU" w:eastAsia="en-AU"/>
              </w:rPr>
              <w:t>Pacific Women (Vanuatu)</w:t>
            </w:r>
          </w:p>
        </w:tc>
        <w:tc>
          <w:tcPr>
            <w:tcW w:w="1520" w:type="dxa"/>
            <w:tcBorders>
              <w:top w:val="nil"/>
              <w:left w:val="nil"/>
              <w:bottom w:val="single" w:sz="8"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2016-2021</w:t>
            </w:r>
          </w:p>
        </w:tc>
        <w:tc>
          <w:tcPr>
            <w:tcW w:w="1499" w:type="dxa"/>
            <w:tcBorders>
              <w:top w:val="nil"/>
              <w:left w:val="nil"/>
              <w:bottom w:val="single" w:sz="8"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2018 AQC</w:t>
            </w:r>
          </w:p>
        </w:tc>
        <w:tc>
          <w:tcPr>
            <w:tcW w:w="960" w:type="dxa"/>
            <w:tcBorders>
              <w:top w:val="nil"/>
              <w:left w:val="nil"/>
              <w:bottom w:val="single" w:sz="8" w:space="0" w:color="auto"/>
              <w:right w:val="nil"/>
            </w:tcBorders>
            <w:shd w:val="clear" w:color="000000" w:fill="92D050"/>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5</w:t>
            </w:r>
          </w:p>
        </w:tc>
        <w:tc>
          <w:tcPr>
            <w:tcW w:w="960" w:type="dxa"/>
            <w:tcBorders>
              <w:top w:val="nil"/>
              <w:left w:val="nil"/>
              <w:bottom w:val="single" w:sz="8" w:space="0" w:color="auto"/>
              <w:right w:val="nil"/>
            </w:tcBorders>
            <w:shd w:val="clear" w:color="000000" w:fill="92D050"/>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5</w:t>
            </w:r>
          </w:p>
        </w:tc>
        <w:tc>
          <w:tcPr>
            <w:tcW w:w="960" w:type="dxa"/>
            <w:tcBorders>
              <w:top w:val="nil"/>
              <w:left w:val="nil"/>
              <w:bottom w:val="single" w:sz="8" w:space="0" w:color="auto"/>
              <w:right w:val="nil"/>
            </w:tcBorders>
            <w:shd w:val="clear" w:color="000000" w:fill="92D050"/>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5</w:t>
            </w:r>
          </w:p>
        </w:tc>
        <w:tc>
          <w:tcPr>
            <w:tcW w:w="960" w:type="dxa"/>
            <w:tcBorders>
              <w:top w:val="nil"/>
              <w:left w:val="nil"/>
              <w:bottom w:val="single" w:sz="8" w:space="0" w:color="auto"/>
              <w:right w:val="nil"/>
            </w:tcBorders>
            <w:shd w:val="clear" w:color="000000" w:fill="92D050"/>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6</w:t>
            </w:r>
          </w:p>
        </w:tc>
        <w:tc>
          <w:tcPr>
            <w:tcW w:w="960" w:type="dxa"/>
            <w:tcBorders>
              <w:top w:val="nil"/>
              <w:left w:val="nil"/>
              <w:bottom w:val="single" w:sz="8" w:space="0" w:color="auto"/>
              <w:right w:val="nil"/>
            </w:tcBorders>
            <w:shd w:val="clear" w:color="000000" w:fill="FFFF00"/>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c>
          <w:tcPr>
            <w:tcW w:w="960" w:type="dxa"/>
            <w:tcBorders>
              <w:top w:val="nil"/>
              <w:left w:val="nil"/>
              <w:bottom w:val="single" w:sz="8" w:space="0" w:color="auto"/>
              <w:right w:val="nil"/>
            </w:tcBorders>
            <w:shd w:val="clear" w:color="000000" w:fill="92D05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5</w:t>
            </w:r>
          </w:p>
        </w:tc>
      </w:tr>
      <w:tr w:rsidR="006C4EBA" w:rsidRPr="006C4EBA" w:rsidTr="00B83D47">
        <w:trPr>
          <w:trHeight w:val="315"/>
        </w:trPr>
        <w:tc>
          <w:tcPr>
            <w:tcW w:w="3360" w:type="dxa"/>
            <w:tcBorders>
              <w:top w:val="nil"/>
              <w:left w:val="single" w:sz="8" w:space="0" w:color="D3D3D3"/>
              <w:bottom w:val="single" w:sz="8" w:space="0" w:color="D3D3D3"/>
              <w:right w:val="single" w:sz="8" w:space="0" w:color="D3D3D3"/>
            </w:tcBorders>
            <w:shd w:val="clear" w:color="000000" w:fill="FFFFFF"/>
            <w:vAlign w:val="center"/>
            <w:hideMark/>
          </w:tcPr>
          <w:p w:rsidR="006C4EBA" w:rsidRPr="006C4EBA" w:rsidRDefault="006C4EBA" w:rsidP="006C4EBA">
            <w:pPr>
              <w:suppressAutoHyphens w:val="0"/>
              <w:spacing w:before="0" w:after="0" w:line="240" w:lineRule="auto"/>
              <w:rPr>
                <w:rFonts w:ascii="Calibri" w:eastAsia="Times New Roman" w:hAnsi="Calibri" w:cs="Calibri"/>
                <w:b/>
                <w:bCs/>
                <w:color w:val="495965"/>
                <w:sz w:val="17"/>
                <w:szCs w:val="17"/>
                <w:lang w:val="en-AU" w:eastAsia="en-AU"/>
              </w:rPr>
            </w:pPr>
            <w:r w:rsidRPr="006C4EBA">
              <w:rPr>
                <w:rFonts w:ascii="Calibri" w:eastAsia="Times New Roman" w:hAnsi="Calibri" w:cs="Calibri"/>
                <w:b/>
                <w:bCs/>
                <w:color w:val="495965"/>
                <w:sz w:val="17"/>
                <w:szCs w:val="17"/>
                <w:lang w:val="en-AU" w:eastAsia="en-AU"/>
              </w:rPr>
              <w:t xml:space="preserve">INI637  </w:t>
            </w:r>
          </w:p>
        </w:tc>
        <w:tc>
          <w:tcPr>
            <w:tcW w:w="1520" w:type="dxa"/>
            <w:tcBorders>
              <w:top w:val="nil"/>
              <w:left w:val="nil"/>
              <w:bottom w:val="nil"/>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$16,807,269</w:t>
            </w:r>
          </w:p>
        </w:tc>
        <w:tc>
          <w:tcPr>
            <w:tcW w:w="1499" w:type="dxa"/>
            <w:tcBorders>
              <w:top w:val="nil"/>
              <w:left w:val="nil"/>
              <w:bottom w:val="nil"/>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2019 AQC</w:t>
            </w:r>
          </w:p>
        </w:tc>
        <w:tc>
          <w:tcPr>
            <w:tcW w:w="960" w:type="dxa"/>
            <w:tcBorders>
              <w:top w:val="nil"/>
              <w:left w:val="nil"/>
              <w:bottom w:val="nil"/>
              <w:right w:val="nil"/>
            </w:tcBorders>
            <w:shd w:val="clear" w:color="000000" w:fill="FFFF0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c>
          <w:tcPr>
            <w:tcW w:w="960" w:type="dxa"/>
            <w:tcBorders>
              <w:top w:val="nil"/>
              <w:left w:val="nil"/>
              <w:bottom w:val="nil"/>
              <w:right w:val="nil"/>
            </w:tcBorders>
            <w:shd w:val="clear" w:color="000000" w:fill="FFFF0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c>
          <w:tcPr>
            <w:tcW w:w="960" w:type="dxa"/>
            <w:tcBorders>
              <w:top w:val="nil"/>
              <w:left w:val="nil"/>
              <w:bottom w:val="nil"/>
              <w:right w:val="nil"/>
            </w:tcBorders>
            <w:shd w:val="clear" w:color="000000" w:fill="FFFF0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c>
          <w:tcPr>
            <w:tcW w:w="960" w:type="dxa"/>
            <w:tcBorders>
              <w:top w:val="nil"/>
              <w:left w:val="nil"/>
              <w:bottom w:val="nil"/>
              <w:right w:val="nil"/>
            </w:tcBorders>
            <w:shd w:val="clear" w:color="000000" w:fill="FFFFFF"/>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w:t>
            </w:r>
          </w:p>
        </w:tc>
        <w:tc>
          <w:tcPr>
            <w:tcW w:w="960" w:type="dxa"/>
            <w:tcBorders>
              <w:top w:val="nil"/>
              <w:left w:val="nil"/>
              <w:bottom w:val="nil"/>
              <w:right w:val="nil"/>
            </w:tcBorders>
            <w:shd w:val="clear" w:color="000000" w:fill="FFFFFF"/>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w:t>
            </w:r>
          </w:p>
        </w:tc>
        <w:tc>
          <w:tcPr>
            <w:tcW w:w="960" w:type="dxa"/>
            <w:tcBorders>
              <w:top w:val="nil"/>
              <w:left w:val="nil"/>
              <w:bottom w:val="nil"/>
              <w:right w:val="nil"/>
            </w:tcBorders>
            <w:shd w:val="clear" w:color="000000" w:fill="FFFFFF"/>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w:t>
            </w:r>
          </w:p>
        </w:tc>
      </w:tr>
      <w:tr w:rsidR="006C4EBA" w:rsidRPr="006C4EBA" w:rsidTr="00B83D47">
        <w:trPr>
          <w:trHeight w:val="315"/>
        </w:trPr>
        <w:tc>
          <w:tcPr>
            <w:tcW w:w="3360" w:type="dxa"/>
            <w:tcBorders>
              <w:top w:val="nil"/>
              <w:left w:val="nil"/>
              <w:bottom w:val="single" w:sz="8" w:space="0" w:color="auto"/>
              <w:right w:val="nil"/>
            </w:tcBorders>
            <w:shd w:val="clear" w:color="000000" w:fill="FFFFFF"/>
            <w:noWrap/>
            <w:vAlign w:val="center"/>
            <w:hideMark/>
          </w:tcPr>
          <w:p w:rsidR="006C4EBA" w:rsidRPr="006C4EBA" w:rsidRDefault="006C4EBA" w:rsidP="006C4EBA">
            <w:pPr>
              <w:suppressAutoHyphens w:val="0"/>
              <w:spacing w:before="0" w:after="0" w:line="240" w:lineRule="auto"/>
              <w:rPr>
                <w:rFonts w:ascii="Calibri" w:eastAsia="Times New Roman" w:hAnsi="Calibri" w:cs="Calibri"/>
                <w:b/>
                <w:bCs/>
                <w:color w:val="495965"/>
                <w:sz w:val="17"/>
                <w:szCs w:val="17"/>
                <w:lang w:val="en-AU" w:eastAsia="en-AU"/>
              </w:rPr>
            </w:pPr>
            <w:r w:rsidRPr="006C4EBA">
              <w:rPr>
                <w:rFonts w:ascii="Calibri" w:eastAsia="Times New Roman" w:hAnsi="Calibri" w:cs="Calibri"/>
                <w:b/>
                <w:bCs/>
                <w:color w:val="495965"/>
                <w:sz w:val="17"/>
                <w:szCs w:val="17"/>
                <w:lang w:val="en-AU" w:eastAsia="en-AU"/>
              </w:rPr>
              <w:t>Wan Smolbag Theatre Community Partnership</w:t>
            </w:r>
          </w:p>
        </w:tc>
        <w:tc>
          <w:tcPr>
            <w:tcW w:w="1520" w:type="dxa"/>
            <w:tcBorders>
              <w:top w:val="nil"/>
              <w:left w:val="nil"/>
              <w:bottom w:val="single" w:sz="8"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2010-2021</w:t>
            </w:r>
          </w:p>
        </w:tc>
        <w:tc>
          <w:tcPr>
            <w:tcW w:w="1499" w:type="dxa"/>
            <w:tcBorders>
              <w:top w:val="nil"/>
              <w:left w:val="nil"/>
              <w:bottom w:val="single" w:sz="8"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2018 AQC</w:t>
            </w:r>
          </w:p>
        </w:tc>
        <w:tc>
          <w:tcPr>
            <w:tcW w:w="960" w:type="dxa"/>
            <w:tcBorders>
              <w:top w:val="nil"/>
              <w:left w:val="nil"/>
              <w:bottom w:val="single" w:sz="8" w:space="0" w:color="auto"/>
              <w:right w:val="nil"/>
            </w:tcBorders>
            <w:shd w:val="clear" w:color="000000" w:fill="92D05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5</w:t>
            </w:r>
          </w:p>
        </w:tc>
        <w:tc>
          <w:tcPr>
            <w:tcW w:w="960" w:type="dxa"/>
            <w:tcBorders>
              <w:top w:val="nil"/>
              <w:left w:val="nil"/>
              <w:bottom w:val="single" w:sz="8" w:space="0" w:color="auto"/>
              <w:right w:val="nil"/>
            </w:tcBorders>
            <w:shd w:val="clear" w:color="000000" w:fill="FFFF0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c>
          <w:tcPr>
            <w:tcW w:w="960" w:type="dxa"/>
            <w:tcBorders>
              <w:top w:val="nil"/>
              <w:left w:val="nil"/>
              <w:bottom w:val="single" w:sz="8" w:space="0" w:color="auto"/>
              <w:right w:val="nil"/>
            </w:tcBorders>
            <w:shd w:val="clear" w:color="000000" w:fill="92D05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5</w:t>
            </w:r>
          </w:p>
        </w:tc>
        <w:tc>
          <w:tcPr>
            <w:tcW w:w="960" w:type="dxa"/>
            <w:tcBorders>
              <w:top w:val="nil"/>
              <w:left w:val="nil"/>
              <w:bottom w:val="single" w:sz="8" w:space="0" w:color="auto"/>
              <w:right w:val="nil"/>
            </w:tcBorders>
            <w:shd w:val="clear" w:color="000000" w:fill="FFC000"/>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3</w:t>
            </w:r>
          </w:p>
        </w:tc>
        <w:tc>
          <w:tcPr>
            <w:tcW w:w="960" w:type="dxa"/>
            <w:tcBorders>
              <w:top w:val="nil"/>
              <w:left w:val="nil"/>
              <w:bottom w:val="single" w:sz="8" w:space="0" w:color="auto"/>
              <w:right w:val="nil"/>
            </w:tcBorders>
            <w:shd w:val="clear" w:color="000000" w:fill="FFFF00"/>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c>
          <w:tcPr>
            <w:tcW w:w="960" w:type="dxa"/>
            <w:tcBorders>
              <w:top w:val="nil"/>
              <w:left w:val="nil"/>
              <w:bottom w:val="single" w:sz="8" w:space="0" w:color="auto"/>
              <w:right w:val="nil"/>
            </w:tcBorders>
            <w:shd w:val="clear" w:color="000000" w:fill="92D05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5</w:t>
            </w:r>
          </w:p>
        </w:tc>
      </w:tr>
      <w:tr w:rsidR="006C4EBA" w:rsidRPr="006C4EBA" w:rsidTr="00B83D47">
        <w:trPr>
          <w:trHeight w:val="315"/>
        </w:trPr>
        <w:tc>
          <w:tcPr>
            <w:tcW w:w="3360" w:type="dxa"/>
            <w:tcBorders>
              <w:top w:val="nil"/>
              <w:left w:val="single" w:sz="8" w:space="0" w:color="D3D3D3"/>
              <w:bottom w:val="single" w:sz="8" w:space="0" w:color="D3D3D3"/>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w:eastAsia="Times New Roman" w:hAnsi="Calibri" w:cs="Calibri"/>
                <w:b/>
                <w:bCs/>
                <w:color w:val="495965"/>
                <w:sz w:val="17"/>
                <w:szCs w:val="17"/>
                <w:lang w:val="en-AU" w:eastAsia="en-AU"/>
              </w:rPr>
            </w:pPr>
            <w:r w:rsidRPr="006C4EBA">
              <w:rPr>
                <w:rFonts w:ascii="Calibri" w:eastAsia="Times New Roman" w:hAnsi="Calibri" w:cs="Calibri"/>
                <w:b/>
                <w:bCs/>
                <w:color w:val="495965"/>
                <w:sz w:val="17"/>
                <w:szCs w:val="17"/>
                <w:lang w:val="en-AU" w:eastAsia="en-AU"/>
              </w:rPr>
              <w:t xml:space="preserve">INL732  </w:t>
            </w:r>
          </w:p>
        </w:tc>
        <w:tc>
          <w:tcPr>
            <w:tcW w:w="1520" w:type="dxa"/>
            <w:tcBorders>
              <w:top w:val="nil"/>
              <w:left w:val="nil"/>
              <w:bottom w:val="nil"/>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$41,831,202</w:t>
            </w:r>
          </w:p>
        </w:tc>
        <w:tc>
          <w:tcPr>
            <w:tcW w:w="1499" w:type="dxa"/>
            <w:tcBorders>
              <w:top w:val="nil"/>
              <w:left w:val="nil"/>
              <w:bottom w:val="nil"/>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2019 AQC</w:t>
            </w:r>
          </w:p>
        </w:tc>
        <w:tc>
          <w:tcPr>
            <w:tcW w:w="960" w:type="dxa"/>
            <w:tcBorders>
              <w:top w:val="nil"/>
              <w:left w:val="nil"/>
              <w:bottom w:val="nil"/>
              <w:right w:val="nil"/>
            </w:tcBorders>
            <w:shd w:val="clear" w:color="000000" w:fill="FFFF0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c>
          <w:tcPr>
            <w:tcW w:w="960" w:type="dxa"/>
            <w:tcBorders>
              <w:top w:val="nil"/>
              <w:left w:val="nil"/>
              <w:bottom w:val="nil"/>
              <w:right w:val="nil"/>
            </w:tcBorders>
            <w:shd w:val="clear" w:color="000000" w:fill="FFFF0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c>
          <w:tcPr>
            <w:tcW w:w="960" w:type="dxa"/>
            <w:tcBorders>
              <w:top w:val="nil"/>
              <w:left w:val="nil"/>
              <w:bottom w:val="nil"/>
              <w:right w:val="nil"/>
            </w:tcBorders>
            <w:shd w:val="clear" w:color="000000" w:fill="FF0000"/>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2</w:t>
            </w:r>
          </w:p>
        </w:tc>
        <w:tc>
          <w:tcPr>
            <w:tcW w:w="960" w:type="dxa"/>
            <w:tcBorders>
              <w:top w:val="nil"/>
              <w:left w:val="nil"/>
              <w:bottom w:val="nil"/>
              <w:right w:val="nil"/>
            </w:tcBorders>
            <w:shd w:val="clear" w:color="000000" w:fill="FFFFFF"/>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w:t>
            </w:r>
          </w:p>
        </w:tc>
        <w:tc>
          <w:tcPr>
            <w:tcW w:w="960" w:type="dxa"/>
            <w:tcBorders>
              <w:top w:val="nil"/>
              <w:left w:val="nil"/>
              <w:bottom w:val="nil"/>
              <w:right w:val="nil"/>
            </w:tcBorders>
            <w:shd w:val="clear" w:color="000000" w:fill="FFFFFF"/>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w:t>
            </w:r>
          </w:p>
        </w:tc>
        <w:tc>
          <w:tcPr>
            <w:tcW w:w="960" w:type="dxa"/>
            <w:tcBorders>
              <w:top w:val="nil"/>
              <w:left w:val="nil"/>
              <w:bottom w:val="nil"/>
              <w:right w:val="nil"/>
            </w:tcBorders>
            <w:shd w:val="clear" w:color="000000" w:fill="FFFFFF"/>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w:t>
            </w:r>
          </w:p>
        </w:tc>
      </w:tr>
      <w:tr w:rsidR="006C4EBA" w:rsidRPr="006C4EBA" w:rsidTr="00B83D47">
        <w:trPr>
          <w:trHeight w:val="315"/>
        </w:trPr>
        <w:tc>
          <w:tcPr>
            <w:tcW w:w="3360" w:type="dxa"/>
            <w:tcBorders>
              <w:top w:val="nil"/>
              <w:left w:val="single" w:sz="8" w:space="0" w:color="D3D3D3"/>
              <w:bottom w:val="single" w:sz="8"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w:eastAsia="Times New Roman" w:hAnsi="Calibri" w:cs="Calibri"/>
                <w:b/>
                <w:bCs/>
                <w:color w:val="495965"/>
                <w:sz w:val="17"/>
                <w:szCs w:val="17"/>
                <w:lang w:val="en-AU" w:eastAsia="en-AU"/>
              </w:rPr>
            </w:pPr>
            <w:r w:rsidRPr="006C4EBA">
              <w:rPr>
                <w:rFonts w:ascii="Calibri" w:eastAsia="Times New Roman" w:hAnsi="Calibri" w:cs="Calibri"/>
                <w:b/>
                <w:bCs/>
                <w:color w:val="495965"/>
                <w:sz w:val="17"/>
                <w:szCs w:val="17"/>
                <w:lang w:val="en-AU" w:eastAsia="en-AU"/>
              </w:rPr>
              <w:t>Tropical Cyclone Pam Recovery Package</w:t>
            </w:r>
          </w:p>
        </w:tc>
        <w:tc>
          <w:tcPr>
            <w:tcW w:w="1520" w:type="dxa"/>
            <w:tcBorders>
              <w:top w:val="nil"/>
              <w:left w:val="nil"/>
              <w:bottom w:val="single" w:sz="8"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2015-2019</w:t>
            </w:r>
          </w:p>
        </w:tc>
        <w:tc>
          <w:tcPr>
            <w:tcW w:w="1499" w:type="dxa"/>
            <w:tcBorders>
              <w:top w:val="nil"/>
              <w:left w:val="nil"/>
              <w:bottom w:val="single" w:sz="8" w:space="0" w:color="auto"/>
              <w:right w:val="nil"/>
            </w:tcBorders>
            <w:shd w:val="clear" w:color="000000" w:fill="FFFFFF"/>
            <w:vAlign w:val="center"/>
            <w:hideMark/>
          </w:tcPr>
          <w:p w:rsidR="006C4EBA" w:rsidRPr="006C4EBA" w:rsidRDefault="006C4EBA" w:rsidP="006C4EBA">
            <w:pPr>
              <w:suppressAutoHyphens w:val="0"/>
              <w:spacing w:before="0" w:after="0" w:line="240" w:lineRule="auto"/>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2018 AQC</w:t>
            </w:r>
          </w:p>
        </w:tc>
        <w:tc>
          <w:tcPr>
            <w:tcW w:w="960" w:type="dxa"/>
            <w:tcBorders>
              <w:top w:val="nil"/>
              <w:left w:val="nil"/>
              <w:bottom w:val="single" w:sz="8" w:space="0" w:color="auto"/>
              <w:right w:val="nil"/>
            </w:tcBorders>
            <w:shd w:val="clear" w:color="000000" w:fill="FFC000"/>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3</w:t>
            </w:r>
          </w:p>
        </w:tc>
        <w:tc>
          <w:tcPr>
            <w:tcW w:w="960" w:type="dxa"/>
            <w:tcBorders>
              <w:top w:val="nil"/>
              <w:left w:val="nil"/>
              <w:bottom w:val="single" w:sz="8" w:space="0" w:color="auto"/>
              <w:right w:val="nil"/>
            </w:tcBorders>
            <w:shd w:val="clear" w:color="000000" w:fill="FFFF00"/>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c>
          <w:tcPr>
            <w:tcW w:w="960" w:type="dxa"/>
            <w:tcBorders>
              <w:top w:val="nil"/>
              <w:left w:val="nil"/>
              <w:bottom w:val="single" w:sz="8" w:space="0" w:color="auto"/>
              <w:right w:val="nil"/>
            </w:tcBorders>
            <w:shd w:val="clear" w:color="000000" w:fill="FFC000"/>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3</w:t>
            </w:r>
          </w:p>
        </w:tc>
        <w:tc>
          <w:tcPr>
            <w:tcW w:w="960" w:type="dxa"/>
            <w:tcBorders>
              <w:top w:val="nil"/>
              <w:left w:val="nil"/>
              <w:bottom w:val="single" w:sz="8" w:space="0" w:color="auto"/>
              <w:right w:val="nil"/>
            </w:tcBorders>
            <w:shd w:val="clear" w:color="000000" w:fill="92D050"/>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5</w:t>
            </w:r>
          </w:p>
        </w:tc>
        <w:tc>
          <w:tcPr>
            <w:tcW w:w="960" w:type="dxa"/>
            <w:tcBorders>
              <w:top w:val="nil"/>
              <w:left w:val="nil"/>
              <w:bottom w:val="single" w:sz="8" w:space="0" w:color="auto"/>
              <w:right w:val="nil"/>
            </w:tcBorders>
            <w:shd w:val="clear" w:color="000000" w:fill="FFFF00"/>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c>
          <w:tcPr>
            <w:tcW w:w="960" w:type="dxa"/>
            <w:tcBorders>
              <w:top w:val="nil"/>
              <w:left w:val="nil"/>
              <w:bottom w:val="single" w:sz="8" w:space="0" w:color="auto"/>
              <w:right w:val="nil"/>
            </w:tcBorders>
            <w:shd w:val="clear" w:color="000000" w:fill="FFFF00"/>
            <w:noWrap/>
            <w:vAlign w:val="center"/>
            <w:hideMark/>
          </w:tcPr>
          <w:p w:rsidR="006C4EBA" w:rsidRPr="006C4EBA" w:rsidRDefault="006C4EBA" w:rsidP="006C4EBA">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6C4EBA">
              <w:rPr>
                <w:rFonts w:ascii="Calibri Light" w:eastAsia="Times New Roman" w:hAnsi="Calibri Light" w:cs="Calibri Light"/>
                <w:color w:val="495965"/>
                <w:sz w:val="17"/>
                <w:szCs w:val="17"/>
                <w:lang w:val="en-AU" w:eastAsia="en-AU"/>
              </w:rPr>
              <w:t>4</w:t>
            </w:r>
          </w:p>
        </w:tc>
      </w:tr>
    </w:tbl>
    <w:p w:rsidR="00A8197B" w:rsidRPr="00A8197B" w:rsidRDefault="00212FB7"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EF26B5">
        <w:rPr>
          <w:rFonts w:asciiTheme="minorHAnsi" w:eastAsiaTheme="majorEastAsia" w:hAnsiTheme="minorHAnsi" w:cstheme="minorHAnsi"/>
          <w:caps/>
          <w:color w:val="495965" w:themeColor="text2"/>
          <w:sz w:val="36"/>
          <w:szCs w:val="36"/>
          <w:lang w:val="en-GB" w:eastAsia="en-US"/>
        </w:rPr>
        <w:lastRenderedPageBreak/>
        <w:t xml:space="preserve">2 </w:t>
      </w:r>
      <w:r w:rsidR="00A8197B" w:rsidRPr="00EF26B5">
        <w:rPr>
          <w:rFonts w:asciiTheme="minorHAnsi" w:eastAsiaTheme="majorEastAsia" w:hAnsiTheme="minorHAnsi" w:cstheme="minorHAnsi"/>
          <w:caps/>
          <w:color w:val="495965" w:themeColor="text2"/>
          <w:sz w:val="36"/>
          <w:szCs w:val="36"/>
          <w:lang w:val="en-GB" w:eastAsia="en-US"/>
        </w:rPr>
        <w:t>HAQC ratings</w:t>
      </w:r>
    </w:p>
    <w:p w:rsidR="00A8197B" w:rsidRDefault="004C0FB8" w:rsidP="00085E5F">
      <w:pPr>
        <w:spacing w:after="120"/>
        <w:rPr>
          <w:color w:val="000000" w:themeColor="text1"/>
        </w:rPr>
      </w:pPr>
      <w:r w:rsidRPr="004C0FB8">
        <w:rPr>
          <w:color w:val="000000" w:themeColor="text1"/>
        </w:rPr>
        <w:t>There were no HAQC in 2018/19.</w:t>
      </w:r>
    </w:p>
    <w:p w:rsidR="00A8197B" w:rsidRPr="00A8197B" w:rsidRDefault="00212FB7"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EF26B5">
        <w:rPr>
          <w:rFonts w:asciiTheme="minorHAnsi" w:eastAsiaTheme="majorEastAsia" w:hAnsiTheme="minorHAnsi" w:cstheme="minorHAnsi"/>
          <w:caps/>
          <w:color w:val="495965" w:themeColor="text2"/>
          <w:sz w:val="36"/>
          <w:szCs w:val="36"/>
          <w:lang w:val="en-GB" w:eastAsia="en-US"/>
        </w:rPr>
        <w:t xml:space="preserve">3 </w:t>
      </w:r>
      <w:r w:rsidR="00A8197B" w:rsidRPr="00EF26B5">
        <w:rPr>
          <w:rFonts w:asciiTheme="minorHAnsi" w:eastAsiaTheme="majorEastAsia" w:hAnsiTheme="minorHAnsi" w:cstheme="minorHAnsi"/>
          <w:caps/>
          <w:color w:val="495965" w:themeColor="text2"/>
          <w:sz w:val="36"/>
          <w:szCs w:val="36"/>
          <w:lang w:val="en-GB" w:eastAsia="en-US"/>
        </w:rPr>
        <w:t>FAQC ratings</w:t>
      </w:r>
    </w:p>
    <w:tbl>
      <w:tblPr>
        <w:tblW w:w="10373" w:type="dxa"/>
        <w:tblLook w:val="04A0" w:firstRow="1" w:lastRow="0" w:firstColumn="1" w:lastColumn="0" w:noHBand="0" w:noVBand="1"/>
      </w:tblPr>
      <w:tblGrid>
        <w:gridCol w:w="3318"/>
        <w:gridCol w:w="1076"/>
        <w:gridCol w:w="836"/>
        <w:gridCol w:w="698"/>
        <w:gridCol w:w="698"/>
        <w:gridCol w:w="698"/>
        <w:gridCol w:w="698"/>
        <w:gridCol w:w="698"/>
        <w:gridCol w:w="698"/>
        <w:gridCol w:w="955"/>
      </w:tblGrid>
      <w:tr w:rsidR="004C0FB8" w:rsidRPr="00942499" w:rsidTr="00B83D47">
        <w:trPr>
          <w:trHeight w:val="1049"/>
        </w:trPr>
        <w:tc>
          <w:tcPr>
            <w:tcW w:w="3318" w:type="dxa"/>
            <w:tcBorders>
              <w:top w:val="double" w:sz="6" w:space="0" w:color="auto"/>
              <w:left w:val="nil"/>
              <w:bottom w:val="single" w:sz="4" w:space="0" w:color="auto"/>
              <w:right w:val="nil"/>
            </w:tcBorders>
            <w:shd w:val="clear" w:color="auto" w:fill="auto"/>
            <w:vAlign w:val="center"/>
            <w:hideMark/>
          </w:tcPr>
          <w:p w:rsidR="004C0FB8" w:rsidRPr="00942499" w:rsidRDefault="00145A3A" w:rsidP="00A05C5F">
            <w:pPr>
              <w:suppressAutoHyphens w:val="0"/>
              <w:spacing w:before="0" w:after="0" w:line="240" w:lineRule="auto"/>
              <w:rPr>
                <w:rFonts w:ascii="Calibri Light" w:eastAsia="Times New Roman" w:hAnsi="Calibri Light" w:cs="Calibri Light"/>
                <w:b/>
                <w:bCs/>
                <w:color w:val="495965"/>
                <w:sz w:val="17"/>
                <w:szCs w:val="17"/>
                <w:lang w:val="en-AU" w:eastAsia="en-AU"/>
              </w:rPr>
            </w:pPr>
            <w:r w:rsidRPr="00942499">
              <w:rPr>
                <w:rFonts w:ascii="Calibri Light" w:eastAsia="Times New Roman" w:hAnsi="Calibri Light" w:cs="Calibri Light"/>
                <w:b/>
                <w:bCs/>
                <w:noProof/>
                <w:color w:val="495965"/>
                <w:sz w:val="17"/>
                <w:szCs w:val="17"/>
                <w:lang w:val="en-AU" w:eastAsia="en-AU"/>
              </w:rPr>
              <w:drawing>
                <wp:anchor distT="0" distB="0" distL="114300" distR="114300" simplePos="0" relativeHeight="251693056" behindDoc="0" locked="0" layoutInCell="1" allowOverlap="1" wp14:anchorId="2A9BE2B3" wp14:editId="3954B8EE">
                  <wp:simplePos x="0" y="0"/>
                  <wp:positionH relativeFrom="column">
                    <wp:posOffset>0</wp:posOffset>
                  </wp:positionH>
                  <wp:positionV relativeFrom="paragraph">
                    <wp:posOffset>0</wp:posOffset>
                  </wp:positionV>
                  <wp:extent cx="3333750" cy="228600"/>
                  <wp:effectExtent l="0" t="0" r="0" b="0"/>
                  <wp:wrapNone/>
                  <wp:docPr id="10" name="Picture 10" hidden="1"/>
                  <wp:cNvGraphicFramePr/>
                  <a:graphic xmlns:a="http://schemas.openxmlformats.org/drawingml/2006/main">
                    <a:graphicData uri="http://schemas.openxmlformats.org/drawingml/2006/picture">
                      <pic:pic xmlns:pic="http://schemas.openxmlformats.org/drawingml/2006/picture">
                        <pic:nvPicPr>
                          <pic:cNvPr id="3" name="Picture 48"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387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4C0FB8" w:rsidRPr="00942499">
              <w:rPr>
                <w:rFonts w:ascii="Calibri Light" w:eastAsia="Times New Roman" w:hAnsi="Calibri Light" w:cs="Calibri Light"/>
                <w:b/>
                <w:bCs/>
                <w:color w:val="495965"/>
                <w:sz w:val="17"/>
                <w:szCs w:val="17"/>
                <w:lang w:val="en-AU" w:eastAsia="en-AU"/>
              </w:rPr>
              <w:t>Investment name</w:t>
            </w:r>
          </w:p>
        </w:tc>
        <w:tc>
          <w:tcPr>
            <w:tcW w:w="1076" w:type="dxa"/>
            <w:tcBorders>
              <w:top w:val="double" w:sz="6" w:space="0" w:color="auto"/>
              <w:left w:val="nil"/>
              <w:bottom w:val="single" w:sz="4" w:space="0" w:color="auto"/>
              <w:right w:val="nil"/>
            </w:tcBorders>
            <w:shd w:val="clear" w:color="auto" w:fill="auto"/>
            <w:vAlign w:val="center"/>
            <w:hideMark/>
          </w:tcPr>
          <w:p w:rsidR="004C0FB8" w:rsidRPr="00942499" w:rsidRDefault="004C0FB8" w:rsidP="00A05C5F">
            <w:pPr>
              <w:suppressAutoHyphens w:val="0"/>
              <w:spacing w:before="0" w:after="0" w:line="240" w:lineRule="auto"/>
              <w:rPr>
                <w:rFonts w:ascii="Calibri Light" w:eastAsia="Times New Roman" w:hAnsi="Calibri Light" w:cs="Calibri Light"/>
                <w:b/>
                <w:bCs/>
                <w:color w:val="495965"/>
                <w:sz w:val="17"/>
                <w:szCs w:val="17"/>
                <w:lang w:val="en-AU" w:eastAsia="en-AU"/>
              </w:rPr>
            </w:pPr>
            <w:r w:rsidRPr="00942499">
              <w:rPr>
                <w:rFonts w:ascii="Calibri Light" w:eastAsia="Times New Roman" w:hAnsi="Calibri Light" w:cs="Calibri Light"/>
                <w:b/>
                <w:bCs/>
                <w:color w:val="495965"/>
                <w:sz w:val="17"/>
                <w:szCs w:val="17"/>
                <w:lang w:val="en-AU" w:eastAsia="en-AU"/>
              </w:rPr>
              <w:t>Approved budget and duration</w:t>
            </w:r>
          </w:p>
        </w:tc>
        <w:tc>
          <w:tcPr>
            <w:tcW w:w="836" w:type="dxa"/>
            <w:tcBorders>
              <w:top w:val="double" w:sz="6" w:space="0" w:color="auto"/>
              <w:left w:val="nil"/>
              <w:bottom w:val="single" w:sz="4" w:space="0" w:color="auto"/>
              <w:right w:val="nil"/>
            </w:tcBorders>
            <w:shd w:val="clear" w:color="auto" w:fill="auto"/>
            <w:textDirection w:val="btLr"/>
            <w:vAlign w:val="center"/>
            <w:hideMark/>
          </w:tcPr>
          <w:p w:rsidR="004C0FB8" w:rsidRPr="00942499" w:rsidRDefault="004C0FB8" w:rsidP="00A05C5F">
            <w:pPr>
              <w:suppressAutoHyphens w:val="0"/>
              <w:spacing w:before="0" w:after="0" w:line="240" w:lineRule="auto"/>
              <w:jc w:val="right"/>
              <w:rPr>
                <w:rFonts w:ascii="Calibri Light" w:eastAsia="Times New Roman" w:hAnsi="Calibri Light" w:cs="Calibri Light"/>
                <w:b/>
                <w:bCs/>
                <w:color w:val="495965"/>
                <w:sz w:val="17"/>
                <w:szCs w:val="17"/>
                <w:lang w:val="en-AU" w:eastAsia="en-AU"/>
              </w:rPr>
            </w:pPr>
            <w:r w:rsidRPr="00942499">
              <w:rPr>
                <w:rFonts w:ascii="Calibri Light" w:eastAsia="Times New Roman" w:hAnsi="Calibri Light" w:cs="Calibri Light"/>
                <w:b/>
                <w:bCs/>
                <w:color w:val="495965"/>
                <w:sz w:val="17"/>
                <w:szCs w:val="17"/>
                <w:lang w:val="en-AU" w:eastAsia="en-AU"/>
              </w:rPr>
              <w:t>Overall rating</w:t>
            </w:r>
          </w:p>
        </w:tc>
        <w:tc>
          <w:tcPr>
            <w:tcW w:w="698" w:type="dxa"/>
            <w:tcBorders>
              <w:top w:val="double" w:sz="6" w:space="0" w:color="auto"/>
              <w:left w:val="nil"/>
              <w:bottom w:val="single" w:sz="4" w:space="0" w:color="auto"/>
              <w:right w:val="nil"/>
            </w:tcBorders>
            <w:shd w:val="clear" w:color="auto" w:fill="auto"/>
            <w:textDirection w:val="btLr"/>
            <w:vAlign w:val="center"/>
            <w:hideMark/>
          </w:tcPr>
          <w:p w:rsidR="004C0FB8" w:rsidRPr="00942499" w:rsidRDefault="004C0FB8" w:rsidP="00A05C5F">
            <w:pPr>
              <w:suppressAutoHyphens w:val="0"/>
              <w:spacing w:before="0" w:after="0" w:line="240" w:lineRule="auto"/>
              <w:jc w:val="right"/>
              <w:rPr>
                <w:rFonts w:ascii="Calibri Light" w:eastAsia="Times New Roman" w:hAnsi="Calibri Light" w:cs="Calibri Light"/>
                <w:b/>
                <w:bCs/>
                <w:color w:val="495965"/>
                <w:sz w:val="17"/>
                <w:szCs w:val="17"/>
                <w:lang w:val="en-AU" w:eastAsia="en-AU"/>
              </w:rPr>
            </w:pPr>
            <w:r w:rsidRPr="00942499">
              <w:rPr>
                <w:rFonts w:ascii="Calibri Light" w:eastAsia="Times New Roman" w:hAnsi="Calibri Light" w:cs="Calibri Light"/>
                <w:b/>
                <w:bCs/>
                <w:color w:val="495965"/>
                <w:sz w:val="17"/>
                <w:szCs w:val="17"/>
                <w:lang w:val="en-AU" w:eastAsia="en-AU"/>
              </w:rPr>
              <w:t>Effectiveness</w:t>
            </w:r>
          </w:p>
        </w:tc>
        <w:tc>
          <w:tcPr>
            <w:tcW w:w="698" w:type="dxa"/>
            <w:tcBorders>
              <w:top w:val="double" w:sz="6" w:space="0" w:color="auto"/>
              <w:left w:val="nil"/>
              <w:bottom w:val="single" w:sz="4" w:space="0" w:color="auto"/>
              <w:right w:val="nil"/>
            </w:tcBorders>
            <w:shd w:val="clear" w:color="auto" w:fill="auto"/>
            <w:textDirection w:val="btLr"/>
            <w:vAlign w:val="center"/>
            <w:hideMark/>
          </w:tcPr>
          <w:p w:rsidR="004C0FB8" w:rsidRPr="00942499" w:rsidRDefault="004C0FB8" w:rsidP="00A05C5F">
            <w:pPr>
              <w:suppressAutoHyphens w:val="0"/>
              <w:spacing w:before="0" w:after="0" w:line="240" w:lineRule="auto"/>
              <w:jc w:val="right"/>
              <w:rPr>
                <w:rFonts w:ascii="Calibri Light" w:eastAsia="Times New Roman" w:hAnsi="Calibri Light" w:cs="Calibri Light"/>
                <w:b/>
                <w:bCs/>
                <w:color w:val="495965"/>
                <w:sz w:val="17"/>
                <w:szCs w:val="17"/>
                <w:lang w:val="en-AU" w:eastAsia="en-AU"/>
              </w:rPr>
            </w:pPr>
            <w:r w:rsidRPr="00942499">
              <w:rPr>
                <w:rFonts w:ascii="Calibri Light" w:eastAsia="Times New Roman" w:hAnsi="Calibri Light" w:cs="Calibri Light"/>
                <w:b/>
                <w:bCs/>
                <w:color w:val="495965"/>
                <w:sz w:val="17"/>
                <w:szCs w:val="17"/>
                <w:lang w:val="en-AU" w:eastAsia="en-AU"/>
              </w:rPr>
              <w:t>Efficiency</w:t>
            </w:r>
          </w:p>
        </w:tc>
        <w:tc>
          <w:tcPr>
            <w:tcW w:w="698" w:type="dxa"/>
            <w:tcBorders>
              <w:top w:val="double" w:sz="6" w:space="0" w:color="auto"/>
              <w:left w:val="nil"/>
              <w:bottom w:val="single" w:sz="4" w:space="0" w:color="auto"/>
              <w:right w:val="nil"/>
            </w:tcBorders>
            <w:shd w:val="clear" w:color="auto" w:fill="auto"/>
            <w:textDirection w:val="btLr"/>
            <w:vAlign w:val="center"/>
            <w:hideMark/>
          </w:tcPr>
          <w:p w:rsidR="004C0FB8" w:rsidRPr="00942499" w:rsidRDefault="004C0FB8" w:rsidP="00A05C5F">
            <w:pPr>
              <w:suppressAutoHyphens w:val="0"/>
              <w:spacing w:before="0" w:after="0" w:line="240" w:lineRule="auto"/>
              <w:jc w:val="right"/>
              <w:rPr>
                <w:rFonts w:ascii="Calibri Light" w:eastAsia="Times New Roman" w:hAnsi="Calibri Light" w:cs="Calibri Light"/>
                <w:b/>
                <w:bCs/>
                <w:color w:val="495965"/>
                <w:sz w:val="17"/>
                <w:szCs w:val="17"/>
                <w:lang w:val="en-AU" w:eastAsia="en-AU"/>
              </w:rPr>
            </w:pPr>
            <w:r w:rsidRPr="00942499">
              <w:rPr>
                <w:rFonts w:ascii="Calibri Light" w:eastAsia="Times New Roman" w:hAnsi="Calibri Light" w:cs="Calibri Light"/>
                <w:b/>
                <w:bCs/>
                <w:color w:val="495965"/>
                <w:sz w:val="17"/>
                <w:szCs w:val="17"/>
                <w:lang w:val="en-AU" w:eastAsia="en-AU"/>
              </w:rPr>
              <w:t>Relevance</w:t>
            </w:r>
          </w:p>
        </w:tc>
        <w:tc>
          <w:tcPr>
            <w:tcW w:w="698" w:type="dxa"/>
            <w:tcBorders>
              <w:top w:val="double" w:sz="6" w:space="0" w:color="auto"/>
              <w:left w:val="nil"/>
              <w:bottom w:val="single" w:sz="4" w:space="0" w:color="auto"/>
              <w:right w:val="nil"/>
            </w:tcBorders>
            <w:shd w:val="clear" w:color="auto" w:fill="auto"/>
            <w:textDirection w:val="btLr"/>
            <w:vAlign w:val="center"/>
            <w:hideMark/>
          </w:tcPr>
          <w:p w:rsidR="004C0FB8" w:rsidRPr="00942499" w:rsidRDefault="004C0FB8" w:rsidP="00A05C5F">
            <w:pPr>
              <w:suppressAutoHyphens w:val="0"/>
              <w:spacing w:before="0" w:after="0" w:line="240" w:lineRule="auto"/>
              <w:jc w:val="right"/>
              <w:rPr>
                <w:rFonts w:ascii="Calibri Light" w:eastAsia="Times New Roman" w:hAnsi="Calibri Light" w:cs="Calibri Light"/>
                <w:b/>
                <w:bCs/>
                <w:color w:val="495965"/>
                <w:sz w:val="17"/>
                <w:szCs w:val="17"/>
                <w:lang w:val="en-AU" w:eastAsia="en-AU"/>
              </w:rPr>
            </w:pPr>
            <w:r w:rsidRPr="00942499">
              <w:rPr>
                <w:rFonts w:ascii="Calibri Light" w:eastAsia="Times New Roman" w:hAnsi="Calibri Light" w:cs="Calibri Light"/>
                <w:b/>
                <w:bCs/>
                <w:color w:val="495965"/>
                <w:sz w:val="17"/>
                <w:szCs w:val="17"/>
                <w:lang w:val="en-AU" w:eastAsia="en-AU"/>
              </w:rPr>
              <w:t>Gender equality</w:t>
            </w:r>
          </w:p>
        </w:tc>
        <w:tc>
          <w:tcPr>
            <w:tcW w:w="698" w:type="dxa"/>
            <w:tcBorders>
              <w:top w:val="double" w:sz="6" w:space="0" w:color="auto"/>
              <w:left w:val="nil"/>
              <w:bottom w:val="single" w:sz="4" w:space="0" w:color="auto"/>
              <w:right w:val="nil"/>
            </w:tcBorders>
            <w:shd w:val="clear" w:color="auto" w:fill="auto"/>
            <w:textDirection w:val="btLr"/>
            <w:vAlign w:val="center"/>
            <w:hideMark/>
          </w:tcPr>
          <w:p w:rsidR="004C0FB8" w:rsidRPr="00942499" w:rsidRDefault="004C0FB8" w:rsidP="00A05C5F">
            <w:pPr>
              <w:suppressAutoHyphens w:val="0"/>
              <w:spacing w:before="0" w:after="0" w:line="240" w:lineRule="auto"/>
              <w:jc w:val="right"/>
              <w:rPr>
                <w:rFonts w:ascii="Calibri Light" w:eastAsia="Times New Roman" w:hAnsi="Calibri Light" w:cs="Calibri Light"/>
                <w:b/>
                <w:bCs/>
                <w:color w:val="495965"/>
                <w:sz w:val="17"/>
                <w:szCs w:val="17"/>
                <w:lang w:val="en-AU" w:eastAsia="en-AU"/>
              </w:rPr>
            </w:pPr>
            <w:r w:rsidRPr="00942499">
              <w:rPr>
                <w:rFonts w:ascii="Calibri Light" w:eastAsia="Times New Roman" w:hAnsi="Calibri Light" w:cs="Calibri Light"/>
                <w:b/>
                <w:bCs/>
                <w:color w:val="495965"/>
                <w:sz w:val="17"/>
                <w:szCs w:val="17"/>
                <w:lang w:val="en-AU" w:eastAsia="en-AU"/>
              </w:rPr>
              <w:t>Monitoring and Evaluation</w:t>
            </w:r>
          </w:p>
        </w:tc>
        <w:tc>
          <w:tcPr>
            <w:tcW w:w="698" w:type="dxa"/>
            <w:tcBorders>
              <w:top w:val="double" w:sz="6" w:space="0" w:color="auto"/>
              <w:left w:val="nil"/>
              <w:bottom w:val="single" w:sz="4" w:space="0" w:color="auto"/>
              <w:right w:val="nil"/>
            </w:tcBorders>
            <w:shd w:val="clear" w:color="auto" w:fill="auto"/>
            <w:textDirection w:val="btLr"/>
            <w:vAlign w:val="center"/>
            <w:hideMark/>
          </w:tcPr>
          <w:p w:rsidR="004C0FB8" w:rsidRPr="00942499" w:rsidRDefault="004C0FB8" w:rsidP="00A05C5F">
            <w:pPr>
              <w:suppressAutoHyphens w:val="0"/>
              <w:spacing w:before="0" w:after="0" w:line="240" w:lineRule="auto"/>
              <w:jc w:val="right"/>
              <w:rPr>
                <w:rFonts w:ascii="Calibri Light" w:eastAsia="Times New Roman" w:hAnsi="Calibri Light" w:cs="Calibri Light"/>
                <w:b/>
                <w:bCs/>
                <w:color w:val="495965"/>
                <w:sz w:val="17"/>
                <w:szCs w:val="17"/>
                <w:lang w:val="en-AU" w:eastAsia="en-AU"/>
              </w:rPr>
            </w:pPr>
            <w:r w:rsidRPr="00942499">
              <w:rPr>
                <w:rFonts w:ascii="Calibri Light" w:eastAsia="Times New Roman" w:hAnsi="Calibri Light" w:cs="Calibri Light"/>
                <w:b/>
                <w:bCs/>
                <w:color w:val="495965"/>
                <w:sz w:val="17"/>
                <w:szCs w:val="17"/>
                <w:lang w:val="en-AU" w:eastAsia="en-AU"/>
              </w:rPr>
              <w:t>Sustainability</w:t>
            </w:r>
          </w:p>
        </w:tc>
        <w:tc>
          <w:tcPr>
            <w:tcW w:w="955" w:type="dxa"/>
            <w:tcBorders>
              <w:top w:val="double" w:sz="6" w:space="0" w:color="auto"/>
              <w:left w:val="nil"/>
              <w:bottom w:val="single" w:sz="4" w:space="0" w:color="auto"/>
              <w:right w:val="nil"/>
            </w:tcBorders>
            <w:shd w:val="clear" w:color="auto" w:fill="auto"/>
            <w:textDirection w:val="btLr"/>
            <w:vAlign w:val="center"/>
            <w:hideMark/>
          </w:tcPr>
          <w:p w:rsidR="004C0FB8" w:rsidRPr="00942499" w:rsidRDefault="004C0FB8" w:rsidP="00A05C5F">
            <w:pPr>
              <w:suppressAutoHyphens w:val="0"/>
              <w:spacing w:before="0" w:after="0" w:line="240" w:lineRule="auto"/>
              <w:jc w:val="right"/>
              <w:rPr>
                <w:rFonts w:ascii="Calibri Light" w:eastAsia="Times New Roman" w:hAnsi="Calibri Light" w:cs="Calibri Light"/>
                <w:b/>
                <w:bCs/>
                <w:color w:val="495965"/>
                <w:sz w:val="17"/>
                <w:szCs w:val="17"/>
                <w:lang w:val="en-AU" w:eastAsia="en-AU"/>
              </w:rPr>
            </w:pPr>
            <w:r w:rsidRPr="00942499">
              <w:rPr>
                <w:rFonts w:ascii="Calibri Light" w:eastAsia="Times New Roman" w:hAnsi="Calibri Light" w:cs="Calibri Light"/>
                <w:b/>
                <w:bCs/>
                <w:color w:val="495965"/>
                <w:sz w:val="17"/>
                <w:szCs w:val="17"/>
                <w:lang w:val="en-AU" w:eastAsia="en-AU"/>
              </w:rPr>
              <w:t>Risks &amp; Safeguards</w:t>
            </w:r>
          </w:p>
        </w:tc>
      </w:tr>
      <w:tr w:rsidR="004C0FB8" w:rsidRPr="00942499" w:rsidTr="00A05C5F">
        <w:trPr>
          <w:trHeight w:val="298"/>
        </w:trPr>
        <w:tc>
          <w:tcPr>
            <w:tcW w:w="3318" w:type="dxa"/>
            <w:tcBorders>
              <w:top w:val="nil"/>
              <w:left w:val="single" w:sz="4" w:space="0" w:color="D3D3D3"/>
              <w:bottom w:val="single" w:sz="4" w:space="0" w:color="D3D3D3"/>
              <w:right w:val="single" w:sz="4" w:space="0" w:color="D3D3D3"/>
            </w:tcBorders>
            <w:shd w:val="clear" w:color="auto" w:fill="auto"/>
            <w:hideMark/>
          </w:tcPr>
          <w:p w:rsidR="004C0FB8" w:rsidRPr="00942499" w:rsidRDefault="004C0FB8" w:rsidP="00A05C5F">
            <w:pPr>
              <w:suppressAutoHyphens w:val="0"/>
              <w:spacing w:before="0" w:after="0" w:line="240" w:lineRule="auto"/>
              <w:rPr>
                <w:rFonts w:ascii="Calibri" w:eastAsia="Times New Roman" w:hAnsi="Calibri" w:cs="Calibri"/>
                <w:b/>
                <w:bCs/>
                <w:color w:val="495965"/>
                <w:sz w:val="17"/>
                <w:szCs w:val="17"/>
                <w:lang w:val="en-AU" w:eastAsia="en-AU"/>
              </w:rPr>
            </w:pPr>
            <w:r w:rsidRPr="00942499">
              <w:rPr>
                <w:rFonts w:ascii="Calibri" w:eastAsia="Times New Roman" w:hAnsi="Calibri" w:cs="Calibri"/>
                <w:b/>
                <w:bCs/>
                <w:color w:val="495965"/>
                <w:sz w:val="17"/>
                <w:szCs w:val="17"/>
                <w:lang w:val="en-AU" w:eastAsia="en-AU"/>
              </w:rPr>
              <w:t>INK372  - Vanuatu Education Support Program</w:t>
            </w:r>
          </w:p>
        </w:tc>
        <w:tc>
          <w:tcPr>
            <w:tcW w:w="1076" w:type="dxa"/>
            <w:tcBorders>
              <w:top w:val="nil"/>
              <w:left w:val="nil"/>
              <w:bottom w:val="nil"/>
              <w:right w:val="nil"/>
            </w:tcBorders>
            <w:shd w:val="clear" w:color="auto" w:fill="auto"/>
            <w:vAlign w:val="center"/>
            <w:hideMark/>
          </w:tcPr>
          <w:p w:rsidR="004C0FB8" w:rsidRPr="00942499" w:rsidRDefault="004C0FB8" w:rsidP="00A05C5F">
            <w:pPr>
              <w:suppressAutoHyphens w:val="0"/>
              <w:spacing w:before="0" w:after="0" w:line="240" w:lineRule="auto"/>
              <w:jc w:val="right"/>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$44,105,829</w:t>
            </w:r>
          </w:p>
        </w:tc>
        <w:tc>
          <w:tcPr>
            <w:tcW w:w="836" w:type="dxa"/>
            <w:vMerge w:val="restart"/>
            <w:tcBorders>
              <w:top w:val="nil"/>
              <w:left w:val="nil"/>
              <w:bottom w:val="single" w:sz="4" w:space="0" w:color="000000"/>
              <w:right w:val="nil"/>
            </w:tcBorders>
            <w:shd w:val="clear" w:color="000000" w:fill="FFFF00"/>
            <w:vAlign w:val="center"/>
            <w:hideMark/>
          </w:tcPr>
          <w:p w:rsidR="004C0FB8" w:rsidRPr="00942499" w:rsidRDefault="004C0FB8" w:rsidP="00A05C5F">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4</w:t>
            </w:r>
          </w:p>
        </w:tc>
        <w:tc>
          <w:tcPr>
            <w:tcW w:w="698" w:type="dxa"/>
            <w:vMerge w:val="restart"/>
            <w:tcBorders>
              <w:top w:val="nil"/>
              <w:left w:val="nil"/>
              <w:bottom w:val="single" w:sz="4" w:space="0" w:color="000000"/>
              <w:right w:val="nil"/>
            </w:tcBorders>
            <w:shd w:val="clear" w:color="000000" w:fill="FFFF00"/>
            <w:vAlign w:val="center"/>
            <w:hideMark/>
          </w:tcPr>
          <w:p w:rsidR="004C0FB8" w:rsidRPr="00942499" w:rsidRDefault="004C0FB8" w:rsidP="00A05C5F">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4</w:t>
            </w:r>
          </w:p>
        </w:tc>
        <w:tc>
          <w:tcPr>
            <w:tcW w:w="698" w:type="dxa"/>
            <w:vMerge w:val="restart"/>
            <w:tcBorders>
              <w:top w:val="nil"/>
              <w:left w:val="nil"/>
              <w:bottom w:val="single" w:sz="4" w:space="0" w:color="000000"/>
              <w:right w:val="nil"/>
            </w:tcBorders>
            <w:shd w:val="clear" w:color="000000" w:fill="FFFF00"/>
            <w:vAlign w:val="center"/>
            <w:hideMark/>
          </w:tcPr>
          <w:p w:rsidR="004C0FB8" w:rsidRPr="00942499" w:rsidRDefault="004C0FB8" w:rsidP="00A05C5F">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4</w:t>
            </w:r>
          </w:p>
        </w:tc>
        <w:tc>
          <w:tcPr>
            <w:tcW w:w="698" w:type="dxa"/>
            <w:vMerge w:val="restart"/>
            <w:tcBorders>
              <w:top w:val="nil"/>
              <w:left w:val="nil"/>
              <w:bottom w:val="single" w:sz="4" w:space="0" w:color="000000"/>
              <w:right w:val="nil"/>
            </w:tcBorders>
            <w:shd w:val="clear" w:color="000000" w:fill="92D050"/>
            <w:vAlign w:val="center"/>
            <w:hideMark/>
          </w:tcPr>
          <w:p w:rsidR="004C0FB8" w:rsidRPr="00942499" w:rsidRDefault="004C0FB8" w:rsidP="00A05C5F">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5</w:t>
            </w:r>
          </w:p>
        </w:tc>
        <w:tc>
          <w:tcPr>
            <w:tcW w:w="698" w:type="dxa"/>
            <w:vMerge w:val="restart"/>
            <w:tcBorders>
              <w:top w:val="nil"/>
              <w:left w:val="nil"/>
              <w:bottom w:val="single" w:sz="4" w:space="0" w:color="000000"/>
              <w:right w:val="nil"/>
            </w:tcBorders>
            <w:shd w:val="clear" w:color="000000" w:fill="FFFF00"/>
            <w:vAlign w:val="center"/>
            <w:hideMark/>
          </w:tcPr>
          <w:p w:rsidR="004C0FB8" w:rsidRPr="00942499" w:rsidRDefault="004C0FB8" w:rsidP="00A05C5F">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4</w:t>
            </w:r>
          </w:p>
        </w:tc>
        <w:tc>
          <w:tcPr>
            <w:tcW w:w="698" w:type="dxa"/>
            <w:vMerge w:val="restart"/>
            <w:tcBorders>
              <w:top w:val="nil"/>
              <w:left w:val="nil"/>
              <w:bottom w:val="single" w:sz="4" w:space="0" w:color="000000"/>
              <w:right w:val="nil"/>
            </w:tcBorders>
            <w:shd w:val="clear" w:color="000000" w:fill="FFFF00"/>
            <w:vAlign w:val="center"/>
            <w:hideMark/>
          </w:tcPr>
          <w:p w:rsidR="004C0FB8" w:rsidRPr="00942499" w:rsidRDefault="004C0FB8" w:rsidP="00A05C5F">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4</w:t>
            </w:r>
          </w:p>
        </w:tc>
        <w:tc>
          <w:tcPr>
            <w:tcW w:w="698" w:type="dxa"/>
            <w:vMerge w:val="restart"/>
            <w:tcBorders>
              <w:top w:val="nil"/>
              <w:left w:val="nil"/>
              <w:bottom w:val="single" w:sz="4" w:space="0" w:color="000000"/>
              <w:right w:val="nil"/>
            </w:tcBorders>
            <w:shd w:val="clear" w:color="000000" w:fill="FFFF00"/>
            <w:vAlign w:val="center"/>
            <w:hideMark/>
          </w:tcPr>
          <w:p w:rsidR="004C0FB8" w:rsidRPr="00942499" w:rsidRDefault="004C0FB8" w:rsidP="00A05C5F">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4</w:t>
            </w:r>
          </w:p>
        </w:tc>
        <w:tc>
          <w:tcPr>
            <w:tcW w:w="955" w:type="dxa"/>
            <w:vMerge w:val="restart"/>
            <w:tcBorders>
              <w:top w:val="nil"/>
              <w:left w:val="nil"/>
              <w:bottom w:val="single" w:sz="4" w:space="0" w:color="000000"/>
              <w:right w:val="nil"/>
            </w:tcBorders>
            <w:shd w:val="clear" w:color="auto" w:fill="auto"/>
            <w:vAlign w:val="center"/>
            <w:hideMark/>
          </w:tcPr>
          <w:p w:rsidR="004C0FB8" w:rsidRPr="00942499" w:rsidRDefault="004C0FB8" w:rsidP="00A05C5F">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N/A</w:t>
            </w:r>
          </w:p>
        </w:tc>
      </w:tr>
      <w:tr w:rsidR="004C0FB8" w:rsidRPr="00942499" w:rsidTr="00A05C5F">
        <w:trPr>
          <w:trHeight w:val="298"/>
        </w:trPr>
        <w:tc>
          <w:tcPr>
            <w:tcW w:w="3318" w:type="dxa"/>
            <w:tcBorders>
              <w:top w:val="nil"/>
              <w:left w:val="single" w:sz="4" w:space="0" w:color="D3D3D3"/>
              <w:bottom w:val="single" w:sz="4" w:space="0" w:color="auto"/>
              <w:right w:val="nil"/>
            </w:tcBorders>
            <w:shd w:val="clear" w:color="auto" w:fill="auto"/>
            <w:hideMark/>
          </w:tcPr>
          <w:p w:rsidR="004C0FB8" w:rsidRPr="00942499" w:rsidRDefault="004C0FB8" w:rsidP="00A05C5F">
            <w:pPr>
              <w:suppressAutoHyphens w:val="0"/>
              <w:spacing w:before="0" w:after="0" w:line="240" w:lineRule="auto"/>
              <w:rPr>
                <w:rFonts w:ascii="Calibri" w:eastAsia="Times New Roman" w:hAnsi="Calibri" w:cs="Calibri"/>
                <w:b/>
                <w:bCs/>
                <w:color w:val="495965"/>
                <w:sz w:val="17"/>
                <w:szCs w:val="17"/>
                <w:lang w:val="en-AU" w:eastAsia="en-AU"/>
              </w:rPr>
            </w:pPr>
            <w:r w:rsidRPr="00942499">
              <w:rPr>
                <w:rFonts w:ascii="Calibri" w:eastAsia="Times New Roman" w:hAnsi="Calibri" w:cs="Calibri"/>
                <w:b/>
                <w:bCs/>
                <w:color w:val="495965"/>
                <w:sz w:val="17"/>
                <w:szCs w:val="17"/>
                <w:lang w:val="en-AU" w:eastAsia="en-AU"/>
              </w:rPr>
              <w:t> </w:t>
            </w:r>
          </w:p>
        </w:tc>
        <w:tc>
          <w:tcPr>
            <w:tcW w:w="1076" w:type="dxa"/>
            <w:tcBorders>
              <w:top w:val="nil"/>
              <w:left w:val="nil"/>
              <w:bottom w:val="single" w:sz="4" w:space="0" w:color="auto"/>
              <w:right w:val="nil"/>
            </w:tcBorders>
            <w:shd w:val="clear" w:color="auto" w:fill="auto"/>
            <w:vAlign w:val="center"/>
            <w:hideMark/>
          </w:tcPr>
          <w:p w:rsidR="004C0FB8" w:rsidRPr="00942499" w:rsidRDefault="004C0FB8" w:rsidP="00A05C5F">
            <w:pPr>
              <w:suppressAutoHyphens w:val="0"/>
              <w:spacing w:before="0" w:after="0" w:line="240" w:lineRule="auto"/>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2012-2019</w:t>
            </w:r>
          </w:p>
        </w:tc>
        <w:tc>
          <w:tcPr>
            <w:tcW w:w="836" w:type="dxa"/>
            <w:vMerge/>
            <w:tcBorders>
              <w:top w:val="nil"/>
              <w:left w:val="nil"/>
              <w:bottom w:val="single" w:sz="4" w:space="0" w:color="000000"/>
              <w:right w:val="nil"/>
            </w:tcBorders>
            <w:vAlign w:val="center"/>
            <w:hideMark/>
          </w:tcPr>
          <w:p w:rsidR="004C0FB8" w:rsidRPr="00942499" w:rsidRDefault="004C0FB8" w:rsidP="00A05C5F">
            <w:pPr>
              <w:suppressAutoHyphens w:val="0"/>
              <w:spacing w:before="0" w:after="0" w:line="240" w:lineRule="auto"/>
              <w:rPr>
                <w:rFonts w:ascii="Calibri Light" w:eastAsia="Times New Roman" w:hAnsi="Calibri Light" w:cs="Calibri Light"/>
                <w:color w:val="495965"/>
                <w:sz w:val="17"/>
                <w:szCs w:val="17"/>
                <w:lang w:val="en-AU" w:eastAsia="en-AU"/>
              </w:rPr>
            </w:pPr>
          </w:p>
        </w:tc>
        <w:tc>
          <w:tcPr>
            <w:tcW w:w="698" w:type="dxa"/>
            <w:vMerge/>
            <w:tcBorders>
              <w:top w:val="nil"/>
              <w:left w:val="nil"/>
              <w:bottom w:val="single" w:sz="4" w:space="0" w:color="000000"/>
              <w:right w:val="nil"/>
            </w:tcBorders>
            <w:vAlign w:val="center"/>
            <w:hideMark/>
          </w:tcPr>
          <w:p w:rsidR="004C0FB8" w:rsidRPr="00942499" w:rsidRDefault="004C0FB8" w:rsidP="00A05C5F">
            <w:pPr>
              <w:suppressAutoHyphens w:val="0"/>
              <w:spacing w:before="0" w:after="0" w:line="240" w:lineRule="auto"/>
              <w:rPr>
                <w:rFonts w:ascii="Calibri Light" w:eastAsia="Times New Roman" w:hAnsi="Calibri Light" w:cs="Calibri Light"/>
                <w:color w:val="495965"/>
                <w:sz w:val="17"/>
                <w:szCs w:val="17"/>
                <w:lang w:val="en-AU" w:eastAsia="en-AU"/>
              </w:rPr>
            </w:pPr>
          </w:p>
        </w:tc>
        <w:tc>
          <w:tcPr>
            <w:tcW w:w="698" w:type="dxa"/>
            <w:vMerge/>
            <w:tcBorders>
              <w:top w:val="nil"/>
              <w:left w:val="nil"/>
              <w:bottom w:val="single" w:sz="4" w:space="0" w:color="000000"/>
              <w:right w:val="nil"/>
            </w:tcBorders>
            <w:vAlign w:val="center"/>
            <w:hideMark/>
          </w:tcPr>
          <w:p w:rsidR="004C0FB8" w:rsidRPr="00942499" w:rsidRDefault="004C0FB8" w:rsidP="00A05C5F">
            <w:pPr>
              <w:suppressAutoHyphens w:val="0"/>
              <w:spacing w:before="0" w:after="0" w:line="240" w:lineRule="auto"/>
              <w:rPr>
                <w:rFonts w:ascii="Calibri Light" w:eastAsia="Times New Roman" w:hAnsi="Calibri Light" w:cs="Calibri Light"/>
                <w:color w:val="495965"/>
                <w:sz w:val="17"/>
                <w:szCs w:val="17"/>
                <w:lang w:val="en-AU" w:eastAsia="en-AU"/>
              </w:rPr>
            </w:pPr>
          </w:p>
        </w:tc>
        <w:tc>
          <w:tcPr>
            <w:tcW w:w="698" w:type="dxa"/>
            <w:vMerge/>
            <w:tcBorders>
              <w:top w:val="nil"/>
              <w:left w:val="nil"/>
              <w:bottom w:val="single" w:sz="4" w:space="0" w:color="000000"/>
              <w:right w:val="nil"/>
            </w:tcBorders>
            <w:vAlign w:val="center"/>
            <w:hideMark/>
          </w:tcPr>
          <w:p w:rsidR="004C0FB8" w:rsidRPr="00942499" w:rsidRDefault="004C0FB8" w:rsidP="00A05C5F">
            <w:pPr>
              <w:suppressAutoHyphens w:val="0"/>
              <w:spacing w:before="0" w:after="0" w:line="240" w:lineRule="auto"/>
              <w:rPr>
                <w:rFonts w:ascii="Calibri Light" w:eastAsia="Times New Roman" w:hAnsi="Calibri Light" w:cs="Calibri Light"/>
                <w:color w:val="495965"/>
                <w:sz w:val="17"/>
                <w:szCs w:val="17"/>
                <w:lang w:val="en-AU" w:eastAsia="en-AU"/>
              </w:rPr>
            </w:pPr>
          </w:p>
        </w:tc>
        <w:tc>
          <w:tcPr>
            <w:tcW w:w="698" w:type="dxa"/>
            <w:vMerge/>
            <w:tcBorders>
              <w:top w:val="nil"/>
              <w:left w:val="nil"/>
              <w:bottom w:val="single" w:sz="4" w:space="0" w:color="000000"/>
              <w:right w:val="nil"/>
            </w:tcBorders>
            <w:vAlign w:val="center"/>
            <w:hideMark/>
          </w:tcPr>
          <w:p w:rsidR="004C0FB8" w:rsidRPr="00942499" w:rsidRDefault="004C0FB8" w:rsidP="00A05C5F">
            <w:pPr>
              <w:suppressAutoHyphens w:val="0"/>
              <w:spacing w:before="0" w:after="0" w:line="240" w:lineRule="auto"/>
              <w:rPr>
                <w:rFonts w:ascii="Calibri Light" w:eastAsia="Times New Roman" w:hAnsi="Calibri Light" w:cs="Calibri Light"/>
                <w:color w:val="495965"/>
                <w:sz w:val="17"/>
                <w:szCs w:val="17"/>
                <w:lang w:val="en-AU" w:eastAsia="en-AU"/>
              </w:rPr>
            </w:pPr>
          </w:p>
        </w:tc>
        <w:tc>
          <w:tcPr>
            <w:tcW w:w="698" w:type="dxa"/>
            <w:vMerge/>
            <w:tcBorders>
              <w:top w:val="nil"/>
              <w:left w:val="nil"/>
              <w:bottom w:val="single" w:sz="4" w:space="0" w:color="000000"/>
              <w:right w:val="nil"/>
            </w:tcBorders>
            <w:vAlign w:val="center"/>
            <w:hideMark/>
          </w:tcPr>
          <w:p w:rsidR="004C0FB8" w:rsidRPr="00942499" w:rsidRDefault="004C0FB8" w:rsidP="00A05C5F">
            <w:pPr>
              <w:suppressAutoHyphens w:val="0"/>
              <w:spacing w:before="0" w:after="0" w:line="240" w:lineRule="auto"/>
              <w:rPr>
                <w:rFonts w:ascii="Calibri Light" w:eastAsia="Times New Roman" w:hAnsi="Calibri Light" w:cs="Calibri Light"/>
                <w:color w:val="495965"/>
                <w:sz w:val="17"/>
                <w:szCs w:val="17"/>
                <w:lang w:val="en-AU" w:eastAsia="en-AU"/>
              </w:rPr>
            </w:pPr>
          </w:p>
        </w:tc>
        <w:tc>
          <w:tcPr>
            <w:tcW w:w="698" w:type="dxa"/>
            <w:vMerge/>
            <w:tcBorders>
              <w:top w:val="nil"/>
              <w:left w:val="nil"/>
              <w:bottom w:val="single" w:sz="4" w:space="0" w:color="000000"/>
              <w:right w:val="nil"/>
            </w:tcBorders>
            <w:vAlign w:val="center"/>
            <w:hideMark/>
          </w:tcPr>
          <w:p w:rsidR="004C0FB8" w:rsidRPr="00942499" w:rsidRDefault="004C0FB8" w:rsidP="00A05C5F">
            <w:pPr>
              <w:suppressAutoHyphens w:val="0"/>
              <w:spacing w:before="0" w:after="0" w:line="240" w:lineRule="auto"/>
              <w:rPr>
                <w:rFonts w:ascii="Calibri Light" w:eastAsia="Times New Roman" w:hAnsi="Calibri Light" w:cs="Calibri Light"/>
                <w:color w:val="495965"/>
                <w:sz w:val="17"/>
                <w:szCs w:val="17"/>
                <w:lang w:val="en-AU" w:eastAsia="en-AU"/>
              </w:rPr>
            </w:pPr>
          </w:p>
        </w:tc>
        <w:tc>
          <w:tcPr>
            <w:tcW w:w="955" w:type="dxa"/>
            <w:vMerge/>
            <w:tcBorders>
              <w:top w:val="nil"/>
              <w:left w:val="nil"/>
              <w:bottom w:val="single" w:sz="4" w:space="0" w:color="000000"/>
              <w:right w:val="nil"/>
            </w:tcBorders>
            <w:vAlign w:val="center"/>
            <w:hideMark/>
          </w:tcPr>
          <w:p w:rsidR="004C0FB8" w:rsidRPr="00942499" w:rsidRDefault="004C0FB8" w:rsidP="00A05C5F">
            <w:pPr>
              <w:suppressAutoHyphens w:val="0"/>
              <w:spacing w:before="0" w:after="0" w:line="240" w:lineRule="auto"/>
              <w:rPr>
                <w:rFonts w:ascii="Calibri Light" w:eastAsia="Times New Roman" w:hAnsi="Calibri Light" w:cs="Calibri Light"/>
                <w:color w:val="495965"/>
                <w:sz w:val="17"/>
                <w:szCs w:val="17"/>
                <w:lang w:val="en-AU" w:eastAsia="en-AU"/>
              </w:rPr>
            </w:pPr>
          </w:p>
        </w:tc>
      </w:tr>
      <w:tr w:rsidR="004C0FB8" w:rsidRPr="00942499" w:rsidTr="00A05C5F">
        <w:trPr>
          <w:trHeight w:val="447"/>
        </w:trPr>
        <w:tc>
          <w:tcPr>
            <w:tcW w:w="3318" w:type="dxa"/>
            <w:tcBorders>
              <w:top w:val="nil"/>
              <w:left w:val="single" w:sz="4" w:space="0" w:color="D3D3D3"/>
              <w:bottom w:val="single" w:sz="4" w:space="0" w:color="D3D3D3"/>
              <w:right w:val="nil"/>
            </w:tcBorders>
            <w:shd w:val="clear" w:color="auto" w:fill="auto"/>
            <w:hideMark/>
          </w:tcPr>
          <w:p w:rsidR="004C0FB8" w:rsidRPr="00942499" w:rsidRDefault="004C0FB8" w:rsidP="00A05C5F">
            <w:pPr>
              <w:suppressAutoHyphens w:val="0"/>
              <w:spacing w:before="0" w:after="0" w:line="240" w:lineRule="auto"/>
              <w:rPr>
                <w:rFonts w:ascii="Calibri" w:eastAsia="Times New Roman" w:hAnsi="Calibri" w:cs="Calibri"/>
                <w:b/>
                <w:bCs/>
                <w:color w:val="495965"/>
                <w:sz w:val="17"/>
                <w:szCs w:val="17"/>
                <w:lang w:val="en-AU" w:eastAsia="en-AU"/>
              </w:rPr>
            </w:pPr>
            <w:r w:rsidRPr="00942499">
              <w:rPr>
                <w:rFonts w:ascii="Calibri" w:eastAsia="Times New Roman" w:hAnsi="Calibri" w:cs="Calibri"/>
                <w:b/>
                <w:bCs/>
                <w:color w:val="495965"/>
                <w:sz w:val="17"/>
                <w:szCs w:val="17"/>
                <w:lang w:val="en-AU" w:eastAsia="en-AU"/>
              </w:rPr>
              <w:t>INK721  - Port Vila Urban Development Project</w:t>
            </w:r>
          </w:p>
        </w:tc>
        <w:tc>
          <w:tcPr>
            <w:tcW w:w="1076" w:type="dxa"/>
            <w:tcBorders>
              <w:top w:val="nil"/>
              <w:left w:val="nil"/>
              <w:bottom w:val="nil"/>
              <w:right w:val="nil"/>
            </w:tcBorders>
            <w:shd w:val="clear" w:color="auto" w:fill="auto"/>
            <w:vAlign w:val="center"/>
            <w:hideMark/>
          </w:tcPr>
          <w:p w:rsidR="004C0FB8" w:rsidRPr="00942499" w:rsidRDefault="004C0FB8" w:rsidP="00A05C5F">
            <w:pPr>
              <w:suppressAutoHyphens w:val="0"/>
              <w:spacing w:before="0" w:after="0" w:line="240" w:lineRule="auto"/>
              <w:jc w:val="right"/>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$26,500,000</w:t>
            </w:r>
          </w:p>
        </w:tc>
        <w:tc>
          <w:tcPr>
            <w:tcW w:w="836" w:type="dxa"/>
            <w:vMerge w:val="restart"/>
            <w:tcBorders>
              <w:top w:val="nil"/>
              <w:left w:val="nil"/>
              <w:bottom w:val="double" w:sz="6" w:space="0" w:color="000000"/>
              <w:right w:val="nil"/>
            </w:tcBorders>
            <w:shd w:val="clear" w:color="000000" w:fill="FFC000"/>
            <w:vAlign w:val="center"/>
            <w:hideMark/>
          </w:tcPr>
          <w:p w:rsidR="004C0FB8" w:rsidRPr="00942499" w:rsidRDefault="004C0FB8" w:rsidP="00A05C5F">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3</w:t>
            </w:r>
          </w:p>
        </w:tc>
        <w:tc>
          <w:tcPr>
            <w:tcW w:w="698" w:type="dxa"/>
            <w:vMerge w:val="restart"/>
            <w:tcBorders>
              <w:top w:val="nil"/>
              <w:left w:val="nil"/>
              <w:bottom w:val="double" w:sz="6" w:space="0" w:color="000000"/>
              <w:right w:val="nil"/>
            </w:tcBorders>
            <w:shd w:val="clear" w:color="000000" w:fill="FFC000"/>
            <w:vAlign w:val="center"/>
            <w:hideMark/>
          </w:tcPr>
          <w:p w:rsidR="004C0FB8" w:rsidRPr="00942499" w:rsidRDefault="004C0FB8" w:rsidP="00A05C5F">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3</w:t>
            </w:r>
          </w:p>
        </w:tc>
        <w:tc>
          <w:tcPr>
            <w:tcW w:w="698" w:type="dxa"/>
            <w:vMerge w:val="restart"/>
            <w:tcBorders>
              <w:top w:val="nil"/>
              <w:left w:val="nil"/>
              <w:bottom w:val="double" w:sz="6" w:space="0" w:color="000000"/>
              <w:right w:val="nil"/>
            </w:tcBorders>
            <w:shd w:val="clear" w:color="000000" w:fill="FFC000"/>
            <w:vAlign w:val="center"/>
            <w:hideMark/>
          </w:tcPr>
          <w:p w:rsidR="004C0FB8" w:rsidRPr="00942499" w:rsidRDefault="004C0FB8" w:rsidP="00A05C5F">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3</w:t>
            </w:r>
          </w:p>
        </w:tc>
        <w:tc>
          <w:tcPr>
            <w:tcW w:w="698" w:type="dxa"/>
            <w:vMerge w:val="restart"/>
            <w:tcBorders>
              <w:top w:val="nil"/>
              <w:left w:val="nil"/>
              <w:bottom w:val="double" w:sz="6" w:space="0" w:color="000000"/>
              <w:right w:val="nil"/>
            </w:tcBorders>
            <w:shd w:val="clear" w:color="000000" w:fill="FFFF00"/>
            <w:vAlign w:val="center"/>
            <w:hideMark/>
          </w:tcPr>
          <w:p w:rsidR="004C0FB8" w:rsidRPr="00942499" w:rsidRDefault="004C0FB8" w:rsidP="00A05C5F">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4</w:t>
            </w:r>
          </w:p>
        </w:tc>
        <w:tc>
          <w:tcPr>
            <w:tcW w:w="698" w:type="dxa"/>
            <w:vMerge w:val="restart"/>
            <w:tcBorders>
              <w:top w:val="nil"/>
              <w:left w:val="nil"/>
              <w:bottom w:val="double" w:sz="6" w:space="0" w:color="000000"/>
              <w:right w:val="nil"/>
            </w:tcBorders>
            <w:shd w:val="clear" w:color="000000" w:fill="FFFF00"/>
            <w:vAlign w:val="center"/>
            <w:hideMark/>
          </w:tcPr>
          <w:p w:rsidR="004C0FB8" w:rsidRPr="00942499" w:rsidRDefault="004C0FB8" w:rsidP="00A05C5F">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4</w:t>
            </w:r>
          </w:p>
        </w:tc>
        <w:tc>
          <w:tcPr>
            <w:tcW w:w="698" w:type="dxa"/>
            <w:vMerge w:val="restart"/>
            <w:tcBorders>
              <w:top w:val="nil"/>
              <w:left w:val="nil"/>
              <w:bottom w:val="double" w:sz="6" w:space="0" w:color="000000"/>
              <w:right w:val="nil"/>
            </w:tcBorders>
            <w:shd w:val="clear" w:color="000000" w:fill="FFFF00"/>
            <w:vAlign w:val="center"/>
            <w:hideMark/>
          </w:tcPr>
          <w:p w:rsidR="004C0FB8" w:rsidRPr="00942499" w:rsidRDefault="004C0FB8" w:rsidP="00A05C5F">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4</w:t>
            </w:r>
          </w:p>
        </w:tc>
        <w:tc>
          <w:tcPr>
            <w:tcW w:w="698" w:type="dxa"/>
            <w:vMerge w:val="restart"/>
            <w:tcBorders>
              <w:top w:val="nil"/>
              <w:left w:val="nil"/>
              <w:bottom w:val="double" w:sz="6" w:space="0" w:color="000000"/>
              <w:right w:val="nil"/>
            </w:tcBorders>
            <w:shd w:val="clear" w:color="000000" w:fill="FFC000"/>
            <w:vAlign w:val="center"/>
            <w:hideMark/>
          </w:tcPr>
          <w:p w:rsidR="004C0FB8" w:rsidRPr="00942499" w:rsidRDefault="004C0FB8" w:rsidP="00A05C5F">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3</w:t>
            </w:r>
          </w:p>
        </w:tc>
        <w:tc>
          <w:tcPr>
            <w:tcW w:w="955" w:type="dxa"/>
            <w:vMerge w:val="restart"/>
            <w:tcBorders>
              <w:top w:val="nil"/>
              <w:left w:val="nil"/>
              <w:bottom w:val="double" w:sz="6" w:space="0" w:color="000000"/>
              <w:right w:val="nil"/>
            </w:tcBorders>
            <w:shd w:val="clear" w:color="auto" w:fill="auto"/>
            <w:vAlign w:val="center"/>
            <w:hideMark/>
          </w:tcPr>
          <w:p w:rsidR="004C0FB8" w:rsidRPr="00942499" w:rsidRDefault="004C0FB8" w:rsidP="00A05C5F">
            <w:pPr>
              <w:suppressAutoHyphens w:val="0"/>
              <w:spacing w:before="0" w:after="0" w:line="240" w:lineRule="auto"/>
              <w:jc w:val="center"/>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N/A</w:t>
            </w:r>
          </w:p>
        </w:tc>
      </w:tr>
      <w:tr w:rsidR="004C0FB8" w:rsidRPr="00942499" w:rsidTr="00B83D47">
        <w:trPr>
          <w:trHeight w:val="199"/>
        </w:trPr>
        <w:tc>
          <w:tcPr>
            <w:tcW w:w="3318" w:type="dxa"/>
            <w:tcBorders>
              <w:top w:val="nil"/>
              <w:left w:val="single" w:sz="4" w:space="0" w:color="D3D3D3"/>
              <w:bottom w:val="double" w:sz="6" w:space="0" w:color="auto"/>
              <w:right w:val="nil"/>
            </w:tcBorders>
            <w:shd w:val="clear" w:color="auto" w:fill="auto"/>
            <w:hideMark/>
          </w:tcPr>
          <w:p w:rsidR="004C0FB8" w:rsidRPr="00942499" w:rsidRDefault="004C0FB8" w:rsidP="00A05C5F">
            <w:pPr>
              <w:suppressAutoHyphens w:val="0"/>
              <w:spacing w:before="0" w:after="0" w:line="240" w:lineRule="auto"/>
              <w:rPr>
                <w:rFonts w:ascii="Calibri" w:eastAsia="Times New Roman" w:hAnsi="Calibri" w:cs="Calibri"/>
                <w:b/>
                <w:bCs/>
                <w:color w:val="495965"/>
                <w:sz w:val="20"/>
                <w:szCs w:val="20"/>
                <w:lang w:val="en-AU" w:eastAsia="en-AU"/>
              </w:rPr>
            </w:pPr>
            <w:r w:rsidRPr="00942499">
              <w:rPr>
                <w:rFonts w:ascii="Calibri" w:eastAsia="Times New Roman" w:hAnsi="Calibri" w:cs="Calibri"/>
                <w:b/>
                <w:bCs/>
                <w:color w:val="495965"/>
                <w:sz w:val="20"/>
                <w:szCs w:val="20"/>
                <w:lang w:val="en-AU" w:eastAsia="en-AU"/>
              </w:rPr>
              <w:t> </w:t>
            </w:r>
          </w:p>
        </w:tc>
        <w:tc>
          <w:tcPr>
            <w:tcW w:w="1076" w:type="dxa"/>
            <w:tcBorders>
              <w:top w:val="nil"/>
              <w:left w:val="nil"/>
              <w:bottom w:val="double" w:sz="6" w:space="0" w:color="auto"/>
              <w:right w:val="nil"/>
            </w:tcBorders>
            <w:shd w:val="clear" w:color="auto" w:fill="auto"/>
            <w:vAlign w:val="center"/>
            <w:hideMark/>
          </w:tcPr>
          <w:p w:rsidR="004C0FB8" w:rsidRPr="00942499" w:rsidRDefault="004C0FB8" w:rsidP="00A05C5F">
            <w:pPr>
              <w:suppressAutoHyphens w:val="0"/>
              <w:spacing w:before="0" w:after="0" w:line="240" w:lineRule="auto"/>
              <w:rPr>
                <w:rFonts w:ascii="Calibri Light" w:eastAsia="Times New Roman" w:hAnsi="Calibri Light" w:cs="Calibri Light"/>
                <w:color w:val="495965"/>
                <w:sz w:val="17"/>
                <w:szCs w:val="17"/>
                <w:lang w:val="en-AU" w:eastAsia="en-AU"/>
              </w:rPr>
            </w:pPr>
            <w:r w:rsidRPr="00942499">
              <w:rPr>
                <w:rFonts w:ascii="Calibri Light" w:eastAsia="Times New Roman" w:hAnsi="Calibri Light" w:cs="Calibri Light"/>
                <w:color w:val="495965"/>
                <w:sz w:val="17"/>
                <w:szCs w:val="17"/>
                <w:lang w:val="en-AU" w:eastAsia="en-AU"/>
              </w:rPr>
              <w:t>2012-2018</w:t>
            </w:r>
          </w:p>
        </w:tc>
        <w:tc>
          <w:tcPr>
            <w:tcW w:w="836" w:type="dxa"/>
            <w:vMerge/>
            <w:tcBorders>
              <w:top w:val="nil"/>
              <w:left w:val="nil"/>
              <w:bottom w:val="double" w:sz="6" w:space="0" w:color="000000"/>
              <w:right w:val="nil"/>
            </w:tcBorders>
            <w:vAlign w:val="center"/>
            <w:hideMark/>
          </w:tcPr>
          <w:p w:rsidR="004C0FB8" w:rsidRPr="00942499" w:rsidRDefault="004C0FB8" w:rsidP="00A05C5F">
            <w:pPr>
              <w:suppressAutoHyphens w:val="0"/>
              <w:spacing w:before="0" w:after="0" w:line="240" w:lineRule="auto"/>
              <w:rPr>
                <w:rFonts w:ascii="Calibri Light" w:eastAsia="Times New Roman" w:hAnsi="Calibri Light" w:cs="Calibri Light"/>
                <w:color w:val="495965"/>
                <w:sz w:val="17"/>
                <w:szCs w:val="17"/>
                <w:lang w:val="en-AU" w:eastAsia="en-AU"/>
              </w:rPr>
            </w:pPr>
          </w:p>
        </w:tc>
        <w:tc>
          <w:tcPr>
            <w:tcW w:w="698" w:type="dxa"/>
            <w:vMerge/>
            <w:tcBorders>
              <w:top w:val="nil"/>
              <w:left w:val="nil"/>
              <w:bottom w:val="double" w:sz="6" w:space="0" w:color="000000"/>
              <w:right w:val="nil"/>
            </w:tcBorders>
            <w:vAlign w:val="center"/>
            <w:hideMark/>
          </w:tcPr>
          <w:p w:rsidR="004C0FB8" w:rsidRPr="00942499" w:rsidRDefault="004C0FB8" w:rsidP="00A05C5F">
            <w:pPr>
              <w:suppressAutoHyphens w:val="0"/>
              <w:spacing w:before="0" w:after="0" w:line="240" w:lineRule="auto"/>
              <w:rPr>
                <w:rFonts w:ascii="Calibri Light" w:eastAsia="Times New Roman" w:hAnsi="Calibri Light" w:cs="Calibri Light"/>
                <w:color w:val="495965"/>
                <w:sz w:val="17"/>
                <w:szCs w:val="17"/>
                <w:lang w:val="en-AU" w:eastAsia="en-AU"/>
              </w:rPr>
            </w:pPr>
          </w:p>
        </w:tc>
        <w:tc>
          <w:tcPr>
            <w:tcW w:w="698" w:type="dxa"/>
            <w:vMerge/>
            <w:tcBorders>
              <w:top w:val="nil"/>
              <w:left w:val="nil"/>
              <w:bottom w:val="double" w:sz="6" w:space="0" w:color="000000"/>
              <w:right w:val="nil"/>
            </w:tcBorders>
            <w:vAlign w:val="center"/>
            <w:hideMark/>
          </w:tcPr>
          <w:p w:rsidR="004C0FB8" w:rsidRPr="00942499" w:rsidRDefault="004C0FB8" w:rsidP="00A05C5F">
            <w:pPr>
              <w:suppressAutoHyphens w:val="0"/>
              <w:spacing w:before="0" w:after="0" w:line="240" w:lineRule="auto"/>
              <w:rPr>
                <w:rFonts w:ascii="Calibri Light" w:eastAsia="Times New Roman" w:hAnsi="Calibri Light" w:cs="Calibri Light"/>
                <w:color w:val="495965"/>
                <w:sz w:val="17"/>
                <w:szCs w:val="17"/>
                <w:lang w:val="en-AU" w:eastAsia="en-AU"/>
              </w:rPr>
            </w:pPr>
          </w:p>
        </w:tc>
        <w:tc>
          <w:tcPr>
            <w:tcW w:w="698" w:type="dxa"/>
            <w:vMerge/>
            <w:tcBorders>
              <w:top w:val="nil"/>
              <w:left w:val="nil"/>
              <w:bottom w:val="double" w:sz="6" w:space="0" w:color="000000"/>
              <w:right w:val="nil"/>
            </w:tcBorders>
            <w:vAlign w:val="center"/>
            <w:hideMark/>
          </w:tcPr>
          <w:p w:rsidR="004C0FB8" w:rsidRPr="00942499" w:rsidRDefault="004C0FB8" w:rsidP="00A05C5F">
            <w:pPr>
              <w:suppressAutoHyphens w:val="0"/>
              <w:spacing w:before="0" w:after="0" w:line="240" w:lineRule="auto"/>
              <w:rPr>
                <w:rFonts w:ascii="Calibri Light" w:eastAsia="Times New Roman" w:hAnsi="Calibri Light" w:cs="Calibri Light"/>
                <w:color w:val="495965"/>
                <w:sz w:val="17"/>
                <w:szCs w:val="17"/>
                <w:lang w:val="en-AU" w:eastAsia="en-AU"/>
              </w:rPr>
            </w:pPr>
          </w:p>
        </w:tc>
        <w:tc>
          <w:tcPr>
            <w:tcW w:w="698" w:type="dxa"/>
            <w:vMerge/>
            <w:tcBorders>
              <w:top w:val="nil"/>
              <w:left w:val="nil"/>
              <w:bottom w:val="double" w:sz="6" w:space="0" w:color="000000"/>
              <w:right w:val="nil"/>
            </w:tcBorders>
            <w:vAlign w:val="center"/>
            <w:hideMark/>
          </w:tcPr>
          <w:p w:rsidR="004C0FB8" w:rsidRPr="00942499" w:rsidRDefault="004C0FB8" w:rsidP="00A05C5F">
            <w:pPr>
              <w:suppressAutoHyphens w:val="0"/>
              <w:spacing w:before="0" w:after="0" w:line="240" w:lineRule="auto"/>
              <w:rPr>
                <w:rFonts w:ascii="Calibri Light" w:eastAsia="Times New Roman" w:hAnsi="Calibri Light" w:cs="Calibri Light"/>
                <w:color w:val="495965"/>
                <w:sz w:val="17"/>
                <w:szCs w:val="17"/>
                <w:lang w:val="en-AU" w:eastAsia="en-AU"/>
              </w:rPr>
            </w:pPr>
          </w:p>
        </w:tc>
        <w:tc>
          <w:tcPr>
            <w:tcW w:w="698" w:type="dxa"/>
            <w:vMerge/>
            <w:tcBorders>
              <w:top w:val="nil"/>
              <w:left w:val="nil"/>
              <w:bottom w:val="double" w:sz="6" w:space="0" w:color="000000"/>
              <w:right w:val="nil"/>
            </w:tcBorders>
            <w:vAlign w:val="center"/>
            <w:hideMark/>
          </w:tcPr>
          <w:p w:rsidR="004C0FB8" w:rsidRPr="00942499" w:rsidRDefault="004C0FB8" w:rsidP="00A05C5F">
            <w:pPr>
              <w:suppressAutoHyphens w:val="0"/>
              <w:spacing w:before="0" w:after="0" w:line="240" w:lineRule="auto"/>
              <w:rPr>
                <w:rFonts w:ascii="Calibri Light" w:eastAsia="Times New Roman" w:hAnsi="Calibri Light" w:cs="Calibri Light"/>
                <w:color w:val="495965"/>
                <w:sz w:val="17"/>
                <w:szCs w:val="17"/>
                <w:lang w:val="en-AU" w:eastAsia="en-AU"/>
              </w:rPr>
            </w:pPr>
          </w:p>
        </w:tc>
        <w:tc>
          <w:tcPr>
            <w:tcW w:w="698" w:type="dxa"/>
            <w:vMerge/>
            <w:tcBorders>
              <w:top w:val="nil"/>
              <w:left w:val="nil"/>
              <w:bottom w:val="double" w:sz="6" w:space="0" w:color="000000"/>
              <w:right w:val="nil"/>
            </w:tcBorders>
            <w:vAlign w:val="center"/>
            <w:hideMark/>
          </w:tcPr>
          <w:p w:rsidR="004C0FB8" w:rsidRPr="00942499" w:rsidRDefault="004C0FB8" w:rsidP="00A05C5F">
            <w:pPr>
              <w:suppressAutoHyphens w:val="0"/>
              <w:spacing w:before="0" w:after="0" w:line="240" w:lineRule="auto"/>
              <w:rPr>
                <w:rFonts w:ascii="Calibri Light" w:eastAsia="Times New Roman" w:hAnsi="Calibri Light" w:cs="Calibri Light"/>
                <w:color w:val="495965"/>
                <w:sz w:val="17"/>
                <w:szCs w:val="17"/>
                <w:lang w:val="en-AU" w:eastAsia="en-AU"/>
              </w:rPr>
            </w:pPr>
          </w:p>
        </w:tc>
        <w:tc>
          <w:tcPr>
            <w:tcW w:w="955" w:type="dxa"/>
            <w:vMerge/>
            <w:tcBorders>
              <w:top w:val="nil"/>
              <w:left w:val="nil"/>
              <w:bottom w:val="double" w:sz="6" w:space="0" w:color="000000"/>
              <w:right w:val="nil"/>
            </w:tcBorders>
            <w:vAlign w:val="center"/>
            <w:hideMark/>
          </w:tcPr>
          <w:p w:rsidR="004C0FB8" w:rsidRPr="00942499" w:rsidRDefault="004C0FB8" w:rsidP="00A05C5F">
            <w:pPr>
              <w:suppressAutoHyphens w:val="0"/>
              <w:spacing w:before="0" w:after="0" w:line="240" w:lineRule="auto"/>
              <w:rPr>
                <w:rFonts w:ascii="Calibri Light" w:eastAsia="Times New Roman" w:hAnsi="Calibri Light" w:cs="Calibri Light"/>
                <w:color w:val="495965"/>
                <w:sz w:val="17"/>
                <w:szCs w:val="17"/>
                <w:lang w:val="en-AU" w:eastAsia="en-AU"/>
              </w:rPr>
            </w:pPr>
          </w:p>
        </w:tc>
      </w:tr>
    </w:tbl>
    <w:p w:rsidR="004C0FB8" w:rsidRPr="00812509" w:rsidRDefault="004C0FB8" w:rsidP="004C0FB8">
      <w:pPr>
        <w:spacing w:before="20" w:after="20" w:line="180" w:lineRule="atLeast"/>
        <w:jc w:val="both"/>
        <w:rPr>
          <w:rFonts w:eastAsia="Times New Roman"/>
          <w:b/>
          <w:sz w:val="14"/>
          <w:szCs w:val="14"/>
        </w:rPr>
      </w:pPr>
    </w:p>
    <w:p w:rsidR="004C0FB8" w:rsidRPr="00812509" w:rsidRDefault="004C0FB8" w:rsidP="004C0FB8">
      <w:pPr>
        <w:spacing w:before="20" w:after="20" w:line="180" w:lineRule="atLeast"/>
        <w:jc w:val="both"/>
        <w:rPr>
          <w:rFonts w:eastAsia="Times New Roman"/>
          <w:b/>
          <w:sz w:val="16"/>
          <w:szCs w:val="14"/>
        </w:rPr>
      </w:pPr>
      <w:r>
        <w:rPr>
          <w:rFonts w:eastAsia="Times New Roman"/>
          <w:b/>
          <w:sz w:val="16"/>
          <w:szCs w:val="14"/>
        </w:rPr>
        <w:t>Definitions of rating scale:</w:t>
      </w:r>
    </w:p>
    <w:p w:rsidR="004C0FB8" w:rsidRPr="00812509" w:rsidRDefault="004C0FB8" w:rsidP="004C0FB8">
      <w:pPr>
        <w:spacing w:before="20" w:after="20" w:line="180" w:lineRule="atLeast"/>
        <w:jc w:val="both"/>
        <w:rPr>
          <w:rFonts w:eastAsia="Times New Roman"/>
          <w:b/>
          <w:sz w:val="16"/>
          <w:szCs w:val="14"/>
        </w:rPr>
      </w:pPr>
      <w:r w:rsidRPr="00812509">
        <w:rPr>
          <w:rFonts w:eastAsia="Times New Roman"/>
          <w:b/>
          <w:sz w:val="16"/>
          <w:szCs w:val="14"/>
        </w:rPr>
        <w:t>Satisfactory (4, 5 and 6)</w:t>
      </w:r>
    </w:p>
    <w:p w:rsidR="004C0FB8" w:rsidRPr="00812509" w:rsidRDefault="004C0FB8" w:rsidP="004C0FB8">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6 = Very good; satisfies criteria in all areas.  </w:t>
      </w:r>
      <w:r w:rsidRPr="00812509">
        <w:rPr>
          <w:rFonts w:eastAsia="Times New Roman"/>
          <w:b/>
          <w:color w:val="72AF2F"/>
          <w:sz w:val="16"/>
          <w:szCs w:val="14"/>
        </w:rPr>
        <w:sym w:font="Webdings" w:char="F067"/>
      </w:r>
      <w:r w:rsidRPr="00812509">
        <w:rPr>
          <w:rFonts w:eastAsia="Times New Roman"/>
          <w:b/>
          <w:sz w:val="16"/>
          <w:szCs w:val="14"/>
        </w:rPr>
        <w:t xml:space="preserve"> 5 = Good; satisfies criteria in almost all areas.</w:t>
      </w:r>
    </w:p>
    <w:p w:rsidR="004C0FB8" w:rsidRPr="00812509" w:rsidRDefault="004C0FB8" w:rsidP="004C0FB8">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p>
    <w:p w:rsidR="004C0FB8" w:rsidRPr="00812509" w:rsidRDefault="004C0FB8" w:rsidP="004C0FB8">
      <w:pPr>
        <w:spacing w:before="20" w:after="20" w:line="180" w:lineRule="atLeast"/>
        <w:rPr>
          <w:rFonts w:eastAsia="Times New Roman"/>
          <w:b/>
          <w:sz w:val="16"/>
          <w:szCs w:val="14"/>
        </w:rPr>
      </w:pPr>
      <w:r w:rsidRPr="00812509">
        <w:rPr>
          <w:rFonts w:eastAsia="Times New Roman"/>
          <w:b/>
          <w:sz w:val="16"/>
          <w:szCs w:val="14"/>
        </w:rPr>
        <w:t>Less than satisfactory (1, 2 and 3)</w:t>
      </w:r>
    </w:p>
    <w:p w:rsidR="004C0FB8" w:rsidRPr="00812509" w:rsidRDefault="004C0FB8" w:rsidP="004C0FB8">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rsidR="00A8197B" w:rsidRPr="004C0FB8" w:rsidRDefault="004C0FB8" w:rsidP="004C0FB8">
      <w:pPr>
        <w:spacing w:before="20" w:after="20" w:line="180" w:lineRule="atLeast"/>
        <w:rPr>
          <w:sz w:val="24"/>
        </w:rPr>
      </w:pP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  </w:t>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p>
    <w:p w:rsidR="00C41F04" w:rsidRDefault="00C41F04">
      <w:pPr>
        <w:suppressAutoHyphens w:val="0"/>
        <w:spacing w:before="0" w:after="120" w:line="440" w:lineRule="atLeast"/>
        <w:sectPr w:rsidR="00C41F04" w:rsidSect="00DC248A">
          <w:headerReference w:type="default" r:id="rId31"/>
          <w:pgSz w:w="16838" w:h="11906" w:orient="landscape" w:code="9"/>
          <w:pgMar w:top="1134" w:right="1527" w:bottom="1134" w:left="851" w:header="1418" w:footer="192" w:gutter="0"/>
          <w:cols w:space="397"/>
          <w:docGrid w:linePitch="360"/>
        </w:sectPr>
      </w:pPr>
    </w:p>
    <w:p w:rsidR="00184F1E" w:rsidRPr="00EF26B5" w:rsidRDefault="00184F1E" w:rsidP="00BB648A">
      <w:pPr>
        <w:pStyle w:val="Subtitle"/>
        <w:spacing w:before="360" w:after="120" w:line="300" w:lineRule="exact"/>
        <w:rPr>
          <w:rFonts w:asciiTheme="majorHAnsi" w:hAnsiTheme="majorHAnsi" w:cstheme="majorHAnsi"/>
          <w:bCs w:val="0"/>
          <w:iCs w:val="0"/>
          <w:caps w:val="0"/>
        </w:rPr>
      </w:pPr>
      <w:r w:rsidRPr="00EF26B5">
        <w:rPr>
          <w:rFonts w:asciiTheme="majorHAnsi" w:hAnsiTheme="majorHAnsi" w:cstheme="majorHAnsi"/>
        </w:rPr>
        <w:lastRenderedPageBreak/>
        <w:t>Annex E – Performance Assessment Framework</w:t>
      </w:r>
    </w:p>
    <w:tbl>
      <w:tblPr>
        <w:tblW w:w="14400" w:type="dxa"/>
        <w:tblLook w:val="04A0" w:firstRow="1" w:lastRow="0" w:firstColumn="1" w:lastColumn="0" w:noHBand="0" w:noVBand="1"/>
      </w:tblPr>
      <w:tblGrid>
        <w:gridCol w:w="4341"/>
        <w:gridCol w:w="1220"/>
        <w:gridCol w:w="1220"/>
        <w:gridCol w:w="1220"/>
        <w:gridCol w:w="1291"/>
        <w:gridCol w:w="1220"/>
        <w:gridCol w:w="3888"/>
      </w:tblGrid>
      <w:tr w:rsidR="00702DCD" w:rsidRPr="00702DCD" w:rsidTr="0003213D">
        <w:trPr>
          <w:trHeight w:val="720"/>
          <w:tblHeader/>
        </w:trPr>
        <w:tc>
          <w:tcPr>
            <w:tcW w:w="4341" w:type="dxa"/>
            <w:tcBorders>
              <w:top w:val="single" w:sz="8" w:space="0" w:color="000000"/>
              <w:left w:val="nil"/>
              <w:bottom w:val="nil"/>
              <w:right w:val="nil"/>
            </w:tcBorders>
            <w:shd w:val="clear" w:color="auto" w:fill="auto"/>
            <w:vAlign w:val="center"/>
            <w:hideMark/>
          </w:tcPr>
          <w:p w:rsidR="00702DCD" w:rsidRPr="00702DCD" w:rsidRDefault="00702DCD" w:rsidP="008F53E9">
            <w:pPr>
              <w:suppressAutoHyphens w:val="0"/>
              <w:spacing w:before="0" w:after="0" w:line="240" w:lineRule="auto"/>
              <w:rPr>
                <w:rFonts w:ascii="Calibri" w:eastAsia="Times New Roman" w:hAnsi="Calibri" w:cs="Calibri"/>
                <w:b/>
                <w:bCs/>
                <w:color w:val="auto"/>
                <w:sz w:val="18"/>
                <w:szCs w:val="18"/>
                <w:lang w:val="en-AU" w:eastAsia="en-AU"/>
              </w:rPr>
            </w:pPr>
            <w:r w:rsidRPr="00702DCD">
              <w:rPr>
                <w:rFonts w:ascii="Calibri" w:eastAsia="Times New Roman" w:hAnsi="Calibri" w:cs="Calibri"/>
                <w:b/>
                <w:bCs/>
                <w:color w:val="auto"/>
                <w:sz w:val="18"/>
                <w:szCs w:val="18"/>
                <w:lang w:eastAsia="en-AU"/>
              </w:rPr>
              <w:t>Strategic Development Objective 1</w:t>
            </w:r>
          </w:p>
        </w:tc>
        <w:tc>
          <w:tcPr>
            <w:tcW w:w="10059" w:type="dxa"/>
            <w:gridSpan w:val="6"/>
            <w:tcBorders>
              <w:top w:val="single" w:sz="8" w:space="0" w:color="000000"/>
              <w:left w:val="nil"/>
              <w:bottom w:val="nil"/>
              <w:right w:val="nil"/>
            </w:tcBorders>
            <w:shd w:val="clear" w:color="auto" w:fill="auto"/>
            <w:vAlign w:val="center"/>
            <w:hideMark/>
          </w:tcPr>
          <w:p w:rsidR="00702DCD" w:rsidRPr="00702DCD" w:rsidRDefault="00702DCD" w:rsidP="008F53E9">
            <w:pPr>
              <w:suppressAutoHyphens w:val="0"/>
              <w:spacing w:before="0" w:after="0" w:line="240" w:lineRule="auto"/>
              <w:rPr>
                <w:rFonts w:ascii="Calibri" w:eastAsia="Times New Roman" w:hAnsi="Calibri" w:cs="Calibri"/>
                <w:b/>
                <w:bCs/>
                <w:color w:val="auto"/>
                <w:sz w:val="18"/>
                <w:szCs w:val="18"/>
                <w:lang w:val="en-AU" w:eastAsia="en-AU"/>
              </w:rPr>
            </w:pPr>
            <w:r w:rsidRPr="00702DCD">
              <w:rPr>
                <w:rFonts w:ascii="Calibri" w:eastAsia="Times New Roman" w:hAnsi="Calibri" w:cs="Calibri"/>
                <w:b/>
                <w:bCs/>
                <w:color w:val="auto"/>
                <w:sz w:val="18"/>
                <w:szCs w:val="18"/>
                <w:lang w:eastAsia="en-AU"/>
              </w:rPr>
              <w:t>Building resilient infrastructure and an environment for economic opportunity [31% Bilateral ODA in 2018-19]</w:t>
            </w:r>
          </w:p>
        </w:tc>
      </w:tr>
      <w:tr w:rsidR="00702DCD" w:rsidRPr="00702DCD" w:rsidTr="0003213D">
        <w:trPr>
          <w:trHeight w:val="300"/>
          <w:tblHeader/>
        </w:trPr>
        <w:tc>
          <w:tcPr>
            <w:tcW w:w="4341" w:type="dxa"/>
            <w:vMerge w:val="restart"/>
            <w:tcBorders>
              <w:top w:val="nil"/>
              <w:left w:val="nil"/>
              <w:bottom w:val="nil"/>
              <w:right w:val="nil"/>
            </w:tcBorders>
            <w:shd w:val="clear" w:color="auto" w:fill="auto"/>
            <w:vAlign w:val="center"/>
            <w:hideMark/>
          </w:tcPr>
          <w:p w:rsidR="00702DCD" w:rsidRPr="00702DCD" w:rsidRDefault="00702DCD" w:rsidP="008F53E9">
            <w:pPr>
              <w:suppressAutoHyphens w:val="0"/>
              <w:spacing w:before="0" w:after="0" w:line="240" w:lineRule="auto"/>
              <w:rPr>
                <w:rFonts w:ascii="Calibri" w:eastAsia="Times New Roman" w:hAnsi="Calibri" w:cs="Calibri"/>
                <w:b/>
                <w:bCs/>
                <w:color w:val="auto"/>
                <w:sz w:val="18"/>
                <w:szCs w:val="18"/>
                <w:lang w:val="en-AU" w:eastAsia="en-AU"/>
              </w:rPr>
            </w:pPr>
            <w:r w:rsidRPr="00702DCD">
              <w:rPr>
                <w:rFonts w:ascii="Calibri" w:eastAsia="Times New Roman" w:hAnsi="Calibri" w:cs="Calibri"/>
                <w:b/>
                <w:bCs/>
                <w:color w:val="auto"/>
                <w:sz w:val="18"/>
                <w:szCs w:val="18"/>
                <w:lang w:eastAsia="en-AU"/>
              </w:rPr>
              <w:t>Indicators</w:t>
            </w:r>
          </w:p>
        </w:tc>
        <w:tc>
          <w:tcPr>
            <w:tcW w:w="1220" w:type="dxa"/>
            <w:tcBorders>
              <w:top w:val="nil"/>
              <w:left w:val="nil"/>
              <w:bottom w:val="nil"/>
              <w:right w:val="nil"/>
            </w:tcBorders>
            <w:shd w:val="clear" w:color="auto" w:fill="auto"/>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702DCD">
              <w:rPr>
                <w:rFonts w:ascii="Calibri" w:eastAsia="Times New Roman" w:hAnsi="Calibri" w:cs="Calibri"/>
                <w:b/>
                <w:bCs/>
                <w:color w:val="auto"/>
                <w:sz w:val="18"/>
                <w:szCs w:val="18"/>
                <w:lang w:eastAsia="en-AU"/>
              </w:rPr>
              <w:t>2015–16</w:t>
            </w:r>
          </w:p>
        </w:tc>
        <w:tc>
          <w:tcPr>
            <w:tcW w:w="1220" w:type="dxa"/>
            <w:tcBorders>
              <w:top w:val="nil"/>
              <w:left w:val="nil"/>
              <w:bottom w:val="nil"/>
              <w:right w:val="nil"/>
            </w:tcBorders>
            <w:shd w:val="clear" w:color="auto" w:fill="auto"/>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702DCD">
              <w:rPr>
                <w:rFonts w:ascii="Calibri" w:eastAsia="Times New Roman" w:hAnsi="Calibri" w:cs="Calibri"/>
                <w:b/>
                <w:bCs/>
                <w:color w:val="auto"/>
                <w:sz w:val="18"/>
                <w:szCs w:val="18"/>
                <w:lang w:eastAsia="en-AU"/>
              </w:rPr>
              <w:t>2016–17</w:t>
            </w:r>
          </w:p>
        </w:tc>
        <w:tc>
          <w:tcPr>
            <w:tcW w:w="1220" w:type="dxa"/>
            <w:tcBorders>
              <w:top w:val="nil"/>
              <w:left w:val="nil"/>
              <w:bottom w:val="nil"/>
              <w:right w:val="nil"/>
            </w:tcBorders>
            <w:shd w:val="clear" w:color="auto" w:fill="auto"/>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702DCD">
              <w:rPr>
                <w:rFonts w:ascii="Calibri" w:eastAsia="Times New Roman" w:hAnsi="Calibri" w:cs="Calibri"/>
                <w:b/>
                <w:bCs/>
                <w:color w:val="auto"/>
                <w:sz w:val="18"/>
                <w:szCs w:val="18"/>
                <w:lang w:eastAsia="en-AU"/>
              </w:rPr>
              <w:t>2017–18</w:t>
            </w:r>
          </w:p>
        </w:tc>
        <w:tc>
          <w:tcPr>
            <w:tcW w:w="1291" w:type="dxa"/>
            <w:tcBorders>
              <w:top w:val="nil"/>
              <w:left w:val="nil"/>
              <w:bottom w:val="nil"/>
              <w:right w:val="nil"/>
            </w:tcBorders>
            <w:shd w:val="clear" w:color="auto" w:fill="auto"/>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702DCD">
              <w:rPr>
                <w:rFonts w:ascii="Calibri" w:eastAsia="Times New Roman" w:hAnsi="Calibri" w:cs="Calibri"/>
                <w:b/>
                <w:bCs/>
                <w:color w:val="auto"/>
                <w:sz w:val="18"/>
                <w:szCs w:val="18"/>
                <w:lang w:eastAsia="en-AU"/>
              </w:rPr>
              <w:t xml:space="preserve">2018-19 </w:t>
            </w:r>
          </w:p>
        </w:tc>
        <w:tc>
          <w:tcPr>
            <w:tcW w:w="1220" w:type="dxa"/>
            <w:tcBorders>
              <w:top w:val="nil"/>
              <w:left w:val="nil"/>
              <w:bottom w:val="nil"/>
              <w:right w:val="nil"/>
            </w:tcBorders>
            <w:shd w:val="clear" w:color="auto" w:fill="auto"/>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702DCD">
              <w:rPr>
                <w:rFonts w:ascii="Calibri" w:eastAsia="Times New Roman" w:hAnsi="Calibri" w:cs="Calibri"/>
                <w:b/>
                <w:bCs/>
                <w:color w:val="auto"/>
                <w:sz w:val="18"/>
                <w:szCs w:val="18"/>
                <w:lang w:val="en-AU" w:eastAsia="en-AU"/>
              </w:rPr>
              <w:t>2019-20</w:t>
            </w:r>
          </w:p>
        </w:tc>
        <w:tc>
          <w:tcPr>
            <w:tcW w:w="3888" w:type="dxa"/>
            <w:vMerge w:val="restart"/>
            <w:tcBorders>
              <w:top w:val="nil"/>
              <w:left w:val="nil"/>
              <w:bottom w:val="nil"/>
              <w:right w:val="nil"/>
            </w:tcBorders>
            <w:shd w:val="clear" w:color="auto" w:fill="auto"/>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702DCD">
              <w:rPr>
                <w:rFonts w:ascii="Calibri" w:eastAsia="Times New Roman" w:hAnsi="Calibri" w:cs="Calibri"/>
                <w:b/>
                <w:bCs/>
                <w:color w:val="auto"/>
                <w:sz w:val="18"/>
                <w:szCs w:val="18"/>
                <w:lang w:eastAsia="en-AU"/>
              </w:rPr>
              <w:t>Data sources</w:t>
            </w:r>
          </w:p>
        </w:tc>
      </w:tr>
      <w:tr w:rsidR="00702DCD" w:rsidRPr="00702DCD" w:rsidTr="0003213D">
        <w:trPr>
          <w:trHeight w:val="300"/>
        </w:trPr>
        <w:tc>
          <w:tcPr>
            <w:tcW w:w="4341"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b/>
                <w:bCs/>
                <w:color w:val="auto"/>
                <w:sz w:val="18"/>
                <w:szCs w:val="18"/>
                <w:lang w:val="en-AU" w:eastAsia="en-AU"/>
              </w:rPr>
            </w:pPr>
          </w:p>
        </w:tc>
        <w:tc>
          <w:tcPr>
            <w:tcW w:w="1220" w:type="dxa"/>
            <w:tcBorders>
              <w:top w:val="nil"/>
              <w:left w:val="nil"/>
              <w:bottom w:val="nil"/>
              <w:right w:val="nil"/>
            </w:tcBorders>
            <w:shd w:val="clear" w:color="auto" w:fill="auto"/>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702DCD">
              <w:rPr>
                <w:rFonts w:ascii="Calibri" w:eastAsia="Times New Roman" w:hAnsi="Calibri" w:cs="Calibri"/>
                <w:b/>
                <w:bCs/>
                <w:color w:val="auto"/>
                <w:sz w:val="18"/>
                <w:szCs w:val="18"/>
                <w:lang w:eastAsia="en-AU"/>
              </w:rPr>
              <w:t>Baseline</w:t>
            </w:r>
          </w:p>
        </w:tc>
        <w:tc>
          <w:tcPr>
            <w:tcW w:w="1220" w:type="dxa"/>
            <w:tcBorders>
              <w:top w:val="nil"/>
              <w:left w:val="nil"/>
              <w:bottom w:val="nil"/>
              <w:right w:val="nil"/>
            </w:tcBorders>
            <w:shd w:val="clear" w:color="auto" w:fill="auto"/>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702DCD">
              <w:rPr>
                <w:rFonts w:ascii="Calibri" w:eastAsia="Times New Roman" w:hAnsi="Calibri" w:cs="Calibri"/>
                <w:b/>
                <w:bCs/>
                <w:color w:val="auto"/>
                <w:sz w:val="18"/>
                <w:szCs w:val="18"/>
                <w:lang w:eastAsia="en-AU"/>
              </w:rPr>
              <w:t>Result</w:t>
            </w:r>
          </w:p>
        </w:tc>
        <w:tc>
          <w:tcPr>
            <w:tcW w:w="1220" w:type="dxa"/>
            <w:tcBorders>
              <w:top w:val="nil"/>
              <w:left w:val="nil"/>
              <w:bottom w:val="nil"/>
              <w:right w:val="nil"/>
            </w:tcBorders>
            <w:shd w:val="clear" w:color="auto" w:fill="auto"/>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702DCD">
              <w:rPr>
                <w:rFonts w:ascii="Calibri" w:eastAsia="Times New Roman" w:hAnsi="Calibri" w:cs="Calibri"/>
                <w:b/>
                <w:bCs/>
                <w:color w:val="auto"/>
                <w:sz w:val="18"/>
                <w:szCs w:val="18"/>
                <w:lang w:eastAsia="en-AU"/>
              </w:rPr>
              <w:t>Result</w:t>
            </w:r>
          </w:p>
        </w:tc>
        <w:tc>
          <w:tcPr>
            <w:tcW w:w="1291" w:type="dxa"/>
            <w:tcBorders>
              <w:top w:val="nil"/>
              <w:left w:val="nil"/>
              <w:bottom w:val="nil"/>
              <w:right w:val="nil"/>
            </w:tcBorders>
            <w:shd w:val="clear" w:color="auto" w:fill="auto"/>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702DCD">
              <w:rPr>
                <w:rFonts w:ascii="Calibri" w:eastAsia="Times New Roman" w:hAnsi="Calibri" w:cs="Calibri"/>
                <w:b/>
                <w:bCs/>
                <w:color w:val="auto"/>
                <w:sz w:val="18"/>
                <w:szCs w:val="18"/>
                <w:lang w:eastAsia="en-AU"/>
              </w:rPr>
              <w:t>Result</w:t>
            </w:r>
            <w:r w:rsidR="001206E6">
              <w:rPr>
                <w:rFonts w:ascii="Calibri" w:eastAsia="Times New Roman" w:hAnsi="Calibri" w:cs="Calibri"/>
                <w:b/>
                <w:bCs/>
                <w:color w:val="auto"/>
                <w:sz w:val="18"/>
                <w:szCs w:val="18"/>
                <w:lang w:eastAsia="en-AU"/>
              </w:rPr>
              <w:t xml:space="preserve"> (Target)</w:t>
            </w:r>
          </w:p>
        </w:tc>
        <w:tc>
          <w:tcPr>
            <w:tcW w:w="1220" w:type="dxa"/>
            <w:tcBorders>
              <w:top w:val="nil"/>
              <w:left w:val="nil"/>
              <w:bottom w:val="nil"/>
              <w:right w:val="nil"/>
            </w:tcBorders>
            <w:shd w:val="clear" w:color="auto" w:fill="auto"/>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702DCD">
              <w:rPr>
                <w:rFonts w:ascii="Calibri" w:eastAsia="Times New Roman" w:hAnsi="Calibri" w:cs="Calibri"/>
                <w:b/>
                <w:bCs/>
                <w:color w:val="auto"/>
                <w:sz w:val="18"/>
                <w:szCs w:val="18"/>
                <w:lang w:val="en-AU" w:eastAsia="en-AU"/>
              </w:rPr>
              <w:t>Target</w:t>
            </w:r>
          </w:p>
        </w:tc>
        <w:tc>
          <w:tcPr>
            <w:tcW w:w="3888"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b/>
                <w:bCs/>
                <w:color w:val="auto"/>
                <w:sz w:val="18"/>
                <w:szCs w:val="18"/>
                <w:lang w:val="en-AU" w:eastAsia="en-AU"/>
              </w:rPr>
            </w:pPr>
          </w:p>
        </w:tc>
      </w:tr>
      <w:tr w:rsidR="00702DCD" w:rsidRPr="00702DCD" w:rsidTr="0003213D">
        <w:trPr>
          <w:trHeight w:val="600"/>
        </w:trPr>
        <w:tc>
          <w:tcPr>
            <w:tcW w:w="4341" w:type="dxa"/>
            <w:tcBorders>
              <w:top w:val="nil"/>
              <w:left w:val="nil"/>
              <w:bottom w:val="nil"/>
              <w:right w:val="nil"/>
            </w:tcBorders>
            <w:shd w:val="clear" w:color="000000" w:fill="DBDBDB"/>
            <w:vAlign w:val="center"/>
            <w:hideMark/>
          </w:tcPr>
          <w:p w:rsidR="00702DCD" w:rsidRPr="00C72B14" w:rsidRDefault="00061287" w:rsidP="00C72B14">
            <w:pPr>
              <w:suppressAutoHyphens w:val="0"/>
              <w:spacing w:before="0" w:after="0" w:line="240" w:lineRule="auto"/>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 xml:space="preserve">1.1: </w:t>
            </w:r>
            <w:r w:rsidR="00702DCD" w:rsidRPr="00C72B14">
              <w:rPr>
                <w:rFonts w:ascii="Calibri" w:eastAsia="Times New Roman" w:hAnsi="Calibri" w:cs="Calibri"/>
                <w:color w:val="auto"/>
                <w:sz w:val="18"/>
                <w:szCs w:val="18"/>
                <w:lang w:eastAsia="en-AU"/>
              </w:rPr>
              <w:footnoteReference w:customMarkFollows="1" w:id="12"/>
              <w:t>An</w:t>
            </w:r>
            <w:r w:rsidR="00C72B14">
              <w:rPr>
                <w:rFonts w:ascii="Calibri" w:eastAsia="Times New Roman" w:hAnsi="Calibri" w:cs="Calibri"/>
                <w:color w:val="auto"/>
                <w:sz w:val="18"/>
                <w:szCs w:val="18"/>
                <w:lang w:eastAsia="en-AU"/>
              </w:rPr>
              <w:t>nual change in VAT revenue (%)</w:t>
            </w:r>
            <w:r w:rsidR="00C72B14">
              <w:rPr>
                <w:rStyle w:val="FootnoteReference"/>
                <w:rFonts w:ascii="Calibri" w:eastAsia="Times New Roman" w:hAnsi="Calibri" w:cs="Calibri"/>
                <w:color w:val="auto"/>
                <w:sz w:val="18"/>
                <w:szCs w:val="18"/>
                <w:lang w:eastAsia="en-AU"/>
              </w:rPr>
              <w:footnoteReference w:id="13"/>
            </w:r>
          </w:p>
        </w:tc>
        <w:tc>
          <w:tcPr>
            <w:tcW w:w="1220" w:type="dxa"/>
            <w:tcBorders>
              <w:top w:val="nil"/>
              <w:left w:val="nil"/>
              <w:bottom w:val="nil"/>
              <w:right w:val="nil"/>
            </w:tcBorders>
            <w:shd w:val="clear" w:color="000000" w:fill="DBDBDB"/>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VUV6 Billion</w:t>
            </w:r>
          </w:p>
        </w:tc>
        <w:tc>
          <w:tcPr>
            <w:tcW w:w="1220" w:type="dxa"/>
            <w:tcBorders>
              <w:top w:val="nil"/>
              <w:left w:val="nil"/>
              <w:bottom w:val="nil"/>
              <w:right w:val="nil"/>
            </w:tcBorders>
            <w:shd w:val="clear" w:color="000000" w:fill="DBDBDB"/>
            <w:vAlign w:val="center"/>
            <w:hideMark/>
          </w:tcPr>
          <w:p w:rsidR="00702DCD" w:rsidRPr="00702DCD" w:rsidRDefault="00702DCD" w:rsidP="008F53E9">
            <w:pPr>
              <w:suppressAutoHyphens w:val="0"/>
              <w:spacing w:before="0" w:after="0" w:line="240" w:lineRule="auto"/>
              <w:jc w:val="right"/>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17.30%</w:t>
            </w:r>
          </w:p>
        </w:tc>
        <w:tc>
          <w:tcPr>
            <w:tcW w:w="1220" w:type="dxa"/>
            <w:tcBorders>
              <w:top w:val="nil"/>
              <w:left w:val="nil"/>
              <w:bottom w:val="nil"/>
              <w:right w:val="nil"/>
            </w:tcBorders>
            <w:shd w:val="clear" w:color="000000" w:fill="DBDBDB"/>
            <w:vAlign w:val="center"/>
            <w:hideMark/>
          </w:tcPr>
          <w:p w:rsidR="00702DCD" w:rsidRPr="00702DCD" w:rsidRDefault="00702DCD" w:rsidP="008F53E9">
            <w:pPr>
              <w:suppressAutoHyphens w:val="0"/>
              <w:spacing w:before="0" w:after="0" w:line="240" w:lineRule="auto"/>
              <w:jc w:val="right"/>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19.20%</w:t>
            </w:r>
          </w:p>
        </w:tc>
        <w:tc>
          <w:tcPr>
            <w:tcW w:w="1291" w:type="dxa"/>
            <w:tcBorders>
              <w:top w:val="nil"/>
              <w:left w:val="nil"/>
              <w:bottom w:val="nil"/>
              <w:right w:val="nil"/>
            </w:tcBorders>
            <w:shd w:val="clear" w:color="000000" w:fill="DBDBDB"/>
            <w:vAlign w:val="center"/>
            <w:hideMark/>
          </w:tcPr>
          <w:p w:rsidR="00702DCD" w:rsidRPr="00B83D47" w:rsidRDefault="001206E6" w:rsidP="008F53E9">
            <w:pPr>
              <w:suppressAutoHyphens w:val="0"/>
              <w:spacing w:before="0" w:after="0" w:line="240" w:lineRule="auto"/>
              <w:jc w:val="right"/>
              <w:rPr>
                <w:rFonts w:ascii="Calibri" w:eastAsia="Times New Roman" w:hAnsi="Calibri" w:cs="Calibri"/>
                <w:color w:val="auto"/>
                <w:sz w:val="18"/>
                <w:szCs w:val="18"/>
                <w:lang w:val="en-AU" w:eastAsia="en-AU"/>
              </w:rPr>
            </w:pPr>
            <w:r w:rsidRPr="00B83D47">
              <w:rPr>
                <w:rFonts w:ascii="Calibri" w:eastAsia="Times New Roman" w:hAnsi="Calibri" w:cs="Calibri"/>
                <w:color w:val="auto"/>
                <w:sz w:val="18"/>
                <w:szCs w:val="18"/>
                <w:lang w:eastAsia="en-AU"/>
              </w:rPr>
              <w:t xml:space="preserve"> 20% (</w:t>
            </w:r>
            <w:r w:rsidR="00702DCD" w:rsidRPr="00B83D47">
              <w:rPr>
                <w:rFonts w:ascii="Calibri" w:eastAsia="Times New Roman" w:hAnsi="Calibri" w:cs="Calibri"/>
                <w:color w:val="auto"/>
                <w:sz w:val="18"/>
                <w:szCs w:val="18"/>
                <w:lang w:eastAsia="en-AU"/>
              </w:rPr>
              <w:t>9.30%</w:t>
            </w:r>
            <w:r w:rsidRPr="00B83D47">
              <w:rPr>
                <w:rFonts w:ascii="Calibri" w:eastAsia="Times New Roman" w:hAnsi="Calibri" w:cs="Calibri"/>
                <w:color w:val="auto"/>
                <w:sz w:val="18"/>
                <w:szCs w:val="18"/>
                <w:lang w:eastAsia="en-AU"/>
              </w:rPr>
              <w:t>)</w:t>
            </w:r>
          </w:p>
        </w:tc>
        <w:tc>
          <w:tcPr>
            <w:tcW w:w="1220" w:type="dxa"/>
            <w:tcBorders>
              <w:top w:val="nil"/>
              <w:left w:val="nil"/>
              <w:bottom w:val="nil"/>
              <w:right w:val="nil"/>
            </w:tcBorders>
            <w:shd w:val="clear" w:color="000000" w:fill="DBDBDB"/>
            <w:vAlign w:val="center"/>
            <w:hideMark/>
          </w:tcPr>
          <w:p w:rsidR="00702DCD" w:rsidRPr="009648E9" w:rsidRDefault="00702DCD" w:rsidP="00DC248A">
            <w:pPr>
              <w:suppressAutoHyphens w:val="0"/>
              <w:spacing w:before="0" w:after="0" w:line="240" w:lineRule="auto"/>
              <w:jc w:val="center"/>
              <w:rPr>
                <w:rFonts w:ascii="Calibri" w:eastAsia="Times New Roman" w:hAnsi="Calibri" w:cs="Calibri"/>
                <w:color w:val="auto"/>
                <w:sz w:val="18"/>
                <w:szCs w:val="18"/>
                <w:lang w:val="en-AU" w:eastAsia="en-AU"/>
              </w:rPr>
            </w:pPr>
            <w:r w:rsidRPr="009648E9">
              <w:rPr>
                <w:rFonts w:ascii="Calibri" w:eastAsia="Times New Roman" w:hAnsi="Calibri" w:cs="Calibri"/>
                <w:color w:val="auto"/>
                <w:sz w:val="18"/>
                <w:szCs w:val="18"/>
                <w:lang w:val="en-AU" w:eastAsia="en-AU"/>
              </w:rPr>
              <w:t>7.00%</w:t>
            </w:r>
          </w:p>
        </w:tc>
        <w:tc>
          <w:tcPr>
            <w:tcW w:w="3888" w:type="dxa"/>
            <w:tcBorders>
              <w:top w:val="nil"/>
              <w:left w:val="nil"/>
              <w:bottom w:val="nil"/>
              <w:right w:val="nil"/>
            </w:tcBorders>
            <w:shd w:val="clear" w:color="000000" w:fill="DBDBDB"/>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Reserve Bank data, DCIR Monitoring Data &amp; MFEM GFS Tables plus GfG monitoring records from partners</w:t>
            </w:r>
          </w:p>
        </w:tc>
      </w:tr>
      <w:tr w:rsidR="00702DCD" w:rsidRPr="00702DCD" w:rsidTr="0003213D">
        <w:trPr>
          <w:trHeight w:val="600"/>
        </w:trPr>
        <w:tc>
          <w:tcPr>
            <w:tcW w:w="4341" w:type="dxa"/>
            <w:tcBorders>
              <w:top w:val="nil"/>
              <w:left w:val="nil"/>
              <w:bottom w:val="nil"/>
              <w:right w:val="nil"/>
            </w:tcBorders>
            <w:shd w:val="clear" w:color="000000" w:fill="DBDBDB"/>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u w:val="single"/>
                <w:lang w:val="en-AU" w:eastAsia="en-AU"/>
              </w:rPr>
            </w:pPr>
          </w:p>
        </w:tc>
        <w:tc>
          <w:tcPr>
            <w:tcW w:w="1220" w:type="dxa"/>
            <w:tcBorders>
              <w:top w:val="nil"/>
              <w:left w:val="nil"/>
              <w:bottom w:val="nil"/>
              <w:right w:val="nil"/>
            </w:tcBorders>
            <w:shd w:val="clear" w:color="000000" w:fill="DBDBDB"/>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[APPR 2016]</w:t>
            </w:r>
          </w:p>
        </w:tc>
        <w:tc>
          <w:tcPr>
            <w:tcW w:w="1220" w:type="dxa"/>
            <w:tcBorders>
              <w:top w:val="nil"/>
              <w:left w:val="nil"/>
              <w:bottom w:val="nil"/>
              <w:right w:val="nil"/>
            </w:tcBorders>
            <w:shd w:val="clear" w:color="000000" w:fill="DBDBDB"/>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val="en-AU" w:eastAsia="en-AU"/>
              </w:rPr>
              <w:t> </w:t>
            </w:r>
          </w:p>
        </w:tc>
        <w:tc>
          <w:tcPr>
            <w:tcW w:w="1220" w:type="dxa"/>
            <w:tcBorders>
              <w:top w:val="nil"/>
              <w:left w:val="nil"/>
              <w:bottom w:val="nil"/>
              <w:right w:val="nil"/>
            </w:tcBorders>
            <w:shd w:val="clear" w:color="000000" w:fill="DBDBDB"/>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val="en-AU" w:eastAsia="en-AU"/>
              </w:rPr>
              <w:t> </w:t>
            </w:r>
          </w:p>
        </w:tc>
        <w:tc>
          <w:tcPr>
            <w:tcW w:w="1291" w:type="dxa"/>
            <w:tcBorders>
              <w:top w:val="nil"/>
              <w:left w:val="nil"/>
              <w:bottom w:val="nil"/>
              <w:right w:val="nil"/>
            </w:tcBorders>
            <w:shd w:val="clear" w:color="000000" w:fill="DBDBDB"/>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val="en-AU" w:eastAsia="en-AU"/>
              </w:rPr>
              <w:t> </w:t>
            </w:r>
          </w:p>
        </w:tc>
        <w:tc>
          <w:tcPr>
            <w:tcW w:w="1220" w:type="dxa"/>
            <w:tcBorders>
              <w:top w:val="nil"/>
              <w:left w:val="nil"/>
              <w:bottom w:val="nil"/>
              <w:right w:val="nil"/>
            </w:tcBorders>
            <w:shd w:val="clear" w:color="000000" w:fill="DBDBDB"/>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val="en-AU" w:eastAsia="en-AU"/>
              </w:rPr>
              <w:t> </w:t>
            </w:r>
          </w:p>
        </w:tc>
        <w:tc>
          <w:tcPr>
            <w:tcW w:w="3888" w:type="dxa"/>
            <w:tcBorders>
              <w:top w:val="nil"/>
              <w:left w:val="nil"/>
              <w:bottom w:val="nil"/>
              <w:right w:val="nil"/>
            </w:tcBorders>
            <w:shd w:val="clear" w:color="000000" w:fill="DBDBDB"/>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val="en-AU" w:eastAsia="en-AU"/>
              </w:rPr>
              <w:t> </w:t>
            </w:r>
          </w:p>
        </w:tc>
      </w:tr>
      <w:tr w:rsidR="00702DCD" w:rsidRPr="00702DCD" w:rsidTr="0003213D">
        <w:trPr>
          <w:trHeight w:val="300"/>
        </w:trPr>
        <w:tc>
          <w:tcPr>
            <w:tcW w:w="4341" w:type="dxa"/>
            <w:vMerge w:val="restart"/>
            <w:tcBorders>
              <w:top w:val="nil"/>
              <w:left w:val="nil"/>
              <w:bottom w:val="nil"/>
              <w:right w:val="nil"/>
            </w:tcBorders>
            <w:shd w:val="clear" w:color="000000" w:fill="BDD6EE"/>
            <w:vAlign w:val="center"/>
            <w:hideMark/>
          </w:tcPr>
          <w:p w:rsidR="00702DCD" w:rsidRPr="00702DCD" w:rsidRDefault="00061287" w:rsidP="008F53E9">
            <w:pPr>
              <w:suppressAutoHyphens w:val="0"/>
              <w:spacing w:before="0" w:after="0" w:line="240" w:lineRule="auto"/>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 xml:space="preserve">1.2: </w:t>
            </w:r>
            <w:r w:rsidR="00702DCD" w:rsidRPr="00702DCD">
              <w:rPr>
                <w:rFonts w:ascii="Calibri" w:eastAsia="Times New Roman" w:hAnsi="Calibri" w:cs="Calibri"/>
                <w:color w:val="auto"/>
                <w:sz w:val="18"/>
                <w:szCs w:val="18"/>
                <w:lang w:eastAsia="en-AU"/>
              </w:rPr>
              <w:t>Financial flows through Financial Service Bureaux (VUV)</w:t>
            </w:r>
          </w:p>
        </w:tc>
        <w:tc>
          <w:tcPr>
            <w:tcW w:w="1220" w:type="dxa"/>
            <w:vMerge w:val="restart"/>
            <w:tcBorders>
              <w:top w:val="nil"/>
              <w:left w:val="nil"/>
              <w:bottom w:val="nil"/>
              <w:right w:val="nil"/>
            </w:tcBorders>
            <w:shd w:val="clear" w:color="000000" w:fill="BDD6EE"/>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w:t>
            </w:r>
          </w:p>
        </w:tc>
        <w:tc>
          <w:tcPr>
            <w:tcW w:w="1220" w:type="dxa"/>
            <w:vMerge w:val="restart"/>
            <w:tcBorders>
              <w:top w:val="nil"/>
              <w:left w:val="nil"/>
              <w:bottom w:val="nil"/>
              <w:right w:val="nil"/>
            </w:tcBorders>
            <w:shd w:val="clear" w:color="000000" w:fill="BDD6EE"/>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VUV456m</w:t>
            </w:r>
          </w:p>
        </w:tc>
        <w:tc>
          <w:tcPr>
            <w:tcW w:w="1220" w:type="dxa"/>
            <w:vMerge w:val="restart"/>
            <w:tcBorders>
              <w:top w:val="nil"/>
              <w:left w:val="nil"/>
              <w:bottom w:val="nil"/>
              <w:right w:val="nil"/>
            </w:tcBorders>
            <w:shd w:val="clear" w:color="000000" w:fill="BDD6EE"/>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VUV629m</w:t>
            </w:r>
          </w:p>
        </w:tc>
        <w:tc>
          <w:tcPr>
            <w:tcW w:w="1291" w:type="dxa"/>
            <w:vMerge w:val="restart"/>
            <w:tcBorders>
              <w:top w:val="nil"/>
              <w:left w:val="nil"/>
              <w:bottom w:val="nil"/>
              <w:right w:val="nil"/>
            </w:tcBorders>
            <w:shd w:val="clear" w:color="000000" w:fill="BDD6EE"/>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VUV650m</w:t>
            </w:r>
            <w:r w:rsidR="001206E6">
              <w:rPr>
                <w:rFonts w:ascii="Calibri" w:eastAsia="Times New Roman" w:hAnsi="Calibri" w:cs="Calibri"/>
                <w:color w:val="auto"/>
                <w:sz w:val="18"/>
                <w:szCs w:val="18"/>
                <w:lang w:eastAsia="en-AU"/>
              </w:rPr>
              <w:t xml:space="preserve"> (VUV650m)</w:t>
            </w:r>
          </w:p>
        </w:tc>
        <w:tc>
          <w:tcPr>
            <w:tcW w:w="1220" w:type="dxa"/>
            <w:vMerge w:val="restart"/>
            <w:tcBorders>
              <w:top w:val="nil"/>
              <w:left w:val="nil"/>
              <w:bottom w:val="nil"/>
              <w:right w:val="nil"/>
            </w:tcBorders>
            <w:shd w:val="clear" w:color="000000" w:fill="BDD6EE"/>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val="en-AU" w:eastAsia="en-AU"/>
              </w:rPr>
              <w:t>VUV700m</w:t>
            </w:r>
          </w:p>
        </w:tc>
        <w:tc>
          <w:tcPr>
            <w:tcW w:w="3888" w:type="dxa"/>
            <w:tcBorders>
              <w:top w:val="nil"/>
              <w:left w:val="nil"/>
              <w:bottom w:val="nil"/>
              <w:right w:val="nil"/>
            </w:tcBorders>
            <w:shd w:val="clear" w:color="000000" w:fill="BDD6EE"/>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MFEM GFS Tables</w:t>
            </w:r>
          </w:p>
        </w:tc>
      </w:tr>
      <w:tr w:rsidR="00702DCD" w:rsidRPr="00702DCD" w:rsidTr="0003213D">
        <w:trPr>
          <w:trHeight w:val="300"/>
        </w:trPr>
        <w:tc>
          <w:tcPr>
            <w:tcW w:w="4341"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c>
          <w:tcPr>
            <w:tcW w:w="1220"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c>
          <w:tcPr>
            <w:tcW w:w="1220"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c>
          <w:tcPr>
            <w:tcW w:w="1220"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c>
          <w:tcPr>
            <w:tcW w:w="1291"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c>
          <w:tcPr>
            <w:tcW w:w="1220"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c>
          <w:tcPr>
            <w:tcW w:w="3888" w:type="dxa"/>
            <w:tcBorders>
              <w:top w:val="nil"/>
              <w:left w:val="nil"/>
              <w:bottom w:val="nil"/>
              <w:right w:val="nil"/>
            </w:tcBorders>
            <w:shd w:val="clear" w:color="000000" w:fill="BDD6EE"/>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GfG monitoring records from partners</w:t>
            </w:r>
          </w:p>
        </w:tc>
      </w:tr>
      <w:tr w:rsidR="00702DCD" w:rsidRPr="00702DCD" w:rsidTr="0003213D">
        <w:trPr>
          <w:trHeight w:val="300"/>
        </w:trPr>
        <w:tc>
          <w:tcPr>
            <w:tcW w:w="4341"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c>
          <w:tcPr>
            <w:tcW w:w="1220"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c>
          <w:tcPr>
            <w:tcW w:w="1220"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c>
          <w:tcPr>
            <w:tcW w:w="1220"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c>
          <w:tcPr>
            <w:tcW w:w="1291"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c>
          <w:tcPr>
            <w:tcW w:w="1220"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c>
          <w:tcPr>
            <w:tcW w:w="3888" w:type="dxa"/>
            <w:tcBorders>
              <w:top w:val="nil"/>
              <w:left w:val="nil"/>
              <w:bottom w:val="nil"/>
              <w:right w:val="nil"/>
            </w:tcBorders>
            <w:shd w:val="clear" w:color="000000" w:fill="BDD6EE"/>
            <w:vAlign w:val="center"/>
            <w:hideMark/>
          </w:tcPr>
          <w:p w:rsidR="00702DCD" w:rsidRPr="00B83D47" w:rsidRDefault="00702DCD" w:rsidP="008F53E9">
            <w:pPr>
              <w:suppressAutoHyphens w:val="0"/>
              <w:spacing w:before="0" w:after="0" w:line="240" w:lineRule="auto"/>
              <w:rPr>
                <w:rFonts w:ascii="Calibri" w:eastAsia="Times New Roman" w:hAnsi="Calibri" w:cs="Calibri"/>
                <w:color w:val="auto"/>
                <w:sz w:val="18"/>
                <w:szCs w:val="18"/>
                <w:lang w:eastAsia="en-AU"/>
              </w:rPr>
            </w:pPr>
            <w:r w:rsidRPr="00702DCD">
              <w:rPr>
                <w:rFonts w:ascii="Calibri" w:eastAsia="Times New Roman" w:hAnsi="Calibri" w:cs="Calibri"/>
                <w:color w:val="auto"/>
                <w:sz w:val="18"/>
                <w:szCs w:val="18"/>
                <w:lang w:eastAsia="en-AU"/>
              </w:rPr>
              <w:t>Line agency accounts and SMART Stream data</w:t>
            </w:r>
          </w:p>
        </w:tc>
      </w:tr>
      <w:tr w:rsidR="00702DCD" w:rsidRPr="00702DCD" w:rsidTr="0003213D">
        <w:trPr>
          <w:trHeight w:val="300"/>
        </w:trPr>
        <w:tc>
          <w:tcPr>
            <w:tcW w:w="4341" w:type="dxa"/>
            <w:vMerge w:val="restart"/>
            <w:tcBorders>
              <w:top w:val="nil"/>
              <w:left w:val="nil"/>
              <w:bottom w:val="nil"/>
              <w:right w:val="nil"/>
            </w:tcBorders>
            <w:shd w:val="clear" w:color="000000" w:fill="DBDBDB"/>
            <w:vAlign w:val="center"/>
            <w:hideMark/>
          </w:tcPr>
          <w:p w:rsidR="00702DCD" w:rsidRPr="00702DCD" w:rsidRDefault="00061287" w:rsidP="008F53E9">
            <w:pPr>
              <w:suppressAutoHyphens w:val="0"/>
              <w:spacing w:before="0" w:after="0" w:line="240" w:lineRule="auto"/>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 xml:space="preserve">1.3: </w:t>
            </w:r>
            <w:r w:rsidR="00702DCD" w:rsidRPr="00702DCD">
              <w:rPr>
                <w:rFonts w:ascii="Calibri" w:eastAsia="Times New Roman" w:hAnsi="Calibri" w:cs="Calibri"/>
                <w:color w:val="auto"/>
                <w:sz w:val="18"/>
                <w:szCs w:val="18"/>
                <w:lang w:eastAsia="en-AU"/>
              </w:rPr>
              <w:t>Financial Action Task Force listing for Vanuatu counter-terrorism financing and anti-money laundering systems</w:t>
            </w:r>
          </w:p>
        </w:tc>
        <w:tc>
          <w:tcPr>
            <w:tcW w:w="1220" w:type="dxa"/>
            <w:vMerge w:val="restart"/>
            <w:tcBorders>
              <w:top w:val="nil"/>
              <w:left w:val="nil"/>
              <w:bottom w:val="nil"/>
              <w:right w:val="nil"/>
            </w:tcBorders>
            <w:shd w:val="clear" w:color="000000" w:fill="DBDBDB"/>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White list</w:t>
            </w:r>
          </w:p>
        </w:tc>
        <w:tc>
          <w:tcPr>
            <w:tcW w:w="1220" w:type="dxa"/>
            <w:vMerge w:val="restart"/>
            <w:tcBorders>
              <w:top w:val="nil"/>
              <w:left w:val="nil"/>
              <w:bottom w:val="nil"/>
              <w:right w:val="nil"/>
            </w:tcBorders>
            <w:shd w:val="clear" w:color="000000" w:fill="DBDBDB"/>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Grey list</w:t>
            </w:r>
          </w:p>
        </w:tc>
        <w:tc>
          <w:tcPr>
            <w:tcW w:w="1220" w:type="dxa"/>
            <w:vMerge w:val="restart"/>
            <w:tcBorders>
              <w:top w:val="nil"/>
              <w:left w:val="nil"/>
              <w:bottom w:val="nil"/>
              <w:right w:val="nil"/>
            </w:tcBorders>
            <w:shd w:val="clear" w:color="000000" w:fill="DBDBDB"/>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 xml:space="preserve">White List </w:t>
            </w:r>
          </w:p>
        </w:tc>
        <w:tc>
          <w:tcPr>
            <w:tcW w:w="1291" w:type="dxa"/>
            <w:vMerge w:val="restart"/>
            <w:tcBorders>
              <w:top w:val="nil"/>
              <w:left w:val="nil"/>
              <w:bottom w:val="nil"/>
              <w:right w:val="nil"/>
            </w:tcBorders>
            <w:shd w:val="clear" w:color="000000" w:fill="DBDBDB"/>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White list</w:t>
            </w:r>
            <w:r w:rsidR="001206E6">
              <w:rPr>
                <w:rFonts w:ascii="Calibri" w:eastAsia="Times New Roman" w:hAnsi="Calibri" w:cs="Calibri"/>
                <w:color w:val="auto"/>
                <w:sz w:val="18"/>
                <w:szCs w:val="18"/>
                <w:lang w:eastAsia="en-AU"/>
              </w:rPr>
              <w:t xml:space="preserve"> (White list)</w:t>
            </w:r>
          </w:p>
        </w:tc>
        <w:tc>
          <w:tcPr>
            <w:tcW w:w="1220" w:type="dxa"/>
            <w:vMerge w:val="restart"/>
            <w:tcBorders>
              <w:top w:val="nil"/>
              <w:left w:val="nil"/>
              <w:bottom w:val="nil"/>
              <w:right w:val="nil"/>
            </w:tcBorders>
            <w:shd w:val="clear" w:color="000000" w:fill="DBDBDB"/>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White list</w:t>
            </w:r>
          </w:p>
        </w:tc>
        <w:tc>
          <w:tcPr>
            <w:tcW w:w="3888" w:type="dxa"/>
            <w:tcBorders>
              <w:top w:val="nil"/>
              <w:left w:val="nil"/>
              <w:bottom w:val="nil"/>
              <w:right w:val="nil"/>
            </w:tcBorders>
            <w:shd w:val="clear" w:color="000000" w:fill="DBDBDB"/>
            <w:vAlign w:val="center"/>
            <w:hideMark/>
          </w:tcPr>
          <w:p w:rsidR="00702DCD" w:rsidRPr="00B83D47" w:rsidRDefault="00702DCD" w:rsidP="008F53E9">
            <w:pPr>
              <w:suppressAutoHyphens w:val="0"/>
              <w:spacing w:before="0" w:after="0" w:line="240" w:lineRule="auto"/>
              <w:rPr>
                <w:rFonts w:ascii="Calibri" w:eastAsia="Times New Roman" w:hAnsi="Calibri" w:cs="Calibri"/>
                <w:color w:val="auto"/>
                <w:sz w:val="18"/>
                <w:szCs w:val="18"/>
                <w:lang w:eastAsia="en-AU"/>
              </w:rPr>
            </w:pPr>
            <w:r w:rsidRPr="00702DCD">
              <w:rPr>
                <w:rFonts w:ascii="Calibri" w:eastAsia="Times New Roman" w:hAnsi="Calibri" w:cs="Calibri"/>
                <w:color w:val="auto"/>
                <w:sz w:val="18"/>
                <w:szCs w:val="18"/>
                <w:lang w:eastAsia="en-AU"/>
              </w:rPr>
              <w:t>FATF Listing and IMF Article IV Consultations</w:t>
            </w:r>
          </w:p>
        </w:tc>
      </w:tr>
      <w:tr w:rsidR="00702DCD" w:rsidRPr="00702DCD" w:rsidTr="0003213D">
        <w:trPr>
          <w:trHeight w:val="300"/>
        </w:trPr>
        <w:tc>
          <w:tcPr>
            <w:tcW w:w="4341"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c>
          <w:tcPr>
            <w:tcW w:w="1220"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c>
          <w:tcPr>
            <w:tcW w:w="1220"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c>
          <w:tcPr>
            <w:tcW w:w="1220"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c>
          <w:tcPr>
            <w:tcW w:w="1291"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c>
          <w:tcPr>
            <w:tcW w:w="1220"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c>
          <w:tcPr>
            <w:tcW w:w="3888" w:type="dxa"/>
            <w:tcBorders>
              <w:top w:val="nil"/>
              <w:left w:val="nil"/>
              <w:bottom w:val="nil"/>
              <w:right w:val="nil"/>
            </w:tcBorders>
            <w:shd w:val="clear" w:color="000000" w:fill="DBDBDB"/>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GfG monitoring records</w:t>
            </w:r>
          </w:p>
        </w:tc>
      </w:tr>
      <w:tr w:rsidR="00702DCD" w:rsidRPr="00702DCD" w:rsidTr="0003213D">
        <w:trPr>
          <w:trHeight w:val="300"/>
        </w:trPr>
        <w:tc>
          <w:tcPr>
            <w:tcW w:w="4341" w:type="dxa"/>
            <w:vMerge w:val="restart"/>
            <w:tcBorders>
              <w:top w:val="nil"/>
              <w:left w:val="nil"/>
              <w:bottom w:val="nil"/>
              <w:right w:val="nil"/>
            </w:tcBorders>
            <w:shd w:val="clear" w:color="000000" w:fill="BDD6EE"/>
            <w:vAlign w:val="center"/>
            <w:hideMark/>
          </w:tcPr>
          <w:p w:rsidR="00702DCD" w:rsidRPr="00702DCD" w:rsidRDefault="00061287" w:rsidP="008F53E9">
            <w:pPr>
              <w:suppressAutoHyphens w:val="0"/>
              <w:spacing w:before="0" w:after="0" w:line="240" w:lineRule="auto"/>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 xml:space="preserve">1.4: </w:t>
            </w:r>
            <w:r w:rsidR="00702DCD" w:rsidRPr="00702DCD">
              <w:rPr>
                <w:rFonts w:ascii="Calibri" w:eastAsia="Times New Roman" w:hAnsi="Calibri" w:cs="Calibri"/>
                <w:color w:val="auto"/>
                <w:sz w:val="18"/>
                <w:szCs w:val="18"/>
                <w:lang w:eastAsia="en-AU"/>
              </w:rPr>
              <w:t>World Bank Country Policy and Institutional Assessment rating for budget and financial management</w:t>
            </w:r>
          </w:p>
        </w:tc>
        <w:tc>
          <w:tcPr>
            <w:tcW w:w="1220" w:type="dxa"/>
            <w:vMerge w:val="restart"/>
            <w:tcBorders>
              <w:top w:val="nil"/>
              <w:left w:val="nil"/>
              <w:bottom w:val="nil"/>
              <w:right w:val="nil"/>
            </w:tcBorders>
            <w:shd w:val="clear" w:color="000000" w:fill="BDD6EE"/>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3.5</w:t>
            </w:r>
          </w:p>
        </w:tc>
        <w:tc>
          <w:tcPr>
            <w:tcW w:w="1220" w:type="dxa"/>
            <w:vMerge w:val="restart"/>
            <w:tcBorders>
              <w:top w:val="nil"/>
              <w:left w:val="nil"/>
              <w:bottom w:val="nil"/>
              <w:right w:val="nil"/>
            </w:tcBorders>
            <w:shd w:val="clear" w:color="000000" w:fill="BDD6EE"/>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3.5</w:t>
            </w:r>
          </w:p>
        </w:tc>
        <w:tc>
          <w:tcPr>
            <w:tcW w:w="1220" w:type="dxa"/>
            <w:vMerge w:val="restart"/>
            <w:tcBorders>
              <w:top w:val="nil"/>
              <w:left w:val="nil"/>
              <w:bottom w:val="nil"/>
              <w:right w:val="nil"/>
            </w:tcBorders>
            <w:shd w:val="clear" w:color="000000" w:fill="BDD6EE"/>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3.5</w:t>
            </w:r>
          </w:p>
        </w:tc>
        <w:tc>
          <w:tcPr>
            <w:tcW w:w="1291" w:type="dxa"/>
            <w:vMerge w:val="restart"/>
            <w:tcBorders>
              <w:top w:val="nil"/>
              <w:left w:val="nil"/>
              <w:bottom w:val="nil"/>
              <w:right w:val="nil"/>
            </w:tcBorders>
            <w:shd w:val="clear" w:color="000000" w:fill="BDD6EE"/>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3.5</w:t>
            </w:r>
            <w:r w:rsidR="001206E6">
              <w:rPr>
                <w:rFonts w:ascii="Calibri" w:eastAsia="Times New Roman" w:hAnsi="Calibri" w:cs="Calibri"/>
                <w:color w:val="auto"/>
                <w:sz w:val="18"/>
                <w:szCs w:val="18"/>
                <w:lang w:eastAsia="en-AU"/>
              </w:rPr>
              <w:t xml:space="preserve"> (3.5)</w:t>
            </w:r>
          </w:p>
        </w:tc>
        <w:tc>
          <w:tcPr>
            <w:tcW w:w="1220" w:type="dxa"/>
            <w:vMerge w:val="restart"/>
            <w:tcBorders>
              <w:top w:val="nil"/>
              <w:left w:val="nil"/>
              <w:bottom w:val="nil"/>
              <w:right w:val="nil"/>
            </w:tcBorders>
            <w:shd w:val="clear" w:color="000000" w:fill="BDD6EE"/>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3.5</w:t>
            </w:r>
          </w:p>
        </w:tc>
        <w:tc>
          <w:tcPr>
            <w:tcW w:w="3888" w:type="dxa"/>
            <w:vMerge w:val="restart"/>
            <w:tcBorders>
              <w:top w:val="nil"/>
              <w:left w:val="nil"/>
              <w:bottom w:val="nil"/>
              <w:right w:val="nil"/>
            </w:tcBorders>
            <w:shd w:val="clear" w:color="000000" w:fill="BDD6EE"/>
            <w:vAlign w:val="center"/>
            <w:hideMark/>
          </w:tcPr>
          <w:p w:rsidR="00702DCD" w:rsidRPr="00C72B14" w:rsidRDefault="00ED44E7" w:rsidP="008F53E9">
            <w:pPr>
              <w:suppressAutoHyphens w:val="0"/>
              <w:spacing w:before="0" w:after="0" w:line="240" w:lineRule="auto"/>
              <w:rPr>
                <w:rFonts w:ascii="Calibri" w:eastAsia="Times New Roman" w:hAnsi="Calibri" w:cs="Calibri"/>
                <w:color w:val="auto"/>
                <w:sz w:val="18"/>
                <w:szCs w:val="18"/>
                <w:lang w:val="en-AU" w:eastAsia="en-AU"/>
              </w:rPr>
            </w:pPr>
            <w:hyperlink r:id="rId32" w:history="1">
              <w:r w:rsidR="00702DCD" w:rsidRPr="00C72B14">
                <w:rPr>
                  <w:rFonts w:ascii="Calibri" w:eastAsia="Times New Roman" w:hAnsi="Calibri" w:cs="Calibri"/>
                  <w:color w:val="auto"/>
                  <w:sz w:val="18"/>
                  <w:szCs w:val="18"/>
                  <w:lang w:eastAsia="en-AU"/>
                </w:rPr>
                <w:t xml:space="preserve">World Bank CPIA reports (Indicator IQ.CPA.FINQ.XQ) plus IMF Article IV Consultations.  See: https://data.worldbank.org/data-catalog/CPIA </w:t>
              </w:r>
            </w:hyperlink>
          </w:p>
        </w:tc>
      </w:tr>
      <w:tr w:rsidR="00702DCD" w:rsidRPr="00702DCD" w:rsidTr="0003213D">
        <w:trPr>
          <w:trHeight w:val="600"/>
        </w:trPr>
        <w:tc>
          <w:tcPr>
            <w:tcW w:w="4341"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c>
          <w:tcPr>
            <w:tcW w:w="1220"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c>
          <w:tcPr>
            <w:tcW w:w="1220"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c>
          <w:tcPr>
            <w:tcW w:w="1220"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c>
          <w:tcPr>
            <w:tcW w:w="1291"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c>
          <w:tcPr>
            <w:tcW w:w="1220"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c>
          <w:tcPr>
            <w:tcW w:w="3888"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u w:val="single"/>
                <w:lang w:val="en-AU" w:eastAsia="en-AU"/>
              </w:rPr>
            </w:pPr>
          </w:p>
        </w:tc>
      </w:tr>
      <w:tr w:rsidR="00702DCD" w:rsidRPr="00702DCD" w:rsidTr="0003213D">
        <w:trPr>
          <w:trHeight w:val="480"/>
        </w:trPr>
        <w:tc>
          <w:tcPr>
            <w:tcW w:w="4341" w:type="dxa"/>
            <w:tcBorders>
              <w:top w:val="nil"/>
              <w:left w:val="nil"/>
              <w:bottom w:val="nil"/>
              <w:right w:val="nil"/>
            </w:tcBorders>
            <w:shd w:val="clear" w:color="000000" w:fill="DBDBDB"/>
            <w:vAlign w:val="center"/>
            <w:hideMark/>
          </w:tcPr>
          <w:p w:rsidR="00702DCD" w:rsidRPr="00816F98" w:rsidRDefault="00061287" w:rsidP="00C72B14">
            <w:pPr>
              <w:suppressAutoHyphens w:val="0"/>
              <w:spacing w:before="0" w:after="0" w:line="240" w:lineRule="auto"/>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 xml:space="preserve">1.5: </w:t>
            </w:r>
            <w:r w:rsidR="002155C3">
              <w:rPr>
                <w:rFonts w:ascii="Calibri" w:eastAsia="Times New Roman" w:hAnsi="Calibri" w:cs="Calibri"/>
                <w:color w:val="auto"/>
                <w:sz w:val="18"/>
                <w:szCs w:val="18"/>
                <w:lang w:eastAsia="en-AU"/>
              </w:rPr>
              <w:t>Vanuatu</w:t>
            </w:r>
            <w:r w:rsidR="00702DCD" w:rsidRPr="00816F98">
              <w:rPr>
                <w:rFonts w:ascii="Calibri" w:eastAsia="Times New Roman" w:hAnsi="Calibri" w:cs="Calibri"/>
                <w:color w:val="auto"/>
                <w:sz w:val="18"/>
                <w:szCs w:val="18"/>
                <w:lang w:eastAsia="en-AU"/>
              </w:rPr>
              <w:t xml:space="preserve"> Rural Access Index</w:t>
            </w:r>
            <w:r w:rsidR="00C72B14">
              <w:rPr>
                <w:rStyle w:val="FootnoteReference"/>
                <w:rFonts w:ascii="Calibri" w:eastAsia="Times New Roman" w:hAnsi="Calibri" w:cs="Calibri"/>
                <w:color w:val="auto"/>
                <w:sz w:val="18"/>
                <w:szCs w:val="18"/>
                <w:lang w:eastAsia="en-AU"/>
              </w:rPr>
              <w:footnoteReference w:id="14"/>
            </w:r>
            <w:r w:rsidR="00C72B14">
              <w:rPr>
                <w:rFonts w:ascii="Calibri" w:eastAsia="Times New Roman" w:hAnsi="Calibri" w:cs="Calibri"/>
                <w:color w:val="auto"/>
                <w:sz w:val="18"/>
                <w:szCs w:val="18"/>
                <w:lang w:eastAsia="en-AU"/>
              </w:rPr>
              <w:t xml:space="preserve"> </w:t>
            </w:r>
            <w:r w:rsidR="00702DCD" w:rsidRPr="00816F98">
              <w:rPr>
                <w:rFonts w:ascii="Calibri" w:eastAsia="Times New Roman" w:hAnsi="Calibri" w:cs="Calibri"/>
                <w:color w:val="auto"/>
                <w:sz w:val="18"/>
                <w:szCs w:val="18"/>
                <w:lang w:eastAsia="en-AU"/>
              </w:rPr>
              <w:t>and Length of rural roads maintained or repaired (km)</w:t>
            </w:r>
          </w:p>
        </w:tc>
        <w:tc>
          <w:tcPr>
            <w:tcW w:w="1220" w:type="dxa"/>
            <w:tcBorders>
              <w:top w:val="nil"/>
              <w:left w:val="nil"/>
              <w:bottom w:val="nil"/>
              <w:right w:val="nil"/>
            </w:tcBorders>
            <w:shd w:val="clear" w:color="000000" w:fill="DBDBDB"/>
            <w:vAlign w:val="center"/>
            <w:hideMark/>
          </w:tcPr>
          <w:p w:rsidR="00702DCD" w:rsidRPr="00816F98" w:rsidRDefault="00C36EBE" w:rsidP="00C36EBE">
            <w:pPr>
              <w:suppressAutoHyphens w:val="0"/>
              <w:spacing w:before="0" w:after="0" w:line="240" w:lineRule="auto"/>
              <w:jc w:val="center"/>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41</w:t>
            </w:r>
            <w:r>
              <w:rPr>
                <w:rStyle w:val="FootnoteReference"/>
                <w:rFonts w:ascii="Calibri" w:eastAsia="Times New Roman" w:hAnsi="Calibri" w:cs="Calibri"/>
                <w:color w:val="auto"/>
                <w:sz w:val="18"/>
                <w:szCs w:val="18"/>
                <w:lang w:eastAsia="en-AU"/>
              </w:rPr>
              <w:footnoteReference w:id="15"/>
            </w:r>
            <w:r w:rsidR="00702DCD" w:rsidRPr="00816F98">
              <w:rPr>
                <w:rFonts w:ascii="Calibri" w:eastAsia="Times New Roman" w:hAnsi="Calibri" w:cs="Calibri"/>
                <w:color w:val="auto"/>
                <w:sz w:val="18"/>
                <w:szCs w:val="18"/>
                <w:lang w:eastAsia="en-AU"/>
              </w:rPr>
              <w:t>%</w:t>
            </w:r>
          </w:p>
        </w:tc>
        <w:tc>
          <w:tcPr>
            <w:tcW w:w="1220" w:type="dxa"/>
            <w:tcBorders>
              <w:top w:val="nil"/>
              <w:left w:val="nil"/>
              <w:bottom w:val="nil"/>
              <w:right w:val="nil"/>
            </w:tcBorders>
            <w:shd w:val="clear" w:color="000000" w:fill="DBDBDB"/>
            <w:vAlign w:val="center"/>
            <w:hideMark/>
          </w:tcPr>
          <w:p w:rsidR="00702DCD" w:rsidRPr="00816F98" w:rsidRDefault="00C36EBE" w:rsidP="008F53E9">
            <w:pPr>
              <w:suppressAutoHyphens w:val="0"/>
              <w:spacing w:before="0" w:after="0" w:line="240" w:lineRule="auto"/>
              <w:jc w:val="center"/>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54</w:t>
            </w:r>
            <w:r>
              <w:rPr>
                <w:rStyle w:val="FootnoteReference"/>
                <w:rFonts w:ascii="Calibri" w:eastAsia="Times New Roman" w:hAnsi="Calibri" w:cs="Calibri"/>
                <w:color w:val="auto"/>
                <w:sz w:val="18"/>
                <w:szCs w:val="18"/>
                <w:lang w:eastAsia="en-AU"/>
              </w:rPr>
              <w:footnoteReference w:id="16"/>
            </w:r>
            <w:r>
              <w:rPr>
                <w:rFonts w:ascii="Calibri" w:eastAsia="Times New Roman" w:hAnsi="Calibri" w:cs="Calibri"/>
                <w:color w:val="auto"/>
                <w:sz w:val="18"/>
                <w:szCs w:val="18"/>
                <w:lang w:eastAsia="en-AU"/>
              </w:rPr>
              <w:t>%</w:t>
            </w:r>
          </w:p>
        </w:tc>
        <w:tc>
          <w:tcPr>
            <w:tcW w:w="1220" w:type="dxa"/>
            <w:tcBorders>
              <w:top w:val="nil"/>
              <w:left w:val="nil"/>
              <w:bottom w:val="nil"/>
              <w:right w:val="nil"/>
            </w:tcBorders>
            <w:shd w:val="clear" w:color="000000" w:fill="DBDBDB"/>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54.50%</w:t>
            </w:r>
          </w:p>
        </w:tc>
        <w:tc>
          <w:tcPr>
            <w:tcW w:w="1291" w:type="dxa"/>
            <w:tcBorders>
              <w:top w:val="nil"/>
              <w:left w:val="nil"/>
              <w:bottom w:val="nil"/>
              <w:right w:val="nil"/>
            </w:tcBorders>
            <w:shd w:val="clear" w:color="000000" w:fill="DBDBDB"/>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55.10%</w:t>
            </w:r>
            <w:r w:rsidR="001206E6">
              <w:rPr>
                <w:rFonts w:ascii="Calibri" w:eastAsia="Times New Roman" w:hAnsi="Calibri" w:cs="Calibri"/>
                <w:color w:val="auto"/>
                <w:sz w:val="18"/>
                <w:szCs w:val="18"/>
                <w:lang w:eastAsia="en-AU"/>
              </w:rPr>
              <w:t xml:space="preserve"> (55%)</w:t>
            </w:r>
          </w:p>
        </w:tc>
        <w:tc>
          <w:tcPr>
            <w:tcW w:w="1220" w:type="dxa"/>
            <w:tcBorders>
              <w:top w:val="nil"/>
              <w:left w:val="nil"/>
              <w:bottom w:val="nil"/>
              <w:right w:val="nil"/>
            </w:tcBorders>
            <w:shd w:val="clear" w:color="000000" w:fill="DBDBDB"/>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val="en-AU" w:eastAsia="en-AU"/>
              </w:rPr>
              <w:t>56%</w:t>
            </w:r>
          </w:p>
        </w:tc>
        <w:tc>
          <w:tcPr>
            <w:tcW w:w="3888" w:type="dxa"/>
            <w:tcBorders>
              <w:top w:val="nil"/>
              <w:left w:val="nil"/>
              <w:bottom w:val="nil"/>
              <w:right w:val="nil"/>
            </w:tcBorders>
            <w:shd w:val="clear" w:color="000000" w:fill="DBDBDB"/>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R4D monitoring data</w:t>
            </w:r>
          </w:p>
        </w:tc>
      </w:tr>
      <w:tr w:rsidR="00702DCD" w:rsidRPr="00702DCD" w:rsidTr="0003213D">
        <w:trPr>
          <w:trHeight w:val="300"/>
        </w:trPr>
        <w:tc>
          <w:tcPr>
            <w:tcW w:w="4341" w:type="dxa"/>
            <w:tcBorders>
              <w:top w:val="nil"/>
              <w:left w:val="nil"/>
              <w:bottom w:val="nil"/>
              <w:right w:val="nil"/>
            </w:tcBorders>
            <w:shd w:val="clear" w:color="000000" w:fill="DBDBDB"/>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u w:val="single"/>
                <w:lang w:val="en-AU" w:eastAsia="en-AU"/>
              </w:rPr>
            </w:pPr>
          </w:p>
        </w:tc>
        <w:tc>
          <w:tcPr>
            <w:tcW w:w="1220" w:type="dxa"/>
            <w:tcBorders>
              <w:top w:val="nil"/>
              <w:left w:val="nil"/>
              <w:bottom w:val="nil"/>
              <w:right w:val="nil"/>
            </w:tcBorders>
            <w:shd w:val="clear" w:color="000000" w:fill="DBDBDB"/>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val="en-AU" w:eastAsia="en-AU"/>
              </w:rPr>
              <w:t>597 km</w:t>
            </w:r>
          </w:p>
        </w:tc>
        <w:tc>
          <w:tcPr>
            <w:tcW w:w="1220" w:type="dxa"/>
            <w:tcBorders>
              <w:top w:val="nil"/>
              <w:left w:val="nil"/>
              <w:bottom w:val="nil"/>
              <w:right w:val="nil"/>
            </w:tcBorders>
            <w:shd w:val="clear" w:color="000000" w:fill="DBDBDB"/>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val="en-AU" w:eastAsia="en-AU"/>
              </w:rPr>
              <w:t>691 km</w:t>
            </w:r>
          </w:p>
        </w:tc>
        <w:tc>
          <w:tcPr>
            <w:tcW w:w="1220" w:type="dxa"/>
            <w:tcBorders>
              <w:top w:val="nil"/>
              <w:left w:val="nil"/>
              <w:bottom w:val="nil"/>
              <w:right w:val="nil"/>
            </w:tcBorders>
            <w:shd w:val="clear" w:color="000000" w:fill="DBDBDB"/>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val="en-AU" w:eastAsia="en-AU"/>
              </w:rPr>
              <w:t>525km</w:t>
            </w:r>
          </w:p>
        </w:tc>
        <w:tc>
          <w:tcPr>
            <w:tcW w:w="1291" w:type="dxa"/>
            <w:tcBorders>
              <w:top w:val="nil"/>
              <w:left w:val="nil"/>
              <w:bottom w:val="nil"/>
              <w:right w:val="nil"/>
            </w:tcBorders>
            <w:shd w:val="clear" w:color="000000" w:fill="DBDBDB"/>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6</w:t>
            </w:r>
            <w:r w:rsidR="001206E6">
              <w:rPr>
                <w:rFonts w:ascii="Calibri" w:eastAsia="Times New Roman" w:hAnsi="Calibri" w:cs="Calibri"/>
                <w:color w:val="auto"/>
                <w:sz w:val="18"/>
                <w:szCs w:val="18"/>
                <w:lang w:eastAsia="en-AU"/>
              </w:rPr>
              <w:t>82</w:t>
            </w:r>
            <w:r w:rsidRPr="00702DCD">
              <w:rPr>
                <w:rFonts w:ascii="Calibri" w:eastAsia="Times New Roman" w:hAnsi="Calibri" w:cs="Calibri"/>
                <w:color w:val="auto"/>
                <w:sz w:val="18"/>
                <w:szCs w:val="18"/>
                <w:lang w:eastAsia="en-AU"/>
              </w:rPr>
              <w:t>km</w:t>
            </w:r>
            <w:r w:rsidR="001206E6">
              <w:rPr>
                <w:rFonts w:ascii="Calibri" w:eastAsia="Times New Roman" w:hAnsi="Calibri" w:cs="Calibri"/>
                <w:color w:val="auto"/>
                <w:sz w:val="18"/>
                <w:szCs w:val="18"/>
                <w:lang w:eastAsia="en-AU"/>
              </w:rPr>
              <w:t xml:space="preserve"> (550km)</w:t>
            </w:r>
          </w:p>
        </w:tc>
        <w:tc>
          <w:tcPr>
            <w:tcW w:w="1220" w:type="dxa"/>
            <w:tcBorders>
              <w:top w:val="nil"/>
              <w:left w:val="nil"/>
              <w:bottom w:val="nil"/>
              <w:right w:val="nil"/>
            </w:tcBorders>
            <w:shd w:val="clear" w:color="000000" w:fill="DBDBDB"/>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val="en-AU" w:eastAsia="en-AU"/>
              </w:rPr>
              <w:t>680km</w:t>
            </w:r>
          </w:p>
        </w:tc>
        <w:tc>
          <w:tcPr>
            <w:tcW w:w="3888" w:type="dxa"/>
            <w:tcBorders>
              <w:top w:val="nil"/>
              <w:left w:val="nil"/>
              <w:bottom w:val="nil"/>
              <w:right w:val="nil"/>
            </w:tcBorders>
            <w:shd w:val="clear" w:color="000000" w:fill="DBDBDB"/>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PWD records and monitoring data</w:t>
            </w:r>
          </w:p>
        </w:tc>
      </w:tr>
      <w:tr w:rsidR="00702DCD" w:rsidRPr="00702DCD" w:rsidTr="0003213D">
        <w:trPr>
          <w:trHeight w:val="480"/>
        </w:trPr>
        <w:tc>
          <w:tcPr>
            <w:tcW w:w="4341" w:type="dxa"/>
            <w:tcBorders>
              <w:top w:val="nil"/>
              <w:left w:val="nil"/>
              <w:bottom w:val="nil"/>
              <w:right w:val="nil"/>
            </w:tcBorders>
            <w:shd w:val="clear" w:color="000000" w:fill="BDD6EE"/>
            <w:vAlign w:val="center"/>
            <w:hideMark/>
          </w:tcPr>
          <w:p w:rsidR="00702DCD" w:rsidRPr="00816F98" w:rsidRDefault="00061287" w:rsidP="008F53E9">
            <w:pPr>
              <w:suppressAutoHyphens w:val="0"/>
              <w:spacing w:before="0" w:after="0" w:line="240" w:lineRule="auto"/>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 xml:space="preserve">1.6: </w:t>
            </w:r>
            <w:r w:rsidR="00702DCD" w:rsidRPr="00816F98">
              <w:rPr>
                <w:rFonts w:ascii="Calibri" w:eastAsia="Times New Roman" w:hAnsi="Calibri" w:cs="Calibri"/>
                <w:color w:val="auto"/>
                <w:sz w:val="18"/>
                <w:szCs w:val="18"/>
                <w:lang w:eastAsia="en-AU"/>
              </w:rPr>
              <w:footnoteReference w:customMarkFollows="1" w:id="17"/>
              <w:t>Proportion of procurement contracts issued for Island Based Contractors, Co</w:t>
            </w:r>
            <w:r w:rsidR="00C36EBE">
              <w:rPr>
                <w:rFonts w:ascii="Calibri" w:eastAsia="Times New Roman" w:hAnsi="Calibri" w:cs="Calibri"/>
                <w:color w:val="auto"/>
                <w:sz w:val="18"/>
                <w:szCs w:val="18"/>
                <w:lang w:eastAsia="en-AU"/>
              </w:rPr>
              <w:t>mmunity Based Contractors (%)</w:t>
            </w:r>
            <w:r w:rsidR="00C36EBE">
              <w:rPr>
                <w:rStyle w:val="FootnoteReference"/>
                <w:rFonts w:ascii="Calibri" w:eastAsia="Times New Roman" w:hAnsi="Calibri" w:cs="Calibri"/>
                <w:color w:val="auto"/>
                <w:sz w:val="18"/>
                <w:szCs w:val="18"/>
                <w:lang w:eastAsia="en-AU"/>
              </w:rPr>
              <w:footnoteReference w:id="18"/>
            </w:r>
          </w:p>
        </w:tc>
        <w:tc>
          <w:tcPr>
            <w:tcW w:w="1220" w:type="dxa"/>
            <w:tcBorders>
              <w:top w:val="nil"/>
              <w:left w:val="nil"/>
              <w:bottom w:val="nil"/>
              <w:right w:val="nil"/>
            </w:tcBorders>
            <w:shd w:val="clear" w:color="000000" w:fill="BDD6EE"/>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IBC – 26% CBC - 73%</w:t>
            </w:r>
          </w:p>
        </w:tc>
        <w:tc>
          <w:tcPr>
            <w:tcW w:w="1220" w:type="dxa"/>
            <w:tcBorders>
              <w:top w:val="nil"/>
              <w:left w:val="nil"/>
              <w:bottom w:val="nil"/>
              <w:right w:val="nil"/>
            </w:tcBorders>
            <w:shd w:val="clear" w:color="000000" w:fill="BDD6EE"/>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IBC – 10% CBC - 87%</w:t>
            </w:r>
          </w:p>
        </w:tc>
        <w:tc>
          <w:tcPr>
            <w:tcW w:w="1220" w:type="dxa"/>
            <w:tcBorders>
              <w:top w:val="nil"/>
              <w:left w:val="nil"/>
              <w:bottom w:val="nil"/>
              <w:right w:val="nil"/>
            </w:tcBorders>
            <w:shd w:val="clear" w:color="000000" w:fill="BDD6EE"/>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IBC – 76% CBC - 24%</w:t>
            </w:r>
          </w:p>
        </w:tc>
        <w:tc>
          <w:tcPr>
            <w:tcW w:w="1291" w:type="dxa"/>
            <w:tcBorders>
              <w:top w:val="nil"/>
              <w:left w:val="nil"/>
              <w:bottom w:val="nil"/>
              <w:right w:val="nil"/>
            </w:tcBorders>
            <w:shd w:val="clear" w:color="000000" w:fill="BDD6EE"/>
            <w:vAlign w:val="center"/>
            <w:hideMark/>
          </w:tcPr>
          <w:p w:rsidR="00702DCD" w:rsidRPr="00131631" w:rsidRDefault="00702DCD" w:rsidP="00492E26">
            <w:pPr>
              <w:suppressAutoHyphens w:val="0"/>
              <w:spacing w:before="0" w:after="0" w:line="240" w:lineRule="auto"/>
              <w:jc w:val="center"/>
              <w:rPr>
                <w:rFonts w:ascii="Calibri" w:eastAsia="Times New Roman" w:hAnsi="Calibri" w:cs="Calibri"/>
                <w:color w:val="auto"/>
                <w:sz w:val="18"/>
                <w:szCs w:val="18"/>
                <w:lang w:val="en-AU" w:eastAsia="en-AU"/>
              </w:rPr>
            </w:pPr>
            <w:r w:rsidRPr="00131631">
              <w:rPr>
                <w:rFonts w:ascii="Calibri" w:eastAsia="Times New Roman" w:hAnsi="Calibri" w:cs="Calibri"/>
                <w:color w:val="auto"/>
                <w:sz w:val="18"/>
                <w:szCs w:val="18"/>
                <w:lang w:eastAsia="en-AU"/>
              </w:rPr>
              <w:t xml:space="preserve">IBC – </w:t>
            </w:r>
            <w:r w:rsidR="001206E6" w:rsidRPr="00131631">
              <w:rPr>
                <w:rFonts w:ascii="Calibri" w:eastAsia="Times New Roman" w:hAnsi="Calibri" w:cs="Calibri"/>
                <w:color w:val="auto"/>
                <w:sz w:val="18"/>
                <w:szCs w:val="18"/>
                <w:lang w:eastAsia="en-AU"/>
              </w:rPr>
              <w:t>80% (</w:t>
            </w:r>
            <w:r w:rsidRPr="00131631">
              <w:rPr>
                <w:rFonts w:ascii="Calibri" w:eastAsia="Times New Roman" w:hAnsi="Calibri" w:cs="Calibri"/>
                <w:color w:val="auto"/>
                <w:sz w:val="18"/>
                <w:szCs w:val="18"/>
                <w:lang w:eastAsia="en-AU"/>
              </w:rPr>
              <w:t>75%</w:t>
            </w:r>
            <w:r w:rsidR="001206E6" w:rsidRPr="00131631">
              <w:rPr>
                <w:rFonts w:ascii="Calibri" w:eastAsia="Times New Roman" w:hAnsi="Calibri" w:cs="Calibri"/>
                <w:color w:val="auto"/>
                <w:sz w:val="18"/>
                <w:szCs w:val="18"/>
                <w:lang w:eastAsia="en-AU"/>
              </w:rPr>
              <w:t xml:space="preserve">) </w:t>
            </w:r>
            <w:r w:rsidRPr="00131631">
              <w:rPr>
                <w:rFonts w:ascii="Calibri" w:eastAsia="Times New Roman" w:hAnsi="Calibri" w:cs="Calibri"/>
                <w:color w:val="auto"/>
                <w:sz w:val="18"/>
                <w:szCs w:val="18"/>
                <w:lang w:eastAsia="en-AU"/>
              </w:rPr>
              <w:t xml:space="preserve">CBC </w:t>
            </w:r>
            <w:r w:rsidR="001206E6" w:rsidRPr="00131631">
              <w:rPr>
                <w:rFonts w:ascii="Calibri" w:eastAsia="Times New Roman" w:hAnsi="Calibri" w:cs="Calibri"/>
                <w:color w:val="auto"/>
                <w:sz w:val="18"/>
                <w:szCs w:val="18"/>
                <w:lang w:eastAsia="en-AU"/>
              </w:rPr>
              <w:t>– 20%</w:t>
            </w:r>
            <w:r w:rsidRPr="00131631">
              <w:rPr>
                <w:rFonts w:ascii="Calibri" w:eastAsia="Times New Roman" w:hAnsi="Calibri" w:cs="Calibri"/>
                <w:color w:val="auto"/>
                <w:sz w:val="18"/>
                <w:szCs w:val="18"/>
                <w:lang w:eastAsia="en-AU"/>
              </w:rPr>
              <w:t xml:space="preserve"> </w:t>
            </w:r>
            <w:r w:rsidR="001206E6" w:rsidRPr="00131631">
              <w:rPr>
                <w:rFonts w:ascii="Calibri" w:eastAsia="Times New Roman" w:hAnsi="Calibri" w:cs="Calibri"/>
                <w:color w:val="auto"/>
                <w:sz w:val="18"/>
                <w:szCs w:val="18"/>
                <w:lang w:eastAsia="en-AU"/>
              </w:rPr>
              <w:t>(</w:t>
            </w:r>
            <w:r w:rsidRPr="00131631">
              <w:rPr>
                <w:rFonts w:ascii="Calibri" w:eastAsia="Times New Roman" w:hAnsi="Calibri" w:cs="Calibri"/>
                <w:color w:val="auto"/>
                <w:sz w:val="18"/>
                <w:szCs w:val="18"/>
                <w:lang w:eastAsia="en-AU"/>
              </w:rPr>
              <w:t>25%</w:t>
            </w:r>
            <w:r w:rsidR="001206E6" w:rsidRPr="00131631">
              <w:rPr>
                <w:rFonts w:ascii="Calibri" w:eastAsia="Times New Roman" w:hAnsi="Calibri" w:cs="Calibri"/>
                <w:color w:val="auto"/>
                <w:sz w:val="18"/>
                <w:szCs w:val="18"/>
                <w:lang w:eastAsia="en-AU"/>
              </w:rPr>
              <w:t>)</w:t>
            </w:r>
          </w:p>
        </w:tc>
        <w:tc>
          <w:tcPr>
            <w:tcW w:w="1220" w:type="dxa"/>
            <w:tcBorders>
              <w:top w:val="nil"/>
              <w:left w:val="nil"/>
              <w:bottom w:val="nil"/>
              <w:right w:val="nil"/>
            </w:tcBorders>
            <w:shd w:val="clear" w:color="000000" w:fill="BDD6EE"/>
            <w:vAlign w:val="center"/>
            <w:hideMark/>
          </w:tcPr>
          <w:p w:rsidR="00702DCD" w:rsidRPr="00131631" w:rsidRDefault="00702DCD" w:rsidP="00492E26">
            <w:pPr>
              <w:suppressAutoHyphens w:val="0"/>
              <w:spacing w:before="0" w:after="0" w:line="240" w:lineRule="auto"/>
              <w:jc w:val="center"/>
              <w:rPr>
                <w:rFonts w:ascii="Calibri" w:eastAsia="Times New Roman" w:hAnsi="Calibri" w:cs="Calibri"/>
                <w:color w:val="auto"/>
                <w:sz w:val="18"/>
                <w:szCs w:val="18"/>
                <w:lang w:val="en-AU" w:eastAsia="en-AU"/>
              </w:rPr>
            </w:pPr>
            <w:r w:rsidRPr="00131631">
              <w:rPr>
                <w:rFonts w:ascii="Calibri" w:eastAsia="Times New Roman" w:hAnsi="Calibri" w:cs="Calibri"/>
                <w:color w:val="auto"/>
                <w:sz w:val="18"/>
                <w:szCs w:val="18"/>
                <w:lang w:eastAsia="en-AU"/>
              </w:rPr>
              <w:t>IBC – 75% CBC - 25%</w:t>
            </w:r>
          </w:p>
        </w:tc>
        <w:tc>
          <w:tcPr>
            <w:tcW w:w="3888" w:type="dxa"/>
            <w:tcBorders>
              <w:top w:val="nil"/>
              <w:left w:val="nil"/>
              <w:bottom w:val="nil"/>
              <w:right w:val="nil"/>
            </w:tcBorders>
            <w:shd w:val="clear" w:color="000000" w:fill="BDD6EE"/>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MIPU and PWD, R4D monitoring data</w:t>
            </w:r>
          </w:p>
        </w:tc>
      </w:tr>
      <w:tr w:rsidR="00702DCD" w:rsidRPr="00702DCD" w:rsidTr="0003213D">
        <w:trPr>
          <w:trHeight w:val="480"/>
        </w:trPr>
        <w:tc>
          <w:tcPr>
            <w:tcW w:w="4341" w:type="dxa"/>
            <w:tcBorders>
              <w:top w:val="nil"/>
              <w:left w:val="nil"/>
              <w:bottom w:val="nil"/>
              <w:right w:val="nil"/>
            </w:tcBorders>
            <w:shd w:val="clear" w:color="000000" w:fill="BDD6EE"/>
            <w:vAlign w:val="center"/>
            <w:hideMark/>
          </w:tcPr>
          <w:p w:rsidR="00C36EBE" w:rsidRDefault="00C36EBE" w:rsidP="008F53E9">
            <w:pPr>
              <w:suppressAutoHyphens w:val="0"/>
              <w:spacing w:before="0" w:after="0" w:line="240" w:lineRule="auto"/>
              <w:rPr>
                <w:rFonts w:ascii="Calibri" w:eastAsia="Times New Roman" w:hAnsi="Calibri" w:cs="Calibri"/>
                <w:color w:val="auto"/>
                <w:sz w:val="18"/>
                <w:szCs w:val="18"/>
                <w:lang w:eastAsia="en-AU"/>
              </w:rPr>
            </w:pPr>
          </w:p>
          <w:p w:rsidR="00702DCD" w:rsidRPr="00816F98" w:rsidRDefault="00061287" w:rsidP="008F53E9">
            <w:pPr>
              <w:suppressAutoHyphens w:val="0"/>
              <w:spacing w:before="0" w:after="0" w:line="240" w:lineRule="auto"/>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 xml:space="preserve">1.7: </w:t>
            </w:r>
            <w:r w:rsidR="00702DCD" w:rsidRPr="00816F98">
              <w:rPr>
                <w:rFonts w:ascii="Calibri" w:eastAsia="Times New Roman" w:hAnsi="Calibri" w:cs="Calibri"/>
                <w:color w:val="auto"/>
                <w:sz w:val="18"/>
                <w:szCs w:val="18"/>
                <w:lang w:eastAsia="en-AU"/>
              </w:rPr>
              <w:footnoteReference w:customMarkFollows="1" w:id="19"/>
              <w:t>Quantity of sewage disposed of in t</w:t>
            </w:r>
            <w:r w:rsidR="00C36EBE">
              <w:rPr>
                <w:rFonts w:ascii="Calibri" w:eastAsia="Times New Roman" w:hAnsi="Calibri" w:cs="Calibri"/>
                <w:color w:val="auto"/>
                <w:sz w:val="18"/>
                <w:szCs w:val="18"/>
                <w:lang w:eastAsia="en-AU"/>
              </w:rPr>
              <w:t>he Septage Treatment Facility</w:t>
            </w:r>
            <w:r w:rsidR="00C36EBE">
              <w:rPr>
                <w:rStyle w:val="FootnoteReference"/>
                <w:rFonts w:ascii="Calibri" w:eastAsia="Times New Roman" w:hAnsi="Calibri" w:cs="Calibri"/>
                <w:color w:val="auto"/>
                <w:sz w:val="18"/>
                <w:szCs w:val="18"/>
                <w:lang w:eastAsia="en-AU"/>
              </w:rPr>
              <w:footnoteReference w:id="20"/>
            </w:r>
          </w:p>
        </w:tc>
        <w:tc>
          <w:tcPr>
            <w:tcW w:w="1220" w:type="dxa"/>
            <w:tcBorders>
              <w:top w:val="nil"/>
              <w:left w:val="nil"/>
              <w:bottom w:val="nil"/>
              <w:right w:val="nil"/>
            </w:tcBorders>
            <w:shd w:val="clear" w:color="000000" w:fill="BDD6EE"/>
            <w:vAlign w:val="center"/>
            <w:hideMark/>
          </w:tcPr>
          <w:p w:rsidR="00702DCD" w:rsidRPr="00702DCD" w:rsidRDefault="00702DCD" w:rsidP="00492E26">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N/A</w:t>
            </w:r>
          </w:p>
        </w:tc>
        <w:tc>
          <w:tcPr>
            <w:tcW w:w="1220" w:type="dxa"/>
            <w:tcBorders>
              <w:top w:val="nil"/>
              <w:left w:val="nil"/>
              <w:bottom w:val="nil"/>
              <w:right w:val="nil"/>
            </w:tcBorders>
            <w:shd w:val="clear" w:color="000000" w:fill="BDD6EE"/>
            <w:vAlign w:val="center"/>
            <w:hideMark/>
          </w:tcPr>
          <w:p w:rsidR="00702DCD" w:rsidRPr="00702DCD" w:rsidRDefault="00702DCD" w:rsidP="00492E26">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N/A</w:t>
            </w:r>
          </w:p>
        </w:tc>
        <w:tc>
          <w:tcPr>
            <w:tcW w:w="1220" w:type="dxa"/>
            <w:tcBorders>
              <w:top w:val="nil"/>
              <w:left w:val="nil"/>
              <w:bottom w:val="nil"/>
              <w:right w:val="nil"/>
            </w:tcBorders>
            <w:shd w:val="clear" w:color="000000" w:fill="BDD6EE"/>
            <w:vAlign w:val="center"/>
            <w:hideMark/>
          </w:tcPr>
          <w:p w:rsidR="00AA2916" w:rsidRDefault="00AA2916" w:rsidP="008F53E9">
            <w:pPr>
              <w:suppressAutoHyphens w:val="0"/>
              <w:spacing w:before="0" w:after="0" w:line="240" w:lineRule="auto"/>
              <w:jc w:val="center"/>
              <w:rPr>
                <w:rFonts w:ascii="Calibri" w:eastAsia="Times New Roman" w:hAnsi="Calibri" w:cs="Calibri"/>
                <w:color w:val="auto"/>
                <w:sz w:val="18"/>
                <w:szCs w:val="18"/>
                <w:lang w:eastAsia="en-AU"/>
              </w:rPr>
            </w:pPr>
          </w:p>
          <w:p w:rsidR="00702DCD" w:rsidRDefault="00702DCD" w:rsidP="008F53E9">
            <w:pPr>
              <w:suppressAutoHyphens w:val="0"/>
              <w:spacing w:before="0" w:after="0" w:line="240" w:lineRule="auto"/>
              <w:jc w:val="center"/>
              <w:rPr>
                <w:rFonts w:ascii="Calibri" w:eastAsia="Times New Roman" w:hAnsi="Calibri" w:cs="Calibri"/>
                <w:color w:val="auto"/>
                <w:sz w:val="18"/>
                <w:szCs w:val="18"/>
                <w:lang w:eastAsia="en-AU"/>
              </w:rPr>
            </w:pPr>
            <w:r w:rsidRPr="00C36EBE">
              <w:rPr>
                <w:rFonts w:ascii="Calibri" w:eastAsia="Times New Roman" w:hAnsi="Calibri" w:cs="Calibri"/>
                <w:color w:val="auto"/>
                <w:sz w:val="18"/>
                <w:szCs w:val="18"/>
                <w:lang w:eastAsia="en-AU"/>
              </w:rPr>
              <w:footnoteReference w:customMarkFollows="1" w:id="21"/>
              <w:t>2</w:t>
            </w:r>
            <w:r w:rsidR="00C36EBE">
              <w:rPr>
                <w:rFonts w:ascii="Calibri" w:eastAsia="Times New Roman" w:hAnsi="Calibri" w:cs="Calibri"/>
                <w:color w:val="auto"/>
                <w:sz w:val="18"/>
                <w:szCs w:val="18"/>
                <w:lang w:eastAsia="en-AU"/>
              </w:rPr>
              <w:t>,028,000</w:t>
            </w:r>
            <w:r w:rsidR="00C36EBE">
              <w:rPr>
                <w:rStyle w:val="FootnoteReference"/>
                <w:rFonts w:ascii="Calibri" w:eastAsia="Times New Roman" w:hAnsi="Calibri" w:cs="Calibri"/>
                <w:color w:val="auto"/>
                <w:sz w:val="18"/>
                <w:szCs w:val="18"/>
                <w:lang w:eastAsia="en-AU"/>
              </w:rPr>
              <w:footnoteReference w:id="22"/>
            </w:r>
          </w:p>
          <w:p w:rsidR="00AA2916" w:rsidRPr="00C36EBE" w:rsidRDefault="00AA2916" w:rsidP="008F53E9">
            <w:pPr>
              <w:suppressAutoHyphens w:val="0"/>
              <w:spacing w:before="0" w:after="0" w:line="240" w:lineRule="auto"/>
              <w:jc w:val="center"/>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Liquid waste volume</w:t>
            </w:r>
          </w:p>
        </w:tc>
        <w:tc>
          <w:tcPr>
            <w:tcW w:w="1291" w:type="dxa"/>
            <w:tcBorders>
              <w:top w:val="nil"/>
              <w:left w:val="nil"/>
              <w:bottom w:val="nil"/>
              <w:right w:val="nil"/>
            </w:tcBorders>
            <w:shd w:val="clear" w:color="000000" w:fill="BDD6EE"/>
            <w:vAlign w:val="center"/>
            <w:hideMark/>
          </w:tcPr>
          <w:p w:rsidR="00702DCD" w:rsidRPr="00C36EBE" w:rsidRDefault="00702DCD" w:rsidP="00492E26">
            <w:pPr>
              <w:suppressAutoHyphens w:val="0"/>
              <w:spacing w:before="0" w:after="0" w:line="240" w:lineRule="auto"/>
              <w:jc w:val="center"/>
              <w:rPr>
                <w:rFonts w:ascii="Calibri" w:eastAsia="Times New Roman" w:hAnsi="Calibri" w:cs="Calibri"/>
                <w:color w:val="auto"/>
                <w:sz w:val="18"/>
                <w:szCs w:val="18"/>
                <w:lang w:val="en-AU" w:eastAsia="en-AU"/>
              </w:rPr>
            </w:pPr>
            <w:r w:rsidRPr="00C36EBE">
              <w:rPr>
                <w:rFonts w:ascii="Calibri" w:eastAsia="Times New Roman" w:hAnsi="Calibri" w:cs="Calibri"/>
                <w:color w:val="auto"/>
                <w:sz w:val="18"/>
                <w:szCs w:val="18"/>
                <w:lang w:eastAsia="en-AU"/>
              </w:rPr>
              <w:t>N/A</w:t>
            </w:r>
            <w:r w:rsidR="00F77A0A">
              <w:rPr>
                <w:rFonts w:ascii="Calibri" w:eastAsia="Times New Roman" w:hAnsi="Calibri" w:cs="Calibri"/>
                <w:color w:val="auto"/>
                <w:sz w:val="18"/>
                <w:szCs w:val="18"/>
                <w:lang w:eastAsia="en-AU"/>
              </w:rPr>
              <w:t xml:space="preserve"> (3,000,000 liquid waste volume)</w:t>
            </w:r>
          </w:p>
        </w:tc>
        <w:tc>
          <w:tcPr>
            <w:tcW w:w="1220" w:type="dxa"/>
            <w:tcBorders>
              <w:top w:val="nil"/>
              <w:left w:val="nil"/>
              <w:bottom w:val="nil"/>
              <w:right w:val="nil"/>
            </w:tcBorders>
            <w:shd w:val="clear" w:color="000000" w:fill="BDD6EE"/>
            <w:vAlign w:val="center"/>
            <w:hideMark/>
          </w:tcPr>
          <w:p w:rsidR="00702DCD" w:rsidRPr="00702DCD" w:rsidRDefault="00702DCD" w:rsidP="00492E26">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val="en-AU" w:eastAsia="en-AU"/>
              </w:rPr>
              <w:t>N/A</w:t>
            </w:r>
          </w:p>
        </w:tc>
        <w:tc>
          <w:tcPr>
            <w:tcW w:w="3888" w:type="dxa"/>
            <w:tcBorders>
              <w:top w:val="nil"/>
              <w:left w:val="nil"/>
              <w:bottom w:val="nil"/>
              <w:right w:val="nil"/>
            </w:tcBorders>
            <w:shd w:val="clear" w:color="000000" w:fill="BDD6EE"/>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val="en-AU" w:eastAsia="en-AU"/>
              </w:rPr>
              <w:t> </w:t>
            </w:r>
            <w:r w:rsidR="00AA2916" w:rsidRPr="00702DCD">
              <w:rPr>
                <w:rFonts w:ascii="Calibri" w:eastAsia="Times New Roman" w:hAnsi="Calibri" w:cs="Calibri"/>
                <w:color w:val="auto"/>
                <w:sz w:val="18"/>
                <w:szCs w:val="18"/>
                <w:lang w:eastAsia="en-AU"/>
              </w:rPr>
              <w:t>Port Vila Municipal Council data</w:t>
            </w:r>
          </w:p>
        </w:tc>
      </w:tr>
      <w:tr w:rsidR="00D164F0" w:rsidRPr="00702DCD" w:rsidTr="0003213D">
        <w:trPr>
          <w:trHeight w:val="480"/>
        </w:trPr>
        <w:tc>
          <w:tcPr>
            <w:tcW w:w="4341" w:type="dxa"/>
            <w:tcBorders>
              <w:top w:val="nil"/>
              <w:left w:val="nil"/>
              <w:bottom w:val="nil"/>
              <w:right w:val="nil"/>
            </w:tcBorders>
            <w:shd w:val="clear" w:color="000000" w:fill="BDD6EE"/>
            <w:vAlign w:val="center"/>
            <w:hideMark/>
          </w:tcPr>
          <w:p w:rsidR="00D164F0" w:rsidRDefault="00061287" w:rsidP="00D164F0">
            <w:pPr>
              <w:suppressAutoHyphens w:val="0"/>
              <w:spacing w:before="0" w:after="0" w:line="240" w:lineRule="auto"/>
              <w:rPr>
                <w:rFonts w:ascii="Calibri" w:eastAsia="Times New Roman" w:hAnsi="Calibri" w:cs="Calibri"/>
                <w:color w:val="auto"/>
                <w:sz w:val="18"/>
                <w:szCs w:val="18"/>
                <w:lang w:eastAsia="en-AU"/>
              </w:rPr>
            </w:pPr>
            <w:r>
              <w:rPr>
                <w:rFonts w:ascii="Calibri" w:eastAsia="Times New Roman" w:hAnsi="Calibri" w:cs="Calibri"/>
                <w:color w:val="auto"/>
                <w:sz w:val="18"/>
                <w:szCs w:val="18"/>
                <w:lang w:eastAsia="en-AU"/>
              </w:rPr>
              <w:t xml:space="preserve">1.8: </w:t>
            </w:r>
            <w:r w:rsidR="00D164F0" w:rsidRPr="00816F98">
              <w:rPr>
                <w:rFonts w:ascii="Calibri" w:eastAsia="Times New Roman" w:hAnsi="Calibri" w:cs="Calibri"/>
                <w:color w:val="auto"/>
                <w:sz w:val="18"/>
                <w:szCs w:val="18"/>
                <w:lang w:eastAsia="en-AU"/>
              </w:rPr>
              <w:footnoteReference w:customMarkFollows="1" w:id="23"/>
              <w:t>N</w:t>
            </w:r>
            <w:r w:rsidR="00D164F0">
              <w:rPr>
                <w:rFonts w:ascii="Calibri" w:eastAsia="Times New Roman" w:hAnsi="Calibri" w:cs="Calibri"/>
                <w:color w:val="auto"/>
                <w:sz w:val="18"/>
                <w:szCs w:val="18"/>
                <w:lang w:eastAsia="en-AU"/>
              </w:rPr>
              <w:t>umber of ni-Vanuatu women</w:t>
            </w:r>
            <w:r w:rsidR="00D164F0">
              <w:rPr>
                <w:rStyle w:val="FootnoteReference"/>
                <w:rFonts w:ascii="Calibri" w:eastAsia="Times New Roman" w:hAnsi="Calibri" w:cs="Calibri"/>
                <w:color w:val="auto"/>
                <w:sz w:val="18"/>
                <w:szCs w:val="18"/>
                <w:lang w:eastAsia="en-AU"/>
              </w:rPr>
              <w:footnoteReference w:id="24"/>
            </w:r>
            <w:r w:rsidR="00D164F0" w:rsidRPr="00816F98">
              <w:rPr>
                <w:rFonts w:ascii="Calibri" w:eastAsia="Times New Roman" w:hAnsi="Calibri" w:cs="Calibri"/>
                <w:color w:val="auto"/>
                <w:sz w:val="18"/>
                <w:szCs w:val="18"/>
                <w:lang w:eastAsia="en-AU"/>
              </w:rPr>
              <w:t xml:space="preserve"> and men engaged in seasonal worker program </w:t>
            </w:r>
          </w:p>
          <w:p w:rsidR="00492E26" w:rsidRPr="00816F98" w:rsidRDefault="00492E26" w:rsidP="00D164F0">
            <w:pPr>
              <w:suppressAutoHyphens w:val="0"/>
              <w:spacing w:before="0" w:after="0" w:line="240" w:lineRule="auto"/>
              <w:rPr>
                <w:rFonts w:ascii="Calibri" w:eastAsia="Times New Roman" w:hAnsi="Calibri" w:cs="Calibri"/>
                <w:color w:val="auto"/>
                <w:sz w:val="18"/>
                <w:szCs w:val="18"/>
                <w:lang w:val="en-AU" w:eastAsia="en-AU"/>
              </w:rPr>
            </w:pPr>
          </w:p>
        </w:tc>
        <w:tc>
          <w:tcPr>
            <w:tcW w:w="1220" w:type="dxa"/>
            <w:tcBorders>
              <w:top w:val="nil"/>
              <w:left w:val="nil"/>
              <w:bottom w:val="nil"/>
              <w:right w:val="nil"/>
            </w:tcBorders>
            <w:shd w:val="clear" w:color="000000" w:fill="BDD6EE"/>
            <w:vAlign w:val="center"/>
            <w:hideMark/>
          </w:tcPr>
          <w:p w:rsidR="00D164F0" w:rsidRPr="00702DCD" w:rsidRDefault="00D164F0" w:rsidP="00D164F0">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192F|1,006M</w:t>
            </w:r>
          </w:p>
        </w:tc>
        <w:tc>
          <w:tcPr>
            <w:tcW w:w="1220" w:type="dxa"/>
            <w:tcBorders>
              <w:top w:val="nil"/>
              <w:left w:val="nil"/>
              <w:bottom w:val="nil"/>
              <w:right w:val="nil"/>
            </w:tcBorders>
            <w:shd w:val="clear" w:color="000000" w:fill="BDD6EE"/>
            <w:vAlign w:val="center"/>
            <w:hideMark/>
          </w:tcPr>
          <w:p w:rsidR="00D164F0" w:rsidRPr="00702DCD" w:rsidRDefault="00D164F0" w:rsidP="00D164F0">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395F|2,149M</w:t>
            </w:r>
          </w:p>
        </w:tc>
        <w:tc>
          <w:tcPr>
            <w:tcW w:w="1220" w:type="dxa"/>
            <w:tcBorders>
              <w:top w:val="nil"/>
              <w:left w:val="nil"/>
              <w:bottom w:val="nil"/>
              <w:right w:val="nil"/>
            </w:tcBorders>
            <w:shd w:val="clear" w:color="000000" w:fill="BDD6EE"/>
            <w:vAlign w:val="center"/>
            <w:hideMark/>
          </w:tcPr>
          <w:p w:rsidR="00D164F0" w:rsidRPr="00702DCD" w:rsidRDefault="00D164F0" w:rsidP="00D164F0">
            <w:pPr>
              <w:suppressAutoHyphens w:val="0"/>
              <w:spacing w:before="0" w:after="0" w:line="240" w:lineRule="auto"/>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520F|2,828M</w:t>
            </w:r>
          </w:p>
        </w:tc>
        <w:tc>
          <w:tcPr>
            <w:tcW w:w="1291" w:type="dxa"/>
            <w:tcBorders>
              <w:top w:val="nil"/>
              <w:left w:val="nil"/>
              <w:bottom w:val="nil"/>
              <w:right w:val="nil"/>
            </w:tcBorders>
            <w:shd w:val="clear" w:color="000000" w:fill="BDD6EE"/>
            <w:vAlign w:val="center"/>
            <w:hideMark/>
          </w:tcPr>
          <w:p w:rsidR="00D164F0" w:rsidRPr="00702DCD" w:rsidRDefault="00D164F0" w:rsidP="00492E26">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889F|4,075M</w:t>
            </w:r>
            <w:r w:rsidR="00F77A0A">
              <w:rPr>
                <w:rFonts w:ascii="Calibri" w:eastAsia="Times New Roman" w:hAnsi="Calibri" w:cs="Calibri"/>
                <w:color w:val="auto"/>
                <w:sz w:val="18"/>
                <w:szCs w:val="18"/>
                <w:lang w:eastAsia="en-AU"/>
              </w:rPr>
              <w:t xml:space="preserve"> (550FI2,850M)</w:t>
            </w:r>
          </w:p>
        </w:tc>
        <w:tc>
          <w:tcPr>
            <w:tcW w:w="1220" w:type="dxa"/>
            <w:tcBorders>
              <w:top w:val="nil"/>
              <w:left w:val="nil"/>
              <w:bottom w:val="nil"/>
              <w:right w:val="nil"/>
            </w:tcBorders>
            <w:shd w:val="clear" w:color="000000" w:fill="BDD6EE"/>
            <w:vAlign w:val="center"/>
            <w:hideMark/>
          </w:tcPr>
          <w:p w:rsidR="00D164F0" w:rsidRPr="00702DCD" w:rsidRDefault="00D164F0" w:rsidP="00492E26">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750F|3,500M</w:t>
            </w:r>
          </w:p>
        </w:tc>
        <w:tc>
          <w:tcPr>
            <w:tcW w:w="3888" w:type="dxa"/>
            <w:tcBorders>
              <w:top w:val="nil"/>
              <w:left w:val="nil"/>
              <w:bottom w:val="nil"/>
              <w:right w:val="nil"/>
            </w:tcBorders>
            <w:shd w:val="clear" w:color="000000" w:fill="BDD6EE"/>
            <w:vAlign w:val="center"/>
            <w:hideMark/>
          </w:tcPr>
          <w:p w:rsidR="00D164F0" w:rsidRPr="00702DCD" w:rsidRDefault="00D164F0" w:rsidP="00492E26">
            <w:pPr>
              <w:suppressAutoHyphens w:val="0"/>
              <w:spacing w:before="0" w:after="0" w:line="240" w:lineRule="auto"/>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 xml:space="preserve">Australian Govt and LMP monitoring </w:t>
            </w:r>
            <w:r>
              <w:rPr>
                <w:rFonts w:ascii="Calibri" w:eastAsia="Times New Roman" w:hAnsi="Calibri" w:cs="Calibri"/>
                <w:color w:val="auto"/>
                <w:sz w:val="18"/>
                <w:szCs w:val="18"/>
                <w:lang w:eastAsia="en-AU"/>
              </w:rPr>
              <w:t xml:space="preserve">data. </w:t>
            </w:r>
            <w:r w:rsidR="00492E26">
              <w:rPr>
                <w:rFonts w:ascii="Calibri" w:eastAsia="Times New Roman" w:hAnsi="Calibri" w:cs="Calibri"/>
                <w:color w:val="auto"/>
                <w:sz w:val="18"/>
                <w:szCs w:val="18"/>
                <w:lang w:eastAsia="en-AU"/>
              </w:rPr>
              <w:t>Pacific Labour Mobility Facility (wages and remittances)</w:t>
            </w:r>
          </w:p>
        </w:tc>
      </w:tr>
      <w:tr w:rsidR="00702DCD" w:rsidRPr="00702DCD" w:rsidTr="0003213D">
        <w:trPr>
          <w:trHeight w:val="480"/>
        </w:trPr>
        <w:tc>
          <w:tcPr>
            <w:tcW w:w="4341" w:type="dxa"/>
            <w:vMerge w:val="restart"/>
            <w:tcBorders>
              <w:top w:val="nil"/>
              <w:left w:val="nil"/>
              <w:bottom w:val="nil"/>
              <w:right w:val="nil"/>
            </w:tcBorders>
            <w:shd w:val="clear" w:color="000000" w:fill="DBDBDB"/>
            <w:vAlign w:val="center"/>
            <w:hideMark/>
          </w:tcPr>
          <w:p w:rsidR="00702DCD" w:rsidRPr="00702DCD" w:rsidRDefault="00061287" w:rsidP="008F53E9">
            <w:pPr>
              <w:suppressAutoHyphens w:val="0"/>
              <w:spacing w:before="0" w:after="0" w:line="240" w:lineRule="auto"/>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 xml:space="preserve">1.9: </w:t>
            </w:r>
            <w:r w:rsidR="00702DCD" w:rsidRPr="00702DCD">
              <w:rPr>
                <w:rFonts w:ascii="Calibri" w:eastAsia="Times New Roman" w:hAnsi="Calibri" w:cs="Calibri"/>
                <w:color w:val="auto"/>
                <w:sz w:val="18"/>
                <w:szCs w:val="18"/>
                <w:lang w:eastAsia="en-AU"/>
              </w:rPr>
              <w:t>Proportion of VSP clients who increase their income following training</w:t>
            </w:r>
          </w:p>
        </w:tc>
        <w:tc>
          <w:tcPr>
            <w:tcW w:w="1220" w:type="dxa"/>
            <w:tcBorders>
              <w:top w:val="nil"/>
              <w:left w:val="nil"/>
              <w:bottom w:val="nil"/>
              <w:right w:val="nil"/>
            </w:tcBorders>
            <w:shd w:val="clear" w:color="000000" w:fill="D9D9D9"/>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68%F|61%M</w:t>
            </w:r>
          </w:p>
        </w:tc>
        <w:tc>
          <w:tcPr>
            <w:tcW w:w="1220" w:type="dxa"/>
            <w:vMerge w:val="restart"/>
            <w:tcBorders>
              <w:top w:val="nil"/>
              <w:left w:val="nil"/>
              <w:bottom w:val="nil"/>
              <w:right w:val="nil"/>
            </w:tcBorders>
            <w:shd w:val="clear" w:color="000000" w:fill="DBDBDB"/>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N/A</w:t>
            </w:r>
          </w:p>
        </w:tc>
        <w:tc>
          <w:tcPr>
            <w:tcW w:w="1220" w:type="dxa"/>
            <w:vMerge w:val="restart"/>
            <w:tcBorders>
              <w:top w:val="nil"/>
              <w:left w:val="nil"/>
              <w:bottom w:val="nil"/>
              <w:right w:val="nil"/>
            </w:tcBorders>
            <w:shd w:val="clear" w:color="000000" w:fill="DBDBDB"/>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N/A</w:t>
            </w:r>
          </w:p>
        </w:tc>
        <w:tc>
          <w:tcPr>
            <w:tcW w:w="1291" w:type="dxa"/>
            <w:vMerge w:val="restart"/>
            <w:tcBorders>
              <w:top w:val="nil"/>
              <w:left w:val="nil"/>
              <w:bottom w:val="nil"/>
              <w:right w:val="nil"/>
            </w:tcBorders>
            <w:shd w:val="clear" w:color="000000" w:fill="DBDBDB"/>
            <w:vAlign w:val="center"/>
            <w:hideMark/>
          </w:tcPr>
          <w:p w:rsidR="00702DCD" w:rsidRPr="00702DCD" w:rsidRDefault="00F77A0A" w:rsidP="00492E26">
            <w:pPr>
              <w:suppressAutoHyphens w:val="0"/>
              <w:spacing w:before="0" w:after="0" w:line="240" w:lineRule="auto"/>
              <w:jc w:val="center"/>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47% (</w:t>
            </w:r>
            <w:r w:rsidR="00702DCD" w:rsidRPr="00702DCD">
              <w:rPr>
                <w:rFonts w:ascii="Calibri" w:eastAsia="Times New Roman" w:hAnsi="Calibri" w:cs="Calibri"/>
                <w:color w:val="auto"/>
                <w:sz w:val="18"/>
                <w:szCs w:val="18"/>
                <w:lang w:eastAsia="en-AU"/>
              </w:rPr>
              <w:t>80%F | 80%M</w:t>
            </w:r>
            <w:r>
              <w:rPr>
                <w:rFonts w:ascii="Calibri" w:eastAsia="Times New Roman" w:hAnsi="Calibri" w:cs="Calibri"/>
                <w:color w:val="auto"/>
                <w:sz w:val="18"/>
                <w:szCs w:val="18"/>
                <w:lang w:eastAsia="en-AU"/>
              </w:rPr>
              <w:t>)</w:t>
            </w:r>
          </w:p>
        </w:tc>
        <w:tc>
          <w:tcPr>
            <w:tcW w:w="1220" w:type="dxa"/>
            <w:vMerge w:val="restart"/>
            <w:tcBorders>
              <w:top w:val="nil"/>
              <w:left w:val="nil"/>
              <w:bottom w:val="nil"/>
              <w:right w:val="nil"/>
            </w:tcBorders>
            <w:shd w:val="clear" w:color="000000" w:fill="DBDBDB"/>
            <w:vAlign w:val="center"/>
            <w:hideMark/>
          </w:tcPr>
          <w:p w:rsidR="00702DCD" w:rsidRPr="00702DCD" w:rsidRDefault="00702DCD" w:rsidP="00492E26">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80%F | 80%M</w:t>
            </w:r>
          </w:p>
        </w:tc>
        <w:tc>
          <w:tcPr>
            <w:tcW w:w="3888" w:type="dxa"/>
            <w:vMerge w:val="restart"/>
            <w:tcBorders>
              <w:top w:val="nil"/>
              <w:left w:val="nil"/>
              <w:bottom w:val="nil"/>
              <w:right w:val="nil"/>
            </w:tcBorders>
            <w:shd w:val="clear" w:color="000000" w:fill="DBDBDB"/>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Skills Partnership monitoring data disaggregated by location, sex and disability.</w:t>
            </w:r>
          </w:p>
        </w:tc>
      </w:tr>
      <w:tr w:rsidR="00702DCD" w:rsidRPr="00702DCD" w:rsidTr="0003213D">
        <w:trPr>
          <w:trHeight w:val="600"/>
        </w:trPr>
        <w:tc>
          <w:tcPr>
            <w:tcW w:w="4341"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c>
          <w:tcPr>
            <w:tcW w:w="1220" w:type="dxa"/>
            <w:tcBorders>
              <w:top w:val="nil"/>
              <w:left w:val="nil"/>
              <w:bottom w:val="nil"/>
              <w:right w:val="nil"/>
            </w:tcBorders>
            <w:shd w:val="clear" w:color="000000" w:fill="DBDBDB"/>
            <w:vAlign w:val="center"/>
            <w:hideMark/>
          </w:tcPr>
          <w:p w:rsidR="00702DCD" w:rsidRPr="00702DCD" w:rsidRDefault="00702DCD" w:rsidP="00D164F0">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[2015 TVET  report</w:t>
            </w:r>
            <w:r w:rsidR="00AA2916">
              <w:rPr>
                <w:rFonts w:ascii="Calibri" w:eastAsia="Times New Roman" w:hAnsi="Calibri" w:cs="Calibri"/>
                <w:color w:val="auto"/>
                <w:sz w:val="18"/>
                <w:szCs w:val="18"/>
                <w:lang w:eastAsia="en-AU"/>
              </w:rPr>
              <w:t>]</w:t>
            </w:r>
          </w:p>
        </w:tc>
        <w:tc>
          <w:tcPr>
            <w:tcW w:w="1220"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c>
          <w:tcPr>
            <w:tcW w:w="1220"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c>
          <w:tcPr>
            <w:tcW w:w="1291" w:type="dxa"/>
            <w:vMerge/>
            <w:tcBorders>
              <w:top w:val="nil"/>
              <w:left w:val="nil"/>
              <w:bottom w:val="nil"/>
              <w:right w:val="nil"/>
            </w:tcBorders>
            <w:vAlign w:val="center"/>
            <w:hideMark/>
          </w:tcPr>
          <w:p w:rsidR="00702DCD" w:rsidRPr="00702DCD" w:rsidRDefault="00702DCD" w:rsidP="00492E26">
            <w:pPr>
              <w:suppressAutoHyphens w:val="0"/>
              <w:spacing w:before="0" w:after="0" w:line="240" w:lineRule="auto"/>
              <w:jc w:val="center"/>
              <w:rPr>
                <w:rFonts w:ascii="Calibri" w:eastAsia="Times New Roman" w:hAnsi="Calibri" w:cs="Calibri"/>
                <w:color w:val="auto"/>
                <w:sz w:val="18"/>
                <w:szCs w:val="18"/>
                <w:lang w:val="en-AU" w:eastAsia="en-AU"/>
              </w:rPr>
            </w:pPr>
          </w:p>
        </w:tc>
        <w:tc>
          <w:tcPr>
            <w:tcW w:w="1220" w:type="dxa"/>
            <w:vMerge/>
            <w:tcBorders>
              <w:top w:val="nil"/>
              <w:left w:val="nil"/>
              <w:bottom w:val="nil"/>
              <w:right w:val="nil"/>
            </w:tcBorders>
            <w:vAlign w:val="center"/>
            <w:hideMark/>
          </w:tcPr>
          <w:p w:rsidR="00702DCD" w:rsidRPr="00702DCD" w:rsidRDefault="00702DCD" w:rsidP="00492E26">
            <w:pPr>
              <w:suppressAutoHyphens w:val="0"/>
              <w:spacing w:before="0" w:after="0" w:line="240" w:lineRule="auto"/>
              <w:jc w:val="center"/>
              <w:rPr>
                <w:rFonts w:ascii="Calibri" w:eastAsia="Times New Roman" w:hAnsi="Calibri" w:cs="Calibri"/>
                <w:color w:val="auto"/>
                <w:sz w:val="18"/>
                <w:szCs w:val="18"/>
                <w:lang w:val="en-AU" w:eastAsia="en-AU"/>
              </w:rPr>
            </w:pPr>
          </w:p>
        </w:tc>
        <w:tc>
          <w:tcPr>
            <w:tcW w:w="3888"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r>
      <w:tr w:rsidR="00702DCD" w:rsidRPr="00702DCD" w:rsidTr="0003213D">
        <w:trPr>
          <w:trHeight w:val="300"/>
        </w:trPr>
        <w:tc>
          <w:tcPr>
            <w:tcW w:w="4341" w:type="dxa"/>
            <w:vMerge w:val="restart"/>
            <w:tcBorders>
              <w:top w:val="nil"/>
              <w:left w:val="nil"/>
              <w:bottom w:val="nil"/>
              <w:right w:val="nil"/>
            </w:tcBorders>
            <w:shd w:val="clear" w:color="000000" w:fill="BDD6EE"/>
            <w:vAlign w:val="center"/>
            <w:hideMark/>
          </w:tcPr>
          <w:p w:rsidR="00702DCD" w:rsidRPr="00702DCD" w:rsidRDefault="00061287" w:rsidP="008F53E9">
            <w:pPr>
              <w:suppressAutoHyphens w:val="0"/>
              <w:spacing w:before="0" w:after="0" w:line="240" w:lineRule="auto"/>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 xml:space="preserve">1.10: </w:t>
            </w:r>
            <w:r w:rsidR="00702DCD" w:rsidRPr="00702DCD">
              <w:rPr>
                <w:rFonts w:ascii="Calibri" w:eastAsia="Times New Roman" w:hAnsi="Calibri" w:cs="Calibri"/>
                <w:color w:val="auto"/>
                <w:sz w:val="18"/>
                <w:szCs w:val="18"/>
                <w:lang w:eastAsia="en-AU"/>
              </w:rPr>
              <w:t>Number of Australian tourists travelling to Vanuatu</w:t>
            </w:r>
          </w:p>
        </w:tc>
        <w:tc>
          <w:tcPr>
            <w:tcW w:w="1220" w:type="dxa"/>
            <w:vMerge w:val="restart"/>
            <w:tcBorders>
              <w:top w:val="nil"/>
              <w:left w:val="nil"/>
              <w:bottom w:val="nil"/>
              <w:right w:val="nil"/>
            </w:tcBorders>
            <w:shd w:val="clear" w:color="000000" w:fill="BDD6EE"/>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46,900</w:t>
            </w:r>
          </w:p>
        </w:tc>
        <w:tc>
          <w:tcPr>
            <w:tcW w:w="1220" w:type="dxa"/>
            <w:vMerge w:val="restart"/>
            <w:tcBorders>
              <w:top w:val="nil"/>
              <w:left w:val="nil"/>
              <w:bottom w:val="nil"/>
              <w:right w:val="nil"/>
            </w:tcBorders>
            <w:shd w:val="clear" w:color="000000" w:fill="BDD6EE"/>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54,637</w:t>
            </w:r>
          </w:p>
        </w:tc>
        <w:tc>
          <w:tcPr>
            <w:tcW w:w="1220" w:type="dxa"/>
            <w:vMerge w:val="restart"/>
            <w:tcBorders>
              <w:top w:val="nil"/>
              <w:left w:val="nil"/>
              <w:bottom w:val="nil"/>
              <w:right w:val="nil"/>
            </w:tcBorders>
            <w:shd w:val="clear" w:color="000000" w:fill="BDD6EE"/>
            <w:vAlign w:val="center"/>
            <w:hideMark/>
          </w:tcPr>
          <w:p w:rsidR="00702DCD" w:rsidRPr="00702DCD" w:rsidRDefault="00702DCD"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57,237</w:t>
            </w:r>
          </w:p>
        </w:tc>
        <w:tc>
          <w:tcPr>
            <w:tcW w:w="1291" w:type="dxa"/>
            <w:vMerge w:val="restart"/>
            <w:tcBorders>
              <w:top w:val="nil"/>
              <w:left w:val="nil"/>
              <w:bottom w:val="nil"/>
              <w:right w:val="nil"/>
            </w:tcBorders>
            <w:shd w:val="clear" w:color="000000" w:fill="BDD6EE"/>
            <w:vAlign w:val="center"/>
            <w:hideMark/>
          </w:tcPr>
          <w:p w:rsidR="00702DCD" w:rsidRPr="00702DCD" w:rsidRDefault="00702DCD" w:rsidP="00492E26">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60,057</w:t>
            </w:r>
            <w:r w:rsidR="00515AD3">
              <w:rPr>
                <w:rFonts w:ascii="Calibri" w:eastAsia="Times New Roman" w:hAnsi="Calibri" w:cs="Calibri"/>
                <w:color w:val="auto"/>
                <w:sz w:val="18"/>
                <w:szCs w:val="18"/>
                <w:lang w:eastAsia="en-AU"/>
              </w:rPr>
              <w:t xml:space="preserve"> (60,000</w:t>
            </w:r>
            <w:r w:rsidR="00F77A0A">
              <w:rPr>
                <w:rFonts w:ascii="Calibri" w:eastAsia="Times New Roman" w:hAnsi="Calibri" w:cs="Calibri"/>
                <w:color w:val="auto"/>
                <w:sz w:val="18"/>
                <w:szCs w:val="18"/>
                <w:lang w:eastAsia="en-AU"/>
              </w:rPr>
              <w:t>)</w:t>
            </w:r>
          </w:p>
        </w:tc>
        <w:tc>
          <w:tcPr>
            <w:tcW w:w="1220" w:type="dxa"/>
            <w:vMerge w:val="restart"/>
            <w:tcBorders>
              <w:top w:val="nil"/>
              <w:left w:val="nil"/>
              <w:bottom w:val="nil"/>
              <w:right w:val="nil"/>
            </w:tcBorders>
            <w:shd w:val="clear" w:color="000000" w:fill="BDD6EE"/>
            <w:vAlign w:val="center"/>
            <w:hideMark/>
          </w:tcPr>
          <w:p w:rsidR="00702DCD" w:rsidRPr="00702DCD" w:rsidRDefault="00702DCD" w:rsidP="00492E26">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val="en-AU" w:eastAsia="en-AU"/>
              </w:rPr>
              <w:t>65,000</w:t>
            </w:r>
          </w:p>
        </w:tc>
        <w:tc>
          <w:tcPr>
            <w:tcW w:w="3888" w:type="dxa"/>
            <w:tcBorders>
              <w:top w:val="nil"/>
              <w:left w:val="nil"/>
              <w:bottom w:val="nil"/>
              <w:right w:val="nil"/>
            </w:tcBorders>
            <w:shd w:val="clear" w:color="000000" w:fill="BDD6EE"/>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Vanuatu National Statistics Office data</w:t>
            </w:r>
          </w:p>
        </w:tc>
      </w:tr>
      <w:tr w:rsidR="00702DCD" w:rsidRPr="00702DCD" w:rsidTr="0003213D">
        <w:trPr>
          <w:trHeight w:val="480"/>
        </w:trPr>
        <w:tc>
          <w:tcPr>
            <w:tcW w:w="4341"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c>
          <w:tcPr>
            <w:tcW w:w="1220"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c>
          <w:tcPr>
            <w:tcW w:w="1220"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c>
          <w:tcPr>
            <w:tcW w:w="1220"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c>
          <w:tcPr>
            <w:tcW w:w="1291" w:type="dxa"/>
            <w:vMerge/>
            <w:tcBorders>
              <w:top w:val="nil"/>
              <w:left w:val="nil"/>
              <w:bottom w:val="nil"/>
              <w:right w:val="nil"/>
            </w:tcBorders>
            <w:vAlign w:val="center"/>
            <w:hideMark/>
          </w:tcPr>
          <w:p w:rsidR="00702DCD" w:rsidRPr="00702DCD" w:rsidRDefault="00702DCD" w:rsidP="00492E26">
            <w:pPr>
              <w:suppressAutoHyphens w:val="0"/>
              <w:spacing w:before="0" w:after="0" w:line="240" w:lineRule="auto"/>
              <w:jc w:val="center"/>
              <w:rPr>
                <w:rFonts w:ascii="Calibri" w:eastAsia="Times New Roman" w:hAnsi="Calibri" w:cs="Calibri"/>
                <w:color w:val="auto"/>
                <w:sz w:val="18"/>
                <w:szCs w:val="18"/>
                <w:lang w:val="en-AU" w:eastAsia="en-AU"/>
              </w:rPr>
            </w:pPr>
          </w:p>
        </w:tc>
        <w:tc>
          <w:tcPr>
            <w:tcW w:w="1220" w:type="dxa"/>
            <w:vMerge/>
            <w:tcBorders>
              <w:top w:val="nil"/>
              <w:left w:val="nil"/>
              <w:bottom w:val="nil"/>
              <w:right w:val="nil"/>
            </w:tcBorders>
            <w:vAlign w:val="center"/>
            <w:hideMark/>
          </w:tcPr>
          <w:p w:rsidR="00702DCD" w:rsidRPr="00702DCD" w:rsidRDefault="00702DCD" w:rsidP="00492E26">
            <w:pPr>
              <w:suppressAutoHyphens w:val="0"/>
              <w:spacing w:before="0" w:after="0" w:line="240" w:lineRule="auto"/>
              <w:jc w:val="center"/>
              <w:rPr>
                <w:rFonts w:ascii="Calibri" w:eastAsia="Times New Roman" w:hAnsi="Calibri" w:cs="Calibri"/>
                <w:color w:val="auto"/>
                <w:sz w:val="18"/>
                <w:szCs w:val="18"/>
                <w:lang w:val="en-AU" w:eastAsia="en-AU"/>
              </w:rPr>
            </w:pPr>
          </w:p>
        </w:tc>
        <w:tc>
          <w:tcPr>
            <w:tcW w:w="3888" w:type="dxa"/>
            <w:tcBorders>
              <w:top w:val="nil"/>
              <w:left w:val="nil"/>
              <w:bottom w:val="nil"/>
              <w:right w:val="nil"/>
            </w:tcBorders>
            <w:shd w:val="clear" w:color="000000" w:fill="BDD6EE"/>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 xml:space="preserve">DIBP OAD Pivot </w:t>
            </w:r>
            <w:r w:rsidR="00AA2916">
              <w:rPr>
                <w:rFonts w:ascii="Calibri" w:eastAsia="Times New Roman" w:hAnsi="Calibri" w:cs="Calibri"/>
                <w:color w:val="auto"/>
                <w:sz w:val="18"/>
                <w:szCs w:val="18"/>
                <w:lang w:eastAsia="en-AU"/>
              </w:rPr>
              <w:t>tables + Tourism Research Aust.</w:t>
            </w:r>
          </w:p>
        </w:tc>
      </w:tr>
      <w:tr w:rsidR="00702DCD" w:rsidRPr="00702DCD" w:rsidTr="0003213D">
        <w:trPr>
          <w:trHeight w:val="480"/>
        </w:trPr>
        <w:tc>
          <w:tcPr>
            <w:tcW w:w="4341" w:type="dxa"/>
            <w:vMerge/>
            <w:tcBorders>
              <w:top w:val="nil"/>
              <w:left w:val="nil"/>
              <w:bottom w:val="nil"/>
              <w:right w:val="nil"/>
            </w:tcBorders>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p>
        </w:tc>
        <w:tc>
          <w:tcPr>
            <w:tcW w:w="1220" w:type="dxa"/>
            <w:tcBorders>
              <w:top w:val="nil"/>
              <w:left w:val="nil"/>
              <w:bottom w:val="nil"/>
              <w:right w:val="nil"/>
            </w:tcBorders>
            <w:shd w:val="clear" w:color="000000" w:fill="BDD6EE"/>
            <w:vAlign w:val="center"/>
            <w:hideMark/>
          </w:tcPr>
          <w:p w:rsidR="00702DCD" w:rsidRPr="00702DCD" w:rsidRDefault="00702DCD" w:rsidP="00492E26">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[DIBP OAD data]</w:t>
            </w:r>
          </w:p>
        </w:tc>
        <w:tc>
          <w:tcPr>
            <w:tcW w:w="1220" w:type="dxa"/>
            <w:tcBorders>
              <w:top w:val="nil"/>
              <w:left w:val="nil"/>
              <w:bottom w:val="nil"/>
              <w:right w:val="nil"/>
            </w:tcBorders>
            <w:shd w:val="clear" w:color="000000" w:fill="BDD6EE"/>
            <w:vAlign w:val="center"/>
            <w:hideMark/>
          </w:tcPr>
          <w:p w:rsidR="00702DCD" w:rsidRPr="00702DCD" w:rsidRDefault="00702DCD" w:rsidP="00492E26">
            <w:pPr>
              <w:suppressAutoHyphens w:val="0"/>
              <w:spacing w:before="0" w:after="0" w:line="240" w:lineRule="auto"/>
              <w:jc w:val="center"/>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[DIBP OAD data]</w:t>
            </w:r>
          </w:p>
        </w:tc>
        <w:tc>
          <w:tcPr>
            <w:tcW w:w="1220" w:type="dxa"/>
            <w:tcBorders>
              <w:top w:val="nil"/>
              <w:left w:val="nil"/>
              <w:bottom w:val="nil"/>
              <w:right w:val="nil"/>
            </w:tcBorders>
            <w:shd w:val="clear" w:color="000000" w:fill="BDD6EE"/>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val="en-AU" w:eastAsia="en-AU"/>
              </w:rPr>
              <w:t> </w:t>
            </w:r>
          </w:p>
        </w:tc>
        <w:tc>
          <w:tcPr>
            <w:tcW w:w="1291" w:type="dxa"/>
            <w:tcBorders>
              <w:top w:val="nil"/>
              <w:left w:val="nil"/>
              <w:bottom w:val="nil"/>
              <w:right w:val="nil"/>
            </w:tcBorders>
            <w:shd w:val="clear" w:color="000000" w:fill="BDD6EE"/>
            <w:vAlign w:val="center"/>
            <w:hideMark/>
          </w:tcPr>
          <w:p w:rsidR="00702DCD" w:rsidRPr="00702DCD" w:rsidRDefault="00702DCD" w:rsidP="00492E26">
            <w:pPr>
              <w:suppressAutoHyphens w:val="0"/>
              <w:spacing w:before="0" w:after="0" w:line="240" w:lineRule="auto"/>
              <w:jc w:val="center"/>
              <w:rPr>
                <w:rFonts w:ascii="Calibri" w:eastAsia="Times New Roman" w:hAnsi="Calibri" w:cs="Calibri"/>
                <w:color w:val="auto"/>
                <w:sz w:val="18"/>
                <w:szCs w:val="18"/>
                <w:lang w:val="en-AU" w:eastAsia="en-AU"/>
              </w:rPr>
            </w:pPr>
          </w:p>
        </w:tc>
        <w:tc>
          <w:tcPr>
            <w:tcW w:w="1220" w:type="dxa"/>
            <w:tcBorders>
              <w:top w:val="nil"/>
              <w:left w:val="nil"/>
              <w:bottom w:val="nil"/>
              <w:right w:val="nil"/>
            </w:tcBorders>
            <w:shd w:val="clear" w:color="000000" w:fill="BDD6EE"/>
            <w:vAlign w:val="center"/>
            <w:hideMark/>
          </w:tcPr>
          <w:p w:rsidR="00702DCD" w:rsidRPr="00702DCD" w:rsidRDefault="00702DCD" w:rsidP="00492E26">
            <w:pPr>
              <w:suppressAutoHyphens w:val="0"/>
              <w:spacing w:before="0" w:after="0" w:line="240" w:lineRule="auto"/>
              <w:jc w:val="center"/>
              <w:rPr>
                <w:rFonts w:ascii="Calibri" w:eastAsia="Times New Roman" w:hAnsi="Calibri" w:cs="Calibri"/>
                <w:color w:val="auto"/>
                <w:sz w:val="18"/>
                <w:szCs w:val="18"/>
                <w:lang w:val="en-AU" w:eastAsia="en-AU"/>
              </w:rPr>
            </w:pPr>
          </w:p>
        </w:tc>
        <w:tc>
          <w:tcPr>
            <w:tcW w:w="3888" w:type="dxa"/>
            <w:tcBorders>
              <w:top w:val="nil"/>
              <w:left w:val="nil"/>
              <w:bottom w:val="nil"/>
              <w:right w:val="nil"/>
            </w:tcBorders>
            <w:shd w:val="clear" w:color="000000" w:fill="BDD6EE"/>
            <w:vAlign w:val="center"/>
            <w:hideMark/>
          </w:tcPr>
          <w:p w:rsidR="00702DCD" w:rsidRPr="00702DCD" w:rsidRDefault="00702DCD" w:rsidP="008F53E9">
            <w:pPr>
              <w:suppressAutoHyphens w:val="0"/>
              <w:spacing w:before="0" w:after="0" w:line="240" w:lineRule="auto"/>
              <w:rPr>
                <w:rFonts w:ascii="Calibri" w:eastAsia="Times New Roman" w:hAnsi="Calibri" w:cs="Calibri"/>
                <w:color w:val="auto"/>
                <w:sz w:val="18"/>
                <w:szCs w:val="18"/>
                <w:lang w:val="en-AU" w:eastAsia="en-AU"/>
              </w:rPr>
            </w:pPr>
            <w:r w:rsidRPr="00702DCD">
              <w:rPr>
                <w:rFonts w:ascii="Calibri" w:eastAsia="Times New Roman" w:hAnsi="Calibri" w:cs="Calibri"/>
                <w:color w:val="auto"/>
                <w:sz w:val="18"/>
                <w:szCs w:val="18"/>
                <w:lang w:eastAsia="en-AU"/>
              </w:rPr>
              <w:t>South Pacific Tourism Office</w:t>
            </w:r>
          </w:p>
        </w:tc>
      </w:tr>
    </w:tbl>
    <w:p w:rsidR="008F53E9" w:rsidRDefault="008F53E9" w:rsidP="008F53E9">
      <w:pPr>
        <w:suppressAutoHyphens w:val="0"/>
        <w:spacing w:before="0" w:after="0" w:line="240" w:lineRule="auto"/>
        <w:rPr>
          <w:rFonts w:ascii="Calibri" w:eastAsia="Times New Roman" w:hAnsi="Calibri" w:cs="Calibri"/>
          <w:b/>
          <w:bCs/>
          <w:color w:val="auto"/>
          <w:sz w:val="18"/>
          <w:szCs w:val="18"/>
          <w:lang w:eastAsia="en-AU"/>
        </w:rPr>
      </w:pPr>
    </w:p>
    <w:p w:rsidR="00F92740" w:rsidRDefault="00F92740" w:rsidP="008F53E9">
      <w:pPr>
        <w:suppressAutoHyphens w:val="0"/>
        <w:spacing w:before="0" w:after="0" w:line="240" w:lineRule="auto"/>
        <w:rPr>
          <w:rFonts w:ascii="Calibri" w:eastAsia="Times New Roman" w:hAnsi="Calibri" w:cs="Calibri"/>
          <w:b/>
          <w:bCs/>
          <w:color w:val="auto"/>
          <w:sz w:val="18"/>
          <w:szCs w:val="18"/>
          <w:lang w:eastAsia="en-AU"/>
        </w:rPr>
      </w:pPr>
    </w:p>
    <w:p w:rsidR="0003213D" w:rsidRDefault="0003213D" w:rsidP="008F53E9">
      <w:pPr>
        <w:suppressAutoHyphens w:val="0"/>
        <w:spacing w:before="0" w:after="0" w:line="240" w:lineRule="auto"/>
        <w:rPr>
          <w:rFonts w:ascii="Calibri" w:eastAsia="Times New Roman" w:hAnsi="Calibri" w:cs="Calibri"/>
          <w:b/>
          <w:bCs/>
          <w:color w:val="auto"/>
          <w:sz w:val="18"/>
          <w:szCs w:val="18"/>
          <w:lang w:eastAsia="en-AU"/>
        </w:rPr>
      </w:pPr>
    </w:p>
    <w:p w:rsidR="0003213D" w:rsidRDefault="0003213D" w:rsidP="008F53E9">
      <w:pPr>
        <w:suppressAutoHyphens w:val="0"/>
        <w:spacing w:before="0" w:after="0" w:line="240" w:lineRule="auto"/>
        <w:rPr>
          <w:rFonts w:ascii="Calibri" w:eastAsia="Times New Roman" w:hAnsi="Calibri" w:cs="Calibri"/>
          <w:b/>
          <w:bCs/>
          <w:color w:val="auto"/>
          <w:sz w:val="18"/>
          <w:szCs w:val="18"/>
          <w:lang w:eastAsia="en-AU"/>
        </w:rPr>
        <w:sectPr w:rsidR="0003213D" w:rsidSect="00C41F04">
          <w:pgSz w:w="16838" w:h="11906" w:orient="landscape" w:code="9"/>
          <w:pgMar w:top="1134" w:right="1527" w:bottom="1134" w:left="851" w:header="1418" w:footer="192" w:gutter="0"/>
          <w:cols w:space="397"/>
          <w:docGrid w:linePitch="360"/>
        </w:sectPr>
      </w:pPr>
    </w:p>
    <w:tbl>
      <w:tblPr>
        <w:tblW w:w="14400" w:type="dxa"/>
        <w:tblLook w:val="04A0" w:firstRow="1" w:lastRow="0" w:firstColumn="1" w:lastColumn="0" w:noHBand="0" w:noVBand="1"/>
      </w:tblPr>
      <w:tblGrid>
        <w:gridCol w:w="4688"/>
        <w:gridCol w:w="998"/>
        <w:gridCol w:w="980"/>
        <w:gridCol w:w="1204"/>
        <w:gridCol w:w="1743"/>
        <w:gridCol w:w="956"/>
        <w:gridCol w:w="3831"/>
      </w:tblGrid>
      <w:tr w:rsidR="00F608E3" w:rsidRPr="00F608E3" w:rsidTr="008F53E9">
        <w:trPr>
          <w:trHeight w:val="480"/>
        </w:trPr>
        <w:tc>
          <w:tcPr>
            <w:tcW w:w="5110" w:type="dxa"/>
            <w:tcBorders>
              <w:top w:val="single" w:sz="8" w:space="0" w:color="000000"/>
              <w:left w:val="nil"/>
              <w:bottom w:val="nil"/>
              <w:right w:val="nil"/>
            </w:tcBorders>
            <w:shd w:val="clear" w:color="auto" w:fill="auto"/>
            <w:vAlign w:val="center"/>
            <w:hideMark/>
          </w:tcPr>
          <w:p w:rsidR="006B2F59" w:rsidRDefault="006B2F59" w:rsidP="008F53E9">
            <w:pPr>
              <w:suppressAutoHyphens w:val="0"/>
              <w:spacing w:before="0" w:after="0" w:line="240" w:lineRule="auto"/>
              <w:rPr>
                <w:rFonts w:ascii="Calibri" w:eastAsia="Times New Roman" w:hAnsi="Calibri" w:cs="Calibri"/>
                <w:b/>
                <w:bCs/>
                <w:color w:val="auto"/>
                <w:sz w:val="18"/>
                <w:szCs w:val="18"/>
                <w:lang w:eastAsia="en-AU"/>
              </w:rPr>
            </w:pPr>
          </w:p>
          <w:p w:rsidR="006B2F59" w:rsidRDefault="006B2F59" w:rsidP="008F53E9">
            <w:pPr>
              <w:suppressAutoHyphens w:val="0"/>
              <w:spacing w:before="0" w:after="0" w:line="240" w:lineRule="auto"/>
              <w:rPr>
                <w:rFonts w:ascii="Calibri" w:eastAsia="Times New Roman" w:hAnsi="Calibri" w:cs="Calibri"/>
                <w:b/>
                <w:bCs/>
                <w:color w:val="auto"/>
                <w:sz w:val="18"/>
                <w:szCs w:val="18"/>
                <w:lang w:eastAsia="en-AU"/>
              </w:rPr>
            </w:pPr>
          </w:p>
          <w:p w:rsidR="006B2F59" w:rsidRDefault="006B2F59" w:rsidP="008F53E9">
            <w:pPr>
              <w:suppressAutoHyphens w:val="0"/>
              <w:spacing w:before="0" w:after="0" w:line="240" w:lineRule="auto"/>
              <w:rPr>
                <w:rFonts w:ascii="Calibri" w:eastAsia="Times New Roman" w:hAnsi="Calibri" w:cs="Calibri"/>
                <w:b/>
                <w:bCs/>
                <w:color w:val="auto"/>
                <w:sz w:val="18"/>
                <w:szCs w:val="18"/>
                <w:lang w:eastAsia="en-AU"/>
              </w:rPr>
            </w:pPr>
          </w:p>
          <w:p w:rsidR="006B2F59" w:rsidRDefault="006B2F59" w:rsidP="008F53E9">
            <w:pPr>
              <w:suppressAutoHyphens w:val="0"/>
              <w:spacing w:before="0" w:after="0" w:line="240" w:lineRule="auto"/>
              <w:rPr>
                <w:rFonts w:ascii="Calibri" w:eastAsia="Times New Roman" w:hAnsi="Calibri" w:cs="Calibri"/>
                <w:b/>
                <w:bCs/>
                <w:color w:val="auto"/>
                <w:sz w:val="18"/>
                <w:szCs w:val="18"/>
                <w:lang w:eastAsia="en-AU"/>
              </w:rPr>
            </w:pPr>
          </w:p>
          <w:p w:rsidR="006B2F59" w:rsidRDefault="006B2F59" w:rsidP="008F53E9">
            <w:pPr>
              <w:suppressAutoHyphens w:val="0"/>
              <w:spacing w:before="0" w:after="0" w:line="240" w:lineRule="auto"/>
              <w:rPr>
                <w:rFonts w:ascii="Calibri" w:eastAsia="Times New Roman" w:hAnsi="Calibri" w:cs="Calibri"/>
                <w:b/>
                <w:bCs/>
                <w:color w:val="auto"/>
                <w:sz w:val="18"/>
                <w:szCs w:val="18"/>
                <w:lang w:eastAsia="en-AU"/>
              </w:rPr>
            </w:pPr>
          </w:p>
          <w:p w:rsidR="006B2F59" w:rsidRDefault="006B2F59" w:rsidP="008F53E9">
            <w:pPr>
              <w:suppressAutoHyphens w:val="0"/>
              <w:spacing w:before="0" w:after="0" w:line="240" w:lineRule="auto"/>
              <w:rPr>
                <w:rFonts w:ascii="Calibri" w:eastAsia="Times New Roman" w:hAnsi="Calibri" w:cs="Calibri"/>
                <w:b/>
                <w:bCs/>
                <w:color w:val="auto"/>
                <w:sz w:val="18"/>
                <w:szCs w:val="18"/>
                <w:lang w:eastAsia="en-AU"/>
              </w:rPr>
            </w:pPr>
          </w:p>
          <w:p w:rsidR="006B2F59" w:rsidRDefault="006B2F59" w:rsidP="008F53E9">
            <w:pPr>
              <w:suppressAutoHyphens w:val="0"/>
              <w:spacing w:before="0" w:after="0" w:line="240" w:lineRule="auto"/>
              <w:rPr>
                <w:rFonts w:ascii="Calibri" w:eastAsia="Times New Roman" w:hAnsi="Calibri" w:cs="Calibri"/>
                <w:b/>
                <w:bCs/>
                <w:color w:val="auto"/>
                <w:sz w:val="18"/>
                <w:szCs w:val="18"/>
                <w:lang w:eastAsia="en-AU"/>
              </w:rPr>
            </w:pPr>
          </w:p>
          <w:p w:rsidR="006B2F59" w:rsidRDefault="006B2F59" w:rsidP="008F53E9">
            <w:pPr>
              <w:suppressAutoHyphens w:val="0"/>
              <w:spacing w:before="0" w:after="0" w:line="240" w:lineRule="auto"/>
              <w:rPr>
                <w:rFonts w:ascii="Calibri" w:eastAsia="Times New Roman" w:hAnsi="Calibri" w:cs="Calibri"/>
                <w:b/>
                <w:bCs/>
                <w:color w:val="auto"/>
                <w:sz w:val="18"/>
                <w:szCs w:val="18"/>
                <w:lang w:eastAsia="en-AU"/>
              </w:rPr>
            </w:pPr>
          </w:p>
          <w:p w:rsidR="00F608E3" w:rsidRPr="00F608E3" w:rsidRDefault="00F608E3" w:rsidP="008F53E9">
            <w:pPr>
              <w:suppressAutoHyphens w:val="0"/>
              <w:spacing w:before="0" w:after="0" w:line="240" w:lineRule="auto"/>
              <w:rPr>
                <w:rFonts w:ascii="Calibri" w:eastAsia="Times New Roman" w:hAnsi="Calibri" w:cs="Calibri"/>
                <w:b/>
                <w:bCs/>
                <w:color w:val="auto"/>
                <w:sz w:val="18"/>
                <w:szCs w:val="18"/>
                <w:lang w:val="en-AU" w:eastAsia="en-AU"/>
              </w:rPr>
            </w:pPr>
            <w:r w:rsidRPr="00F608E3">
              <w:rPr>
                <w:rFonts w:ascii="Calibri" w:eastAsia="Times New Roman" w:hAnsi="Calibri" w:cs="Calibri"/>
                <w:b/>
                <w:bCs/>
                <w:color w:val="auto"/>
                <w:sz w:val="18"/>
                <w:szCs w:val="18"/>
                <w:lang w:eastAsia="en-AU"/>
              </w:rPr>
              <w:lastRenderedPageBreak/>
              <w:t>Strategic Development Objective 2</w:t>
            </w:r>
          </w:p>
        </w:tc>
        <w:tc>
          <w:tcPr>
            <w:tcW w:w="9290" w:type="dxa"/>
            <w:gridSpan w:val="6"/>
            <w:tcBorders>
              <w:top w:val="single" w:sz="4" w:space="0" w:color="auto"/>
              <w:left w:val="nil"/>
              <w:bottom w:val="nil"/>
              <w:right w:val="nil"/>
            </w:tcBorders>
            <w:shd w:val="clear" w:color="auto" w:fill="auto"/>
            <w:vAlign w:val="center"/>
            <w:hideMark/>
          </w:tcPr>
          <w:p w:rsidR="006B2F59" w:rsidRDefault="006B2F59" w:rsidP="008F53E9">
            <w:pPr>
              <w:suppressAutoHyphens w:val="0"/>
              <w:spacing w:before="0" w:after="0" w:line="240" w:lineRule="auto"/>
              <w:rPr>
                <w:rFonts w:ascii="Calibri" w:eastAsia="Times New Roman" w:hAnsi="Calibri" w:cs="Calibri"/>
                <w:b/>
                <w:bCs/>
                <w:color w:val="auto"/>
                <w:sz w:val="18"/>
                <w:szCs w:val="18"/>
                <w:lang w:eastAsia="en-AU"/>
              </w:rPr>
            </w:pPr>
          </w:p>
          <w:p w:rsidR="006B2F59" w:rsidRDefault="006B2F59" w:rsidP="008F53E9">
            <w:pPr>
              <w:suppressAutoHyphens w:val="0"/>
              <w:spacing w:before="0" w:after="0" w:line="240" w:lineRule="auto"/>
              <w:rPr>
                <w:rFonts w:ascii="Calibri" w:eastAsia="Times New Roman" w:hAnsi="Calibri" w:cs="Calibri"/>
                <w:b/>
                <w:bCs/>
                <w:color w:val="auto"/>
                <w:sz w:val="18"/>
                <w:szCs w:val="18"/>
                <w:lang w:eastAsia="en-AU"/>
              </w:rPr>
            </w:pPr>
          </w:p>
          <w:p w:rsidR="006B2F59" w:rsidRDefault="006B2F59" w:rsidP="008F53E9">
            <w:pPr>
              <w:suppressAutoHyphens w:val="0"/>
              <w:spacing w:before="0" w:after="0" w:line="240" w:lineRule="auto"/>
              <w:rPr>
                <w:rFonts w:ascii="Calibri" w:eastAsia="Times New Roman" w:hAnsi="Calibri" w:cs="Calibri"/>
                <w:b/>
                <w:bCs/>
                <w:color w:val="auto"/>
                <w:sz w:val="18"/>
                <w:szCs w:val="18"/>
                <w:lang w:eastAsia="en-AU"/>
              </w:rPr>
            </w:pPr>
          </w:p>
          <w:p w:rsidR="006B2F59" w:rsidRDefault="006B2F59" w:rsidP="008F53E9">
            <w:pPr>
              <w:suppressAutoHyphens w:val="0"/>
              <w:spacing w:before="0" w:after="0" w:line="240" w:lineRule="auto"/>
              <w:rPr>
                <w:rFonts w:ascii="Calibri" w:eastAsia="Times New Roman" w:hAnsi="Calibri" w:cs="Calibri"/>
                <w:b/>
                <w:bCs/>
                <w:color w:val="auto"/>
                <w:sz w:val="18"/>
                <w:szCs w:val="18"/>
                <w:lang w:eastAsia="en-AU"/>
              </w:rPr>
            </w:pPr>
          </w:p>
          <w:p w:rsidR="006B2F59" w:rsidRDefault="006B2F59" w:rsidP="008F53E9">
            <w:pPr>
              <w:suppressAutoHyphens w:val="0"/>
              <w:spacing w:before="0" w:after="0" w:line="240" w:lineRule="auto"/>
              <w:rPr>
                <w:rFonts w:ascii="Calibri" w:eastAsia="Times New Roman" w:hAnsi="Calibri" w:cs="Calibri"/>
                <w:b/>
                <w:bCs/>
                <w:color w:val="auto"/>
                <w:sz w:val="18"/>
                <w:szCs w:val="18"/>
                <w:lang w:eastAsia="en-AU"/>
              </w:rPr>
            </w:pPr>
          </w:p>
          <w:p w:rsidR="006B2F59" w:rsidRDefault="006B2F59" w:rsidP="008F53E9">
            <w:pPr>
              <w:suppressAutoHyphens w:val="0"/>
              <w:spacing w:before="0" w:after="0" w:line="240" w:lineRule="auto"/>
              <w:rPr>
                <w:rFonts w:ascii="Calibri" w:eastAsia="Times New Roman" w:hAnsi="Calibri" w:cs="Calibri"/>
                <w:b/>
                <w:bCs/>
                <w:color w:val="auto"/>
                <w:sz w:val="18"/>
                <w:szCs w:val="18"/>
                <w:lang w:eastAsia="en-AU"/>
              </w:rPr>
            </w:pPr>
          </w:p>
          <w:p w:rsidR="006B2F59" w:rsidRDefault="006B2F59" w:rsidP="008F53E9">
            <w:pPr>
              <w:suppressAutoHyphens w:val="0"/>
              <w:spacing w:before="0" w:after="0" w:line="240" w:lineRule="auto"/>
              <w:rPr>
                <w:rFonts w:ascii="Calibri" w:eastAsia="Times New Roman" w:hAnsi="Calibri" w:cs="Calibri"/>
                <w:b/>
                <w:bCs/>
                <w:color w:val="auto"/>
                <w:sz w:val="18"/>
                <w:szCs w:val="18"/>
                <w:lang w:eastAsia="en-AU"/>
              </w:rPr>
            </w:pPr>
          </w:p>
          <w:p w:rsidR="006B2F59" w:rsidRDefault="006B2F59" w:rsidP="008F53E9">
            <w:pPr>
              <w:suppressAutoHyphens w:val="0"/>
              <w:spacing w:before="0" w:after="0" w:line="240" w:lineRule="auto"/>
              <w:rPr>
                <w:rFonts w:ascii="Calibri" w:eastAsia="Times New Roman" w:hAnsi="Calibri" w:cs="Calibri"/>
                <w:b/>
                <w:bCs/>
                <w:color w:val="auto"/>
                <w:sz w:val="18"/>
                <w:szCs w:val="18"/>
                <w:lang w:eastAsia="en-AU"/>
              </w:rPr>
            </w:pPr>
          </w:p>
          <w:p w:rsidR="00F608E3" w:rsidRPr="00F608E3" w:rsidRDefault="00F608E3" w:rsidP="008F53E9">
            <w:pPr>
              <w:suppressAutoHyphens w:val="0"/>
              <w:spacing w:before="0" w:after="0" w:line="240" w:lineRule="auto"/>
              <w:rPr>
                <w:rFonts w:ascii="Calibri" w:eastAsia="Times New Roman" w:hAnsi="Calibri" w:cs="Calibri"/>
                <w:b/>
                <w:bCs/>
                <w:color w:val="auto"/>
                <w:sz w:val="18"/>
                <w:szCs w:val="18"/>
                <w:lang w:val="en-AU" w:eastAsia="en-AU"/>
              </w:rPr>
            </w:pPr>
            <w:r w:rsidRPr="00F608E3">
              <w:rPr>
                <w:rFonts w:ascii="Calibri" w:eastAsia="Times New Roman" w:hAnsi="Calibri" w:cs="Calibri"/>
                <w:b/>
                <w:bCs/>
                <w:color w:val="auto"/>
                <w:sz w:val="18"/>
                <w:szCs w:val="18"/>
                <w:lang w:eastAsia="en-AU"/>
              </w:rPr>
              <w:lastRenderedPageBreak/>
              <w:t>Improving early education and essential health services [19% Bilateral ODA in 2018-19]</w:t>
            </w:r>
          </w:p>
        </w:tc>
      </w:tr>
      <w:tr w:rsidR="00F608E3" w:rsidRPr="00F608E3" w:rsidTr="008F53E9">
        <w:trPr>
          <w:trHeight w:val="300"/>
        </w:trPr>
        <w:tc>
          <w:tcPr>
            <w:tcW w:w="5110" w:type="dxa"/>
            <w:vMerge w:val="restart"/>
            <w:tcBorders>
              <w:top w:val="nil"/>
              <w:left w:val="nil"/>
              <w:bottom w:val="nil"/>
              <w:right w:val="nil"/>
            </w:tcBorders>
            <w:shd w:val="clear" w:color="auto" w:fill="auto"/>
            <w:vAlign w:val="center"/>
            <w:hideMark/>
          </w:tcPr>
          <w:p w:rsidR="00F608E3" w:rsidRPr="00F608E3" w:rsidRDefault="00F608E3" w:rsidP="008F53E9">
            <w:pPr>
              <w:suppressAutoHyphens w:val="0"/>
              <w:spacing w:before="0" w:after="0" w:line="240" w:lineRule="auto"/>
              <w:rPr>
                <w:rFonts w:ascii="Calibri" w:eastAsia="Times New Roman" w:hAnsi="Calibri" w:cs="Calibri"/>
                <w:b/>
                <w:bCs/>
                <w:color w:val="auto"/>
                <w:sz w:val="18"/>
                <w:szCs w:val="18"/>
                <w:lang w:val="en-AU" w:eastAsia="en-AU"/>
              </w:rPr>
            </w:pPr>
            <w:r w:rsidRPr="00F608E3">
              <w:rPr>
                <w:rFonts w:ascii="Calibri" w:eastAsia="Times New Roman" w:hAnsi="Calibri" w:cs="Calibri"/>
                <w:b/>
                <w:bCs/>
                <w:color w:val="auto"/>
                <w:sz w:val="18"/>
                <w:szCs w:val="18"/>
                <w:lang w:eastAsia="en-AU"/>
              </w:rPr>
              <w:lastRenderedPageBreak/>
              <w:t>Indicators</w:t>
            </w:r>
          </w:p>
        </w:tc>
        <w:tc>
          <w:tcPr>
            <w:tcW w:w="998" w:type="dxa"/>
            <w:tcBorders>
              <w:top w:val="nil"/>
              <w:left w:val="nil"/>
              <w:bottom w:val="nil"/>
              <w:right w:val="nil"/>
            </w:tcBorders>
            <w:shd w:val="clear" w:color="auto" w:fill="auto"/>
            <w:vAlign w:val="center"/>
            <w:hideMark/>
          </w:tcPr>
          <w:p w:rsidR="00F608E3" w:rsidRPr="00F608E3" w:rsidRDefault="00F608E3"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F608E3">
              <w:rPr>
                <w:rFonts w:ascii="Calibri" w:eastAsia="Times New Roman" w:hAnsi="Calibri" w:cs="Calibri"/>
                <w:b/>
                <w:bCs/>
                <w:color w:val="auto"/>
                <w:sz w:val="18"/>
                <w:szCs w:val="18"/>
                <w:lang w:eastAsia="en-AU"/>
              </w:rPr>
              <w:t>2015–16</w:t>
            </w:r>
          </w:p>
        </w:tc>
        <w:tc>
          <w:tcPr>
            <w:tcW w:w="980" w:type="dxa"/>
            <w:tcBorders>
              <w:top w:val="nil"/>
              <w:left w:val="nil"/>
              <w:bottom w:val="nil"/>
              <w:right w:val="nil"/>
            </w:tcBorders>
            <w:shd w:val="clear" w:color="auto" w:fill="auto"/>
            <w:vAlign w:val="center"/>
            <w:hideMark/>
          </w:tcPr>
          <w:p w:rsidR="00F608E3" w:rsidRPr="00F608E3" w:rsidRDefault="00F608E3"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F608E3">
              <w:rPr>
                <w:rFonts w:ascii="Calibri" w:eastAsia="Times New Roman" w:hAnsi="Calibri" w:cs="Calibri"/>
                <w:b/>
                <w:bCs/>
                <w:color w:val="auto"/>
                <w:sz w:val="18"/>
                <w:szCs w:val="18"/>
                <w:lang w:eastAsia="en-AU"/>
              </w:rPr>
              <w:t>2016–17</w:t>
            </w:r>
          </w:p>
        </w:tc>
        <w:tc>
          <w:tcPr>
            <w:tcW w:w="1213" w:type="dxa"/>
            <w:tcBorders>
              <w:top w:val="nil"/>
              <w:left w:val="nil"/>
              <w:bottom w:val="nil"/>
              <w:right w:val="nil"/>
            </w:tcBorders>
            <w:shd w:val="clear" w:color="auto" w:fill="auto"/>
            <w:vAlign w:val="center"/>
            <w:hideMark/>
          </w:tcPr>
          <w:p w:rsidR="00F608E3" w:rsidRPr="00F608E3" w:rsidRDefault="00F608E3"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F608E3">
              <w:rPr>
                <w:rFonts w:ascii="Calibri" w:eastAsia="Times New Roman" w:hAnsi="Calibri" w:cs="Calibri"/>
                <w:b/>
                <w:bCs/>
                <w:color w:val="auto"/>
                <w:sz w:val="18"/>
                <w:szCs w:val="18"/>
                <w:lang w:eastAsia="en-AU"/>
              </w:rPr>
              <w:t>2017–18</w:t>
            </w:r>
          </w:p>
        </w:tc>
        <w:tc>
          <w:tcPr>
            <w:tcW w:w="1012" w:type="dxa"/>
            <w:tcBorders>
              <w:top w:val="nil"/>
              <w:left w:val="nil"/>
              <w:bottom w:val="nil"/>
              <w:right w:val="nil"/>
            </w:tcBorders>
            <w:shd w:val="clear" w:color="auto" w:fill="auto"/>
            <w:vAlign w:val="center"/>
            <w:hideMark/>
          </w:tcPr>
          <w:p w:rsidR="00F608E3" w:rsidRPr="00F608E3" w:rsidRDefault="00F608E3"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F608E3">
              <w:rPr>
                <w:rFonts w:ascii="Calibri" w:eastAsia="Times New Roman" w:hAnsi="Calibri" w:cs="Calibri"/>
                <w:b/>
                <w:bCs/>
                <w:color w:val="auto"/>
                <w:sz w:val="18"/>
                <w:szCs w:val="18"/>
                <w:lang w:eastAsia="en-AU"/>
              </w:rPr>
              <w:t>2018-19</w:t>
            </w:r>
          </w:p>
        </w:tc>
        <w:tc>
          <w:tcPr>
            <w:tcW w:w="956" w:type="dxa"/>
            <w:tcBorders>
              <w:top w:val="nil"/>
              <w:left w:val="nil"/>
              <w:bottom w:val="nil"/>
              <w:right w:val="nil"/>
            </w:tcBorders>
            <w:shd w:val="clear" w:color="auto" w:fill="auto"/>
            <w:vAlign w:val="center"/>
            <w:hideMark/>
          </w:tcPr>
          <w:p w:rsidR="00F608E3" w:rsidRPr="00F608E3" w:rsidRDefault="00F608E3"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F608E3">
              <w:rPr>
                <w:rFonts w:ascii="Calibri" w:eastAsia="Times New Roman" w:hAnsi="Calibri" w:cs="Calibri"/>
                <w:b/>
                <w:bCs/>
                <w:color w:val="auto"/>
                <w:sz w:val="18"/>
                <w:szCs w:val="18"/>
                <w:lang w:val="en-AU" w:eastAsia="en-AU"/>
              </w:rPr>
              <w:t>2019-20</w:t>
            </w:r>
          </w:p>
        </w:tc>
        <w:tc>
          <w:tcPr>
            <w:tcW w:w="4131" w:type="dxa"/>
            <w:vMerge w:val="restart"/>
            <w:tcBorders>
              <w:top w:val="nil"/>
              <w:left w:val="nil"/>
              <w:bottom w:val="nil"/>
              <w:right w:val="nil"/>
            </w:tcBorders>
            <w:shd w:val="clear" w:color="auto" w:fill="auto"/>
            <w:vAlign w:val="center"/>
            <w:hideMark/>
          </w:tcPr>
          <w:p w:rsidR="00F608E3" w:rsidRPr="00F608E3" w:rsidRDefault="00F608E3"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F608E3">
              <w:rPr>
                <w:rFonts w:ascii="Calibri" w:eastAsia="Times New Roman" w:hAnsi="Calibri" w:cs="Calibri"/>
                <w:b/>
                <w:bCs/>
                <w:color w:val="auto"/>
                <w:sz w:val="18"/>
                <w:szCs w:val="18"/>
                <w:lang w:eastAsia="en-AU"/>
              </w:rPr>
              <w:t>Data sources</w:t>
            </w:r>
          </w:p>
        </w:tc>
      </w:tr>
      <w:tr w:rsidR="00F608E3" w:rsidRPr="00F608E3" w:rsidTr="008F53E9">
        <w:trPr>
          <w:trHeight w:val="300"/>
        </w:trPr>
        <w:tc>
          <w:tcPr>
            <w:tcW w:w="5110" w:type="dxa"/>
            <w:vMerge/>
            <w:tcBorders>
              <w:top w:val="nil"/>
              <w:left w:val="nil"/>
              <w:bottom w:val="nil"/>
              <w:right w:val="nil"/>
            </w:tcBorders>
            <w:vAlign w:val="center"/>
            <w:hideMark/>
          </w:tcPr>
          <w:p w:rsidR="00F608E3" w:rsidRPr="00F608E3" w:rsidRDefault="00F608E3" w:rsidP="008F53E9">
            <w:pPr>
              <w:suppressAutoHyphens w:val="0"/>
              <w:spacing w:before="0" w:after="0" w:line="240" w:lineRule="auto"/>
              <w:rPr>
                <w:rFonts w:ascii="Calibri" w:eastAsia="Times New Roman" w:hAnsi="Calibri" w:cs="Calibri"/>
                <w:b/>
                <w:bCs/>
                <w:color w:val="auto"/>
                <w:sz w:val="18"/>
                <w:szCs w:val="18"/>
                <w:lang w:val="en-AU" w:eastAsia="en-AU"/>
              </w:rPr>
            </w:pPr>
          </w:p>
        </w:tc>
        <w:tc>
          <w:tcPr>
            <w:tcW w:w="998" w:type="dxa"/>
            <w:tcBorders>
              <w:top w:val="nil"/>
              <w:left w:val="nil"/>
              <w:bottom w:val="nil"/>
              <w:right w:val="nil"/>
            </w:tcBorders>
            <w:shd w:val="clear" w:color="auto" w:fill="auto"/>
            <w:vAlign w:val="center"/>
            <w:hideMark/>
          </w:tcPr>
          <w:p w:rsidR="00F608E3" w:rsidRPr="00F608E3" w:rsidRDefault="00F608E3"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F608E3">
              <w:rPr>
                <w:rFonts w:ascii="Calibri" w:eastAsia="Times New Roman" w:hAnsi="Calibri" w:cs="Calibri"/>
                <w:b/>
                <w:bCs/>
                <w:color w:val="auto"/>
                <w:sz w:val="18"/>
                <w:szCs w:val="18"/>
                <w:lang w:eastAsia="en-AU"/>
              </w:rPr>
              <w:t>Baseline</w:t>
            </w:r>
          </w:p>
        </w:tc>
        <w:tc>
          <w:tcPr>
            <w:tcW w:w="980" w:type="dxa"/>
            <w:tcBorders>
              <w:top w:val="nil"/>
              <w:left w:val="nil"/>
              <w:bottom w:val="nil"/>
              <w:right w:val="nil"/>
            </w:tcBorders>
            <w:shd w:val="clear" w:color="auto" w:fill="auto"/>
            <w:vAlign w:val="center"/>
            <w:hideMark/>
          </w:tcPr>
          <w:p w:rsidR="00F608E3" w:rsidRPr="00F608E3" w:rsidRDefault="00F608E3"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F608E3">
              <w:rPr>
                <w:rFonts w:ascii="Calibri" w:eastAsia="Times New Roman" w:hAnsi="Calibri" w:cs="Calibri"/>
                <w:b/>
                <w:bCs/>
                <w:color w:val="auto"/>
                <w:sz w:val="18"/>
                <w:szCs w:val="18"/>
                <w:lang w:eastAsia="en-AU"/>
              </w:rPr>
              <w:t>Result</w:t>
            </w:r>
          </w:p>
        </w:tc>
        <w:tc>
          <w:tcPr>
            <w:tcW w:w="1213" w:type="dxa"/>
            <w:tcBorders>
              <w:top w:val="nil"/>
              <w:left w:val="nil"/>
              <w:bottom w:val="nil"/>
              <w:right w:val="nil"/>
            </w:tcBorders>
            <w:shd w:val="clear" w:color="auto" w:fill="auto"/>
            <w:vAlign w:val="center"/>
            <w:hideMark/>
          </w:tcPr>
          <w:p w:rsidR="00F608E3" w:rsidRPr="00F608E3" w:rsidRDefault="00F608E3"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F608E3">
              <w:rPr>
                <w:rFonts w:ascii="Calibri" w:eastAsia="Times New Roman" w:hAnsi="Calibri" w:cs="Calibri"/>
                <w:b/>
                <w:bCs/>
                <w:color w:val="auto"/>
                <w:sz w:val="18"/>
                <w:szCs w:val="18"/>
                <w:lang w:eastAsia="en-AU"/>
              </w:rPr>
              <w:t>Result</w:t>
            </w:r>
          </w:p>
        </w:tc>
        <w:tc>
          <w:tcPr>
            <w:tcW w:w="1012" w:type="dxa"/>
            <w:tcBorders>
              <w:top w:val="nil"/>
              <w:left w:val="nil"/>
              <w:bottom w:val="nil"/>
              <w:right w:val="nil"/>
            </w:tcBorders>
            <w:shd w:val="clear" w:color="auto" w:fill="auto"/>
            <w:vAlign w:val="center"/>
            <w:hideMark/>
          </w:tcPr>
          <w:p w:rsidR="00F608E3" w:rsidRPr="00F608E3" w:rsidRDefault="00F608E3"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F608E3">
              <w:rPr>
                <w:rFonts w:ascii="Calibri" w:eastAsia="Times New Roman" w:hAnsi="Calibri" w:cs="Calibri"/>
                <w:b/>
                <w:bCs/>
                <w:color w:val="auto"/>
                <w:sz w:val="18"/>
                <w:szCs w:val="18"/>
                <w:lang w:eastAsia="en-AU"/>
              </w:rPr>
              <w:t>Result</w:t>
            </w:r>
            <w:r w:rsidR="00515AD3">
              <w:rPr>
                <w:rFonts w:ascii="Calibri" w:eastAsia="Times New Roman" w:hAnsi="Calibri" w:cs="Calibri"/>
                <w:b/>
                <w:bCs/>
                <w:color w:val="auto"/>
                <w:sz w:val="18"/>
                <w:szCs w:val="18"/>
                <w:lang w:eastAsia="en-AU"/>
              </w:rPr>
              <w:t xml:space="preserve"> (Target)</w:t>
            </w:r>
          </w:p>
        </w:tc>
        <w:tc>
          <w:tcPr>
            <w:tcW w:w="956" w:type="dxa"/>
            <w:tcBorders>
              <w:top w:val="nil"/>
              <w:left w:val="nil"/>
              <w:bottom w:val="nil"/>
              <w:right w:val="nil"/>
            </w:tcBorders>
            <w:shd w:val="clear" w:color="auto" w:fill="auto"/>
            <w:vAlign w:val="center"/>
            <w:hideMark/>
          </w:tcPr>
          <w:p w:rsidR="00F608E3" w:rsidRPr="00F608E3" w:rsidRDefault="00F608E3"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F608E3">
              <w:rPr>
                <w:rFonts w:ascii="Calibri" w:eastAsia="Times New Roman" w:hAnsi="Calibri" w:cs="Calibri"/>
                <w:b/>
                <w:bCs/>
                <w:color w:val="auto"/>
                <w:sz w:val="18"/>
                <w:szCs w:val="18"/>
                <w:lang w:val="en-AU" w:eastAsia="en-AU"/>
              </w:rPr>
              <w:t>Target</w:t>
            </w:r>
          </w:p>
        </w:tc>
        <w:tc>
          <w:tcPr>
            <w:tcW w:w="4131" w:type="dxa"/>
            <w:vMerge/>
            <w:tcBorders>
              <w:top w:val="nil"/>
              <w:left w:val="nil"/>
              <w:bottom w:val="nil"/>
              <w:right w:val="nil"/>
            </w:tcBorders>
            <w:vAlign w:val="center"/>
            <w:hideMark/>
          </w:tcPr>
          <w:p w:rsidR="00F608E3" w:rsidRPr="00F608E3" w:rsidRDefault="00F608E3" w:rsidP="008F53E9">
            <w:pPr>
              <w:suppressAutoHyphens w:val="0"/>
              <w:spacing w:before="0" w:after="0" w:line="240" w:lineRule="auto"/>
              <w:rPr>
                <w:rFonts w:ascii="Calibri" w:eastAsia="Times New Roman" w:hAnsi="Calibri" w:cs="Calibri"/>
                <w:b/>
                <w:bCs/>
                <w:color w:val="auto"/>
                <w:sz w:val="18"/>
                <w:szCs w:val="18"/>
                <w:lang w:val="en-AU" w:eastAsia="en-AU"/>
              </w:rPr>
            </w:pPr>
          </w:p>
        </w:tc>
      </w:tr>
      <w:tr w:rsidR="00F608E3" w:rsidRPr="00B71FC4" w:rsidTr="008F53E9">
        <w:trPr>
          <w:trHeight w:val="480"/>
        </w:trPr>
        <w:tc>
          <w:tcPr>
            <w:tcW w:w="5110" w:type="dxa"/>
            <w:tcBorders>
              <w:top w:val="nil"/>
              <w:left w:val="nil"/>
              <w:bottom w:val="nil"/>
              <w:right w:val="nil"/>
            </w:tcBorders>
            <w:shd w:val="clear" w:color="000000" w:fill="DBDBDB"/>
            <w:vAlign w:val="center"/>
            <w:hideMark/>
          </w:tcPr>
          <w:p w:rsidR="00F608E3" w:rsidRPr="00B71FC4" w:rsidRDefault="00061287" w:rsidP="008F53E9">
            <w:pPr>
              <w:suppressAutoHyphens w:val="0"/>
              <w:spacing w:before="0" w:after="0" w:line="240" w:lineRule="auto"/>
              <w:rPr>
                <w:rFonts w:ascii="Calibri" w:eastAsia="Times New Roman" w:hAnsi="Calibri" w:cs="Calibri"/>
                <w:color w:val="auto"/>
                <w:sz w:val="18"/>
                <w:szCs w:val="18"/>
                <w:lang w:val="en-AU" w:eastAsia="en-AU"/>
              </w:rPr>
            </w:pPr>
            <w:r w:rsidRPr="00B71FC4">
              <w:rPr>
                <w:rFonts w:ascii="Calibri" w:eastAsia="Times New Roman" w:hAnsi="Calibri" w:cs="Calibri"/>
                <w:color w:val="auto"/>
                <w:sz w:val="18"/>
                <w:szCs w:val="18"/>
                <w:lang w:eastAsia="en-AU"/>
              </w:rPr>
              <w:t xml:space="preserve">2.1: </w:t>
            </w:r>
            <w:r w:rsidR="00F608E3" w:rsidRPr="00B71FC4">
              <w:rPr>
                <w:rFonts w:ascii="Calibri" w:eastAsia="Times New Roman" w:hAnsi="Calibri" w:cs="Calibri"/>
                <w:color w:val="auto"/>
                <w:sz w:val="18"/>
                <w:szCs w:val="18"/>
                <w:lang w:eastAsia="en-AU"/>
              </w:rPr>
              <w:footnoteReference w:customMarkFollows="1" w:id="25"/>
              <w:t>Proportion Yr4 students (girls and boys) meeting national lite</w:t>
            </w:r>
            <w:r w:rsidR="00C36EBE" w:rsidRPr="00B71FC4">
              <w:rPr>
                <w:rFonts w:ascii="Calibri" w:eastAsia="Times New Roman" w:hAnsi="Calibri" w:cs="Calibri"/>
                <w:color w:val="auto"/>
                <w:sz w:val="18"/>
                <w:szCs w:val="18"/>
                <w:lang w:eastAsia="en-AU"/>
              </w:rPr>
              <w:t>racy &amp; numeracy standard (%)</w:t>
            </w:r>
            <w:r w:rsidR="00C36EBE" w:rsidRPr="00B71FC4">
              <w:rPr>
                <w:rStyle w:val="FootnoteReference"/>
                <w:rFonts w:ascii="Calibri" w:eastAsia="Times New Roman" w:hAnsi="Calibri" w:cs="Calibri"/>
                <w:color w:val="auto"/>
                <w:sz w:val="18"/>
                <w:szCs w:val="18"/>
                <w:lang w:eastAsia="en-AU"/>
              </w:rPr>
              <w:footnoteReference w:id="26"/>
            </w:r>
          </w:p>
        </w:tc>
        <w:tc>
          <w:tcPr>
            <w:tcW w:w="998" w:type="dxa"/>
            <w:tcBorders>
              <w:top w:val="nil"/>
              <w:left w:val="nil"/>
              <w:bottom w:val="nil"/>
              <w:right w:val="nil"/>
            </w:tcBorders>
            <w:shd w:val="clear" w:color="000000" w:fill="DBDBDB"/>
            <w:vAlign w:val="center"/>
            <w:hideMark/>
          </w:tcPr>
          <w:p w:rsidR="00F608E3" w:rsidRPr="00B71FC4" w:rsidRDefault="00F608E3" w:rsidP="00492E26">
            <w:pPr>
              <w:suppressAutoHyphens w:val="0"/>
              <w:spacing w:before="0" w:after="0" w:line="240" w:lineRule="auto"/>
              <w:jc w:val="center"/>
              <w:rPr>
                <w:rFonts w:ascii="Calibri" w:eastAsia="Times New Roman" w:hAnsi="Calibri" w:cs="Calibri"/>
                <w:color w:val="auto"/>
                <w:sz w:val="18"/>
                <w:szCs w:val="18"/>
                <w:lang w:val="en-AU" w:eastAsia="en-AU"/>
              </w:rPr>
            </w:pPr>
            <w:r w:rsidRPr="00B71FC4">
              <w:rPr>
                <w:rFonts w:ascii="Calibri" w:eastAsia="Times New Roman" w:hAnsi="Calibri" w:cs="Calibri"/>
                <w:color w:val="auto"/>
                <w:sz w:val="18"/>
                <w:szCs w:val="18"/>
                <w:lang w:eastAsia="en-AU"/>
              </w:rPr>
              <w:t>Literacy 25%</w:t>
            </w:r>
          </w:p>
        </w:tc>
        <w:tc>
          <w:tcPr>
            <w:tcW w:w="980" w:type="dxa"/>
            <w:tcBorders>
              <w:top w:val="nil"/>
              <w:left w:val="nil"/>
              <w:bottom w:val="nil"/>
              <w:right w:val="nil"/>
            </w:tcBorders>
            <w:shd w:val="clear" w:color="000000" w:fill="DBDBDB"/>
            <w:vAlign w:val="center"/>
            <w:hideMark/>
          </w:tcPr>
          <w:p w:rsidR="00F608E3" w:rsidRPr="00B71FC4" w:rsidRDefault="00F608E3" w:rsidP="00492E26">
            <w:pPr>
              <w:suppressAutoHyphens w:val="0"/>
              <w:spacing w:before="0" w:after="0" w:line="240" w:lineRule="auto"/>
              <w:jc w:val="center"/>
              <w:rPr>
                <w:rFonts w:ascii="Calibri" w:eastAsia="Times New Roman" w:hAnsi="Calibri" w:cs="Calibri"/>
                <w:color w:val="auto"/>
                <w:sz w:val="18"/>
                <w:szCs w:val="18"/>
                <w:lang w:val="en-AU" w:eastAsia="en-AU"/>
              </w:rPr>
            </w:pPr>
            <w:r w:rsidRPr="00B71FC4">
              <w:rPr>
                <w:rFonts w:ascii="Calibri" w:eastAsia="Times New Roman" w:hAnsi="Calibri" w:cs="Calibri"/>
                <w:color w:val="auto"/>
                <w:sz w:val="18"/>
                <w:szCs w:val="18"/>
                <w:lang w:eastAsia="en-AU"/>
              </w:rPr>
              <w:t>N/A</w:t>
            </w:r>
          </w:p>
        </w:tc>
        <w:tc>
          <w:tcPr>
            <w:tcW w:w="1213" w:type="dxa"/>
            <w:tcBorders>
              <w:top w:val="nil"/>
              <w:left w:val="nil"/>
              <w:bottom w:val="nil"/>
              <w:right w:val="nil"/>
            </w:tcBorders>
            <w:shd w:val="clear" w:color="000000" w:fill="DBDBDB"/>
            <w:vAlign w:val="center"/>
            <w:hideMark/>
          </w:tcPr>
          <w:p w:rsidR="00F608E3" w:rsidRPr="00B71FC4" w:rsidRDefault="00F608E3" w:rsidP="00492E26">
            <w:pPr>
              <w:suppressAutoHyphens w:val="0"/>
              <w:spacing w:before="0" w:after="0" w:line="240" w:lineRule="auto"/>
              <w:jc w:val="center"/>
              <w:rPr>
                <w:rFonts w:ascii="Calibri" w:eastAsia="Times New Roman" w:hAnsi="Calibri" w:cs="Calibri"/>
                <w:color w:val="auto"/>
                <w:sz w:val="18"/>
                <w:szCs w:val="18"/>
                <w:lang w:val="en-AU" w:eastAsia="en-AU"/>
              </w:rPr>
            </w:pPr>
            <w:r w:rsidRPr="00B71FC4">
              <w:rPr>
                <w:rFonts w:ascii="Calibri" w:eastAsia="Times New Roman" w:hAnsi="Calibri" w:cs="Calibri"/>
                <w:color w:val="auto"/>
                <w:sz w:val="18"/>
                <w:szCs w:val="18"/>
                <w:lang w:eastAsia="en-AU"/>
              </w:rPr>
              <w:t>Literacy (E) 65%</w:t>
            </w:r>
          </w:p>
        </w:tc>
        <w:tc>
          <w:tcPr>
            <w:tcW w:w="1012" w:type="dxa"/>
            <w:tcBorders>
              <w:top w:val="nil"/>
              <w:left w:val="nil"/>
              <w:bottom w:val="nil"/>
              <w:right w:val="nil"/>
            </w:tcBorders>
            <w:shd w:val="clear" w:color="000000" w:fill="DBDBDB"/>
            <w:vAlign w:val="center"/>
            <w:hideMark/>
          </w:tcPr>
          <w:p w:rsidR="00F608E3" w:rsidRPr="00B71FC4" w:rsidRDefault="00B71FC4" w:rsidP="00B71FC4">
            <w:pPr>
              <w:suppressAutoHyphens w:val="0"/>
              <w:spacing w:before="0" w:after="0" w:line="240" w:lineRule="auto"/>
              <w:jc w:val="center"/>
              <w:rPr>
                <w:rFonts w:ascii="Calibri" w:eastAsia="Times New Roman" w:hAnsi="Calibri" w:cs="Calibri"/>
                <w:color w:val="auto"/>
                <w:sz w:val="18"/>
                <w:szCs w:val="18"/>
                <w:lang w:val="en-AU" w:eastAsia="en-AU"/>
              </w:rPr>
            </w:pPr>
            <w:r w:rsidRPr="00B71FC4">
              <w:rPr>
                <w:rFonts w:ascii="Calibri" w:eastAsia="Times New Roman" w:hAnsi="Calibri" w:cs="Calibri"/>
                <w:color w:val="auto"/>
                <w:sz w:val="18"/>
                <w:szCs w:val="18"/>
                <w:lang w:eastAsia="en-AU"/>
              </w:rPr>
              <w:t xml:space="preserve">VANSTA data to be available </w:t>
            </w:r>
            <w:r w:rsidR="00515AD3" w:rsidRPr="00B71FC4">
              <w:rPr>
                <w:rFonts w:ascii="Calibri" w:eastAsia="Times New Roman" w:hAnsi="Calibri" w:cs="Calibri"/>
                <w:color w:val="auto"/>
                <w:sz w:val="18"/>
                <w:szCs w:val="18"/>
                <w:lang w:eastAsia="en-AU"/>
              </w:rPr>
              <w:t xml:space="preserve">in late 2019 </w:t>
            </w:r>
          </w:p>
        </w:tc>
        <w:tc>
          <w:tcPr>
            <w:tcW w:w="956" w:type="dxa"/>
            <w:tcBorders>
              <w:top w:val="nil"/>
              <w:left w:val="nil"/>
              <w:bottom w:val="nil"/>
              <w:right w:val="nil"/>
            </w:tcBorders>
            <w:shd w:val="clear" w:color="000000" w:fill="DBDBDB"/>
            <w:vAlign w:val="center"/>
            <w:hideMark/>
          </w:tcPr>
          <w:p w:rsidR="00F608E3" w:rsidRPr="00B71FC4" w:rsidRDefault="00F608E3" w:rsidP="00492E26">
            <w:pPr>
              <w:suppressAutoHyphens w:val="0"/>
              <w:spacing w:before="0" w:after="0" w:line="240" w:lineRule="auto"/>
              <w:jc w:val="center"/>
              <w:rPr>
                <w:rFonts w:ascii="Calibri" w:eastAsia="Times New Roman" w:hAnsi="Calibri" w:cs="Calibri"/>
                <w:color w:val="auto"/>
                <w:sz w:val="18"/>
                <w:szCs w:val="18"/>
                <w:lang w:val="en-AU" w:eastAsia="en-AU"/>
              </w:rPr>
            </w:pPr>
            <w:r w:rsidRPr="00B71FC4">
              <w:rPr>
                <w:rFonts w:ascii="Calibri" w:eastAsia="Times New Roman" w:hAnsi="Calibri" w:cs="Calibri"/>
                <w:color w:val="auto"/>
                <w:sz w:val="18"/>
                <w:szCs w:val="18"/>
                <w:lang w:eastAsia="en-AU"/>
              </w:rPr>
              <w:t>TBC</w:t>
            </w:r>
          </w:p>
        </w:tc>
        <w:tc>
          <w:tcPr>
            <w:tcW w:w="4131" w:type="dxa"/>
            <w:tcBorders>
              <w:top w:val="nil"/>
              <w:left w:val="nil"/>
              <w:bottom w:val="nil"/>
              <w:right w:val="nil"/>
            </w:tcBorders>
            <w:shd w:val="clear" w:color="000000" w:fill="DBDBDB"/>
            <w:vAlign w:val="center"/>
            <w:hideMark/>
          </w:tcPr>
          <w:p w:rsidR="00F608E3" w:rsidRPr="00B71FC4" w:rsidRDefault="00F608E3" w:rsidP="00B71FC4">
            <w:pPr>
              <w:suppressAutoHyphens w:val="0"/>
              <w:spacing w:before="0" w:after="0" w:line="240" w:lineRule="auto"/>
              <w:rPr>
                <w:rFonts w:ascii="Calibri" w:eastAsia="Times New Roman" w:hAnsi="Calibri" w:cs="Calibri"/>
                <w:color w:val="auto"/>
                <w:sz w:val="18"/>
                <w:szCs w:val="18"/>
                <w:lang w:val="en-AU" w:eastAsia="en-AU"/>
              </w:rPr>
            </w:pPr>
            <w:r w:rsidRPr="00B71FC4">
              <w:rPr>
                <w:rFonts w:ascii="Calibri" w:eastAsia="Times New Roman" w:hAnsi="Calibri" w:cs="Calibri"/>
                <w:color w:val="auto"/>
                <w:sz w:val="18"/>
                <w:szCs w:val="18"/>
                <w:lang w:eastAsia="en-AU"/>
              </w:rPr>
              <w:t>VANSTA data 2009 and 2017, National Year 4 test data from MoET</w:t>
            </w:r>
            <w:r w:rsidR="00B71FC4" w:rsidRPr="00B71FC4">
              <w:rPr>
                <w:rFonts w:ascii="Calibri" w:eastAsia="Times New Roman" w:hAnsi="Calibri" w:cs="Calibri"/>
                <w:color w:val="auto"/>
                <w:sz w:val="18"/>
                <w:szCs w:val="18"/>
                <w:lang w:eastAsia="en-AU"/>
              </w:rPr>
              <w:t xml:space="preserve">. </w:t>
            </w:r>
          </w:p>
        </w:tc>
      </w:tr>
      <w:tr w:rsidR="00F608E3" w:rsidRPr="00F608E3" w:rsidTr="008F53E9">
        <w:trPr>
          <w:trHeight w:val="480"/>
        </w:trPr>
        <w:tc>
          <w:tcPr>
            <w:tcW w:w="5110" w:type="dxa"/>
            <w:tcBorders>
              <w:top w:val="nil"/>
              <w:left w:val="nil"/>
              <w:bottom w:val="nil"/>
              <w:right w:val="nil"/>
            </w:tcBorders>
            <w:shd w:val="clear" w:color="000000" w:fill="DBDBDB"/>
            <w:vAlign w:val="center"/>
            <w:hideMark/>
          </w:tcPr>
          <w:p w:rsidR="00F608E3" w:rsidRPr="00816F98" w:rsidRDefault="00F608E3" w:rsidP="008F53E9">
            <w:pPr>
              <w:suppressAutoHyphens w:val="0"/>
              <w:spacing w:before="0" w:after="0" w:line="240" w:lineRule="auto"/>
              <w:rPr>
                <w:rFonts w:ascii="Calibri" w:eastAsia="Times New Roman" w:hAnsi="Calibri" w:cs="Calibri"/>
                <w:color w:val="auto"/>
                <w:sz w:val="18"/>
                <w:szCs w:val="18"/>
                <w:lang w:val="en-AU" w:eastAsia="en-AU"/>
              </w:rPr>
            </w:pPr>
          </w:p>
        </w:tc>
        <w:tc>
          <w:tcPr>
            <w:tcW w:w="998" w:type="dxa"/>
            <w:tcBorders>
              <w:top w:val="nil"/>
              <w:left w:val="nil"/>
              <w:bottom w:val="nil"/>
              <w:right w:val="nil"/>
            </w:tcBorders>
            <w:shd w:val="clear" w:color="000000" w:fill="DBDBDB"/>
            <w:vAlign w:val="center"/>
            <w:hideMark/>
          </w:tcPr>
          <w:p w:rsidR="00F608E3" w:rsidRPr="00F608E3" w:rsidRDefault="00F608E3" w:rsidP="00492E26">
            <w:pPr>
              <w:suppressAutoHyphens w:val="0"/>
              <w:spacing w:before="0" w:after="0" w:line="240" w:lineRule="auto"/>
              <w:jc w:val="center"/>
              <w:rPr>
                <w:rFonts w:ascii="Calibri" w:eastAsia="Times New Roman" w:hAnsi="Calibri" w:cs="Calibri"/>
                <w:color w:val="auto"/>
                <w:sz w:val="18"/>
                <w:szCs w:val="18"/>
                <w:lang w:val="en-AU" w:eastAsia="en-AU"/>
              </w:rPr>
            </w:pPr>
            <w:r w:rsidRPr="00F608E3">
              <w:rPr>
                <w:rFonts w:ascii="Calibri" w:eastAsia="Times New Roman" w:hAnsi="Calibri" w:cs="Calibri"/>
                <w:color w:val="auto"/>
                <w:sz w:val="18"/>
                <w:szCs w:val="18"/>
                <w:lang w:eastAsia="en-AU"/>
              </w:rPr>
              <w:t>Numeracy  50%</w:t>
            </w:r>
          </w:p>
        </w:tc>
        <w:tc>
          <w:tcPr>
            <w:tcW w:w="980" w:type="dxa"/>
            <w:tcBorders>
              <w:top w:val="nil"/>
              <w:left w:val="nil"/>
              <w:bottom w:val="nil"/>
              <w:right w:val="nil"/>
            </w:tcBorders>
            <w:shd w:val="clear" w:color="000000" w:fill="DBDBDB"/>
            <w:vAlign w:val="center"/>
            <w:hideMark/>
          </w:tcPr>
          <w:p w:rsidR="00F608E3" w:rsidRPr="00F608E3" w:rsidRDefault="00F608E3" w:rsidP="00492E26">
            <w:pPr>
              <w:suppressAutoHyphens w:val="0"/>
              <w:spacing w:before="0" w:after="0" w:line="240" w:lineRule="auto"/>
              <w:jc w:val="center"/>
              <w:rPr>
                <w:rFonts w:ascii="Calibri" w:eastAsia="Times New Roman" w:hAnsi="Calibri" w:cs="Calibri"/>
                <w:color w:val="auto"/>
                <w:sz w:val="18"/>
                <w:szCs w:val="18"/>
                <w:lang w:val="en-AU" w:eastAsia="en-AU"/>
              </w:rPr>
            </w:pPr>
          </w:p>
        </w:tc>
        <w:tc>
          <w:tcPr>
            <w:tcW w:w="1213" w:type="dxa"/>
            <w:tcBorders>
              <w:top w:val="nil"/>
              <w:left w:val="nil"/>
              <w:bottom w:val="nil"/>
              <w:right w:val="nil"/>
            </w:tcBorders>
            <w:shd w:val="clear" w:color="000000" w:fill="DBDBDB"/>
            <w:vAlign w:val="center"/>
            <w:hideMark/>
          </w:tcPr>
          <w:p w:rsidR="00F608E3" w:rsidRPr="00F608E3" w:rsidRDefault="00F608E3" w:rsidP="00492E26">
            <w:pPr>
              <w:suppressAutoHyphens w:val="0"/>
              <w:spacing w:before="0" w:after="0" w:line="240" w:lineRule="auto"/>
              <w:jc w:val="center"/>
              <w:rPr>
                <w:rFonts w:ascii="Calibri" w:eastAsia="Times New Roman" w:hAnsi="Calibri" w:cs="Calibri"/>
                <w:color w:val="auto"/>
                <w:sz w:val="18"/>
                <w:szCs w:val="18"/>
                <w:lang w:val="en-AU" w:eastAsia="en-AU"/>
              </w:rPr>
            </w:pPr>
            <w:r w:rsidRPr="00F608E3">
              <w:rPr>
                <w:rFonts w:ascii="Calibri" w:eastAsia="Times New Roman" w:hAnsi="Calibri" w:cs="Calibri"/>
                <w:color w:val="auto"/>
                <w:sz w:val="18"/>
                <w:szCs w:val="18"/>
                <w:lang w:eastAsia="en-AU"/>
              </w:rPr>
              <w:t>Literacy (F) 64%</w:t>
            </w:r>
          </w:p>
        </w:tc>
        <w:tc>
          <w:tcPr>
            <w:tcW w:w="1012" w:type="dxa"/>
            <w:tcBorders>
              <w:top w:val="nil"/>
              <w:left w:val="nil"/>
              <w:bottom w:val="nil"/>
              <w:right w:val="nil"/>
            </w:tcBorders>
            <w:shd w:val="clear" w:color="000000" w:fill="DBDBDB"/>
            <w:vAlign w:val="center"/>
            <w:hideMark/>
          </w:tcPr>
          <w:p w:rsidR="00F608E3" w:rsidRPr="00B71FC4" w:rsidRDefault="00F608E3" w:rsidP="00492E26">
            <w:pPr>
              <w:suppressAutoHyphens w:val="0"/>
              <w:spacing w:before="0" w:after="0" w:line="240" w:lineRule="auto"/>
              <w:jc w:val="center"/>
              <w:rPr>
                <w:rFonts w:ascii="Calibri" w:eastAsia="Times New Roman" w:hAnsi="Calibri" w:cs="Calibri"/>
                <w:color w:val="auto"/>
                <w:sz w:val="18"/>
                <w:szCs w:val="18"/>
                <w:highlight w:val="yellow"/>
                <w:lang w:val="en-AU" w:eastAsia="en-AU"/>
              </w:rPr>
            </w:pPr>
          </w:p>
        </w:tc>
        <w:tc>
          <w:tcPr>
            <w:tcW w:w="956" w:type="dxa"/>
            <w:tcBorders>
              <w:top w:val="nil"/>
              <w:left w:val="nil"/>
              <w:bottom w:val="nil"/>
              <w:right w:val="nil"/>
            </w:tcBorders>
            <w:shd w:val="clear" w:color="000000" w:fill="DBDBDB"/>
            <w:vAlign w:val="center"/>
            <w:hideMark/>
          </w:tcPr>
          <w:p w:rsidR="00F608E3" w:rsidRPr="00F608E3" w:rsidRDefault="00F608E3" w:rsidP="00492E26">
            <w:pPr>
              <w:suppressAutoHyphens w:val="0"/>
              <w:spacing w:before="0" w:after="0" w:line="240" w:lineRule="auto"/>
              <w:jc w:val="center"/>
              <w:rPr>
                <w:rFonts w:ascii="Calibri" w:eastAsia="Times New Roman" w:hAnsi="Calibri" w:cs="Calibri"/>
                <w:color w:val="auto"/>
                <w:sz w:val="18"/>
                <w:szCs w:val="18"/>
                <w:lang w:val="en-AU" w:eastAsia="en-AU"/>
              </w:rPr>
            </w:pPr>
          </w:p>
        </w:tc>
        <w:tc>
          <w:tcPr>
            <w:tcW w:w="4131" w:type="dxa"/>
            <w:tcBorders>
              <w:top w:val="nil"/>
              <w:left w:val="nil"/>
              <w:bottom w:val="nil"/>
              <w:right w:val="nil"/>
            </w:tcBorders>
            <w:shd w:val="clear" w:color="000000" w:fill="DBDBDB"/>
            <w:vAlign w:val="center"/>
            <w:hideMark/>
          </w:tcPr>
          <w:p w:rsidR="00F608E3" w:rsidRPr="00F608E3" w:rsidRDefault="00F608E3" w:rsidP="008F53E9">
            <w:pPr>
              <w:suppressAutoHyphens w:val="0"/>
              <w:spacing w:before="0" w:after="0" w:line="240" w:lineRule="auto"/>
              <w:rPr>
                <w:rFonts w:ascii="Calibri" w:eastAsia="Times New Roman" w:hAnsi="Calibri" w:cs="Calibri"/>
                <w:color w:val="auto"/>
                <w:sz w:val="18"/>
                <w:szCs w:val="18"/>
                <w:lang w:val="en-AU" w:eastAsia="en-AU"/>
              </w:rPr>
            </w:pPr>
            <w:r w:rsidRPr="00F608E3">
              <w:rPr>
                <w:rFonts w:ascii="Calibri" w:eastAsia="Times New Roman" w:hAnsi="Calibri" w:cs="Calibri"/>
                <w:color w:val="auto"/>
                <w:sz w:val="18"/>
                <w:szCs w:val="18"/>
                <w:lang w:eastAsia="en-AU"/>
              </w:rPr>
              <w:t xml:space="preserve">VESP monitoring data </w:t>
            </w:r>
          </w:p>
        </w:tc>
      </w:tr>
      <w:tr w:rsidR="00F608E3" w:rsidRPr="00F608E3" w:rsidTr="008F53E9">
        <w:trPr>
          <w:trHeight w:val="480"/>
        </w:trPr>
        <w:tc>
          <w:tcPr>
            <w:tcW w:w="5110" w:type="dxa"/>
            <w:tcBorders>
              <w:top w:val="nil"/>
              <w:left w:val="nil"/>
              <w:bottom w:val="nil"/>
              <w:right w:val="nil"/>
            </w:tcBorders>
            <w:shd w:val="clear" w:color="000000" w:fill="DBDBDB"/>
            <w:vAlign w:val="center"/>
            <w:hideMark/>
          </w:tcPr>
          <w:p w:rsidR="00F608E3" w:rsidRPr="00816F98" w:rsidRDefault="00F608E3" w:rsidP="008F53E9">
            <w:pPr>
              <w:suppressAutoHyphens w:val="0"/>
              <w:spacing w:before="0" w:after="0" w:line="240" w:lineRule="auto"/>
              <w:rPr>
                <w:rFonts w:ascii="Calibri" w:eastAsia="Times New Roman" w:hAnsi="Calibri" w:cs="Calibri"/>
                <w:color w:val="auto"/>
                <w:sz w:val="18"/>
                <w:szCs w:val="18"/>
                <w:lang w:val="en-AU" w:eastAsia="en-AU"/>
              </w:rPr>
            </w:pPr>
          </w:p>
        </w:tc>
        <w:tc>
          <w:tcPr>
            <w:tcW w:w="998" w:type="dxa"/>
            <w:tcBorders>
              <w:top w:val="nil"/>
              <w:left w:val="nil"/>
              <w:bottom w:val="nil"/>
              <w:right w:val="nil"/>
            </w:tcBorders>
            <w:shd w:val="clear" w:color="000000" w:fill="DBDBDB"/>
            <w:vAlign w:val="center"/>
            <w:hideMark/>
          </w:tcPr>
          <w:p w:rsidR="00F608E3" w:rsidRPr="00F608E3" w:rsidRDefault="00F608E3" w:rsidP="00492E26">
            <w:pPr>
              <w:suppressAutoHyphens w:val="0"/>
              <w:spacing w:before="0" w:after="0" w:line="240" w:lineRule="auto"/>
              <w:jc w:val="center"/>
              <w:rPr>
                <w:rFonts w:ascii="Calibri" w:eastAsia="Times New Roman" w:hAnsi="Calibri" w:cs="Calibri"/>
                <w:color w:val="auto"/>
                <w:sz w:val="18"/>
                <w:szCs w:val="18"/>
                <w:lang w:val="en-AU" w:eastAsia="en-AU"/>
              </w:rPr>
            </w:pPr>
          </w:p>
        </w:tc>
        <w:tc>
          <w:tcPr>
            <w:tcW w:w="980" w:type="dxa"/>
            <w:tcBorders>
              <w:top w:val="nil"/>
              <w:left w:val="nil"/>
              <w:bottom w:val="nil"/>
              <w:right w:val="nil"/>
            </w:tcBorders>
            <w:shd w:val="clear" w:color="000000" w:fill="DBDBDB"/>
            <w:vAlign w:val="center"/>
            <w:hideMark/>
          </w:tcPr>
          <w:p w:rsidR="00F608E3" w:rsidRPr="00F608E3" w:rsidRDefault="00F608E3" w:rsidP="00492E26">
            <w:pPr>
              <w:suppressAutoHyphens w:val="0"/>
              <w:spacing w:before="0" w:after="0" w:line="240" w:lineRule="auto"/>
              <w:jc w:val="center"/>
              <w:rPr>
                <w:rFonts w:ascii="Calibri" w:eastAsia="Times New Roman" w:hAnsi="Calibri" w:cs="Calibri"/>
                <w:color w:val="auto"/>
                <w:sz w:val="18"/>
                <w:szCs w:val="18"/>
                <w:lang w:val="en-AU" w:eastAsia="en-AU"/>
              </w:rPr>
            </w:pPr>
          </w:p>
        </w:tc>
        <w:tc>
          <w:tcPr>
            <w:tcW w:w="1213" w:type="dxa"/>
            <w:tcBorders>
              <w:top w:val="nil"/>
              <w:left w:val="nil"/>
              <w:bottom w:val="nil"/>
              <w:right w:val="nil"/>
            </w:tcBorders>
            <w:shd w:val="clear" w:color="000000" w:fill="DBDBDB"/>
            <w:vAlign w:val="center"/>
            <w:hideMark/>
          </w:tcPr>
          <w:p w:rsidR="00F608E3" w:rsidRPr="00F608E3" w:rsidRDefault="00F608E3" w:rsidP="00492E26">
            <w:pPr>
              <w:suppressAutoHyphens w:val="0"/>
              <w:spacing w:before="0" w:after="0" w:line="240" w:lineRule="auto"/>
              <w:jc w:val="center"/>
              <w:rPr>
                <w:rFonts w:ascii="Calibri" w:eastAsia="Times New Roman" w:hAnsi="Calibri" w:cs="Calibri"/>
                <w:color w:val="auto"/>
                <w:sz w:val="18"/>
                <w:szCs w:val="18"/>
                <w:lang w:val="en-AU" w:eastAsia="en-AU"/>
              </w:rPr>
            </w:pPr>
            <w:r w:rsidRPr="00F608E3">
              <w:rPr>
                <w:rFonts w:ascii="Calibri" w:eastAsia="Times New Roman" w:hAnsi="Calibri" w:cs="Calibri"/>
                <w:color w:val="auto"/>
                <w:sz w:val="18"/>
                <w:szCs w:val="18"/>
                <w:lang w:eastAsia="en-AU"/>
              </w:rPr>
              <w:t>Numeracy  85%</w:t>
            </w:r>
          </w:p>
        </w:tc>
        <w:tc>
          <w:tcPr>
            <w:tcW w:w="1012" w:type="dxa"/>
            <w:tcBorders>
              <w:top w:val="nil"/>
              <w:left w:val="nil"/>
              <w:bottom w:val="nil"/>
              <w:right w:val="nil"/>
            </w:tcBorders>
            <w:shd w:val="clear" w:color="000000" w:fill="DBDBDB"/>
            <w:vAlign w:val="center"/>
            <w:hideMark/>
          </w:tcPr>
          <w:p w:rsidR="00F608E3" w:rsidRPr="00F608E3" w:rsidRDefault="00F608E3" w:rsidP="00492E26">
            <w:pPr>
              <w:suppressAutoHyphens w:val="0"/>
              <w:spacing w:before="0" w:after="0" w:line="240" w:lineRule="auto"/>
              <w:jc w:val="center"/>
              <w:rPr>
                <w:rFonts w:ascii="Calibri" w:eastAsia="Times New Roman" w:hAnsi="Calibri" w:cs="Calibri"/>
                <w:color w:val="auto"/>
                <w:sz w:val="18"/>
                <w:szCs w:val="18"/>
                <w:lang w:val="en-AU" w:eastAsia="en-AU"/>
              </w:rPr>
            </w:pPr>
          </w:p>
        </w:tc>
        <w:tc>
          <w:tcPr>
            <w:tcW w:w="956" w:type="dxa"/>
            <w:tcBorders>
              <w:top w:val="nil"/>
              <w:left w:val="nil"/>
              <w:bottom w:val="nil"/>
              <w:right w:val="nil"/>
            </w:tcBorders>
            <w:shd w:val="clear" w:color="000000" w:fill="DBDBDB"/>
            <w:vAlign w:val="center"/>
            <w:hideMark/>
          </w:tcPr>
          <w:p w:rsidR="00F608E3" w:rsidRPr="00F608E3" w:rsidRDefault="00F608E3" w:rsidP="00492E26">
            <w:pPr>
              <w:suppressAutoHyphens w:val="0"/>
              <w:spacing w:before="0" w:after="0" w:line="240" w:lineRule="auto"/>
              <w:jc w:val="center"/>
              <w:rPr>
                <w:rFonts w:ascii="Calibri" w:eastAsia="Times New Roman" w:hAnsi="Calibri" w:cs="Calibri"/>
                <w:color w:val="auto"/>
                <w:sz w:val="18"/>
                <w:szCs w:val="18"/>
                <w:lang w:val="en-AU" w:eastAsia="en-AU"/>
              </w:rPr>
            </w:pPr>
          </w:p>
        </w:tc>
        <w:tc>
          <w:tcPr>
            <w:tcW w:w="4131" w:type="dxa"/>
            <w:tcBorders>
              <w:top w:val="nil"/>
              <w:left w:val="nil"/>
              <w:bottom w:val="nil"/>
              <w:right w:val="nil"/>
            </w:tcBorders>
            <w:shd w:val="clear" w:color="000000" w:fill="DBDBDB"/>
            <w:vAlign w:val="center"/>
            <w:hideMark/>
          </w:tcPr>
          <w:p w:rsidR="00F608E3" w:rsidRPr="00F608E3" w:rsidRDefault="00F608E3" w:rsidP="008F53E9">
            <w:pPr>
              <w:suppressAutoHyphens w:val="0"/>
              <w:spacing w:before="0" w:after="0" w:line="240" w:lineRule="auto"/>
              <w:rPr>
                <w:rFonts w:ascii="Calibri" w:eastAsia="Times New Roman" w:hAnsi="Calibri" w:cs="Calibri"/>
                <w:color w:val="auto"/>
                <w:sz w:val="18"/>
                <w:szCs w:val="18"/>
                <w:lang w:val="en-AU" w:eastAsia="en-AU"/>
              </w:rPr>
            </w:pPr>
            <w:r w:rsidRPr="00F608E3">
              <w:rPr>
                <w:rFonts w:ascii="Calibri" w:eastAsia="Times New Roman" w:hAnsi="Calibri" w:cs="Calibri"/>
                <w:color w:val="auto"/>
                <w:sz w:val="18"/>
                <w:szCs w:val="18"/>
                <w:lang w:val="en-AU" w:eastAsia="en-AU"/>
              </w:rPr>
              <w:t> </w:t>
            </w:r>
          </w:p>
        </w:tc>
      </w:tr>
      <w:tr w:rsidR="00F608E3" w:rsidRPr="00F608E3" w:rsidTr="008F53E9">
        <w:trPr>
          <w:trHeight w:val="300"/>
        </w:trPr>
        <w:tc>
          <w:tcPr>
            <w:tcW w:w="5110" w:type="dxa"/>
            <w:vMerge w:val="restart"/>
            <w:tcBorders>
              <w:top w:val="nil"/>
              <w:left w:val="nil"/>
              <w:bottom w:val="nil"/>
              <w:right w:val="nil"/>
            </w:tcBorders>
            <w:shd w:val="clear" w:color="000000" w:fill="BDD6EE"/>
            <w:vAlign w:val="center"/>
            <w:hideMark/>
          </w:tcPr>
          <w:p w:rsidR="00F608E3" w:rsidRPr="00816F98" w:rsidRDefault="00925C39" w:rsidP="008F53E9">
            <w:pPr>
              <w:suppressAutoHyphens w:val="0"/>
              <w:spacing w:before="0" w:after="0" w:line="240" w:lineRule="auto"/>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 xml:space="preserve">2.2: </w:t>
            </w:r>
            <w:r w:rsidR="00F608E3" w:rsidRPr="00816F98">
              <w:rPr>
                <w:rFonts w:ascii="Calibri" w:eastAsia="Times New Roman" w:hAnsi="Calibri" w:cs="Calibri"/>
                <w:color w:val="auto"/>
                <w:sz w:val="18"/>
                <w:szCs w:val="18"/>
                <w:lang w:eastAsia="en-AU"/>
              </w:rPr>
              <w:t>Proportion of schools complying with the school grant acquittal process (%)</w:t>
            </w:r>
          </w:p>
        </w:tc>
        <w:tc>
          <w:tcPr>
            <w:tcW w:w="998" w:type="dxa"/>
            <w:vMerge w:val="restart"/>
            <w:tcBorders>
              <w:top w:val="nil"/>
              <w:left w:val="nil"/>
              <w:bottom w:val="nil"/>
              <w:right w:val="nil"/>
            </w:tcBorders>
            <w:shd w:val="clear" w:color="000000" w:fill="BDD6EE"/>
            <w:vAlign w:val="center"/>
            <w:hideMark/>
          </w:tcPr>
          <w:p w:rsidR="00F608E3" w:rsidRPr="00F608E3" w:rsidRDefault="00F608E3"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F608E3">
              <w:rPr>
                <w:rFonts w:ascii="Calibri" w:eastAsia="Times New Roman" w:hAnsi="Calibri" w:cs="Calibri"/>
                <w:color w:val="auto"/>
                <w:sz w:val="18"/>
                <w:szCs w:val="18"/>
                <w:lang w:eastAsia="en-AU"/>
              </w:rPr>
              <w:t>N/A</w:t>
            </w:r>
          </w:p>
        </w:tc>
        <w:tc>
          <w:tcPr>
            <w:tcW w:w="980" w:type="dxa"/>
            <w:vMerge w:val="restart"/>
            <w:tcBorders>
              <w:top w:val="nil"/>
              <w:left w:val="nil"/>
              <w:bottom w:val="nil"/>
              <w:right w:val="nil"/>
            </w:tcBorders>
            <w:shd w:val="clear" w:color="000000" w:fill="BDD6EE"/>
            <w:vAlign w:val="center"/>
            <w:hideMark/>
          </w:tcPr>
          <w:p w:rsidR="00F608E3" w:rsidRPr="00F608E3" w:rsidRDefault="00F608E3"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F608E3">
              <w:rPr>
                <w:rFonts w:ascii="Calibri" w:eastAsia="Times New Roman" w:hAnsi="Calibri" w:cs="Calibri"/>
                <w:color w:val="auto"/>
                <w:sz w:val="18"/>
                <w:szCs w:val="18"/>
                <w:lang w:eastAsia="en-AU"/>
              </w:rPr>
              <w:t>88%</w:t>
            </w:r>
          </w:p>
        </w:tc>
        <w:tc>
          <w:tcPr>
            <w:tcW w:w="1213" w:type="dxa"/>
            <w:vMerge w:val="restart"/>
            <w:tcBorders>
              <w:top w:val="nil"/>
              <w:left w:val="nil"/>
              <w:bottom w:val="nil"/>
              <w:right w:val="nil"/>
            </w:tcBorders>
            <w:shd w:val="clear" w:color="000000" w:fill="BDD6EE"/>
            <w:vAlign w:val="center"/>
            <w:hideMark/>
          </w:tcPr>
          <w:p w:rsidR="00F608E3" w:rsidRPr="00F608E3" w:rsidRDefault="00F608E3"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F608E3">
              <w:rPr>
                <w:rFonts w:ascii="Calibri" w:eastAsia="Times New Roman" w:hAnsi="Calibri" w:cs="Calibri"/>
                <w:color w:val="auto"/>
                <w:sz w:val="18"/>
                <w:szCs w:val="18"/>
                <w:lang w:eastAsia="en-AU"/>
              </w:rPr>
              <w:t>87%</w:t>
            </w:r>
          </w:p>
        </w:tc>
        <w:tc>
          <w:tcPr>
            <w:tcW w:w="1012" w:type="dxa"/>
            <w:vMerge w:val="restart"/>
            <w:tcBorders>
              <w:top w:val="nil"/>
              <w:left w:val="nil"/>
              <w:bottom w:val="nil"/>
              <w:right w:val="nil"/>
            </w:tcBorders>
            <w:shd w:val="clear" w:color="000000" w:fill="BDD6EE"/>
            <w:vAlign w:val="center"/>
            <w:hideMark/>
          </w:tcPr>
          <w:p w:rsidR="00F608E3" w:rsidRPr="00F608E3" w:rsidRDefault="00082703" w:rsidP="00DC248A">
            <w:pPr>
              <w:suppressAutoHyphens w:val="0"/>
              <w:spacing w:before="0" w:after="0" w:line="240" w:lineRule="auto"/>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89</w:t>
            </w:r>
            <w:r w:rsidR="00F608E3" w:rsidRPr="00F608E3">
              <w:rPr>
                <w:rFonts w:ascii="Calibri" w:eastAsia="Times New Roman" w:hAnsi="Calibri" w:cs="Calibri"/>
                <w:color w:val="auto"/>
                <w:sz w:val="18"/>
                <w:szCs w:val="18"/>
                <w:lang w:eastAsia="en-AU"/>
              </w:rPr>
              <w:t>%</w:t>
            </w:r>
            <w:r w:rsidR="00515AD3">
              <w:rPr>
                <w:rFonts w:ascii="Calibri" w:eastAsia="Times New Roman" w:hAnsi="Calibri" w:cs="Calibri"/>
                <w:color w:val="auto"/>
                <w:sz w:val="18"/>
                <w:szCs w:val="18"/>
                <w:lang w:eastAsia="en-AU"/>
              </w:rPr>
              <w:t xml:space="preserve"> (87%</w:t>
            </w:r>
            <w:r>
              <w:rPr>
                <w:rFonts w:ascii="Calibri" w:eastAsia="Times New Roman" w:hAnsi="Calibri" w:cs="Calibri"/>
                <w:color w:val="auto"/>
                <w:sz w:val="18"/>
                <w:szCs w:val="18"/>
                <w:lang w:eastAsia="en-AU"/>
              </w:rPr>
              <w:t>)</w:t>
            </w:r>
          </w:p>
        </w:tc>
        <w:tc>
          <w:tcPr>
            <w:tcW w:w="956" w:type="dxa"/>
            <w:vMerge w:val="restart"/>
            <w:tcBorders>
              <w:top w:val="nil"/>
              <w:left w:val="nil"/>
              <w:bottom w:val="nil"/>
              <w:right w:val="nil"/>
            </w:tcBorders>
            <w:shd w:val="clear" w:color="000000" w:fill="BDD6EE"/>
            <w:vAlign w:val="center"/>
            <w:hideMark/>
          </w:tcPr>
          <w:p w:rsidR="00F608E3" w:rsidRPr="00F608E3" w:rsidRDefault="00515AD3" w:rsidP="008F53E9">
            <w:pPr>
              <w:suppressAutoHyphens w:val="0"/>
              <w:spacing w:before="0" w:after="0" w:line="240" w:lineRule="auto"/>
              <w:jc w:val="center"/>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TBC</w:t>
            </w:r>
          </w:p>
        </w:tc>
        <w:tc>
          <w:tcPr>
            <w:tcW w:w="4131" w:type="dxa"/>
            <w:tcBorders>
              <w:top w:val="nil"/>
              <w:left w:val="nil"/>
              <w:bottom w:val="nil"/>
              <w:right w:val="nil"/>
            </w:tcBorders>
            <w:shd w:val="clear" w:color="000000" w:fill="BDD6EE"/>
            <w:vAlign w:val="center"/>
            <w:hideMark/>
          </w:tcPr>
          <w:p w:rsidR="00F608E3" w:rsidRPr="00F608E3" w:rsidRDefault="00F608E3" w:rsidP="008F53E9">
            <w:pPr>
              <w:suppressAutoHyphens w:val="0"/>
              <w:spacing w:before="0" w:after="0" w:line="240" w:lineRule="auto"/>
              <w:rPr>
                <w:rFonts w:ascii="Calibri" w:eastAsia="Times New Roman" w:hAnsi="Calibri" w:cs="Calibri"/>
                <w:color w:val="auto"/>
                <w:sz w:val="18"/>
                <w:szCs w:val="18"/>
                <w:lang w:val="en-AU" w:eastAsia="en-AU"/>
              </w:rPr>
            </w:pPr>
            <w:r w:rsidRPr="00F608E3">
              <w:rPr>
                <w:rFonts w:ascii="Calibri" w:eastAsia="Times New Roman" w:hAnsi="Calibri" w:cs="Calibri"/>
                <w:color w:val="auto"/>
                <w:sz w:val="18"/>
                <w:szCs w:val="18"/>
                <w:lang w:eastAsia="en-AU"/>
              </w:rPr>
              <w:t>MoET monitoring data</w:t>
            </w:r>
          </w:p>
        </w:tc>
      </w:tr>
      <w:tr w:rsidR="00F608E3" w:rsidRPr="00F608E3" w:rsidTr="008F53E9">
        <w:trPr>
          <w:trHeight w:val="300"/>
        </w:trPr>
        <w:tc>
          <w:tcPr>
            <w:tcW w:w="5110" w:type="dxa"/>
            <w:vMerge/>
            <w:tcBorders>
              <w:top w:val="nil"/>
              <w:left w:val="nil"/>
              <w:bottom w:val="nil"/>
              <w:right w:val="nil"/>
            </w:tcBorders>
            <w:vAlign w:val="center"/>
            <w:hideMark/>
          </w:tcPr>
          <w:p w:rsidR="00F608E3" w:rsidRPr="00816F98" w:rsidRDefault="00F608E3" w:rsidP="008F53E9">
            <w:pPr>
              <w:suppressAutoHyphens w:val="0"/>
              <w:spacing w:before="0" w:after="0" w:line="240" w:lineRule="auto"/>
              <w:rPr>
                <w:rFonts w:ascii="Calibri" w:eastAsia="Times New Roman" w:hAnsi="Calibri" w:cs="Calibri"/>
                <w:color w:val="auto"/>
                <w:sz w:val="18"/>
                <w:szCs w:val="18"/>
                <w:lang w:val="en-AU" w:eastAsia="en-AU"/>
              </w:rPr>
            </w:pPr>
          </w:p>
        </w:tc>
        <w:tc>
          <w:tcPr>
            <w:tcW w:w="998" w:type="dxa"/>
            <w:vMerge/>
            <w:tcBorders>
              <w:top w:val="nil"/>
              <w:left w:val="nil"/>
              <w:bottom w:val="nil"/>
              <w:right w:val="nil"/>
            </w:tcBorders>
            <w:vAlign w:val="center"/>
            <w:hideMark/>
          </w:tcPr>
          <w:p w:rsidR="00F608E3" w:rsidRPr="00F608E3" w:rsidRDefault="00F608E3" w:rsidP="008F53E9">
            <w:pPr>
              <w:suppressAutoHyphens w:val="0"/>
              <w:spacing w:before="0" w:after="0" w:line="240" w:lineRule="auto"/>
              <w:rPr>
                <w:rFonts w:ascii="Calibri" w:eastAsia="Times New Roman" w:hAnsi="Calibri" w:cs="Calibri"/>
                <w:color w:val="auto"/>
                <w:sz w:val="18"/>
                <w:szCs w:val="18"/>
                <w:lang w:val="en-AU" w:eastAsia="en-AU"/>
              </w:rPr>
            </w:pPr>
          </w:p>
        </w:tc>
        <w:tc>
          <w:tcPr>
            <w:tcW w:w="980" w:type="dxa"/>
            <w:vMerge/>
            <w:tcBorders>
              <w:top w:val="nil"/>
              <w:left w:val="nil"/>
              <w:bottom w:val="nil"/>
              <w:right w:val="nil"/>
            </w:tcBorders>
            <w:vAlign w:val="center"/>
            <w:hideMark/>
          </w:tcPr>
          <w:p w:rsidR="00F608E3" w:rsidRPr="00F608E3" w:rsidRDefault="00F608E3" w:rsidP="008F53E9">
            <w:pPr>
              <w:suppressAutoHyphens w:val="0"/>
              <w:spacing w:before="0" w:after="0" w:line="240" w:lineRule="auto"/>
              <w:rPr>
                <w:rFonts w:ascii="Calibri" w:eastAsia="Times New Roman" w:hAnsi="Calibri" w:cs="Calibri"/>
                <w:color w:val="auto"/>
                <w:sz w:val="18"/>
                <w:szCs w:val="18"/>
                <w:lang w:val="en-AU" w:eastAsia="en-AU"/>
              </w:rPr>
            </w:pPr>
          </w:p>
        </w:tc>
        <w:tc>
          <w:tcPr>
            <w:tcW w:w="1213" w:type="dxa"/>
            <w:vMerge/>
            <w:tcBorders>
              <w:top w:val="nil"/>
              <w:left w:val="nil"/>
              <w:bottom w:val="nil"/>
              <w:right w:val="nil"/>
            </w:tcBorders>
            <w:vAlign w:val="center"/>
            <w:hideMark/>
          </w:tcPr>
          <w:p w:rsidR="00F608E3" w:rsidRPr="00F608E3" w:rsidRDefault="00F608E3" w:rsidP="008F53E9">
            <w:pPr>
              <w:suppressAutoHyphens w:val="0"/>
              <w:spacing w:before="0" w:after="0" w:line="240" w:lineRule="auto"/>
              <w:rPr>
                <w:rFonts w:ascii="Calibri" w:eastAsia="Times New Roman" w:hAnsi="Calibri" w:cs="Calibri"/>
                <w:color w:val="auto"/>
                <w:sz w:val="18"/>
                <w:szCs w:val="18"/>
                <w:lang w:val="en-AU" w:eastAsia="en-AU"/>
              </w:rPr>
            </w:pPr>
          </w:p>
        </w:tc>
        <w:tc>
          <w:tcPr>
            <w:tcW w:w="1012" w:type="dxa"/>
            <w:vMerge/>
            <w:tcBorders>
              <w:top w:val="nil"/>
              <w:left w:val="nil"/>
              <w:bottom w:val="nil"/>
              <w:right w:val="nil"/>
            </w:tcBorders>
            <w:vAlign w:val="center"/>
            <w:hideMark/>
          </w:tcPr>
          <w:p w:rsidR="00F608E3" w:rsidRPr="00F608E3" w:rsidRDefault="00F608E3" w:rsidP="008F53E9">
            <w:pPr>
              <w:suppressAutoHyphens w:val="0"/>
              <w:spacing w:before="0" w:after="0" w:line="240" w:lineRule="auto"/>
              <w:rPr>
                <w:rFonts w:ascii="Calibri" w:eastAsia="Times New Roman" w:hAnsi="Calibri" w:cs="Calibri"/>
                <w:color w:val="auto"/>
                <w:sz w:val="18"/>
                <w:szCs w:val="18"/>
                <w:lang w:val="en-AU" w:eastAsia="en-AU"/>
              </w:rPr>
            </w:pPr>
          </w:p>
        </w:tc>
        <w:tc>
          <w:tcPr>
            <w:tcW w:w="956" w:type="dxa"/>
            <w:vMerge/>
            <w:tcBorders>
              <w:top w:val="nil"/>
              <w:left w:val="nil"/>
              <w:bottom w:val="nil"/>
              <w:right w:val="nil"/>
            </w:tcBorders>
            <w:vAlign w:val="center"/>
            <w:hideMark/>
          </w:tcPr>
          <w:p w:rsidR="00F608E3" w:rsidRPr="00F608E3" w:rsidRDefault="00F608E3" w:rsidP="008F53E9">
            <w:pPr>
              <w:suppressAutoHyphens w:val="0"/>
              <w:spacing w:before="0" w:after="0" w:line="240" w:lineRule="auto"/>
              <w:rPr>
                <w:rFonts w:ascii="Calibri" w:eastAsia="Times New Roman" w:hAnsi="Calibri" w:cs="Calibri"/>
                <w:color w:val="auto"/>
                <w:sz w:val="18"/>
                <w:szCs w:val="18"/>
                <w:lang w:val="en-AU" w:eastAsia="en-AU"/>
              </w:rPr>
            </w:pPr>
          </w:p>
        </w:tc>
        <w:tc>
          <w:tcPr>
            <w:tcW w:w="4131" w:type="dxa"/>
            <w:tcBorders>
              <w:top w:val="nil"/>
              <w:left w:val="nil"/>
              <w:bottom w:val="nil"/>
              <w:right w:val="nil"/>
            </w:tcBorders>
            <w:shd w:val="clear" w:color="000000" w:fill="BDD6EE"/>
            <w:vAlign w:val="center"/>
            <w:hideMark/>
          </w:tcPr>
          <w:p w:rsidR="00F608E3" w:rsidRPr="00F608E3" w:rsidRDefault="00F608E3" w:rsidP="008F53E9">
            <w:pPr>
              <w:suppressAutoHyphens w:val="0"/>
              <w:spacing w:before="0" w:after="0" w:line="240" w:lineRule="auto"/>
              <w:rPr>
                <w:rFonts w:ascii="Calibri" w:eastAsia="Times New Roman" w:hAnsi="Calibri" w:cs="Calibri"/>
                <w:color w:val="auto"/>
                <w:sz w:val="18"/>
                <w:szCs w:val="18"/>
                <w:lang w:val="en-AU" w:eastAsia="en-AU"/>
              </w:rPr>
            </w:pPr>
            <w:r w:rsidRPr="00F608E3">
              <w:rPr>
                <w:rFonts w:ascii="Calibri" w:eastAsia="Times New Roman" w:hAnsi="Calibri" w:cs="Calibri"/>
                <w:color w:val="auto"/>
                <w:sz w:val="18"/>
                <w:szCs w:val="18"/>
                <w:lang w:eastAsia="en-AU"/>
              </w:rPr>
              <w:t>VESP monitoring data</w:t>
            </w:r>
          </w:p>
        </w:tc>
      </w:tr>
      <w:tr w:rsidR="00F608E3" w:rsidRPr="00F608E3" w:rsidTr="008F53E9">
        <w:trPr>
          <w:trHeight w:val="720"/>
        </w:trPr>
        <w:tc>
          <w:tcPr>
            <w:tcW w:w="5110" w:type="dxa"/>
            <w:vMerge w:val="restart"/>
            <w:tcBorders>
              <w:top w:val="nil"/>
              <w:left w:val="nil"/>
              <w:bottom w:val="nil"/>
              <w:right w:val="nil"/>
            </w:tcBorders>
            <w:shd w:val="clear" w:color="000000" w:fill="DBDBDB"/>
            <w:vAlign w:val="center"/>
            <w:hideMark/>
          </w:tcPr>
          <w:p w:rsidR="00F608E3" w:rsidRPr="00816F98" w:rsidRDefault="00925C39" w:rsidP="008F53E9">
            <w:pPr>
              <w:suppressAutoHyphens w:val="0"/>
              <w:spacing w:before="0" w:after="0" w:line="240" w:lineRule="auto"/>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 xml:space="preserve">2.3: </w:t>
            </w:r>
            <w:r w:rsidR="00F608E3" w:rsidRPr="00816F98">
              <w:rPr>
                <w:rFonts w:ascii="Calibri" w:eastAsia="Times New Roman" w:hAnsi="Calibri" w:cs="Calibri"/>
                <w:color w:val="auto"/>
                <w:sz w:val="18"/>
                <w:szCs w:val="18"/>
                <w:lang w:eastAsia="en-AU"/>
              </w:rPr>
              <w:footnoteReference w:customMarkFollows="1" w:id="27"/>
              <w:t>Proportion of children (0-5yrs) with f</w:t>
            </w:r>
            <w:r w:rsidR="00C36EBE">
              <w:rPr>
                <w:rFonts w:ascii="Calibri" w:eastAsia="Times New Roman" w:hAnsi="Calibri" w:cs="Calibri"/>
                <w:color w:val="auto"/>
                <w:sz w:val="18"/>
                <w:szCs w:val="18"/>
                <w:lang w:eastAsia="en-AU"/>
              </w:rPr>
              <w:t>ull routine immunisation (%)</w:t>
            </w:r>
            <w:r w:rsidR="00C36EBE">
              <w:rPr>
                <w:rStyle w:val="FootnoteReference"/>
                <w:rFonts w:ascii="Calibri" w:eastAsia="Times New Roman" w:hAnsi="Calibri" w:cs="Calibri"/>
                <w:color w:val="auto"/>
                <w:sz w:val="18"/>
                <w:szCs w:val="18"/>
                <w:lang w:eastAsia="en-AU"/>
              </w:rPr>
              <w:footnoteReference w:id="28"/>
            </w:r>
          </w:p>
        </w:tc>
        <w:tc>
          <w:tcPr>
            <w:tcW w:w="998" w:type="dxa"/>
            <w:tcBorders>
              <w:top w:val="nil"/>
              <w:left w:val="nil"/>
              <w:bottom w:val="nil"/>
              <w:right w:val="nil"/>
            </w:tcBorders>
            <w:shd w:val="clear" w:color="000000" w:fill="DBDBDB"/>
            <w:vAlign w:val="center"/>
            <w:hideMark/>
          </w:tcPr>
          <w:p w:rsidR="00F608E3" w:rsidRPr="00F608E3" w:rsidRDefault="00F608E3" w:rsidP="00681718">
            <w:pPr>
              <w:suppressAutoHyphens w:val="0"/>
              <w:spacing w:before="0" w:after="0" w:line="240" w:lineRule="auto"/>
              <w:jc w:val="center"/>
              <w:rPr>
                <w:rFonts w:ascii="Calibri" w:eastAsia="Times New Roman" w:hAnsi="Calibri" w:cs="Calibri"/>
                <w:color w:val="auto"/>
                <w:sz w:val="18"/>
                <w:szCs w:val="18"/>
                <w:lang w:val="en-AU" w:eastAsia="en-AU"/>
              </w:rPr>
            </w:pPr>
            <w:r w:rsidRPr="00F608E3">
              <w:rPr>
                <w:rFonts w:ascii="Calibri" w:eastAsia="Times New Roman" w:hAnsi="Calibri" w:cs="Calibri"/>
                <w:color w:val="auto"/>
                <w:sz w:val="18"/>
                <w:szCs w:val="18"/>
                <w:lang w:eastAsia="en-AU"/>
              </w:rPr>
              <w:t>68.50%</w:t>
            </w:r>
          </w:p>
        </w:tc>
        <w:tc>
          <w:tcPr>
            <w:tcW w:w="980" w:type="dxa"/>
            <w:tcBorders>
              <w:top w:val="nil"/>
              <w:left w:val="nil"/>
              <w:bottom w:val="nil"/>
              <w:right w:val="nil"/>
            </w:tcBorders>
            <w:shd w:val="clear" w:color="000000" w:fill="DBDBDB"/>
            <w:vAlign w:val="center"/>
            <w:hideMark/>
          </w:tcPr>
          <w:p w:rsidR="00F608E3" w:rsidRPr="00816F98" w:rsidRDefault="00F608E3" w:rsidP="00681718">
            <w:pPr>
              <w:suppressAutoHyphens w:val="0"/>
              <w:spacing w:before="0" w:after="0" w:line="240" w:lineRule="auto"/>
              <w:jc w:val="center"/>
              <w:rPr>
                <w:rFonts w:ascii="Calibri" w:eastAsia="Times New Roman" w:hAnsi="Calibri" w:cs="Calibri"/>
                <w:color w:val="auto"/>
                <w:sz w:val="18"/>
                <w:szCs w:val="18"/>
                <w:lang w:val="en-AU" w:eastAsia="en-AU"/>
              </w:rPr>
            </w:pPr>
            <w:r w:rsidRPr="00816F98">
              <w:rPr>
                <w:rFonts w:ascii="Calibri" w:eastAsia="Times New Roman" w:hAnsi="Calibri" w:cs="Calibri"/>
                <w:color w:val="auto"/>
                <w:sz w:val="18"/>
                <w:szCs w:val="18"/>
                <w:lang w:eastAsia="en-AU"/>
              </w:rPr>
              <w:footnoteReference w:customMarkFollows="1" w:id="29"/>
              <w:t>8</w:t>
            </w:r>
            <w:r w:rsidR="00C36EBE">
              <w:rPr>
                <w:rFonts w:ascii="Calibri" w:eastAsia="Times New Roman" w:hAnsi="Calibri" w:cs="Calibri"/>
                <w:color w:val="auto"/>
                <w:sz w:val="18"/>
                <w:szCs w:val="18"/>
                <w:lang w:eastAsia="en-AU"/>
              </w:rPr>
              <w:t>1% DPT3/84% MCV1</w:t>
            </w:r>
            <w:r w:rsidR="00C36EBE">
              <w:rPr>
                <w:rStyle w:val="FootnoteReference"/>
                <w:rFonts w:ascii="Calibri" w:eastAsia="Times New Roman" w:hAnsi="Calibri" w:cs="Calibri"/>
                <w:color w:val="auto"/>
                <w:sz w:val="18"/>
                <w:szCs w:val="18"/>
                <w:lang w:eastAsia="en-AU"/>
              </w:rPr>
              <w:footnoteReference w:id="30"/>
            </w:r>
          </w:p>
        </w:tc>
        <w:tc>
          <w:tcPr>
            <w:tcW w:w="1213" w:type="dxa"/>
            <w:tcBorders>
              <w:top w:val="nil"/>
              <w:left w:val="nil"/>
              <w:bottom w:val="nil"/>
              <w:right w:val="nil"/>
            </w:tcBorders>
            <w:shd w:val="clear" w:color="000000" w:fill="DBDBDB"/>
            <w:vAlign w:val="center"/>
            <w:hideMark/>
          </w:tcPr>
          <w:p w:rsidR="00F608E3" w:rsidRPr="00816F98" w:rsidRDefault="00F608E3" w:rsidP="00681718">
            <w:pPr>
              <w:suppressAutoHyphens w:val="0"/>
              <w:spacing w:before="0" w:after="0" w:line="240" w:lineRule="auto"/>
              <w:jc w:val="center"/>
              <w:rPr>
                <w:rFonts w:ascii="Calibri" w:eastAsia="Times New Roman" w:hAnsi="Calibri" w:cs="Calibri"/>
                <w:color w:val="auto"/>
                <w:sz w:val="18"/>
                <w:szCs w:val="18"/>
                <w:lang w:val="en-AU" w:eastAsia="en-AU"/>
              </w:rPr>
            </w:pPr>
            <w:r w:rsidRPr="00816F98">
              <w:rPr>
                <w:rFonts w:ascii="Calibri" w:eastAsia="Times New Roman" w:hAnsi="Calibri" w:cs="Calibri"/>
                <w:color w:val="auto"/>
                <w:sz w:val="18"/>
                <w:szCs w:val="18"/>
                <w:lang w:eastAsia="en-AU"/>
              </w:rPr>
              <w:footnoteReference w:customMarkFollows="1" w:id="31"/>
              <w:t>9</w:t>
            </w:r>
            <w:r w:rsidR="003416EA">
              <w:rPr>
                <w:rFonts w:ascii="Calibri" w:eastAsia="Times New Roman" w:hAnsi="Calibri" w:cs="Calibri"/>
                <w:color w:val="auto"/>
                <w:sz w:val="18"/>
                <w:szCs w:val="18"/>
                <w:lang w:eastAsia="en-AU"/>
              </w:rPr>
              <w:t>3.9% DPT3/MR1</w:t>
            </w:r>
            <w:r w:rsidR="003416EA">
              <w:rPr>
                <w:rStyle w:val="FootnoteReference"/>
                <w:rFonts w:ascii="Calibri" w:eastAsia="Times New Roman" w:hAnsi="Calibri" w:cs="Calibri"/>
                <w:color w:val="auto"/>
                <w:sz w:val="18"/>
                <w:szCs w:val="18"/>
                <w:lang w:eastAsia="en-AU"/>
              </w:rPr>
              <w:footnoteReference w:id="32"/>
            </w:r>
            <w:r w:rsidRPr="00816F98">
              <w:rPr>
                <w:rFonts w:ascii="Calibri" w:eastAsia="Times New Roman" w:hAnsi="Calibri" w:cs="Calibri"/>
                <w:color w:val="auto"/>
                <w:sz w:val="18"/>
                <w:szCs w:val="18"/>
                <w:lang w:eastAsia="en-AU"/>
              </w:rPr>
              <w:t xml:space="preserve"> 88%</w:t>
            </w:r>
          </w:p>
        </w:tc>
        <w:tc>
          <w:tcPr>
            <w:tcW w:w="1012" w:type="dxa"/>
            <w:tcBorders>
              <w:top w:val="nil"/>
              <w:left w:val="nil"/>
              <w:bottom w:val="nil"/>
              <w:right w:val="nil"/>
            </w:tcBorders>
            <w:shd w:val="clear" w:color="000000" w:fill="DBDBDB"/>
            <w:vAlign w:val="center"/>
            <w:hideMark/>
          </w:tcPr>
          <w:p w:rsidR="00F608E3" w:rsidRPr="00F608E3" w:rsidRDefault="00F608E3" w:rsidP="00681718">
            <w:pPr>
              <w:suppressAutoHyphens w:val="0"/>
              <w:spacing w:before="0" w:after="0" w:line="240" w:lineRule="auto"/>
              <w:jc w:val="center"/>
              <w:rPr>
                <w:rFonts w:ascii="Calibri" w:eastAsia="Times New Roman" w:hAnsi="Calibri" w:cs="Calibri"/>
                <w:color w:val="auto"/>
                <w:sz w:val="18"/>
                <w:szCs w:val="18"/>
                <w:lang w:val="en-AU" w:eastAsia="en-AU"/>
              </w:rPr>
            </w:pPr>
            <w:r w:rsidRPr="00F608E3">
              <w:rPr>
                <w:rFonts w:ascii="Calibri" w:eastAsia="Times New Roman" w:hAnsi="Calibri" w:cs="Calibri"/>
                <w:color w:val="auto"/>
                <w:sz w:val="18"/>
                <w:szCs w:val="18"/>
                <w:lang w:eastAsia="en-AU"/>
              </w:rPr>
              <w:t>9</w:t>
            </w:r>
            <w:r w:rsidR="00515AD3">
              <w:rPr>
                <w:rFonts w:ascii="Calibri" w:eastAsia="Times New Roman" w:hAnsi="Calibri" w:cs="Calibri"/>
                <w:color w:val="auto"/>
                <w:sz w:val="18"/>
                <w:szCs w:val="18"/>
                <w:lang w:eastAsia="en-AU"/>
              </w:rPr>
              <w:t>3</w:t>
            </w:r>
            <w:r w:rsidRPr="00F608E3">
              <w:rPr>
                <w:rFonts w:ascii="Calibri" w:eastAsia="Times New Roman" w:hAnsi="Calibri" w:cs="Calibri"/>
                <w:color w:val="auto"/>
                <w:sz w:val="18"/>
                <w:szCs w:val="18"/>
                <w:lang w:eastAsia="en-AU"/>
              </w:rPr>
              <w:t>%</w:t>
            </w:r>
            <w:r w:rsidR="006F41EF">
              <w:rPr>
                <w:rStyle w:val="FootnoteReference"/>
                <w:rFonts w:ascii="Calibri" w:eastAsia="Times New Roman" w:hAnsi="Calibri" w:cs="Calibri"/>
                <w:color w:val="auto"/>
                <w:sz w:val="18"/>
                <w:szCs w:val="18"/>
                <w:lang w:eastAsia="en-AU"/>
              </w:rPr>
              <w:footnoteReference w:id="33"/>
            </w:r>
            <w:r w:rsidRPr="00F608E3">
              <w:rPr>
                <w:rFonts w:ascii="Calibri" w:eastAsia="Times New Roman" w:hAnsi="Calibri" w:cs="Calibri"/>
                <w:color w:val="auto"/>
                <w:sz w:val="18"/>
                <w:szCs w:val="18"/>
                <w:lang w:eastAsia="en-AU"/>
              </w:rPr>
              <w:t xml:space="preserve"> DPT3/MR1 88%</w:t>
            </w:r>
            <w:r w:rsidR="00515AD3">
              <w:rPr>
                <w:rFonts w:ascii="Calibri" w:eastAsia="Times New Roman" w:hAnsi="Calibri" w:cs="Calibri"/>
                <w:color w:val="auto"/>
                <w:sz w:val="18"/>
                <w:szCs w:val="18"/>
                <w:lang w:eastAsia="en-AU"/>
              </w:rPr>
              <w:t xml:space="preserve"> (94%DPT3/MR188%)</w:t>
            </w:r>
          </w:p>
        </w:tc>
        <w:tc>
          <w:tcPr>
            <w:tcW w:w="956" w:type="dxa"/>
            <w:tcBorders>
              <w:top w:val="nil"/>
              <w:left w:val="nil"/>
              <w:bottom w:val="nil"/>
              <w:right w:val="nil"/>
            </w:tcBorders>
            <w:shd w:val="clear" w:color="000000" w:fill="D9D9D9"/>
            <w:noWrap/>
            <w:vAlign w:val="center"/>
            <w:hideMark/>
          </w:tcPr>
          <w:p w:rsidR="00F608E3" w:rsidRPr="00F608E3" w:rsidRDefault="00F608E3" w:rsidP="00681718">
            <w:pPr>
              <w:suppressAutoHyphens w:val="0"/>
              <w:spacing w:before="0" w:after="0" w:line="240" w:lineRule="auto"/>
              <w:jc w:val="center"/>
              <w:rPr>
                <w:rFonts w:ascii="Calibri" w:eastAsia="Times New Roman" w:hAnsi="Calibri" w:cs="Calibri"/>
                <w:color w:val="auto"/>
                <w:sz w:val="18"/>
                <w:szCs w:val="18"/>
                <w:lang w:val="en-AU" w:eastAsia="en-AU"/>
              </w:rPr>
            </w:pPr>
            <w:r w:rsidRPr="00F608E3">
              <w:rPr>
                <w:rFonts w:ascii="Calibri" w:eastAsia="Times New Roman" w:hAnsi="Calibri" w:cs="Calibri"/>
                <w:color w:val="auto"/>
                <w:sz w:val="18"/>
                <w:szCs w:val="18"/>
                <w:lang w:val="en-AU" w:eastAsia="en-AU"/>
              </w:rPr>
              <w:t>TBC</w:t>
            </w:r>
          </w:p>
        </w:tc>
        <w:tc>
          <w:tcPr>
            <w:tcW w:w="4131" w:type="dxa"/>
            <w:vMerge w:val="restart"/>
            <w:tcBorders>
              <w:top w:val="nil"/>
              <w:left w:val="nil"/>
              <w:bottom w:val="nil"/>
              <w:right w:val="nil"/>
            </w:tcBorders>
            <w:shd w:val="clear" w:color="000000" w:fill="DBDBDB"/>
            <w:vAlign w:val="center"/>
            <w:hideMark/>
          </w:tcPr>
          <w:p w:rsidR="00F608E3" w:rsidRPr="00F608E3" w:rsidRDefault="00F608E3" w:rsidP="008F53E9">
            <w:pPr>
              <w:suppressAutoHyphens w:val="0"/>
              <w:spacing w:before="0" w:after="0" w:line="240" w:lineRule="auto"/>
              <w:rPr>
                <w:rFonts w:ascii="Calibri" w:eastAsia="Times New Roman" w:hAnsi="Calibri" w:cs="Calibri"/>
                <w:color w:val="auto"/>
                <w:sz w:val="18"/>
                <w:szCs w:val="18"/>
                <w:lang w:val="en-AU" w:eastAsia="en-AU"/>
              </w:rPr>
            </w:pPr>
            <w:r w:rsidRPr="00F608E3">
              <w:rPr>
                <w:rFonts w:ascii="Calibri" w:eastAsia="Times New Roman" w:hAnsi="Calibri" w:cs="Calibri"/>
                <w:color w:val="auto"/>
                <w:sz w:val="18"/>
                <w:szCs w:val="18"/>
                <w:lang w:eastAsia="en-AU"/>
              </w:rPr>
              <w:t>Vanuatu Health Information System, UNICEF monitoring data</w:t>
            </w:r>
          </w:p>
        </w:tc>
      </w:tr>
      <w:tr w:rsidR="00F608E3" w:rsidRPr="00F608E3" w:rsidTr="008F53E9">
        <w:trPr>
          <w:trHeight w:val="480"/>
        </w:trPr>
        <w:tc>
          <w:tcPr>
            <w:tcW w:w="5110" w:type="dxa"/>
            <w:vMerge/>
            <w:tcBorders>
              <w:top w:val="nil"/>
              <w:left w:val="nil"/>
              <w:bottom w:val="nil"/>
              <w:right w:val="nil"/>
            </w:tcBorders>
            <w:vAlign w:val="center"/>
            <w:hideMark/>
          </w:tcPr>
          <w:p w:rsidR="00F608E3" w:rsidRPr="00816F98" w:rsidRDefault="00F608E3" w:rsidP="008F53E9">
            <w:pPr>
              <w:suppressAutoHyphens w:val="0"/>
              <w:spacing w:before="0" w:after="0" w:line="240" w:lineRule="auto"/>
              <w:rPr>
                <w:rFonts w:ascii="Calibri" w:eastAsia="Times New Roman" w:hAnsi="Calibri" w:cs="Calibri"/>
                <w:color w:val="auto"/>
                <w:sz w:val="18"/>
                <w:szCs w:val="18"/>
                <w:lang w:val="en-AU" w:eastAsia="en-AU"/>
              </w:rPr>
            </w:pPr>
          </w:p>
        </w:tc>
        <w:tc>
          <w:tcPr>
            <w:tcW w:w="998" w:type="dxa"/>
            <w:tcBorders>
              <w:top w:val="nil"/>
              <w:left w:val="nil"/>
              <w:bottom w:val="nil"/>
              <w:right w:val="nil"/>
            </w:tcBorders>
            <w:shd w:val="clear" w:color="000000" w:fill="DBDBDB"/>
            <w:vAlign w:val="center"/>
            <w:hideMark/>
          </w:tcPr>
          <w:p w:rsidR="00F608E3" w:rsidRPr="00F608E3" w:rsidRDefault="00F608E3" w:rsidP="00681718">
            <w:pPr>
              <w:suppressAutoHyphens w:val="0"/>
              <w:spacing w:before="0" w:after="0" w:line="240" w:lineRule="auto"/>
              <w:jc w:val="center"/>
              <w:rPr>
                <w:rFonts w:ascii="Calibri" w:eastAsia="Times New Roman" w:hAnsi="Calibri" w:cs="Calibri"/>
                <w:color w:val="auto"/>
                <w:sz w:val="18"/>
                <w:szCs w:val="18"/>
                <w:lang w:val="en-AU" w:eastAsia="en-AU"/>
              </w:rPr>
            </w:pPr>
            <w:r w:rsidRPr="00F608E3">
              <w:rPr>
                <w:rFonts w:ascii="Calibri" w:eastAsia="Times New Roman" w:hAnsi="Calibri" w:cs="Calibri"/>
                <w:color w:val="auto"/>
                <w:sz w:val="18"/>
                <w:szCs w:val="18"/>
                <w:lang w:eastAsia="en-AU"/>
              </w:rPr>
              <w:t>[2016 APPR]</w:t>
            </w:r>
          </w:p>
        </w:tc>
        <w:tc>
          <w:tcPr>
            <w:tcW w:w="980" w:type="dxa"/>
            <w:tcBorders>
              <w:top w:val="nil"/>
              <w:left w:val="nil"/>
              <w:bottom w:val="nil"/>
              <w:right w:val="nil"/>
            </w:tcBorders>
            <w:shd w:val="clear" w:color="000000" w:fill="DBDBDB"/>
            <w:vAlign w:val="center"/>
            <w:hideMark/>
          </w:tcPr>
          <w:p w:rsidR="00F608E3" w:rsidRPr="00816F98" w:rsidRDefault="00F608E3" w:rsidP="00681718">
            <w:pPr>
              <w:suppressAutoHyphens w:val="0"/>
              <w:spacing w:before="0" w:after="0" w:line="240" w:lineRule="auto"/>
              <w:jc w:val="center"/>
              <w:rPr>
                <w:rFonts w:ascii="Calibri" w:eastAsia="Times New Roman" w:hAnsi="Calibri" w:cs="Calibri"/>
                <w:color w:val="auto"/>
                <w:sz w:val="18"/>
                <w:szCs w:val="18"/>
                <w:lang w:val="en-AU" w:eastAsia="en-AU"/>
              </w:rPr>
            </w:pPr>
            <w:r w:rsidRPr="00816F98">
              <w:rPr>
                <w:rFonts w:ascii="Calibri" w:eastAsia="Times New Roman" w:hAnsi="Calibri" w:cs="Calibri"/>
                <w:color w:val="auto"/>
                <w:sz w:val="18"/>
                <w:szCs w:val="18"/>
                <w:lang w:eastAsia="en-AU"/>
              </w:rPr>
              <w:t>[2017 APPR]</w:t>
            </w:r>
          </w:p>
        </w:tc>
        <w:tc>
          <w:tcPr>
            <w:tcW w:w="1213" w:type="dxa"/>
            <w:tcBorders>
              <w:top w:val="nil"/>
              <w:left w:val="nil"/>
              <w:bottom w:val="nil"/>
              <w:right w:val="nil"/>
            </w:tcBorders>
            <w:shd w:val="clear" w:color="000000" w:fill="DBDBDB"/>
            <w:vAlign w:val="center"/>
            <w:hideMark/>
          </w:tcPr>
          <w:p w:rsidR="00F608E3" w:rsidRPr="00816F98" w:rsidRDefault="00F608E3" w:rsidP="00681718">
            <w:pPr>
              <w:suppressAutoHyphens w:val="0"/>
              <w:spacing w:before="0" w:after="0" w:line="240" w:lineRule="auto"/>
              <w:jc w:val="center"/>
              <w:rPr>
                <w:rFonts w:ascii="Calibri" w:eastAsia="Times New Roman" w:hAnsi="Calibri" w:cs="Calibri"/>
                <w:color w:val="auto"/>
                <w:sz w:val="18"/>
                <w:szCs w:val="18"/>
                <w:lang w:val="en-AU" w:eastAsia="en-AU"/>
              </w:rPr>
            </w:pPr>
          </w:p>
        </w:tc>
        <w:tc>
          <w:tcPr>
            <w:tcW w:w="1012" w:type="dxa"/>
            <w:tcBorders>
              <w:top w:val="nil"/>
              <w:left w:val="nil"/>
              <w:bottom w:val="nil"/>
              <w:right w:val="nil"/>
            </w:tcBorders>
            <w:shd w:val="clear" w:color="000000" w:fill="DBDBDB"/>
            <w:vAlign w:val="center"/>
            <w:hideMark/>
          </w:tcPr>
          <w:p w:rsidR="00F608E3" w:rsidRPr="00F608E3" w:rsidRDefault="00F608E3" w:rsidP="00681718">
            <w:pPr>
              <w:suppressAutoHyphens w:val="0"/>
              <w:spacing w:before="0" w:after="0" w:line="240" w:lineRule="auto"/>
              <w:jc w:val="center"/>
              <w:rPr>
                <w:rFonts w:ascii="Calibri" w:eastAsia="Times New Roman" w:hAnsi="Calibri" w:cs="Calibri"/>
                <w:color w:val="auto"/>
                <w:sz w:val="18"/>
                <w:szCs w:val="18"/>
                <w:lang w:val="en-AU" w:eastAsia="en-AU"/>
              </w:rPr>
            </w:pPr>
          </w:p>
        </w:tc>
        <w:tc>
          <w:tcPr>
            <w:tcW w:w="956" w:type="dxa"/>
            <w:tcBorders>
              <w:top w:val="nil"/>
              <w:left w:val="nil"/>
              <w:bottom w:val="nil"/>
              <w:right w:val="nil"/>
            </w:tcBorders>
            <w:shd w:val="clear" w:color="000000" w:fill="D9D9D9"/>
            <w:noWrap/>
            <w:vAlign w:val="center"/>
            <w:hideMark/>
          </w:tcPr>
          <w:p w:rsidR="00F608E3" w:rsidRPr="00F608E3" w:rsidRDefault="00F608E3" w:rsidP="00681718">
            <w:pPr>
              <w:suppressAutoHyphens w:val="0"/>
              <w:spacing w:before="0" w:after="0" w:line="240" w:lineRule="auto"/>
              <w:jc w:val="center"/>
              <w:rPr>
                <w:rFonts w:ascii="Calibri" w:eastAsia="Times New Roman" w:hAnsi="Calibri" w:cs="Calibri"/>
                <w:color w:val="auto"/>
                <w:sz w:val="18"/>
                <w:szCs w:val="18"/>
                <w:lang w:val="en-AU" w:eastAsia="en-AU"/>
              </w:rPr>
            </w:pPr>
          </w:p>
        </w:tc>
        <w:tc>
          <w:tcPr>
            <w:tcW w:w="4131" w:type="dxa"/>
            <w:vMerge/>
            <w:tcBorders>
              <w:top w:val="nil"/>
              <w:left w:val="nil"/>
              <w:bottom w:val="nil"/>
              <w:right w:val="nil"/>
            </w:tcBorders>
            <w:vAlign w:val="center"/>
            <w:hideMark/>
          </w:tcPr>
          <w:p w:rsidR="00F608E3" w:rsidRPr="00F608E3" w:rsidRDefault="00F608E3" w:rsidP="008F53E9">
            <w:pPr>
              <w:suppressAutoHyphens w:val="0"/>
              <w:spacing w:before="0" w:after="0" w:line="240" w:lineRule="auto"/>
              <w:rPr>
                <w:rFonts w:ascii="Calibri" w:eastAsia="Times New Roman" w:hAnsi="Calibri" w:cs="Calibri"/>
                <w:color w:val="auto"/>
                <w:sz w:val="18"/>
                <w:szCs w:val="18"/>
                <w:lang w:val="en-AU" w:eastAsia="en-AU"/>
              </w:rPr>
            </w:pPr>
          </w:p>
        </w:tc>
      </w:tr>
      <w:tr w:rsidR="00F608E3" w:rsidRPr="00F608E3" w:rsidTr="008F53E9">
        <w:trPr>
          <w:trHeight w:val="480"/>
        </w:trPr>
        <w:tc>
          <w:tcPr>
            <w:tcW w:w="5110" w:type="dxa"/>
            <w:tcBorders>
              <w:top w:val="nil"/>
              <w:left w:val="nil"/>
              <w:bottom w:val="nil"/>
              <w:right w:val="nil"/>
            </w:tcBorders>
            <w:shd w:val="clear" w:color="000000" w:fill="BDD6EE"/>
            <w:vAlign w:val="center"/>
            <w:hideMark/>
          </w:tcPr>
          <w:p w:rsidR="00F608E3" w:rsidRPr="00816F98" w:rsidRDefault="00925C39" w:rsidP="003416EA">
            <w:pPr>
              <w:suppressAutoHyphens w:val="0"/>
              <w:spacing w:before="0" w:after="0" w:line="240" w:lineRule="auto"/>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 xml:space="preserve">2.4: </w:t>
            </w:r>
            <w:r w:rsidR="00F608E3" w:rsidRPr="00816F98">
              <w:rPr>
                <w:rFonts w:ascii="Calibri" w:eastAsia="Times New Roman" w:hAnsi="Calibri" w:cs="Calibri"/>
                <w:color w:val="auto"/>
                <w:sz w:val="18"/>
                <w:szCs w:val="18"/>
                <w:lang w:eastAsia="en-AU"/>
              </w:rPr>
              <w:footnoteReference w:customMarkFollows="1" w:id="34"/>
              <w:t xml:space="preserve">Maternal </w:t>
            </w:r>
            <w:r w:rsidR="003416EA">
              <w:rPr>
                <w:rFonts w:ascii="Calibri" w:eastAsia="Times New Roman" w:hAnsi="Calibri" w:cs="Calibri"/>
                <w:color w:val="auto"/>
                <w:sz w:val="18"/>
                <w:szCs w:val="18"/>
                <w:lang w:eastAsia="en-AU"/>
              </w:rPr>
              <w:t>mortality ratio (/10,000)</w:t>
            </w:r>
            <w:r w:rsidR="003416EA">
              <w:rPr>
                <w:rStyle w:val="FootnoteReference"/>
                <w:rFonts w:ascii="Calibri" w:eastAsia="Times New Roman" w:hAnsi="Calibri" w:cs="Calibri"/>
                <w:color w:val="auto"/>
                <w:sz w:val="18"/>
                <w:szCs w:val="18"/>
                <w:lang w:eastAsia="en-AU"/>
              </w:rPr>
              <w:footnoteReference w:id="35"/>
            </w:r>
          </w:p>
        </w:tc>
        <w:tc>
          <w:tcPr>
            <w:tcW w:w="998" w:type="dxa"/>
            <w:tcBorders>
              <w:top w:val="nil"/>
              <w:left w:val="nil"/>
              <w:bottom w:val="nil"/>
              <w:right w:val="nil"/>
            </w:tcBorders>
            <w:shd w:val="clear" w:color="000000" w:fill="BDD6EE"/>
            <w:vAlign w:val="center"/>
            <w:hideMark/>
          </w:tcPr>
          <w:p w:rsidR="00F608E3" w:rsidRPr="00F608E3" w:rsidRDefault="00F608E3" w:rsidP="00492E26">
            <w:pPr>
              <w:suppressAutoHyphens w:val="0"/>
              <w:spacing w:before="0" w:after="0" w:line="240" w:lineRule="auto"/>
              <w:jc w:val="center"/>
              <w:rPr>
                <w:rFonts w:ascii="Calibri" w:eastAsia="Times New Roman" w:hAnsi="Calibri" w:cs="Calibri"/>
                <w:color w:val="auto"/>
                <w:sz w:val="18"/>
                <w:szCs w:val="18"/>
                <w:lang w:val="en-AU" w:eastAsia="en-AU"/>
              </w:rPr>
            </w:pPr>
            <w:r w:rsidRPr="00F608E3">
              <w:rPr>
                <w:rFonts w:ascii="Calibri" w:eastAsia="Times New Roman" w:hAnsi="Calibri" w:cs="Calibri"/>
                <w:color w:val="auto"/>
                <w:sz w:val="18"/>
                <w:szCs w:val="18"/>
                <w:lang w:eastAsia="en-AU"/>
              </w:rPr>
              <w:t>7.8</w:t>
            </w:r>
            <w:r w:rsidR="00AA2916">
              <w:rPr>
                <w:rFonts w:ascii="Calibri" w:eastAsia="Times New Roman" w:hAnsi="Calibri" w:cs="Calibri"/>
                <w:color w:val="auto"/>
                <w:sz w:val="18"/>
                <w:szCs w:val="18"/>
                <w:lang w:eastAsia="en-AU"/>
              </w:rPr>
              <w:t xml:space="preserve"> {WDI Indicators]</w:t>
            </w:r>
          </w:p>
        </w:tc>
        <w:tc>
          <w:tcPr>
            <w:tcW w:w="980" w:type="dxa"/>
            <w:tcBorders>
              <w:top w:val="nil"/>
              <w:left w:val="nil"/>
              <w:bottom w:val="nil"/>
              <w:right w:val="nil"/>
            </w:tcBorders>
            <w:shd w:val="clear" w:color="000000" w:fill="BDD6EE"/>
            <w:vAlign w:val="center"/>
            <w:hideMark/>
          </w:tcPr>
          <w:p w:rsidR="00F608E3" w:rsidRPr="00F608E3" w:rsidRDefault="00F608E3" w:rsidP="00492E26">
            <w:pPr>
              <w:suppressAutoHyphens w:val="0"/>
              <w:spacing w:before="0" w:after="0" w:line="240" w:lineRule="auto"/>
              <w:jc w:val="center"/>
              <w:rPr>
                <w:rFonts w:ascii="Calibri" w:eastAsia="Times New Roman" w:hAnsi="Calibri" w:cs="Calibri"/>
                <w:color w:val="auto"/>
                <w:sz w:val="18"/>
                <w:szCs w:val="18"/>
                <w:lang w:val="en-AU" w:eastAsia="en-AU"/>
              </w:rPr>
            </w:pPr>
            <w:r w:rsidRPr="00F608E3">
              <w:rPr>
                <w:rFonts w:ascii="Calibri" w:eastAsia="Times New Roman" w:hAnsi="Calibri" w:cs="Calibri"/>
                <w:color w:val="auto"/>
                <w:sz w:val="18"/>
                <w:szCs w:val="18"/>
                <w:lang w:eastAsia="en-AU"/>
              </w:rPr>
              <w:t>10</w:t>
            </w:r>
          </w:p>
        </w:tc>
        <w:tc>
          <w:tcPr>
            <w:tcW w:w="1213" w:type="dxa"/>
            <w:tcBorders>
              <w:top w:val="nil"/>
              <w:left w:val="nil"/>
              <w:bottom w:val="nil"/>
              <w:right w:val="nil"/>
            </w:tcBorders>
            <w:shd w:val="clear" w:color="000000" w:fill="BDD6EE"/>
            <w:vAlign w:val="center"/>
            <w:hideMark/>
          </w:tcPr>
          <w:p w:rsidR="00F608E3" w:rsidRPr="00F608E3" w:rsidRDefault="00F608E3" w:rsidP="00492E26">
            <w:pPr>
              <w:suppressAutoHyphens w:val="0"/>
              <w:spacing w:before="0" w:after="0" w:line="240" w:lineRule="auto"/>
              <w:jc w:val="center"/>
              <w:rPr>
                <w:rFonts w:ascii="Calibri" w:eastAsia="Times New Roman" w:hAnsi="Calibri" w:cs="Calibri"/>
                <w:color w:val="auto"/>
                <w:sz w:val="18"/>
                <w:szCs w:val="18"/>
                <w:lang w:val="en-AU" w:eastAsia="en-AU"/>
              </w:rPr>
            </w:pPr>
            <w:r w:rsidRPr="00F608E3">
              <w:rPr>
                <w:rFonts w:ascii="Calibri" w:eastAsia="Times New Roman" w:hAnsi="Calibri" w:cs="Calibri"/>
                <w:color w:val="auto"/>
                <w:sz w:val="18"/>
                <w:szCs w:val="18"/>
                <w:lang w:eastAsia="en-AU"/>
              </w:rPr>
              <w:t>12.3</w:t>
            </w:r>
          </w:p>
        </w:tc>
        <w:tc>
          <w:tcPr>
            <w:tcW w:w="1012" w:type="dxa"/>
            <w:tcBorders>
              <w:top w:val="nil"/>
              <w:left w:val="nil"/>
              <w:bottom w:val="nil"/>
              <w:right w:val="nil"/>
            </w:tcBorders>
            <w:shd w:val="clear" w:color="000000" w:fill="BDD6EE"/>
            <w:vAlign w:val="center"/>
            <w:hideMark/>
          </w:tcPr>
          <w:p w:rsidR="00F608E3" w:rsidRPr="00F608E3" w:rsidRDefault="00F608E3" w:rsidP="00492E26">
            <w:pPr>
              <w:suppressAutoHyphens w:val="0"/>
              <w:spacing w:before="0" w:after="0" w:line="240" w:lineRule="auto"/>
              <w:jc w:val="center"/>
              <w:rPr>
                <w:rFonts w:ascii="Calibri" w:eastAsia="Times New Roman" w:hAnsi="Calibri" w:cs="Calibri"/>
                <w:color w:val="auto"/>
                <w:sz w:val="18"/>
                <w:szCs w:val="18"/>
                <w:lang w:val="en-AU" w:eastAsia="en-AU"/>
              </w:rPr>
            </w:pPr>
            <w:r w:rsidRPr="00F608E3">
              <w:rPr>
                <w:rFonts w:ascii="Calibri" w:eastAsia="Times New Roman" w:hAnsi="Calibri" w:cs="Calibri"/>
                <w:color w:val="auto"/>
                <w:sz w:val="18"/>
                <w:szCs w:val="18"/>
                <w:lang w:eastAsia="en-AU"/>
              </w:rPr>
              <w:t>12</w:t>
            </w:r>
            <w:r w:rsidR="00515AD3">
              <w:rPr>
                <w:rFonts w:ascii="Calibri" w:eastAsia="Times New Roman" w:hAnsi="Calibri" w:cs="Calibri"/>
                <w:color w:val="auto"/>
                <w:sz w:val="18"/>
                <w:szCs w:val="18"/>
                <w:lang w:eastAsia="en-AU"/>
              </w:rPr>
              <w:t xml:space="preserve"> (12)</w:t>
            </w:r>
          </w:p>
        </w:tc>
        <w:tc>
          <w:tcPr>
            <w:tcW w:w="956" w:type="dxa"/>
            <w:tcBorders>
              <w:top w:val="nil"/>
              <w:left w:val="nil"/>
              <w:bottom w:val="nil"/>
              <w:right w:val="nil"/>
            </w:tcBorders>
            <w:shd w:val="clear" w:color="000000" w:fill="BDD6EE"/>
            <w:vAlign w:val="center"/>
            <w:hideMark/>
          </w:tcPr>
          <w:p w:rsidR="00F608E3" w:rsidRPr="00F608E3" w:rsidRDefault="00F608E3" w:rsidP="00492E26">
            <w:pPr>
              <w:suppressAutoHyphens w:val="0"/>
              <w:spacing w:before="0" w:after="0" w:line="240" w:lineRule="auto"/>
              <w:jc w:val="center"/>
              <w:rPr>
                <w:rFonts w:ascii="Calibri" w:eastAsia="Times New Roman" w:hAnsi="Calibri" w:cs="Calibri"/>
                <w:color w:val="auto"/>
                <w:sz w:val="18"/>
                <w:szCs w:val="18"/>
                <w:lang w:val="en-AU" w:eastAsia="en-AU"/>
              </w:rPr>
            </w:pPr>
            <w:r w:rsidRPr="00F608E3">
              <w:rPr>
                <w:rFonts w:ascii="Calibri" w:eastAsia="Times New Roman" w:hAnsi="Calibri" w:cs="Calibri"/>
                <w:color w:val="auto"/>
                <w:sz w:val="18"/>
                <w:szCs w:val="18"/>
                <w:lang w:eastAsia="en-AU"/>
              </w:rPr>
              <w:t>5</w:t>
            </w:r>
          </w:p>
        </w:tc>
        <w:tc>
          <w:tcPr>
            <w:tcW w:w="4131" w:type="dxa"/>
            <w:tcBorders>
              <w:top w:val="nil"/>
              <w:left w:val="nil"/>
              <w:bottom w:val="nil"/>
              <w:right w:val="nil"/>
            </w:tcBorders>
            <w:shd w:val="clear" w:color="000000" w:fill="BDD6EE"/>
            <w:vAlign w:val="center"/>
            <w:hideMark/>
          </w:tcPr>
          <w:p w:rsidR="00F608E3" w:rsidRPr="00F608E3" w:rsidRDefault="00F608E3" w:rsidP="008F53E9">
            <w:pPr>
              <w:suppressAutoHyphens w:val="0"/>
              <w:spacing w:before="0" w:after="0" w:line="240" w:lineRule="auto"/>
              <w:rPr>
                <w:rFonts w:ascii="Calibri" w:eastAsia="Times New Roman" w:hAnsi="Calibri" w:cs="Calibri"/>
                <w:color w:val="auto"/>
                <w:sz w:val="18"/>
                <w:szCs w:val="18"/>
                <w:lang w:val="en-AU" w:eastAsia="en-AU"/>
              </w:rPr>
            </w:pPr>
            <w:r w:rsidRPr="00F608E3">
              <w:rPr>
                <w:rFonts w:ascii="Calibri" w:eastAsia="Times New Roman" w:hAnsi="Calibri" w:cs="Calibri"/>
                <w:color w:val="auto"/>
                <w:sz w:val="18"/>
                <w:szCs w:val="18"/>
                <w:lang w:eastAsia="en-AU"/>
              </w:rPr>
              <w:t>World Bank World Development Indicator [SH.STA.MMRT]</w:t>
            </w:r>
          </w:p>
        </w:tc>
      </w:tr>
      <w:tr w:rsidR="00F608E3" w:rsidRPr="00F608E3" w:rsidTr="008F53E9">
        <w:trPr>
          <w:trHeight w:val="300"/>
        </w:trPr>
        <w:tc>
          <w:tcPr>
            <w:tcW w:w="5110" w:type="dxa"/>
            <w:vMerge w:val="restart"/>
            <w:tcBorders>
              <w:top w:val="nil"/>
              <w:left w:val="nil"/>
              <w:bottom w:val="single" w:sz="8" w:space="0" w:color="000000"/>
              <w:right w:val="nil"/>
            </w:tcBorders>
            <w:shd w:val="clear" w:color="000000" w:fill="DBDBDB"/>
            <w:vAlign w:val="center"/>
            <w:hideMark/>
          </w:tcPr>
          <w:p w:rsidR="00492E26" w:rsidRPr="00F608E3" w:rsidRDefault="00925C39">
            <w:pPr>
              <w:suppressAutoHyphens w:val="0"/>
              <w:spacing w:before="0" w:after="0" w:line="240" w:lineRule="auto"/>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 xml:space="preserve">2.5: </w:t>
            </w:r>
            <w:r w:rsidR="00F608E3" w:rsidRPr="00F608E3">
              <w:rPr>
                <w:rFonts w:ascii="Calibri" w:eastAsia="Times New Roman" w:hAnsi="Calibri" w:cs="Calibri"/>
                <w:color w:val="auto"/>
                <w:sz w:val="18"/>
                <w:szCs w:val="18"/>
                <w:lang w:eastAsia="en-AU"/>
              </w:rPr>
              <w:t>Number of women and men trained with Australian support and working in front-line positions where they deliver public education and health services</w:t>
            </w:r>
          </w:p>
        </w:tc>
        <w:tc>
          <w:tcPr>
            <w:tcW w:w="998" w:type="dxa"/>
            <w:vMerge w:val="restart"/>
            <w:tcBorders>
              <w:top w:val="nil"/>
              <w:left w:val="nil"/>
              <w:bottom w:val="single" w:sz="8" w:space="0" w:color="000000"/>
              <w:right w:val="nil"/>
            </w:tcBorders>
            <w:shd w:val="clear" w:color="000000" w:fill="DBDBDB"/>
            <w:vAlign w:val="center"/>
            <w:hideMark/>
          </w:tcPr>
          <w:p w:rsidR="00F608E3" w:rsidRPr="00FD601B" w:rsidRDefault="00F608E3"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FD601B">
              <w:rPr>
                <w:rFonts w:ascii="Calibri" w:eastAsia="Times New Roman" w:hAnsi="Calibri" w:cs="Calibri"/>
                <w:color w:val="auto"/>
                <w:sz w:val="18"/>
                <w:szCs w:val="18"/>
                <w:lang w:eastAsia="en-AU"/>
              </w:rPr>
              <w:t>N/A</w:t>
            </w:r>
          </w:p>
        </w:tc>
        <w:tc>
          <w:tcPr>
            <w:tcW w:w="980" w:type="dxa"/>
            <w:vMerge w:val="restart"/>
            <w:tcBorders>
              <w:top w:val="nil"/>
              <w:left w:val="nil"/>
              <w:bottom w:val="single" w:sz="8" w:space="0" w:color="000000"/>
              <w:right w:val="nil"/>
            </w:tcBorders>
            <w:shd w:val="clear" w:color="000000" w:fill="DBDBDB"/>
            <w:vAlign w:val="center"/>
            <w:hideMark/>
          </w:tcPr>
          <w:p w:rsidR="00F608E3" w:rsidRPr="00FD601B" w:rsidRDefault="00F92740">
            <w:pPr>
              <w:suppressAutoHyphens w:val="0"/>
              <w:spacing w:before="0" w:after="0" w:line="240" w:lineRule="auto"/>
              <w:jc w:val="center"/>
              <w:rPr>
                <w:rFonts w:ascii="Calibri" w:eastAsia="Times New Roman" w:hAnsi="Calibri" w:cs="Calibri"/>
                <w:color w:val="auto"/>
                <w:sz w:val="18"/>
                <w:szCs w:val="18"/>
                <w:lang w:val="en-AU" w:eastAsia="en-AU"/>
              </w:rPr>
            </w:pPr>
            <w:r w:rsidRPr="00FD601B">
              <w:rPr>
                <w:rFonts w:ascii="Calibri" w:eastAsia="Times New Roman" w:hAnsi="Calibri" w:cs="Calibri"/>
                <w:color w:val="auto"/>
                <w:sz w:val="18"/>
                <w:szCs w:val="18"/>
                <w:lang w:eastAsia="en-AU"/>
              </w:rPr>
              <w:t>888F/ 808M</w:t>
            </w:r>
            <w:r w:rsidRPr="00FD601B">
              <w:rPr>
                <w:rStyle w:val="FootnoteReference"/>
                <w:rFonts w:ascii="Calibri" w:eastAsia="Times New Roman" w:hAnsi="Calibri" w:cs="Calibri"/>
                <w:color w:val="auto"/>
                <w:sz w:val="18"/>
                <w:szCs w:val="18"/>
                <w:lang w:eastAsia="en-AU"/>
              </w:rPr>
              <w:footnoteReference w:id="36"/>
            </w:r>
          </w:p>
        </w:tc>
        <w:tc>
          <w:tcPr>
            <w:tcW w:w="1213" w:type="dxa"/>
            <w:vMerge w:val="restart"/>
            <w:tcBorders>
              <w:top w:val="nil"/>
              <w:left w:val="nil"/>
              <w:bottom w:val="single" w:sz="8" w:space="0" w:color="000000"/>
              <w:right w:val="nil"/>
            </w:tcBorders>
            <w:shd w:val="clear" w:color="000000" w:fill="DBDBDB"/>
            <w:vAlign w:val="center"/>
            <w:hideMark/>
          </w:tcPr>
          <w:p w:rsidR="003416EA" w:rsidRPr="00FD601B" w:rsidRDefault="00F608E3" w:rsidP="00492E26">
            <w:pPr>
              <w:suppressAutoHyphens w:val="0"/>
              <w:spacing w:before="0" w:after="0" w:line="240" w:lineRule="auto"/>
              <w:jc w:val="center"/>
              <w:rPr>
                <w:rFonts w:ascii="Calibri" w:eastAsia="Times New Roman" w:hAnsi="Calibri" w:cs="Calibri"/>
                <w:color w:val="auto"/>
                <w:sz w:val="18"/>
                <w:szCs w:val="18"/>
                <w:lang w:eastAsia="en-AU"/>
              </w:rPr>
            </w:pPr>
            <w:r w:rsidRPr="00FD601B">
              <w:rPr>
                <w:rFonts w:ascii="Calibri" w:eastAsia="Times New Roman" w:hAnsi="Calibri" w:cs="Calibri"/>
                <w:color w:val="auto"/>
                <w:sz w:val="18"/>
                <w:szCs w:val="18"/>
                <w:lang w:eastAsia="en-AU"/>
              </w:rPr>
              <w:t>842F |</w:t>
            </w:r>
          </w:p>
          <w:p w:rsidR="00F608E3" w:rsidRPr="00FD601B" w:rsidRDefault="00492E26" w:rsidP="00A03FCF">
            <w:pPr>
              <w:suppressAutoHyphens w:val="0"/>
              <w:spacing w:before="0" w:after="0" w:line="240" w:lineRule="auto"/>
              <w:jc w:val="center"/>
              <w:rPr>
                <w:rFonts w:ascii="Calibri" w:eastAsia="Times New Roman" w:hAnsi="Calibri" w:cs="Calibri"/>
                <w:color w:val="auto"/>
                <w:sz w:val="18"/>
                <w:szCs w:val="18"/>
                <w:lang w:eastAsia="en-AU"/>
              </w:rPr>
            </w:pPr>
            <w:r w:rsidRPr="00FD601B">
              <w:rPr>
                <w:rFonts w:ascii="Calibri" w:eastAsia="Times New Roman" w:hAnsi="Calibri" w:cs="Calibri"/>
                <w:color w:val="auto"/>
                <w:sz w:val="18"/>
                <w:szCs w:val="18"/>
                <w:lang w:eastAsia="en-AU"/>
              </w:rPr>
              <w:t>498M</w:t>
            </w:r>
          </w:p>
        </w:tc>
        <w:tc>
          <w:tcPr>
            <w:tcW w:w="1012" w:type="dxa"/>
            <w:vMerge w:val="restart"/>
            <w:tcBorders>
              <w:top w:val="nil"/>
              <w:left w:val="nil"/>
              <w:bottom w:val="single" w:sz="8" w:space="0" w:color="000000"/>
              <w:right w:val="nil"/>
            </w:tcBorders>
            <w:shd w:val="clear" w:color="000000" w:fill="DBDBDB"/>
            <w:vAlign w:val="center"/>
            <w:hideMark/>
          </w:tcPr>
          <w:p w:rsidR="00B7423E" w:rsidRPr="00FD601B" w:rsidRDefault="00FD601B">
            <w:pPr>
              <w:suppressAutoHyphens w:val="0"/>
              <w:spacing w:before="0" w:after="0" w:line="240" w:lineRule="auto"/>
              <w:jc w:val="center"/>
              <w:rPr>
                <w:rFonts w:ascii="Calibri" w:eastAsia="Times New Roman" w:hAnsi="Calibri" w:cs="Calibri"/>
                <w:color w:val="auto"/>
                <w:sz w:val="18"/>
                <w:szCs w:val="18"/>
                <w:lang w:eastAsia="en-AU"/>
              </w:rPr>
            </w:pPr>
            <w:r w:rsidRPr="00FD601B">
              <w:rPr>
                <w:rFonts w:ascii="Calibri" w:eastAsia="Times New Roman" w:hAnsi="Calibri" w:cs="Calibri"/>
                <w:color w:val="auto"/>
                <w:sz w:val="18"/>
                <w:szCs w:val="18"/>
                <w:lang w:eastAsia="en-AU"/>
              </w:rPr>
              <w:t>Education: 778</w:t>
            </w:r>
            <w:r w:rsidR="009648E9" w:rsidRPr="00FD601B">
              <w:rPr>
                <w:rStyle w:val="FootnoteReference"/>
                <w:rFonts w:ascii="Calibri" w:eastAsia="Times New Roman" w:hAnsi="Calibri" w:cs="Calibri"/>
                <w:color w:val="auto"/>
                <w:sz w:val="18"/>
                <w:szCs w:val="18"/>
                <w:lang w:eastAsia="en-AU"/>
              </w:rPr>
              <w:footnoteReference w:id="37"/>
            </w:r>
          </w:p>
          <w:p w:rsidR="00B7423E" w:rsidRPr="00FD601B" w:rsidRDefault="004A211C">
            <w:pPr>
              <w:suppressAutoHyphens w:val="0"/>
              <w:spacing w:before="0" w:after="0" w:line="240" w:lineRule="auto"/>
              <w:jc w:val="center"/>
              <w:rPr>
                <w:rFonts w:ascii="Calibri" w:eastAsia="Times New Roman" w:hAnsi="Calibri" w:cs="Calibri"/>
                <w:color w:val="auto"/>
                <w:sz w:val="18"/>
                <w:szCs w:val="18"/>
                <w:lang w:eastAsia="en-AU"/>
              </w:rPr>
            </w:pPr>
            <w:r w:rsidRPr="00FD601B">
              <w:rPr>
                <w:rFonts w:ascii="Calibri" w:eastAsia="Times New Roman" w:hAnsi="Calibri" w:cs="Calibri"/>
                <w:color w:val="auto"/>
                <w:sz w:val="18"/>
                <w:szCs w:val="18"/>
                <w:lang w:eastAsia="en-AU"/>
              </w:rPr>
              <w:t xml:space="preserve">Health: </w:t>
            </w:r>
            <w:r w:rsidR="00B7423E" w:rsidRPr="00FD601B">
              <w:rPr>
                <w:rFonts w:ascii="Calibri" w:eastAsia="Times New Roman" w:hAnsi="Calibri" w:cs="Calibri"/>
                <w:color w:val="auto"/>
                <w:sz w:val="18"/>
                <w:szCs w:val="18"/>
                <w:lang w:eastAsia="en-AU"/>
              </w:rPr>
              <w:t>129F|147M</w:t>
            </w:r>
          </w:p>
          <w:p w:rsidR="00F608E3" w:rsidRPr="00FD601B" w:rsidRDefault="00EC6CA8">
            <w:pPr>
              <w:suppressAutoHyphens w:val="0"/>
              <w:spacing w:before="0" w:after="0" w:line="240" w:lineRule="auto"/>
              <w:jc w:val="center"/>
              <w:rPr>
                <w:rFonts w:ascii="Calibri" w:eastAsia="Times New Roman" w:hAnsi="Calibri" w:cs="Calibri"/>
                <w:color w:val="auto"/>
                <w:sz w:val="18"/>
                <w:szCs w:val="18"/>
                <w:lang w:val="en-AU" w:eastAsia="en-AU"/>
              </w:rPr>
            </w:pPr>
            <w:r w:rsidRPr="00FD601B">
              <w:rPr>
                <w:rFonts w:ascii="Calibri" w:eastAsia="Times New Roman" w:hAnsi="Calibri" w:cs="Calibri"/>
                <w:color w:val="auto"/>
                <w:sz w:val="18"/>
                <w:szCs w:val="18"/>
                <w:lang w:eastAsia="en-AU"/>
              </w:rPr>
              <w:t>(</w:t>
            </w:r>
            <w:r w:rsidR="00F608E3" w:rsidRPr="00FD601B">
              <w:rPr>
                <w:rFonts w:ascii="Calibri" w:eastAsia="Times New Roman" w:hAnsi="Calibri" w:cs="Calibri"/>
                <w:color w:val="auto"/>
                <w:sz w:val="18"/>
                <w:szCs w:val="18"/>
                <w:lang w:eastAsia="en-AU"/>
              </w:rPr>
              <w:t>750F | 350M</w:t>
            </w:r>
            <w:r w:rsidRPr="00FD601B">
              <w:rPr>
                <w:rFonts w:ascii="Calibri" w:eastAsia="Times New Roman" w:hAnsi="Calibri" w:cs="Calibri"/>
                <w:color w:val="auto"/>
                <w:sz w:val="18"/>
                <w:szCs w:val="18"/>
                <w:lang w:eastAsia="en-AU"/>
              </w:rPr>
              <w:t>)</w:t>
            </w:r>
          </w:p>
        </w:tc>
        <w:tc>
          <w:tcPr>
            <w:tcW w:w="956" w:type="dxa"/>
            <w:vMerge w:val="restart"/>
            <w:tcBorders>
              <w:top w:val="nil"/>
              <w:left w:val="nil"/>
              <w:bottom w:val="single" w:sz="8" w:space="0" w:color="000000"/>
              <w:right w:val="nil"/>
            </w:tcBorders>
            <w:shd w:val="clear" w:color="000000" w:fill="DBDBDB"/>
            <w:vAlign w:val="center"/>
            <w:hideMark/>
          </w:tcPr>
          <w:p w:rsidR="00F608E3" w:rsidRPr="00F608E3" w:rsidRDefault="00F608E3"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F608E3">
              <w:rPr>
                <w:rFonts w:ascii="Calibri" w:eastAsia="Times New Roman" w:hAnsi="Calibri" w:cs="Calibri"/>
                <w:color w:val="auto"/>
                <w:sz w:val="18"/>
                <w:szCs w:val="18"/>
                <w:lang w:eastAsia="en-AU"/>
              </w:rPr>
              <w:t>800F | 550M</w:t>
            </w:r>
          </w:p>
        </w:tc>
        <w:tc>
          <w:tcPr>
            <w:tcW w:w="4131" w:type="dxa"/>
            <w:vMerge w:val="restart"/>
            <w:tcBorders>
              <w:top w:val="nil"/>
              <w:left w:val="nil"/>
              <w:bottom w:val="single" w:sz="8" w:space="0" w:color="000000"/>
              <w:right w:val="nil"/>
            </w:tcBorders>
            <w:shd w:val="clear" w:color="000000" w:fill="DBDBDB"/>
            <w:vAlign w:val="center"/>
            <w:hideMark/>
          </w:tcPr>
          <w:p w:rsidR="00F608E3" w:rsidRPr="00F608E3" w:rsidRDefault="00F608E3" w:rsidP="008F53E9">
            <w:pPr>
              <w:suppressAutoHyphens w:val="0"/>
              <w:spacing w:before="0" w:after="0" w:line="240" w:lineRule="auto"/>
              <w:rPr>
                <w:rFonts w:ascii="Calibri" w:eastAsia="Times New Roman" w:hAnsi="Calibri" w:cs="Calibri"/>
                <w:color w:val="auto"/>
                <w:sz w:val="18"/>
                <w:szCs w:val="18"/>
                <w:lang w:val="en-AU" w:eastAsia="en-AU"/>
              </w:rPr>
            </w:pPr>
            <w:r w:rsidRPr="00F608E3">
              <w:rPr>
                <w:rFonts w:ascii="Calibri" w:eastAsia="Times New Roman" w:hAnsi="Calibri" w:cs="Calibri"/>
                <w:color w:val="auto"/>
                <w:sz w:val="18"/>
                <w:szCs w:val="18"/>
                <w:lang w:eastAsia="en-AU"/>
              </w:rPr>
              <w:t>Australia Awards; Health sector initiative</w:t>
            </w:r>
            <w:r w:rsidR="00492E26">
              <w:rPr>
                <w:rFonts w:ascii="Calibri" w:eastAsia="Times New Roman" w:hAnsi="Calibri" w:cs="Calibri"/>
                <w:color w:val="auto"/>
                <w:sz w:val="18"/>
                <w:szCs w:val="18"/>
                <w:lang w:eastAsia="en-AU"/>
              </w:rPr>
              <w:t>s; Education sector initiatives.</w:t>
            </w:r>
          </w:p>
        </w:tc>
      </w:tr>
      <w:tr w:rsidR="00F608E3" w:rsidRPr="00F608E3" w:rsidTr="008F53E9">
        <w:trPr>
          <w:trHeight w:val="560"/>
        </w:trPr>
        <w:tc>
          <w:tcPr>
            <w:tcW w:w="5110" w:type="dxa"/>
            <w:vMerge/>
            <w:tcBorders>
              <w:top w:val="nil"/>
              <w:left w:val="nil"/>
              <w:bottom w:val="single" w:sz="8" w:space="0" w:color="000000"/>
              <w:right w:val="nil"/>
            </w:tcBorders>
            <w:vAlign w:val="center"/>
            <w:hideMark/>
          </w:tcPr>
          <w:p w:rsidR="00F608E3" w:rsidRPr="00F608E3" w:rsidRDefault="00F608E3" w:rsidP="008F53E9">
            <w:pPr>
              <w:suppressAutoHyphens w:val="0"/>
              <w:spacing w:before="0" w:after="0" w:line="240" w:lineRule="auto"/>
              <w:rPr>
                <w:rFonts w:ascii="Calibri" w:eastAsia="Times New Roman" w:hAnsi="Calibri" w:cs="Calibri"/>
                <w:color w:val="auto"/>
                <w:sz w:val="18"/>
                <w:szCs w:val="18"/>
                <w:lang w:val="en-AU" w:eastAsia="en-AU"/>
              </w:rPr>
            </w:pPr>
          </w:p>
        </w:tc>
        <w:tc>
          <w:tcPr>
            <w:tcW w:w="998" w:type="dxa"/>
            <w:vMerge/>
            <w:tcBorders>
              <w:top w:val="nil"/>
              <w:left w:val="nil"/>
              <w:bottom w:val="single" w:sz="8" w:space="0" w:color="000000"/>
              <w:right w:val="nil"/>
            </w:tcBorders>
            <w:vAlign w:val="center"/>
            <w:hideMark/>
          </w:tcPr>
          <w:p w:rsidR="00F608E3" w:rsidRPr="00F608E3" w:rsidRDefault="00F608E3" w:rsidP="008F53E9">
            <w:pPr>
              <w:suppressAutoHyphens w:val="0"/>
              <w:spacing w:before="0" w:after="0" w:line="240" w:lineRule="auto"/>
              <w:rPr>
                <w:rFonts w:ascii="Calibri" w:eastAsia="Times New Roman" w:hAnsi="Calibri" w:cs="Calibri"/>
                <w:color w:val="auto"/>
                <w:sz w:val="18"/>
                <w:szCs w:val="18"/>
                <w:lang w:val="en-AU" w:eastAsia="en-AU"/>
              </w:rPr>
            </w:pPr>
          </w:p>
        </w:tc>
        <w:tc>
          <w:tcPr>
            <w:tcW w:w="980" w:type="dxa"/>
            <w:vMerge/>
            <w:tcBorders>
              <w:top w:val="nil"/>
              <w:left w:val="nil"/>
              <w:bottom w:val="single" w:sz="8" w:space="0" w:color="000000"/>
              <w:right w:val="nil"/>
            </w:tcBorders>
            <w:vAlign w:val="center"/>
            <w:hideMark/>
          </w:tcPr>
          <w:p w:rsidR="00F608E3" w:rsidRPr="00F608E3" w:rsidRDefault="00F608E3" w:rsidP="008F53E9">
            <w:pPr>
              <w:suppressAutoHyphens w:val="0"/>
              <w:spacing w:before="0" w:after="0" w:line="240" w:lineRule="auto"/>
              <w:rPr>
                <w:rFonts w:ascii="Calibri" w:eastAsia="Times New Roman" w:hAnsi="Calibri" w:cs="Calibri"/>
                <w:color w:val="auto"/>
                <w:sz w:val="18"/>
                <w:szCs w:val="18"/>
                <w:lang w:val="en-AU" w:eastAsia="en-AU"/>
              </w:rPr>
            </w:pPr>
          </w:p>
        </w:tc>
        <w:tc>
          <w:tcPr>
            <w:tcW w:w="1213" w:type="dxa"/>
            <w:vMerge/>
            <w:tcBorders>
              <w:top w:val="nil"/>
              <w:left w:val="nil"/>
              <w:bottom w:val="single" w:sz="8" w:space="0" w:color="000000"/>
              <w:right w:val="nil"/>
            </w:tcBorders>
            <w:vAlign w:val="center"/>
            <w:hideMark/>
          </w:tcPr>
          <w:p w:rsidR="00F608E3" w:rsidRPr="00F608E3" w:rsidRDefault="00F608E3" w:rsidP="008F53E9">
            <w:pPr>
              <w:suppressAutoHyphens w:val="0"/>
              <w:spacing w:before="0" w:after="0" w:line="240" w:lineRule="auto"/>
              <w:rPr>
                <w:rFonts w:ascii="Calibri" w:eastAsia="Times New Roman" w:hAnsi="Calibri" w:cs="Calibri"/>
                <w:color w:val="auto"/>
                <w:sz w:val="18"/>
                <w:szCs w:val="18"/>
                <w:lang w:val="en-AU" w:eastAsia="en-AU"/>
              </w:rPr>
            </w:pPr>
          </w:p>
        </w:tc>
        <w:tc>
          <w:tcPr>
            <w:tcW w:w="1012" w:type="dxa"/>
            <w:vMerge/>
            <w:tcBorders>
              <w:top w:val="nil"/>
              <w:left w:val="nil"/>
              <w:bottom w:val="single" w:sz="8" w:space="0" w:color="000000"/>
              <w:right w:val="nil"/>
            </w:tcBorders>
            <w:vAlign w:val="center"/>
            <w:hideMark/>
          </w:tcPr>
          <w:p w:rsidR="00F608E3" w:rsidRPr="00F608E3" w:rsidRDefault="00F608E3" w:rsidP="008F53E9">
            <w:pPr>
              <w:suppressAutoHyphens w:val="0"/>
              <w:spacing w:before="0" w:after="0" w:line="240" w:lineRule="auto"/>
              <w:rPr>
                <w:rFonts w:ascii="Calibri" w:eastAsia="Times New Roman" w:hAnsi="Calibri" w:cs="Calibri"/>
                <w:color w:val="auto"/>
                <w:sz w:val="18"/>
                <w:szCs w:val="18"/>
                <w:lang w:val="en-AU" w:eastAsia="en-AU"/>
              </w:rPr>
            </w:pPr>
          </w:p>
        </w:tc>
        <w:tc>
          <w:tcPr>
            <w:tcW w:w="956" w:type="dxa"/>
            <w:vMerge/>
            <w:tcBorders>
              <w:top w:val="nil"/>
              <w:left w:val="nil"/>
              <w:bottom w:val="single" w:sz="8" w:space="0" w:color="000000"/>
              <w:right w:val="nil"/>
            </w:tcBorders>
            <w:vAlign w:val="center"/>
            <w:hideMark/>
          </w:tcPr>
          <w:p w:rsidR="00F608E3" w:rsidRPr="00F608E3" w:rsidRDefault="00F608E3" w:rsidP="008F53E9">
            <w:pPr>
              <w:suppressAutoHyphens w:val="0"/>
              <w:spacing w:before="0" w:after="0" w:line="240" w:lineRule="auto"/>
              <w:rPr>
                <w:rFonts w:ascii="Calibri" w:eastAsia="Times New Roman" w:hAnsi="Calibri" w:cs="Calibri"/>
                <w:color w:val="auto"/>
                <w:sz w:val="18"/>
                <w:szCs w:val="18"/>
                <w:lang w:val="en-AU" w:eastAsia="en-AU"/>
              </w:rPr>
            </w:pPr>
          </w:p>
        </w:tc>
        <w:tc>
          <w:tcPr>
            <w:tcW w:w="4131" w:type="dxa"/>
            <w:vMerge/>
            <w:tcBorders>
              <w:top w:val="nil"/>
              <w:left w:val="nil"/>
              <w:bottom w:val="single" w:sz="8" w:space="0" w:color="000000"/>
              <w:right w:val="nil"/>
            </w:tcBorders>
            <w:vAlign w:val="center"/>
            <w:hideMark/>
          </w:tcPr>
          <w:p w:rsidR="00F608E3" w:rsidRPr="00F608E3" w:rsidRDefault="00F608E3" w:rsidP="008F53E9">
            <w:pPr>
              <w:suppressAutoHyphens w:val="0"/>
              <w:spacing w:before="0" w:after="0" w:line="240" w:lineRule="auto"/>
              <w:rPr>
                <w:rFonts w:ascii="Calibri" w:eastAsia="Times New Roman" w:hAnsi="Calibri" w:cs="Calibri"/>
                <w:color w:val="auto"/>
                <w:sz w:val="18"/>
                <w:szCs w:val="18"/>
                <w:lang w:val="en-AU" w:eastAsia="en-AU"/>
              </w:rPr>
            </w:pPr>
          </w:p>
        </w:tc>
      </w:tr>
      <w:tr w:rsidR="00F608E3" w:rsidRPr="00F608E3" w:rsidTr="008F53E9">
        <w:trPr>
          <w:trHeight w:val="560"/>
        </w:trPr>
        <w:tc>
          <w:tcPr>
            <w:tcW w:w="5110" w:type="dxa"/>
            <w:vMerge/>
            <w:tcBorders>
              <w:top w:val="nil"/>
              <w:left w:val="nil"/>
              <w:bottom w:val="single" w:sz="8" w:space="0" w:color="000000"/>
              <w:right w:val="nil"/>
            </w:tcBorders>
            <w:vAlign w:val="center"/>
            <w:hideMark/>
          </w:tcPr>
          <w:p w:rsidR="00F608E3" w:rsidRPr="00F608E3" w:rsidRDefault="00F608E3" w:rsidP="008F53E9">
            <w:pPr>
              <w:suppressAutoHyphens w:val="0"/>
              <w:spacing w:before="0" w:after="0" w:line="240" w:lineRule="auto"/>
              <w:rPr>
                <w:rFonts w:ascii="Calibri" w:eastAsia="Times New Roman" w:hAnsi="Calibri" w:cs="Calibri"/>
                <w:color w:val="auto"/>
                <w:sz w:val="18"/>
                <w:szCs w:val="18"/>
                <w:lang w:val="en-AU" w:eastAsia="en-AU"/>
              </w:rPr>
            </w:pPr>
          </w:p>
        </w:tc>
        <w:tc>
          <w:tcPr>
            <w:tcW w:w="998" w:type="dxa"/>
            <w:vMerge/>
            <w:tcBorders>
              <w:top w:val="nil"/>
              <w:left w:val="nil"/>
              <w:bottom w:val="single" w:sz="8" w:space="0" w:color="000000"/>
              <w:right w:val="nil"/>
            </w:tcBorders>
            <w:vAlign w:val="center"/>
            <w:hideMark/>
          </w:tcPr>
          <w:p w:rsidR="00F608E3" w:rsidRPr="00F608E3" w:rsidRDefault="00F608E3" w:rsidP="008F53E9">
            <w:pPr>
              <w:suppressAutoHyphens w:val="0"/>
              <w:spacing w:before="0" w:after="0" w:line="240" w:lineRule="auto"/>
              <w:rPr>
                <w:rFonts w:ascii="Calibri" w:eastAsia="Times New Roman" w:hAnsi="Calibri" w:cs="Calibri"/>
                <w:color w:val="auto"/>
                <w:sz w:val="18"/>
                <w:szCs w:val="18"/>
                <w:lang w:val="en-AU" w:eastAsia="en-AU"/>
              </w:rPr>
            </w:pPr>
          </w:p>
        </w:tc>
        <w:tc>
          <w:tcPr>
            <w:tcW w:w="980" w:type="dxa"/>
            <w:vMerge/>
            <w:tcBorders>
              <w:top w:val="nil"/>
              <w:left w:val="nil"/>
              <w:bottom w:val="single" w:sz="8" w:space="0" w:color="000000"/>
              <w:right w:val="nil"/>
            </w:tcBorders>
            <w:vAlign w:val="center"/>
            <w:hideMark/>
          </w:tcPr>
          <w:p w:rsidR="00F608E3" w:rsidRPr="00F608E3" w:rsidRDefault="00F608E3" w:rsidP="008F53E9">
            <w:pPr>
              <w:suppressAutoHyphens w:val="0"/>
              <w:spacing w:before="0" w:after="0" w:line="240" w:lineRule="auto"/>
              <w:rPr>
                <w:rFonts w:ascii="Calibri" w:eastAsia="Times New Roman" w:hAnsi="Calibri" w:cs="Calibri"/>
                <w:color w:val="auto"/>
                <w:sz w:val="18"/>
                <w:szCs w:val="18"/>
                <w:lang w:val="en-AU" w:eastAsia="en-AU"/>
              </w:rPr>
            </w:pPr>
          </w:p>
        </w:tc>
        <w:tc>
          <w:tcPr>
            <w:tcW w:w="1213" w:type="dxa"/>
            <w:vMerge/>
            <w:tcBorders>
              <w:top w:val="nil"/>
              <w:left w:val="nil"/>
              <w:bottom w:val="single" w:sz="8" w:space="0" w:color="000000"/>
              <w:right w:val="nil"/>
            </w:tcBorders>
            <w:vAlign w:val="center"/>
            <w:hideMark/>
          </w:tcPr>
          <w:p w:rsidR="00F608E3" w:rsidRPr="00F608E3" w:rsidRDefault="00F608E3" w:rsidP="008F53E9">
            <w:pPr>
              <w:suppressAutoHyphens w:val="0"/>
              <w:spacing w:before="0" w:after="0" w:line="240" w:lineRule="auto"/>
              <w:rPr>
                <w:rFonts w:ascii="Calibri" w:eastAsia="Times New Roman" w:hAnsi="Calibri" w:cs="Calibri"/>
                <w:color w:val="auto"/>
                <w:sz w:val="18"/>
                <w:szCs w:val="18"/>
                <w:lang w:val="en-AU" w:eastAsia="en-AU"/>
              </w:rPr>
            </w:pPr>
          </w:p>
        </w:tc>
        <w:tc>
          <w:tcPr>
            <w:tcW w:w="1012" w:type="dxa"/>
            <w:vMerge/>
            <w:tcBorders>
              <w:top w:val="nil"/>
              <w:left w:val="nil"/>
              <w:bottom w:val="single" w:sz="8" w:space="0" w:color="000000"/>
              <w:right w:val="nil"/>
            </w:tcBorders>
            <w:vAlign w:val="center"/>
            <w:hideMark/>
          </w:tcPr>
          <w:p w:rsidR="00F608E3" w:rsidRPr="00F608E3" w:rsidRDefault="00F608E3" w:rsidP="008F53E9">
            <w:pPr>
              <w:suppressAutoHyphens w:val="0"/>
              <w:spacing w:before="0" w:after="0" w:line="240" w:lineRule="auto"/>
              <w:rPr>
                <w:rFonts w:ascii="Calibri" w:eastAsia="Times New Roman" w:hAnsi="Calibri" w:cs="Calibri"/>
                <w:color w:val="auto"/>
                <w:sz w:val="18"/>
                <w:szCs w:val="18"/>
                <w:lang w:val="en-AU" w:eastAsia="en-AU"/>
              </w:rPr>
            </w:pPr>
          </w:p>
        </w:tc>
        <w:tc>
          <w:tcPr>
            <w:tcW w:w="956" w:type="dxa"/>
            <w:vMerge/>
            <w:tcBorders>
              <w:top w:val="nil"/>
              <w:left w:val="nil"/>
              <w:bottom w:val="single" w:sz="8" w:space="0" w:color="000000"/>
              <w:right w:val="nil"/>
            </w:tcBorders>
            <w:vAlign w:val="center"/>
            <w:hideMark/>
          </w:tcPr>
          <w:p w:rsidR="00F608E3" w:rsidRPr="00F608E3" w:rsidRDefault="00F608E3" w:rsidP="008F53E9">
            <w:pPr>
              <w:suppressAutoHyphens w:val="0"/>
              <w:spacing w:before="0" w:after="0" w:line="240" w:lineRule="auto"/>
              <w:rPr>
                <w:rFonts w:ascii="Calibri" w:eastAsia="Times New Roman" w:hAnsi="Calibri" w:cs="Calibri"/>
                <w:color w:val="auto"/>
                <w:sz w:val="18"/>
                <w:szCs w:val="18"/>
                <w:lang w:val="en-AU" w:eastAsia="en-AU"/>
              </w:rPr>
            </w:pPr>
          </w:p>
        </w:tc>
        <w:tc>
          <w:tcPr>
            <w:tcW w:w="4131" w:type="dxa"/>
            <w:vMerge/>
            <w:tcBorders>
              <w:top w:val="nil"/>
              <w:left w:val="nil"/>
              <w:bottom w:val="single" w:sz="8" w:space="0" w:color="000000"/>
              <w:right w:val="nil"/>
            </w:tcBorders>
            <w:vAlign w:val="center"/>
            <w:hideMark/>
          </w:tcPr>
          <w:p w:rsidR="00F608E3" w:rsidRPr="00F608E3" w:rsidRDefault="00F608E3" w:rsidP="008F53E9">
            <w:pPr>
              <w:suppressAutoHyphens w:val="0"/>
              <w:spacing w:before="0" w:after="0" w:line="240" w:lineRule="auto"/>
              <w:rPr>
                <w:rFonts w:ascii="Calibri" w:eastAsia="Times New Roman" w:hAnsi="Calibri" w:cs="Calibri"/>
                <w:color w:val="auto"/>
                <w:sz w:val="18"/>
                <w:szCs w:val="18"/>
                <w:lang w:val="en-AU" w:eastAsia="en-AU"/>
              </w:rPr>
            </w:pPr>
          </w:p>
        </w:tc>
      </w:tr>
    </w:tbl>
    <w:p w:rsidR="00B147C4" w:rsidRPr="00B83D47" w:rsidRDefault="00B147C4" w:rsidP="008F53E9">
      <w:pPr>
        <w:pStyle w:val="ListBullet"/>
        <w:tabs>
          <w:tab w:val="clear" w:pos="284"/>
        </w:tabs>
        <w:spacing w:after="0" w:line="240" w:lineRule="auto"/>
        <w:rPr>
          <w:sz w:val="2"/>
        </w:rPr>
      </w:pPr>
    </w:p>
    <w:tbl>
      <w:tblPr>
        <w:tblW w:w="14400" w:type="dxa"/>
        <w:tblLook w:val="04A0" w:firstRow="1" w:lastRow="0" w:firstColumn="1" w:lastColumn="0" w:noHBand="0" w:noVBand="1"/>
      </w:tblPr>
      <w:tblGrid>
        <w:gridCol w:w="4763"/>
        <w:gridCol w:w="1083"/>
        <w:gridCol w:w="1083"/>
        <w:gridCol w:w="1083"/>
        <w:gridCol w:w="1193"/>
        <w:gridCol w:w="915"/>
        <w:gridCol w:w="4280"/>
      </w:tblGrid>
      <w:tr w:rsidR="00AB4A3C" w:rsidRPr="00AB4A3C" w:rsidTr="00AB4A3C">
        <w:trPr>
          <w:trHeight w:val="480"/>
        </w:trPr>
        <w:tc>
          <w:tcPr>
            <w:tcW w:w="5320" w:type="dxa"/>
            <w:tcBorders>
              <w:top w:val="single" w:sz="8" w:space="0" w:color="auto"/>
              <w:left w:val="nil"/>
              <w:bottom w:val="nil"/>
              <w:right w:val="nil"/>
            </w:tcBorders>
            <w:shd w:val="clear" w:color="auto" w:fill="auto"/>
            <w:vAlign w:val="center"/>
            <w:hideMark/>
          </w:tcPr>
          <w:p w:rsidR="00AB4A3C" w:rsidRPr="00AB4A3C" w:rsidRDefault="00AB4A3C" w:rsidP="008F53E9">
            <w:pPr>
              <w:suppressAutoHyphens w:val="0"/>
              <w:spacing w:before="0" w:after="0" w:line="240" w:lineRule="auto"/>
              <w:rPr>
                <w:rFonts w:ascii="Calibri" w:eastAsia="Times New Roman" w:hAnsi="Calibri" w:cs="Calibri"/>
                <w:b/>
                <w:bCs/>
                <w:color w:val="auto"/>
                <w:sz w:val="18"/>
                <w:szCs w:val="18"/>
                <w:lang w:val="en-AU" w:eastAsia="en-AU"/>
              </w:rPr>
            </w:pPr>
            <w:r w:rsidRPr="00AB4A3C">
              <w:rPr>
                <w:rFonts w:ascii="Calibri" w:eastAsia="Times New Roman" w:hAnsi="Calibri" w:cs="Calibri"/>
                <w:b/>
                <w:bCs/>
                <w:color w:val="auto"/>
                <w:sz w:val="18"/>
                <w:szCs w:val="18"/>
                <w:lang w:eastAsia="en-AU"/>
              </w:rPr>
              <w:t>Strategic Development Objective 3</w:t>
            </w:r>
          </w:p>
        </w:tc>
        <w:tc>
          <w:tcPr>
            <w:tcW w:w="4800" w:type="dxa"/>
            <w:gridSpan w:val="5"/>
            <w:tcBorders>
              <w:top w:val="single" w:sz="8" w:space="0" w:color="auto"/>
              <w:left w:val="nil"/>
              <w:bottom w:val="nil"/>
              <w:right w:val="nil"/>
            </w:tcBorders>
            <w:shd w:val="clear" w:color="auto" w:fill="auto"/>
            <w:vAlign w:val="center"/>
            <w:hideMark/>
          </w:tcPr>
          <w:p w:rsidR="00AB4A3C" w:rsidRPr="00AB4A3C" w:rsidRDefault="00AB4A3C" w:rsidP="008F53E9">
            <w:pPr>
              <w:suppressAutoHyphens w:val="0"/>
              <w:spacing w:before="0" w:after="0" w:line="240" w:lineRule="auto"/>
              <w:rPr>
                <w:rFonts w:ascii="Calibri" w:eastAsia="Times New Roman" w:hAnsi="Calibri" w:cs="Calibri"/>
                <w:b/>
                <w:bCs/>
                <w:color w:val="auto"/>
                <w:sz w:val="18"/>
                <w:szCs w:val="18"/>
                <w:lang w:val="en-AU" w:eastAsia="en-AU"/>
              </w:rPr>
            </w:pPr>
            <w:r w:rsidRPr="00AB4A3C">
              <w:rPr>
                <w:rFonts w:ascii="Calibri" w:eastAsia="Times New Roman" w:hAnsi="Calibri" w:cs="Calibri"/>
                <w:b/>
                <w:bCs/>
                <w:color w:val="auto"/>
                <w:sz w:val="18"/>
                <w:szCs w:val="18"/>
                <w:lang w:eastAsia="en-AU"/>
              </w:rPr>
              <w:t>Improving community safety and resilience [15% Bilateral ODA in 2018-19]</w:t>
            </w:r>
          </w:p>
        </w:tc>
        <w:tc>
          <w:tcPr>
            <w:tcW w:w="4280" w:type="dxa"/>
            <w:tcBorders>
              <w:top w:val="single" w:sz="8" w:space="0" w:color="auto"/>
              <w:left w:val="nil"/>
              <w:bottom w:val="nil"/>
              <w:right w:val="nil"/>
            </w:tcBorders>
            <w:shd w:val="clear" w:color="auto" w:fill="auto"/>
            <w:noWrap/>
            <w:vAlign w:val="bottom"/>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val="en-AU" w:eastAsia="en-AU"/>
              </w:rPr>
              <w:t> </w:t>
            </w:r>
          </w:p>
        </w:tc>
      </w:tr>
      <w:tr w:rsidR="00AB4A3C" w:rsidRPr="00AB4A3C" w:rsidTr="00AB4A3C">
        <w:trPr>
          <w:trHeight w:val="300"/>
        </w:trPr>
        <w:tc>
          <w:tcPr>
            <w:tcW w:w="5320" w:type="dxa"/>
            <w:vMerge w:val="restart"/>
            <w:tcBorders>
              <w:top w:val="nil"/>
              <w:left w:val="nil"/>
              <w:bottom w:val="nil"/>
              <w:right w:val="nil"/>
            </w:tcBorders>
            <w:shd w:val="clear" w:color="auto" w:fill="auto"/>
            <w:vAlign w:val="center"/>
            <w:hideMark/>
          </w:tcPr>
          <w:p w:rsidR="00AB4A3C" w:rsidRPr="00AB4A3C" w:rsidRDefault="00AB4A3C" w:rsidP="008F53E9">
            <w:pPr>
              <w:suppressAutoHyphens w:val="0"/>
              <w:spacing w:before="0" w:after="0" w:line="240" w:lineRule="auto"/>
              <w:rPr>
                <w:rFonts w:ascii="Calibri" w:eastAsia="Times New Roman" w:hAnsi="Calibri" w:cs="Calibri"/>
                <w:b/>
                <w:bCs/>
                <w:color w:val="auto"/>
                <w:sz w:val="18"/>
                <w:szCs w:val="18"/>
                <w:lang w:val="en-AU" w:eastAsia="en-AU"/>
              </w:rPr>
            </w:pPr>
            <w:r w:rsidRPr="00AB4A3C">
              <w:rPr>
                <w:rFonts w:ascii="Calibri" w:eastAsia="Times New Roman" w:hAnsi="Calibri" w:cs="Calibri"/>
                <w:b/>
                <w:bCs/>
                <w:color w:val="auto"/>
                <w:sz w:val="18"/>
                <w:szCs w:val="18"/>
                <w:lang w:eastAsia="en-AU"/>
              </w:rPr>
              <w:t>Indicators</w:t>
            </w:r>
          </w:p>
        </w:tc>
        <w:tc>
          <w:tcPr>
            <w:tcW w:w="960" w:type="dxa"/>
            <w:tcBorders>
              <w:top w:val="nil"/>
              <w:left w:val="nil"/>
              <w:bottom w:val="nil"/>
              <w:right w:val="nil"/>
            </w:tcBorders>
            <w:shd w:val="clear" w:color="auto" w:fill="auto"/>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AB4A3C">
              <w:rPr>
                <w:rFonts w:ascii="Calibri" w:eastAsia="Times New Roman" w:hAnsi="Calibri" w:cs="Calibri"/>
                <w:b/>
                <w:bCs/>
                <w:color w:val="auto"/>
                <w:sz w:val="18"/>
                <w:szCs w:val="18"/>
                <w:lang w:eastAsia="en-AU"/>
              </w:rPr>
              <w:t>2015–16</w:t>
            </w:r>
          </w:p>
        </w:tc>
        <w:tc>
          <w:tcPr>
            <w:tcW w:w="960" w:type="dxa"/>
            <w:tcBorders>
              <w:top w:val="nil"/>
              <w:left w:val="nil"/>
              <w:bottom w:val="nil"/>
              <w:right w:val="nil"/>
            </w:tcBorders>
            <w:shd w:val="clear" w:color="auto" w:fill="auto"/>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AB4A3C">
              <w:rPr>
                <w:rFonts w:ascii="Calibri" w:eastAsia="Times New Roman" w:hAnsi="Calibri" w:cs="Calibri"/>
                <w:b/>
                <w:bCs/>
                <w:color w:val="auto"/>
                <w:sz w:val="18"/>
                <w:szCs w:val="18"/>
                <w:lang w:eastAsia="en-AU"/>
              </w:rPr>
              <w:t>2016–17</w:t>
            </w:r>
          </w:p>
        </w:tc>
        <w:tc>
          <w:tcPr>
            <w:tcW w:w="960" w:type="dxa"/>
            <w:tcBorders>
              <w:top w:val="nil"/>
              <w:left w:val="nil"/>
              <w:bottom w:val="nil"/>
              <w:right w:val="nil"/>
            </w:tcBorders>
            <w:shd w:val="clear" w:color="auto" w:fill="auto"/>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AB4A3C">
              <w:rPr>
                <w:rFonts w:ascii="Calibri" w:eastAsia="Times New Roman" w:hAnsi="Calibri" w:cs="Calibri"/>
                <w:b/>
                <w:bCs/>
                <w:color w:val="auto"/>
                <w:sz w:val="18"/>
                <w:szCs w:val="18"/>
                <w:lang w:eastAsia="en-AU"/>
              </w:rPr>
              <w:t>2017–18</w:t>
            </w:r>
          </w:p>
        </w:tc>
        <w:tc>
          <w:tcPr>
            <w:tcW w:w="960" w:type="dxa"/>
            <w:tcBorders>
              <w:top w:val="nil"/>
              <w:left w:val="nil"/>
              <w:bottom w:val="nil"/>
              <w:right w:val="nil"/>
            </w:tcBorders>
            <w:shd w:val="clear" w:color="auto" w:fill="auto"/>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AB4A3C">
              <w:rPr>
                <w:rFonts w:ascii="Calibri" w:eastAsia="Times New Roman" w:hAnsi="Calibri" w:cs="Calibri"/>
                <w:b/>
                <w:bCs/>
                <w:color w:val="auto"/>
                <w:sz w:val="18"/>
                <w:szCs w:val="18"/>
                <w:lang w:eastAsia="en-AU"/>
              </w:rPr>
              <w:t>2018-19</w:t>
            </w:r>
          </w:p>
        </w:tc>
        <w:tc>
          <w:tcPr>
            <w:tcW w:w="960" w:type="dxa"/>
            <w:tcBorders>
              <w:top w:val="nil"/>
              <w:left w:val="nil"/>
              <w:bottom w:val="nil"/>
              <w:right w:val="nil"/>
            </w:tcBorders>
            <w:shd w:val="clear" w:color="auto" w:fill="auto"/>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AB4A3C">
              <w:rPr>
                <w:rFonts w:ascii="Calibri" w:eastAsia="Times New Roman" w:hAnsi="Calibri" w:cs="Calibri"/>
                <w:b/>
                <w:bCs/>
                <w:color w:val="auto"/>
                <w:sz w:val="18"/>
                <w:szCs w:val="18"/>
                <w:lang w:val="en-AU" w:eastAsia="en-AU"/>
              </w:rPr>
              <w:t>2019-20</w:t>
            </w:r>
          </w:p>
        </w:tc>
        <w:tc>
          <w:tcPr>
            <w:tcW w:w="4280" w:type="dxa"/>
            <w:vMerge w:val="restart"/>
            <w:tcBorders>
              <w:top w:val="nil"/>
              <w:left w:val="nil"/>
              <w:bottom w:val="nil"/>
              <w:right w:val="nil"/>
            </w:tcBorders>
            <w:shd w:val="clear" w:color="auto" w:fill="auto"/>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AB4A3C">
              <w:rPr>
                <w:rFonts w:ascii="Calibri" w:eastAsia="Times New Roman" w:hAnsi="Calibri" w:cs="Calibri"/>
                <w:b/>
                <w:bCs/>
                <w:color w:val="auto"/>
                <w:sz w:val="18"/>
                <w:szCs w:val="18"/>
                <w:lang w:eastAsia="en-AU"/>
              </w:rPr>
              <w:t>Data sources</w:t>
            </w:r>
          </w:p>
        </w:tc>
      </w:tr>
      <w:tr w:rsidR="00AB4A3C" w:rsidRPr="00AB4A3C" w:rsidTr="00AB4A3C">
        <w:trPr>
          <w:trHeight w:val="300"/>
        </w:trPr>
        <w:tc>
          <w:tcPr>
            <w:tcW w:w="5320" w:type="dxa"/>
            <w:vMerge/>
            <w:tcBorders>
              <w:top w:val="nil"/>
              <w:left w:val="nil"/>
              <w:bottom w:val="nil"/>
              <w:right w:val="nil"/>
            </w:tcBorders>
            <w:vAlign w:val="center"/>
            <w:hideMark/>
          </w:tcPr>
          <w:p w:rsidR="00AB4A3C" w:rsidRPr="00AB4A3C" w:rsidRDefault="00AB4A3C" w:rsidP="008F53E9">
            <w:pPr>
              <w:suppressAutoHyphens w:val="0"/>
              <w:spacing w:before="0" w:after="0" w:line="240" w:lineRule="auto"/>
              <w:rPr>
                <w:rFonts w:ascii="Calibri" w:eastAsia="Times New Roman" w:hAnsi="Calibri" w:cs="Calibri"/>
                <w:b/>
                <w:bCs/>
                <w:color w:val="auto"/>
                <w:sz w:val="18"/>
                <w:szCs w:val="18"/>
                <w:lang w:val="en-AU" w:eastAsia="en-AU"/>
              </w:rPr>
            </w:pPr>
          </w:p>
        </w:tc>
        <w:tc>
          <w:tcPr>
            <w:tcW w:w="960" w:type="dxa"/>
            <w:tcBorders>
              <w:top w:val="nil"/>
              <w:left w:val="nil"/>
              <w:bottom w:val="nil"/>
              <w:right w:val="nil"/>
            </w:tcBorders>
            <w:shd w:val="clear" w:color="auto" w:fill="auto"/>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AB4A3C">
              <w:rPr>
                <w:rFonts w:ascii="Calibri" w:eastAsia="Times New Roman" w:hAnsi="Calibri" w:cs="Calibri"/>
                <w:b/>
                <w:bCs/>
                <w:color w:val="auto"/>
                <w:sz w:val="18"/>
                <w:szCs w:val="18"/>
                <w:lang w:eastAsia="en-AU"/>
              </w:rPr>
              <w:t>Baseline</w:t>
            </w:r>
          </w:p>
        </w:tc>
        <w:tc>
          <w:tcPr>
            <w:tcW w:w="960" w:type="dxa"/>
            <w:tcBorders>
              <w:top w:val="nil"/>
              <w:left w:val="nil"/>
              <w:bottom w:val="nil"/>
              <w:right w:val="nil"/>
            </w:tcBorders>
            <w:shd w:val="clear" w:color="auto" w:fill="auto"/>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AB4A3C">
              <w:rPr>
                <w:rFonts w:ascii="Calibri" w:eastAsia="Times New Roman" w:hAnsi="Calibri" w:cs="Calibri"/>
                <w:b/>
                <w:bCs/>
                <w:color w:val="auto"/>
                <w:sz w:val="18"/>
                <w:szCs w:val="18"/>
                <w:lang w:eastAsia="en-AU"/>
              </w:rPr>
              <w:t>Result</w:t>
            </w:r>
          </w:p>
        </w:tc>
        <w:tc>
          <w:tcPr>
            <w:tcW w:w="960" w:type="dxa"/>
            <w:tcBorders>
              <w:top w:val="nil"/>
              <w:left w:val="nil"/>
              <w:bottom w:val="nil"/>
              <w:right w:val="nil"/>
            </w:tcBorders>
            <w:shd w:val="clear" w:color="auto" w:fill="auto"/>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AB4A3C">
              <w:rPr>
                <w:rFonts w:ascii="Calibri" w:eastAsia="Times New Roman" w:hAnsi="Calibri" w:cs="Calibri"/>
                <w:b/>
                <w:bCs/>
                <w:color w:val="auto"/>
                <w:sz w:val="18"/>
                <w:szCs w:val="18"/>
                <w:lang w:eastAsia="en-AU"/>
              </w:rPr>
              <w:t>Result</w:t>
            </w:r>
          </w:p>
        </w:tc>
        <w:tc>
          <w:tcPr>
            <w:tcW w:w="960" w:type="dxa"/>
            <w:tcBorders>
              <w:top w:val="nil"/>
              <w:left w:val="nil"/>
              <w:bottom w:val="nil"/>
              <w:right w:val="nil"/>
            </w:tcBorders>
            <w:shd w:val="clear" w:color="auto" w:fill="auto"/>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AB4A3C">
              <w:rPr>
                <w:rFonts w:ascii="Calibri" w:eastAsia="Times New Roman" w:hAnsi="Calibri" w:cs="Calibri"/>
                <w:b/>
                <w:bCs/>
                <w:color w:val="auto"/>
                <w:sz w:val="18"/>
                <w:szCs w:val="18"/>
                <w:lang w:eastAsia="en-AU"/>
              </w:rPr>
              <w:t>Result</w:t>
            </w:r>
            <w:r w:rsidR="00EC6CA8">
              <w:rPr>
                <w:rFonts w:ascii="Calibri" w:eastAsia="Times New Roman" w:hAnsi="Calibri" w:cs="Calibri"/>
                <w:b/>
                <w:bCs/>
                <w:color w:val="auto"/>
                <w:sz w:val="18"/>
                <w:szCs w:val="18"/>
                <w:lang w:eastAsia="en-AU"/>
              </w:rPr>
              <w:t xml:space="preserve"> (Target)</w:t>
            </w:r>
          </w:p>
        </w:tc>
        <w:tc>
          <w:tcPr>
            <w:tcW w:w="960" w:type="dxa"/>
            <w:tcBorders>
              <w:top w:val="nil"/>
              <w:left w:val="nil"/>
              <w:bottom w:val="nil"/>
              <w:right w:val="nil"/>
            </w:tcBorders>
            <w:shd w:val="clear" w:color="auto" w:fill="auto"/>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AB4A3C">
              <w:rPr>
                <w:rFonts w:ascii="Calibri" w:eastAsia="Times New Roman" w:hAnsi="Calibri" w:cs="Calibri"/>
                <w:b/>
                <w:bCs/>
                <w:color w:val="auto"/>
                <w:sz w:val="18"/>
                <w:szCs w:val="18"/>
                <w:lang w:val="en-AU" w:eastAsia="en-AU"/>
              </w:rPr>
              <w:t>Target</w:t>
            </w:r>
          </w:p>
        </w:tc>
        <w:tc>
          <w:tcPr>
            <w:tcW w:w="4280" w:type="dxa"/>
            <w:vMerge/>
            <w:tcBorders>
              <w:top w:val="nil"/>
              <w:left w:val="nil"/>
              <w:bottom w:val="nil"/>
              <w:right w:val="nil"/>
            </w:tcBorders>
            <w:vAlign w:val="center"/>
            <w:hideMark/>
          </w:tcPr>
          <w:p w:rsidR="00AB4A3C" w:rsidRPr="00AB4A3C" w:rsidRDefault="00AB4A3C" w:rsidP="008F53E9">
            <w:pPr>
              <w:suppressAutoHyphens w:val="0"/>
              <w:spacing w:before="0" w:after="0" w:line="240" w:lineRule="auto"/>
              <w:rPr>
                <w:rFonts w:ascii="Calibri" w:eastAsia="Times New Roman" w:hAnsi="Calibri" w:cs="Calibri"/>
                <w:b/>
                <w:bCs/>
                <w:color w:val="auto"/>
                <w:sz w:val="18"/>
                <w:szCs w:val="18"/>
                <w:lang w:val="en-AU" w:eastAsia="en-AU"/>
              </w:rPr>
            </w:pPr>
          </w:p>
        </w:tc>
      </w:tr>
      <w:tr w:rsidR="00AB4A3C" w:rsidRPr="00AB4A3C" w:rsidTr="00AB4A3C">
        <w:trPr>
          <w:trHeight w:val="480"/>
        </w:trPr>
        <w:tc>
          <w:tcPr>
            <w:tcW w:w="5320" w:type="dxa"/>
            <w:tcBorders>
              <w:top w:val="nil"/>
              <w:left w:val="nil"/>
              <w:bottom w:val="nil"/>
              <w:right w:val="nil"/>
            </w:tcBorders>
            <w:shd w:val="clear" w:color="000000" w:fill="DBDBDB"/>
            <w:vAlign w:val="center"/>
            <w:hideMark/>
          </w:tcPr>
          <w:p w:rsidR="00AB4A3C" w:rsidRPr="00AB4A3C" w:rsidRDefault="00925C39" w:rsidP="008F53E9">
            <w:pPr>
              <w:suppressAutoHyphens w:val="0"/>
              <w:spacing w:before="0" w:after="0" w:line="240" w:lineRule="auto"/>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 xml:space="preserve">3.1: </w:t>
            </w:r>
            <w:r w:rsidR="00AB4A3C" w:rsidRPr="00AB4A3C">
              <w:rPr>
                <w:rFonts w:ascii="Calibri" w:eastAsia="Times New Roman" w:hAnsi="Calibri" w:cs="Calibri"/>
                <w:color w:val="auto"/>
                <w:sz w:val="18"/>
                <w:szCs w:val="18"/>
                <w:lang w:eastAsia="en-AU"/>
              </w:rPr>
              <w:t>Average number of days for completion of a criminal matter through the State Prosecutions/Magistrates Court</w:t>
            </w:r>
          </w:p>
        </w:tc>
        <w:tc>
          <w:tcPr>
            <w:tcW w:w="96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n/a</w:t>
            </w:r>
          </w:p>
        </w:tc>
        <w:tc>
          <w:tcPr>
            <w:tcW w:w="96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n/a</w:t>
            </w:r>
          </w:p>
        </w:tc>
        <w:tc>
          <w:tcPr>
            <w:tcW w:w="960" w:type="dxa"/>
            <w:tcBorders>
              <w:top w:val="nil"/>
              <w:left w:val="nil"/>
              <w:bottom w:val="nil"/>
              <w:right w:val="nil"/>
            </w:tcBorders>
            <w:shd w:val="clear" w:color="000000" w:fill="DBDBDB"/>
            <w:vAlign w:val="center"/>
            <w:hideMark/>
          </w:tcPr>
          <w:p w:rsidR="00AB4A3C" w:rsidRPr="00AB4A3C" w:rsidRDefault="00ED1381" w:rsidP="008F53E9">
            <w:pPr>
              <w:suppressAutoHyphens w:val="0"/>
              <w:spacing w:before="0" w:after="0" w:line="240" w:lineRule="auto"/>
              <w:jc w:val="center"/>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726</w:t>
            </w:r>
            <w:bookmarkStart w:id="1" w:name="_Ref17982335"/>
            <w:r w:rsidR="00792549">
              <w:rPr>
                <w:rStyle w:val="FootnoteReference"/>
                <w:rFonts w:ascii="Calibri" w:eastAsia="Times New Roman" w:hAnsi="Calibri" w:cs="Calibri"/>
                <w:color w:val="auto"/>
                <w:sz w:val="18"/>
                <w:szCs w:val="18"/>
                <w:lang w:eastAsia="en-AU"/>
              </w:rPr>
              <w:footnoteReference w:id="38"/>
            </w:r>
            <w:bookmarkEnd w:id="1"/>
          </w:p>
        </w:tc>
        <w:tc>
          <w:tcPr>
            <w:tcW w:w="960" w:type="dxa"/>
            <w:tcBorders>
              <w:top w:val="nil"/>
              <w:left w:val="nil"/>
              <w:bottom w:val="nil"/>
              <w:right w:val="nil"/>
            </w:tcBorders>
            <w:shd w:val="clear" w:color="000000" w:fill="DBDBDB"/>
            <w:vAlign w:val="center"/>
            <w:hideMark/>
          </w:tcPr>
          <w:p w:rsidR="00AB4A3C" w:rsidRPr="00AB4A3C" w:rsidRDefault="00ED1381" w:rsidP="008F53E9">
            <w:pPr>
              <w:suppressAutoHyphens w:val="0"/>
              <w:spacing w:before="0" w:after="0" w:line="240" w:lineRule="auto"/>
              <w:jc w:val="center"/>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408</w:t>
            </w:r>
            <w:r w:rsidR="00EC6CA8">
              <w:rPr>
                <w:rFonts w:ascii="Calibri" w:eastAsia="Times New Roman" w:hAnsi="Calibri" w:cs="Calibri"/>
                <w:color w:val="auto"/>
                <w:sz w:val="18"/>
                <w:szCs w:val="18"/>
                <w:lang w:eastAsia="en-AU"/>
              </w:rPr>
              <w:t xml:space="preserve"> (875)</w:t>
            </w:r>
            <w:bookmarkStart w:id="2" w:name="_Ref17982348"/>
            <w:r w:rsidR="00792549">
              <w:rPr>
                <w:rStyle w:val="FootnoteReference"/>
                <w:rFonts w:ascii="Calibri" w:eastAsia="Times New Roman" w:hAnsi="Calibri" w:cs="Calibri"/>
                <w:color w:val="auto"/>
                <w:sz w:val="18"/>
                <w:szCs w:val="18"/>
                <w:lang w:eastAsia="en-AU"/>
              </w:rPr>
              <w:footnoteReference w:id="39"/>
            </w:r>
            <w:bookmarkEnd w:id="2"/>
          </w:p>
        </w:tc>
        <w:tc>
          <w:tcPr>
            <w:tcW w:w="96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250</w:t>
            </w:r>
          </w:p>
        </w:tc>
        <w:tc>
          <w:tcPr>
            <w:tcW w:w="428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Law and Justice System monitoring records</w:t>
            </w:r>
          </w:p>
        </w:tc>
      </w:tr>
      <w:tr w:rsidR="00AB4A3C" w:rsidRPr="00AB4A3C" w:rsidTr="00AB4A3C">
        <w:trPr>
          <w:trHeight w:val="300"/>
        </w:trPr>
        <w:tc>
          <w:tcPr>
            <w:tcW w:w="532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 </w:t>
            </w:r>
          </w:p>
        </w:tc>
        <w:tc>
          <w:tcPr>
            <w:tcW w:w="96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 </w:t>
            </w:r>
          </w:p>
        </w:tc>
        <w:tc>
          <w:tcPr>
            <w:tcW w:w="96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 </w:t>
            </w:r>
          </w:p>
        </w:tc>
        <w:tc>
          <w:tcPr>
            <w:tcW w:w="96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val="en-AU" w:eastAsia="en-AU"/>
              </w:rPr>
              <w:t>(baseline)</w:t>
            </w:r>
          </w:p>
        </w:tc>
        <w:tc>
          <w:tcPr>
            <w:tcW w:w="96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 </w:t>
            </w:r>
          </w:p>
        </w:tc>
        <w:tc>
          <w:tcPr>
            <w:tcW w:w="96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val="en-AU" w:eastAsia="en-AU"/>
              </w:rPr>
              <w:t> </w:t>
            </w:r>
          </w:p>
        </w:tc>
        <w:tc>
          <w:tcPr>
            <w:tcW w:w="428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DFAT L&amp;J Program monitoring data</w:t>
            </w:r>
          </w:p>
        </w:tc>
      </w:tr>
      <w:tr w:rsidR="00AB4A3C" w:rsidRPr="00AB4A3C" w:rsidTr="00AB4A3C">
        <w:trPr>
          <w:trHeight w:val="480"/>
        </w:trPr>
        <w:tc>
          <w:tcPr>
            <w:tcW w:w="5320" w:type="dxa"/>
            <w:tcBorders>
              <w:top w:val="nil"/>
              <w:left w:val="nil"/>
              <w:bottom w:val="nil"/>
              <w:right w:val="nil"/>
            </w:tcBorders>
            <w:shd w:val="clear" w:color="000000" w:fill="DBDBDB"/>
            <w:vAlign w:val="center"/>
            <w:hideMark/>
          </w:tcPr>
          <w:p w:rsidR="00AB4A3C" w:rsidRPr="00AB4A3C" w:rsidRDefault="00925C39" w:rsidP="008F53E9">
            <w:pPr>
              <w:suppressAutoHyphens w:val="0"/>
              <w:spacing w:before="0" w:after="0" w:line="240" w:lineRule="auto"/>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 xml:space="preserve">3.2: </w:t>
            </w:r>
            <w:r w:rsidR="00AB4A3C" w:rsidRPr="00AB4A3C">
              <w:rPr>
                <w:rFonts w:ascii="Calibri" w:eastAsia="Times New Roman" w:hAnsi="Calibri" w:cs="Calibri"/>
                <w:color w:val="auto"/>
                <w:sz w:val="18"/>
                <w:szCs w:val="18"/>
                <w:lang w:eastAsia="en-AU"/>
              </w:rPr>
              <w:t>Average number of days for completion of a criminal matter through the Office of the Public Prosecution</w:t>
            </w:r>
            <w:r w:rsidR="000D3DBA">
              <w:rPr>
                <w:rFonts w:ascii="Calibri" w:eastAsia="Times New Roman" w:hAnsi="Calibri" w:cs="Calibri"/>
                <w:color w:val="auto"/>
                <w:sz w:val="18"/>
                <w:szCs w:val="18"/>
                <w:lang w:eastAsia="en-AU"/>
              </w:rPr>
              <w:t xml:space="preserve"> </w:t>
            </w:r>
            <w:r w:rsidR="00AB4A3C" w:rsidRPr="00AB4A3C">
              <w:rPr>
                <w:rFonts w:ascii="Calibri" w:eastAsia="Times New Roman" w:hAnsi="Calibri" w:cs="Calibri"/>
                <w:color w:val="auto"/>
                <w:sz w:val="18"/>
                <w:szCs w:val="18"/>
                <w:lang w:eastAsia="en-AU"/>
              </w:rPr>
              <w:t>/Supreme Court</w:t>
            </w:r>
          </w:p>
        </w:tc>
        <w:tc>
          <w:tcPr>
            <w:tcW w:w="96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n/a</w:t>
            </w:r>
          </w:p>
        </w:tc>
        <w:tc>
          <w:tcPr>
            <w:tcW w:w="96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n/a</w:t>
            </w:r>
          </w:p>
        </w:tc>
        <w:tc>
          <w:tcPr>
            <w:tcW w:w="960" w:type="dxa"/>
            <w:tcBorders>
              <w:top w:val="nil"/>
              <w:left w:val="nil"/>
              <w:bottom w:val="nil"/>
              <w:right w:val="nil"/>
            </w:tcBorders>
            <w:shd w:val="clear" w:color="000000" w:fill="DBDBDB"/>
            <w:vAlign w:val="center"/>
            <w:hideMark/>
          </w:tcPr>
          <w:p w:rsidR="00AB4A3C" w:rsidRPr="00AB4A3C" w:rsidRDefault="00ED1381" w:rsidP="008F53E9">
            <w:pPr>
              <w:suppressAutoHyphens w:val="0"/>
              <w:spacing w:before="0" w:after="0" w:line="240" w:lineRule="auto"/>
              <w:jc w:val="center"/>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366</w:t>
            </w:r>
            <w:r w:rsidR="00792549" w:rsidRPr="00DC248A">
              <w:rPr>
                <w:rFonts w:ascii="Calibri" w:eastAsia="Times New Roman" w:hAnsi="Calibri" w:cs="Calibri"/>
                <w:color w:val="auto"/>
                <w:sz w:val="14"/>
                <w:szCs w:val="18"/>
                <w:lang w:eastAsia="en-AU"/>
              </w:rPr>
              <w:fldChar w:fldCharType="begin"/>
            </w:r>
            <w:r w:rsidR="00792549" w:rsidRPr="00DC248A">
              <w:rPr>
                <w:rFonts w:ascii="Calibri" w:eastAsia="Times New Roman" w:hAnsi="Calibri" w:cs="Calibri"/>
                <w:color w:val="auto"/>
                <w:sz w:val="14"/>
                <w:szCs w:val="18"/>
                <w:lang w:eastAsia="en-AU"/>
              </w:rPr>
              <w:instrText xml:space="preserve"> NOTEREF _Ref17982335 \f \h  \* MERGEFORMAT </w:instrText>
            </w:r>
            <w:r w:rsidR="00792549" w:rsidRPr="00DC248A">
              <w:rPr>
                <w:rFonts w:ascii="Calibri" w:eastAsia="Times New Roman" w:hAnsi="Calibri" w:cs="Calibri"/>
                <w:color w:val="auto"/>
                <w:sz w:val="14"/>
                <w:szCs w:val="18"/>
                <w:lang w:eastAsia="en-AU"/>
              </w:rPr>
            </w:r>
            <w:r w:rsidR="00792549" w:rsidRPr="00DC248A">
              <w:rPr>
                <w:rFonts w:ascii="Calibri" w:eastAsia="Times New Roman" w:hAnsi="Calibri" w:cs="Calibri"/>
                <w:color w:val="auto"/>
                <w:sz w:val="14"/>
                <w:szCs w:val="18"/>
                <w:lang w:eastAsia="en-AU"/>
              </w:rPr>
              <w:fldChar w:fldCharType="separate"/>
            </w:r>
            <w:r w:rsidR="000C02EE" w:rsidRPr="000C02EE">
              <w:rPr>
                <w:rStyle w:val="FootnoteReference"/>
              </w:rPr>
              <w:t>27</w:t>
            </w:r>
            <w:r w:rsidR="00792549" w:rsidRPr="00DC248A">
              <w:rPr>
                <w:rFonts w:ascii="Calibri" w:eastAsia="Times New Roman" w:hAnsi="Calibri" w:cs="Calibri"/>
                <w:color w:val="auto"/>
                <w:sz w:val="14"/>
                <w:szCs w:val="18"/>
                <w:lang w:eastAsia="en-AU"/>
              </w:rPr>
              <w:fldChar w:fldCharType="end"/>
            </w:r>
          </w:p>
        </w:tc>
        <w:tc>
          <w:tcPr>
            <w:tcW w:w="960" w:type="dxa"/>
            <w:tcBorders>
              <w:top w:val="nil"/>
              <w:left w:val="nil"/>
              <w:bottom w:val="nil"/>
              <w:right w:val="nil"/>
            </w:tcBorders>
            <w:shd w:val="clear" w:color="000000" w:fill="DBDBDB"/>
            <w:vAlign w:val="center"/>
            <w:hideMark/>
          </w:tcPr>
          <w:p w:rsidR="00AB4A3C" w:rsidRPr="00AB4A3C" w:rsidRDefault="00ED1381" w:rsidP="008F53E9">
            <w:pPr>
              <w:suppressAutoHyphens w:val="0"/>
              <w:spacing w:before="0" w:after="0" w:line="240" w:lineRule="auto"/>
              <w:jc w:val="center"/>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690</w:t>
            </w:r>
            <w:r w:rsidR="00EC6CA8">
              <w:rPr>
                <w:rFonts w:ascii="Calibri" w:eastAsia="Times New Roman" w:hAnsi="Calibri" w:cs="Calibri"/>
                <w:color w:val="auto"/>
                <w:sz w:val="18"/>
                <w:szCs w:val="18"/>
                <w:lang w:eastAsia="en-AU"/>
              </w:rPr>
              <w:t xml:space="preserve"> (850)</w:t>
            </w:r>
            <w:r w:rsidR="00792549" w:rsidRPr="00DC248A">
              <w:rPr>
                <w:rFonts w:ascii="Calibri" w:eastAsia="Times New Roman" w:hAnsi="Calibri" w:cs="Calibri"/>
                <w:color w:val="auto"/>
                <w:sz w:val="14"/>
                <w:szCs w:val="18"/>
                <w:lang w:eastAsia="en-AU"/>
              </w:rPr>
              <w:fldChar w:fldCharType="begin"/>
            </w:r>
            <w:r w:rsidR="00792549" w:rsidRPr="00DC248A">
              <w:rPr>
                <w:rFonts w:ascii="Calibri" w:eastAsia="Times New Roman" w:hAnsi="Calibri" w:cs="Calibri"/>
                <w:color w:val="auto"/>
                <w:sz w:val="14"/>
                <w:szCs w:val="18"/>
                <w:lang w:eastAsia="en-AU"/>
              </w:rPr>
              <w:instrText xml:space="preserve"> NOTEREF _Ref17982348 \f \h  \* MERGEFORMAT </w:instrText>
            </w:r>
            <w:r w:rsidR="00792549" w:rsidRPr="00DC248A">
              <w:rPr>
                <w:rFonts w:ascii="Calibri" w:eastAsia="Times New Roman" w:hAnsi="Calibri" w:cs="Calibri"/>
                <w:color w:val="auto"/>
                <w:sz w:val="14"/>
                <w:szCs w:val="18"/>
                <w:lang w:eastAsia="en-AU"/>
              </w:rPr>
            </w:r>
            <w:r w:rsidR="00792549" w:rsidRPr="00DC248A">
              <w:rPr>
                <w:rFonts w:ascii="Calibri" w:eastAsia="Times New Roman" w:hAnsi="Calibri" w:cs="Calibri"/>
                <w:color w:val="auto"/>
                <w:sz w:val="14"/>
                <w:szCs w:val="18"/>
                <w:lang w:eastAsia="en-AU"/>
              </w:rPr>
              <w:fldChar w:fldCharType="separate"/>
            </w:r>
            <w:r w:rsidR="000C02EE" w:rsidRPr="000C02EE">
              <w:rPr>
                <w:rStyle w:val="FootnoteReference"/>
              </w:rPr>
              <w:t>28</w:t>
            </w:r>
            <w:r w:rsidR="00792549" w:rsidRPr="00DC248A">
              <w:rPr>
                <w:rFonts w:ascii="Calibri" w:eastAsia="Times New Roman" w:hAnsi="Calibri" w:cs="Calibri"/>
                <w:color w:val="auto"/>
                <w:sz w:val="14"/>
                <w:szCs w:val="18"/>
                <w:lang w:eastAsia="en-AU"/>
              </w:rPr>
              <w:fldChar w:fldCharType="end"/>
            </w:r>
          </w:p>
        </w:tc>
        <w:tc>
          <w:tcPr>
            <w:tcW w:w="96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val="en-AU" w:eastAsia="en-AU"/>
              </w:rPr>
              <w:t>N/A</w:t>
            </w:r>
          </w:p>
        </w:tc>
        <w:tc>
          <w:tcPr>
            <w:tcW w:w="4280" w:type="dxa"/>
            <w:tcBorders>
              <w:top w:val="nil"/>
              <w:left w:val="nil"/>
              <w:bottom w:val="nil"/>
              <w:right w:val="nil"/>
            </w:tcBorders>
            <w:shd w:val="clear" w:color="000000" w:fill="DBDBDB"/>
            <w:vAlign w:val="center"/>
            <w:hideMark/>
          </w:tcPr>
          <w:p w:rsidR="00ED1381" w:rsidRPr="00DC248A" w:rsidRDefault="00ED1381" w:rsidP="00DC248A">
            <w:pPr>
              <w:pStyle w:val="ListParagraph"/>
              <w:ind w:left="360"/>
              <w:rPr>
                <w:rFonts w:ascii="Calibri" w:hAnsi="Calibri" w:cs="Calibri"/>
                <w:sz w:val="18"/>
                <w:szCs w:val="18"/>
                <w:lang w:eastAsia="en-AU"/>
              </w:rPr>
            </w:pPr>
          </w:p>
        </w:tc>
      </w:tr>
      <w:tr w:rsidR="00AB4A3C" w:rsidRPr="00AB4A3C" w:rsidTr="00AB4A3C">
        <w:trPr>
          <w:trHeight w:val="300"/>
        </w:trPr>
        <w:tc>
          <w:tcPr>
            <w:tcW w:w="532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val="en-AU" w:eastAsia="en-AU"/>
              </w:rPr>
              <w:t> </w:t>
            </w:r>
          </w:p>
        </w:tc>
        <w:tc>
          <w:tcPr>
            <w:tcW w:w="96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val="en-AU" w:eastAsia="en-AU"/>
              </w:rPr>
              <w:t> </w:t>
            </w:r>
          </w:p>
        </w:tc>
        <w:tc>
          <w:tcPr>
            <w:tcW w:w="96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val="en-AU" w:eastAsia="en-AU"/>
              </w:rPr>
              <w:t> </w:t>
            </w:r>
          </w:p>
        </w:tc>
        <w:tc>
          <w:tcPr>
            <w:tcW w:w="96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val="en-AU" w:eastAsia="en-AU"/>
              </w:rPr>
              <w:t>(baseline)</w:t>
            </w:r>
          </w:p>
        </w:tc>
        <w:tc>
          <w:tcPr>
            <w:tcW w:w="96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val="en-AU" w:eastAsia="en-AU"/>
              </w:rPr>
              <w:t> </w:t>
            </w:r>
          </w:p>
        </w:tc>
        <w:tc>
          <w:tcPr>
            <w:tcW w:w="96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val="en-AU" w:eastAsia="en-AU"/>
              </w:rPr>
              <w:t> </w:t>
            </w:r>
          </w:p>
        </w:tc>
        <w:tc>
          <w:tcPr>
            <w:tcW w:w="428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val="en-AU" w:eastAsia="en-AU"/>
              </w:rPr>
              <w:t> </w:t>
            </w:r>
          </w:p>
        </w:tc>
      </w:tr>
      <w:tr w:rsidR="00AB4A3C" w:rsidRPr="00AB4A3C" w:rsidTr="00AB4A3C">
        <w:trPr>
          <w:trHeight w:val="960"/>
        </w:trPr>
        <w:tc>
          <w:tcPr>
            <w:tcW w:w="5320" w:type="dxa"/>
            <w:vMerge w:val="restart"/>
            <w:tcBorders>
              <w:top w:val="nil"/>
              <w:left w:val="nil"/>
              <w:bottom w:val="nil"/>
              <w:right w:val="nil"/>
            </w:tcBorders>
            <w:shd w:val="clear" w:color="000000" w:fill="BDD6EE"/>
            <w:vAlign w:val="center"/>
            <w:hideMark/>
          </w:tcPr>
          <w:p w:rsidR="00AB4A3C" w:rsidRPr="00816F98" w:rsidRDefault="00925C39">
            <w:pPr>
              <w:suppressAutoHyphens w:val="0"/>
              <w:spacing w:before="0" w:after="0" w:line="240" w:lineRule="auto"/>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 xml:space="preserve">3.3: </w:t>
            </w:r>
            <w:r w:rsidR="00AB4A3C" w:rsidRPr="00816F98">
              <w:rPr>
                <w:rFonts w:ascii="Calibri" w:eastAsia="Times New Roman" w:hAnsi="Calibri" w:cs="Calibri"/>
                <w:color w:val="auto"/>
                <w:sz w:val="18"/>
                <w:szCs w:val="18"/>
                <w:lang w:eastAsia="en-AU"/>
              </w:rPr>
              <w:footnoteReference w:customMarkFollows="1" w:id="40"/>
              <w:t>Number of women and children survivors of violence provided couns</w:t>
            </w:r>
            <w:r w:rsidR="003416EA">
              <w:rPr>
                <w:rFonts w:ascii="Calibri" w:eastAsia="Times New Roman" w:hAnsi="Calibri" w:cs="Calibri"/>
                <w:color w:val="auto"/>
                <w:sz w:val="18"/>
                <w:szCs w:val="18"/>
                <w:lang w:eastAsia="en-AU"/>
              </w:rPr>
              <w:t>elling support, legal services</w:t>
            </w:r>
          </w:p>
        </w:tc>
        <w:tc>
          <w:tcPr>
            <w:tcW w:w="960" w:type="dxa"/>
            <w:tcBorders>
              <w:top w:val="nil"/>
              <w:left w:val="nil"/>
              <w:bottom w:val="nil"/>
              <w:right w:val="nil"/>
            </w:tcBorders>
            <w:shd w:val="clear" w:color="000000" w:fill="BDD6EE"/>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6,858</w:t>
            </w:r>
          </w:p>
        </w:tc>
        <w:tc>
          <w:tcPr>
            <w:tcW w:w="960" w:type="dxa"/>
            <w:tcBorders>
              <w:top w:val="nil"/>
              <w:left w:val="nil"/>
              <w:bottom w:val="nil"/>
              <w:right w:val="nil"/>
            </w:tcBorders>
            <w:shd w:val="clear" w:color="000000" w:fill="BDD6EE"/>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7,246</w:t>
            </w:r>
          </w:p>
        </w:tc>
        <w:tc>
          <w:tcPr>
            <w:tcW w:w="960" w:type="dxa"/>
            <w:tcBorders>
              <w:top w:val="nil"/>
              <w:left w:val="nil"/>
              <w:bottom w:val="nil"/>
              <w:right w:val="nil"/>
            </w:tcBorders>
            <w:shd w:val="clear" w:color="000000" w:fill="BDD6EE"/>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7,318</w:t>
            </w:r>
          </w:p>
        </w:tc>
        <w:tc>
          <w:tcPr>
            <w:tcW w:w="960" w:type="dxa"/>
            <w:tcBorders>
              <w:top w:val="nil"/>
              <w:left w:val="nil"/>
              <w:bottom w:val="nil"/>
              <w:right w:val="nil"/>
            </w:tcBorders>
            <w:shd w:val="clear" w:color="000000" w:fill="BDD6EE"/>
            <w:vAlign w:val="center"/>
            <w:hideMark/>
          </w:tcPr>
          <w:p w:rsidR="00AB4A3C" w:rsidRPr="00816F98" w:rsidRDefault="00ED1381">
            <w:pPr>
              <w:suppressAutoHyphens w:val="0"/>
              <w:spacing w:before="0" w:after="0" w:line="240" w:lineRule="auto"/>
              <w:jc w:val="center"/>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8,859</w:t>
            </w:r>
            <w:r w:rsidR="00EC6CA8">
              <w:rPr>
                <w:rFonts w:ascii="Calibri" w:eastAsia="Times New Roman" w:hAnsi="Calibri" w:cs="Calibri"/>
                <w:color w:val="auto"/>
                <w:sz w:val="18"/>
                <w:szCs w:val="18"/>
                <w:lang w:eastAsia="en-AU"/>
              </w:rPr>
              <w:t xml:space="preserve"> (8,500)</w:t>
            </w:r>
            <w:r w:rsidR="00792549">
              <w:rPr>
                <w:rStyle w:val="FootnoteReference"/>
                <w:rFonts w:ascii="Calibri" w:eastAsia="Times New Roman" w:hAnsi="Calibri" w:cs="Calibri"/>
                <w:color w:val="auto"/>
                <w:sz w:val="18"/>
                <w:szCs w:val="18"/>
                <w:lang w:eastAsia="en-AU"/>
              </w:rPr>
              <w:footnoteReference w:id="41"/>
            </w:r>
          </w:p>
        </w:tc>
        <w:tc>
          <w:tcPr>
            <w:tcW w:w="960" w:type="dxa"/>
            <w:tcBorders>
              <w:top w:val="nil"/>
              <w:left w:val="nil"/>
              <w:bottom w:val="nil"/>
              <w:right w:val="nil"/>
            </w:tcBorders>
            <w:shd w:val="clear" w:color="000000" w:fill="BDD6EE"/>
            <w:vAlign w:val="center"/>
            <w:hideMark/>
          </w:tcPr>
          <w:p w:rsidR="00AB4A3C" w:rsidRPr="00816F98" w:rsidRDefault="00AB4A3C" w:rsidP="003416EA">
            <w:pPr>
              <w:suppressAutoHyphens w:val="0"/>
              <w:spacing w:before="0" w:after="0" w:line="240" w:lineRule="auto"/>
              <w:jc w:val="center"/>
              <w:rPr>
                <w:rFonts w:ascii="Calibri" w:eastAsia="Times New Roman" w:hAnsi="Calibri" w:cs="Calibri"/>
                <w:color w:val="auto"/>
                <w:sz w:val="18"/>
                <w:szCs w:val="18"/>
                <w:lang w:val="en-AU" w:eastAsia="en-AU"/>
              </w:rPr>
            </w:pPr>
            <w:r w:rsidRPr="00816F98">
              <w:rPr>
                <w:rFonts w:ascii="Calibri" w:eastAsia="Times New Roman" w:hAnsi="Calibri" w:cs="Calibri"/>
                <w:color w:val="auto"/>
                <w:sz w:val="18"/>
                <w:szCs w:val="18"/>
                <w:lang w:val="en-AU" w:eastAsia="en-AU"/>
              </w:rPr>
              <w:t>7,750</w:t>
            </w:r>
          </w:p>
        </w:tc>
        <w:tc>
          <w:tcPr>
            <w:tcW w:w="4280" w:type="dxa"/>
            <w:tcBorders>
              <w:top w:val="nil"/>
              <w:left w:val="nil"/>
              <w:bottom w:val="nil"/>
              <w:right w:val="nil"/>
            </w:tcBorders>
            <w:shd w:val="clear" w:color="000000" w:fill="BDD6EE"/>
            <w:vAlign w:val="center"/>
            <w:hideMark/>
          </w:tcPr>
          <w:p w:rsidR="00AB4A3C" w:rsidRPr="00816F98" w:rsidRDefault="00925C39" w:rsidP="00607BE1">
            <w:pPr>
              <w:suppressAutoHyphens w:val="0"/>
              <w:spacing w:before="0" w:after="0" w:line="240" w:lineRule="auto"/>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Vanuatu Women’s Centre</w:t>
            </w:r>
            <w:r w:rsidR="00DC248A">
              <w:rPr>
                <w:rFonts w:ascii="Calibri" w:eastAsia="Times New Roman" w:hAnsi="Calibri" w:cs="Calibri"/>
                <w:color w:val="auto"/>
                <w:sz w:val="18"/>
                <w:szCs w:val="18"/>
                <w:lang w:eastAsia="en-AU"/>
              </w:rPr>
              <w:t xml:space="preserve"> [VWC]</w:t>
            </w:r>
            <w:r w:rsidRPr="00AB4A3C">
              <w:rPr>
                <w:rFonts w:ascii="Calibri" w:eastAsia="Times New Roman" w:hAnsi="Calibri" w:cs="Calibri"/>
                <w:color w:val="auto"/>
                <w:sz w:val="18"/>
                <w:szCs w:val="18"/>
                <w:lang w:eastAsia="en-AU"/>
              </w:rPr>
              <w:t>.</w:t>
            </w:r>
          </w:p>
        </w:tc>
      </w:tr>
      <w:tr w:rsidR="00AB4A3C" w:rsidRPr="00AB4A3C" w:rsidTr="00AB4A3C">
        <w:trPr>
          <w:trHeight w:val="480"/>
        </w:trPr>
        <w:tc>
          <w:tcPr>
            <w:tcW w:w="5320" w:type="dxa"/>
            <w:vMerge/>
            <w:tcBorders>
              <w:top w:val="nil"/>
              <w:left w:val="nil"/>
              <w:bottom w:val="nil"/>
              <w:right w:val="nil"/>
            </w:tcBorders>
            <w:vAlign w:val="center"/>
            <w:hideMark/>
          </w:tcPr>
          <w:p w:rsidR="00AB4A3C" w:rsidRPr="00816F98" w:rsidRDefault="00AB4A3C" w:rsidP="008F53E9">
            <w:pPr>
              <w:suppressAutoHyphens w:val="0"/>
              <w:spacing w:before="0" w:after="0" w:line="240" w:lineRule="auto"/>
              <w:rPr>
                <w:rFonts w:ascii="Calibri" w:eastAsia="Times New Roman" w:hAnsi="Calibri" w:cs="Calibri"/>
                <w:color w:val="auto"/>
                <w:sz w:val="18"/>
                <w:szCs w:val="18"/>
                <w:lang w:val="en-AU" w:eastAsia="en-AU"/>
              </w:rPr>
            </w:pPr>
          </w:p>
        </w:tc>
        <w:tc>
          <w:tcPr>
            <w:tcW w:w="960" w:type="dxa"/>
            <w:tcBorders>
              <w:top w:val="nil"/>
              <w:left w:val="nil"/>
              <w:bottom w:val="nil"/>
              <w:right w:val="nil"/>
            </w:tcBorders>
            <w:shd w:val="clear" w:color="000000" w:fill="BDD6EE"/>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[2016 APPR]</w:t>
            </w:r>
          </w:p>
        </w:tc>
        <w:tc>
          <w:tcPr>
            <w:tcW w:w="960" w:type="dxa"/>
            <w:tcBorders>
              <w:top w:val="nil"/>
              <w:left w:val="nil"/>
              <w:bottom w:val="nil"/>
              <w:right w:val="nil"/>
            </w:tcBorders>
            <w:shd w:val="clear" w:color="000000" w:fill="BDD6EE"/>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w:t>
            </w:r>
            <w:r w:rsidR="004E609C">
              <w:rPr>
                <w:rFonts w:ascii="Calibri" w:eastAsia="Times New Roman" w:hAnsi="Calibri" w:cs="Calibri"/>
                <w:color w:val="auto"/>
                <w:sz w:val="18"/>
                <w:szCs w:val="18"/>
                <w:lang w:eastAsia="en-AU"/>
              </w:rPr>
              <w:t>VWC</w:t>
            </w:r>
            <w:r w:rsidRPr="00AB4A3C">
              <w:rPr>
                <w:rFonts w:ascii="Calibri" w:eastAsia="Times New Roman" w:hAnsi="Calibri" w:cs="Calibri"/>
                <w:color w:val="auto"/>
                <w:sz w:val="18"/>
                <w:szCs w:val="18"/>
                <w:lang w:eastAsia="en-AU"/>
              </w:rPr>
              <w:t>]</w:t>
            </w:r>
          </w:p>
        </w:tc>
        <w:tc>
          <w:tcPr>
            <w:tcW w:w="960" w:type="dxa"/>
            <w:tcBorders>
              <w:top w:val="nil"/>
              <w:left w:val="nil"/>
              <w:bottom w:val="nil"/>
              <w:right w:val="nil"/>
            </w:tcBorders>
            <w:shd w:val="clear" w:color="000000" w:fill="BDD6EE"/>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[VWC]</w:t>
            </w:r>
          </w:p>
        </w:tc>
        <w:tc>
          <w:tcPr>
            <w:tcW w:w="960" w:type="dxa"/>
            <w:tcBorders>
              <w:top w:val="nil"/>
              <w:left w:val="nil"/>
              <w:bottom w:val="nil"/>
              <w:right w:val="nil"/>
            </w:tcBorders>
            <w:shd w:val="clear" w:color="000000" w:fill="BDD6EE"/>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[VWC]</w:t>
            </w:r>
          </w:p>
        </w:tc>
        <w:tc>
          <w:tcPr>
            <w:tcW w:w="960" w:type="dxa"/>
            <w:tcBorders>
              <w:top w:val="nil"/>
              <w:left w:val="nil"/>
              <w:bottom w:val="nil"/>
              <w:right w:val="nil"/>
            </w:tcBorders>
            <w:shd w:val="clear" w:color="000000" w:fill="BDD6EE"/>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[VWC]</w:t>
            </w:r>
          </w:p>
        </w:tc>
        <w:tc>
          <w:tcPr>
            <w:tcW w:w="4280" w:type="dxa"/>
            <w:tcBorders>
              <w:top w:val="nil"/>
              <w:left w:val="nil"/>
              <w:bottom w:val="nil"/>
              <w:right w:val="nil"/>
            </w:tcBorders>
            <w:shd w:val="clear" w:color="000000" w:fill="BDD6EE"/>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p>
        </w:tc>
      </w:tr>
      <w:tr w:rsidR="00AB4A3C" w:rsidRPr="00AB4A3C" w:rsidTr="00AB4A3C">
        <w:trPr>
          <w:trHeight w:val="300"/>
        </w:trPr>
        <w:tc>
          <w:tcPr>
            <w:tcW w:w="5320" w:type="dxa"/>
            <w:vMerge w:val="restart"/>
            <w:tcBorders>
              <w:top w:val="nil"/>
              <w:left w:val="nil"/>
              <w:bottom w:val="nil"/>
              <w:right w:val="nil"/>
            </w:tcBorders>
            <w:shd w:val="clear" w:color="000000" w:fill="DBDBDB"/>
            <w:vAlign w:val="center"/>
            <w:hideMark/>
          </w:tcPr>
          <w:p w:rsidR="00AB4A3C" w:rsidRPr="00816F98" w:rsidRDefault="00925C39" w:rsidP="008F53E9">
            <w:pPr>
              <w:suppressAutoHyphens w:val="0"/>
              <w:spacing w:before="0" w:after="0" w:line="240" w:lineRule="auto"/>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 xml:space="preserve">3.4: </w:t>
            </w:r>
            <w:r w:rsidR="00AB4A3C" w:rsidRPr="00816F98">
              <w:rPr>
                <w:rFonts w:ascii="Calibri" w:eastAsia="Times New Roman" w:hAnsi="Calibri" w:cs="Calibri"/>
                <w:color w:val="auto"/>
                <w:sz w:val="18"/>
                <w:szCs w:val="18"/>
                <w:lang w:eastAsia="en-AU"/>
              </w:rPr>
              <w:footnoteReference w:customMarkFollows="1" w:id="42"/>
              <w:t>Proportion of population with access to technologi</w:t>
            </w:r>
            <w:r w:rsidR="003416EA">
              <w:rPr>
                <w:rFonts w:ascii="Calibri" w:eastAsia="Times New Roman" w:hAnsi="Calibri" w:cs="Calibri"/>
                <w:color w:val="auto"/>
                <w:sz w:val="18"/>
                <w:szCs w:val="18"/>
                <w:lang w:eastAsia="en-AU"/>
              </w:rPr>
              <w:t>es that convey early warnings</w:t>
            </w:r>
            <w:r w:rsidR="003416EA">
              <w:rPr>
                <w:rStyle w:val="FootnoteReference"/>
                <w:rFonts w:ascii="Calibri" w:eastAsia="Times New Roman" w:hAnsi="Calibri" w:cs="Calibri"/>
                <w:color w:val="auto"/>
                <w:sz w:val="18"/>
                <w:szCs w:val="18"/>
                <w:lang w:eastAsia="en-AU"/>
              </w:rPr>
              <w:footnoteReference w:id="43"/>
            </w:r>
          </w:p>
        </w:tc>
        <w:tc>
          <w:tcPr>
            <w:tcW w:w="960" w:type="dxa"/>
            <w:vMerge w:val="restart"/>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66%</w:t>
            </w:r>
          </w:p>
        </w:tc>
        <w:tc>
          <w:tcPr>
            <w:tcW w:w="960" w:type="dxa"/>
            <w:vMerge w:val="restart"/>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71%</w:t>
            </w:r>
          </w:p>
        </w:tc>
        <w:tc>
          <w:tcPr>
            <w:tcW w:w="960" w:type="dxa"/>
            <w:vMerge w:val="restart"/>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75%</w:t>
            </w:r>
          </w:p>
        </w:tc>
        <w:tc>
          <w:tcPr>
            <w:tcW w:w="960" w:type="dxa"/>
            <w:vMerge w:val="restart"/>
            <w:tcBorders>
              <w:top w:val="nil"/>
              <w:left w:val="nil"/>
              <w:bottom w:val="nil"/>
              <w:right w:val="nil"/>
            </w:tcBorders>
            <w:shd w:val="clear" w:color="000000" w:fill="DBDBDB"/>
            <w:vAlign w:val="center"/>
            <w:hideMark/>
          </w:tcPr>
          <w:p w:rsidR="00AB4A3C" w:rsidRPr="00AB4A3C" w:rsidRDefault="00EC6CA8" w:rsidP="008F53E9">
            <w:pPr>
              <w:suppressAutoHyphens w:val="0"/>
              <w:spacing w:before="0" w:after="0" w:line="240" w:lineRule="auto"/>
              <w:jc w:val="center"/>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TBC (</w:t>
            </w:r>
            <w:r w:rsidR="00AB4A3C" w:rsidRPr="00AB4A3C">
              <w:rPr>
                <w:rFonts w:ascii="Calibri" w:eastAsia="Times New Roman" w:hAnsi="Calibri" w:cs="Calibri"/>
                <w:color w:val="auto"/>
                <w:sz w:val="18"/>
                <w:szCs w:val="18"/>
                <w:lang w:eastAsia="en-AU"/>
              </w:rPr>
              <w:t>80%</w:t>
            </w:r>
            <w:r>
              <w:rPr>
                <w:rFonts w:ascii="Calibri" w:eastAsia="Times New Roman" w:hAnsi="Calibri" w:cs="Calibri"/>
                <w:color w:val="auto"/>
                <w:sz w:val="18"/>
                <w:szCs w:val="18"/>
                <w:lang w:eastAsia="en-AU"/>
              </w:rPr>
              <w:t>)</w:t>
            </w:r>
          </w:p>
        </w:tc>
        <w:tc>
          <w:tcPr>
            <w:tcW w:w="960" w:type="dxa"/>
            <w:vMerge w:val="restart"/>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85%</w:t>
            </w:r>
          </w:p>
        </w:tc>
        <w:tc>
          <w:tcPr>
            <w:tcW w:w="428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Mobile cellular subscriptions (per 100 people)</w:t>
            </w:r>
          </w:p>
        </w:tc>
      </w:tr>
      <w:tr w:rsidR="00AB4A3C" w:rsidRPr="00AB4A3C" w:rsidTr="00AB4A3C">
        <w:trPr>
          <w:trHeight w:val="480"/>
        </w:trPr>
        <w:tc>
          <w:tcPr>
            <w:tcW w:w="5320" w:type="dxa"/>
            <w:vMerge/>
            <w:tcBorders>
              <w:top w:val="nil"/>
              <w:left w:val="nil"/>
              <w:bottom w:val="nil"/>
              <w:right w:val="nil"/>
            </w:tcBorders>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u w:val="single"/>
                <w:lang w:val="en-AU" w:eastAsia="en-AU"/>
              </w:rPr>
            </w:pPr>
          </w:p>
        </w:tc>
        <w:tc>
          <w:tcPr>
            <w:tcW w:w="960" w:type="dxa"/>
            <w:vMerge/>
            <w:tcBorders>
              <w:top w:val="nil"/>
              <w:left w:val="nil"/>
              <w:bottom w:val="nil"/>
              <w:right w:val="nil"/>
            </w:tcBorders>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p>
        </w:tc>
        <w:tc>
          <w:tcPr>
            <w:tcW w:w="960" w:type="dxa"/>
            <w:vMerge/>
            <w:tcBorders>
              <w:top w:val="nil"/>
              <w:left w:val="nil"/>
              <w:bottom w:val="nil"/>
              <w:right w:val="nil"/>
            </w:tcBorders>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p>
        </w:tc>
        <w:tc>
          <w:tcPr>
            <w:tcW w:w="960" w:type="dxa"/>
            <w:vMerge/>
            <w:tcBorders>
              <w:top w:val="nil"/>
              <w:left w:val="nil"/>
              <w:bottom w:val="nil"/>
              <w:right w:val="nil"/>
            </w:tcBorders>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p>
        </w:tc>
        <w:tc>
          <w:tcPr>
            <w:tcW w:w="960" w:type="dxa"/>
            <w:vMerge/>
            <w:tcBorders>
              <w:top w:val="nil"/>
              <w:left w:val="nil"/>
              <w:bottom w:val="nil"/>
              <w:right w:val="nil"/>
            </w:tcBorders>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p>
        </w:tc>
        <w:tc>
          <w:tcPr>
            <w:tcW w:w="960" w:type="dxa"/>
            <w:vMerge/>
            <w:tcBorders>
              <w:top w:val="nil"/>
              <w:left w:val="nil"/>
              <w:bottom w:val="nil"/>
              <w:right w:val="nil"/>
            </w:tcBorders>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p>
        </w:tc>
        <w:tc>
          <w:tcPr>
            <w:tcW w:w="428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[WDI IT.CEL.SETS.P2] – note aggregate number, does not demonstrate coverage</w:t>
            </w:r>
          </w:p>
        </w:tc>
      </w:tr>
      <w:tr w:rsidR="00AB4A3C" w:rsidRPr="00AB4A3C" w:rsidTr="00AB4A3C">
        <w:trPr>
          <w:trHeight w:val="300"/>
        </w:trPr>
        <w:tc>
          <w:tcPr>
            <w:tcW w:w="5320" w:type="dxa"/>
            <w:vMerge/>
            <w:tcBorders>
              <w:top w:val="nil"/>
              <w:left w:val="nil"/>
              <w:bottom w:val="nil"/>
              <w:right w:val="nil"/>
            </w:tcBorders>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u w:val="single"/>
                <w:lang w:val="en-AU" w:eastAsia="en-AU"/>
              </w:rPr>
            </w:pPr>
          </w:p>
        </w:tc>
        <w:tc>
          <w:tcPr>
            <w:tcW w:w="960" w:type="dxa"/>
            <w:vMerge/>
            <w:tcBorders>
              <w:top w:val="nil"/>
              <w:left w:val="nil"/>
              <w:bottom w:val="nil"/>
              <w:right w:val="nil"/>
            </w:tcBorders>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p>
        </w:tc>
        <w:tc>
          <w:tcPr>
            <w:tcW w:w="960" w:type="dxa"/>
            <w:vMerge/>
            <w:tcBorders>
              <w:top w:val="nil"/>
              <w:left w:val="nil"/>
              <w:bottom w:val="nil"/>
              <w:right w:val="nil"/>
            </w:tcBorders>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p>
        </w:tc>
        <w:tc>
          <w:tcPr>
            <w:tcW w:w="960" w:type="dxa"/>
            <w:vMerge/>
            <w:tcBorders>
              <w:top w:val="nil"/>
              <w:left w:val="nil"/>
              <w:bottom w:val="nil"/>
              <w:right w:val="nil"/>
            </w:tcBorders>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p>
        </w:tc>
        <w:tc>
          <w:tcPr>
            <w:tcW w:w="960" w:type="dxa"/>
            <w:vMerge/>
            <w:tcBorders>
              <w:top w:val="nil"/>
              <w:left w:val="nil"/>
              <w:bottom w:val="nil"/>
              <w:right w:val="nil"/>
            </w:tcBorders>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p>
        </w:tc>
        <w:tc>
          <w:tcPr>
            <w:tcW w:w="960" w:type="dxa"/>
            <w:vMerge/>
            <w:tcBorders>
              <w:top w:val="nil"/>
              <w:left w:val="nil"/>
              <w:bottom w:val="nil"/>
              <w:right w:val="nil"/>
            </w:tcBorders>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p>
        </w:tc>
        <w:tc>
          <w:tcPr>
            <w:tcW w:w="428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TRBR – most recent report over 85%</w:t>
            </w:r>
          </w:p>
        </w:tc>
      </w:tr>
      <w:tr w:rsidR="00AB4A3C" w:rsidRPr="00AB4A3C" w:rsidTr="00AB4A3C">
        <w:trPr>
          <w:trHeight w:val="720"/>
        </w:trPr>
        <w:tc>
          <w:tcPr>
            <w:tcW w:w="5320" w:type="dxa"/>
            <w:tcBorders>
              <w:top w:val="nil"/>
              <w:left w:val="nil"/>
              <w:bottom w:val="nil"/>
              <w:right w:val="nil"/>
            </w:tcBorders>
            <w:shd w:val="clear" w:color="000000" w:fill="BDD6EE"/>
            <w:vAlign w:val="center"/>
            <w:hideMark/>
          </w:tcPr>
          <w:p w:rsidR="00AB4A3C" w:rsidRPr="00816F98" w:rsidRDefault="00925C39" w:rsidP="00607BE1">
            <w:pPr>
              <w:suppressAutoHyphens w:val="0"/>
              <w:spacing w:before="0" w:after="0" w:line="240" w:lineRule="auto"/>
              <w:rPr>
                <w:rFonts w:ascii="Calibri" w:eastAsia="Times New Roman" w:hAnsi="Calibri" w:cs="Calibri"/>
                <w:bCs/>
                <w:color w:val="auto"/>
                <w:sz w:val="18"/>
                <w:szCs w:val="18"/>
                <w:lang w:val="en-AU" w:eastAsia="en-AU"/>
              </w:rPr>
            </w:pPr>
            <w:r>
              <w:rPr>
                <w:rFonts w:ascii="Calibri" w:eastAsia="Times New Roman" w:hAnsi="Calibri" w:cs="Calibri"/>
                <w:bCs/>
                <w:color w:val="auto"/>
                <w:sz w:val="18"/>
                <w:szCs w:val="18"/>
                <w:lang w:eastAsia="en-AU"/>
              </w:rPr>
              <w:t xml:space="preserve">3.5: </w:t>
            </w:r>
            <w:r w:rsidR="00AB4A3C" w:rsidRPr="00816F98">
              <w:rPr>
                <w:rFonts w:ascii="Calibri" w:eastAsia="Times New Roman" w:hAnsi="Calibri" w:cs="Calibri"/>
                <w:bCs/>
                <w:color w:val="auto"/>
                <w:sz w:val="18"/>
                <w:szCs w:val="18"/>
                <w:lang w:eastAsia="en-AU"/>
              </w:rPr>
              <w:t>Number of women &amp; men trained with Australian support &amp; working in front-line positions where they deliver law and justice services</w:t>
            </w:r>
          </w:p>
        </w:tc>
        <w:tc>
          <w:tcPr>
            <w:tcW w:w="960" w:type="dxa"/>
            <w:tcBorders>
              <w:top w:val="nil"/>
              <w:left w:val="nil"/>
              <w:bottom w:val="nil"/>
              <w:right w:val="nil"/>
            </w:tcBorders>
            <w:shd w:val="clear" w:color="000000" w:fill="BDD6EE"/>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228F|363M</w:t>
            </w:r>
          </w:p>
        </w:tc>
        <w:tc>
          <w:tcPr>
            <w:tcW w:w="960" w:type="dxa"/>
            <w:tcBorders>
              <w:top w:val="nil"/>
              <w:left w:val="nil"/>
              <w:bottom w:val="nil"/>
              <w:right w:val="nil"/>
            </w:tcBorders>
            <w:shd w:val="clear" w:color="000000" w:fill="BDD6EE"/>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171F|330M</w:t>
            </w:r>
          </w:p>
        </w:tc>
        <w:tc>
          <w:tcPr>
            <w:tcW w:w="960" w:type="dxa"/>
            <w:tcBorders>
              <w:top w:val="nil"/>
              <w:left w:val="nil"/>
              <w:bottom w:val="nil"/>
              <w:right w:val="nil"/>
            </w:tcBorders>
            <w:shd w:val="clear" w:color="000000" w:fill="BDD6EE"/>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115F|263M</w:t>
            </w:r>
          </w:p>
        </w:tc>
        <w:tc>
          <w:tcPr>
            <w:tcW w:w="960" w:type="dxa"/>
            <w:tcBorders>
              <w:top w:val="nil"/>
              <w:left w:val="nil"/>
              <w:bottom w:val="nil"/>
              <w:right w:val="nil"/>
            </w:tcBorders>
            <w:shd w:val="clear" w:color="000000" w:fill="BDD6EE"/>
            <w:vAlign w:val="center"/>
            <w:hideMark/>
          </w:tcPr>
          <w:p w:rsidR="00AB4A3C" w:rsidRPr="00AB4A3C" w:rsidRDefault="004175EE" w:rsidP="008F53E9">
            <w:pPr>
              <w:suppressAutoHyphens w:val="0"/>
              <w:spacing w:before="0" w:after="0" w:line="240" w:lineRule="auto"/>
              <w:jc w:val="center"/>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 xml:space="preserve">168F I 265M </w:t>
            </w:r>
            <w:r w:rsidR="00EC6CA8">
              <w:rPr>
                <w:rFonts w:ascii="Calibri" w:eastAsia="Times New Roman" w:hAnsi="Calibri" w:cs="Calibri"/>
                <w:color w:val="auto"/>
                <w:sz w:val="18"/>
                <w:szCs w:val="18"/>
                <w:lang w:eastAsia="en-AU"/>
              </w:rPr>
              <w:t xml:space="preserve"> (</w:t>
            </w:r>
            <w:r w:rsidR="00AB4A3C" w:rsidRPr="00AB4A3C">
              <w:rPr>
                <w:rFonts w:ascii="Calibri" w:eastAsia="Times New Roman" w:hAnsi="Calibri" w:cs="Calibri"/>
                <w:color w:val="auto"/>
                <w:sz w:val="18"/>
                <w:szCs w:val="18"/>
                <w:lang w:eastAsia="en-AU"/>
              </w:rPr>
              <w:t>130F|280M</w:t>
            </w:r>
            <w:r w:rsidR="00EC6CA8">
              <w:rPr>
                <w:rFonts w:ascii="Calibri" w:eastAsia="Times New Roman" w:hAnsi="Calibri" w:cs="Calibri"/>
                <w:color w:val="auto"/>
                <w:sz w:val="18"/>
                <w:szCs w:val="18"/>
                <w:lang w:eastAsia="en-AU"/>
              </w:rPr>
              <w:t>)</w:t>
            </w:r>
          </w:p>
        </w:tc>
        <w:tc>
          <w:tcPr>
            <w:tcW w:w="960" w:type="dxa"/>
            <w:tcBorders>
              <w:top w:val="nil"/>
              <w:left w:val="nil"/>
              <w:bottom w:val="nil"/>
              <w:right w:val="nil"/>
            </w:tcBorders>
            <w:shd w:val="clear" w:color="000000" w:fill="BDD6EE"/>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N/A</w:t>
            </w:r>
          </w:p>
        </w:tc>
        <w:tc>
          <w:tcPr>
            <w:tcW w:w="4280" w:type="dxa"/>
            <w:tcBorders>
              <w:top w:val="nil"/>
              <w:left w:val="nil"/>
              <w:bottom w:val="nil"/>
              <w:right w:val="nil"/>
            </w:tcBorders>
            <w:shd w:val="clear" w:color="000000" w:fill="BDD6EE"/>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Australia Awards; Police and other law and justice sector initiatives</w:t>
            </w:r>
          </w:p>
        </w:tc>
      </w:tr>
    </w:tbl>
    <w:p w:rsidR="0021226D" w:rsidRDefault="0021226D" w:rsidP="008F53E9">
      <w:pPr>
        <w:pStyle w:val="ListBullet"/>
        <w:tabs>
          <w:tab w:val="clear" w:pos="284"/>
        </w:tabs>
        <w:spacing w:after="0" w:line="240" w:lineRule="auto"/>
      </w:pPr>
    </w:p>
    <w:p w:rsidR="0021226D" w:rsidRDefault="0021226D" w:rsidP="008F53E9">
      <w:pPr>
        <w:pStyle w:val="ListBullet"/>
        <w:tabs>
          <w:tab w:val="clear" w:pos="284"/>
        </w:tabs>
        <w:spacing w:after="0" w:line="240" w:lineRule="auto"/>
      </w:pPr>
    </w:p>
    <w:tbl>
      <w:tblPr>
        <w:tblW w:w="14400" w:type="dxa"/>
        <w:tblLook w:val="04A0" w:firstRow="1" w:lastRow="0" w:firstColumn="1" w:lastColumn="0" w:noHBand="0" w:noVBand="1"/>
      </w:tblPr>
      <w:tblGrid>
        <w:gridCol w:w="5320"/>
        <w:gridCol w:w="960"/>
        <w:gridCol w:w="960"/>
        <w:gridCol w:w="960"/>
        <w:gridCol w:w="960"/>
        <w:gridCol w:w="960"/>
        <w:gridCol w:w="4280"/>
      </w:tblGrid>
      <w:tr w:rsidR="00AB4A3C" w:rsidRPr="00AB4A3C" w:rsidTr="00AB4A3C">
        <w:trPr>
          <w:trHeight w:val="300"/>
        </w:trPr>
        <w:tc>
          <w:tcPr>
            <w:tcW w:w="5320" w:type="dxa"/>
            <w:tcBorders>
              <w:top w:val="single" w:sz="8" w:space="0" w:color="auto"/>
              <w:left w:val="nil"/>
              <w:bottom w:val="nil"/>
              <w:right w:val="nil"/>
            </w:tcBorders>
            <w:shd w:val="clear" w:color="000000" w:fill="FFFFFF"/>
            <w:vAlign w:val="center"/>
            <w:hideMark/>
          </w:tcPr>
          <w:p w:rsidR="006B2F59" w:rsidRDefault="006B2F59" w:rsidP="008F53E9">
            <w:pPr>
              <w:suppressAutoHyphens w:val="0"/>
              <w:spacing w:before="0" w:after="0" w:line="240" w:lineRule="auto"/>
              <w:rPr>
                <w:rFonts w:ascii="Calibri" w:eastAsia="Times New Roman" w:hAnsi="Calibri" w:cs="Calibri"/>
                <w:b/>
                <w:bCs/>
                <w:color w:val="auto"/>
                <w:sz w:val="18"/>
                <w:szCs w:val="18"/>
                <w:lang w:eastAsia="en-AU"/>
              </w:rPr>
            </w:pPr>
          </w:p>
          <w:p w:rsidR="006B2F59" w:rsidRDefault="006B2F59" w:rsidP="008F53E9">
            <w:pPr>
              <w:suppressAutoHyphens w:val="0"/>
              <w:spacing w:before="0" w:after="0" w:line="240" w:lineRule="auto"/>
              <w:rPr>
                <w:rFonts w:ascii="Calibri" w:eastAsia="Times New Roman" w:hAnsi="Calibri" w:cs="Calibri"/>
                <w:b/>
                <w:bCs/>
                <w:color w:val="auto"/>
                <w:sz w:val="18"/>
                <w:szCs w:val="18"/>
                <w:lang w:eastAsia="en-AU"/>
              </w:rPr>
            </w:pPr>
          </w:p>
          <w:p w:rsidR="006B2F59" w:rsidRDefault="006B2F59" w:rsidP="008F53E9">
            <w:pPr>
              <w:suppressAutoHyphens w:val="0"/>
              <w:spacing w:before="0" w:after="0" w:line="240" w:lineRule="auto"/>
              <w:rPr>
                <w:rFonts w:ascii="Calibri" w:eastAsia="Times New Roman" w:hAnsi="Calibri" w:cs="Calibri"/>
                <w:b/>
                <w:bCs/>
                <w:color w:val="auto"/>
                <w:sz w:val="18"/>
                <w:szCs w:val="18"/>
                <w:lang w:eastAsia="en-AU"/>
              </w:rPr>
            </w:pPr>
          </w:p>
          <w:p w:rsidR="006B2F59" w:rsidRDefault="006B2F59" w:rsidP="008F53E9">
            <w:pPr>
              <w:suppressAutoHyphens w:val="0"/>
              <w:spacing w:before="0" w:after="0" w:line="240" w:lineRule="auto"/>
              <w:rPr>
                <w:rFonts w:ascii="Calibri" w:eastAsia="Times New Roman" w:hAnsi="Calibri" w:cs="Calibri"/>
                <w:b/>
                <w:bCs/>
                <w:color w:val="auto"/>
                <w:sz w:val="18"/>
                <w:szCs w:val="18"/>
                <w:lang w:eastAsia="en-AU"/>
              </w:rPr>
            </w:pPr>
          </w:p>
          <w:p w:rsidR="006B2F59" w:rsidRDefault="006B2F59" w:rsidP="008F53E9">
            <w:pPr>
              <w:suppressAutoHyphens w:val="0"/>
              <w:spacing w:before="0" w:after="0" w:line="240" w:lineRule="auto"/>
              <w:rPr>
                <w:rFonts w:ascii="Calibri" w:eastAsia="Times New Roman" w:hAnsi="Calibri" w:cs="Calibri"/>
                <w:b/>
                <w:bCs/>
                <w:color w:val="auto"/>
                <w:sz w:val="18"/>
                <w:szCs w:val="18"/>
                <w:lang w:eastAsia="en-AU"/>
              </w:rPr>
            </w:pPr>
          </w:p>
          <w:p w:rsidR="00AB4A3C" w:rsidRPr="00AB4A3C" w:rsidRDefault="00AB4A3C" w:rsidP="008F53E9">
            <w:pPr>
              <w:suppressAutoHyphens w:val="0"/>
              <w:spacing w:before="0" w:after="0" w:line="240" w:lineRule="auto"/>
              <w:rPr>
                <w:rFonts w:ascii="Calibri" w:eastAsia="Times New Roman" w:hAnsi="Calibri" w:cs="Calibri"/>
                <w:b/>
                <w:bCs/>
                <w:color w:val="auto"/>
                <w:sz w:val="18"/>
                <w:szCs w:val="18"/>
                <w:lang w:val="en-AU" w:eastAsia="en-AU"/>
              </w:rPr>
            </w:pPr>
            <w:r w:rsidRPr="00AB4A3C">
              <w:rPr>
                <w:rFonts w:ascii="Calibri" w:eastAsia="Times New Roman" w:hAnsi="Calibri" w:cs="Calibri"/>
                <w:b/>
                <w:bCs/>
                <w:color w:val="auto"/>
                <w:sz w:val="18"/>
                <w:szCs w:val="18"/>
                <w:lang w:eastAsia="en-AU"/>
              </w:rPr>
              <w:t>Strategic Development Objective 4</w:t>
            </w:r>
          </w:p>
        </w:tc>
        <w:tc>
          <w:tcPr>
            <w:tcW w:w="9080" w:type="dxa"/>
            <w:gridSpan w:val="6"/>
            <w:vMerge w:val="restart"/>
            <w:tcBorders>
              <w:top w:val="single" w:sz="8" w:space="0" w:color="auto"/>
              <w:left w:val="nil"/>
              <w:bottom w:val="nil"/>
              <w:right w:val="nil"/>
            </w:tcBorders>
            <w:shd w:val="clear" w:color="000000" w:fill="FFFFFF"/>
            <w:vAlign w:val="center"/>
            <w:hideMark/>
          </w:tcPr>
          <w:p w:rsidR="006B2F59" w:rsidRDefault="006B2F59" w:rsidP="008F53E9">
            <w:pPr>
              <w:suppressAutoHyphens w:val="0"/>
              <w:spacing w:before="0" w:after="0" w:line="240" w:lineRule="auto"/>
              <w:rPr>
                <w:rFonts w:ascii="Calibri" w:eastAsia="Times New Roman" w:hAnsi="Calibri" w:cs="Calibri"/>
                <w:b/>
                <w:bCs/>
                <w:color w:val="auto"/>
                <w:sz w:val="18"/>
                <w:szCs w:val="18"/>
                <w:lang w:eastAsia="en-AU"/>
              </w:rPr>
            </w:pPr>
          </w:p>
          <w:p w:rsidR="006B2F59" w:rsidRDefault="006B2F59" w:rsidP="008F53E9">
            <w:pPr>
              <w:suppressAutoHyphens w:val="0"/>
              <w:spacing w:before="0" w:after="0" w:line="240" w:lineRule="auto"/>
              <w:rPr>
                <w:rFonts w:ascii="Calibri" w:eastAsia="Times New Roman" w:hAnsi="Calibri" w:cs="Calibri"/>
                <w:b/>
                <w:bCs/>
                <w:color w:val="auto"/>
                <w:sz w:val="18"/>
                <w:szCs w:val="18"/>
                <w:lang w:eastAsia="en-AU"/>
              </w:rPr>
            </w:pPr>
          </w:p>
          <w:p w:rsidR="006B2F59" w:rsidRDefault="006B2F59" w:rsidP="008F53E9">
            <w:pPr>
              <w:suppressAutoHyphens w:val="0"/>
              <w:spacing w:before="0" w:after="0" w:line="240" w:lineRule="auto"/>
              <w:rPr>
                <w:rFonts w:ascii="Calibri" w:eastAsia="Times New Roman" w:hAnsi="Calibri" w:cs="Calibri"/>
                <w:b/>
                <w:bCs/>
                <w:color w:val="auto"/>
                <w:sz w:val="18"/>
                <w:szCs w:val="18"/>
                <w:lang w:eastAsia="en-AU"/>
              </w:rPr>
            </w:pPr>
          </w:p>
          <w:p w:rsidR="006B2F59" w:rsidRDefault="006B2F59" w:rsidP="008F53E9">
            <w:pPr>
              <w:suppressAutoHyphens w:val="0"/>
              <w:spacing w:before="0" w:after="0" w:line="240" w:lineRule="auto"/>
              <w:rPr>
                <w:rFonts w:ascii="Calibri" w:eastAsia="Times New Roman" w:hAnsi="Calibri" w:cs="Calibri"/>
                <w:b/>
                <w:bCs/>
                <w:color w:val="auto"/>
                <w:sz w:val="18"/>
                <w:szCs w:val="18"/>
                <w:lang w:eastAsia="en-AU"/>
              </w:rPr>
            </w:pPr>
          </w:p>
          <w:p w:rsidR="006B2F59" w:rsidRDefault="006B2F59" w:rsidP="008F53E9">
            <w:pPr>
              <w:suppressAutoHyphens w:val="0"/>
              <w:spacing w:before="0" w:after="0" w:line="240" w:lineRule="auto"/>
              <w:rPr>
                <w:rFonts w:ascii="Calibri" w:eastAsia="Times New Roman" w:hAnsi="Calibri" w:cs="Calibri"/>
                <w:b/>
                <w:bCs/>
                <w:color w:val="auto"/>
                <w:sz w:val="18"/>
                <w:szCs w:val="18"/>
                <w:lang w:eastAsia="en-AU"/>
              </w:rPr>
            </w:pPr>
          </w:p>
          <w:p w:rsidR="00AB4A3C" w:rsidRPr="00AB4A3C" w:rsidRDefault="00AB4A3C" w:rsidP="008F53E9">
            <w:pPr>
              <w:suppressAutoHyphens w:val="0"/>
              <w:spacing w:before="0" w:after="0" w:line="240" w:lineRule="auto"/>
              <w:rPr>
                <w:rFonts w:ascii="Calibri" w:eastAsia="Times New Roman" w:hAnsi="Calibri" w:cs="Calibri"/>
                <w:b/>
                <w:bCs/>
                <w:color w:val="auto"/>
                <w:sz w:val="18"/>
                <w:szCs w:val="18"/>
                <w:lang w:val="en-AU" w:eastAsia="en-AU"/>
              </w:rPr>
            </w:pPr>
            <w:r w:rsidRPr="00AB4A3C">
              <w:rPr>
                <w:rFonts w:ascii="Calibri" w:eastAsia="Times New Roman" w:hAnsi="Calibri" w:cs="Calibri"/>
                <w:b/>
                <w:bCs/>
                <w:color w:val="auto"/>
                <w:sz w:val="18"/>
                <w:szCs w:val="18"/>
                <w:lang w:eastAsia="en-AU"/>
              </w:rPr>
              <w:t>Supporting cyclone recovery and reconstruction [5% Bilateral ODA in 2018-19]</w:t>
            </w:r>
          </w:p>
        </w:tc>
      </w:tr>
      <w:tr w:rsidR="00AB4A3C" w:rsidRPr="00AB4A3C" w:rsidTr="00AB4A3C">
        <w:trPr>
          <w:trHeight w:val="300"/>
        </w:trPr>
        <w:tc>
          <w:tcPr>
            <w:tcW w:w="5320" w:type="dxa"/>
            <w:tcBorders>
              <w:top w:val="nil"/>
              <w:left w:val="nil"/>
              <w:bottom w:val="nil"/>
              <w:right w:val="nil"/>
            </w:tcBorders>
            <w:shd w:val="clear" w:color="000000" w:fill="FFFFFF"/>
            <w:vAlign w:val="center"/>
            <w:hideMark/>
          </w:tcPr>
          <w:p w:rsidR="00AB4A3C" w:rsidRPr="00AB4A3C" w:rsidRDefault="00AB4A3C" w:rsidP="008F53E9">
            <w:pPr>
              <w:suppressAutoHyphens w:val="0"/>
              <w:spacing w:before="0" w:after="0" w:line="240" w:lineRule="auto"/>
              <w:rPr>
                <w:rFonts w:ascii="Calibri" w:eastAsia="Times New Roman" w:hAnsi="Calibri" w:cs="Calibri"/>
                <w:b/>
                <w:bCs/>
                <w:color w:val="auto"/>
                <w:sz w:val="18"/>
                <w:szCs w:val="18"/>
                <w:lang w:val="en-AU" w:eastAsia="en-AU"/>
              </w:rPr>
            </w:pPr>
            <w:r w:rsidRPr="00AB4A3C">
              <w:rPr>
                <w:rFonts w:ascii="Calibri" w:eastAsia="Times New Roman" w:hAnsi="Calibri" w:cs="Calibri"/>
                <w:b/>
                <w:bCs/>
                <w:color w:val="auto"/>
                <w:sz w:val="18"/>
                <w:szCs w:val="18"/>
                <w:lang w:val="en-AU" w:eastAsia="en-AU"/>
              </w:rPr>
              <w:lastRenderedPageBreak/>
              <w:t> </w:t>
            </w:r>
          </w:p>
        </w:tc>
        <w:tc>
          <w:tcPr>
            <w:tcW w:w="9080" w:type="dxa"/>
            <w:gridSpan w:val="6"/>
            <w:vMerge/>
            <w:tcBorders>
              <w:top w:val="nil"/>
              <w:left w:val="nil"/>
              <w:bottom w:val="nil"/>
              <w:right w:val="nil"/>
            </w:tcBorders>
            <w:vAlign w:val="center"/>
            <w:hideMark/>
          </w:tcPr>
          <w:p w:rsidR="00AB4A3C" w:rsidRPr="00AB4A3C" w:rsidRDefault="00AB4A3C" w:rsidP="008F53E9">
            <w:pPr>
              <w:suppressAutoHyphens w:val="0"/>
              <w:spacing w:before="0" w:after="0" w:line="240" w:lineRule="auto"/>
              <w:rPr>
                <w:rFonts w:ascii="Calibri" w:eastAsia="Times New Roman" w:hAnsi="Calibri" w:cs="Calibri"/>
                <w:b/>
                <w:bCs/>
                <w:color w:val="auto"/>
                <w:sz w:val="18"/>
                <w:szCs w:val="18"/>
                <w:lang w:val="en-AU" w:eastAsia="en-AU"/>
              </w:rPr>
            </w:pPr>
          </w:p>
        </w:tc>
      </w:tr>
      <w:tr w:rsidR="00AB4A3C" w:rsidRPr="00AB4A3C" w:rsidTr="00AB4A3C">
        <w:trPr>
          <w:trHeight w:val="300"/>
        </w:trPr>
        <w:tc>
          <w:tcPr>
            <w:tcW w:w="5320" w:type="dxa"/>
            <w:vMerge w:val="restart"/>
            <w:tcBorders>
              <w:top w:val="nil"/>
              <w:left w:val="nil"/>
              <w:bottom w:val="nil"/>
              <w:right w:val="nil"/>
            </w:tcBorders>
            <w:shd w:val="clear" w:color="auto" w:fill="auto"/>
            <w:vAlign w:val="center"/>
            <w:hideMark/>
          </w:tcPr>
          <w:p w:rsidR="00AB4A3C" w:rsidRPr="00AB4A3C" w:rsidRDefault="00AB4A3C" w:rsidP="008F53E9">
            <w:pPr>
              <w:suppressAutoHyphens w:val="0"/>
              <w:spacing w:before="0" w:after="0" w:line="240" w:lineRule="auto"/>
              <w:rPr>
                <w:rFonts w:ascii="Calibri" w:eastAsia="Times New Roman" w:hAnsi="Calibri" w:cs="Calibri"/>
                <w:b/>
                <w:bCs/>
                <w:color w:val="auto"/>
                <w:sz w:val="18"/>
                <w:szCs w:val="18"/>
                <w:lang w:val="en-AU" w:eastAsia="en-AU"/>
              </w:rPr>
            </w:pPr>
            <w:r w:rsidRPr="00AB4A3C">
              <w:rPr>
                <w:rFonts w:ascii="Calibri" w:eastAsia="Times New Roman" w:hAnsi="Calibri" w:cs="Calibri"/>
                <w:b/>
                <w:bCs/>
                <w:color w:val="auto"/>
                <w:sz w:val="18"/>
                <w:szCs w:val="18"/>
                <w:lang w:eastAsia="en-AU"/>
              </w:rPr>
              <w:t>Indicators</w:t>
            </w:r>
          </w:p>
        </w:tc>
        <w:tc>
          <w:tcPr>
            <w:tcW w:w="960" w:type="dxa"/>
            <w:tcBorders>
              <w:top w:val="nil"/>
              <w:left w:val="nil"/>
              <w:bottom w:val="nil"/>
              <w:right w:val="nil"/>
            </w:tcBorders>
            <w:shd w:val="clear" w:color="auto" w:fill="auto"/>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AB4A3C">
              <w:rPr>
                <w:rFonts w:ascii="Calibri" w:eastAsia="Times New Roman" w:hAnsi="Calibri" w:cs="Calibri"/>
                <w:b/>
                <w:bCs/>
                <w:color w:val="auto"/>
                <w:sz w:val="18"/>
                <w:szCs w:val="18"/>
                <w:lang w:eastAsia="en-AU"/>
              </w:rPr>
              <w:t>2015–16</w:t>
            </w:r>
          </w:p>
        </w:tc>
        <w:tc>
          <w:tcPr>
            <w:tcW w:w="960" w:type="dxa"/>
            <w:tcBorders>
              <w:top w:val="nil"/>
              <w:left w:val="nil"/>
              <w:bottom w:val="nil"/>
              <w:right w:val="nil"/>
            </w:tcBorders>
            <w:shd w:val="clear" w:color="auto" w:fill="auto"/>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AB4A3C">
              <w:rPr>
                <w:rFonts w:ascii="Calibri" w:eastAsia="Times New Roman" w:hAnsi="Calibri" w:cs="Calibri"/>
                <w:b/>
                <w:bCs/>
                <w:color w:val="auto"/>
                <w:sz w:val="18"/>
                <w:szCs w:val="18"/>
                <w:lang w:eastAsia="en-AU"/>
              </w:rPr>
              <w:t>2016–17</w:t>
            </w:r>
          </w:p>
        </w:tc>
        <w:tc>
          <w:tcPr>
            <w:tcW w:w="960" w:type="dxa"/>
            <w:tcBorders>
              <w:top w:val="nil"/>
              <w:left w:val="nil"/>
              <w:bottom w:val="nil"/>
              <w:right w:val="nil"/>
            </w:tcBorders>
            <w:shd w:val="clear" w:color="auto" w:fill="auto"/>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AB4A3C">
              <w:rPr>
                <w:rFonts w:ascii="Calibri" w:eastAsia="Times New Roman" w:hAnsi="Calibri" w:cs="Calibri"/>
                <w:b/>
                <w:bCs/>
                <w:color w:val="auto"/>
                <w:sz w:val="18"/>
                <w:szCs w:val="18"/>
                <w:lang w:eastAsia="en-AU"/>
              </w:rPr>
              <w:t>2017–18</w:t>
            </w:r>
          </w:p>
        </w:tc>
        <w:tc>
          <w:tcPr>
            <w:tcW w:w="960" w:type="dxa"/>
            <w:tcBorders>
              <w:top w:val="nil"/>
              <w:left w:val="nil"/>
              <w:bottom w:val="nil"/>
              <w:right w:val="nil"/>
            </w:tcBorders>
            <w:shd w:val="clear" w:color="auto" w:fill="auto"/>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AB4A3C">
              <w:rPr>
                <w:rFonts w:ascii="Calibri" w:eastAsia="Times New Roman" w:hAnsi="Calibri" w:cs="Calibri"/>
                <w:b/>
                <w:bCs/>
                <w:color w:val="auto"/>
                <w:sz w:val="18"/>
                <w:szCs w:val="18"/>
                <w:lang w:eastAsia="en-AU"/>
              </w:rPr>
              <w:t>2018-19</w:t>
            </w:r>
          </w:p>
        </w:tc>
        <w:tc>
          <w:tcPr>
            <w:tcW w:w="960" w:type="dxa"/>
            <w:tcBorders>
              <w:top w:val="nil"/>
              <w:left w:val="nil"/>
              <w:bottom w:val="nil"/>
              <w:right w:val="nil"/>
            </w:tcBorders>
            <w:shd w:val="clear" w:color="auto" w:fill="auto"/>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AB4A3C">
              <w:rPr>
                <w:rFonts w:ascii="Calibri" w:eastAsia="Times New Roman" w:hAnsi="Calibri" w:cs="Calibri"/>
                <w:b/>
                <w:bCs/>
                <w:color w:val="auto"/>
                <w:sz w:val="18"/>
                <w:szCs w:val="18"/>
                <w:lang w:val="en-AU" w:eastAsia="en-AU"/>
              </w:rPr>
              <w:t>2019-20</w:t>
            </w:r>
          </w:p>
        </w:tc>
        <w:tc>
          <w:tcPr>
            <w:tcW w:w="4280" w:type="dxa"/>
            <w:vMerge w:val="restart"/>
            <w:tcBorders>
              <w:top w:val="nil"/>
              <w:left w:val="nil"/>
              <w:bottom w:val="nil"/>
              <w:right w:val="nil"/>
            </w:tcBorders>
            <w:shd w:val="clear" w:color="auto" w:fill="auto"/>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AB4A3C">
              <w:rPr>
                <w:rFonts w:ascii="Calibri" w:eastAsia="Times New Roman" w:hAnsi="Calibri" w:cs="Calibri"/>
                <w:b/>
                <w:bCs/>
                <w:color w:val="auto"/>
                <w:sz w:val="18"/>
                <w:szCs w:val="18"/>
                <w:lang w:eastAsia="en-AU"/>
              </w:rPr>
              <w:t>Data sources</w:t>
            </w:r>
          </w:p>
        </w:tc>
      </w:tr>
      <w:tr w:rsidR="00AB4A3C" w:rsidRPr="00AB4A3C" w:rsidTr="00AB4A3C">
        <w:trPr>
          <w:trHeight w:val="300"/>
        </w:trPr>
        <w:tc>
          <w:tcPr>
            <w:tcW w:w="5320" w:type="dxa"/>
            <w:vMerge/>
            <w:tcBorders>
              <w:top w:val="nil"/>
              <w:left w:val="nil"/>
              <w:bottom w:val="nil"/>
              <w:right w:val="nil"/>
            </w:tcBorders>
            <w:vAlign w:val="center"/>
            <w:hideMark/>
          </w:tcPr>
          <w:p w:rsidR="00AB4A3C" w:rsidRPr="00AB4A3C" w:rsidRDefault="00AB4A3C" w:rsidP="008F53E9">
            <w:pPr>
              <w:suppressAutoHyphens w:val="0"/>
              <w:spacing w:before="0" w:after="0" w:line="240" w:lineRule="auto"/>
              <w:rPr>
                <w:rFonts w:ascii="Calibri" w:eastAsia="Times New Roman" w:hAnsi="Calibri" w:cs="Calibri"/>
                <w:b/>
                <w:bCs/>
                <w:color w:val="auto"/>
                <w:sz w:val="18"/>
                <w:szCs w:val="18"/>
                <w:lang w:val="en-AU" w:eastAsia="en-AU"/>
              </w:rPr>
            </w:pPr>
          </w:p>
        </w:tc>
        <w:tc>
          <w:tcPr>
            <w:tcW w:w="960" w:type="dxa"/>
            <w:tcBorders>
              <w:top w:val="nil"/>
              <w:left w:val="nil"/>
              <w:bottom w:val="nil"/>
              <w:right w:val="nil"/>
            </w:tcBorders>
            <w:shd w:val="clear" w:color="auto" w:fill="auto"/>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AB4A3C">
              <w:rPr>
                <w:rFonts w:ascii="Calibri" w:eastAsia="Times New Roman" w:hAnsi="Calibri" w:cs="Calibri"/>
                <w:b/>
                <w:bCs/>
                <w:color w:val="auto"/>
                <w:sz w:val="18"/>
                <w:szCs w:val="18"/>
                <w:lang w:eastAsia="en-AU"/>
              </w:rPr>
              <w:t>Baseline</w:t>
            </w:r>
          </w:p>
        </w:tc>
        <w:tc>
          <w:tcPr>
            <w:tcW w:w="960" w:type="dxa"/>
            <w:tcBorders>
              <w:top w:val="nil"/>
              <w:left w:val="nil"/>
              <w:bottom w:val="nil"/>
              <w:right w:val="nil"/>
            </w:tcBorders>
            <w:shd w:val="clear" w:color="auto" w:fill="auto"/>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AB4A3C">
              <w:rPr>
                <w:rFonts w:ascii="Calibri" w:eastAsia="Times New Roman" w:hAnsi="Calibri" w:cs="Calibri"/>
                <w:b/>
                <w:bCs/>
                <w:color w:val="auto"/>
                <w:sz w:val="18"/>
                <w:szCs w:val="18"/>
                <w:lang w:eastAsia="en-AU"/>
              </w:rPr>
              <w:t>Result</w:t>
            </w:r>
          </w:p>
        </w:tc>
        <w:tc>
          <w:tcPr>
            <w:tcW w:w="960" w:type="dxa"/>
            <w:tcBorders>
              <w:top w:val="nil"/>
              <w:left w:val="nil"/>
              <w:bottom w:val="nil"/>
              <w:right w:val="nil"/>
            </w:tcBorders>
            <w:shd w:val="clear" w:color="auto" w:fill="auto"/>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AB4A3C">
              <w:rPr>
                <w:rFonts w:ascii="Calibri" w:eastAsia="Times New Roman" w:hAnsi="Calibri" w:cs="Calibri"/>
                <w:b/>
                <w:bCs/>
                <w:color w:val="auto"/>
                <w:sz w:val="18"/>
                <w:szCs w:val="18"/>
                <w:lang w:eastAsia="en-AU"/>
              </w:rPr>
              <w:t>Result</w:t>
            </w:r>
          </w:p>
        </w:tc>
        <w:tc>
          <w:tcPr>
            <w:tcW w:w="960" w:type="dxa"/>
            <w:tcBorders>
              <w:top w:val="nil"/>
              <w:left w:val="nil"/>
              <w:bottom w:val="nil"/>
              <w:right w:val="nil"/>
            </w:tcBorders>
            <w:shd w:val="clear" w:color="auto" w:fill="auto"/>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AB4A3C">
              <w:rPr>
                <w:rFonts w:ascii="Calibri" w:eastAsia="Times New Roman" w:hAnsi="Calibri" w:cs="Calibri"/>
                <w:b/>
                <w:bCs/>
                <w:color w:val="auto"/>
                <w:sz w:val="18"/>
                <w:szCs w:val="18"/>
                <w:lang w:eastAsia="en-AU"/>
              </w:rPr>
              <w:t>Result</w:t>
            </w:r>
            <w:r w:rsidR="00EC6CA8">
              <w:rPr>
                <w:rFonts w:ascii="Calibri" w:eastAsia="Times New Roman" w:hAnsi="Calibri" w:cs="Calibri"/>
                <w:b/>
                <w:bCs/>
                <w:color w:val="auto"/>
                <w:sz w:val="18"/>
                <w:szCs w:val="18"/>
                <w:lang w:eastAsia="en-AU"/>
              </w:rPr>
              <w:t xml:space="preserve"> (Target)</w:t>
            </w:r>
          </w:p>
        </w:tc>
        <w:tc>
          <w:tcPr>
            <w:tcW w:w="960" w:type="dxa"/>
            <w:tcBorders>
              <w:top w:val="nil"/>
              <w:left w:val="nil"/>
              <w:bottom w:val="nil"/>
              <w:right w:val="nil"/>
            </w:tcBorders>
            <w:shd w:val="clear" w:color="auto" w:fill="auto"/>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b/>
                <w:bCs/>
                <w:color w:val="auto"/>
                <w:sz w:val="18"/>
                <w:szCs w:val="18"/>
                <w:lang w:val="en-AU" w:eastAsia="en-AU"/>
              </w:rPr>
            </w:pPr>
            <w:r w:rsidRPr="00AB4A3C">
              <w:rPr>
                <w:rFonts w:ascii="Calibri" w:eastAsia="Times New Roman" w:hAnsi="Calibri" w:cs="Calibri"/>
                <w:b/>
                <w:bCs/>
                <w:color w:val="auto"/>
                <w:sz w:val="18"/>
                <w:szCs w:val="18"/>
                <w:lang w:val="en-AU" w:eastAsia="en-AU"/>
              </w:rPr>
              <w:t>Target</w:t>
            </w:r>
          </w:p>
        </w:tc>
        <w:tc>
          <w:tcPr>
            <w:tcW w:w="4280" w:type="dxa"/>
            <w:vMerge/>
            <w:tcBorders>
              <w:top w:val="nil"/>
              <w:left w:val="nil"/>
              <w:bottom w:val="nil"/>
              <w:right w:val="nil"/>
            </w:tcBorders>
            <w:vAlign w:val="center"/>
            <w:hideMark/>
          </w:tcPr>
          <w:p w:rsidR="00AB4A3C" w:rsidRPr="00AB4A3C" w:rsidRDefault="00AB4A3C" w:rsidP="008F53E9">
            <w:pPr>
              <w:suppressAutoHyphens w:val="0"/>
              <w:spacing w:before="0" w:after="0" w:line="240" w:lineRule="auto"/>
              <w:rPr>
                <w:rFonts w:ascii="Calibri" w:eastAsia="Times New Roman" w:hAnsi="Calibri" w:cs="Calibri"/>
                <w:b/>
                <w:bCs/>
                <w:color w:val="auto"/>
                <w:sz w:val="18"/>
                <w:szCs w:val="18"/>
                <w:lang w:val="en-AU" w:eastAsia="en-AU"/>
              </w:rPr>
            </w:pPr>
          </w:p>
        </w:tc>
      </w:tr>
      <w:tr w:rsidR="00AB4A3C" w:rsidRPr="00AB4A3C" w:rsidTr="00AB4A3C">
        <w:trPr>
          <w:trHeight w:val="480"/>
        </w:trPr>
        <w:tc>
          <w:tcPr>
            <w:tcW w:w="5320" w:type="dxa"/>
            <w:tcBorders>
              <w:top w:val="nil"/>
              <w:left w:val="nil"/>
              <w:bottom w:val="nil"/>
              <w:right w:val="nil"/>
            </w:tcBorders>
            <w:shd w:val="clear" w:color="000000" w:fill="DBDBDB"/>
            <w:vAlign w:val="center"/>
            <w:hideMark/>
          </w:tcPr>
          <w:p w:rsidR="00AB4A3C" w:rsidRPr="00AB4A3C" w:rsidRDefault="007259D3" w:rsidP="008F53E9">
            <w:pPr>
              <w:suppressAutoHyphens w:val="0"/>
              <w:spacing w:before="0" w:after="0" w:line="240" w:lineRule="auto"/>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 xml:space="preserve">4.1: </w:t>
            </w:r>
            <w:r w:rsidR="00AB4A3C" w:rsidRPr="00AB4A3C">
              <w:rPr>
                <w:rFonts w:ascii="Calibri" w:eastAsia="Times New Roman" w:hAnsi="Calibri" w:cs="Calibri"/>
                <w:color w:val="auto"/>
                <w:sz w:val="18"/>
                <w:szCs w:val="18"/>
                <w:lang w:eastAsia="en-AU"/>
              </w:rPr>
              <w:t>Number of public service delivery facilities reconstructed or repaired</w:t>
            </w:r>
          </w:p>
        </w:tc>
        <w:tc>
          <w:tcPr>
            <w:tcW w:w="96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143</w:t>
            </w:r>
          </w:p>
        </w:tc>
        <w:tc>
          <w:tcPr>
            <w:tcW w:w="96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100</w:t>
            </w:r>
          </w:p>
        </w:tc>
        <w:tc>
          <w:tcPr>
            <w:tcW w:w="96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jc w:val="right"/>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213</w:t>
            </w:r>
          </w:p>
        </w:tc>
        <w:tc>
          <w:tcPr>
            <w:tcW w:w="960" w:type="dxa"/>
            <w:tcBorders>
              <w:top w:val="nil"/>
              <w:left w:val="nil"/>
              <w:bottom w:val="nil"/>
              <w:right w:val="nil"/>
            </w:tcBorders>
            <w:shd w:val="clear" w:color="000000" w:fill="DBDBDB"/>
            <w:vAlign w:val="center"/>
            <w:hideMark/>
          </w:tcPr>
          <w:p w:rsidR="00AB4A3C" w:rsidRPr="00AB4A3C" w:rsidRDefault="00AB4A3C" w:rsidP="00681718">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287</w:t>
            </w:r>
            <w:r w:rsidR="00EC6CA8">
              <w:rPr>
                <w:rFonts w:ascii="Calibri" w:eastAsia="Times New Roman" w:hAnsi="Calibri" w:cs="Calibri"/>
                <w:color w:val="auto"/>
                <w:sz w:val="18"/>
                <w:szCs w:val="18"/>
                <w:lang w:eastAsia="en-AU"/>
              </w:rPr>
              <w:t xml:space="preserve"> (220)</w:t>
            </w:r>
          </w:p>
        </w:tc>
        <w:tc>
          <w:tcPr>
            <w:tcW w:w="960" w:type="dxa"/>
            <w:tcBorders>
              <w:top w:val="nil"/>
              <w:left w:val="nil"/>
              <w:bottom w:val="nil"/>
              <w:right w:val="nil"/>
            </w:tcBorders>
            <w:shd w:val="clear" w:color="000000" w:fill="DBDBDB"/>
            <w:vAlign w:val="center"/>
            <w:hideMark/>
          </w:tcPr>
          <w:p w:rsidR="00AB4A3C" w:rsidRPr="00AB4A3C" w:rsidRDefault="00AB4A3C" w:rsidP="00681718">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330</w:t>
            </w:r>
          </w:p>
        </w:tc>
        <w:tc>
          <w:tcPr>
            <w:tcW w:w="428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TC Pam and Ambae programs monitoring data</w:t>
            </w:r>
          </w:p>
        </w:tc>
      </w:tr>
      <w:tr w:rsidR="00AB4A3C" w:rsidRPr="00AB4A3C" w:rsidTr="00AB4A3C">
        <w:trPr>
          <w:trHeight w:val="480"/>
        </w:trPr>
        <w:tc>
          <w:tcPr>
            <w:tcW w:w="532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val="en-AU" w:eastAsia="en-AU"/>
              </w:rPr>
              <w:t> </w:t>
            </w:r>
          </w:p>
        </w:tc>
        <w:tc>
          <w:tcPr>
            <w:tcW w:w="96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[2016 APPR]</w:t>
            </w:r>
          </w:p>
        </w:tc>
        <w:tc>
          <w:tcPr>
            <w:tcW w:w="96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[2017 APPR]</w:t>
            </w:r>
          </w:p>
        </w:tc>
        <w:tc>
          <w:tcPr>
            <w:tcW w:w="96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val="en-AU" w:eastAsia="en-AU"/>
              </w:rPr>
              <w:t> </w:t>
            </w:r>
          </w:p>
        </w:tc>
        <w:tc>
          <w:tcPr>
            <w:tcW w:w="960" w:type="dxa"/>
            <w:tcBorders>
              <w:top w:val="nil"/>
              <w:left w:val="nil"/>
              <w:bottom w:val="nil"/>
              <w:right w:val="nil"/>
            </w:tcBorders>
            <w:shd w:val="clear" w:color="000000" w:fill="DBDBDB"/>
            <w:vAlign w:val="center"/>
            <w:hideMark/>
          </w:tcPr>
          <w:p w:rsidR="00AB4A3C" w:rsidRPr="00AB4A3C" w:rsidRDefault="00AB4A3C" w:rsidP="00681718">
            <w:pPr>
              <w:suppressAutoHyphens w:val="0"/>
              <w:spacing w:before="0" w:after="0" w:line="240" w:lineRule="auto"/>
              <w:jc w:val="center"/>
              <w:rPr>
                <w:rFonts w:ascii="Calibri" w:eastAsia="Times New Roman" w:hAnsi="Calibri" w:cs="Calibri"/>
                <w:color w:val="auto"/>
                <w:sz w:val="18"/>
                <w:szCs w:val="18"/>
                <w:lang w:val="en-AU" w:eastAsia="en-AU"/>
              </w:rPr>
            </w:pPr>
          </w:p>
        </w:tc>
        <w:tc>
          <w:tcPr>
            <w:tcW w:w="960" w:type="dxa"/>
            <w:tcBorders>
              <w:top w:val="nil"/>
              <w:left w:val="nil"/>
              <w:bottom w:val="nil"/>
              <w:right w:val="nil"/>
            </w:tcBorders>
            <w:shd w:val="clear" w:color="000000" w:fill="DBDBDB"/>
            <w:vAlign w:val="center"/>
            <w:hideMark/>
          </w:tcPr>
          <w:p w:rsidR="00AB4A3C" w:rsidRPr="00AB4A3C" w:rsidRDefault="00AB4A3C" w:rsidP="00681718">
            <w:pPr>
              <w:suppressAutoHyphens w:val="0"/>
              <w:spacing w:before="0" w:after="0" w:line="240" w:lineRule="auto"/>
              <w:jc w:val="center"/>
              <w:rPr>
                <w:rFonts w:ascii="Calibri" w:eastAsia="Times New Roman" w:hAnsi="Calibri" w:cs="Calibri"/>
                <w:color w:val="auto"/>
                <w:sz w:val="18"/>
                <w:szCs w:val="18"/>
                <w:lang w:val="en-AU" w:eastAsia="en-AU"/>
              </w:rPr>
            </w:pPr>
          </w:p>
        </w:tc>
        <w:tc>
          <w:tcPr>
            <w:tcW w:w="4280" w:type="dxa"/>
            <w:tcBorders>
              <w:top w:val="nil"/>
              <w:left w:val="nil"/>
              <w:bottom w:val="nil"/>
              <w:right w:val="nil"/>
            </w:tcBorders>
            <w:shd w:val="clear" w:color="000000" w:fill="DBDBDB"/>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val="en-AU" w:eastAsia="en-AU"/>
              </w:rPr>
              <w:t> </w:t>
            </w:r>
          </w:p>
        </w:tc>
      </w:tr>
      <w:tr w:rsidR="00AB4A3C" w:rsidRPr="00AB4A3C" w:rsidTr="00AB4A3C">
        <w:trPr>
          <w:trHeight w:val="585"/>
        </w:trPr>
        <w:tc>
          <w:tcPr>
            <w:tcW w:w="5320" w:type="dxa"/>
            <w:vMerge w:val="restart"/>
            <w:tcBorders>
              <w:top w:val="nil"/>
              <w:left w:val="nil"/>
              <w:bottom w:val="single" w:sz="8" w:space="0" w:color="000000"/>
              <w:right w:val="nil"/>
            </w:tcBorders>
            <w:shd w:val="clear" w:color="000000" w:fill="BDD6EE"/>
            <w:vAlign w:val="center"/>
            <w:hideMark/>
          </w:tcPr>
          <w:p w:rsidR="00AB4A3C" w:rsidRPr="00816F98" w:rsidRDefault="007259D3" w:rsidP="008F53E9">
            <w:pPr>
              <w:suppressAutoHyphens w:val="0"/>
              <w:spacing w:before="0" w:after="0" w:line="240" w:lineRule="auto"/>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 xml:space="preserve">4.2: </w:t>
            </w:r>
            <w:r w:rsidR="00AB4A3C" w:rsidRPr="00816F98">
              <w:rPr>
                <w:rFonts w:ascii="Calibri" w:eastAsia="Times New Roman" w:hAnsi="Calibri" w:cs="Calibri"/>
                <w:color w:val="auto"/>
                <w:sz w:val="18"/>
                <w:szCs w:val="18"/>
                <w:lang w:eastAsia="en-AU"/>
              </w:rPr>
              <w:footnoteReference w:customMarkFollows="1" w:id="44"/>
              <w:t>Proportion of communities with current support plans for coordination, planning, prepar</w:t>
            </w:r>
            <w:r w:rsidR="003416EA">
              <w:rPr>
                <w:rFonts w:ascii="Calibri" w:eastAsia="Times New Roman" w:hAnsi="Calibri" w:cs="Calibri"/>
                <w:color w:val="auto"/>
                <w:sz w:val="18"/>
                <w:szCs w:val="18"/>
                <w:lang w:eastAsia="en-AU"/>
              </w:rPr>
              <w:t>edness, response and recovery</w:t>
            </w:r>
            <w:r w:rsidR="003416EA">
              <w:rPr>
                <w:rStyle w:val="FootnoteReference"/>
                <w:rFonts w:ascii="Calibri" w:eastAsia="Times New Roman" w:hAnsi="Calibri" w:cs="Calibri"/>
                <w:color w:val="auto"/>
                <w:sz w:val="18"/>
                <w:szCs w:val="18"/>
                <w:lang w:eastAsia="en-AU"/>
              </w:rPr>
              <w:footnoteReference w:id="45"/>
            </w:r>
          </w:p>
        </w:tc>
        <w:tc>
          <w:tcPr>
            <w:tcW w:w="960" w:type="dxa"/>
            <w:vMerge w:val="restart"/>
            <w:tcBorders>
              <w:top w:val="nil"/>
              <w:left w:val="nil"/>
              <w:bottom w:val="single" w:sz="8" w:space="0" w:color="000000"/>
              <w:right w:val="nil"/>
            </w:tcBorders>
            <w:shd w:val="clear" w:color="000000" w:fill="BDD6EE"/>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N/A</w:t>
            </w:r>
          </w:p>
        </w:tc>
        <w:tc>
          <w:tcPr>
            <w:tcW w:w="960" w:type="dxa"/>
            <w:vMerge w:val="restart"/>
            <w:tcBorders>
              <w:top w:val="nil"/>
              <w:left w:val="nil"/>
              <w:bottom w:val="single" w:sz="8" w:space="0" w:color="000000"/>
              <w:right w:val="nil"/>
            </w:tcBorders>
            <w:shd w:val="clear" w:color="000000" w:fill="BDD6EE"/>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N/A</w:t>
            </w:r>
          </w:p>
        </w:tc>
        <w:tc>
          <w:tcPr>
            <w:tcW w:w="960" w:type="dxa"/>
            <w:vMerge w:val="restart"/>
            <w:tcBorders>
              <w:top w:val="nil"/>
              <w:left w:val="nil"/>
              <w:bottom w:val="single" w:sz="8" w:space="0" w:color="000000"/>
              <w:right w:val="nil"/>
            </w:tcBorders>
            <w:shd w:val="clear" w:color="000000" w:fill="BDD6EE"/>
            <w:vAlign w:val="center"/>
            <w:hideMark/>
          </w:tcPr>
          <w:p w:rsidR="00AB4A3C" w:rsidRPr="00AB4A3C" w:rsidRDefault="00AB4A3C" w:rsidP="008F53E9">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10%</w:t>
            </w:r>
          </w:p>
        </w:tc>
        <w:tc>
          <w:tcPr>
            <w:tcW w:w="960" w:type="dxa"/>
            <w:vMerge w:val="restart"/>
            <w:tcBorders>
              <w:top w:val="nil"/>
              <w:left w:val="nil"/>
              <w:bottom w:val="single" w:sz="8" w:space="0" w:color="000000"/>
              <w:right w:val="nil"/>
            </w:tcBorders>
            <w:shd w:val="clear" w:color="000000" w:fill="BDD6EE"/>
            <w:vAlign w:val="center"/>
            <w:hideMark/>
          </w:tcPr>
          <w:p w:rsidR="00AB4A3C" w:rsidRPr="00AB4A3C" w:rsidRDefault="00EC6CA8" w:rsidP="00681718">
            <w:pPr>
              <w:suppressAutoHyphens w:val="0"/>
              <w:spacing w:before="0" w:after="0" w:line="240" w:lineRule="auto"/>
              <w:jc w:val="center"/>
              <w:rPr>
                <w:rFonts w:ascii="Calibri" w:eastAsia="Times New Roman" w:hAnsi="Calibri" w:cs="Calibri"/>
                <w:color w:val="auto"/>
                <w:sz w:val="18"/>
                <w:szCs w:val="18"/>
                <w:lang w:val="en-AU" w:eastAsia="en-AU"/>
              </w:rPr>
            </w:pPr>
            <w:r>
              <w:rPr>
                <w:rFonts w:ascii="Calibri" w:eastAsia="Times New Roman" w:hAnsi="Calibri" w:cs="Calibri"/>
                <w:color w:val="auto"/>
                <w:sz w:val="18"/>
                <w:szCs w:val="18"/>
                <w:lang w:eastAsia="en-AU"/>
              </w:rPr>
              <w:t>15%</w:t>
            </w:r>
            <w:r w:rsidR="004175EE">
              <w:rPr>
                <w:rFonts w:ascii="Calibri" w:eastAsia="Times New Roman" w:hAnsi="Calibri" w:cs="Calibri"/>
                <w:color w:val="auto"/>
                <w:sz w:val="18"/>
                <w:szCs w:val="18"/>
                <w:lang w:eastAsia="en-AU"/>
              </w:rPr>
              <w:t xml:space="preserve"> </w:t>
            </w:r>
            <w:r>
              <w:rPr>
                <w:rFonts w:ascii="Calibri" w:eastAsia="Times New Roman" w:hAnsi="Calibri" w:cs="Calibri"/>
                <w:color w:val="auto"/>
                <w:sz w:val="18"/>
                <w:szCs w:val="18"/>
                <w:lang w:eastAsia="en-AU"/>
              </w:rPr>
              <w:t>(</w:t>
            </w:r>
            <w:r w:rsidR="00AB4A3C" w:rsidRPr="00AB4A3C">
              <w:rPr>
                <w:rFonts w:ascii="Calibri" w:eastAsia="Times New Roman" w:hAnsi="Calibri" w:cs="Calibri"/>
                <w:color w:val="auto"/>
                <w:sz w:val="18"/>
                <w:szCs w:val="18"/>
                <w:lang w:eastAsia="en-AU"/>
              </w:rPr>
              <w:t>15%</w:t>
            </w:r>
            <w:r>
              <w:rPr>
                <w:rFonts w:ascii="Calibri" w:eastAsia="Times New Roman" w:hAnsi="Calibri" w:cs="Calibri"/>
                <w:color w:val="auto"/>
                <w:sz w:val="18"/>
                <w:szCs w:val="18"/>
                <w:lang w:eastAsia="en-AU"/>
              </w:rPr>
              <w:t>)</w:t>
            </w:r>
          </w:p>
        </w:tc>
        <w:tc>
          <w:tcPr>
            <w:tcW w:w="960" w:type="dxa"/>
            <w:vMerge w:val="restart"/>
            <w:tcBorders>
              <w:top w:val="nil"/>
              <w:left w:val="nil"/>
              <w:bottom w:val="single" w:sz="8" w:space="0" w:color="000000"/>
              <w:right w:val="nil"/>
            </w:tcBorders>
            <w:shd w:val="clear" w:color="000000" w:fill="BDD6EE"/>
            <w:vAlign w:val="center"/>
            <w:hideMark/>
          </w:tcPr>
          <w:p w:rsidR="00AB4A3C" w:rsidRPr="00AB4A3C" w:rsidRDefault="00AB4A3C" w:rsidP="00681718">
            <w:pPr>
              <w:suppressAutoHyphens w:val="0"/>
              <w:spacing w:before="0" w:after="0" w:line="240" w:lineRule="auto"/>
              <w:jc w:val="center"/>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15%</w:t>
            </w:r>
          </w:p>
        </w:tc>
        <w:tc>
          <w:tcPr>
            <w:tcW w:w="4280" w:type="dxa"/>
            <w:tcBorders>
              <w:top w:val="nil"/>
              <w:left w:val="nil"/>
              <w:bottom w:val="nil"/>
              <w:right w:val="nil"/>
            </w:tcBorders>
            <w:shd w:val="clear" w:color="000000" w:fill="BDD6EE"/>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NDMO monitoring data</w:t>
            </w:r>
          </w:p>
        </w:tc>
      </w:tr>
      <w:tr w:rsidR="00AB4A3C" w:rsidRPr="00AB4A3C" w:rsidTr="00AB4A3C">
        <w:trPr>
          <w:trHeight w:val="315"/>
        </w:trPr>
        <w:tc>
          <w:tcPr>
            <w:tcW w:w="5320" w:type="dxa"/>
            <w:vMerge/>
            <w:tcBorders>
              <w:top w:val="nil"/>
              <w:left w:val="nil"/>
              <w:bottom w:val="single" w:sz="8" w:space="0" w:color="000000"/>
              <w:right w:val="nil"/>
            </w:tcBorders>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u w:val="single"/>
                <w:lang w:val="en-AU" w:eastAsia="en-AU"/>
              </w:rPr>
            </w:pPr>
          </w:p>
        </w:tc>
        <w:tc>
          <w:tcPr>
            <w:tcW w:w="960" w:type="dxa"/>
            <w:vMerge/>
            <w:tcBorders>
              <w:top w:val="nil"/>
              <w:left w:val="nil"/>
              <w:bottom w:val="single" w:sz="8" w:space="0" w:color="000000"/>
              <w:right w:val="nil"/>
            </w:tcBorders>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p>
        </w:tc>
        <w:tc>
          <w:tcPr>
            <w:tcW w:w="960" w:type="dxa"/>
            <w:vMerge/>
            <w:tcBorders>
              <w:top w:val="nil"/>
              <w:left w:val="nil"/>
              <w:bottom w:val="single" w:sz="8" w:space="0" w:color="000000"/>
              <w:right w:val="nil"/>
            </w:tcBorders>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p>
        </w:tc>
        <w:tc>
          <w:tcPr>
            <w:tcW w:w="960" w:type="dxa"/>
            <w:vMerge/>
            <w:tcBorders>
              <w:top w:val="nil"/>
              <w:left w:val="nil"/>
              <w:bottom w:val="single" w:sz="8" w:space="0" w:color="000000"/>
              <w:right w:val="nil"/>
            </w:tcBorders>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p>
        </w:tc>
        <w:tc>
          <w:tcPr>
            <w:tcW w:w="960" w:type="dxa"/>
            <w:vMerge/>
            <w:tcBorders>
              <w:top w:val="nil"/>
              <w:left w:val="nil"/>
              <w:bottom w:val="single" w:sz="8" w:space="0" w:color="000000"/>
              <w:right w:val="nil"/>
            </w:tcBorders>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p>
        </w:tc>
        <w:tc>
          <w:tcPr>
            <w:tcW w:w="960" w:type="dxa"/>
            <w:vMerge/>
            <w:tcBorders>
              <w:top w:val="nil"/>
              <w:left w:val="nil"/>
              <w:bottom w:val="single" w:sz="8" w:space="0" w:color="000000"/>
              <w:right w:val="nil"/>
            </w:tcBorders>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p>
        </w:tc>
        <w:tc>
          <w:tcPr>
            <w:tcW w:w="4280" w:type="dxa"/>
            <w:tcBorders>
              <w:top w:val="nil"/>
              <w:left w:val="nil"/>
              <w:bottom w:val="single" w:sz="8" w:space="0" w:color="auto"/>
              <w:right w:val="nil"/>
            </w:tcBorders>
            <w:shd w:val="clear" w:color="000000" w:fill="BDD6EE"/>
            <w:vAlign w:val="center"/>
            <w:hideMark/>
          </w:tcPr>
          <w:p w:rsidR="00AB4A3C" w:rsidRPr="00AB4A3C" w:rsidRDefault="00AB4A3C" w:rsidP="008F53E9">
            <w:pPr>
              <w:suppressAutoHyphens w:val="0"/>
              <w:spacing w:before="0" w:after="0" w:line="240" w:lineRule="auto"/>
              <w:rPr>
                <w:rFonts w:ascii="Calibri" w:eastAsia="Times New Roman" w:hAnsi="Calibri" w:cs="Calibri"/>
                <w:color w:val="auto"/>
                <w:sz w:val="18"/>
                <w:szCs w:val="18"/>
                <w:lang w:val="en-AU" w:eastAsia="en-AU"/>
              </w:rPr>
            </w:pPr>
            <w:r w:rsidRPr="00AB4A3C">
              <w:rPr>
                <w:rFonts w:ascii="Calibri" w:eastAsia="Times New Roman" w:hAnsi="Calibri" w:cs="Calibri"/>
                <w:color w:val="auto"/>
                <w:sz w:val="18"/>
                <w:szCs w:val="18"/>
                <w:lang w:eastAsia="en-AU"/>
              </w:rPr>
              <w:t>[NSDP Target is 80% by 2030]</w:t>
            </w:r>
          </w:p>
        </w:tc>
      </w:tr>
    </w:tbl>
    <w:p w:rsidR="00A92CF2" w:rsidRDefault="00A92CF2" w:rsidP="008F53E9">
      <w:pPr>
        <w:pStyle w:val="ListBullet"/>
        <w:tabs>
          <w:tab w:val="clear" w:pos="284"/>
        </w:tabs>
        <w:spacing w:after="0" w:line="240" w:lineRule="auto"/>
      </w:pPr>
    </w:p>
    <w:sectPr w:rsidR="00A92CF2" w:rsidSect="008F53E9">
      <w:type w:val="continuous"/>
      <w:pgSz w:w="16838" w:h="11906" w:orient="landscape" w:code="9"/>
      <w:pgMar w:top="1134" w:right="1527" w:bottom="1134" w:left="851" w:header="1418" w:footer="192" w:gutter="0"/>
      <w:cols w:space="397"/>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94D06E" w16cid:durableId="20E926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CEB" w:rsidRDefault="007C1CEB" w:rsidP="00EF4574">
      <w:pPr>
        <w:spacing w:before="0" w:after="0" w:line="240" w:lineRule="auto"/>
      </w:pPr>
      <w:r>
        <w:separator/>
      </w:r>
    </w:p>
  </w:endnote>
  <w:endnote w:type="continuationSeparator" w:id="0">
    <w:p w:rsidR="007C1CEB" w:rsidRDefault="007C1CEB" w:rsidP="00EF4574">
      <w:pPr>
        <w:spacing w:before="0" w:after="0" w:line="240" w:lineRule="auto"/>
      </w:pPr>
      <w:r>
        <w:continuationSeparator/>
      </w:r>
    </w:p>
  </w:endnote>
  <w:endnote w:type="continuationNotice" w:id="1">
    <w:p w:rsidR="007C1CEB" w:rsidRDefault="007C1C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4E7" w:rsidRDefault="00ED4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24" w:rsidRDefault="002C2F24" w:rsidP="004839E3">
    <w:pPr>
      <w:pStyle w:val="Footer"/>
      <w:rPr>
        <w:lang w:val="en-AU"/>
      </w:rPr>
    </w:pPr>
  </w:p>
  <w:p w:rsidR="002C2F24" w:rsidRPr="00CD0E4B" w:rsidRDefault="002C2F24" w:rsidP="004839E3">
    <w:pPr>
      <w:pStyle w:val="Footer"/>
    </w:pPr>
    <w:r w:rsidRPr="00CD0E4B">
      <w:rPr>
        <w:noProof/>
        <w:lang w:val="en-AU" w:eastAsia="en-AU"/>
      </w:rPr>
      <w:drawing>
        <wp:inline distT="0" distB="0" distL="0" distR="0" wp14:anchorId="16CE16C9" wp14:editId="7B4CCA93">
          <wp:extent cx="90000" cy="74520"/>
          <wp:effectExtent l="0" t="0" r="5715"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2C2F24" w:rsidRPr="00CD0E4B" w:rsidRDefault="002C2F24" w:rsidP="004839E3">
    <w:pPr>
      <w:pStyle w:val="Footer"/>
      <w:rPr>
        <w:color w:val="ACD08C" w:themeColor="accent3"/>
      </w:rPr>
    </w:pPr>
    <w:r w:rsidRPr="00CD0E4B">
      <w:rPr>
        <w:color w:val="ACD08C" w:themeColor="accent3"/>
      </w:rPr>
      <w:t>DFAT.GOV.AU</w:t>
    </w:r>
  </w:p>
  <w:p w:rsidR="002C2F24" w:rsidRPr="004839E3" w:rsidRDefault="002C2F24" w:rsidP="004839E3">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380823"/>
      <w:docPartObj>
        <w:docPartGallery w:val="Page Numbers (Bottom of Page)"/>
        <w:docPartUnique/>
      </w:docPartObj>
    </w:sdtPr>
    <w:sdtEndPr>
      <w:rPr>
        <w:noProof/>
      </w:rPr>
    </w:sdtEndPr>
    <w:sdtContent>
      <w:p w:rsidR="002C2F24" w:rsidRDefault="002C2F24">
        <w:pPr>
          <w:pStyle w:val="Footer"/>
        </w:pPr>
        <w:r>
          <w:fldChar w:fldCharType="begin"/>
        </w:r>
        <w:r>
          <w:instrText xml:space="preserve"> PAGE   \* MERGEFORMAT </w:instrText>
        </w:r>
        <w:r>
          <w:fldChar w:fldCharType="separate"/>
        </w:r>
        <w:r w:rsidR="00ED44E7">
          <w:rPr>
            <w:noProof/>
          </w:rPr>
          <w:t>1</w:t>
        </w:r>
        <w:r>
          <w:rPr>
            <w:noProof/>
          </w:rPr>
          <w:fldChar w:fldCharType="end"/>
        </w:r>
      </w:p>
    </w:sdtContent>
  </w:sdt>
  <w:p w:rsidR="002C2F24" w:rsidRDefault="002C2F24" w:rsidP="004839E3">
    <w:pPr>
      <w:spacing w:before="0" w:after="0" w:line="240" w:lineRule="exact"/>
      <w:ind w:right="28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CEB" w:rsidRPr="008C5A0E" w:rsidRDefault="007C1CEB" w:rsidP="00892C04">
      <w:pPr>
        <w:spacing w:before="0" w:after="0" w:line="240" w:lineRule="auto"/>
      </w:pPr>
      <w:r>
        <w:separator/>
      </w:r>
    </w:p>
  </w:footnote>
  <w:footnote w:type="continuationSeparator" w:id="0">
    <w:p w:rsidR="007C1CEB" w:rsidRDefault="007C1CEB" w:rsidP="00EF4574">
      <w:pPr>
        <w:spacing w:before="0" w:after="0" w:line="240" w:lineRule="auto"/>
      </w:pPr>
      <w:r>
        <w:continuationSeparator/>
      </w:r>
    </w:p>
  </w:footnote>
  <w:footnote w:type="continuationNotice" w:id="1">
    <w:p w:rsidR="007C1CEB" w:rsidRDefault="007C1CEB">
      <w:pPr>
        <w:spacing w:before="0" w:after="0" w:line="240" w:lineRule="auto"/>
      </w:pPr>
    </w:p>
  </w:footnote>
  <w:footnote w:id="2">
    <w:p w:rsidR="002C2F24" w:rsidRPr="00B83D47" w:rsidRDefault="002C2F24" w:rsidP="00D164F0">
      <w:pPr>
        <w:pStyle w:val="FootnoteText"/>
        <w:spacing w:line="40" w:lineRule="atLeast"/>
        <w:ind w:left="0" w:firstLine="0"/>
        <w:rPr>
          <w:szCs w:val="12"/>
          <w:lang w:val="en-AU"/>
        </w:rPr>
      </w:pPr>
      <w:r w:rsidRPr="00B83D47">
        <w:rPr>
          <w:rStyle w:val="FootnoteReference"/>
          <w:szCs w:val="12"/>
        </w:rPr>
        <w:footnoteRef/>
      </w:r>
      <w:r w:rsidRPr="00B83D47">
        <w:rPr>
          <w:szCs w:val="12"/>
        </w:rPr>
        <w:t xml:space="preserve"> </w:t>
      </w:r>
      <w:r w:rsidRPr="00B83D47">
        <w:rPr>
          <w:rFonts w:cstheme="minorHAnsi"/>
          <w:color w:val="auto"/>
          <w:szCs w:val="12"/>
        </w:rPr>
        <w:t xml:space="preserve">LDCs are low-income countries confronting severe structural impediments to sustainable development. LDCs have exclusive access to certain </w:t>
      </w:r>
      <w:hyperlink r:id="rId1" w:tgtFrame="_blank" w:history="1">
        <w:r w:rsidRPr="00B83D47">
          <w:rPr>
            <w:rStyle w:val="Hyperlink"/>
            <w:rFonts w:cstheme="minorHAnsi"/>
            <w:szCs w:val="12"/>
            <w:bdr w:val="none" w:sz="0" w:space="0" w:color="auto" w:frame="1"/>
          </w:rPr>
          <w:t>international support measures</w:t>
        </w:r>
      </w:hyperlink>
      <w:r w:rsidRPr="00B83D47">
        <w:rPr>
          <w:rFonts w:cstheme="minorHAnsi"/>
          <w:color w:val="auto"/>
          <w:szCs w:val="12"/>
        </w:rPr>
        <w:t>, in the areas of development assistance and trade. Vanuatu will graduate from LDC status in December 2020.</w:t>
      </w:r>
    </w:p>
  </w:footnote>
  <w:footnote w:id="3">
    <w:p w:rsidR="002C2F24" w:rsidRPr="00B83D47" w:rsidRDefault="002C2F24" w:rsidP="001607CB">
      <w:pPr>
        <w:pStyle w:val="FootnoteText"/>
        <w:rPr>
          <w:rFonts w:cstheme="minorHAnsi"/>
          <w:color w:val="auto"/>
          <w:szCs w:val="12"/>
          <w:lang w:val="en-AU"/>
        </w:rPr>
      </w:pPr>
      <w:r w:rsidRPr="00B83D47">
        <w:rPr>
          <w:rStyle w:val="FootnoteReference"/>
          <w:rFonts w:cstheme="minorHAnsi"/>
          <w:color w:val="auto"/>
          <w:szCs w:val="12"/>
        </w:rPr>
        <w:footnoteRef/>
      </w:r>
      <w:r w:rsidRPr="00B83D47">
        <w:rPr>
          <w:rFonts w:cstheme="minorHAnsi"/>
          <w:color w:val="auto"/>
          <w:szCs w:val="12"/>
        </w:rPr>
        <w:t xml:space="preserve"> https://iris.wpro.who.int/bitstream/handle/10665.1/14065/WPR-2018-DHS-026-vut-eng.pdf</w:t>
      </w:r>
    </w:p>
  </w:footnote>
  <w:footnote w:id="4">
    <w:p w:rsidR="002C2F24" w:rsidRPr="00581C58" w:rsidRDefault="002C2F24" w:rsidP="00581C58">
      <w:pPr>
        <w:pStyle w:val="FootnoteText"/>
        <w:rPr>
          <w:lang w:val="en-AU"/>
        </w:rPr>
      </w:pPr>
      <w:r>
        <w:rPr>
          <w:rStyle w:val="FootnoteReference"/>
        </w:rPr>
        <w:footnoteRef/>
      </w:r>
      <w:r>
        <w:t xml:space="preserve"> </w:t>
      </w:r>
      <w:r>
        <w:rPr>
          <w:color w:val="000000" w:themeColor="text1"/>
        </w:rPr>
        <w:t xml:space="preserve">One investment (Port Vila Urban Development Project) under Objective 1 was rated as below adequate in the Final Aid Quality Check, representing </w:t>
      </w:r>
      <w:r w:rsidRPr="00F73A03">
        <w:rPr>
          <w:color w:val="000000" w:themeColor="text1"/>
        </w:rPr>
        <w:t>9</w:t>
      </w:r>
      <w:r>
        <w:rPr>
          <w:color w:val="000000" w:themeColor="text1"/>
        </w:rPr>
        <w:t xml:space="preserve"> per cent of funds and therefore a minor component for Objective 1.</w:t>
      </w:r>
    </w:p>
  </w:footnote>
  <w:footnote w:id="5">
    <w:p w:rsidR="002C2F24" w:rsidRPr="007C284E" w:rsidRDefault="002C2F24">
      <w:pPr>
        <w:pStyle w:val="FootnoteText"/>
        <w:rPr>
          <w:lang w:val="en-AU"/>
        </w:rPr>
      </w:pPr>
      <w:r>
        <w:rPr>
          <w:rStyle w:val="FootnoteReference"/>
        </w:rPr>
        <w:footnoteRef/>
      </w:r>
      <w:r>
        <w:t xml:space="preserve"> </w:t>
      </w:r>
      <w:r>
        <w:rPr>
          <w:lang w:val="en-AU"/>
        </w:rPr>
        <w:t>The FATF is an international body mandated to combat money laundering and terrorism financing.</w:t>
      </w:r>
    </w:p>
  </w:footnote>
  <w:footnote w:id="6">
    <w:p w:rsidR="002C2F24" w:rsidRPr="00B83D47" w:rsidRDefault="002C2F24">
      <w:pPr>
        <w:pStyle w:val="FootnoteText"/>
        <w:rPr>
          <w:szCs w:val="12"/>
          <w:lang w:val="en-AU"/>
        </w:rPr>
      </w:pPr>
      <w:r>
        <w:rPr>
          <w:rStyle w:val="FootnoteReference"/>
        </w:rPr>
        <w:footnoteRef/>
      </w:r>
      <w:r>
        <w:t xml:space="preserve"> </w:t>
      </w:r>
      <w:r w:rsidRPr="00B83D47">
        <w:rPr>
          <w:rFonts w:cs="Helvetica Neue LT Std"/>
          <w:color w:val="000000"/>
          <w:szCs w:val="12"/>
        </w:rPr>
        <w:t>PWD is transitioning from being a public agency delivering road maintenance and construction projects using its own directly employed labour and equipment to a more performance-focused organisation which outsources much of its works through an increasingly capable private sector.</w:t>
      </w:r>
    </w:p>
  </w:footnote>
  <w:footnote w:id="7">
    <w:p w:rsidR="002C2F24" w:rsidRPr="00B83D47" w:rsidRDefault="002C2F24">
      <w:pPr>
        <w:pStyle w:val="FootnoteText"/>
        <w:rPr>
          <w:szCs w:val="12"/>
          <w:lang w:val="en-AU"/>
        </w:rPr>
      </w:pPr>
      <w:r w:rsidRPr="007C7629">
        <w:rPr>
          <w:rStyle w:val="FootnoteReference"/>
          <w:szCs w:val="12"/>
        </w:rPr>
        <w:footnoteRef/>
      </w:r>
      <w:r w:rsidRPr="007C7629">
        <w:rPr>
          <w:szCs w:val="12"/>
        </w:rPr>
        <w:t xml:space="preserve"> Quoted by </w:t>
      </w:r>
      <w:r w:rsidRPr="00734CD4">
        <w:rPr>
          <w:rFonts w:eastAsia="Times New Roman" w:cstheme="minorHAnsi"/>
          <w:color w:val="444950"/>
          <w:szCs w:val="12"/>
          <w:lang w:val="en" w:eastAsia="en-AU"/>
        </w:rPr>
        <w:t>Julien Barbara and Chris Roche from La Trobe University at the RDI conference as the convener before VSP presented ‘best practice TWP program’.</w:t>
      </w:r>
    </w:p>
  </w:footnote>
  <w:footnote w:id="8">
    <w:p w:rsidR="002C2F24" w:rsidRPr="00CB27A1" w:rsidRDefault="002C2F24">
      <w:pPr>
        <w:pStyle w:val="FootnoteText"/>
        <w:rPr>
          <w:lang w:val="en-AU"/>
        </w:rPr>
      </w:pPr>
      <w:r>
        <w:rPr>
          <w:rStyle w:val="FootnoteReference"/>
        </w:rPr>
        <w:footnoteRef/>
      </w:r>
      <w:r>
        <w:t xml:space="preserve"> </w:t>
      </w:r>
      <w:r>
        <w:rPr>
          <w:rFonts w:ascii="Calibri Light" w:eastAsia="Times New Roman" w:hAnsi="Calibri Light" w:cs="Calibri Light"/>
          <w:color w:val="000000"/>
          <w:lang w:val="en-AU"/>
        </w:rPr>
        <w:t>The average number of days for completion of a criminal matter through the State Prosecutions Department and the Magistrates Court was reduced significantly from 726 in 2017 to 408 [</w:t>
      </w:r>
      <w:r w:rsidRPr="006F41EF">
        <w:rPr>
          <w:rFonts w:ascii="Calibri Light" w:eastAsia="Times New Roman" w:hAnsi="Calibri Light" w:cs="Calibri Light"/>
          <w:color w:val="000000"/>
          <w:lang w:val="en-AU"/>
        </w:rPr>
        <w:t>exceeded PAF target 3.1</w:t>
      </w:r>
      <w:r w:rsidRPr="008F2430">
        <w:rPr>
          <w:rFonts w:ascii="Calibri Light" w:eastAsia="Times New Roman" w:hAnsi="Calibri Light" w:cs="Calibri Light"/>
          <w:color w:val="000000"/>
          <w:lang w:val="en-AU"/>
        </w:rPr>
        <w:t xml:space="preserve">]. The average days </w:t>
      </w:r>
      <w:r>
        <w:rPr>
          <w:rFonts w:ascii="Calibri Light" w:eastAsia="Times New Roman" w:hAnsi="Calibri Light" w:cs="Calibri Light"/>
          <w:color w:val="000000"/>
          <w:lang w:val="en-AU"/>
        </w:rPr>
        <w:t xml:space="preserve">(690) </w:t>
      </w:r>
      <w:r w:rsidRPr="008F2430">
        <w:rPr>
          <w:rFonts w:ascii="Calibri Light" w:eastAsia="Times New Roman" w:hAnsi="Calibri Light" w:cs="Calibri Light"/>
          <w:color w:val="000000"/>
          <w:lang w:val="en-AU"/>
        </w:rPr>
        <w:t xml:space="preserve">through the Office of the Public Prosecutor and Supreme Court increased </w:t>
      </w:r>
      <w:r>
        <w:rPr>
          <w:rFonts w:ascii="Calibri Light" w:eastAsia="Times New Roman" w:hAnsi="Calibri Light" w:cs="Calibri Light"/>
          <w:color w:val="000000"/>
          <w:lang w:val="en-AU"/>
        </w:rPr>
        <w:t xml:space="preserve">from the previous year (366) due to the completion of a large number of long pending cases, however, this still exceeded the target of 850 </w:t>
      </w:r>
      <w:r w:rsidRPr="008F2430">
        <w:rPr>
          <w:rFonts w:ascii="Calibri Light" w:eastAsia="Times New Roman" w:hAnsi="Calibri Light" w:cs="Calibri Light"/>
          <w:color w:val="000000"/>
          <w:lang w:val="en-AU"/>
        </w:rPr>
        <w:t>[</w:t>
      </w:r>
      <w:r w:rsidRPr="006F41EF">
        <w:rPr>
          <w:rFonts w:ascii="Calibri Light" w:eastAsia="Times New Roman" w:hAnsi="Calibri Light" w:cs="Calibri Light"/>
          <w:color w:val="000000"/>
          <w:lang w:val="en-AU"/>
        </w:rPr>
        <w:t>PAF indicator 3.2</w:t>
      </w:r>
      <w:r w:rsidRPr="008F2430">
        <w:rPr>
          <w:rFonts w:ascii="Calibri Light" w:eastAsia="Times New Roman" w:hAnsi="Calibri Light" w:cs="Calibri Light"/>
          <w:color w:val="000000"/>
          <w:lang w:val="en-AU"/>
        </w:rPr>
        <w:t>]</w:t>
      </w:r>
      <w:r>
        <w:rPr>
          <w:rFonts w:ascii="Calibri Light" w:eastAsia="Times New Roman" w:hAnsi="Calibri Light" w:cs="Calibri Light"/>
          <w:color w:val="000000"/>
          <w:lang w:val="en-AU"/>
        </w:rPr>
        <w:t>.</w:t>
      </w:r>
    </w:p>
  </w:footnote>
  <w:footnote w:id="9">
    <w:p w:rsidR="002C2F24" w:rsidRPr="00B83D47" w:rsidRDefault="002C2F24" w:rsidP="00C03D8F">
      <w:pPr>
        <w:pStyle w:val="FootnoteText"/>
        <w:spacing w:line="240" w:lineRule="auto"/>
        <w:rPr>
          <w:rFonts w:ascii="Calibri Light" w:hAnsi="Calibri Light"/>
          <w:color w:val="000000"/>
          <w:szCs w:val="12"/>
        </w:rPr>
      </w:pPr>
      <w:r w:rsidRPr="00D164F0">
        <w:rPr>
          <w:rStyle w:val="FootnoteReference"/>
          <w:sz w:val="16"/>
          <w:szCs w:val="16"/>
        </w:rPr>
        <w:footnoteRef/>
      </w:r>
      <w:r w:rsidRPr="00D164F0">
        <w:rPr>
          <w:sz w:val="16"/>
          <w:szCs w:val="16"/>
        </w:rPr>
        <w:t xml:space="preserve"> </w:t>
      </w:r>
      <w:r w:rsidRPr="00B83D47">
        <w:rPr>
          <w:rFonts w:ascii="Calibri Light" w:hAnsi="Calibri Light"/>
          <w:color w:val="000000"/>
          <w:szCs w:val="12"/>
        </w:rPr>
        <w:t>Evaluative studies undertaken in 2018-19 included: organisational sustainability in rural roads maintenance; impacts (inc. unintended) on the Tanna local economy of TC Pam Recovery program, effectiveness of using project management units within GoV and VSP client tracer studies.</w:t>
      </w:r>
    </w:p>
  </w:footnote>
  <w:footnote w:id="10">
    <w:p w:rsidR="002C2F24" w:rsidRPr="00B83D47" w:rsidRDefault="002C2F24" w:rsidP="00854CA0">
      <w:pPr>
        <w:pStyle w:val="FootnoteText"/>
        <w:spacing w:line="240" w:lineRule="auto"/>
        <w:rPr>
          <w:szCs w:val="12"/>
          <w:lang w:val="en-AU"/>
        </w:rPr>
      </w:pPr>
      <w:r w:rsidRPr="00B83D47">
        <w:rPr>
          <w:rFonts w:ascii="Calibri Light" w:hAnsi="Calibri Light"/>
          <w:color w:val="000000"/>
          <w:szCs w:val="12"/>
        </w:rPr>
        <w:footnoteRef/>
      </w:r>
      <w:r w:rsidRPr="00B83D47">
        <w:rPr>
          <w:rFonts w:ascii="Calibri Light" w:hAnsi="Calibri Light"/>
          <w:color w:val="000000"/>
          <w:szCs w:val="12"/>
        </w:rPr>
        <w:t xml:space="preserve"> Including: Ministr</w:t>
      </w:r>
      <w:r>
        <w:rPr>
          <w:rFonts w:ascii="Calibri Light" w:hAnsi="Calibri Light"/>
          <w:color w:val="000000"/>
          <w:szCs w:val="12"/>
        </w:rPr>
        <w:t>ies</w:t>
      </w:r>
      <w:r w:rsidRPr="00B83D47">
        <w:rPr>
          <w:rFonts w:ascii="Calibri Light" w:hAnsi="Calibri Light"/>
          <w:color w:val="000000"/>
          <w:szCs w:val="12"/>
        </w:rPr>
        <w:t xml:space="preserve"> of</w:t>
      </w:r>
      <w:r>
        <w:rPr>
          <w:rFonts w:ascii="Calibri Light" w:hAnsi="Calibri Light"/>
          <w:color w:val="000000"/>
          <w:szCs w:val="12"/>
        </w:rPr>
        <w:t>:</w:t>
      </w:r>
      <w:r w:rsidRPr="00B83D47">
        <w:rPr>
          <w:rFonts w:ascii="Calibri Light" w:hAnsi="Calibri Light"/>
          <w:color w:val="000000"/>
          <w:szCs w:val="12"/>
        </w:rPr>
        <w:t xml:space="preserve"> Education and Training, Health, Infrastructure and Public Utilities, Prime Minister’s Office, Finance and Economic Management, Tourism, Trade, Industry, Commerce and Ni-Vanuatu Business, Climate Change Adaptation, Meteorology, Geo-Hazards, Environment, Energy and Disaster Management and the Vanuatu National Audit Office</w:t>
      </w:r>
    </w:p>
  </w:footnote>
  <w:footnote w:id="11">
    <w:p w:rsidR="002C2F24" w:rsidRPr="00EF32D0" w:rsidRDefault="002C2F24">
      <w:pPr>
        <w:pStyle w:val="FootnoteText"/>
        <w:rPr>
          <w:lang w:val="en-AU"/>
        </w:rPr>
      </w:pPr>
      <w:r>
        <w:rPr>
          <w:rStyle w:val="FootnoteReference"/>
        </w:rPr>
        <w:footnoteRef/>
      </w:r>
      <w:r>
        <w:t xml:space="preserve"> </w:t>
      </w:r>
      <w:r w:rsidRPr="00CB5917">
        <w:rPr>
          <w:sz w:val="18"/>
          <w:lang w:val="en-AU"/>
        </w:rPr>
        <w:t xml:space="preserve">A </w:t>
      </w:r>
      <w:r w:rsidRPr="00CB5917">
        <w:rPr>
          <w:sz w:val="16"/>
          <w:szCs w:val="16"/>
        </w:rPr>
        <w:t xml:space="preserve">slight variation of </w:t>
      </w:r>
      <w:r>
        <w:rPr>
          <w:sz w:val="16"/>
          <w:szCs w:val="16"/>
        </w:rPr>
        <w:t>1</w:t>
      </w:r>
      <w:r w:rsidRPr="00CB5917">
        <w:rPr>
          <w:sz w:val="16"/>
          <w:szCs w:val="16"/>
        </w:rPr>
        <w:t>% decrease was recorded due to data aggregation at a specific point of time, however, UNICEF assess this variation as within the acceptable variation range and conclude that the immunisation rate has been maintained.</w:t>
      </w:r>
    </w:p>
  </w:footnote>
  <w:footnote w:id="12">
    <w:p w:rsidR="002C2F24" w:rsidRPr="00B83D47" w:rsidRDefault="002C2F24" w:rsidP="00D164F0">
      <w:pPr>
        <w:pStyle w:val="FootnoteText"/>
        <w:spacing w:line="40" w:lineRule="atLeast"/>
        <w:rPr>
          <w:rStyle w:val="FootnoteReference"/>
          <w:szCs w:val="12"/>
        </w:rPr>
      </w:pPr>
    </w:p>
  </w:footnote>
  <w:footnote w:id="13">
    <w:p w:rsidR="002C2F24" w:rsidRPr="00B83D47" w:rsidRDefault="002C2F24" w:rsidP="00D164F0">
      <w:pPr>
        <w:pStyle w:val="FootnoteText"/>
        <w:spacing w:line="40" w:lineRule="atLeast"/>
        <w:rPr>
          <w:rFonts w:cstheme="minorHAnsi"/>
          <w:szCs w:val="12"/>
          <w:lang w:val="en-AU"/>
        </w:rPr>
      </w:pPr>
      <w:r w:rsidRPr="00B83D47">
        <w:rPr>
          <w:rStyle w:val="FootnoteReference"/>
          <w:rFonts w:cstheme="minorHAnsi"/>
          <w:szCs w:val="12"/>
        </w:rPr>
        <w:footnoteRef/>
      </w:r>
      <w:r w:rsidRPr="00B83D47">
        <w:rPr>
          <w:rStyle w:val="FootnoteReference"/>
          <w:rFonts w:cstheme="minorHAnsi"/>
          <w:szCs w:val="12"/>
        </w:rPr>
        <w:t xml:space="preserve"> Linked to NSDP Indicator ECO1.2.1 [Change in government revenue]</w:t>
      </w:r>
    </w:p>
  </w:footnote>
  <w:footnote w:id="14">
    <w:p w:rsidR="002C2F24" w:rsidRPr="00B83D47" w:rsidRDefault="002C2F24" w:rsidP="00D164F0">
      <w:pPr>
        <w:pStyle w:val="FootnoteText"/>
        <w:spacing w:line="40" w:lineRule="atLeast"/>
        <w:rPr>
          <w:rFonts w:cstheme="minorHAnsi"/>
          <w:szCs w:val="12"/>
          <w:lang w:val="en-AU"/>
        </w:rPr>
      </w:pPr>
      <w:r w:rsidRPr="00B83D47">
        <w:rPr>
          <w:rStyle w:val="FootnoteReference"/>
          <w:rFonts w:cstheme="minorHAnsi"/>
          <w:szCs w:val="12"/>
        </w:rPr>
        <w:footnoteRef/>
      </w:r>
      <w:r w:rsidRPr="00B83D47">
        <w:rPr>
          <w:rFonts w:cstheme="minorHAnsi"/>
          <w:szCs w:val="12"/>
        </w:rPr>
        <w:t xml:space="preserve"> RAI measured every 5 years (2012, 2017, 2020 (74% target), 2025(78% target) &amp; 2030 (82% target)), with the exception being 2020. RAI is percentage of population living within 2 km (20min walk) of an all-year-round road connecting with that areas’ economic and services hub.</w:t>
      </w:r>
    </w:p>
  </w:footnote>
  <w:footnote w:id="15">
    <w:p w:rsidR="002C2F24" w:rsidRPr="00B83D47" w:rsidRDefault="002C2F24" w:rsidP="00D164F0">
      <w:pPr>
        <w:pStyle w:val="FootnoteText"/>
        <w:spacing w:line="40" w:lineRule="atLeast"/>
        <w:rPr>
          <w:rFonts w:cstheme="minorHAnsi"/>
          <w:szCs w:val="12"/>
          <w:lang w:val="en-AU"/>
        </w:rPr>
      </w:pPr>
      <w:r w:rsidRPr="00B83D47">
        <w:rPr>
          <w:rStyle w:val="FootnoteReference"/>
          <w:rFonts w:cstheme="minorHAnsi"/>
          <w:szCs w:val="12"/>
        </w:rPr>
        <w:footnoteRef/>
      </w:r>
      <w:r w:rsidRPr="00B83D47">
        <w:rPr>
          <w:rFonts w:cstheme="minorHAnsi"/>
          <w:szCs w:val="12"/>
        </w:rPr>
        <w:t xml:space="preserve"> RAI measured in 2012</w:t>
      </w:r>
    </w:p>
  </w:footnote>
  <w:footnote w:id="16">
    <w:p w:rsidR="002C2F24" w:rsidRPr="00B53274" w:rsidRDefault="002C2F24" w:rsidP="00D164F0">
      <w:pPr>
        <w:pStyle w:val="FootnoteText"/>
        <w:spacing w:line="40" w:lineRule="atLeast"/>
        <w:rPr>
          <w:rFonts w:cstheme="minorHAnsi"/>
          <w:sz w:val="16"/>
          <w:szCs w:val="16"/>
          <w:lang w:val="en-AU"/>
        </w:rPr>
      </w:pPr>
      <w:r w:rsidRPr="00B83D47">
        <w:rPr>
          <w:rStyle w:val="FootnoteReference"/>
          <w:rFonts w:cstheme="minorHAnsi"/>
          <w:szCs w:val="12"/>
        </w:rPr>
        <w:footnoteRef/>
      </w:r>
      <w:r w:rsidRPr="00B83D47">
        <w:rPr>
          <w:rFonts w:cstheme="minorHAnsi"/>
          <w:szCs w:val="12"/>
        </w:rPr>
        <w:t xml:space="preserve"> </w:t>
      </w:r>
      <w:r w:rsidRPr="00B83D47">
        <w:rPr>
          <w:rFonts w:cstheme="minorHAnsi"/>
          <w:szCs w:val="12"/>
          <w:lang w:val="en-AU"/>
        </w:rPr>
        <w:t>RAI measured in 2017</w:t>
      </w:r>
    </w:p>
  </w:footnote>
  <w:footnote w:id="17">
    <w:p w:rsidR="002C2F24" w:rsidRPr="00D164F0" w:rsidRDefault="002C2F24" w:rsidP="00D164F0">
      <w:pPr>
        <w:spacing w:before="0" w:after="0" w:line="40" w:lineRule="atLeast"/>
        <w:rPr>
          <w:sz w:val="16"/>
          <w:szCs w:val="16"/>
        </w:rPr>
      </w:pPr>
    </w:p>
  </w:footnote>
  <w:footnote w:id="18">
    <w:p w:rsidR="002C2F24" w:rsidRPr="00B83D47" w:rsidRDefault="002C2F24" w:rsidP="00D164F0">
      <w:pPr>
        <w:pStyle w:val="FootnoteText"/>
        <w:spacing w:line="40" w:lineRule="atLeast"/>
        <w:rPr>
          <w:szCs w:val="12"/>
          <w:lang w:val="en-AU"/>
        </w:rPr>
      </w:pPr>
      <w:r w:rsidRPr="00B83D47">
        <w:rPr>
          <w:rStyle w:val="FootnoteReference"/>
          <w:szCs w:val="12"/>
        </w:rPr>
        <w:footnoteRef/>
      </w:r>
      <w:r w:rsidRPr="00B83D47">
        <w:rPr>
          <w:szCs w:val="12"/>
        </w:rPr>
        <w:t xml:space="preserve"> NSDP Indicator ECO 2.8. Data provided from R4D program.</w:t>
      </w:r>
    </w:p>
  </w:footnote>
  <w:footnote w:id="19">
    <w:p w:rsidR="002C2F24" w:rsidRPr="00B83D47" w:rsidRDefault="002C2F24" w:rsidP="00D164F0">
      <w:pPr>
        <w:spacing w:before="0" w:after="0" w:line="40" w:lineRule="atLeast"/>
        <w:rPr>
          <w:sz w:val="12"/>
          <w:szCs w:val="12"/>
        </w:rPr>
      </w:pPr>
    </w:p>
  </w:footnote>
  <w:footnote w:id="20">
    <w:p w:rsidR="002C2F24" w:rsidRPr="00B83D47" w:rsidRDefault="002C2F24" w:rsidP="00D164F0">
      <w:pPr>
        <w:pStyle w:val="FootnoteText"/>
        <w:spacing w:line="40" w:lineRule="atLeast"/>
        <w:rPr>
          <w:szCs w:val="12"/>
          <w:lang w:val="en-AU"/>
        </w:rPr>
      </w:pPr>
      <w:r w:rsidRPr="00B83D47">
        <w:rPr>
          <w:rStyle w:val="FootnoteReference"/>
          <w:szCs w:val="12"/>
        </w:rPr>
        <w:footnoteRef/>
      </w:r>
      <w:r w:rsidRPr="00B83D47">
        <w:rPr>
          <w:szCs w:val="12"/>
        </w:rPr>
        <w:t xml:space="preserve"> </w:t>
      </w:r>
      <w:r w:rsidRPr="00B83D47">
        <w:rPr>
          <w:szCs w:val="12"/>
          <w:lang w:val="en-AU"/>
        </w:rPr>
        <w:t>m</w:t>
      </w:r>
      <w:r w:rsidRPr="00B83D47">
        <w:rPr>
          <w:szCs w:val="12"/>
          <w:vertAlign w:val="superscript"/>
          <w:lang w:val="en-AU"/>
        </w:rPr>
        <w:t>3</w:t>
      </w:r>
    </w:p>
  </w:footnote>
  <w:footnote w:id="21">
    <w:p w:rsidR="002C2F24" w:rsidRPr="00B83D47" w:rsidRDefault="002C2F24" w:rsidP="00D164F0">
      <w:pPr>
        <w:spacing w:before="0" w:after="0" w:line="40" w:lineRule="atLeast"/>
        <w:rPr>
          <w:sz w:val="12"/>
          <w:szCs w:val="12"/>
        </w:rPr>
      </w:pPr>
    </w:p>
  </w:footnote>
  <w:footnote w:id="22">
    <w:p w:rsidR="002C2F24" w:rsidRPr="00B83D47" w:rsidRDefault="002C2F24" w:rsidP="00D164F0">
      <w:pPr>
        <w:pStyle w:val="FootnoteText"/>
        <w:spacing w:line="40" w:lineRule="atLeast"/>
        <w:rPr>
          <w:szCs w:val="12"/>
          <w:lang w:val="en-AU"/>
        </w:rPr>
      </w:pPr>
      <w:r w:rsidRPr="00B83D47">
        <w:rPr>
          <w:rStyle w:val="FootnoteReference"/>
          <w:szCs w:val="12"/>
        </w:rPr>
        <w:footnoteRef/>
      </w:r>
      <w:r w:rsidRPr="00B83D47">
        <w:rPr>
          <w:szCs w:val="12"/>
        </w:rPr>
        <w:t xml:space="preserve"> </w:t>
      </w:r>
      <w:r w:rsidRPr="00B83D47">
        <w:rPr>
          <w:szCs w:val="12"/>
          <w:lang w:val="en-AU"/>
        </w:rPr>
        <w:t>Volume measured in February 2018</w:t>
      </w:r>
    </w:p>
  </w:footnote>
  <w:footnote w:id="23">
    <w:p w:rsidR="002C2F24" w:rsidRPr="00B83D47" w:rsidRDefault="002C2F24" w:rsidP="00D164F0">
      <w:pPr>
        <w:spacing w:before="0" w:after="0" w:line="40" w:lineRule="atLeast"/>
        <w:rPr>
          <w:sz w:val="12"/>
          <w:szCs w:val="12"/>
        </w:rPr>
      </w:pPr>
    </w:p>
  </w:footnote>
  <w:footnote w:id="24">
    <w:p w:rsidR="002C2F24" w:rsidRPr="00B83D47" w:rsidRDefault="002C2F24" w:rsidP="00D164F0">
      <w:pPr>
        <w:pStyle w:val="FootnoteText"/>
        <w:spacing w:line="40" w:lineRule="atLeast"/>
        <w:rPr>
          <w:szCs w:val="12"/>
          <w:lang w:val="en-AU"/>
        </w:rPr>
      </w:pPr>
      <w:r w:rsidRPr="00B83D47">
        <w:rPr>
          <w:rStyle w:val="FootnoteReference"/>
          <w:szCs w:val="12"/>
        </w:rPr>
        <w:footnoteRef/>
      </w:r>
      <w:r w:rsidRPr="00B83D47">
        <w:rPr>
          <w:szCs w:val="12"/>
        </w:rPr>
        <w:t xml:space="preserve"> </w:t>
      </w:r>
      <w:r w:rsidRPr="00B83D47">
        <w:rPr>
          <w:szCs w:val="12"/>
          <w:lang w:val="en-AU"/>
        </w:rPr>
        <w:t>Target of 30 per cent women</w:t>
      </w:r>
    </w:p>
  </w:footnote>
  <w:footnote w:id="25">
    <w:p w:rsidR="002C2F24" w:rsidRPr="00B83D47" w:rsidRDefault="002C2F24" w:rsidP="00D164F0">
      <w:pPr>
        <w:spacing w:before="0" w:after="0" w:line="40" w:lineRule="atLeast"/>
        <w:rPr>
          <w:sz w:val="2"/>
          <w:szCs w:val="16"/>
        </w:rPr>
      </w:pPr>
    </w:p>
  </w:footnote>
  <w:footnote w:id="26">
    <w:p w:rsidR="002C2F24" w:rsidRPr="00B83D47" w:rsidRDefault="002C2F24" w:rsidP="00FD5982">
      <w:pPr>
        <w:pStyle w:val="FootnoteText"/>
        <w:spacing w:line="40" w:lineRule="atLeast"/>
        <w:rPr>
          <w:szCs w:val="12"/>
          <w:lang w:val="en-AU"/>
        </w:rPr>
      </w:pPr>
      <w:r w:rsidRPr="00B83D47">
        <w:rPr>
          <w:rStyle w:val="FootnoteReference"/>
          <w:szCs w:val="12"/>
        </w:rPr>
        <w:footnoteRef/>
      </w:r>
      <w:r w:rsidRPr="00B83D47">
        <w:rPr>
          <w:szCs w:val="12"/>
        </w:rPr>
        <w:t xml:space="preserve"> NSDP Indicator ECO 2.3.1 and linked to SDG indicators 4.2 and 4.3</w:t>
      </w:r>
    </w:p>
  </w:footnote>
  <w:footnote w:id="27">
    <w:p w:rsidR="002C2F24" w:rsidRPr="00B83D47" w:rsidRDefault="002C2F24" w:rsidP="00B83D47">
      <w:pPr>
        <w:pStyle w:val="FootnoteText"/>
        <w:spacing w:line="40" w:lineRule="atLeast"/>
        <w:ind w:left="0" w:firstLine="0"/>
        <w:rPr>
          <w:sz w:val="8"/>
          <w:szCs w:val="12"/>
        </w:rPr>
      </w:pPr>
    </w:p>
  </w:footnote>
  <w:footnote w:id="28">
    <w:p w:rsidR="002C2F24" w:rsidRPr="00B83D47" w:rsidRDefault="002C2F24" w:rsidP="00FD5982">
      <w:pPr>
        <w:pStyle w:val="FootnoteText"/>
        <w:spacing w:line="40" w:lineRule="atLeast"/>
        <w:rPr>
          <w:szCs w:val="12"/>
          <w:lang w:val="en-AU"/>
        </w:rPr>
      </w:pPr>
      <w:r w:rsidRPr="00B83D47">
        <w:rPr>
          <w:rStyle w:val="FootnoteReference"/>
          <w:szCs w:val="12"/>
        </w:rPr>
        <w:footnoteRef/>
      </w:r>
      <w:r w:rsidRPr="00B83D47">
        <w:rPr>
          <w:szCs w:val="12"/>
        </w:rPr>
        <w:t xml:space="preserve"> </w:t>
      </w:r>
      <w:r w:rsidRPr="00B83D47">
        <w:rPr>
          <w:szCs w:val="12"/>
          <w:lang w:val="en-US"/>
        </w:rPr>
        <w:t>Linked to NSDP Indicator SOC3.3.1 [Diphtheria tetanus toxoid and pertussis (DTP3) immunisation coverage among 1 year olds</w:t>
      </w:r>
    </w:p>
  </w:footnote>
  <w:footnote w:id="29">
    <w:p w:rsidR="002C2F24" w:rsidRPr="00B83D47" w:rsidRDefault="002C2F24" w:rsidP="00B83D47">
      <w:pPr>
        <w:pStyle w:val="FootnoteText"/>
        <w:spacing w:line="40" w:lineRule="atLeast"/>
        <w:ind w:left="0" w:firstLine="0"/>
        <w:rPr>
          <w:sz w:val="8"/>
          <w:szCs w:val="12"/>
        </w:rPr>
      </w:pPr>
    </w:p>
  </w:footnote>
  <w:footnote w:id="30">
    <w:p w:rsidR="002C2F24" w:rsidRPr="00B83D47" w:rsidRDefault="002C2F24" w:rsidP="00FD5982">
      <w:pPr>
        <w:pStyle w:val="FootnoteText"/>
        <w:spacing w:line="40" w:lineRule="atLeast"/>
        <w:rPr>
          <w:szCs w:val="12"/>
          <w:lang w:val="en-AU"/>
        </w:rPr>
      </w:pPr>
      <w:r w:rsidRPr="00B83D47">
        <w:rPr>
          <w:rStyle w:val="FootnoteReference"/>
          <w:szCs w:val="12"/>
        </w:rPr>
        <w:footnoteRef/>
      </w:r>
      <w:r w:rsidRPr="00B83D47">
        <w:rPr>
          <w:szCs w:val="12"/>
        </w:rPr>
        <w:t xml:space="preserve"> 2020 target of 95% of children between 12-23mths receive 3 doses of combined DTP3 vaccine in a year, by trained health professional. Measles containing vaccine first-dose (MCV1) part of routine immunisation.</w:t>
      </w:r>
    </w:p>
  </w:footnote>
  <w:footnote w:id="31">
    <w:p w:rsidR="002C2F24" w:rsidRPr="00B83D47" w:rsidRDefault="002C2F24" w:rsidP="00B83D47">
      <w:pPr>
        <w:pStyle w:val="FootnoteText"/>
        <w:spacing w:line="40" w:lineRule="atLeast"/>
        <w:ind w:left="0" w:firstLine="0"/>
        <w:rPr>
          <w:sz w:val="8"/>
          <w:szCs w:val="12"/>
        </w:rPr>
      </w:pPr>
    </w:p>
  </w:footnote>
  <w:footnote w:id="32">
    <w:p w:rsidR="002C2F24" w:rsidRDefault="002C2F24">
      <w:pPr>
        <w:pStyle w:val="FootnoteText"/>
        <w:spacing w:line="40" w:lineRule="atLeast"/>
        <w:rPr>
          <w:szCs w:val="12"/>
        </w:rPr>
      </w:pPr>
      <w:r w:rsidRPr="00B83D47">
        <w:rPr>
          <w:rStyle w:val="FootnoteReference"/>
          <w:szCs w:val="12"/>
        </w:rPr>
        <w:footnoteRef/>
      </w:r>
      <w:r w:rsidRPr="00B83D47">
        <w:rPr>
          <w:szCs w:val="12"/>
        </w:rPr>
        <w:t xml:space="preserve"> Measles and Rubella (MR1)</w:t>
      </w:r>
    </w:p>
    <w:p w:rsidR="002C2F24" w:rsidRPr="00B83D47" w:rsidRDefault="002C2F24">
      <w:pPr>
        <w:pStyle w:val="FootnoteText"/>
        <w:spacing w:line="40" w:lineRule="atLeast"/>
        <w:rPr>
          <w:sz w:val="6"/>
          <w:szCs w:val="12"/>
          <w:lang w:val="en-AU"/>
        </w:rPr>
      </w:pPr>
    </w:p>
  </w:footnote>
  <w:footnote w:id="33">
    <w:p w:rsidR="002C2F24" w:rsidRPr="00B83D47" w:rsidRDefault="002C2F24">
      <w:pPr>
        <w:pStyle w:val="FootnoteText"/>
        <w:rPr>
          <w:szCs w:val="12"/>
        </w:rPr>
      </w:pPr>
      <w:r w:rsidRPr="007C7629">
        <w:rPr>
          <w:rStyle w:val="FootnoteReference"/>
          <w:szCs w:val="12"/>
        </w:rPr>
        <w:footnoteRef/>
      </w:r>
      <w:r w:rsidRPr="007C7629">
        <w:rPr>
          <w:szCs w:val="12"/>
        </w:rPr>
        <w:t xml:space="preserve"> </w:t>
      </w:r>
      <w:r w:rsidRPr="00B83D47">
        <w:rPr>
          <w:szCs w:val="12"/>
          <w:lang w:val="en-AU"/>
        </w:rPr>
        <w:t xml:space="preserve">A </w:t>
      </w:r>
      <w:r w:rsidRPr="00B83D47">
        <w:rPr>
          <w:szCs w:val="12"/>
        </w:rPr>
        <w:t>slight variation of 1% decrease was recorded due to data aggregation at a specific point of time, however, UNICEF assess this variation as within the acceptable variation range and conclude that the immunisation rate has been maintained.</w:t>
      </w:r>
    </w:p>
  </w:footnote>
  <w:footnote w:id="34">
    <w:p w:rsidR="002C2F24" w:rsidRPr="00B83D47" w:rsidRDefault="002C2F24" w:rsidP="00B83D47">
      <w:pPr>
        <w:pStyle w:val="FootnoteText"/>
        <w:spacing w:line="40" w:lineRule="atLeast"/>
        <w:ind w:left="0" w:firstLine="0"/>
        <w:rPr>
          <w:sz w:val="6"/>
          <w:szCs w:val="12"/>
        </w:rPr>
      </w:pPr>
    </w:p>
  </w:footnote>
  <w:footnote w:id="35">
    <w:p w:rsidR="002C2F24" w:rsidRPr="00FD601B" w:rsidRDefault="002C2F24">
      <w:pPr>
        <w:pStyle w:val="FootnoteText"/>
        <w:spacing w:line="40" w:lineRule="atLeast"/>
        <w:rPr>
          <w:sz w:val="16"/>
          <w:szCs w:val="16"/>
          <w:lang w:val="en-AU"/>
        </w:rPr>
      </w:pPr>
      <w:r w:rsidRPr="00FD601B">
        <w:rPr>
          <w:rStyle w:val="FootnoteReference"/>
          <w:szCs w:val="12"/>
        </w:rPr>
        <w:footnoteRef/>
      </w:r>
      <w:r w:rsidRPr="00FD601B">
        <w:rPr>
          <w:szCs w:val="12"/>
        </w:rPr>
        <w:t xml:space="preserve"> NSDP Indicator ECO 3.1.2 and linked to SDG indicator 3.c. There appears to be an increasing trend. The 2017 MoH Annual report states there were only 3 additional deaths in 2017 compared to 9 in 2016: in countries with small populations like Vanuatu, it is preferable to refer to the actual number of deaths or use moving averages rather than a standalone MMR due to the large fluctuations in ratio that occurs due to only a few deaths. </w:t>
      </w:r>
    </w:p>
  </w:footnote>
  <w:footnote w:id="36">
    <w:p w:rsidR="002C2F24" w:rsidRPr="00FD601B" w:rsidRDefault="002C2F24" w:rsidP="00F92740">
      <w:pPr>
        <w:pStyle w:val="FootnoteText"/>
        <w:spacing w:line="40" w:lineRule="atLeast"/>
        <w:rPr>
          <w:szCs w:val="12"/>
        </w:rPr>
      </w:pPr>
      <w:r w:rsidRPr="00FD601B">
        <w:rPr>
          <w:rStyle w:val="FootnoteReference"/>
          <w:sz w:val="16"/>
          <w:szCs w:val="16"/>
        </w:rPr>
        <w:footnoteRef/>
      </w:r>
      <w:r w:rsidRPr="00FD601B">
        <w:rPr>
          <w:sz w:val="16"/>
          <w:szCs w:val="16"/>
        </w:rPr>
        <w:t xml:space="preserve"> </w:t>
      </w:r>
      <w:r w:rsidRPr="00FD601B">
        <w:rPr>
          <w:szCs w:val="12"/>
        </w:rPr>
        <w:t>2016-17: Education training for teachers, principals and provincial officers; 2017-18: Health and Education (Malaria Case Management, Dip of Nursing, Grad Dip of Midwifery, VHW training.)</w:t>
      </w:r>
    </w:p>
    <w:p w:rsidR="002C2F24" w:rsidRPr="00FD601B" w:rsidRDefault="002C2F24" w:rsidP="00F92740">
      <w:pPr>
        <w:pStyle w:val="FootnoteText"/>
        <w:spacing w:line="40" w:lineRule="atLeast"/>
        <w:rPr>
          <w:sz w:val="6"/>
          <w:szCs w:val="12"/>
          <w:lang w:val="en-AU"/>
        </w:rPr>
      </w:pPr>
    </w:p>
  </w:footnote>
  <w:footnote w:id="37">
    <w:p w:rsidR="002C2F24" w:rsidRPr="00847738" w:rsidRDefault="002C2F24" w:rsidP="009648E9">
      <w:pPr>
        <w:pStyle w:val="FootnoteText"/>
        <w:rPr>
          <w:szCs w:val="12"/>
          <w:lang w:val="en-AU"/>
        </w:rPr>
      </w:pPr>
      <w:r w:rsidRPr="00FD601B">
        <w:rPr>
          <w:rStyle w:val="FootnoteReference"/>
          <w:szCs w:val="12"/>
        </w:rPr>
        <w:footnoteRef/>
      </w:r>
      <w:r w:rsidRPr="00FD601B">
        <w:rPr>
          <w:szCs w:val="12"/>
        </w:rPr>
        <w:t xml:space="preserve"> </w:t>
      </w:r>
      <w:r w:rsidR="004A211C" w:rsidRPr="00FD601B">
        <w:rPr>
          <w:szCs w:val="12"/>
        </w:rPr>
        <w:t xml:space="preserve">Education data includes: </w:t>
      </w:r>
      <w:r w:rsidR="00FD601B" w:rsidRPr="00FD601B">
        <w:rPr>
          <w:szCs w:val="12"/>
        </w:rPr>
        <w:t xml:space="preserve">Scholarship Awardees, School principals, Teacher and </w:t>
      </w:r>
      <w:r w:rsidR="004A211C" w:rsidRPr="00FD601B">
        <w:rPr>
          <w:szCs w:val="12"/>
        </w:rPr>
        <w:t xml:space="preserve">Education sector leaders </w:t>
      </w:r>
      <w:r w:rsidR="00FD601B" w:rsidRPr="00FD601B">
        <w:rPr>
          <w:szCs w:val="12"/>
        </w:rPr>
        <w:t>training plus</w:t>
      </w:r>
      <w:r w:rsidR="004A211C" w:rsidRPr="00FD601B">
        <w:rPr>
          <w:szCs w:val="12"/>
        </w:rPr>
        <w:t xml:space="preserve"> Certificate courses</w:t>
      </w:r>
      <w:r w:rsidRPr="00FD601B">
        <w:rPr>
          <w:szCs w:val="12"/>
        </w:rPr>
        <w:t xml:space="preserve">. </w:t>
      </w:r>
      <w:r w:rsidR="00DF588C" w:rsidRPr="00FD601B">
        <w:rPr>
          <w:szCs w:val="12"/>
        </w:rPr>
        <w:t xml:space="preserve">Given transition to new VESP program in January 2019 there was less training than in previous years. </w:t>
      </w:r>
      <w:r w:rsidRPr="00FD601B">
        <w:rPr>
          <w:szCs w:val="12"/>
          <w:lang w:val="en-AU"/>
        </w:rPr>
        <w:t>Health data incudes: Malaria management, Bachelor Nursing, Midwifery, Village Health Workers, Corporate, Business Planning and Leadership/Management training</w:t>
      </w:r>
    </w:p>
    <w:p w:rsidR="002C2F24" w:rsidRPr="00B83D47" w:rsidRDefault="002C2F24" w:rsidP="00B83D47">
      <w:pPr>
        <w:pStyle w:val="FootnoteText"/>
        <w:ind w:left="0" w:firstLine="0"/>
        <w:rPr>
          <w:sz w:val="8"/>
          <w:szCs w:val="12"/>
          <w:lang w:val="en-AU"/>
        </w:rPr>
      </w:pPr>
    </w:p>
  </w:footnote>
  <w:footnote w:id="38">
    <w:p w:rsidR="002C2F24" w:rsidRPr="007C7629" w:rsidRDefault="002C2F24">
      <w:pPr>
        <w:pStyle w:val="FootnoteText"/>
        <w:rPr>
          <w:szCs w:val="12"/>
          <w:lang w:val="en-AU"/>
        </w:rPr>
      </w:pPr>
      <w:r w:rsidRPr="007C7629">
        <w:rPr>
          <w:rStyle w:val="FootnoteReference"/>
          <w:szCs w:val="12"/>
        </w:rPr>
        <w:footnoteRef/>
      </w:r>
      <w:r w:rsidRPr="007C7629">
        <w:rPr>
          <w:szCs w:val="12"/>
        </w:rPr>
        <w:t xml:space="preserve"> A</w:t>
      </w:r>
      <w:r w:rsidRPr="00F92740">
        <w:rPr>
          <w:rFonts w:cstheme="minorHAnsi"/>
          <w:szCs w:val="12"/>
          <w:lang w:eastAsia="en-AU"/>
        </w:rPr>
        <w:t>verage for completed cases only and does not include pending cases for 2017. Data previously reported in 2017-2018 Aid Program Performance Report has been revised.</w:t>
      </w:r>
    </w:p>
  </w:footnote>
  <w:footnote w:id="39">
    <w:p w:rsidR="002C2F24" w:rsidRPr="00847738" w:rsidRDefault="002C2F24">
      <w:pPr>
        <w:pStyle w:val="FootnoteText"/>
        <w:rPr>
          <w:szCs w:val="12"/>
          <w:lang w:val="en-AU"/>
        </w:rPr>
      </w:pPr>
      <w:r w:rsidRPr="007C7629">
        <w:rPr>
          <w:rStyle w:val="FootnoteReference"/>
          <w:szCs w:val="12"/>
        </w:rPr>
        <w:footnoteRef/>
      </w:r>
      <w:r w:rsidRPr="007C7629">
        <w:rPr>
          <w:szCs w:val="12"/>
        </w:rPr>
        <w:t xml:space="preserve"> Average for completed cases only and does not include pending cases for 2018. Increase in 2018 for Office of Public Prosecutor/Supreme Court is due to finalising long-standing cases i</w:t>
      </w:r>
      <w:r w:rsidRPr="00401EDB">
        <w:rPr>
          <w:szCs w:val="12"/>
        </w:rPr>
        <w:t>n that period.</w:t>
      </w:r>
    </w:p>
  </w:footnote>
  <w:footnote w:id="40">
    <w:p w:rsidR="002C2F24" w:rsidRPr="00B83D47" w:rsidRDefault="002C2F24" w:rsidP="00D164F0">
      <w:pPr>
        <w:spacing w:before="0" w:after="0" w:line="40" w:lineRule="atLeast"/>
        <w:rPr>
          <w:sz w:val="12"/>
          <w:szCs w:val="12"/>
        </w:rPr>
      </w:pPr>
    </w:p>
  </w:footnote>
  <w:footnote w:id="41">
    <w:p w:rsidR="002C2F24" w:rsidRPr="007C7629" w:rsidRDefault="002C2F24">
      <w:pPr>
        <w:pStyle w:val="FootnoteText"/>
        <w:rPr>
          <w:szCs w:val="12"/>
          <w:lang w:val="en-AU"/>
        </w:rPr>
      </w:pPr>
      <w:r w:rsidRPr="007C7629">
        <w:rPr>
          <w:rStyle w:val="FootnoteReference"/>
          <w:szCs w:val="12"/>
        </w:rPr>
        <w:footnoteRef/>
      </w:r>
      <w:r w:rsidRPr="007C7629">
        <w:rPr>
          <w:szCs w:val="12"/>
        </w:rPr>
        <w:t xml:space="preserve"> </w:t>
      </w:r>
      <w:r w:rsidRPr="00F92740">
        <w:rPr>
          <w:rFonts w:cstheme="minorHAnsi"/>
          <w:szCs w:val="12"/>
        </w:rPr>
        <w:t>Women and children who accessed counselling, legal and information services though Vanuatu Women’s Centre. Police data is not yet reflected in this result.</w:t>
      </w:r>
    </w:p>
  </w:footnote>
  <w:footnote w:id="42">
    <w:p w:rsidR="002C2F24" w:rsidRPr="00D164F0" w:rsidRDefault="002C2F24" w:rsidP="00DC248A">
      <w:pPr>
        <w:pStyle w:val="FootnoteText"/>
        <w:tabs>
          <w:tab w:val="left" w:pos="3765"/>
          <w:tab w:val="left" w:pos="5775"/>
        </w:tabs>
        <w:spacing w:line="40" w:lineRule="atLeast"/>
        <w:ind w:left="0" w:firstLine="0"/>
        <w:rPr>
          <w:rStyle w:val="FootnoteReference"/>
          <w:sz w:val="16"/>
          <w:szCs w:val="16"/>
        </w:rPr>
      </w:pPr>
      <w:r>
        <w:rPr>
          <w:rStyle w:val="FootnoteReference"/>
          <w:sz w:val="16"/>
          <w:szCs w:val="16"/>
        </w:rPr>
        <w:tab/>
      </w:r>
      <w:r>
        <w:rPr>
          <w:rStyle w:val="FootnoteReference"/>
          <w:sz w:val="16"/>
          <w:szCs w:val="16"/>
        </w:rPr>
        <w:tab/>
      </w:r>
    </w:p>
  </w:footnote>
  <w:footnote w:id="43">
    <w:p w:rsidR="002C2F24" w:rsidRPr="00D164F0" w:rsidRDefault="002C2F24" w:rsidP="00D164F0">
      <w:pPr>
        <w:pStyle w:val="FootnoteText"/>
        <w:spacing w:line="40" w:lineRule="atLeast"/>
        <w:rPr>
          <w:rStyle w:val="FootnoteReference"/>
          <w:sz w:val="16"/>
          <w:szCs w:val="16"/>
        </w:rPr>
      </w:pPr>
      <w:r w:rsidRPr="00D164F0">
        <w:rPr>
          <w:rStyle w:val="FootnoteReference"/>
          <w:sz w:val="16"/>
          <w:szCs w:val="16"/>
        </w:rPr>
        <w:footnoteRef/>
      </w:r>
      <w:r w:rsidRPr="00D164F0">
        <w:rPr>
          <w:rStyle w:val="FootnoteReference"/>
          <w:sz w:val="16"/>
          <w:szCs w:val="16"/>
        </w:rPr>
        <w:t xml:space="preserve"> NSDP Indicator ENV 3.2.2 and linked to SDG indicator 13.1</w:t>
      </w:r>
    </w:p>
  </w:footnote>
  <w:footnote w:id="44">
    <w:p w:rsidR="002C2F24" w:rsidRPr="00D164F0" w:rsidRDefault="002C2F24" w:rsidP="00D164F0">
      <w:pPr>
        <w:pStyle w:val="FootnoteText"/>
        <w:spacing w:line="40" w:lineRule="atLeast"/>
        <w:rPr>
          <w:rStyle w:val="FootnoteReference"/>
          <w:sz w:val="16"/>
          <w:szCs w:val="16"/>
        </w:rPr>
      </w:pPr>
    </w:p>
  </w:footnote>
  <w:footnote w:id="45">
    <w:p w:rsidR="002C2F24" w:rsidRPr="00D164F0" w:rsidRDefault="002C2F24" w:rsidP="00D164F0">
      <w:pPr>
        <w:pStyle w:val="FootnoteText"/>
        <w:spacing w:line="40" w:lineRule="atLeast"/>
        <w:rPr>
          <w:rStyle w:val="FootnoteReference"/>
          <w:sz w:val="16"/>
          <w:szCs w:val="16"/>
        </w:rPr>
      </w:pPr>
      <w:r w:rsidRPr="00D164F0">
        <w:rPr>
          <w:rStyle w:val="FootnoteReference"/>
          <w:sz w:val="16"/>
          <w:szCs w:val="16"/>
        </w:rPr>
        <w:footnoteRef/>
      </w:r>
      <w:r w:rsidRPr="00D164F0">
        <w:rPr>
          <w:rStyle w:val="FootnoteReference"/>
          <w:sz w:val="16"/>
          <w:szCs w:val="16"/>
        </w:rPr>
        <w:t xml:space="preserve"> NSDP Indicator ENV 3.1.1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4E7" w:rsidRDefault="00ED4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24" w:rsidRPr="00333501" w:rsidRDefault="002C2F24" w:rsidP="008F56A8">
    <w:pPr>
      <w:pStyle w:val="Header"/>
      <w:jc w:val="left"/>
    </w:pPr>
    <w:r>
      <w:rPr>
        <w:noProof/>
        <w:lang w:val="en-AU" w:eastAsia="en-AU"/>
      </w:rPr>
      <w:drawing>
        <wp:anchor distT="0" distB="0" distL="114300" distR="114300" simplePos="0" relativeHeight="251704320" behindDoc="1" locked="1" layoutInCell="1" allowOverlap="1" wp14:anchorId="58320DC1" wp14:editId="6D06AA43">
          <wp:simplePos x="0" y="0"/>
          <wp:positionH relativeFrom="page">
            <wp:posOffset>-2047875</wp:posOffset>
          </wp:positionH>
          <wp:positionV relativeFrom="page">
            <wp:posOffset>19050</wp:posOffset>
          </wp:positionV>
          <wp:extent cx="10248900" cy="10353675"/>
          <wp:effectExtent l="0" t="0" r="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248900" cy="1035367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89984" behindDoc="1" locked="1" layoutInCell="1" allowOverlap="1" wp14:anchorId="0888A207" wp14:editId="331E4718">
          <wp:simplePos x="0" y="0"/>
          <wp:positionH relativeFrom="page">
            <wp:posOffset>-1945640</wp:posOffset>
          </wp:positionH>
          <wp:positionV relativeFrom="page">
            <wp:posOffset>24765</wp:posOffset>
          </wp:positionV>
          <wp:extent cx="10248900" cy="1023556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248900" cy="10235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24" w:rsidRPr="003D352D" w:rsidRDefault="002C2F24" w:rsidP="003D352D">
    <w:pPr>
      <w:pStyle w:val="Header"/>
      <w:jc w:val="left"/>
    </w:pPr>
    <w:r>
      <w:rPr>
        <w:noProof/>
        <w:lang w:val="en-AU" w:eastAsia="en-AU"/>
      </w:rPr>
      <w:drawing>
        <wp:anchor distT="0" distB="0" distL="114300" distR="114300" simplePos="0" relativeHeight="251706368" behindDoc="1" locked="1" layoutInCell="1" allowOverlap="1" wp14:anchorId="4C045406" wp14:editId="5D18564D">
          <wp:simplePos x="0" y="0"/>
          <wp:positionH relativeFrom="page">
            <wp:posOffset>-23495</wp:posOffset>
          </wp:positionH>
          <wp:positionV relativeFrom="page">
            <wp:posOffset>15875</wp:posOffset>
          </wp:positionV>
          <wp:extent cx="7734935" cy="1082929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92032" behindDoc="1" locked="1" layoutInCell="1" allowOverlap="1" wp14:anchorId="3330AF4F" wp14:editId="6DC226EA">
          <wp:simplePos x="0" y="0"/>
          <wp:positionH relativeFrom="page">
            <wp:posOffset>-23495</wp:posOffset>
          </wp:positionH>
          <wp:positionV relativeFrom="page">
            <wp:posOffset>15875</wp:posOffset>
          </wp:positionV>
          <wp:extent cx="7734935" cy="108292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24" w:rsidRPr="003D352D" w:rsidRDefault="002C2F24" w:rsidP="003D352D">
    <w:pPr>
      <w:pStyle w:val="Header"/>
      <w:jc w:val="left"/>
    </w:pPr>
    <w:r>
      <w:rPr>
        <w:noProof/>
        <w:lang w:val="en-AU" w:eastAsia="en-AU"/>
      </w:rPr>
      <w:drawing>
        <wp:anchor distT="0" distB="0" distL="114300" distR="114300" simplePos="0" relativeHeight="251710464" behindDoc="1" locked="1" layoutInCell="1" allowOverlap="1" wp14:anchorId="0F596B3B" wp14:editId="666A2CDC">
          <wp:simplePos x="0" y="0"/>
          <wp:positionH relativeFrom="page">
            <wp:posOffset>-2228850</wp:posOffset>
          </wp:positionH>
          <wp:positionV relativeFrom="page">
            <wp:posOffset>18415</wp:posOffset>
          </wp:positionV>
          <wp:extent cx="10067925" cy="10658475"/>
          <wp:effectExtent l="0" t="0" r="9525" b="952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067925" cy="1065847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96128" behindDoc="1" locked="1" layoutInCell="1" allowOverlap="1" wp14:anchorId="0D07BD52" wp14:editId="14590942">
          <wp:simplePos x="0" y="0"/>
          <wp:positionH relativeFrom="page">
            <wp:posOffset>-2228850</wp:posOffset>
          </wp:positionH>
          <wp:positionV relativeFrom="page">
            <wp:posOffset>285750</wp:posOffset>
          </wp:positionV>
          <wp:extent cx="10694035" cy="7465695"/>
          <wp:effectExtent l="0" t="0" r="0" b="1905"/>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24" w:rsidRPr="00333501" w:rsidRDefault="002C2F24" w:rsidP="008F56A8">
    <w:pPr>
      <w:pStyle w:val="Header"/>
      <w:jc w:val="left"/>
    </w:pPr>
    <w:r>
      <w:rPr>
        <w:noProof/>
        <w:lang w:val="en-AU" w:eastAsia="en-AU"/>
      </w:rPr>
      <w:drawing>
        <wp:anchor distT="0" distB="0" distL="114300" distR="114300" simplePos="0" relativeHeight="251712512" behindDoc="1" locked="1" layoutInCell="1" allowOverlap="1" wp14:anchorId="3976B966" wp14:editId="1AB35367">
          <wp:simplePos x="0" y="0"/>
          <wp:positionH relativeFrom="page">
            <wp:posOffset>40640</wp:posOffset>
          </wp:positionH>
          <wp:positionV relativeFrom="margin">
            <wp:posOffset>-721995</wp:posOffset>
          </wp:positionV>
          <wp:extent cx="10754360" cy="7082790"/>
          <wp:effectExtent l="0" t="0" r="8890"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754360" cy="708279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98176" behindDoc="1" locked="1" layoutInCell="1" allowOverlap="1" wp14:anchorId="451CC675" wp14:editId="7BF65E80">
          <wp:simplePos x="0" y="0"/>
          <wp:positionH relativeFrom="page">
            <wp:posOffset>40640</wp:posOffset>
          </wp:positionH>
          <wp:positionV relativeFrom="margin">
            <wp:posOffset>-721995</wp:posOffset>
          </wp:positionV>
          <wp:extent cx="10754360" cy="7082790"/>
          <wp:effectExtent l="0" t="0" r="8890" b="38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754360" cy="708279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24" w:rsidRPr="003D352D" w:rsidRDefault="002C2F24" w:rsidP="003D352D">
    <w:pPr>
      <w:pStyle w:val="Header"/>
      <w:jc w:val="left"/>
    </w:pPr>
    <w:r>
      <w:rPr>
        <w:noProof/>
        <w:lang w:val="en-AU" w:eastAsia="en-AU"/>
      </w:rPr>
      <w:drawing>
        <wp:anchor distT="0" distB="0" distL="114300" distR="114300" simplePos="0" relativeHeight="251714560" behindDoc="1" locked="1" layoutInCell="1" allowOverlap="1" wp14:anchorId="614F969B" wp14:editId="45519658">
          <wp:simplePos x="0" y="0"/>
          <wp:positionH relativeFrom="page">
            <wp:posOffset>-15875</wp:posOffset>
          </wp:positionH>
          <wp:positionV relativeFrom="page">
            <wp:posOffset>0</wp:posOffset>
          </wp:positionV>
          <wp:extent cx="10702290" cy="7458075"/>
          <wp:effectExtent l="0" t="0" r="3810" b="9525"/>
          <wp:wrapNone/>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700224" behindDoc="1" locked="1" layoutInCell="1" allowOverlap="1" wp14:anchorId="172EC761" wp14:editId="78A3A382">
          <wp:simplePos x="0" y="0"/>
          <wp:positionH relativeFrom="page">
            <wp:posOffset>-15875</wp:posOffset>
          </wp:positionH>
          <wp:positionV relativeFrom="page">
            <wp:posOffset>0</wp:posOffset>
          </wp:positionV>
          <wp:extent cx="10702290" cy="7458075"/>
          <wp:effectExtent l="0" t="0" r="3810" b="9525"/>
          <wp:wrapNone/>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24" w:rsidRPr="00333501" w:rsidRDefault="002C2F24" w:rsidP="008F56A8">
    <w:pPr>
      <w:pStyle w:val="Header"/>
      <w:jc w:val="left"/>
    </w:pPr>
    <w:r>
      <w:rPr>
        <w:noProof/>
        <w:lang w:val="en-AU" w:eastAsia="en-AU"/>
      </w:rPr>
      <w:drawing>
        <wp:anchor distT="0" distB="0" distL="114300" distR="114300" simplePos="0" relativeHeight="251716608" behindDoc="1" locked="1" layoutInCell="1" allowOverlap="1" wp14:anchorId="20F242BB" wp14:editId="6F680772">
          <wp:simplePos x="0" y="0"/>
          <wp:positionH relativeFrom="page">
            <wp:posOffset>47625</wp:posOffset>
          </wp:positionH>
          <wp:positionV relativeFrom="page">
            <wp:posOffset>142875</wp:posOffset>
          </wp:positionV>
          <wp:extent cx="10753725" cy="10709910"/>
          <wp:effectExtent l="0" t="0" r="9525"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53725" cy="1070991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702272" behindDoc="1" locked="1" layoutInCell="1" allowOverlap="1" wp14:anchorId="6E00AC11" wp14:editId="2AD5F546">
          <wp:simplePos x="0" y="0"/>
          <wp:positionH relativeFrom="page">
            <wp:posOffset>46990</wp:posOffset>
          </wp:positionH>
          <wp:positionV relativeFrom="page">
            <wp:posOffset>95250</wp:posOffset>
          </wp:positionV>
          <wp:extent cx="7561580" cy="10757535"/>
          <wp:effectExtent l="0" t="0" r="1270" b="5715"/>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1580" cy="10757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F3E4C"/>
    <w:multiLevelType w:val="hybridMultilevel"/>
    <w:tmpl w:val="68480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247FCE"/>
    <w:multiLevelType w:val="hybridMultilevel"/>
    <w:tmpl w:val="B1826B3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A91ED6"/>
    <w:multiLevelType w:val="hybridMultilevel"/>
    <w:tmpl w:val="4C2A6EB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5E59B8"/>
    <w:multiLevelType w:val="hybridMultilevel"/>
    <w:tmpl w:val="6EDEB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5B4A27"/>
    <w:multiLevelType w:val="hybridMultilevel"/>
    <w:tmpl w:val="5A307E3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30BC4C6C"/>
    <w:multiLevelType w:val="hybridMultilevel"/>
    <w:tmpl w:val="41C82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3B5900"/>
    <w:multiLevelType w:val="hybridMultilevel"/>
    <w:tmpl w:val="1EF8602C"/>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0F2DB9"/>
    <w:multiLevelType w:val="hybridMultilevel"/>
    <w:tmpl w:val="EFEE22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981241"/>
    <w:multiLevelType w:val="hybridMultilevel"/>
    <w:tmpl w:val="8776375C"/>
    <w:lvl w:ilvl="0" w:tplc="4364E298">
      <w:numFmt w:val="bullet"/>
      <w:lvlText w:val="-"/>
      <w:lvlJc w:val="left"/>
      <w:pPr>
        <w:ind w:left="391" w:hanging="360"/>
      </w:pPr>
      <w:rPr>
        <w:rFonts w:ascii="Franklin Gothic Book" w:eastAsia="Times New Roman" w:hAnsi="Franklin Gothic Book" w:cs="Times New Roman" w:hint="default"/>
        <w:b w:val="0"/>
        <w:color w:val="495965" w:themeColor="text2"/>
      </w:rPr>
    </w:lvl>
    <w:lvl w:ilvl="1" w:tplc="0C090003" w:tentative="1">
      <w:start w:val="1"/>
      <w:numFmt w:val="bullet"/>
      <w:lvlText w:val="o"/>
      <w:lvlJc w:val="left"/>
      <w:pPr>
        <w:ind w:left="1111" w:hanging="360"/>
      </w:pPr>
      <w:rPr>
        <w:rFonts w:ascii="Courier New" w:hAnsi="Courier New" w:cs="Courier New" w:hint="default"/>
      </w:rPr>
    </w:lvl>
    <w:lvl w:ilvl="2" w:tplc="0C090005" w:tentative="1">
      <w:start w:val="1"/>
      <w:numFmt w:val="bullet"/>
      <w:lvlText w:val=""/>
      <w:lvlJc w:val="left"/>
      <w:pPr>
        <w:ind w:left="1831" w:hanging="360"/>
      </w:pPr>
      <w:rPr>
        <w:rFonts w:ascii="Wingdings" w:hAnsi="Wingdings" w:hint="default"/>
      </w:rPr>
    </w:lvl>
    <w:lvl w:ilvl="3" w:tplc="0C090001" w:tentative="1">
      <w:start w:val="1"/>
      <w:numFmt w:val="bullet"/>
      <w:lvlText w:val=""/>
      <w:lvlJc w:val="left"/>
      <w:pPr>
        <w:ind w:left="2551" w:hanging="360"/>
      </w:pPr>
      <w:rPr>
        <w:rFonts w:ascii="Symbol" w:hAnsi="Symbol" w:hint="default"/>
      </w:rPr>
    </w:lvl>
    <w:lvl w:ilvl="4" w:tplc="0C090003" w:tentative="1">
      <w:start w:val="1"/>
      <w:numFmt w:val="bullet"/>
      <w:lvlText w:val="o"/>
      <w:lvlJc w:val="left"/>
      <w:pPr>
        <w:ind w:left="3271" w:hanging="360"/>
      </w:pPr>
      <w:rPr>
        <w:rFonts w:ascii="Courier New" w:hAnsi="Courier New" w:cs="Courier New" w:hint="default"/>
      </w:rPr>
    </w:lvl>
    <w:lvl w:ilvl="5" w:tplc="0C090005" w:tentative="1">
      <w:start w:val="1"/>
      <w:numFmt w:val="bullet"/>
      <w:lvlText w:val=""/>
      <w:lvlJc w:val="left"/>
      <w:pPr>
        <w:ind w:left="3991" w:hanging="360"/>
      </w:pPr>
      <w:rPr>
        <w:rFonts w:ascii="Wingdings" w:hAnsi="Wingdings" w:hint="default"/>
      </w:rPr>
    </w:lvl>
    <w:lvl w:ilvl="6" w:tplc="0C090001" w:tentative="1">
      <w:start w:val="1"/>
      <w:numFmt w:val="bullet"/>
      <w:lvlText w:val=""/>
      <w:lvlJc w:val="left"/>
      <w:pPr>
        <w:ind w:left="4711" w:hanging="360"/>
      </w:pPr>
      <w:rPr>
        <w:rFonts w:ascii="Symbol" w:hAnsi="Symbol" w:hint="default"/>
      </w:rPr>
    </w:lvl>
    <w:lvl w:ilvl="7" w:tplc="0C090003" w:tentative="1">
      <w:start w:val="1"/>
      <w:numFmt w:val="bullet"/>
      <w:lvlText w:val="o"/>
      <w:lvlJc w:val="left"/>
      <w:pPr>
        <w:ind w:left="5431" w:hanging="360"/>
      </w:pPr>
      <w:rPr>
        <w:rFonts w:ascii="Courier New" w:hAnsi="Courier New" w:cs="Courier New" w:hint="default"/>
      </w:rPr>
    </w:lvl>
    <w:lvl w:ilvl="8" w:tplc="0C090005" w:tentative="1">
      <w:start w:val="1"/>
      <w:numFmt w:val="bullet"/>
      <w:lvlText w:val=""/>
      <w:lvlJc w:val="left"/>
      <w:pPr>
        <w:ind w:left="6151" w:hanging="360"/>
      </w:pPr>
      <w:rPr>
        <w:rFonts w:ascii="Wingdings" w:hAnsi="Wingdings" w:hint="default"/>
      </w:rPr>
    </w:lvl>
  </w:abstractNum>
  <w:abstractNum w:abstractNumId="24"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5D3C1EA7"/>
    <w:multiLevelType w:val="multilevel"/>
    <w:tmpl w:val="43428892"/>
    <w:numStyleLink w:val="BulletsList"/>
  </w:abstractNum>
  <w:abstractNum w:abstractNumId="2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626F1A09"/>
    <w:multiLevelType w:val="hybridMultilevel"/>
    <w:tmpl w:val="CDF81ED6"/>
    <w:lvl w:ilvl="0" w:tplc="0C090005">
      <w:start w:val="1"/>
      <w:numFmt w:val="bullet"/>
      <w:lvlText w:val=""/>
      <w:lvlJc w:val="left"/>
      <w:pPr>
        <w:ind w:left="720" w:hanging="360"/>
      </w:pPr>
      <w:rPr>
        <w:rFonts w:ascii="Wingdings" w:hAnsi="Wingdings" w:hint="default"/>
      </w:rPr>
    </w:lvl>
    <w:lvl w:ilvl="1" w:tplc="3ACC2AB2">
      <w:numFmt w:val="bullet"/>
      <w:lvlText w:val="•"/>
      <w:lvlJc w:val="left"/>
      <w:pPr>
        <w:ind w:left="1440" w:hanging="360"/>
      </w:pPr>
      <w:rPr>
        <w:rFonts w:ascii="Franklin Gothic Book" w:eastAsiaTheme="minorHAnsi" w:hAnsi="Franklin Gothic Book"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307BBD"/>
    <w:multiLevelType w:val="hybridMultilevel"/>
    <w:tmpl w:val="882450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C95358"/>
    <w:multiLevelType w:val="hybridMultilevel"/>
    <w:tmpl w:val="30FA4C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AC7ED6"/>
    <w:multiLevelType w:val="hybridMultilevel"/>
    <w:tmpl w:val="60A65BDC"/>
    <w:lvl w:ilvl="0" w:tplc="B37AE492">
      <w:start w:val="1"/>
      <w:numFmt w:val="lowerRoman"/>
      <w:lvlText w:val="%1)"/>
      <w:lvlJc w:val="left"/>
      <w:pPr>
        <w:ind w:left="1639" w:hanging="720"/>
      </w:pPr>
      <w:rPr>
        <w:rFonts w:cstheme="minorHAnsi" w:hint="default"/>
      </w:rPr>
    </w:lvl>
    <w:lvl w:ilvl="1" w:tplc="0C090019" w:tentative="1">
      <w:start w:val="1"/>
      <w:numFmt w:val="lowerLetter"/>
      <w:lvlText w:val="%2."/>
      <w:lvlJc w:val="left"/>
      <w:pPr>
        <w:ind w:left="1999" w:hanging="360"/>
      </w:pPr>
    </w:lvl>
    <w:lvl w:ilvl="2" w:tplc="0C09001B" w:tentative="1">
      <w:start w:val="1"/>
      <w:numFmt w:val="lowerRoman"/>
      <w:lvlText w:val="%3."/>
      <w:lvlJc w:val="right"/>
      <w:pPr>
        <w:ind w:left="2719" w:hanging="180"/>
      </w:pPr>
    </w:lvl>
    <w:lvl w:ilvl="3" w:tplc="0C09000F" w:tentative="1">
      <w:start w:val="1"/>
      <w:numFmt w:val="decimal"/>
      <w:lvlText w:val="%4."/>
      <w:lvlJc w:val="left"/>
      <w:pPr>
        <w:ind w:left="3439" w:hanging="360"/>
      </w:pPr>
    </w:lvl>
    <w:lvl w:ilvl="4" w:tplc="0C090019" w:tentative="1">
      <w:start w:val="1"/>
      <w:numFmt w:val="lowerLetter"/>
      <w:lvlText w:val="%5."/>
      <w:lvlJc w:val="left"/>
      <w:pPr>
        <w:ind w:left="4159" w:hanging="360"/>
      </w:pPr>
    </w:lvl>
    <w:lvl w:ilvl="5" w:tplc="0C09001B" w:tentative="1">
      <w:start w:val="1"/>
      <w:numFmt w:val="lowerRoman"/>
      <w:lvlText w:val="%6."/>
      <w:lvlJc w:val="right"/>
      <w:pPr>
        <w:ind w:left="4879" w:hanging="180"/>
      </w:pPr>
    </w:lvl>
    <w:lvl w:ilvl="6" w:tplc="0C09000F" w:tentative="1">
      <w:start w:val="1"/>
      <w:numFmt w:val="decimal"/>
      <w:lvlText w:val="%7."/>
      <w:lvlJc w:val="left"/>
      <w:pPr>
        <w:ind w:left="5599" w:hanging="360"/>
      </w:pPr>
    </w:lvl>
    <w:lvl w:ilvl="7" w:tplc="0C090019" w:tentative="1">
      <w:start w:val="1"/>
      <w:numFmt w:val="lowerLetter"/>
      <w:lvlText w:val="%8."/>
      <w:lvlJc w:val="left"/>
      <w:pPr>
        <w:ind w:left="6319" w:hanging="360"/>
      </w:pPr>
    </w:lvl>
    <w:lvl w:ilvl="8" w:tplc="0C09001B" w:tentative="1">
      <w:start w:val="1"/>
      <w:numFmt w:val="lowerRoman"/>
      <w:lvlText w:val="%9."/>
      <w:lvlJc w:val="right"/>
      <w:pPr>
        <w:ind w:left="7039" w:hanging="180"/>
      </w:pPr>
    </w:lvl>
  </w:abstractNum>
  <w:abstractNum w:abstractNumId="33"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931C25"/>
    <w:multiLevelType w:val="hybridMultilevel"/>
    <w:tmpl w:val="E4BE0402"/>
    <w:lvl w:ilvl="0" w:tplc="0C090005">
      <w:start w:val="1"/>
      <w:numFmt w:val="bullet"/>
      <w:lvlText w:val=""/>
      <w:lvlJc w:val="left"/>
      <w:pPr>
        <w:ind w:left="609" w:hanging="360"/>
      </w:pPr>
      <w:rPr>
        <w:rFonts w:ascii="Wingdings" w:hAnsi="Wingdings" w:hint="default"/>
      </w:rPr>
    </w:lvl>
    <w:lvl w:ilvl="1" w:tplc="0C090003">
      <w:start w:val="1"/>
      <w:numFmt w:val="bullet"/>
      <w:lvlText w:val="o"/>
      <w:lvlJc w:val="left"/>
      <w:pPr>
        <w:ind w:left="1329" w:hanging="360"/>
      </w:pPr>
      <w:rPr>
        <w:rFonts w:ascii="Courier New" w:hAnsi="Courier New" w:cs="Courier New" w:hint="default"/>
      </w:rPr>
    </w:lvl>
    <w:lvl w:ilvl="2" w:tplc="0C090005" w:tentative="1">
      <w:start w:val="1"/>
      <w:numFmt w:val="bullet"/>
      <w:lvlText w:val=""/>
      <w:lvlJc w:val="left"/>
      <w:pPr>
        <w:ind w:left="2049" w:hanging="360"/>
      </w:pPr>
      <w:rPr>
        <w:rFonts w:ascii="Wingdings" w:hAnsi="Wingdings" w:hint="default"/>
      </w:rPr>
    </w:lvl>
    <w:lvl w:ilvl="3" w:tplc="0C090001" w:tentative="1">
      <w:start w:val="1"/>
      <w:numFmt w:val="bullet"/>
      <w:lvlText w:val=""/>
      <w:lvlJc w:val="left"/>
      <w:pPr>
        <w:ind w:left="2769" w:hanging="360"/>
      </w:pPr>
      <w:rPr>
        <w:rFonts w:ascii="Symbol" w:hAnsi="Symbol" w:hint="default"/>
      </w:rPr>
    </w:lvl>
    <w:lvl w:ilvl="4" w:tplc="0C090003" w:tentative="1">
      <w:start w:val="1"/>
      <w:numFmt w:val="bullet"/>
      <w:lvlText w:val="o"/>
      <w:lvlJc w:val="left"/>
      <w:pPr>
        <w:ind w:left="3489" w:hanging="360"/>
      </w:pPr>
      <w:rPr>
        <w:rFonts w:ascii="Courier New" w:hAnsi="Courier New" w:cs="Courier New" w:hint="default"/>
      </w:rPr>
    </w:lvl>
    <w:lvl w:ilvl="5" w:tplc="0C090005" w:tentative="1">
      <w:start w:val="1"/>
      <w:numFmt w:val="bullet"/>
      <w:lvlText w:val=""/>
      <w:lvlJc w:val="left"/>
      <w:pPr>
        <w:ind w:left="4209" w:hanging="360"/>
      </w:pPr>
      <w:rPr>
        <w:rFonts w:ascii="Wingdings" w:hAnsi="Wingdings" w:hint="default"/>
      </w:rPr>
    </w:lvl>
    <w:lvl w:ilvl="6" w:tplc="0C090001" w:tentative="1">
      <w:start w:val="1"/>
      <w:numFmt w:val="bullet"/>
      <w:lvlText w:val=""/>
      <w:lvlJc w:val="left"/>
      <w:pPr>
        <w:ind w:left="4929" w:hanging="360"/>
      </w:pPr>
      <w:rPr>
        <w:rFonts w:ascii="Symbol" w:hAnsi="Symbol" w:hint="default"/>
      </w:rPr>
    </w:lvl>
    <w:lvl w:ilvl="7" w:tplc="0C090003" w:tentative="1">
      <w:start w:val="1"/>
      <w:numFmt w:val="bullet"/>
      <w:lvlText w:val="o"/>
      <w:lvlJc w:val="left"/>
      <w:pPr>
        <w:ind w:left="5649" w:hanging="360"/>
      </w:pPr>
      <w:rPr>
        <w:rFonts w:ascii="Courier New" w:hAnsi="Courier New" w:cs="Courier New" w:hint="default"/>
      </w:rPr>
    </w:lvl>
    <w:lvl w:ilvl="8" w:tplc="0C090005" w:tentative="1">
      <w:start w:val="1"/>
      <w:numFmt w:val="bullet"/>
      <w:lvlText w:val=""/>
      <w:lvlJc w:val="left"/>
      <w:pPr>
        <w:ind w:left="6369" w:hanging="360"/>
      </w:pPr>
      <w:rPr>
        <w:rFonts w:ascii="Wingdings" w:hAnsi="Wingdings" w:hint="default"/>
      </w:rPr>
    </w:lvl>
  </w:abstractNum>
  <w:abstractNum w:abstractNumId="36" w15:restartNumberingAfterBreak="0">
    <w:nsid w:val="77AD099D"/>
    <w:multiLevelType w:val="hybridMultilevel"/>
    <w:tmpl w:val="FFB6A9B8"/>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6"/>
  </w:num>
  <w:num w:numId="10">
    <w:abstractNumId w:val="2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7"/>
  </w:num>
  <w:num w:numId="22">
    <w:abstractNumId w:val="18"/>
  </w:num>
  <w:num w:numId="23">
    <w:abstractNumId w:val="18"/>
  </w:num>
  <w:num w:numId="24">
    <w:abstractNumId w:val="27"/>
  </w:num>
  <w:num w:numId="25">
    <w:abstractNumId w:val="27"/>
  </w:num>
  <w:num w:numId="26">
    <w:abstractNumId w:val="27"/>
  </w:num>
  <w:num w:numId="27">
    <w:abstractNumId w:val="26"/>
  </w:num>
  <w:num w:numId="28">
    <w:abstractNumId w:val="13"/>
  </w:num>
  <w:num w:numId="29">
    <w:abstractNumId w:val="13"/>
  </w:num>
  <w:num w:numId="30">
    <w:abstractNumId w:val="13"/>
  </w:num>
  <w:num w:numId="31">
    <w:abstractNumId w:val="20"/>
  </w:num>
  <w:num w:numId="32">
    <w:abstractNumId w:val="25"/>
  </w:num>
  <w:num w:numId="33">
    <w:abstractNumId w:val="34"/>
  </w:num>
  <w:num w:numId="34">
    <w:abstractNumId w:val="24"/>
  </w:num>
  <w:num w:numId="35">
    <w:abstractNumId w:val="17"/>
  </w:num>
  <w:num w:numId="36">
    <w:abstractNumId w:val="21"/>
  </w:num>
  <w:num w:numId="37">
    <w:abstractNumId w:val="29"/>
  </w:num>
  <w:num w:numId="38">
    <w:abstractNumId w:val="12"/>
  </w:num>
  <w:num w:numId="39">
    <w:abstractNumId w:val="30"/>
  </w:num>
  <w:num w:numId="40">
    <w:abstractNumId w:val="35"/>
  </w:num>
  <w:num w:numId="41">
    <w:abstractNumId w:val="11"/>
  </w:num>
  <w:num w:numId="42">
    <w:abstractNumId w:val="31"/>
  </w:num>
  <w:num w:numId="43">
    <w:abstractNumId w:val="36"/>
  </w:num>
  <w:num w:numId="44">
    <w:abstractNumId w:val="16"/>
  </w:num>
  <w:num w:numId="45">
    <w:abstractNumId w:val="32"/>
  </w:num>
  <w:num w:numId="46">
    <w:abstractNumId w:val="22"/>
  </w:num>
  <w:num w:numId="47">
    <w:abstractNumId w:val="19"/>
  </w:num>
  <w:num w:numId="48">
    <w:abstractNumId w:val="15"/>
  </w:num>
  <w:num w:numId="49">
    <w:abstractNumId w:val="10"/>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885"/>
    <w:rsid w:val="00001DA8"/>
    <w:rsid w:val="000146E4"/>
    <w:rsid w:val="00015316"/>
    <w:rsid w:val="00015492"/>
    <w:rsid w:val="0002080A"/>
    <w:rsid w:val="00021D1A"/>
    <w:rsid w:val="00025528"/>
    <w:rsid w:val="0002782F"/>
    <w:rsid w:val="000300AE"/>
    <w:rsid w:val="00031512"/>
    <w:rsid w:val="00031CF7"/>
    <w:rsid w:val="0003213D"/>
    <w:rsid w:val="00032C12"/>
    <w:rsid w:val="00034AD4"/>
    <w:rsid w:val="00035DAD"/>
    <w:rsid w:val="000363B2"/>
    <w:rsid w:val="00037821"/>
    <w:rsid w:val="00040E69"/>
    <w:rsid w:val="000413A5"/>
    <w:rsid w:val="00041879"/>
    <w:rsid w:val="000418F0"/>
    <w:rsid w:val="00047D98"/>
    <w:rsid w:val="0005309B"/>
    <w:rsid w:val="00054E4D"/>
    <w:rsid w:val="00057C66"/>
    <w:rsid w:val="00060073"/>
    <w:rsid w:val="00060268"/>
    <w:rsid w:val="00061287"/>
    <w:rsid w:val="00071005"/>
    <w:rsid w:val="00072A8B"/>
    <w:rsid w:val="00073F9B"/>
    <w:rsid w:val="00075574"/>
    <w:rsid w:val="00076806"/>
    <w:rsid w:val="00082703"/>
    <w:rsid w:val="00082B6D"/>
    <w:rsid w:val="000830A8"/>
    <w:rsid w:val="00083755"/>
    <w:rsid w:val="00084483"/>
    <w:rsid w:val="000847AD"/>
    <w:rsid w:val="00085252"/>
    <w:rsid w:val="00085E5F"/>
    <w:rsid w:val="00086181"/>
    <w:rsid w:val="0009201C"/>
    <w:rsid w:val="0009788B"/>
    <w:rsid w:val="000A1A5B"/>
    <w:rsid w:val="000A4BCD"/>
    <w:rsid w:val="000B01C3"/>
    <w:rsid w:val="000B6C40"/>
    <w:rsid w:val="000C02EE"/>
    <w:rsid w:val="000C2054"/>
    <w:rsid w:val="000C6153"/>
    <w:rsid w:val="000D111A"/>
    <w:rsid w:val="000D3CAD"/>
    <w:rsid w:val="000D3DBA"/>
    <w:rsid w:val="000D4795"/>
    <w:rsid w:val="000D66D6"/>
    <w:rsid w:val="000D6978"/>
    <w:rsid w:val="000D6AC9"/>
    <w:rsid w:val="000D77BC"/>
    <w:rsid w:val="000E0497"/>
    <w:rsid w:val="000E17D7"/>
    <w:rsid w:val="000E1E2C"/>
    <w:rsid w:val="000E314A"/>
    <w:rsid w:val="000E3E70"/>
    <w:rsid w:val="000E493E"/>
    <w:rsid w:val="000E616C"/>
    <w:rsid w:val="000F0884"/>
    <w:rsid w:val="000F4F2D"/>
    <w:rsid w:val="00100315"/>
    <w:rsid w:val="001003B2"/>
    <w:rsid w:val="00105E09"/>
    <w:rsid w:val="00110CC4"/>
    <w:rsid w:val="00117736"/>
    <w:rsid w:val="001206E6"/>
    <w:rsid w:val="00120DCC"/>
    <w:rsid w:val="00121846"/>
    <w:rsid w:val="001247EB"/>
    <w:rsid w:val="00126074"/>
    <w:rsid w:val="00131631"/>
    <w:rsid w:val="00131F13"/>
    <w:rsid w:val="00140DDC"/>
    <w:rsid w:val="00141AA1"/>
    <w:rsid w:val="001434B1"/>
    <w:rsid w:val="0014427D"/>
    <w:rsid w:val="001446E7"/>
    <w:rsid w:val="00145A3A"/>
    <w:rsid w:val="0015328F"/>
    <w:rsid w:val="00153D40"/>
    <w:rsid w:val="001541EA"/>
    <w:rsid w:val="00157CC9"/>
    <w:rsid w:val="001607CB"/>
    <w:rsid w:val="00162DE2"/>
    <w:rsid w:val="00166DDA"/>
    <w:rsid w:val="001729E2"/>
    <w:rsid w:val="0017716D"/>
    <w:rsid w:val="0018219A"/>
    <w:rsid w:val="001827E8"/>
    <w:rsid w:val="001845A4"/>
    <w:rsid w:val="00184F1E"/>
    <w:rsid w:val="00186909"/>
    <w:rsid w:val="001906FB"/>
    <w:rsid w:val="00192527"/>
    <w:rsid w:val="00193909"/>
    <w:rsid w:val="00196344"/>
    <w:rsid w:val="001978C2"/>
    <w:rsid w:val="001A2067"/>
    <w:rsid w:val="001A28CA"/>
    <w:rsid w:val="001C45FF"/>
    <w:rsid w:val="001C5B39"/>
    <w:rsid w:val="001D0CCB"/>
    <w:rsid w:val="001D126B"/>
    <w:rsid w:val="001D5087"/>
    <w:rsid w:val="001D6203"/>
    <w:rsid w:val="001D663E"/>
    <w:rsid w:val="001E1DC0"/>
    <w:rsid w:val="001E2F69"/>
    <w:rsid w:val="001E62E6"/>
    <w:rsid w:val="001E7369"/>
    <w:rsid w:val="001F12CE"/>
    <w:rsid w:val="001F317A"/>
    <w:rsid w:val="001F5C34"/>
    <w:rsid w:val="001F5FFD"/>
    <w:rsid w:val="002001E9"/>
    <w:rsid w:val="00205D18"/>
    <w:rsid w:val="00206232"/>
    <w:rsid w:val="00207232"/>
    <w:rsid w:val="00211CB7"/>
    <w:rsid w:val="0021226D"/>
    <w:rsid w:val="00212FB7"/>
    <w:rsid w:val="00212FEC"/>
    <w:rsid w:val="00213060"/>
    <w:rsid w:val="002155C3"/>
    <w:rsid w:val="00215FED"/>
    <w:rsid w:val="0022498C"/>
    <w:rsid w:val="00225092"/>
    <w:rsid w:val="00236A53"/>
    <w:rsid w:val="00237DAE"/>
    <w:rsid w:val="00245202"/>
    <w:rsid w:val="0025481F"/>
    <w:rsid w:val="00256028"/>
    <w:rsid w:val="00257C90"/>
    <w:rsid w:val="00257FD2"/>
    <w:rsid w:val="00260571"/>
    <w:rsid w:val="00263C1A"/>
    <w:rsid w:val="00264B9D"/>
    <w:rsid w:val="00270010"/>
    <w:rsid w:val="002727AC"/>
    <w:rsid w:val="00272B5F"/>
    <w:rsid w:val="00275DB7"/>
    <w:rsid w:val="002762BC"/>
    <w:rsid w:val="00280F0C"/>
    <w:rsid w:val="00281724"/>
    <w:rsid w:val="00281B3C"/>
    <w:rsid w:val="00284957"/>
    <w:rsid w:val="0028602A"/>
    <w:rsid w:val="0028755D"/>
    <w:rsid w:val="0029175B"/>
    <w:rsid w:val="002926FE"/>
    <w:rsid w:val="00293D09"/>
    <w:rsid w:val="002A00CD"/>
    <w:rsid w:val="002A1336"/>
    <w:rsid w:val="002A4A0E"/>
    <w:rsid w:val="002A5138"/>
    <w:rsid w:val="002A51CA"/>
    <w:rsid w:val="002A5935"/>
    <w:rsid w:val="002A62C8"/>
    <w:rsid w:val="002B3E95"/>
    <w:rsid w:val="002B53D0"/>
    <w:rsid w:val="002B5C23"/>
    <w:rsid w:val="002B5E10"/>
    <w:rsid w:val="002B6918"/>
    <w:rsid w:val="002B784D"/>
    <w:rsid w:val="002C0B35"/>
    <w:rsid w:val="002C2F24"/>
    <w:rsid w:val="002C4F7D"/>
    <w:rsid w:val="002D3A97"/>
    <w:rsid w:val="002D50F7"/>
    <w:rsid w:val="002D54EB"/>
    <w:rsid w:val="002D5934"/>
    <w:rsid w:val="002D76FF"/>
    <w:rsid w:val="002E1936"/>
    <w:rsid w:val="002E27AE"/>
    <w:rsid w:val="002E5BF6"/>
    <w:rsid w:val="002E76DD"/>
    <w:rsid w:val="002F401E"/>
    <w:rsid w:val="002F41AF"/>
    <w:rsid w:val="003002C0"/>
    <w:rsid w:val="00300794"/>
    <w:rsid w:val="00301144"/>
    <w:rsid w:val="00301F47"/>
    <w:rsid w:val="003077EA"/>
    <w:rsid w:val="00312548"/>
    <w:rsid w:val="00312659"/>
    <w:rsid w:val="003139AA"/>
    <w:rsid w:val="003148B7"/>
    <w:rsid w:val="003158C3"/>
    <w:rsid w:val="00322A76"/>
    <w:rsid w:val="00323E53"/>
    <w:rsid w:val="00324D1E"/>
    <w:rsid w:val="00325D59"/>
    <w:rsid w:val="003274CD"/>
    <w:rsid w:val="00331126"/>
    <w:rsid w:val="00333501"/>
    <w:rsid w:val="003416EA"/>
    <w:rsid w:val="00341B2E"/>
    <w:rsid w:val="003457C4"/>
    <w:rsid w:val="00347EC3"/>
    <w:rsid w:val="003502D6"/>
    <w:rsid w:val="0035119D"/>
    <w:rsid w:val="00353365"/>
    <w:rsid w:val="0035349A"/>
    <w:rsid w:val="00355299"/>
    <w:rsid w:val="00364037"/>
    <w:rsid w:val="003713E3"/>
    <w:rsid w:val="003726D2"/>
    <w:rsid w:val="00374542"/>
    <w:rsid w:val="00375EB5"/>
    <w:rsid w:val="00380104"/>
    <w:rsid w:val="003813CC"/>
    <w:rsid w:val="003947CD"/>
    <w:rsid w:val="00396457"/>
    <w:rsid w:val="003968F0"/>
    <w:rsid w:val="00396EFA"/>
    <w:rsid w:val="003A1E88"/>
    <w:rsid w:val="003A4071"/>
    <w:rsid w:val="003A707C"/>
    <w:rsid w:val="003B0003"/>
    <w:rsid w:val="003B007E"/>
    <w:rsid w:val="003B4CD6"/>
    <w:rsid w:val="003B4F12"/>
    <w:rsid w:val="003C1096"/>
    <w:rsid w:val="003C14B0"/>
    <w:rsid w:val="003D26D6"/>
    <w:rsid w:val="003D3329"/>
    <w:rsid w:val="003D352D"/>
    <w:rsid w:val="003E1577"/>
    <w:rsid w:val="003E305C"/>
    <w:rsid w:val="003E4CFD"/>
    <w:rsid w:val="003E7307"/>
    <w:rsid w:val="003F4A4C"/>
    <w:rsid w:val="003F5537"/>
    <w:rsid w:val="003F5825"/>
    <w:rsid w:val="003F5E1D"/>
    <w:rsid w:val="00400B0F"/>
    <w:rsid w:val="00401EDB"/>
    <w:rsid w:val="00402ACC"/>
    <w:rsid w:val="004120EC"/>
    <w:rsid w:val="004175EE"/>
    <w:rsid w:val="00417721"/>
    <w:rsid w:val="0042041F"/>
    <w:rsid w:val="004214AF"/>
    <w:rsid w:val="00423F31"/>
    <w:rsid w:val="00425C1D"/>
    <w:rsid w:val="00426552"/>
    <w:rsid w:val="00426AD6"/>
    <w:rsid w:val="004305FF"/>
    <w:rsid w:val="004314DB"/>
    <w:rsid w:val="00431899"/>
    <w:rsid w:val="00432E50"/>
    <w:rsid w:val="004336E9"/>
    <w:rsid w:val="00433A3D"/>
    <w:rsid w:val="00436526"/>
    <w:rsid w:val="00440223"/>
    <w:rsid w:val="00441B52"/>
    <w:rsid w:val="00446E4F"/>
    <w:rsid w:val="004519AA"/>
    <w:rsid w:val="004527D9"/>
    <w:rsid w:val="00454D92"/>
    <w:rsid w:val="0045567A"/>
    <w:rsid w:val="00455A79"/>
    <w:rsid w:val="00474A21"/>
    <w:rsid w:val="00474A83"/>
    <w:rsid w:val="00476078"/>
    <w:rsid w:val="00480422"/>
    <w:rsid w:val="00480CF2"/>
    <w:rsid w:val="00482820"/>
    <w:rsid w:val="004839E3"/>
    <w:rsid w:val="00483CF1"/>
    <w:rsid w:val="00486804"/>
    <w:rsid w:val="00490EE1"/>
    <w:rsid w:val="00492E26"/>
    <w:rsid w:val="004977A1"/>
    <w:rsid w:val="004A211C"/>
    <w:rsid w:val="004A5138"/>
    <w:rsid w:val="004A7EFE"/>
    <w:rsid w:val="004B3775"/>
    <w:rsid w:val="004B4806"/>
    <w:rsid w:val="004B7046"/>
    <w:rsid w:val="004C020D"/>
    <w:rsid w:val="004C0FB8"/>
    <w:rsid w:val="004C29C1"/>
    <w:rsid w:val="004C2A97"/>
    <w:rsid w:val="004C3DF5"/>
    <w:rsid w:val="004C44BF"/>
    <w:rsid w:val="004C5554"/>
    <w:rsid w:val="004D0BA0"/>
    <w:rsid w:val="004D5195"/>
    <w:rsid w:val="004D7FEA"/>
    <w:rsid w:val="004E0264"/>
    <w:rsid w:val="004E058F"/>
    <w:rsid w:val="004E0C79"/>
    <w:rsid w:val="004E1026"/>
    <w:rsid w:val="004E3B87"/>
    <w:rsid w:val="004E609C"/>
    <w:rsid w:val="004E773C"/>
    <w:rsid w:val="004F0B3B"/>
    <w:rsid w:val="004F47EB"/>
    <w:rsid w:val="004F6B1D"/>
    <w:rsid w:val="005045F9"/>
    <w:rsid w:val="00504D73"/>
    <w:rsid w:val="00504F04"/>
    <w:rsid w:val="005070BD"/>
    <w:rsid w:val="00510921"/>
    <w:rsid w:val="00510AD3"/>
    <w:rsid w:val="00511C77"/>
    <w:rsid w:val="00513348"/>
    <w:rsid w:val="00513785"/>
    <w:rsid w:val="00515AD3"/>
    <w:rsid w:val="00517E2A"/>
    <w:rsid w:val="005266A2"/>
    <w:rsid w:val="00527086"/>
    <w:rsid w:val="00533B5D"/>
    <w:rsid w:val="0053551D"/>
    <w:rsid w:val="00540629"/>
    <w:rsid w:val="005440AD"/>
    <w:rsid w:val="005456F8"/>
    <w:rsid w:val="00550890"/>
    <w:rsid w:val="005511BF"/>
    <w:rsid w:val="005522CB"/>
    <w:rsid w:val="005529E8"/>
    <w:rsid w:val="005531F7"/>
    <w:rsid w:val="00554AA1"/>
    <w:rsid w:val="00557896"/>
    <w:rsid w:val="00560088"/>
    <w:rsid w:val="005615B6"/>
    <w:rsid w:val="00567789"/>
    <w:rsid w:val="00571B48"/>
    <w:rsid w:val="0057205D"/>
    <w:rsid w:val="00575903"/>
    <w:rsid w:val="0057609D"/>
    <w:rsid w:val="00577DF7"/>
    <w:rsid w:val="00580A64"/>
    <w:rsid w:val="005818C9"/>
    <w:rsid w:val="00581C58"/>
    <w:rsid w:val="00586ABD"/>
    <w:rsid w:val="0059146A"/>
    <w:rsid w:val="00591BBA"/>
    <w:rsid w:val="005962F1"/>
    <w:rsid w:val="00596706"/>
    <w:rsid w:val="005A06C8"/>
    <w:rsid w:val="005A4164"/>
    <w:rsid w:val="005A4C20"/>
    <w:rsid w:val="005B027B"/>
    <w:rsid w:val="005B1777"/>
    <w:rsid w:val="005B1F70"/>
    <w:rsid w:val="005B3897"/>
    <w:rsid w:val="005B5769"/>
    <w:rsid w:val="005B6CF8"/>
    <w:rsid w:val="005C2B83"/>
    <w:rsid w:val="005C2DC3"/>
    <w:rsid w:val="005C78DB"/>
    <w:rsid w:val="005C7A7A"/>
    <w:rsid w:val="005D0CFA"/>
    <w:rsid w:val="005D2353"/>
    <w:rsid w:val="005D3655"/>
    <w:rsid w:val="005D5723"/>
    <w:rsid w:val="005D5996"/>
    <w:rsid w:val="005D5D83"/>
    <w:rsid w:val="005D6CA1"/>
    <w:rsid w:val="005E2AAD"/>
    <w:rsid w:val="005E33FC"/>
    <w:rsid w:val="005E606B"/>
    <w:rsid w:val="00602BCC"/>
    <w:rsid w:val="00607BE1"/>
    <w:rsid w:val="00610F6A"/>
    <w:rsid w:val="00612538"/>
    <w:rsid w:val="0061381C"/>
    <w:rsid w:val="00622638"/>
    <w:rsid w:val="00623BA1"/>
    <w:rsid w:val="006346BC"/>
    <w:rsid w:val="00634E88"/>
    <w:rsid w:val="00637DD4"/>
    <w:rsid w:val="00646007"/>
    <w:rsid w:val="0064768E"/>
    <w:rsid w:val="006479E6"/>
    <w:rsid w:val="006479EA"/>
    <w:rsid w:val="006545B9"/>
    <w:rsid w:val="00654607"/>
    <w:rsid w:val="00656A44"/>
    <w:rsid w:val="006655C4"/>
    <w:rsid w:val="0066652A"/>
    <w:rsid w:val="00672429"/>
    <w:rsid w:val="0067245C"/>
    <w:rsid w:val="00680522"/>
    <w:rsid w:val="00681718"/>
    <w:rsid w:val="00681F08"/>
    <w:rsid w:val="00682167"/>
    <w:rsid w:val="0068220C"/>
    <w:rsid w:val="006841C5"/>
    <w:rsid w:val="006867B3"/>
    <w:rsid w:val="00693DBC"/>
    <w:rsid w:val="00695730"/>
    <w:rsid w:val="006A7F23"/>
    <w:rsid w:val="006B02B9"/>
    <w:rsid w:val="006B09E4"/>
    <w:rsid w:val="006B1119"/>
    <w:rsid w:val="006B1CF0"/>
    <w:rsid w:val="006B22C3"/>
    <w:rsid w:val="006B2F59"/>
    <w:rsid w:val="006B4A07"/>
    <w:rsid w:val="006B5F18"/>
    <w:rsid w:val="006B7871"/>
    <w:rsid w:val="006C060E"/>
    <w:rsid w:val="006C3C16"/>
    <w:rsid w:val="006C42AF"/>
    <w:rsid w:val="006C4C9D"/>
    <w:rsid w:val="006C4EBA"/>
    <w:rsid w:val="006D240A"/>
    <w:rsid w:val="006E3063"/>
    <w:rsid w:val="006E3B20"/>
    <w:rsid w:val="006E7A69"/>
    <w:rsid w:val="006F27B1"/>
    <w:rsid w:val="006F3EEB"/>
    <w:rsid w:val="006F41EF"/>
    <w:rsid w:val="006F4992"/>
    <w:rsid w:val="006F6B07"/>
    <w:rsid w:val="00702DCD"/>
    <w:rsid w:val="00707912"/>
    <w:rsid w:val="00711D8E"/>
    <w:rsid w:val="00712672"/>
    <w:rsid w:val="0071335B"/>
    <w:rsid w:val="0071528A"/>
    <w:rsid w:val="00720563"/>
    <w:rsid w:val="007229F7"/>
    <w:rsid w:val="007259D3"/>
    <w:rsid w:val="00730876"/>
    <w:rsid w:val="0073372E"/>
    <w:rsid w:val="00734CD4"/>
    <w:rsid w:val="00734E3F"/>
    <w:rsid w:val="007367F9"/>
    <w:rsid w:val="00736985"/>
    <w:rsid w:val="00737389"/>
    <w:rsid w:val="0074047D"/>
    <w:rsid w:val="00745DF5"/>
    <w:rsid w:val="00753929"/>
    <w:rsid w:val="00755B26"/>
    <w:rsid w:val="00755E1E"/>
    <w:rsid w:val="00756DA1"/>
    <w:rsid w:val="007620B4"/>
    <w:rsid w:val="0076250F"/>
    <w:rsid w:val="00762D05"/>
    <w:rsid w:val="0076405F"/>
    <w:rsid w:val="00766F75"/>
    <w:rsid w:val="00767ACD"/>
    <w:rsid w:val="00770F3F"/>
    <w:rsid w:val="00771B53"/>
    <w:rsid w:val="007729A6"/>
    <w:rsid w:val="007752EE"/>
    <w:rsid w:val="0078154C"/>
    <w:rsid w:val="00784031"/>
    <w:rsid w:val="00792549"/>
    <w:rsid w:val="00797D86"/>
    <w:rsid w:val="007A13AE"/>
    <w:rsid w:val="007A5B51"/>
    <w:rsid w:val="007A6119"/>
    <w:rsid w:val="007A61AD"/>
    <w:rsid w:val="007A7C08"/>
    <w:rsid w:val="007A7CE8"/>
    <w:rsid w:val="007B6053"/>
    <w:rsid w:val="007B6200"/>
    <w:rsid w:val="007C1684"/>
    <w:rsid w:val="007C1CEB"/>
    <w:rsid w:val="007C284E"/>
    <w:rsid w:val="007C295E"/>
    <w:rsid w:val="007C67ED"/>
    <w:rsid w:val="007C7629"/>
    <w:rsid w:val="007D2F70"/>
    <w:rsid w:val="007D755B"/>
    <w:rsid w:val="007E0C68"/>
    <w:rsid w:val="007E3263"/>
    <w:rsid w:val="007E5D2A"/>
    <w:rsid w:val="007E6475"/>
    <w:rsid w:val="007E68AE"/>
    <w:rsid w:val="007F3395"/>
    <w:rsid w:val="007F54B5"/>
    <w:rsid w:val="007F6111"/>
    <w:rsid w:val="007F7CDD"/>
    <w:rsid w:val="00801613"/>
    <w:rsid w:val="00801B9F"/>
    <w:rsid w:val="008021C7"/>
    <w:rsid w:val="00802977"/>
    <w:rsid w:val="008057FD"/>
    <w:rsid w:val="00812509"/>
    <w:rsid w:val="00816EB7"/>
    <w:rsid w:val="00816F98"/>
    <w:rsid w:val="00817063"/>
    <w:rsid w:val="00817350"/>
    <w:rsid w:val="00821184"/>
    <w:rsid w:val="00821BAE"/>
    <w:rsid w:val="00824E2C"/>
    <w:rsid w:val="0082520D"/>
    <w:rsid w:val="00825A88"/>
    <w:rsid w:val="00826E56"/>
    <w:rsid w:val="00830A8A"/>
    <w:rsid w:val="00840F00"/>
    <w:rsid w:val="00842358"/>
    <w:rsid w:val="008433E9"/>
    <w:rsid w:val="00844F5E"/>
    <w:rsid w:val="008468D7"/>
    <w:rsid w:val="00846F89"/>
    <w:rsid w:val="00847534"/>
    <w:rsid w:val="008475F0"/>
    <w:rsid w:val="00847738"/>
    <w:rsid w:val="00854CA0"/>
    <w:rsid w:val="00856211"/>
    <w:rsid w:val="008603BD"/>
    <w:rsid w:val="00864210"/>
    <w:rsid w:val="008742C9"/>
    <w:rsid w:val="0087554B"/>
    <w:rsid w:val="00876C6B"/>
    <w:rsid w:val="00877607"/>
    <w:rsid w:val="008804C2"/>
    <w:rsid w:val="00880E61"/>
    <w:rsid w:val="008818F3"/>
    <w:rsid w:val="00885551"/>
    <w:rsid w:val="008878F2"/>
    <w:rsid w:val="00892C04"/>
    <w:rsid w:val="00893C4F"/>
    <w:rsid w:val="00893F79"/>
    <w:rsid w:val="008A38C0"/>
    <w:rsid w:val="008A5AFE"/>
    <w:rsid w:val="008A60EF"/>
    <w:rsid w:val="008A6F6D"/>
    <w:rsid w:val="008A7524"/>
    <w:rsid w:val="008B0B7B"/>
    <w:rsid w:val="008B2959"/>
    <w:rsid w:val="008B5AC8"/>
    <w:rsid w:val="008B68D7"/>
    <w:rsid w:val="008C2F58"/>
    <w:rsid w:val="008C5A0E"/>
    <w:rsid w:val="008C79BA"/>
    <w:rsid w:val="008D0E25"/>
    <w:rsid w:val="008D29D5"/>
    <w:rsid w:val="008D4779"/>
    <w:rsid w:val="008D5394"/>
    <w:rsid w:val="008D724D"/>
    <w:rsid w:val="008D75B9"/>
    <w:rsid w:val="008D79E5"/>
    <w:rsid w:val="008F2430"/>
    <w:rsid w:val="008F53E9"/>
    <w:rsid w:val="008F56A8"/>
    <w:rsid w:val="00905C1D"/>
    <w:rsid w:val="00911729"/>
    <w:rsid w:val="00914413"/>
    <w:rsid w:val="00916FB1"/>
    <w:rsid w:val="009175B9"/>
    <w:rsid w:val="009249E2"/>
    <w:rsid w:val="00925123"/>
    <w:rsid w:val="00925C39"/>
    <w:rsid w:val="0093009D"/>
    <w:rsid w:val="00930E65"/>
    <w:rsid w:val="00934CB5"/>
    <w:rsid w:val="009373EF"/>
    <w:rsid w:val="00942CC5"/>
    <w:rsid w:val="00943513"/>
    <w:rsid w:val="00944075"/>
    <w:rsid w:val="00946BE4"/>
    <w:rsid w:val="00946E1C"/>
    <w:rsid w:val="0095577F"/>
    <w:rsid w:val="00961C9E"/>
    <w:rsid w:val="00962CC5"/>
    <w:rsid w:val="00964099"/>
    <w:rsid w:val="009648E9"/>
    <w:rsid w:val="00973FBD"/>
    <w:rsid w:val="0097484B"/>
    <w:rsid w:val="00981987"/>
    <w:rsid w:val="009903F3"/>
    <w:rsid w:val="00992C76"/>
    <w:rsid w:val="00993C50"/>
    <w:rsid w:val="0099687B"/>
    <w:rsid w:val="009A25D1"/>
    <w:rsid w:val="009A309B"/>
    <w:rsid w:val="009A4C80"/>
    <w:rsid w:val="009A5CB7"/>
    <w:rsid w:val="009A7C5D"/>
    <w:rsid w:val="009B1E22"/>
    <w:rsid w:val="009B3296"/>
    <w:rsid w:val="009B4D3B"/>
    <w:rsid w:val="009B5E2E"/>
    <w:rsid w:val="009C1A32"/>
    <w:rsid w:val="009C29B9"/>
    <w:rsid w:val="009D1329"/>
    <w:rsid w:val="009D7407"/>
    <w:rsid w:val="009E0866"/>
    <w:rsid w:val="009E2664"/>
    <w:rsid w:val="009F056B"/>
    <w:rsid w:val="009F5488"/>
    <w:rsid w:val="009F6397"/>
    <w:rsid w:val="009F6423"/>
    <w:rsid w:val="00A00762"/>
    <w:rsid w:val="00A0203C"/>
    <w:rsid w:val="00A03FCF"/>
    <w:rsid w:val="00A05C5F"/>
    <w:rsid w:val="00A10797"/>
    <w:rsid w:val="00A10CE8"/>
    <w:rsid w:val="00A131F1"/>
    <w:rsid w:val="00A2249E"/>
    <w:rsid w:val="00A24A62"/>
    <w:rsid w:val="00A266AC"/>
    <w:rsid w:val="00A31C9F"/>
    <w:rsid w:val="00A33737"/>
    <w:rsid w:val="00A34422"/>
    <w:rsid w:val="00A4144F"/>
    <w:rsid w:val="00A44AFC"/>
    <w:rsid w:val="00A50677"/>
    <w:rsid w:val="00A50CDD"/>
    <w:rsid w:val="00A538C6"/>
    <w:rsid w:val="00A56F14"/>
    <w:rsid w:val="00A56FC0"/>
    <w:rsid w:val="00A63064"/>
    <w:rsid w:val="00A70265"/>
    <w:rsid w:val="00A7296E"/>
    <w:rsid w:val="00A80F95"/>
    <w:rsid w:val="00A8197B"/>
    <w:rsid w:val="00A821BE"/>
    <w:rsid w:val="00A827B7"/>
    <w:rsid w:val="00A830D5"/>
    <w:rsid w:val="00A84162"/>
    <w:rsid w:val="00A86D71"/>
    <w:rsid w:val="00A86DF5"/>
    <w:rsid w:val="00A90315"/>
    <w:rsid w:val="00A924FB"/>
    <w:rsid w:val="00A92CF0"/>
    <w:rsid w:val="00A92CF2"/>
    <w:rsid w:val="00A92F81"/>
    <w:rsid w:val="00A9369A"/>
    <w:rsid w:val="00A938DA"/>
    <w:rsid w:val="00A94E8A"/>
    <w:rsid w:val="00AA2195"/>
    <w:rsid w:val="00AA2916"/>
    <w:rsid w:val="00AA3B84"/>
    <w:rsid w:val="00AA7BE3"/>
    <w:rsid w:val="00AB206B"/>
    <w:rsid w:val="00AB3DE5"/>
    <w:rsid w:val="00AB4A3C"/>
    <w:rsid w:val="00AB4B2A"/>
    <w:rsid w:val="00AB5E7F"/>
    <w:rsid w:val="00AB7E61"/>
    <w:rsid w:val="00AC164A"/>
    <w:rsid w:val="00AC66AA"/>
    <w:rsid w:val="00AD27EB"/>
    <w:rsid w:val="00AE0FC6"/>
    <w:rsid w:val="00AE1586"/>
    <w:rsid w:val="00AE245F"/>
    <w:rsid w:val="00AE26AD"/>
    <w:rsid w:val="00AE2B01"/>
    <w:rsid w:val="00AF0F3F"/>
    <w:rsid w:val="00AF1B85"/>
    <w:rsid w:val="00AF2050"/>
    <w:rsid w:val="00AF4AAA"/>
    <w:rsid w:val="00B031B5"/>
    <w:rsid w:val="00B034A4"/>
    <w:rsid w:val="00B03B20"/>
    <w:rsid w:val="00B03CA8"/>
    <w:rsid w:val="00B06284"/>
    <w:rsid w:val="00B12980"/>
    <w:rsid w:val="00B142F9"/>
    <w:rsid w:val="00B147C4"/>
    <w:rsid w:val="00B1707E"/>
    <w:rsid w:val="00B170BA"/>
    <w:rsid w:val="00B236F1"/>
    <w:rsid w:val="00B32AD0"/>
    <w:rsid w:val="00B331DC"/>
    <w:rsid w:val="00B355C8"/>
    <w:rsid w:val="00B35C00"/>
    <w:rsid w:val="00B438D3"/>
    <w:rsid w:val="00B53274"/>
    <w:rsid w:val="00B55E19"/>
    <w:rsid w:val="00B616BF"/>
    <w:rsid w:val="00B63ECD"/>
    <w:rsid w:val="00B64AC5"/>
    <w:rsid w:val="00B6602E"/>
    <w:rsid w:val="00B67755"/>
    <w:rsid w:val="00B717A8"/>
    <w:rsid w:val="00B71FC4"/>
    <w:rsid w:val="00B736B5"/>
    <w:rsid w:val="00B7421B"/>
    <w:rsid w:val="00B7423E"/>
    <w:rsid w:val="00B746F6"/>
    <w:rsid w:val="00B754C8"/>
    <w:rsid w:val="00B77B79"/>
    <w:rsid w:val="00B80E2B"/>
    <w:rsid w:val="00B83D47"/>
    <w:rsid w:val="00B83FD7"/>
    <w:rsid w:val="00B8475C"/>
    <w:rsid w:val="00B86E5B"/>
    <w:rsid w:val="00B907C7"/>
    <w:rsid w:val="00B92118"/>
    <w:rsid w:val="00B92C47"/>
    <w:rsid w:val="00B97735"/>
    <w:rsid w:val="00B979B1"/>
    <w:rsid w:val="00B97A7B"/>
    <w:rsid w:val="00BA4B6D"/>
    <w:rsid w:val="00BA6878"/>
    <w:rsid w:val="00BB120D"/>
    <w:rsid w:val="00BB26C5"/>
    <w:rsid w:val="00BB3BB9"/>
    <w:rsid w:val="00BB648A"/>
    <w:rsid w:val="00BC169F"/>
    <w:rsid w:val="00BC3F62"/>
    <w:rsid w:val="00BD179B"/>
    <w:rsid w:val="00BD29CD"/>
    <w:rsid w:val="00BE1BEB"/>
    <w:rsid w:val="00BE4123"/>
    <w:rsid w:val="00BF3260"/>
    <w:rsid w:val="00BF4DE6"/>
    <w:rsid w:val="00BF5683"/>
    <w:rsid w:val="00C03D8F"/>
    <w:rsid w:val="00C03E57"/>
    <w:rsid w:val="00C05986"/>
    <w:rsid w:val="00C075BD"/>
    <w:rsid w:val="00C13E11"/>
    <w:rsid w:val="00C16598"/>
    <w:rsid w:val="00C1776C"/>
    <w:rsid w:val="00C21075"/>
    <w:rsid w:val="00C25AE9"/>
    <w:rsid w:val="00C33259"/>
    <w:rsid w:val="00C33BA3"/>
    <w:rsid w:val="00C36D29"/>
    <w:rsid w:val="00C36EBE"/>
    <w:rsid w:val="00C404D5"/>
    <w:rsid w:val="00C41F04"/>
    <w:rsid w:val="00C42CDE"/>
    <w:rsid w:val="00C442E3"/>
    <w:rsid w:val="00C46622"/>
    <w:rsid w:val="00C5182A"/>
    <w:rsid w:val="00C523F9"/>
    <w:rsid w:val="00C54644"/>
    <w:rsid w:val="00C55BAC"/>
    <w:rsid w:val="00C56C26"/>
    <w:rsid w:val="00C56C62"/>
    <w:rsid w:val="00C60B8C"/>
    <w:rsid w:val="00C6297B"/>
    <w:rsid w:val="00C63EE9"/>
    <w:rsid w:val="00C6626C"/>
    <w:rsid w:val="00C7139B"/>
    <w:rsid w:val="00C72B14"/>
    <w:rsid w:val="00C73C66"/>
    <w:rsid w:val="00C82F53"/>
    <w:rsid w:val="00C840BD"/>
    <w:rsid w:val="00C84F66"/>
    <w:rsid w:val="00C87ED1"/>
    <w:rsid w:val="00C945FF"/>
    <w:rsid w:val="00CA06C0"/>
    <w:rsid w:val="00CA2384"/>
    <w:rsid w:val="00CA36EA"/>
    <w:rsid w:val="00CA37B1"/>
    <w:rsid w:val="00CA7371"/>
    <w:rsid w:val="00CB1959"/>
    <w:rsid w:val="00CB27A1"/>
    <w:rsid w:val="00CB2C5B"/>
    <w:rsid w:val="00CC37E2"/>
    <w:rsid w:val="00CC3C2A"/>
    <w:rsid w:val="00CC4767"/>
    <w:rsid w:val="00CC5F8B"/>
    <w:rsid w:val="00CC608B"/>
    <w:rsid w:val="00CD0E1C"/>
    <w:rsid w:val="00CD0E4B"/>
    <w:rsid w:val="00CD1652"/>
    <w:rsid w:val="00CD28A4"/>
    <w:rsid w:val="00CD2978"/>
    <w:rsid w:val="00CD7D9C"/>
    <w:rsid w:val="00CE0155"/>
    <w:rsid w:val="00CE2B3E"/>
    <w:rsid w:val="00CE3C41"/>
    <w:rsid w:val="00CE623A"/>
    <w:rsid w:val="00CF40E6"/>
    <w:rsid w:val="00CF6285"/>
    <w:rsid w:val="00CF670F"/>
    <w:rsid w:val="00CF6EB2"/>
    <w:rsid w:val="00CF6FF5"/>
    <w:rsid w:val="00CF75BB"/>
    <w:rsid w:val="00D00802"/>
    <w:rsid w:val="00D02339"/>
    <w:rsid w:val="00D0296C"/>
    <w:rsid w:val="00D061BB"/>
    <w:rsid w:val="00D121DB"/>
    <w:rsid w:val="00D146A2"/>
    <w:rsid w:val="00D15286"/>
    <w:rsid w:val="00D15A00"/>
    <w:rsid w:val="00D164F0"/>
    <w:rsid w:val="00D172FB"/>
    <w:rsid w:val="00D17778"/>
    <w:rsid w:val="00D206B7"/>
    <w:rsid w:val="00D25882"/>
    <w:rsid w:val="00D2653F"/>
    <w:rsid w:val="00D367DD"/>
    <w:rsid w:val="00D464FE"/>
    <w:rsid w:val="00D5052C"/>
    <w:rsid w:val="00D60083"/>
    <w:rsid w:val="00D64BD1"/>
    <w:rsid w:val="00D651EB"/>
    <w:rsid w:val="00D6528F"/>
    <w:rsid w:val="00D663DD"/>
    <w:rsid w:val="00D6798D"/>
    <w:rsid w:val="00D70AD8"/>
    <w:rsid w:val="00D72760"/>
    <w:rsid w:val="00D81963"/>
    <w:rsid w:val="00D85121"/>
    <w:rsid w:val="00D90F5F"/>
    <w:rsid w:val="00D950F4"/>
    <w:rsid w:val="00D95F5E"/>
    <w:rsid w:val="00DA2A7B"/>
    <w:rsid w:val="00DA30AA"/>
    <w:rsid w:val="00DA3B6D"/>
    <w:rsid w:val="00DC248A"/>
    <w:rsid w:val="00DC26FF"/>
    <w:rsid w:val="00DC3794"/>
    <w:rsid w:val="00DC7992"/>
    <w:rsid w:val="00DD0778"/>
    <w:rsid w:val="00DD1986"/>
    <w:rsid w:val="00DD2D3C"/>
    <w:rsid w:val="00DD3362"/>
    <w:rsid w:val="00DD3FAF"/>
    <w:rsid w:val="00DD4364"/>
    <w:rsid w:val="00DE084C"/>
    <w:rsid w:val="00DE1EA2"/>
    <w:rsid w:val="00DE3DCB"/>
    <w:rsid w:val="00DE450B"/>
    <w:rsid w:val="00DE5B68"/>
    <w:rsid w:val="00DE5D21"/>
    <w:rsid w:val="00DE619F"/>
    <w:rsid w:val="00DE739F"/>
    <w:rsid w:val="00DF55AA"/>
    <w:rsid w:val="00DF588C"/>
    <w:rsid w:val="00E01ADA"/>
    <w:rsid w:val="00E01C62"/>
    <w:rsid w:val="00E01E95"/>
    <w:rsid w:val="00E06078"/>
    <w:rsid w:val="00E07BEC"/>
    <w:rsid w:val="00E22159"/>
    <w:rsid w:val="00E262F7"/>
    <w:rsid w:val="00E33E2E"/>
    <w:rsid w:val="00E3522B"/>
    <w:rsid w:val="00E3537D"/>
    <w:rsid w:val="00E357B7"/>
    <w:rsid w:val="00E358AD"/>
    <w:rsid w:val="00E35CF7"/>
    <w:rsid w:val="00E36B1C"/>
    <w:rsid w:val="00E372BB"/>
    <w:rsid w:val="00E428C6"/>
    <w:rsid w:val="00E43153"/>
    <w:rsid w:val="00E43E41"/>
    <w:rsid w:val="00E44697"/>
    <w:rsid w:val="00E446BF"/>
    <w:rsid w:val="00E4604E"/>
    <w:rsid w:val="00E53800"/>
    <w:rsid w:val="00E5395F"/>
    <w:rsid w:val="00E53CCA"/>
    <w:rsid w:val="00E57355"/>
    <w:rsid w:val="00E6081F"/>
    <w:rsid w:val="00E622D7"/>
    <w:rsid w:val="00E6394C"/>
    <w:rsid w:val="00E640D9"/>
    <w:rsid w:val="00E65105"/>
    <w:rsid w:val="00E655A6"/>
    <w:rsid w:val="00E66F13"/>
    <w:rsid w:val="00E8029B"/>
    <w:rsid w:val="00E9577E"/>
    <w:rsid w:val="00EA04B2"/>
    <w:rsid w:val="00EA20F3"/>
    <w:rsid w:val="00EA655E"/>
    <w:rsid w:val="00EA6E81"/>
    <w:rsid w:val="00EB1AA1"/>
    <w:rsid w:val="00EB387A"/>
    <w:rsid w:val="00EB45AD"/>
    <w:rsid w:val="00EB54DB"/>
    <w:rsid w:val="00EC2522"/>
    <w:rsid w:val="00EC34DD"/>
    <w:rsid w:val="00EC5732"/>
    <w:rsid w:val="00EC6CA8"/>
    <w:rsid w:val="00ED1381"/>
    <w:rsid w:val="00ED1CD6"/>
    <w:rsid w:val="00ED2831"/>
    <w:rsid w:val="00ED43D1"/>
    <w:rsid w:val="00ED44E7"/>
    <w:rsid w:val="00ED7CCD"/>
    <w:rsid w:val="00EE2190"/>
    <w:rsid w:val="00EE4BB8"/>
    <w:rsid w:val="00EE4EE1"/>
    <w:rsid w:val="00EF0D7C"/>
    <w:rsid w:val="00EF26B5"/>
    <w:rsid w:val="00EF32D0"/>
    <w:rsid w:val="00EF4574"/>
    <w:rsid w:val="00EF4AD9"/>
    <w:rsid w:val="00EF699D"/>
    <w:rsid w:val="00F020E9"/>
    <w:rsid w:val="00F03585"/>
    <w:rsid w:val="00F06182"/>
    <w:rsid w:val="00F06309"/>
    <w:rsid w:val="00F072BD"/>
    <w:rsid w:val="00F16EE7"/>
    <w:rsid w:val="00F17148"/>
    <w:rsid w:val="00F2395D"/>
    <w:rsid w:val="00F2684E"/>
    <w:rsid w:val="00F269BA"/>
    <w:rsid w:val="00F27D08"/>
    <w:rsid w:val="00F30714"/>
    <w:rsid w:val="00F36426"/>
    <w:rsid w:val="00F36C66"/>
    <w:rsid w:val="00F40814"/>
    <w:rsid w:val="00F4140A"/>
    <w:rsid w:val="00F4280D"/>
    <w:rsid w:val="00F4383B"/>
    <w:rsid w:val="00F4594D"/>
    <w:rsid w:val="00F46666"/>
    <w:rsid w:val="00F51130"/>
    <w:rsid w:val="00F5404C"/>
    <w:rsid w:val="00F554BF"/>
    <w:rsid w:val="00F56E63"/>
    <w:rsid w:val="00F608E3"/>
    <w:rsid w:val="00F646AD"/>
    <w:rsid w:val="00F64A1F"/>
    <w:rsid w:val="00F67A69"/>
    <w:rsid w:val="00F729EF"/>
    <w:rsid w:val="00F73A03"/>
    <w:rsid w:val="00F73A72"/>
    <w:rsid w:val="00F74B75"/>
    <w:rsid w:val="00F74FC1"/>
    <w:rsid w:val="00F7583B"/>
    <w:rsid w:val="00F77A0A"/>
    <w:rsid w:val="00F77CAE"/>
    <w:rsid w:val="00F77FAA"/>
    <w:rsid w:val="00F80192"/>
    <w:rsid w:val="00F813BC"/>
    <w:rsid w:val="00F8189A"/>
    <w:rsid w:val="00F81B6E"/>
    <w:rsid w:val="00F82271"/>
    <w:rsid w:val="00F83428"/>
    <w:rsid w:val="00F84330"/>
    <w:rsid w:val="00F84AA5"/>
    <w:rsid w:val="00F86499"/>
    <w:rsid w:val="00F86740"/>
    <w:rsid w:val="00F878B5"/>
    <w:rsid w:val="00F92740"/>
    <w:rsid w:val="00F96BB9"/>
    <w:rsid w:val="00F96F13"/>
    <w:rsid w:val="00FA59CD"/>
    <w:rsid w:val="00FB0DFD"/>
    <w:rsid w:val="00FB4F75"/>
    <w:rsid w:val="00FB65AC"/>
    <w:rsid w:val="00FB687F"/>
    <w:rsid w:val="00FC090A"/>
    <w:rsid w:val="00FC0BB9"/>
    <w:rsid w:val="00FC18DA"/>
    <w:rsid w:val="00FC29A9"/>
    <w:rsid w:val="00FC3D87"/>
    <w:rsid w:val="00FD09C8"/>
    <w:rsid w:val="00FD3DAA"/>
    <w:rsid w:val="00FD5982"/>
    <w:rsid w:val="00FD601B"/>
    <w:rsid w:val="00FE2B1E"/>
    <w:rsid w:val="00FE2BC5"/>
    <w:rsid w:val="00FE5D26"/>
    <w:rsid w:val="00FE6D51"/>
    <w:rsid w:val="00FF09F3"/>
    <w:rsid w:val="00FF0C20"/>
    <w:rsid w:val="00FF5F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3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aliases w:val="Char Char,Char,ft,single space,footnote text,fn,Footnote Text Char Char Char Char"/>
    <w:basedOn w:val="Normal"/>
    <w:link w:val="FootnoteTextChar"/>
    <w:unhideWhenUsed/>
    <w:qFormat/>
    <w:rsid w:val="00D164F0"/>
    <w:pPr>
      <w:spacing w:before="0" w:after="0" w:line="60" w:lineRule="atLeast"/>
      <w:ind w:left="170" w:hanging="170"/>
    </w:pPr>
    <w:rPr>
      <w:sz w:val="12"/>
      <w:szCs w:val="20"/>
    </w:rPr>
  </w:style>
  <w:style w:type="character" w:customStyle="1" w:styleId="FootnoteTextChar">
    <w:name w:val="Footnote Text Char"/>
    <w:aliases w:val="Char Char Char,Char Char1,ft Char,single space Char,footnote text Char,fn Char,Footnote Text Char Char Char Char Char"/>
    <w:basedOn w:val="DefaultParagraphFont"/>
    <w:link w:val="FootnoteText"/>
    <w:rsid w:val="00D164F0"/>
    <w:rPr>
      <w:color w:val="495965" w:themeColor="text2"/>
      <w:sz w:val="12"/>
      <w:szCs w:val="20"/>
      <w:lang w:val="en-GB"/>
    </w:rPr>
  </w:style>
  <w:style w:type="character" w:styleId="FootnoteReference">
    <w:name w:val="footnote reference"/>
    <w:aliases w:val="ftref,fr,16 Point,Superscript 6 Point,Normal + Font:9 Point,Superscript 3 Point Times,Ref,de nota al pie,(NECG) Footnote Reference"/>
    <w:basedOn w:val="DefaultParagraphFont"/>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E65105"/>
    <w:pPr>
      <w:keepLines/>
      <w:suppressAutoHyphens w:val="0"/>
      <w:spacing w:before="80" w:after="80" w:line="200" w:lineRule="atLeast"/>
      <w:ind w:left="125"/>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table" w:customStyle="1" w:styleId="TableGrid1">
    <w:name w:val="Table Grid1"/>
    <w:basedOn w:val="TableNormal"/>
    <w:next w:val="TableGrid"/>
    <w:uiPriority w:val="39"/>
    <w:rsid w:val="0069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693DBC"/>
    <w:pPr>
      <w:spacing w:line="240" w:lineRule="auto"/>
    </w:pPr>
    <w:rPr>
      <w:sz w:val="20"/>
      <w:szCs w:val="20"/>
    </w:rPr>
  </w:style>
  <w:style w:type="character" w:customStyle="1" w:styleId="CommentTextChar">
    <w:name w:val="Comment Text Char"/>
    <w:basedOn w:val="DefaultParagraphFont"/>
    <w:link w:val="CommentText"/>
    <w:uiPriority w:val="99"/>
    <w:rsid w:val="00693DBC"/>
    <w:rPr>
      <w:color w:val="495965" w:themeColor="text2"/>
      <w:sz w:val="20"/>
      <w:szCs w:val="20"/>
      <w:lang w:val="en-GB"/>
    </w:rPr>
  </w:style>
  <w:style w:type="character" w:styleId="CommentReference">
    <w:name w:val="annotation reference"/>
    <w:basedOn w:val="DefaultParagraphFont"/>
    <w:uiPriority w:val="99"/>
    <w:semiHidden/>
    <w:unhideWhenUsed/>
    <w:rsid w:val="00693DBC"/>
    <w:rPr>
      <w:sz w:val="16"/>
      <w:szCs w:val="16"/>
    </w:rPr>
  </w:style>
  <w:style w:type="paragraph" w:styleId="Revision">
    <w:name w:val="Revision"/>
    <w:hidden/>
    <w:uiPriority w:val="99"/>
    <w:semiHidden/>
    <w:rsid w:val="003502D6"/>
    <w:pPr>
      <w:spacing w:after="0" w:line="240" w:lineRule="auto"/>
    </w:pPr>
    <w:rPr>
      <w:color w:val="495965" w:themeColor="text2"/>
      <w:lang w:val="en-GB"/>
    </w:rPr>
  </w:style>
  <w:style w:type="paragraph" w:styleId="ListParagraph">
    <w:name w:val="List Paragraph"/>
    <w:aliases w:val="List Paragraph (numbered (a)),Normal 2,Main numbered paragraph,Dot pt,F5 List Paragraph,List Paragraph1,No Spacing1,List Paragraph Char Char Char,Indicator Text,Numbered Para 1,Bullet Points,List Paragraph11,MAIN CONTENT,Párrafo de lista"/>
    <w:basedOn w:val="Normal"/>
    <w:link w:val="ListParagraphChar"/>
    <w:uiPriority w:val="34"/>
    <w:qFormat/>
    <w:rsid w:val="00730876"/>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List Paragraph (numbered (a)) Char,Normal 2 Char,Main numbered paragraph Char,Dot pt Char,F5 List Paragraph Char,List Paragraph1 Char,No Spacing1 Char,List Paragraph Char Char Char Char,Indicator Text Char,Numbered Para 1 Char"/>
    <w:basedOn w:val="DefaultParagraphFont"/>
    <w:link w:val="ListParagraph"/>
    <w:uiPriority w:val="34"/>
    <w:qFormat/>
    <w:locked/>
    <w:rsid w:val="0073087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21075"/>
    <w:rPr>
      <w:b/>
      <w:bCs/>
    </w:rPr>
  </w:style>
  <w:style w:type="character" w:customStyle="1" w:styleId="CommentSubjectChar">
    <w:name w:val="Comment Subject Char"/>
    <w:basedOn w:val="CommentTextChar"/>
    <w:link w:val="CommentSubject"/>
    <w:uiPriority w:val="99"/>
    <w:semiHidden/>
    <w:rsid w:val="00C21075"/>
    <w:rPr>
      <w:b/>
      <w:bCs/>
      <w:color w:val="495965" w:themeColor="text2"/>
      <w:sz w:val="20"/>
      <w:szCs w:val="20"/>
      <w:lang w:val="en-GB"/>
    </w:rPr>
  </w:style>
  <w:style w:type="paragraph" w:customStyle="1" w:styleId="xmsonormal">
    <w:name w:val="x_msonormal"/>
    <w:basedOn w:val="Normal"/>
    <w:uiPriority w:val="99"/>
    <w:rsid w:val="00D81963"/>
    <w:pPr>
      <w:suppressAutoHyphens w:val="0"/>
      <w:spacing w:before="0" w:after="0" w:line="240" w:lineRule="auto"/>
    </w:pPr>
    <w:rPr>
      <w:rFonts w:ascii="Calibri" w:hAnsi="Calibri" w:cs="Calibri"/>
      <w:color w:val="auto"/>
      <w:lang w:val="en-AU" w:eastAsia="en-AU"/>
    </w:rPr>
  </w:style>
  <w:style w:type="paragraph" w:customStyle="1" w:styleId="Default">
    <w:name w:val="Default"/>
    <w:rsid w:val="00BB3BB9"/>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75392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53929"/>
    <w:rPr>
      <w:color w:val="495965" w:themeColor="text2"/>
      <w:sz w:val="20"/>
      <w:szCs w:val="20"/>
      <w:lang w:val="en-GB"/>
    </w:rPr>
  </w:style>
  <w:style w:type="character" w:styleId="EndnoteReference">
    <w:name w:val="endnote reference"/>
    <w:basedOn w:val="DefaultParagraphFont"/>
    <w:uiPriority w:val="99"/>
    <w:semiHidden/>
    <w:unhideWhenUsed/>
    <w:rsid w:val="007539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8916">
      <w:bodyDiv w:val="1"/>
      <w:marLeft w:val="0"/>
      <w:marRight w:val="0"/>
      <w:marTop w:val="0"/>
      <w:marBottom w:val="0"/>
      <w:divBdr>
        <w:top w:val="none" w:sz="0" w:space="0" w:color="auto"/>
        <w:left w:val="none" w:sz="0" w:space="0" w:color="auto"/>
        <w:bottom w:val="none" w:sz="0" w:space="0" w:color="auto"/>
        <w:right w:val="none" w:sz="0" w:space="0" w:color="auto"/>
      </w:divBdr>
    </w:div>
    <w:div w:id="52974341">
      <w:bodyDiv w:val="1"/>
      <w:marLeft w:val="0"/>
      <w:marRight w:val="0"/>
      <w:marTop w:val="0"/>
      <w:marBottom w:val="0"/>
      <w:divBdr>
        <w:top w:val="none" w:sz="0" w:space="0" w:color="auto"/>
        <w:left w:val="none" w:sz="0" w:space="0" w:color="auto"/>
        <w:bottom w:val="none" w:sz="0" w:space="0" w:color="auto"/>
        <w:right w:val="none" w:sz="0" w:space="0" w:color="auto"/>
      </w:divBdr>
    </w:div>
    <w:div w:id="156579341">
      <w:bodyDiv w:val="1"/>
      <w:marLeft w:val="0"/>
      <w:marRight w:val="0"/>
      <w:marTop w:val="0"/>
      <w:marBottom w:val="0"/>
      <w:divBdr>
        <w:top w:val="none" w:sz="0" w:space="0" w:color="auto"/>
        <w:left w:val="none" w:sz="0" w:space="0" w:color="auto"/>
        <w:bottom w:val="none" w:sz="0" w:space="0" w:color="auto"/>
        <w:right w:val="none" w:sz="0" w:space="0" w:color="auto"/>
      </w:divBdr>
    </w:div>
    <w:div w:id="259333855">
      <w:bodyDiv w:val="1"/>
      <w:marLeft w:val="0"/>
      <w:marRight w:val="0"/>
      <w:marTop w:val="0"/>
      <w:marBottom w:val="0"/>
      <w:divBdr>
        <w:top w:val="none" w:sz="0" w:space="0" w:color="auto"/>
        <w:left w:val="none" w:sz="0" w:space="0" w:color="auto"/>
        <w:bottom w:val="none" w:sz="0" w:space="0" w:color="auto"/>
        <w:right w:val="none" w:sz="0" w:space="0" w:color="auto"/>
      </w:divBdr>
    </w:div>
    <w:div w:id="275329103">
      <w:bodyDiv w:val="1"/>
      <w:marLeft w:val="0"/>
      <w:marRight w:val="0"/>
      <w:marTop w:val="0"/>
      <w:marBottom w:val="0"/>
      <w:divBdr>
        <w:top w:val="none" w:sz="0" w:space="0" w:color="auto"/>
        <w:left w:val="none" w:sz="0" w:space="0" w:color="auto"/>
        <w:bottom w:val="none" w:sz="0" w:space="0" w:color="auto"/>
        <w:right w:val="none" w:sz="0" w:space="0" w:color="auto"/>
      </w:divBdr>
    </w:div>
    <w:div w:id="324822533">
      <w:bodyDiv w:val="1"/>
      <w:marLeft w:val="0"/>
      <w:marRight w:val="0"/>
      <w:marTop w:val="0"/>
      <w:marBottom w:val="0"/>
      <w:divBdr>
        <w:top w:val="none" w:sz="0" w:space="0" w:color="auto"/>
        <w:left w:val="none" w:sz="0" w:space="0" w:color="auto"/>
        <w:bottom w:val="none" w:sz="0" w:space="0" w:color="auto"/>
        <w:right w:val="none" w:sz="0" w:space="0" w:color="auto"/>
      </w:divBdr>
    </w:div>
    <w:div w:id="375591615">
      <w:bodyDiv w:val="1"/>
      <w:marLeft w:val="0"/>
      <w:marRight w:val="0"/>
      <w:marTop w:val="0"/>
      <w:marBottom w:val="0"/>
      <w:divBdr>
        <w:top w:val="none" w:sz="0" w:space="0" w:color="auto"/>
        <w:left w:val="none" w:sz="0" w:space="0" w:color="auto"/>
        <w:bottom w:val="none" w:sz="0" w:space="0" w:color="auto"/>
        <w:right w:val="none" w:sz="0" w:space="0" w:color="auto"/>
      </w:divBdr>
    </w:div>
    <w:div w:id="426661876">
      <w:bodyDiv w:val="1"/>
      <w:marLeft w:val="0"/>
      <w:marRight w:val="0"/>
      <w:marTop w:val="0"/>
      <w:marBottom w:val="0"/>
      <w:divBdr>
        <w:top w:val="none" w:sz="0" w:space="0" w:color="auto"/>
        <w:left w:val="none" w:sz="0" w:space="0" w:color="auto"/>
        <w:bottom w:val="none" w:sz="0" w:space="0" w:color="auto"/>
        <w:right w:val="none" w:sz="0" w:space="0" w:color="auto"/>
      </w:divBdr>
    </w:div>
    <w:div w:id="441264343">
      <w:bodyDiv w:val="1"/>
      <w:marLeft w:val="0"/>
      <w:marRight w:val="0"/>
      <w:marTop w:val="0"/>
      <w:marBottom w:val="0"/>
      <w:divBdr>
        <w:top w:val="none" w:sz="0" w:space="0" w:color="auto"/>
        <w:left w:val="none" w:sz="0" w:space="0" w:color="auto"/>
        <w:bottom w:val="none" w:sz="0" w:space="0" w:color="auto"/>
        <w:right w:val="none" w:sz="0" w:space="0" w:color="auto"/>
      </w:divBdr>
    </w:div>
    <w:div w:id="486092732">
      <w:bodyDiv w:val="1"/>
      <w:marLeft w:val="0"/>
      <w:marRight w:val="0"/>
      <w:marTop w:val="0"/>
      <w:marBottom w:val="0"/>
      <w:divBdr>
        <w:top w:val="none" w:sz="0" w:space="0" w:color="auto"/>
        <w:left w:val="none" w:sz="0" w:space="0" w:color="auto"/>
        <w:bottom w:val="none" w:sz="0" w:space="0" w:color="auto"/>
        <w:right w:val="none" w:sz="0" w:space="0" w:color="auto"/>
      </w:divBdr>
    </w:div>
    <w:div w:id="492838532">
      <w:bodyDiv w:val="1"/>
      <w:marLeft w:val="0"/>
      <w:marRight w:val="0"/>
      <w:marTop w:val="0"/>
      <w:marBottom w:val="0"/>
      <w:divBdr>
        <w:top w:val="none" w:sz="0" w:space="0" w:color="auto"/>
        <w:left w:val="none" w:sz="0" w:space="0" w:color="auto"/>
        <w:bottom w:val="none" w:sz="0" w:space="0" w:color="auto"/>
        <w:right w:val="none" w:sz="0" w:space="0" w:color="auto"/>
      </w:divBdr>
    </w:div>
    <w:div w:id="500707079">
      <w:bodyDiv w:val="1"/>
      <w:marLeft w:val="0"/>
      <w:marRight w:val="0"/>
      <w:marTop w:val="0"/>
      <w:marBottom w:val="0"/>
      <w:divBdr>
        <w:top w:val="none" w:sz="0" w:space="0" w:color="auto"/>
        <w:left w:val="none" w:sz="0" w:space="0" w:color="auto"/>
        <w:bottom w:val="none" w:sz="0" w:space="0" w:color="auto"/>
        <w:right w:val="none" w:sz="0" w:space="0" w:color="auto"/>
      </w:divBdr>
    </w:div>
    <w:div w:id="512502543">
      <w:bodyDiv w:val="1"/>
      <w:marLeft w:val="0"/>
      <w:marRight w:val="0"/>
      <w:marTop w:val="0"/>
      <w:marBottom w:val="0"/>
      <w:divBdr>
        <w:top w:val="none" w:sz="0" w:space="0" w:color="auto"/>
        <w:left w:val="none" w:sz="0" w:space="0" w:color="auto"/>
        <w:bottom w:val="none" w:sz="0" w:space="0" w:color="auto"/>
        <w:right w:val="none" w:sz="0" w:space="0" w:color="auto"/>
      </w:divBdr>
    </w:div>
    <w:div w:id="529805800">
      <w:bodyDiv w:val="1"/>
      <w:marLeft w:val="0"/>
      <w:marRight w:val="0"/>
      <w:marTop w:val="0"/>
      <w:marBottom w:val="0"/>
      <w:divBdr>
        <w:top w:val="none" w:sz="0" w:space="0" w:color="auto"/>
        <w:left w:val="none" w:sz="0" w:space="0" w:color="auto"/>
        <w:bottom w:val="none" w:sz="0" w:space="0" w:color="auto"/>
        <w:right w:val="none" w:sz="0" w:space="0" w:color="auto"/>
      </w:divBdr>
    </w:div>
    <w:div w:id="622231430">
      <w:bodyDiv w:val="1"/>
      <w:marLeft w:val="0"/>
      <w:marRight w:val="0"/>
      <w:marTop w:val="0"/>
      <w:marBottom w:val="0"/>
      <w:divBdr>
        <w:top w:val="none" w:sz="0" w:space="0" w:color="auto"/>
        <w:left w:val="none" w:sz="0" w:space="0" w:color="auto"/>
        <w:bottom w:val="none" w:sz="0" w:space="0" w:color="auto"/>
        <w:right w:val="none" w:sz="0" w:space="0" w:color="auto"/>
      </w:divBdr>
    </w:div>
    <w:div w:id="647247918">
      <w:bodyDiv w:val="1"/>
      <w:marLeft w:val="0"/>
      <w:marRight w:val="0"/>
      <w:marTop w:val="0"/>
      <w:marBottom w:val="0"/>
      <w:divBdr>
        <w:top w:val="none" w:sz="0" w:space="0" w:color="auto"/>
        <w:left w:val="none" w:sz="0" w:space="0" w:color="auto"/>
        <w:bottom w:val="none" w:sz="0" w:space="0" w:color="auto"/>
        <w:right w:val="none" w:sz="0" w:space="0" w:color="auto"/>
      </w:divBdr>
    </w:div>
    <w:div w:id="665594925">
      <w:bodyDiv w:val="1"/>
      <w:marLeft w:val="0"/>
      <w:marRight w:val="0"/>
      <w:marTop w:val="0"/>
      <w:marBottom w:val="0"/>
      <w:divBdr>
        <w:top w:val="none" w:sz="0" w:space="0" w:color="auto"/>
        <w:left w:val="none" w:sz="0" w:space="0" w:color="auto"/>
        <w:bottom w:val="none" w:sz="0" w:space="0" w:color="auto"/>
        <w:right w:val="none" w:sz="0" w:space="0" w:color="auto"/>
      </w:divBdr>
    </w:div>
    <w:div w:id="695161390">
      <w:bodyDiv w:val="1"/>
      <w:marLeft w:val="0"/>
      <w:marRight w:val="0"/>
      <w:marTop w:val="0"/>
      <w:marBottom w:val="0"/>
      <w:divBdr>
        <w:top w:val="none" w:sz="0" w:space="0" w:color="auto"/>
        <w:left w:val="none" w:sz="0" w:space="0" w:color="auto"/>
        <w:bottom w:val="none" w:sz="0" w:space="0" w:color="auto"/>
        <w:right w:val="none" w:sz="0" w:space="0" w:color="auto"/>
      </w:divBdr>
    </w:div>
    <w:div w:id="695349170">
      <w:bodyDiv w:val="1"/>
      <w:marLeft w:val="0"/>
      <w:marRight w:val="0"/>
      <w:marTop w:val="0"/>
      <w:marBottom w:val="0"/>
      <w:divBdr>
        <w:top w:val="none" w:sz="0" w:space="0" w:color="auto"/>
        <w:left w:val="none" w:sz="0" w:space="0" w:color="auto"/>
        <w:bottom w:val="none" w:sz="0" w:space="0" w:color="auto"/>
        <w:right w:val="none" w:sz="0" w:space="0" w:color="auto"/>
      </w:divBdr>
    </w:div>
    <w:div w:id="709495098">
      <w:bodyDiv w:val="1"/>
      <w:marLeft w:val="0"/>
      <w:marRight w:val="0"/>
      <w:marTop w:val="0"/>
      <w:marBottom w:val="0"/>
      <w:divBdr>
        <w:top w:val="none" w:sz="0" w:space="0" w:color="auto"/>
        <w:left w:val="none" w:sz="0" w:space="0" w:color="auto"/>
        <w:bottom w:val="none" w:sz="0" w:space="0" w:color="auto"/>
        <w:right w:val="none" w:sz="0" w:space="0" w:color="auto"/>
      </w:divBdr>
    </w:div>
    <w:div w:id="743065561">
      <w:bodyDiv w:val="1"/>
      <w:marLeft w:val="0"/>
      <w:marRight w:val="0"/>
      <w:marTop w:val="0"/>
      <w:marBottom w:val="0"/>
      <w:divBdr>
        <w:top w:val="none" w:sz="0" w:space="0" w:color="auto"/>
        <w:left w:val="none" w:sz="0" w:space="0" w:color="auto"/>
        <w:bottom w:val="none" w:sz="0" w:space="0" w:color="auto"/>
        <w:right w:val="none" w:sz="0" w:space="0" w:color="auto"/>
      </w:divBdr>
    </w:div>
    <w:div w:id="748037496">
      <w:bodyDiv w:val="1"/>
      <w:marLeft w:val="0"/>
      <w:marRight w:val="0"/>
      <w:marTop w:val="0"/>
      <w:marBottom w:val="0"/>
      <w:divBdr>
        <w:top w:val="none" w:sz="0" w:space="0" w:color="auto"/>
        <w:left w:val="none" w:sz="0" w:space="0" w:color="auto"/>
        <w:bottom w:val="none" w:sz="0" w:space="0" w:color="auto"/>
        <w:right w:val="none" w:sz="0" w:space="0" w:color="auto"/>
      </w:divBdr>
    </w:div>
    <w:div w:id="760637641">
      <w:bodyDiv w:val="1"/>
      <w:marLeft w:val="0"/>
      <w:marRight w:val="0"/>
      <w:marTop w:val="0"/>
      <w:marBottom w:val="0"/>
      <w:divBdr>
        <w:top w:val="none" w:sz="0" w:space="0" w:color="auto"/>
        <w:left w:val="none" w:sz="0" w:space="0" w:color="auto"/>
        <w:bottom w:val="none" w:sz="0" w:space="0" w:color="auto"/>
        <w:right w:val="none" w:sz="0" w:space="0" w:color="auto"/>
      </w:divBdr>
    </w:div>
    <w:div w:id="819462399">
      <w:bodyDiv w:val="1"/>
      <w:marLeft w:val="0"/>
      <w:marRight w:val="0"/>
      <w:marTop w:val="0"/>
      <w:marBottom w:val="0"/>
      <w:divBdr>
        <w:top w:val="none" w:sz="0" w:space="0" w:color="auto"/>
        <w:left w:val="none" w:sz="0" w:space="0" w:color="auto"/>
        <w:bottom w:val="none" w:sz="0" w:space="0" w:color="auto"/>
        <w:right w:val="none" w:sz="0" w:space="0" w:color="auto"/>
      </w:divBdr>
    </w:div>
    <w:div w:id="940987662">
      <w:bodyDiv w:val="1"/>
      <w:marLeft w:val="0"/>
      <w:marRight w:val="0"/>
      <w:marTop w:val="0"/>
      <w:marBottom w:val="0"/>
      <w:divBdr>
        <w:top w:val="none" w:sz="0" w:space="0" w:color="auto"/>
        <w:left w:val="none" w:sz="0" w:space="0" w:color="auto"/>
        <w:bottom w:val="none" w:sz="0" w:space="0" w:color="auto"/>
        <w:right w:val="none" w:sz="0" w:space="0" w:color="auto"/>
      </w:divBdr>
    </w:div>
    <w:div w:id="948663352">
      <w:bodyDiv w:val="1"/>
      <w:marLeft w:val="0"/>
      <w:marRight w:val="0"/>
      <w:marTop w:val="0"/>
      <w:marBottom w:val="0"/>
      <w:divBdr>
        <w:top w:val="none" w:sz="0" w:space="0" w:color="auto"/>
        <w:left w:val="none" w:sz="0" w:space="0" w:color="auto"/>
        <w:bottom w:val="none" w:sz="0" w:space="0" w:color="auto"/>
        <w:right w:val="none" w:sz="0" w:space="0" w:color="auto"/>
      </w:divBdr>
    </w:div>
    <w:div w:id="1055351714">
      <w:bodyDiv w:val="1"/>
      <w:marLeft w:val="0"/>
      <w:marRight w:val="0"/>
      <w:marTop w:val="0"/>
      <w:marBottom w:val="0"/>
      <w:divBdr>
        <w:top w:val="none" w:sz="0" w:space="0" w:color="auto"/>
        <w:left w:val="none" w:sz="0" w:space="0" w:color="auto"/>
        <w:bottom w:val="none" w:sz="0" w:space="0" w:color="auto"/>
        <w:right w:val="none" w:sz="0" w:space="0" w:color="auto"/>
      </w:divBdr>
    </w:div>
    <w:div w:id="1096557052">
      <w:bodyDiv w:val="1"/>
      <w:marLeft w:val="0"/>
      <w:marRight w:val="0"/>
      <w:marTop w:val="0"/>
      <w:marBottom w:val="0"/>
      <w:divBdr>
        <w:top w:val="none" w:sz="0" w:space="0" w:color="auto"/>
        <w:left w:val="none" w:sz="0" w:space="0" w:color="auto"/>
        <w:bottom w:val="none" w:sz="0" w:space="0" w:color="auto"/>
        <w:right w:val="none" w:sz="0" w:space="0" w:color="auto"/>
      </w:divBdr>
    </w:div>
    <w:div w:id="1107165658">
      <w:bodyDiv w:val="1"/>
      <w:marLeft w:val="0"/>
      <w:marRight w:val="0"/>
      <w:marTop w:val="0"/>
      <w:marBottom w:val="0"/>
      <w:divBdr>
        <w:top w:val="none" w:sz="0" w:space="0" w:color="auto"/>
        <w:left w:val="none" w:sz="0" w:space="0" w:color="auto"/>
        <w:bottom w:val="none" w:sz="0" w:space="0" w:color="auto"/>
        <w:right w:val="none" w:sz="0" w:space="0" w:color="auto"/>
      </w:divBdr>
    </w:div>
    <w:div w:id="1238784391">
      <w:bodyDiv w:val="1"/>
      <w:marLeft w:val="0"/>
      <w:marRight w:val="0"/>
      <w:marTop w:val="0"/>
      <w:marBottom w:val="0"/>
      <w:divBdr>
        <w:top w:val="none" w:sz="0" w:space="0" w:color="auto"/>
        <w:left w:val="none" w:sz="0" w:space="0" w:color="auto"/>
        <w:bottom w:val="none" w:sz="0" w:space="0" w:color="auto"/>
        <w:right w:val="none" w:sz="0" w:space="0" w:color="auto"/>
      </w:divBdr>
    </w:div>
    <w:div w:id="1264344983">
      <w:bodyDiv w:val="1"/>
      <w:marLeft w:val="0"/>
      <w:marRight w:val="0"/>
      <w:marTop w:val="0"/>
      <w:marBottom w:val="0"/>
      <w:divBdr>
        <w:top w:val="none" w:sz="0" w:space="0" w:color="auto"/>
        <w:left w:val="none" w:sz="0" w:space="0" w:color="auto"/>
        <w:bottom w:val="none" w:sz="0" w:space="0" w:color="auto"/>
        <w:right w:val="none" w:sz="0" w:space="0" w:color="auto"/>
      </w:divBdr>
    </w:div>
    <w:div w:id="1299189568">
      <w:bodyDiv w:val="1"/>
      <w:marLeft w:val="0"/>
      <w:marRight w:val="0"/>
      <w:marTop w:val="0"/>
      <w:marBottom w:val="0"/>
      <w:divBdr>
        <w:top w:val="none" w:sz="0" w:space="0" w:color="auto"/>
        <w:left w:val="none" w:sz="0" w:space="0" w:color="auto"/>
        <w:bottom w:val="none" w:sz="0" w:space="0" w:color="auto"/>
        <w:right w:val="none" w:sz="0" w:space="0" w:color="auto"/>
      </w:divBdr>
    </w:div>
    <w:div w:id="1312324295">
      <w:bodyDiv w:val="1"/>
      <w:marLeft w:val="0"/>
      <w:marRight w:val="0"/>
      <w:marTop w:val="0"/>
      <w:marBottom w:val="0"/>
      <w:divBdr>
        <w:top w:val="none" w:sz="0" w:space="0" w:color="auto"/>
        <w:left w:val="none" w:sz="0" w:space="0" w:color="auto"/>
        <w:bottom w:val="none" w:sz="0" w:space="0" w:color="auto"/>
        <w:right w:val="none" w:sz="0" w:space="0" w:color="auto"/>
      </w:divBdr>
    </w:div>
    <w:div w:id="1468278912">
      <w:bodyDiv w:val="1"/>
      <w:marLeft w:val="0"/>
      <w:marRight w:val="0"/>
      <w:marTop w:val="0"/>
      <w:marBottom w:val="0"/>
      <w:divBdr>
        <w:top w:val="none" w:sz="0" w:space="0" w:color="auto"/>
        <w:left w:val="none" w:sz="0" w:space="0" w:color="auto"/>
        <w:bottom w:val="none" w:sz="0" w:space="0" w:color="auto"/>
        <w:right w:val="none" w:sz="0" w:space="0" w:color="auto"/>
      </w:divBdr>
    </w:div>
    <w:div w:id="1505827403">
      <w:bodyDiv w:val="1"/>
      <w:marLeft w:val="0"/>
      <w:marRight w:val="0"/>
      <w:marTop w:val="0"/>
      <w:marBottom w:val="0"/>
      <w:divBdr>
        <w:top w:val="none" w:sz="0" w:space="0" w:color="auto"/>
        <w:left w:val="none" w:sz="0" w:space="0" w:color="auto"/>
        <w:bottom w:val="none" w:sz="0" w:space="0" w:color="auto"/>
        <w:right w:val="none" w:sz="0" w:space="0" w:color="auto"/>
      </w:divBdr>
    </w:div>
    <w:div w:id="1569148040">
      <w:bodyDiv w:val="1"/>
      <w:marLeft w:val="0"/>
      <w:marRight w:val="0"/>
      <w:marTop w:val="0"/>
      <w:marBottom w:val="0"/>
      <w:divBdr>
        <w:top w:val="none" w:sz="0" w:space="0" w:color="auto"/>
        <w:left w:val="none" w:sz="0" w:space="0" w:color="auto"/>
        <w:bottom w:val="none" w:sz="0" w:space="0" w:color="auto"/>
        <w:right w:val="none" w:sz="0" w:space="0" w:color="auto"/>
      </w:divBdr>
    </w:div>
    <w:div w:id="1662587763">
      <w:bodyDiv w:val="1"/>
      <w:marLeft w:val="0"/>
      <w:marRight w:val="0"/>
      <w:marTop w:val="0"/>
      <w:marBottom w:val="0"/>
      <w:divBdr>
        <w:top w:val="none" w:sz="0" w:space="0" w:color="auto"/>
        <w:left w:val="none" w:sz="0" w:space="0" w:color="auto"/>
        <w:bottom w:val="none" w:sz="0" w:space="0" w:color="auto"/>
        <w:right w:val="none" w:sz="0" w:space="0" w:color="auto"/>
      </w:divBdr>
    </w:div>
    <w:div w:id="1737512105">
      <w:bodyDiv w:val="1"/>
      <w:marLeft w:val="0"/>
      <w:marRight w:val="0"/>
      <w:marTop w:val="0"/>
      <w:marBottom w:val="0"/>
      <w:divBdr>
        <w:top w:val="none" w:sz="0" w:space="0" w:color="auto"/>
        <w:left w:val="none" w:sz="0" w:space="0" w:color="auto"/>
        <w:bottom w:val="none" w:sz="0" w:space="0" w:color="auto"/>
        <w:right w:val="none" w:sz="0" w:space="0" w:color="auto"/>
      </w:divBdr>
    </w:div>
    <w:div w:id="1776438165">
      <w:bodyDiv w:val="1"/>
      <w:marLeft w:val="0"/>
      <w:marRight w:val="0"/>
      <w:marTop w:val="0"/>
      <w:marBottom w:val="0"/>
      <w:divBdr>
        <w:top w:val="none" w:sz="0" w:space="0" w:color="auto"/>
        <w:left w:val="none" w:sz="0" w:space="0" w:color="auto"/>
        <w:bottom w:val="none" w:sz="0" w:space="0" w:color="auto"/>
        <w:right w:val="none" w:sz="0" w:space="0" w:color="auto"/>
      </w:divBdr>
    </w:div>
    <w:div w:id="1797408804">
      <w:bodyDiv w:val="1"/>
      <w:marLeft w:val="0"/>
      <w:marRight w:val="0"/>
      <w:marTop w:val="0"/>
      <w:marBottom w:val="0"/>
      <w:divBdr>
        <w:top w:val="none" w:sz="0" w:space="0" w:color="auto"/>
        <w:left w:val="none" w:sz="0" w:space="0" w:color="auto"/>
        <w:bottom w:val="none" w:sz="0" w:space="0" w:color="auto"/>
        <w:right w:val="none" w:sz="0" w:space="0" w:color="auto"/>
      </w:divBdr>
    </w:div>
    <w:div w:id="1803884573">
      <w:bodyDiv w:val="1"/>
      <w:marLeft w:val="0"/>
      <w:marRight w:val="0"/>
      <w:marTop w:val="0"/>
      <w:marBottom w:val="0"/>
      <w:divBdr>
        <w:top w:val="none" w:sz="0" w:space="0" w:color="auto"/>
        <w:left w:val="none" w:sz="0" w:space="0" w:color="auto"/>
        <w:bottom w:val="none" w:sz="0" w:space="0" w:color="auto"/>
        <w:right w:val="none" w:sz="0" w:space="0" w:color="auto"/>
      </w:divBdr>
    </w:div>
    <w:div w:id="1806509232">
      <w:bodyDiv w:val="1"/>
      <w:marLeft w:val="0"/>
      <w:marRight w:val="0"/>
      <w:marTop w:val="0"/>
      <w:marBottom w:val="0"/>
      <w:divBdr>
        <w:top w:val="none" w:sz="0" w:space="0" w:color="auto"/>
        <w:left w:val="none" w:sz="0" w:space="0" w:color="auto"/>
        <w:bottom w:val="none" w:sz="0" w:space="0" w:color="auto"/>
        <w:right w:val="none" w:sz="0" w:space="0" w:color="auto"/>
      </w:divBdr>
    </w:div>
    <w:div w:id="1813860933">
      <w:bodyDiv w:val="1"/>
      <w:marLeft w:val="0"/>
      <w:marRight w:val="0"/>
      <w:marTop w:val="0"/>
      <w:marBottom w:val="0"/>
      <w:divBdr>
        <w:top w:val="none" w:sz="0" w:space="0" w:color="auto"/>
        <w:left w:val="none" w:sz="0" w:space="0" w:color="auto"/>
        <w:bottom w:val="none" w:sz="0" w:space="0" w:color="auto"/>
        <w:right w:val="none" w:sz="0" w:space="0" w:color="auto"/>
      </w:divBdr>
    </w:div>
    <w:div w:id="1859612408">
      <w:bodyDiv w:val="1"/>
      <w:marLeft w:val="0"/>
      <w:marRight w:val="0"/>
      <w:marTop w:val="0"/>
      <w:marBottom w:val="0"/>
      <w:divBdr>
        <w:top w:val="none" w:sz="0" w:space="0" w:color="auto"/>
        <w:left w:val="none" w:sz="0" w:space="0" w:color="auto"/>
        <w:bottom w:val="none" w:sz="0" w:space="0" w:color="auto"/>
        <w:right w:val="none" w:sz="0" w:space="0" w:color="auto"/>
      </w:divBdr>
    </w:div>
    <w:div w:id="1921409386">
      <w:bodyDiv w:val="1"/>
      <w:marLeft w:val="0"/>
      <w:marRight w:val="0"/>
      <w:marTop w:val="0"/>
      <w:marBottom w:val="0"/>
      <w:divBdr>
        <w:top w:val="none" w:sz="0" w:space="0" w:color="auto"/>
        <w:left w:val="none" w:sz="0" w:space="0" w:color="auto"/>
        <w:bottom w:val="none" w:sz="0" w:space="0" w:color="auto"/>
        <w:right w:val="none" w:sz="0" w:space="0" w:color="auto"/>
      </w:divBdr>
    </w:div>
    <w:div w:id="1956910864">
      <w:bodyDiv w:val="1"/>
      <w:marLeft w:val="0"/>
      <w:marRight w:val="0"/>
      <w:marTop w:val="0"/>
      <w:marBottom w:val="0"/>
      <w:divBdr>
        <w:top w:val="none" w:sz="0" w:space="0" w:color="auto"/>
        <w:left w:val="none" w:sz="0" w:space="0" w:color="auto"/>
        <w:bottom w:val="none" w:sz="0" w:space="0" w:color="auto"/>
        <w:right w:val="none" w:sz="0" w:space="0" w:color="auto"/>
      </w:divBdr>
    </w:div>
    <w:div w:id="2022080367">
      <w:bodyDiv w:val="1"/>
      <w:marLeft w:val="0"/>
      <w:marRight w:val="0"/>
      <w:marTop w:val="0"/>
      <w:marBottom w:val="0"/>
      <w:divBdr>
        <w:top w:val="none" w:sz="0" w:space="0" w:color="auto"/>
        <w:left w:val="none" w:sz="0" w:space="0" w:color="auto"/>
        <w:bottom w:val="none" w:sz="0" w:space="0" w:color="auto"/>
        <w:right w:val="none" w:sz="0" w:space="0" w:color="auto"/>
      </w:divBdr>
    </w:div>
    <w:div w:id="2094743800">
      <w:bodyDiv w:val="1"/>
      <w:marLeft w:val="0"/>
      <w:marRight w:val="0"/>
      <w:marTop w:val="0"/>
      <w:marBottom w:val="0"/>
      <w:divBdr>
        <w:top w:val="none" w:sz="0" w:space="0" w:color="auto"/>
        <w:left w:val="none" w:sz="0" w:space="0" w:color="auto"/>
        <w:bottom w:val="none" w:sz="0" w:space="0" w:color="auto"/>
        <w:right w:val="none" w:sz="0" w:space="0" w:color="auto"/>
      </w:divBdr>
    </w:div>
    <w:div w:id="213956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image" Target="media/image15.png"/><Relationship Id="rId21" Type="http://schemas.openxmlformats.org/officeDocument/2006/relationships/image" Target="media/image10.png"/><Relationship Id="rId34" Type="http://schemas.openxmlformats.org/officeDocument/2006/relationships/theme" Target="theme/theme1.xml"/><Relationship Id="rId47"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G"/><Relationship Id="rId25" Type="http://schemas.openxmlformats.org/officeDocument/2006/relationships/image" Target="media/image14.png"/><Relationship Id="rId33" Type="http://schemas.openxmlformats.org/officeDocument/2006/relationships/fontTable" Target="fontTable.xml"/><Relationship Id="rId46"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jpeg"/><Relationship Id="rId32" Type="http://schemas.openxmlformats.org/officeDocument/2006/relationships/hyperlink" Target="https://data.worldbank.org/data-catalog/CPIA" TargetMode="Externa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2.png"/><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8.jpeg"/><Relationship Id="rId31" Type="http://schemas.openxmlformats.org/officeDocument/2006/relationships/header" Target="header7.xm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1.jpeg"/><Relationship Id="rId27" Type="http://schemas.openxmlformats.org/officeDocument/2006/relationships/image" Target="media/image16.png"/><Relationship Id="rId30" Type="http://schemas.openxmlformats.org/officeDocument/2006/relationships/header" Target="header6.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un.org/ldcport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1354C1-39F5-4286-AC00-B0008CAF863E}"/>
</file>

<file path=customXml/itemProps2.xml><?xml version="1.0" encoding="utf-8"?>
<ds:datastoreItem xmlns:ds="http://schemas.openxmlformats.org/officeDocument/2006/customXml" ds:itemID="{2EB9E252-8395-4A29-B4BC-B2D91A152DC6}"/>
</file>

<file path=customXml/itemProps3.xml><?xml version="1.0" encoding="utf-8"?>
<ds:datastoreItem xmlns:ds="http://schemas.openxmlformats.org/officeDocument/2006/customXml" ds:itemID="{8A3D443B-9534-473F-A0BC-C52B3E2F97BF}"/>
</file>

<file path=customXml/itemProps4.xml><?xml version="1.0" encoding="utf-8"?>
<ds:datastoreItem xmlns:ds="http://schemas.openxmlformats.org/officeDocument/2006/customXml" ds:itemID="{B65A147E-0F06-4AF6-998F-728466DD30FC}"/>
</file>

<file path=docProps/app.xml><?xml version="1.0" encoding="utf-8"?>
<Properties xmlns="http://schemas.openxmlformats.org/officeDocument/2006/extended-properties" xmlns:vt="http://schemas.openxmlformats.org/officeDocument/2006/docPropsVTypes">
  <Template>Normal.dotm</Template>
  <TotalTime>0</TotalTime>
  <Pages>26</Pages>
  <Words>11070</Words>
  <Characters>63103</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2019-09-20T00:35:00Z</dcterms:created>
  <dcterms:modified xsi:type="dcterms:W3CDTF">2019-09-20T00:35:00Z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e5a44acc-85cf-4741-9bd9-ccc47efe7485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1265000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