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bookmarkStart w:id="0" w:name="_GoBack"/>
      <w:bookmarkEnd w:id="0"/>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763ECE96" wp14:editId="62883AE3">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1F4813F9" wp14:editId="2B32F473">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rsidR="00C6626C" w:rsidRPr="002A51CA" w:rsidRDefault="00C6626C" w:rsidP="002A51CA">
      <w:pPr>
        <w:pStyle w:val="Title"/>
        <w:spacing w:after="120" w:line="600" w:lineRule="exact"/>
        <w:rPr>
          <w:spacing w:val="-20"/>
          <w:sz w:val="60"/>
        </w:rPr>
      </w:pPr>
      <w:r w:rsidRPr="002A51CA">
        <w:rPr>
          <w:spacing w:val="-20"/>
          <w:sz w:val="60"/>
        </w:rPr>
        <w:t>Report 201</w:t>
      </w:r>
      <w:r w:rsidR="002309D8">
        <w:rPr>
          <w:spacing w:val="-20"/>
          <w:sz w:val="60"/>
        </w:rPr>
        <w:t>6</w:t>
      </w:r>
      <w:r w:rsidRPr="002A51CA">
        <w:rPr>
          <w:spacing w:val="-20"/>
          <w:sz w:val="60"/>
        </w:rPr>
        <w:t>-1</w:t>
      </w:r>
      <w:r w:rsidR="002309D8">
        <w:rPr>
          <w:spacing w:val="-20"/>
          <w:sz w:val="60"/>
        </w:rPr>
        <w:t>7</w:t>
      </w:r>
    </w:p>
    <w:p w:rsidR="00C6626C" w:rsidRDefault="0043158F" w:rsidP="00A56F14">
      <w:r>
        <w:rPr>
          <w:sz w:val="40"/>
        </w:rPr>
        <w:t>Vanuatu</w:t>
      </w:r>
    </w:p>
    <w:p w:rsidR="00C6626C" w:rsidRPr="002A51CA" w:rsidRDefault="00C6626C" w:rsidP="00A56F14">
      <w:pPr>
        <w:rPr>
          <w:sz w:val="24"/>
        </w:rPr>
      </w:pPr>
      <w:r w:rsidRPr="002A51CA">
        <w:rPr>
          <w:sz w:val="24"/>
        </w:rPr>
        <w:t>September 201</w:t>
      </w:r>
      <w:r w:rsidR="002309D8">
        <w:rPr>
          <w:sz w:val="24"/>
        </w:rPr>
        <w:t>7</w:t>
      </w:r>
    </w:p>
    <w:p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p>
    <w:p w:rsidR="00897578" w:rsidRPr="009C2EEF" w:rsidRDefault="00897578" w:rsidP="002A51CA">
      <w:r w:rsidRPr="009C2EEF">
        <w:t xml:space="preserve">This report outlines the progress of Australia’s aid in Vanuatu from July 2016 to June 2017. The program was implemented in line with Australia’s Vanuatu Aid Investment Plan 2015-16 to 2018-19 and reflects the </w:t>
      </w:r>
      <w:r w:rsidR="00B65DA6" w:rsidRPr="009C2EEF">
        <w:t xml:space="preserve">shared </w:t>
      </w:r>
      <w:r w:rsidRPr="009C2EEF">
        <w:t>priorities of the Australian and Vanuatu Governments</w:t>
      </w:r>
      <w:r w:rsidR="006305B1" w:rsidRPr="009C2EEF">
        <w:t xml:space="preserve"> to promote prosperity, reduce poverty and enhance stability by focussing on two overarching development outcomes: strengthening private sector development and enabling human development in Vanuatu</w:t>
      </w:r>
      <w:r w:rsidRPr="009C2EEF">
        <w:t>.</w:t>
      </w:r>
      <w:r w:rsidR="006305B1" w:rsidRPr="009C2EEF">
        <w:t xml:space="preserve"> </w:t>
      </w:r>
      <w:r w:rsidRPr="009C2EEF">
        <w:t xml:space="preserve"> </w:t>
      </w:r>
    </w:p>
    <w:p w:rsidR="00897578" w:rsidRPr="009C2EEF" w:rsidRDefault="00897578" w:rsidP="002A51CA">
      <w:r w:rsidRPr="009C2EEF">
        <w:t>In 2016-17, Australia provided $69.8 million in Official Development Assistance to Vanuatu through government, multilateral organisations, management contractors and non-government organisations. Australia’s a</w:t>
      </w:r>
      <w:r w:rsidR="00C6226F">
        <w:t>id program made good progress</w:t>
      </w:r>
      <w:r w:rsidRPr="009C2EEF">
        <w:t xml:space="preserve"> </w:t>
      </w:r>
      <w:r w:rsidR="00485EB8" w:rsidRPr="009C2EEF">
        <w:t xml:space="preserve">against our objectives </w:t>
      </w:r>
      <w:r w:rsidR="00DF7406">
        <w:t xml:space="preserve">in </w:t>
      </w:r>
      <w:r w:rsidRPr="009C2EEF">
        <w:t>2016-17</w:t>
      </w:r>
      <w:r w:rsidR="00253041" w:rsidRPr="009C2EEF">
        <w:t xml:space="preserve">, </w:t>
      </w:r>
      <w:r w:rsidRPr="009C2EEF">
        <w:t>enabling the people of Vanuatu to improve</w:t>
      </w:r>
      <w:r w:rsidR="00485EB8">
        <w:t xml:space="preserve"> their lives and livelihoods through</w:t>
      </w:r>
      <w:r w:rsidRPr="009C2EEF">
        <w:t xml:space="preserve"> increase</w:t>
      </w:r>
      <w:r w:rsidR="00485EB8">
        <w:t>d</w:t>
      </w:r>
      <w:r w:rsidRPr="009C2EEF">
        <w:t xml:space="preserve"> part</w:t>
      </w:r>
      <w:r w:rsidR="00485EB8">
        <w:t>icipation in the economy. K</w:t>
      </w:r>
      <w:r w:rsidRPr="009C2EEF">
        <w:t>ey achievements in 2016-17 attributable to Australian aid include:</w:t>
      </w:r>
    </w:p>
    <w:p w:rsidR="00897578" w:rsidRPr="009C2EEF" w:rsidRDefault="00F92AD9" w:rsidP="00F92AD9">
      <w:pPr>
        <w:pStyle w:val="ListParagraph"/>
        <w:numPr>
          <w:ilvl w:val="0"/>
          <w:numId w:val="42"/>
        </w:numPr>
        <w:rPr>
          <w:rFonts w:asciiTheme="minorHAnsi" w:eastAsiaTheme="minorHAnsi" w:hAnsiTheme="minorHAnsi" w:cstheme="minorBidi"/>
          <w:color w:val="495965" w:themeColor="text2"/>
          <w:sz w:val="22"/>
          <w:szCs w:val="22"/>
          <w:lang w:val="en-GB"/>
        </w:rPr>
      </w:pPr>
      <w:r w:rsidRPr="009C2EEF">
        <w:rPr>
          <w:rFonts w:asciiTheme="minorHAnsi" w:eastAsiaTheme="minorHAnsi" w:hAnsiTheme="minorHAnsi" w:cstheme="minorBidi"/>
          <w:color w:val="495965" w:themeColor="text2"/>
          <w:sz w:val="22"/>
          <w:szCs w:val="22"/>
          <w:lang w:val="en-GB"/>
        </w:rPr>
        <w:t>routine maintenance on 1,181 kilometres of rural roads, linking towns, markets and communities</w:t>
      </w:r>
    </w:p>
    <w:p w:rsidR="00897578" w:rsidRPr="009C2EEF" w:rsidRDefault="005D0D7A" w:rsidP="00A64285">
      <w:pPr>
        <w:pStyle w:val="ListParagraph"/>
        <w:numPr>
          <w:ilvl w:val="0"/>
          <w:numId w:val="42"/>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support for drafting</w:t>
      </w:r>
      <w:r w:rsidR="00F92AD9" w:rsidRPr="009C2EEF">
        <w:rPr>
          <w:rFonts w:asciiTheme="minorHAnsi" w:eastAsiaTheme="minorHAnsi" w:hAnsiTheme="minorHAnsi" w:cstheme="minorBidi"/>
          <w:color w:val="495965" w:themeColor="text2"/>
          <w:sz w:val="22"/>
          <w:szCs w:val="22"/>
          <w:lang w:val="en-GB"/>
        </w:rPr>
        <w:t xml:space="preserve"> </w:t>
      </w:r>
      <w:r w:rsidR="00485EB8">
        <w:rPr>
          <w:rFonts w:asciiTheme="minorHAnsi" w:eastAsiaTheme="minorHAnsi" w:hAnsiTheme="minorHAnsi" w:cstheme="minorBidi"/>
          <w:color w:val="495965" w:themeColor="text2"/>
          <w:sz w:val="22"/>
          <w:szCs w:val="22"/>
          <w:lang w:val="en-GB"/>
        </w:rPr>
        <w:t xml:space="preserve">legislation </w:t>
      </w:r>
      <w:r w:rsidR="00F92AD9" w:rsidRPr="009C2EEF">
        <w:rPr>
          <w:rFonts w:asciiTheme="minorHAnsi" w:eastAsiaTheme="minorHAnsi" w:hAnsiTheme="minorHAnsi" w:cstheme="minorBidi"/>
          <w:color w:val="495965" w:themeColor="text2"/>
          <w:sz w:val="22"/>
          <w:szCs w:val="22"/>
          <w:lang w:val="en-GB"/>
        </w:rPr>
        <w:t>address</w:t>
      </w:r>
      <w:r w:rsidR="00485EB8">
        <w:rPr>
          <w:rFonts w:asciiTheme="minorHAnsi" w:eastAsiaTheme="minorHAnsi" w:hAnsiTheme="minorHAnsi" w:cstheme="minorBidi"/>
          <w:color w:val="495965" w:themeColor="text2"/>
          <w:sz w:val="22"/>
          <w:szCs w:val="22"/>
          <w:lang w:val="en-GB"/>
        </w:rPr>
        <w:t>ing</w:t>
      </w:r>
      <w:r w:rsidR="00F92AD9" w:rsidRPr="009C2EEF">
        <w:rPr>
          <w:rFonts w:asciiTheme="minorHAnsi" w:eastAsiaTheme="minorHAnsi" w:hAnsiTheme="minorHAnsi" w:cstheme="minorBidi"/>
          <w:color w:val="495965" w:themeColor="text2"/>
          <w:sz w:val="22"/>
          <w:szCs w:val="22"/>
          <w:lang w:val="en-GB"/>
        </w:rPr>
        <w:t xml:space="preserve"> deficiencies in counter-terrorism financing and anti-money laundering systems</w:t>
      </w:r>
      <w:r w:rsidR="007D4819" w:rsidRPr="009C2EEF">
        <w:rPr>
          <w:rFonts w:asciiTheme="minorHAnsi" w:eastAsiaTheme="minorHAnsi" w:hAnsiTheme="minorHAnsi" w:cstheme="minorBidi"/>
          <w:color w:val="495965" w:themeColor="text2"/>
          <w:sz w:val="22"/>
          <w:szCs w:val="22"/>
          <w:lang w:val="en-GB"/>
        </w:rPr>
        <w:t xml:space="preserve">, </w:t>
      </w:r>
      <w:r w:rsidR="00A64285" w:rsidRPr="009C2EEF">
        <w:rPr>
          <w:rFonts w:asciiTheme="minorHAnsi" w:eastAsiaTheme="minorHAnsi" w:hAnsiTheme="minorHAnsi" w:cstheme="minorBidi"/>
          <w:color w:val="495965" w:themeColor="text2"/>
          <w:sz w:val="22"/>
          <w:szCs w:val="22"/>
          <w:lang w:val="en-GB"/>
        </w:rPr>
        <w:t>prevent</w:t>
      </w:r>
      <w:r w:rsidR="007D4819" w:rsidRPr="009C2EEF">
        <w:rPr>
          <w:rFonts w:asciiTheme="minorHAnsi" w:eastAsiaTheme="minorHAnsi" w:hAnsiTheme="minorHAnsi" w:cstheme="minorBidi"/>
          <w:color w:val="495965" w:themeColor="text2"/>
          <w:sz w:val="22"/>
          <w:szCs w:val="22"/>
          <w:lang w:val="en-GB"/>
        </w:rPr>
        <w:t>ing</w:t>
      </w:r>
      <w:r w:rsidR="00A64285" w:rsidRPr="009C2EEF">
        <w:rPr>
          <w:rFonts w:asciiTheme="minorHAnsi" w:eastAsiaTheme="minorHAnsi" w:hAnsiTheme="minorHAnsi" w:cstheme="minorBidi"/>
          <w:color w:val="495965" w:themeColor="text2"/>
          <w:sz w:val="22"/>
          <w:szCs w:val="22"/>
          <w:lang w:val="en-GB"/>
        </w:rPr>
        <w:t xml:space="preserve"> Vanuatu’s inclusion on the Financial Action Task Force’s dark grey list</w:t>
      </w:r>
    </w:p>
    <w:p w:rsidR="00DE3DF1" w:rsidRPr="009C2EEF" w:rsidRDefault="00DE3DF1" w:rsidP="00F92AD9">
      <w:pPr>
        <w:pStyle w:val="ListParagraph"/>
        <w:numPr>
          <w:ilvl w:val="0"/>
          <w:numId w:val="42"/>
        </w:numPr>
        <w:rPr>
          <w:rFonts w:asciiTheme="minorHAnsi" w:eastAsiaTheme="minorHAnsi" w:hAnsiTheme="minorHAnsi" w:cstheme="minorBidi"/>
          <w:color w:val="495965" w:themeColor="text2"/>
          <w:sz w:val="22"/>
          <w:szCs w:val="22"/>
          <w:lang w:val="en-GB"/>
        </w:rPr>
      </w:pPr>
      <w:r w:rsidRPr="009C2EEF">
        <w:rPr>
          <w:rFonts w:asciiTheme="minorHAnsi" w:eastAsiaTheme="minorHAnsi" w:hAnsiTheme="minorHAnsi" w:cstheme="minorBidi"/>
          <w:color w:val="495965" w:themeColor="text2"/>
          <w:sz w:val="22"/>
          <w:szCs w:val="22"/>
          <w:lang w:val="en-GB"/>
        </w:rPr>
        <w:t xml:space="preserve">implementing the new Language of Instruction policy in </w:t>
      </w:r>
      <w:r w:rsidR="007A7C61" w:rsidRPr="009C2EEF">
        <w:rPr>
          <w:rFonts w:asciiTheme="minorHAnsi" w:eastAsiaTheme="minorHAnsi" w:hAnsiTheme="minorHAnsi" w:cstheme="minorBidi"/>
          <w:color w:val="495965" w:themeColor="text2"/>
          <w:sz w:val="22"/>
          <w:szCs w:val="22"/>
          <w:lang w:val="en-GB"/>
        </w:rPr>
        <w:t>4</w:t>
      </w:r>
      <w:r w:rsidR="0032137B" w:rsidRPr="009C2EEF">
        <w:rPr>
          <w:rFonts w:asciiTheme="minorHAnsi" w:eastAsiaTheme="minorHAnsi" w:hAnsiTheme="minorHAnsi" w:cstheme="minorBidi"/>
          <w:color w:val="495965" w:themeColor="text2"/>
          <w:sz w:val="22"/>
          <w:szCs w:val="22"/>
          <w:lang w:val="en-GB"/>
        </w:rPr>
        <w:t>38</w:t>
      </w:r>
      <w:r w:rsidR="007D4819" w:rsidRPr="009C2EEF">
        <w:rPr>
          <w:rFonts w:asciiTheme="minorHAnsi" w:eastAsiaTheme="minorHAnsi" w:hAnsiTheme="minorHAnsi" w:cstheme="minorBidi"/>
          <w:color w:val="495965" w:themeColor="text2"/>
          <w:sz w:val="22"/>
          <w:szCs w:val="22"/>
          <w:lang w:val="en-GB"/>
        </w:rPr>
        <w:t xml:space="preserve"> </w:t>
      </w:r>
      <w:r w:rsidRPr="009C2EEF">
        <w:rPr>
          <w:rFonts w:asciiTheme="minorHAnsi" w:eastAsiaTheme="minorHAnsi" w:hAnsiTheme="minorHAnsi" w:cstheme="minorBidi"/>
          <w:color w:val="495965" w:themeColor="text2"/>
          <w:sz w:val="22"/>
          <w:szCs w:val="22"/>
          <w:lang w:val="en-GB"/>
        </w:rPr>
        <w:t>primary schools</w:t>
      </w:r>
      <w:r w:rsidR="007D4819" w:rsidRPr="009C2EEF">
        <w:rPr>
          <w:rFonts w:asciiTheme="minorHAnsi" w:eastAsiaTheme="minorHAnsi" w:hAnsiTheme="minorHAnsi" w:cstheme="minorBidi"/>
          <w:color w:val="495965" w:themeColor="text2"/>
          <w:sz w:val="22"/>
          <w:szCs w:val="22"/>
          <w:lang w:val="en-GB"/>
        </w:rPr>
        <w:t xml:space="preserve"> across Vanuatu</w:t>
      </w:r>
      <w:r w:rsidR="005D0D7A">
        <w:rPr>
          <w:rFonts w:asciiTheme="minorHAnsi" w:eastAsiaTheme="minorHAnsi" w:hAnsiTheme="minorHAnsi" w:cstheme="minorBidi"/>
          <w:color w:val="495965" w:themeColor="text2"/>
          <w:sz w:val="22"/>
          <w:szCs w:val="22"/>
          <w:lang w:val="en-GB"/>
        </w:rPr>
        <w:t xml:space="preserve">, promoting teaching in mother tongue to </w:t>
      </w:r>
      <w:r w:rsidRPr="009C2EEF">
        <w:rPr>
          <w:rFonts w:asciiTheme="minorHAnsi" w:eastAsiaTheme="minorHAnsi" w:hAnsiTheme="minorHAnsi" w:cstheme="minorBidi"/>
          <w:color w:val="495965" w:themeColor="text2"/>
          <w:sz w:val="22"/>
          <w:szCs w:val="22"/>
          <w:lang w:val="en-GB"/>
        </w:rPr>
        <w:t>increase participation of children in the early years of school</w:t>
      </w:r>
    </w:p>
    <w:p w:rsidR="008D5605" w:rsidRPr="009C2EEF" w:rsidRDefault="005D0D7A" w:rsidP="00F92AD9">
      <w:pPr>
        <w:pStyle w:val="ListParagraph"/>
        <w:numPr>
          <w:ilvl w:val="0"/>
          <w:numId w:val="42"/>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s</w:t>
      </w:r>
      <w:r w:rsidR="008D5605" w:rsidRPr="009C2EEF">
        <w:rPr>
          <w:rFonts w:asciiTheme="minorHAnsi" w:eastAsiaTheme="minorHAnsi" w:hAnsiTheme="minorHAnsi" w:cstheme="minorBidi"/>
          <w:color w:val="495965" w:themeColor="text2"/>
          <w:sz w:val="22"/>
          <w:szCs w:val="22"/>
          <w:lang w:val="en-GB"/>
        </w:rPr>
        <w:t>k</w:t>
      </w:r>
      <w:r w:rsidR="002618F5" w:rsidRPr="009C2EEF">
        <w:rPr>
          <w:rFonts w:asciiTheme="minorHAnsi" w:eastAsiaTheme="minorHAnsi" w:hAnsiTheme="minorHAnsi" w:cstheme="minorBidi"/>
          <w:color w:val="495965" w:themeColor="text2"/>
          <w:sz w:val="22"/>
          <w:szCs w:val="22"/>
          <w:lang w:val="en-GB"/>
        </w:rPr>
        <w:t>ills training to 834 people (42 per cent female; 4 per cent</w:t>
      </w:r>
      <w:r w:rsidR="008D5605" w:rsidRPr="009C2EEF">
        <w:rPr>
          <w:rFonts w:asciiTheme="minorHAnsi" w:eastAsiaTheme="minorHAnsi" w:hAnsiTheme="minorHAnsi" w:cstheme="minorBidi"/>
          <w:color w:val="495965" w:themeColor="text2"/>
          <w:sz w:val="22"/>
          <w:szCs w:val="22"/>
          <w:lang w:val="en-GB"/>
        </w:rPr>
        <w:t xml:space="preserve"> with a disabil</w:t>
      </w:r>
      <w:r w:rsidR="002618F5" w:rsidRPr="009C2EEF">
        <w:rPr>
          <w:rFonts w:asciiTheme="minorHAnsi" w:eastAsiaTheme="minorHAnsi" w:hAnsiTheme="minorHAnsi" w:cstheme="minorBidi"/>
          <w:color w:val="495965" w:themeColor="text2"/>
          <w:sz w:val="22"/>
          <w:szCs w:val="22"/>
          <w:lang w:val="en-GB"/>
        </w:rPr>
        <w:t>ity; 21 per cent</w:t>
      </w:r>
      <w:r w:rsidR="008D5605" w:rsidRPr="009C2EEF">
        <w:rPr>
          <w:rFonts w:asciiTheme="minorHAnsi" w:eastAsiaTheme="minorHAnsi" w:hAnsiTheme="minorHAnsi" w:cstheme="minorBidi"/>
          <w:color w:val="495965" w:themeColor="text2"/>
          <w:sz w:val="22"/>
          <w:szCs w:val="22"/>
          <w:lang w:val="en-GB"/>
        </w:rPr>
        <w:t xml:space="preserve"> youth) </w:t>
      </w:r>
    </w:p>
    <w:p w:rsidR="00897578" w:rsidRPr="009C2EEF" w:rsidRDefault="00F92AD9" w:rsidP="00F92AD9">
      <w:pPr>
        <w:pStyle w:val="ListParagraph"/>
        <w:numPr>
          <w:ilvl w:val="0"/>
          <w:numId w:val="42"/>
        </w:numPr>
        <w:rPr>
          <w:rFonts w:asciiTheme="minorHAnsi" w:eastAsiaTheme="minorHAnsi" w:hAnsiTheme="minorHAnsi" w:cstheme="minorBidi"/>
          <w:color w:val="495965" w:themeColor="text2"/>
          <w:sz w:val="22"/>
          <w:szCs w:val="22"/>
          <w:lang w:val="en-GB"/>
        </w:rPr>
      </w:pPr>
      <w:r w:rsidRPr="009C2EEF">
        <w:rPr>
          <w:rFonts w:asciiTheme="minorHAnsi" w:eastAsiaTheme="minorHAnsi" w:hAnsiTheme="minorHAnsi" w:cstheme="minorBidi"/>
          <w:color w:val="495965" w:themeColor="text2"/>
          <w:sz w:val="22"/>
          <w:szCs w:val="22"/>
          <w:lang w:val="en-GB"/>
        </w:rPr>
        <w:t xml:space="preserve">supporting 72 ni-Vanuatu students </w:t>
      </w:r>
      <w:r w:rsidR="00B5489C" w:rsidRPr="009C2EEF">
        <w:rPr>
          <w:rFonts w:asciiTheme="minorHAnsi" w:eastAsiaTheme="minorHAnsi" w:hAnsiTheme="minorHAnsi" w:cstheme="minorBidi"/>
          <w:color w:val="495965" w:themeColor="text2"/>
          <w:sz w:val="22"/>
          <w:szCs w:val="22"/>
          <w:lang w:val="en-GB"/>
        </w:rPr>
        <w:t xml:space="preserve">(30 men, 42 women) </w:t>
      </w:r>
      <w:r w:rsidRPr="009C2EEF">
        <w:rPr>
          <w:rFonts w:asciiTheme="minorHAnsi" w:eastAsiaTheme="minorHAnsi" w:hAnsiTheme="minorHAnsi" w:cstheme="minorBidi"/>
          <w:color w:val="495965" w:themeColor="text2"/>
          <w:sz w:val="22"/>
          <w:szCs w:val="22"/>
          <w:lang w:val="en-GB"/>
        </w:rPr>
        <w:t xml:space="preserve">to undertake study, research and professional development in Australia and the </w:t>
      </w:r>
      <w:r w:rsidR="005D0D7A">
        <w:rPr>
          <w:rFonts w:asciiTheme="minorHAnsi" w:eastAsiaTheme="minorHAnsi" w:hAnsiTheme="minorHAnsi" w:cstheme="minorBidi"/>
          <w:color w:val="495965" w:themeColor="text2"/>
          <w:sz w:val="22"/>
          <w:szCs w:val="22"/>
          <w:lang w:val="en-GB"/>
        </w:rPr>
        <w:t xml:space="preserve">Pacific </w:t>
      </w:r>
      <w:r w:rsidRPr="009C2EEF">
        <w:rPr>
          <w:rFonts w:asciiTheme="minorHAnsi" w:eastAsiaTheme="minorHAnsi" w:hAnsiTheme="minorHAnsi" w:cstheme="minorBidi"/>
          <w:color w:val="495965" w:themeColor="text2"/>
          <w:sz w:val="22"/>
          <w:szCs w:val="22"/>
          <w:lang w:val="en-GB"/>
        </w:rPr>
        <w:t>region</w:t>
      </w:r>
    </w:p>
    <w:p w:rsidR="00F92AD9" w:rsidRPr="009C2EEF" w:rsidRDefault="00F92AD9" w:rsidP="00F92AD9">
      <w:pPr>
        <w:pStyle w:val="ListParagraph"/>
        <w:numPr>
          <w:ilvl w:val="0"/>
          <w:numId w:val="42"/>
        </w:numPr>
        <w:rPr>
          <w:rFonts w:asciiTheme="minorHAnsi" w:eastAsiaTheme="minorHAnsi" w:hAnsiTheme="minorHAnsi" w:cstheme="minorBidi"/>
          <w:color w:val="495965" w:themeColor="text2"/>
          <w:sz w:val="22"/>
          <w:szCs w:val="22"/>
          <w:lang w:val="en-GB"/>
        </w:rPr>
      </w:pPr>
      <w:r w:rsidRPr="009C2EEF">
        <w:rPr>
          <w:rFonts w:asciiTheme="minorHAnsi" w:eastAsiaTheme="minorHAnsi" w:hAnsiTheme="minorHAnsi" w:cstheme="minorBidi"/>
          <w:color w:val="495965" w:themeColor="text2"/>
          <w:sz w:val="22"/>
          <w:szCs w:val="22"/>
          <w:lang w:val="en-GB"/>
        </w:rPr>
        <w:t>supporting long-term recovery from Tropical Cyclone</w:t>
      </w:r>
      <w:r w:rsidR="00456CE4">
        <w:rPr>
          <w:rFonts w:asciiTheme="minorHAnsi" w:eastAsiaTheme="minorHAnsi" w:hAnsiTheme="minorHAnsi" w:cstheme="minorBidi"/>
          <w:color w:val="495965" w:themeColor="text2"/>
          <w:sz w:val="22"/>
          <w:szCs w:val="22"/>
          <w:lang w:val="en-GB"/>
        </w:rPr>
        <w:t xml:space="preserve"> (TC)</w:t>
      </w:r>
      <w:r w:rsidRPr="009C2EEF">
        <w:rPr>
          <w:rFonts w:asciiTheme="minorHAnsi" w:eastAsiaTheme="minorHAnsi" w:hAnsiTheme="minorHAnsi" w:cstheme="minorBidi"/>
          <w:color w:val="495965" w:themeColor="text2"/>
          <w:sz w:val="22"/>
          <w:szCs w:val="22"/>
          <w:lang w:val="en-GB"/>
        </w:rPr>
        <w:t xml:space="preserve"> Pam, </w:t>
      </w:r>
      <w:r w:rsidR="00AF1FF8" w:rsidRPr="009C2EEF">
        <w:rPr>
          <w:rFonts w:asciiTheme="minorHAnsi" w:eastAsiaTheme="minorHAnsi" w:hAnsiTheme="minorHAnsi" w:cstheme="minorBidi"/>
          <w:color w:val="495965" w:themeColor="text2"/>
          <w:sz w:val="22"/>
          <w:szCs w:val="22"/>
          <w:lang w:val="en-GB"/>
        </w:rPr>
        <w:t>including</w:t>
      </w:r>
      <w:r w:rsidRPr="009C2EEF">
        <w:rPr>
          <w:rFonts w:asciiTheme="minorHAnsi" w:eastAsiaTheme="minorHAnsi" w:hAnsiTheme="minorHAnsi" w:cstheme="minorBidi"/>
          <w:color w:val="495965" w:themeColor="text2"/>
          <w:sz w:val="22"/>
          <w:szCs w:val="22"/>
          <w:lang w:val="en-GB"/>
        </w:rPr>
        <w:t xml:space="preserve"> </w:t>
      </w:r>
      <w:r w:rsidR="00A64285" w:rsidRPr="009C2EEF">
        <w:rPr>
          <w:rFonts w:asciiTheme="minorHAnsi" w:eastAsiaTheme="minorHAnsi" w:hAnsiTheme="minorHAnsi" w:cstheme="minorBidi"/>
          <w:color w:val="495965" w:themeColor="text2"/>
          <w:sz w:val="22"/>
          <w:szCs w:val="22"/>
          <w:lang w:val="en-GB"/>
        </w:rPr>
        <w:t>provision of 54,000 coconut see</w:t>
      </w:r>
      <w:r w:rsidR="007D4819" w:rsidRPr="009C2EEF">
        <w:rPr>
          <w:rFonts w:asciiTheme="minorHAnsi" w:eastAsiaTheme="minorHAnsi" w:hAnsiTheme="minorHAnsi" w:cstheme="minorBidi"/>
          <w:color w:val="495965" w:themeColor="text2"/>
          <w:sz w:val="22"/>
          <w:szCs w:val="22"/>
          <w:lang w:val="en-GB"/>
        </w:rPr>
        <w:t>d</w:t>
      </w:r>
      <w:r w:rsidR="00A64285" w:rsidRPr="009C2EEF">
        <w:rPr>
          <w:rFonts w:asciiTheme="minorHAnsi" w:eastAsiaTheme="minorHAnsi" w:hAnsiTheme="minorHAnsi" w:cstheme="minorBidi"/>
          <w:color w:val="495965" w:themeColor="text2"/>
          <w:sz w:val="22"/>
          <w:szCs w:val="22"/>
          <w:lang w:val="en-GB"/>
        </w:rPr>
        <w:t xml:space="preserve">lings and 68,000 crop-replanting materials delivered to </w:t>
      </w:r>
      <w:r w:rsidR="007D4819" w:rsidRPr="009C2EEF">
        <w:rPr>
          <w:rFonts w:asciiTheme="minorHAnsi" w:eastAsiaTheme="minorHAnsi" w:hAnsiTheme="minorHAnsi" w:cstheme="minorBidi"/>
          <w:color w:val="495965" w:themeColor="text2"/>
          <w:sz w:val="22"/>
          <w:szCs w:val="22"/>
          <w:lang w:val="en-GB"/>
        </w:rPr>
        <w:t xml:space="preserve">1,000 households and 500 farmers, </w:t>
      </w:r>
      <w:r w:rsidRPr="009C2EEF">
        <w:rPr>
          <w:rFonts w:asciiTheme="minorHAnsi" w:eastAsiaTheme="minorHAnsi" w:hAnsiTheme="minorHAnsi" w:cstheme="minorBidi"/>
          <w:color w:val="495965" w:themeColor="text2"/>
          <w:sz w:val="22"/>
          <w:szCs w:val="22"/>
          <w:lang w:val="en-GB"/>
        </w:rPr>
        <w:t>completion of three health centres</w:t>
      </w:r>
      <w:r w:rsidR="00B65DA6" w:rsidRPr="009C2EEF">
        <w:rPr>
          <w:rFonts w:asciiTheme="minorHAnsi" w:eastAsiaTheme="minorHAnsi" w:hAnsiTheme="minorHAnsi" w:cstheme="minorBidi"/>
          <w:color w:val="495965" w:themeColor="text2"/>
          <w:sz w:val="22"/>
          <w:szCs w:val="22"/>
          <w:lang w:val="en-GB"/>
        </w:rPr>
        <w:t xml:space="preserve"> and</w:t>
      </w:r>
      <w:r w:rsidRPr="009C2EEF">
        <w:rPr>
          <w:rFonts w:asciiTheme="minorHAnsi" w:eastAsiaTheme="minorHAnsi" w:hAnsiTheme="minorHAnsi" w:cstheme="minorBidi"/>
          <w:color w:val="495965" w:themeColor="text2"/>
          <w:sz w:val="22"/>
          <w:szCs w:val="22"/>
          <w:lang w:val="en-GB"/>
        </w:rPr>
        <w:t xml:space="preserve"> eight tourism </w:t>
      </w:r>
      <w:r w:rsidR="00B65DA6" w:rsidRPr="009C2EEF">
        <w:rPr>
          <w:rFonts w:asciiTheme="minorHAnsi" w:eastAsiaTheme="minorHAnsi" w:hAnsiTheme="minorHAnsi" w:cstheme="minorBidi"/>
          <w:color w:val="495965" w:themeColor="text2"/>
          <w:sz w:val="22"/>
          <w:szCs w:val="22"/>
          <w:lang w:val="en-GB"/>
        </w:rPr>
        <w:t>bungalows</w:t>
      </w:r>
      <w:r w:rsidR="007D4819" w:rsidRPr="009C2EEF">
        <w:rPr>
          <w:rFonts w:asciiTheme="minorHAnsi" w:eastAsiaTheme="minorHAnsi" w:hAnsiTheme="minorHAnsi" w:cstheme="minorBidi"/>
          <w:color w:val="495965" w:themeColor="text2"/>
          <w:sz w:val="22"/>
          <w:szCs w:val="22"/>
          <w:lang w:val="en-GB"/>
        </w:rPr>
        <w:t>; and rehabilitation of 14 rainwater or gravity fed systems</w:t>
      </w:r>
      <w:r w:rsidR="00B65DA6" w:rsidRPr="009C2EEF">
        <w:rPr>
          <w:rFonts w:asciiTheme="minorHAnsi" w:eastAsiaTheme="minorHAnsi" w:hAnsiTheme="minorHAnsi" w:cstheme="minorBidi"/>
          <w:color w:val="495965" w:themeColor="text2"/>
          <w:sz w:val="22"/>
          <w:szCs w:val="22"/>
          <w:lang w:val="en-GB"/>
        </w:rPr>
        <w:t>.</w:t>
      </w:r>
    </w:p>
    <w:p w:rsidR="00897578" w:rsidRPr="009C2EEF" w:rsidRDefault="005D0D7A" w:rsidP="00F92AD9">
      <w:r>
        <w:t xml:space="preserve">Priorities in </w:t>
      </w:r>
      <w:r w:rsidR="00801E79" w:rsidRPr="009C2EEF">
        <w:t>2017-18</w:t>
      </w:r>
      <w:r w:rsidR="00897578" w:rsidRPr="009C2EEF">
        <w:t xml:space="preserve"> will </w:t>
      </w:r>
      <w:r>
        <w:t xml:space="preserve">include </w:t>
      </w:r>
      <w:r w:rsidR="00B65DA6" w:rsidRPr="009C2EEF">
        <w:t xml:space="preserve">managing ongoing </w:t>
      </w:r>
      <w:r w:rsidR="00F92AD9" w:rsidRPr="009C2EEF">
        <w:t xml:space="preserve">implementation of the </w:t>
      </w:r>
      <w:r w:rsidR="00456CE4">
        <w:t>TC</w:t>
      </w:r>
      <w:r w:rsidR="00F92AD9" w:rsidRPr="009C2EEF">
        <w:t xml:space="preserve"> Pam recovery </w:t>
      </w:r>
      <w:r w:rsidR="00A20DCD">
        <w:t>program</w:t>
      </w:r>
      <w:r>
        <w:t>,</w:t>
      </w:r>
      <w:r w:rsidR="00A20DCD">
        <w:t xml:space="preserve"> </w:t>
      </w:r>
      <w:r w:rsidR="00F92AD9" w:rsidRPr="009C2EEF">
        <w:t>and the design and implementation of new phases of health</w:t>
      </w:r>
      <w:r w:rsidR="007A7C61" w:rsidRPr="009C2EEF">
        <w:t xml:space="preserve">, </w:t>
      </w:r>
      <w:r w:rsidR="00F37F65" w:rsidRPr="009C2EEF">
        <w:t>infrastructure, education</w:t>
      </w:r>
      <w:r w:rsidR="00A05942" w:rsidRPr="009C2EEF">
        <w:t xml:space="preserve"> and governance</w:t>
      </w:r>
      <w:r>
        <w:t xml:space="preserve"> programs</w:t>
      </w:r>
      <w:r w:rsidR="00F92AD9" w:rsidRPr="009C2EEF">
        <w:t>. DFAT will updat</w:t>
      </w:r>
      <w:r w:rsidR="007A7C61" w:rsidRPr="009C2EEF">
        <w:t>e</w:t>
      </w:r>
      <w:r w:rsidR="00F92AD9" w:rsidRPr="009C2EEF">
        <w:t xml:space="preserve"> the Aid Investment Plan to </w:t>
      </w:r>
      <w:r w:rsidR="007A7C61" w:rsidRPr="009C2EEF">
        <w:t xml:space="preserve">reflect </w:t>
      </w:r>
      <w:r w:rsidR="00F92AD9" w:rsidRPr="009C2EEF">
        <w:t>the Australia-Vanuatu Aid Partnership Arrangement signed in December 2016</w:t>
      </w:r>
      <w:r w:rsidR="00963AA4">
        <w:t>,</w:t>
      </w:r>
      <w:r w:rsidR="006305B1" w:rsidRPr="009C2EEF">
        <w:t xml:space="preserve"> as well as Vanuatu’s National Sustainable Development Plan</w:t>
      </w:r>
      <w:r>
        <w:t xml:space="preserve"> launched in early 2017</w:t>
      </w:r>
      <w:r w:rsidR="00F92AD9" w:rsidRPr="009C2EEF">
        <w:t xml:space="preserve">. </w:t>
      </w:r>
    </w:p>
    <w:p w:rsidR="00B43A73" w:rsidRDefault="00C6626C" w:rsidP="00F73EB1">
      <w:pPr>
        <w:pStyle w:val="ListBullet"/>
        <w:tabs>
          <w:tab w:val="clear" w:pos="284"/>
        </w:tabs>
        <w:spacing w:before="360"/>
      </w:pPr>
      <w:r w:rsidRPr="002A51CA">
        <w:rPr>
          <w:rFonts w:asciiTheme="majorHAnsi" w:eastAsiaTheme="majorEastAsia" w:hAnsiTheme="majorHAnsi" w:cstheme="majorBidi"/>
          <w:caps/>
          <w:color w:val="495965" w:themeColor="text2"/>
          <w:sz w:val="38"/>
          <w:szCs w:val="26"/>
          <w:lang w:val="en-GB" w:eastAsia="en-US"/>
        </w:rPr>
        <w:t xml:space="preserve">Context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rsidR="00E41D4C" w:rsidRPr="00257EA0" w:rsidRDefault="00257EA0" w:rsidP="00177FCF">
      <w:r>
        <w:t>Australia and Vanuatu have a close and strong bilateral relationship. Australia is Vanuatu’s largest aid donor</w:t>
      </w:r>
      <w:r w:rsidR="007A7C61">
        <w:t xml:space="preserve"> and</w:t>
      </w:r>
      <w:r>
        <w:t xml:space="preserve"> cl</w:t>
      </w:r>
      <w:r w:rsidR="00E43188">
        <w:t>osest security partner</w:t>
      </w:r>
      <w:r w:rsidR="009C2EEF">
        <w:t xml:space="preserve"> and we share</w:t>
      </w:r>
      <w:r w:rsidR="007A7C61">
        <w:t xml:space="preserve"> </w:t>
      </w:r>
      <w:r>
        <w:t xml:space="preserve">strong people-to-people links.  </w:t>
      </w:r>
    </w:p>
    <w:p w:rsidR="006305B1" w:rsidRDefault="006305B1" w:rsidP="006305B1">
      <w:r>
        <w:t>In 2016-17, Australia provided $69.8 million in Official Development Assistance to Vanuatu. This was comprised of bilateral funding ($42.6 million) as well as funding from regional, global and whole of government programs. Australia remains the largest bilateral aid donor to Vanuatu, providing 54.2 per cent of total ODA to Vanuatu, which represents 6.7 per cent of GNI.</w:t>
      </w:r>
      <w:r>
        <w:rPr>
          <w:rStyle w:val="FootnoteReference"/>
        </w:rPr>
        <w:footnoteReference w:id="1"/>
      </w:r>
      <w:r>
        <w:t xml:space="preserve"> </w:t>
      </w:r>
    </w:p>
    <w:p w:rsidR="006305B1" w:rsidRDefault="006305B1" w:rsidP="006305B1">
      <w:r>
        <w:t>Australian aid supports economic growth, stability a</w:t>
      </w:r>
      <w:r w:rsidR="00C6226F">
        <w:t>nd poverty reduction in Vanuatu,</w:t>
      </w:r>
      <w:r>
        <w:t xml:space="preserve"> and investments fall across a broad but interconnected range of sectors. The objectives of the aid program, which are guided by areas of shared priority with the Vanuatu Government, are: </w:t>
      </w:r>
    </w:p>
    <w:p w:rsidR="006305B1" w:rsidRPr="00177FCF" w:rsidRDefault="006305B1" w:rsidP="006305B1">
      <w:pPr>
        <w:pStyle w:val="ListParagraph"/>
        <w:numPr>
          <w:ilvl w:val="0"/>
          <w:numId w:val="38"/>
        </w:numPr>
        <w:rPr>
          <w:rFonts w:asciiTheme="minorHAnsi" w:eastAsiaTheme="minorHAnsi" w:hAnsiTheme="minorHAnsi" w:cstheme="minorBidi"/>
          <w:color w:val="495965" w:themeColor="text2"/>
          <w:sz w:val="22"/>
          <w:szCs w:val="22"/>
          <w:lang w:val="en-GB"/>
        </w:rPr>
      </w:pPr>
      <w:r w:rsidRPr="00177FCF">
        <w:rPr>
          <w:rFonts w:asciiTheme="minorHAnsi" w:eastAsiaTheme="minorHAnsi" w:hAnsiTheme="minorHAnsi" w:cstheme="minorBidi"/>
          <w:color w:val="495965" w:themeColor="text2"/>
          <w:sz w:val="22"/>
          <w:szCs w:val="22"/>
          <w:lang w:val="en-GB"/>
        </w:rPr>
        <w:t xml:space="preserve">building resilient infrastructure and an environment for economic opportunity; </w:t>
      </w:r>
    </w:p>
    <w:p w:rsidR="006305B1" w:rsidRPr="00177FCF" w:rsidRDefault="006305B1" w:rsidP="006305B1">
      <w:pPr>
        <w:pStyle w:val="ListParagraph"/>
        <w:numPr>
          <w:ilvl w:val="0"/>
          <w:numId w:val="38"/>
        </w:numPr>
        <w:rPr>
          <w:rFonts w:asciiTheme="minorHAnsi" w:eastAsiaTheme="minorHAnsi" w:hAnsiTheme="minorHAnsi" w:cstheme="minorBidi"/>
          <w:color w:val="495965" w:themeColor="text2"/>
          <w:sz w:val="22"/>
          <w:szCs w:val="22"/>
          <w:lang w:val="en-GB"/>
        </w:rPr>
      </w:pPr>
      <w:r w:rsidRPr="00177FCF">
        <w:rPr>
          <w:rFonts w:asciiTheme="minorHAnsi" w:eastAsiaTheme="minorHAnsi" w:hAnsiTheme="minorHAnsi" w:cstheme="minorBidi"/>
          <w:color w:val="495965" w:themeColor="text2"/>
          <w:sz w:val="22"/>
          <w:szCs w:val="22"/>
          <w:lang w:val="en-GB"/>
        </w:rPr>
        <w:t xml:space="preserve">improving early education and essential health services; </w:t>
      </w:r>
    </w:p>
    <w:p w:rsidR="006305B1" w:rsidRPr="00177FCF" w:rsidRDefault="006305B1" w:rsidP="006305B1">
      <w:pPr>
        <w:pStyle w:val="ListParagraph"/>
        <w:numPr>
          <w:ilvl w:val="0"/>
          <w:numId w:val="38"/>
        </w:numPr>
        <w:rPr>
          <w:rFonts w:asciiTheme="minorHAnsi" w:eastAsiaTheme="minorHAnsi" w:hAnsiTheme="minorHAnsi" w:cstheme="minorBidi"/>
          <w:color w:val="495965" w:themeColor="text2"/>
          <w:sz w:val="22"/>
          <w:szCs w:val="22"/>
          <w:lang w:val="en-GB"/>
        </w:rPr>
      </w:pPr>
      <w:r w:rsidRPr="00177FCF">
        <w:rPr>
          <w:rFonts w:asciiTheme="minorHAnsi" w:eastAsiaTheme="minorHAnsi" w:hAnsiTheme="minorHAnsi" w:cstheme="minorBidi"/>
          <w:color w:val="495965" w:themeColor="text2"/>
          <w:sz w:val="22"/>
          <w:szCs w:val="22"/>
          <w:lang w:val="en-GB"/>
        </w:rPr>
        <w:t>improving community safety and resilience</w:t>
      </w:r>
      <w:r>
        <w:rPr>
          <w:rFonts w:asciiTheme="minorHAnsi" w:eastAsiaTheme="minorHAnsi" w:hAnsiTheme="minorHAnsi" w:cstheme="minorBidi"/>
          <w:color w:val="495965" w:themeColor="text2"/>
          <w:sz w:val="22"/>
          <w:szCs w:val="22"/>
          <w:lang w:val="en-GB"/>
        </w:rPr>
        <w:t>;</w:t>
      </w:r>
      <w:r w:rsidRPr="00177FCF">
        <w:rPr>
          <w:rFonts w:asciiTheme="minorHAnsi" w:eastAsiaTheme="minorHAnsi" w:hAnsiTheme="minorHAnsi" w:cstheme="minorBidi"/>
          <w:color w:val="495965" w:themeColor="text2"/>
          <w:sz w:val="22"/>
          <w:szCs w:val="22"/>
          <w:lang w:val="en-GB"/>
        </w:rPr>
        <w:t xml:space="preserve"> and</w:t>
      </w:r>
    </w:p>
    <w:p w:rsidR="006305B1" w:rsidRPr="00177FCF" w:rsidRDefault="006305B1" w:rsidP="006305B1">
      <w:pPr>
        <w:pStyle w:val="ListParagraph"/>
        <w:numPr>
          <w:ilvl w:val="0"/>
          <w:numId w:val="38"/>
        </w:numPr>
        <w:rPr>
          <w:rFonts w:asciiTheme="minorHAnsi" w:eastAsiaTheme="minorHAnsi" w:hAnsiTheme="minorHAnsi" w:cstheme="minorBidi"/>
          <w:color w:val="495965" w:themeColor="text2"/>
          <w:sz w:val="22"/>
          <w:szCs w:val="22"/>
          <w:lang w:val="en-GB"/>
        </w:rPr>
      </w:pPr>
      <w:r w:rsidRPr="00177FCF">
        <w:rPr>
          <w:rFonts w:asciiTheme="minorHAnsi" w:eastAsiaTheme="minorHAnsi" w:hAnsiTheme="minorHAnsi" w:cstheme="minorBidi"/>
          <w:color w:val="495965" w:themeColor="text2"/>
          <w:sz w:val="22"/>
          <w:szCs w:val="22"/>
          <w:lang w:val="en-GB"/>
        </w:rPr>
        <w:t>support</w:t>
      </w:r>
      <w:r w:rsidR="00D66528">
        <w:rPr>
          <w:rFonts w:asciiTheme="minorHAnsi" w:eastAsiaTheme="minorHAnsi" w:hAnsiTheme="minorHAnsi" w:cstheme="minorBidi"/>
          <w:color w:val="495965" w:themeColor="text2"/>
          <w:sz w:val="22"/>
          <w:szCs w:val="22"/>
          <w:lang w:val="en-GB"/>
        </w:rPr>
        <w:t>ing</w:t>
      </w:r>
      <w:r w:rsidRPr="00177FCF">
        <w:rPr>
          <w:rFonts w:asciiTheme="minorHAnsi" w:eastAsiaTheme="minorHAnsi" w:hAnsiTheme="minorHAnsi" w:cstheme="minorBidi"/>
          <w:color w:val="495965" w:themeColor="text2"/>
          <w:sz w:val="22"/>
          <w:szCs w:val="22"/>
          <w:lang w:val="en-GB"/>
        </w:rPr>
        <w:t xml:space="preserve"> cyclone recovery and reconstruction. </w:t>
      </w:r>
    </w:p>
    <w:p w:rsidR="006305B1" w:rsidRDefault="006305B1" w:rsidP="006305B1">
      <w:r>
        <w:t xml:space="preserve">While the aid program invests in a </w:t>
      </w:r>
      <w:r w:rsidR="00A20DCD">
        <w:t xml:space="preserve">number of sectors, </w:t>
      </w:r>
      <w:r>
        <w:t xml:space="preserve">support is ultimately directed towards enabling the people of Vanuatu to improve their lives and their participation in the economy.  Aid investments </w:t>
      </w:r>
      <w:r w:rsidR="00253041">
        <w:lastRenderedPageBreak/>
        <w:t>increasingly focus</w:t>
      </w:r>
      <w:r>
        <w:t xml:space="preserve"> on sub-national government, reflecting the importance of decentralised service delivery to the </w:t>
      </w:r>
      <w:r w:rsidR="00963AA4">
        <w:t>Vanuatu Government</w:t>
      </w:r>
      <w:r>
        <w:t xml:space="preserve">. </w:t>
      </w:r>
    </w:p>
    <w:p w:rsidR="006305B1" w:rsidRDefault="006305B1" w:rsidP="006305B1">
      <w:r>
        <w:t xml:space="preserve">It is notable that a significant portion of Australian support </w:t>
      </w:r>
      <w:r w:rsidR="00C6226F">
        <w:t xml:space="preserve">in Vanuatu is delivered through </w:t>
      </w:r>
      <w:r>
        <w:t>direct</w:t>
      </w:r>
      <w:r w:rsidR="00C6226F">
        <w:t xml:space="preserve"> support to</w:t>
      </w:r>
      <w:r>
        <w:t xml:space="preserve"> </w:t>
      </w:r>
      <w:r w:rsidR="00C6226F">
        <w:t xml:space="preserve">sectoral </w:t>
      </w:r>
      <w:r>
        <w:t>budget</w:t>
      </w:r>
      <w:r w:rsidR="00C6226F">
        <w:t>s</w:t>
      </w:r>
      <w:r w:rsidR="00007945">
        <w:t xml:space="preserve"> (16 per cent in 2016-17, excluding recovery funding)</w:t>
      </w:r>
      <w:r>
        <w:t xml:space="preserve">. This approach aims to build capacity and ownership by the </w:t>
      </w:r>
      <w:r w:rsidR="00963AA4">
        <w:t>Vanuatu Government</w:t>
      </w:r>
      <w:r>
        <w:t xml:space="preserve">, </w:t>
      </w:r>
      <w:r w:rsidR="00A20DCD">
        <w:t>which is critical for long-term</w:t>
      </w:r>
      <w:r>
        <w:t xml:space="preserve"> sustainable development.</w:t>
      </w:r>
    </w:p>
    <w:p w:rsidR="00177FCF" w:rsidRDefault="00177FCF" w:rsidP="00177FCF">
      <w:r>
        <w:t>During 2016-17, Vanuatu experienced a period of relative political stability and positive economic growth</w:t>
      </w:r>
      <w:r w:rsidR="00A05942">
        <w:t xml:space="preserve">. </w:t>
      </w:r>
      <w:r>
        <w:t xml:space="preserve"> Since its election in February 2016, </w:t>
      </w:r>
      <w:r w:rsidR="00A05942">
        <w:t xml:space="preserve">Prime Minister Salwai’s </w:t>
      </w:r>
      <w:r>
        <w:t>Government has sought to tackle enduring challenges, such as constitutional and tax reform</w:t>
      </w:r>
      <w:r w:rsidR="00D66528">
        <w:t>s</w:t>
      </w:r>
      <w:r>
        <w:t>.  However, the ever-present possibility of political change remains – in the previous three-year parliamentary term, there were four prime ministers –</w:t>
      </w:r>
      <w:r w:rsidR="002D5E21">
        <w:t xml:space="preserve"> </w:t>
      </w:r>
      <w:r>
        <w:t>which can lead to shifts in policy</w:t>
      </w:r>
      <w:r w:rsidR="00F01686">
        <w:t xml:space="preserve"> direction and key stakeholders</w:t>
      </w:r>
      <w:r w:rsidR="00B43A73">
        <w:t xml:space="preserve">, with subsequent </w:t>
      </w:r>
      <w:r w:rsidR="00F01686">
        <w:t>impact on the success of our aid program.</w:t>
      </w:r>
    </w:p>
    <w:p w:rsidR="00177FCF" w:rsidRDefault="00177FCF" w:rsidP="00177FCF">
      <w:r>
        <w:t xml:space="preserve">Vanuatu’s economy is emerging from </w:t>
      </w:r>
      <w:r w:rsidR="00B43A73">
        <w:t xml:space="preserve">a </w:t>
      </w:r>
      <w:r>
        <w:t>difficult period following</w:t>
      </w:r>
      <w:r w:rsidR="00456CE4">
        <w:t xml:space="preserve"> TC </w:t>
      </w:r>
      <w:r>
        <w:t xml:space="preserve">Pam in 2015, which caused damage and losses equivalent to 64 per cent of GDP. The recent budget forecasts 4.6 per cent growth in 2017 (an increase from 1.8 per cent in 2015), and </w:t>
      </w:r>
      <w:r w:rsidR="00D66528">
        <w:t>five</w:t>
      </w:r>
      <w:r>
        <w:t xml:space="preserve"> per cent growth in 2018. </w:t>
      </w:r>
      <w:r w:rsidR="00A20DCD">
        <w:t>I</w:t>
      </w:r>
      <w:r>
        <w:t xml:space="preserve">nfrastructure funding – for TC Pam recovery and from multilateral development banks – </w:t>
      </w:r>
      <w:r w:rsidR="006B17FB">
        <w:t>is driving</w:t>
      </w:r>
      <w:r>
        <w:t xml:space="preserve"> economic growth in Vanuatu</w:t>
      </w:r>
      <w:r w:rsidR="00B43A73">
        <w:t xml:space="preserve">. </w:t>
      </w:r>
      <w:r w:rsidR="00A20DCD">
        <w:t xml:space="preserve">Growth in other sectors </w:t>
      </w:r>
      <w:r>
        <w:t>has been sl</w:t>
      </w:r>
      <w:r w:rsidR="007A7C61">
        <w:t>ow</w:t>
      </w:r>
      <w:r w:rsidR="00A20DCD">
        <w:t>er</w:t>
      </w:r>
      <w:r w:rsidR="007A7C61">
        <w:t xml:space="preserve"> </w:t>
      </w:r>
      <w:r w:rsidR="00257EA0">
        <w:t>(the industry sector grew an estimated 23.9 per cent in 2016 compared to 3.1 per cent growth for the services sector, which includes tourism-related activities</w:t>
      </w:r>
      <w:r w:rsidR="00257EA0" w:rsidRPr="00F73EB1">
        <w:t>)</w:t>
      </w:r>
      <w:r w:rsidRPr="00F73EB1">
        <w:t xml:space="preserve">. </w:t>
      </w:r>
      <w:r w:rsidR="00A20DCD">
        <w:t>C</w:t>
      </w:r>
      <w:r w:rsidR="0002137A">
        <w:t>onstraints to growth</w:t>
      </w:r>
      <w:r w:rsidR="00064155">
        <w:t xml:space="preserve"> (affecting both men and women)</w:t>
      </w:r>
      <w:r w:rsidR="0002137A">
        <w:t xml:space="preserve"> </w:t>
      </w:r>
      <w:r w:rsidR="009C2EEF">
        <w:t xml:space="preserve">in Vanuatu </w:t>
      </w:r>
      <w:r w:rsidR="00064155">
        <w:t>include</w:t>
      </w:r>
      <w:r w:rsidR="00A20DCD">
        <w:t>:</w:t>
      </w:r>
      <w:r w:rsidR="009C2EEF">
        <w:t xml:space="preserve"> a small, </w:t>
      </w:r>
      <w:r w:rsidR="0002137A">
        <w:t>isolated and fragmented market; poor quality and high cost of infrastructure; inadequate regulation of natural monopolies leading to high costs of business; low human capital; difficulties with access to land;</w:t>
      </w:r>
      <w:r w:rsidR="009C2EEF">
        <w:t xml:space="preserve"> and</w:t>
      </w:r>
      <w:r w:rsidR="0002137A">
        <w:t xml:space="preserve"> limited </w:t>
      </w:r>
      <w:r w:rsidR="00A20DCD">
        <w:t>financial service delivery</w:t>
      </w:r>
      <w:r w:rsidR="0002137A">
        <w:t>.</w:t>
      </w:r>
    </w:p>
    <w:p w:rsidR="00177FCF" w:rsidRDefault="00177FCF" w:rsidP="00177FCF">
      <w:r>
        <w:t>In February 2016, t</w:t>
      </w:r>
      <w:r w:rsidR="00064155">
        <w:t>he Financial Action Task Force</w:t>
      </w:r>
      <w:r w:rsidR="00847A4A">
        <w:t xml:space="preserve"> (FATF)</w:t>
      </w:r>
      <w:r w:rsidR="00064155">
        <w:t xml:space="preserve"> placed Vanuatu on its</w:t>
      </w:r>
      <w:r>
        <w:t xml:space="preserve"> grey list for deficiencies in its counter-terrorism financing and anti-money laundering systems, creating risks </w:t>
      </w:r>
      <w:r w:rsidR="00A20DCD">
        <w:t>for</w:t>
      </w:r>
      <w:r>
        <w:t xml:space="preserve"> the financial sector. For a country like Vanuatu, reliant on international trade, aid, tourism and remittances, </w:t>
      </w:r>
      <w:r w:rsidR="00064155">
        <w:t>blacklisting</w:t>
      </w:r>
      <w:r>
        <w:t xml:space="preserve"> would have a devastating </w:t>
      </w:r>
      <w:r w:rsidR="00A20DCD">
        <w:t>economic impact.</w:t>
      </w:r>
      <w:r>
        <w:t xml:space="preserve"> Efforts to </w:t>
      </w:r>
      <w:r w:rsidR="00D66528">
        <w:t>address these deficiencies</w:t>
      </w:r>
      <w:r>
        <w:t xml:space="preserve"> are ongoing</w:t>
      </w:r>
      <w:r w:rsidR="00F36F64">
        <w:t>, w</w:t>
      </w:r>
      <w:r w:rsidR="002D5E21">
        <w:t>ith targeted</w:t>
      </w:r>
      <w:r w:rsidR="00F36F64">
        <w:t xml:space="preserve"> Australian support. </w:t>
      </w:r>
    </w:p>
    <w:p w:rsidR="00177FCF" w:rsidRDefault="00177FCF" w:rsidP="00177FCF">
      <w:r>
        <w:t xml:space="preserve">A significant change to the donor landscape </w:t>
      </w:r>
      <w:r w:rsidR="002D5E21">
        <w:t>is the increase in ava</w:t>
      </w:r>
      <w:r w:rsidR="00D66528">
        <w:t>ilability of development finance</w:t>
      </w:r>
      <w:r w:rsidR="00F36F64">
        <w:t xml:space="preserve">. This </w:t>
      </w:r>
      <w:r>
        <w:t>has come from various sources including the multilateral development banks</w:t>
      </w:r>
      <w:r w:rsidR="00F36F64">
        <w:t xml:space="preserve"> (the World Bank and the Asian Development Bank)</w:t>
      </w:r>
      <w:r>
        <w:t xml:space="preserve">, Japan’s JICA, China’s EXIM bank, and the Green Climate Fund. Infrastructure funding has grown substantially in recent years, spurred by TC Pam long-term recovery </w:t>
      </w:r>
      <w:r w:rsidR="002D5E21">
        <w:t xml:space="preserve">funding, including a </w:t>
      </w:r>
      <w:r>
        <w:t>major upgrade to Port Vila’s Bauerfield Airport</w:t>
      </w:r>
      <w:r w:rsidR="002D5E21">
        <w:t xml:space="preserve"> (</w:t>
      </w:r>
      <w:r w:rsidR="00F36F64">
        <w:t>through the World Bank</w:t>
      </w:r>
      <w:r w:rsidR="002D5E21">
        <w:t>)</w:t>
      </w:r>
      <w:r>
        <w:t>.</w:t>
      </w:r>
      <w:r w:rsidR="00F36F64">
        <w:t xml:space="preserve"> As a result,</w:t>
      </w:r>
      <w:r>
        <w:t xml:space="preserve"> Vanuatu </w:t>
      </w:r>
      <w:r w:rsidR="00F36F64">
        <w:t>now has an</w:t>
      </w:r>
      <w:r>
        <w:t xml:space="preserve"> unprecedented array of options for financing</w:t>
      </w:r>
      <w:r w:rsidR="00F36F64">
        <w:t xml:space="preserve">, </w:t>
      </w:r>
      <w:r>
        <w:t>and will need to carefully assess</w:t>
      </w:r>
      <w:r w:rsidR="002D5E21">
        <w:t xml:space="preserve"> the benefits of</w:t>
      </w:r>
      <w:r>
        <w:t xml:space="preserve"> </w:t>
      </w:r>
      <w:r w:rsidR="00F36F64">
        <w:t>potential offers, as well as ensure effective stakeholder coordination</w:t>
      </w:r>
      <w:r>
        <w:t xml:space="preserve"> as major projects gather pace.</w:t>
      </w:r>
    </w:p>
    <w:p w:rsidR="00AE646B" w:rsidRDefault="00AE646B" w:rsidP="00AE646B">
      <w:r>
        <w:t>Rates of family violence in Vanuatu are high, with 72 per cent of women experiencing sexual or physical violence in their lifetime.</w:t>
      </w:r>
      <w:r>
        <w:rPr>
          <w:rStyle w:val="FootnoteReference"/>
        </w:rPr>
        <w:footnoteReference w:id="2"/>
      </w:r>
      <w:r>
        <w:t xml:space="preserve"> In 2017, 60 per cent of detainees in correctional facilities were convicted of sexual offences against women and girls.  While the </w:t>
      </w:r>
      <w:r w:rsidR="00963AA4">
        <w:t>Vanuatu Government</w:t>
      </w:r>
      <w:r>
        <w:t xml:space="preserve"> has introduced legislation to prevent family violence, it has not been fully implemented and there is no government funding for ending violence against women. Further, Vanuatu’s law and justice system is complex and encompasses formal institutions, civil society</w:t>
      </w:r>
      <w:r w:rsidR="007A7C61">
        <w:t xml:space="preserve"> </w:t>
      </w:r>
      <w:r>
        <w:t>and customary practices to resolve disputes.</w:t>
      </w:r>
    </w:p>
    <w:p w:rsidR="00177FCF" w:rsidRDefault="00177FCF" w:rsidP="00177FCF">
      <w:r>
        <w:t xml:space="preserve">There have been a number of developments since the Vanuatu Aid Investment Plan 2015-2018 was </w:t>
      </w:r>
      <w:r w:rsidR="00414520">
        <w:t>finalised in</w:t>
      </w:r>
      <w:r w:rsidR="00F36F64">
        <w:t xml:space="preserve"> </w:t>
      </w:r>
      <w:r w:rsidR="00257EA0" w:rsidRPr="00257EA0">
        <w:t xml:space="preserve">September </w:t>
      </w:r>
      <w:r w:rsidR="00F36F64" w:rsidRPr="00257EA0">
        <w:t>2015</w:t>
      </w:r>
      <w:r w:rsidRPr="00257EA0">
        <w:t>.</w:t>
      </w:r>
      <w:r>
        <w:t xml:space="preserve"> </w:t>
      </w:r>
      <w:r w:rsidR="00F36F64">
        <w:t xml:space="preserve"> The </w:t>
      </w:r>
      <w:r>
        <w:t xml:space="preserve">Australian and Vanuatu Governments signed </w:t>
      </w:r>
      <w:r w:rsidR="00F36F64">
        <w:t>an</w:t>
      </w:r>
      <w:r>
        <w:t xml:space="preserve"> Aid Partnership Agreement</w:t>
      </w:r>
      <w:r w:rsidR="00F36F64">
        <w:t xml:space="preserve"> in December 2016</w:t>
      </w:r>
      <w:r>
        <w:t>, which outlin</w:t>
      </w:r>
      <w:r w:rsidR="007A7C61">
        <w:t>es</w:t>
      </w:r>
      <w:r>
        <w:t xml:space="preserve"> the shared vision of </w:t>
      </w:r>
      <w:r w:rsidR="002D5E21">
        <w:t xml:space="preserve">both </w:t>
      </w:r>
      <w:r>
        <w:t xml:space="preserve">governments to ensure development cooperation effectively and efficiently contributes to sustained and inclusive economic growth and reduced poverty in Vanuatu. The Vanuatu Government </w:t>
      </w:r>
      <w:r w:rsidR="00F36F64">
        <w:t xml:space="preserve">also </w:t>
      </w:r>
      <w:r w:rsidR="00456CE4">
        <w:t>launched</w:t>
      </w:r>
      <w:r>
        <w:t xml:space="preserve"> its National Sustainable Development Plan 2016-2030 in </w:t>
      </w:r>
      <w:r w:rsidR="00456CE4">
        <w:t>early 2017</w:t>
      </w:r>
      <w:r>
        <w:t>. The Plan provides a high-level policy framework and guides planning to achieve the goal of a stable, sustainable and prosperous Vanuatu.  </w:t>
      </w:r>
    </w:p>
    <w:p w:rsidR="00B43A73" w:rsidRDefault="00F36F64" w:rsidP="00177FCF">
      <w:pPr>
        <w:rPr>
          <w:i/>
        </w:rPr>
      </w:pPr>
      <w:r>
        <w:t>In early 2017, DFAT conducted an internal health check of the aid program</w:t>
      </w:r>
      <w:r w:rsidR="00456CE4">
        <w:t xml:space="preserve"> in Vanuatu</w:t>
      </w:r>
      <w:r>
        <w:t xml:space="preserve">. The health check recommended: updating the Aid Investment Plan; </w:t>
      </w:r>
      <w:r w:rsidR="00541620">
        <w:t xml:space="preserve">increasing </w:t>
      </w:r>
      <w:r w:rsidR="007A7C61">
        <w:t xml:space="preserve">management </w:t>
      </w:r>
      <w:r w:rsidR="00541620">
        <w:t xml:space="preserve">efficiencies by further </w:t>
      </w:r>
      <w:r w:rsidR="00541620">
        <w:lastRenderedPageBreak/>
        <w:t>consolidating the program; and strengthening cross</w:t>
      </w:r>
      <w:r w:rsidR="007A7C61">
        <w:t>-</w:t>
      </w:r>
      <w:r w:rsidR="00541620">
        <w:t xml:space="preserve">program collaboration on common governance issues such as public financial management. </w:t>
      </w:r>
    </w:p>
    <w:p w:rsidR="00257EA0" w:rsidRPr="002A51CA" w:rsidRDefault="00257EA0" w:rsidP="00257EA0">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rsidR="007453D0" w:rsidRDefault="00257EA0" w:rsidP="00257EA0">
      <w:r>
        <w:t xml:space="preserve">Total Australian ODA to Vanuatu in 2016-17 was an estimated $69.8 million. This excludes funding for </w:t>
      </w:r>
      <w:r w:rsidR="00456CE4">
        <w:t>TC</w:t>
      </w:r>
      <w:r>
        <w:t xml:space="preserve"> Pam recovery </w:t>
      </w:r>
      <w:r w:rsidR="00EA3308">
        <w:t>totalling $35 million</w:t>
      </w:r>
      <w:r w:rsidR="00C6226F">
        <w:t>,</w:t>
      </w:r>
      <w:r w:rsidR="00EA3308">
        <w:t xml:space="preserve"> </w:t>
      </w:r>
      <w:r w:rsidR="0036515B">
        <w:t xml:space="preserve">implemented </w:t>
      </w:r>
      <w:r>
        <w:t xml:space="preserve">over three years through the Vanuatu Government. </w:t>
      </w:r>
    </w:p>
    <w:p w:rsidR="00257EA0" w:rsidRDefault="00257EA0" w:rsidP="00257EA0">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D44C21">
        <w:rPr>
          <w:b/>
          <w:noProof/>
          <w:sz w:val="24"/>
        </w:rPr>
        <w:t>1</w:t>
      </w:r>
      <w:r w:rsidRPr="008C2F58">
        <w:rPr>
          <w:b/>
          <w:noProof/>
          <w:sz w:val="24"/>
        </w:rPr>
        <w:fldChar w:fldCharType="end"/>
      </w:r>
      <w:r w:rsidRPr="008C2F58">
        <w:rPr>
          <w:b/>
          <w:sz w:val="24"/>
        </w:rPr>
        <w:t xml:space="preserve"> Total ODA Expenditure in FY 201</w:t>
      </w:r>
      <w:r>
        <w:rPr>
          <w:b/>
          <w:sz w:val="24"/>
        </w:rPr>
        <w:t>6</w:t>
      </w:r>
      <w:r w:rsidRPr="008C2F58">
        <w:rPr>
          <w:b/>
          <w:sz w:val="24"/>
        </w:rPr>
        <w:t>-1</w:t>
      </w:r>
      <w:r>
        <w:rPr>
          <w:b/>
          <w:sz w:val="24"/>
        </w:rPr>
        <w:t>7</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257EA0" w:rsidTr="006A58F4">
        <w:trPr>
          <w:trHeight w:hRule="exact" w:val="369"/>
        </w:trPr>
        <w:tc>
          <w:tcPr>
            <w:tcW w:w="6374" w:type="dxa"/>
          </w:tcPr>
          <w:p w:rsidR="00257EA0" w:rsidRDefault="00257EA0" w:rsidP="00257EA0">
            <w:pPr>
              <w:rPr>
                <w:b/>
                <w:sz w:val="24"/>
              </w:rPr>
            </w:pPr>
            <w:r w:rsidRPr="00BE6C6D">
              <w:rPr>
                <w:sz w:val="20"/>
              </w:rPr>
              <w:t>Objective</w:t>
            </w:r>
          </w:p>
        </w:tc>
        <w:tc>
          <w:tcPr>
            <w:tcW w:w="1423" w:type="dxa"/>
          </w:tcPr>
          <w:p w:rsidR="00257EA0" w:rsidRDefault="00257EA0" w:rsidP="00257EA0">
            <w:pPr>
              <w:jc w:val="center"/>
              <w:rPr>
                <w:b/>
                <w:sz w:val="24"/>
              </w:rPr>
            </w:pPr>
            <w:r w:rsidRPr="00BE6C6D">
              <w:rPr>
                <w:sz w:val="20"/>
              </w:rPr>
              <w:t>A$ million</w:t>
            </w:r>
          </w:p>
        </w:tc>
        <w:tc>
          <w:tcPr>
            <w:tcW w:w="1842" w:type="dxa"/>
          </w:tcPr>
          <w:p w:rsidR="00257EA0" w:rsidRDefault="00257EA0" w:rsidP="00257EA0">
            <w:pPr>
              <w:ind w:right="-546"/>
              <w:jc w:val="center"/>
              <w:rPr>
                <w:b/>
                <w:sz w:val="24"/>
              </w:rPr>
            </w:pPr>
            <w:r w:rsidRPr="00BE6C6D">
              <w:rPr>
                <w:sz w:val="20"/>
              </w:rPr>
              <w:t>% of total ODA</w:t>
            </w:r>
          </w:p>
        </w:tc>
      </w:tr>
      <w:tr w:rsidR="00E43188" w:rsidRPr="00E06582" w:rsidTr="006A58F4">
        <w:trPr>
          <w:trHeight w:hRule="exact" w:val="369"/>
        </w:trPr>
        <w:tc>
          <w:tcPr>
            <w:tcW w:w="6374" w:type="dxa"/>
          </w:tcPr>
          <w:p w:rsidR="00E43188" w:rsidRDefault="00E43188" w:rsidP="00E43188">
            <w:pPr>
              <w:rPr>
                <w:b/>
                <w:sz w:val="24"/>
              </w:rPr>
            </w:pPr>
            <w:r>
              <w:rPr>
                <w:sz w:val="20"/>
              </w:rPr>
              <w:t>Building resilient infrastructure and an environment for economic opportunity</w:t>
            </w:r>
          </w:p>
        </w:tc>
        <w:tc>
          <w:tcPr>
            <w:tcW w:w="1423" w:type="dxa"/>
            <w:vAlign w:val="center"/>
          </w:tcPr>
          <w:p w:rsidR="00E43188" w:rsidRPr="00E43188" w:rsidRDefault="00E43188" w:rsidP="00E43188">
            <w:pPr>
              <w:jc w:val="right"/>
              <w:rPr>
                <w:sz w:val="20"/>
                <w:szCs w:val="20"/>
              </w:rPr>
            </w:pPr>
            <w:r w:rsidRPr="00E43188">
              <w:rPr>
                <w:sz w:val="20"/>
                <w:szCs w:val="20"/>
                <w:lang w:eastAsia="en-AU"/>
              </w:rPr>
              <w:t>22.4</w:t>
            </w:r>
          </w:p>
        </w:tc>
        <w:tc>
          <w:tcPr>
            <w:tcW w:w="1842" w:type="dxa"/>
            <w:vAlign w:val="center"/>
          </w:tcPr>
          <w:p w:rsidR="00E43188" w:rsidRPr="00E06582" w:rsidRDefault="00E43188" w:rsidP="00E43188">
            <w:pPr>
              <w:jc w:val="right"/>
              <w:rPr>
                <w:sz w:val="20"/>
                <w:szCs w:val="20"/>
              </w:rPr>
            </w:pPr>
            <w:r>
              <w:rPr>
                <w:sz w:val="20"/>
                <w:szCs w:val="20"/>
                <w:lang w:eastAsia="en-AU"/>
              </w:rPr>
              <w:t>32.2%</w:t>
            </w:r>
          </w:p>
        </w:tc>
      </w:tr>
      <w:tr w:rsidR="00E43188" w:rsidRPr="00E06582" w:rsidTr="006A58F4">
        <w:trPr>
          <w:trHeight w:hRule="exact" w:val="369"/>
        </w:trPr>
        <w:tc>
          <w:tcPr>
            <w:tcW w:w="6374" w:type="dxa"/>
          </w:tcPr>
          <w:p w:rsidR="00E43188" w:rsidRDefault="00E43188" w:rsidP="00E43188">
            <w:pPr>
              <w:rPr>
                <w:b/>
                <w:sz w:val="24"/>
              </w:rPr>
            </w:pPr>
            <w:r>
              <w:rPr>
                <w:sz w:val="20"/>
              </w:rPr>
              <w:t>Improving early education and essential health services</w:t>
            </w:r>
          </w:p>
        </w:tc>
        <w:tc>
          <w:tcPr>
            <w:tcW w:w="1423" w:type="dxa"/>
            <w:vAlign w:val="center"/>
          </w:tcPr>
          <w:p w:rsidR="00E43188" w:rsidRPr="00E43188" w:rsidRDefault="00E43188" w:rsidP="00E43188">
            <w:pPr>
              <w:jc w:val="right"/>
              <w:rPr>
                <w:sz w:val="20"/>
                <w:szCs w:val="20"/>
              </w:rPr>
            </w:pPr>
            <w:r w:rsidRPr="00E43188">
              <w:rPr>
                <w:sz w:val="20"/>
                <w:szCs w:val="20"/>
                <w:lang w:eastAsia="en-AU"/>
              </w:rPr>
              <w:t>11.6</w:t>
            </w:r>
          </w:p>
        </w:tc>
        <w:tc>
          <w:tcPr>
            <w:tcW w:w="1842" w:type="dxa"/>
            <w:vAlign w:val="center"/>
          </w:tcPr>
          <w:p w:rsidR="00E43188" w:rsidRPr="00E06582" w:rsidRDefault="00E43188" w:rsidP="00E43188">
            <w:pPr>
              <w:jc w:val="right"/>
              <w:rPr>
                <w:sz w:val="20"/>
                <w:szCs w:val="20"/>
              </w:rPr>
            </w:pPr>
            <w:r>
              <w:rPr>
                <w:sz w:val="20"/>
                <w:szCs w:val="20"/>
                <w:lang w:eastAsia="en-AU"/>
              </w:rPr>
              <w:t>16.7%</w:t>
            </w:r>
          </w:p>
        </w:tc>
      </w:tr>
      <w:tr w:rsidR="00E43188" w:rsidRPr="00E06582" w:rsidTr="006A58F4">
        <w:trPr>
          <w:trHeight w:hRule="exact" w:val="369"/>
        </w:trPr>
        <w:tc>
          <w:tcPr>
            <w:tcW w:w="6374" w:type="dxa"/>
          </w:tcPr>
          <w:p w:rsidR="00E43188" w:rsidRDefault="00E43188" w:rsidP="00E43188">
            <w:pPr>
              <w:rPr>
                <w:b/>
                <w:sz w:val="24"/>
              </w:rPr>
            </w:pPr>
            <w:r>
              <w:rPr>
                <w:sz w:val="20"/>
              </w:rPr>
              <w:t xml:space="preserve">Improving community safety and resilience </w:t>
            </w:r>
          </w:p>
        </w:tc>
        <w:tc>
          <w:tcPr>
            <w:tcW w:w="1423" w:type="dxa"/>
            <w:vAlign w:val="center"/>
          </w:tcPr>
          <w:p w:rsidR="00E43188" w:rsidRPr="00E43188" w:rsidRDefault="00E43188" w:rsidP="00E43188">
            <w:pPr>
              <w:jc w:val="right"/>
              <w:rPr>
                <w:sz w:val="20"/>
                <w:szCs w:val="20"/>
              </w:rPr>
            </w:pPr>
            <w:r w:rsidRPr="00E43188">
              <w:rPr>
                <w:sz w:val="20"/>
                <w:szCs w:val="20"/>
                <w:lang w:eastAsia="en-AU"/>
              </w:rPr>
              <w:t>8.1</w:t>
            </w:r>
          </w:p>
        </w:tc>
        <w:tc>
          <w:tcPr>
            <w:tcW w:w="1842" w:type="dxa"/>
            <w:vAlign w:val="center"/>
          </w:tcPr>
          <w:p w:rsidR="00E43188" w:rsidRPr="00E06582" w:rsidRDefault="00E43188" w:rsidP="00E43188">
            <w:pPr>
              <w:jc w:val="right"/>
              <w:rPr>
                <w:sz w:val="20"/>
                <w:szCs w:val="20"/>
              </w:rPr>
            </w:pPr>
            <w:r>
              <w:rPr>
                <w:sz w:val="20"/>
                <w:szCs w:val="20"/>
                <w:lang w:eastAsia="en-AU"/>
              </w:rPr>
              <w:t>11.7%</w:t>
            </w:r>
          </w:p>
        </w:tc>
      </w:tr>
      <w:tr w:rsidR="00E43188" w:rsidRPr="00E06582" w:rsidTr="006A58F4">
        <w:trPr>
          <w:trHeight w:hRule="exact" w:val="369"/>
        </w:trPr>
        <w:tc>
          <w:tcPr>
            <w:tcW w:w="6374" w:type="dxa"/>
          </w:tcPr>
          <w:p w:rsidR="00E43188" w:rsidRDefault="00E43188" w:rsidP="00E43188">
            <w:pPr>
              <w:rPr>
                <w:b/>
                <w:sz w:val="24"/>
              </w:rPr>
            </w:pPr>
            <w:r>
              <w:rPr>
                <w:sz w:val="20"/>
              </w:rPr>
              <w:t>Supporting cyclone recovery and reconstruction</w:t>
            </w:r>
            <w:r w:rsidR="007453D0">
              <w:rPr>
                <w:sz w:val="20"/>
              </w:rPr>
              <w:t>*</w:t>
            </w:r>
            <w:r>
              <w:rPr>
                <w:sz w:val="20"/>
              </w:rPr>
              <w:t xml:space="preserve"> </w:t>
            </w:r>
          </w:p>
        </w:tc>
        <w:tc>
          <w:tcPr>
            <w:tcW w:w="1423" w:type="dxa"/>
            <w:vAlign w:val="center"/>
          </w:tcPr>
          <w:p w:rsidR="00E43188" w:rsidRPr="00E43188" w:rsidRDefault="00E43188" w:rsidP="00E43188">
            <w:pPr>
              <w:jc w:val="right"/>
              <w:rPr>
                <w:sz w:val="20"/>
                <w:szCs w:val="20"/>
              </w:rPr>
            </w:pPr>
            <w:r w:rsidRPr="00E43188">
              <w:rPr>
                <w:sz w:val="20"/>
                <w:szCs w:val="20"/>
                <w:lang w:eastAsia="en-AU"/>
              </w:rPr>
              <w:t>0.3</w:t>
            </w:r>
          </w:p>
        </w:tc>
        <w:tc>
          <w:tcPr>
            <w:tcW w:w="1842" w:type="dxa"/>
            <w:vAlign w:val="center"/>
          </w:tcPr>
          <w:p w:rsidR="00E43188" w:rsidRPr="00E06582" w:rsidRDefault="00E43188" w:rsidP="00E43188">
            <w:pPr>
              <w:jc w:val="right"/>
              <w:rPr>
                <w:sz w:val="20"/>
                <w:szCs w:val="20"/>
              </w:rPr>
            </w:pPr>
            <w:r>
              <w:rPr>
                <w:sz w:val="20"/>
                <w:szCs w:val="20"/>
                <w:lang w:eastAsia="en-AU"/>
              </w:rPr>
              <w:t>0.4%</w:t>
            </w:r>
          </w:p>
        </w:tc>
      </w:tr>
      <w:tr w:rsidR="00E43188" w:rsidTr="006A58F4">
        <w:trPr>
          <w:trHeight w:hRule="exact" w:val="369"/>
        </w:trPr>
        <w:tc>
          <w:tcPr>
            <w:tcW w:w="6374" w:type="dxa"/>
          </w:tcPr>
          <w:p w:rsidR="00E43188" w:rsidRPr="00E06582" w:rsidRDefault="00E43188" w:rsidP="00E43188">
            <w:pPr>
              <w:rPr>
                <w:b/>
                <w:sz w:val="24"/>
              </w:rPr>
            </w:pPr>
            <w:r w:rsidRPr="00E06582">
              <w:rPr>
                <w:b/>
                <w:sz w:val="20"/>
              </w:rPr>
              <w:t>Sub-Total Bilateral</w:t>
            </w:r>
          </w:p>
        </w:tc>
        <w:tc>
          <w:tcPr>
            <w:tcW w:w="1423" w:type="dxa"/>
            <w:vAlign w:val="center"/>
          </w:tcPr>
          <w:p w:rsidR="00E43188" w:rsidRPr="00E06582" w:rsidRDefault="00E43188" w:rsidP="00E43188">
            <w:pPr>
              <w:jc w:val="right"/>
              <w:rPr>
                <w:b/>
                <w:sz w:val="20"/>
                <w:szCs w:val="20"/>
              </w:rPr>
            </w:pPr>
            <w:r>
              <w:rPr>
                <w:b/>
                <w:bCs/>
                <w:sz w:val="20"/>
                <w:szCs w:val="20"/>
                <w:lang w:eastAsia="en-AU"/>
              </w:rPr>
              <w:t>42.6</w:t>
            </w:r>
          </w:p>
        </w:tc>
        <w:tc>
          <w:tcPr>
            <w:tcW w:w="1842" w:type="dxa"/>
            <w:vAlign w:val="center"/>
          </w:tcPr>
          <w:p w:rsidR="00E43188" w:rsidRPr="00E06582" w:rsidRDefault="00E43188" w:rsidP="00E43188">
            <w:pPr>
              <w:jc w:val="right"/>
              <w:rPr>
                <w:b/>
                <w:sz w:val="20"/>
                <w:szCs w:val="20"/>
              </w:rPr>
            </w:pPr>
            <w:r>
              <w:rPr>
                <w:sz w:val="20"/>
                <w:szCs w:val="20"/>
                <w:lang w:eastAsia="en-AU"/>
              </w:rPr>
              <w:t>61%</w:t>
            </w:r>
          </w:p>
        </w:tc>
      </w:tr>
      <w:tr w:rsidR="00257EA0" w:rsidTr="006A58F4">
        <w:trPr>
          <w:trHeight w:hRule="exact" w:val="369"/>
        </w:trPr>
        <w:tc>
          <w:tcPr>
            <w:tcW w:w="6374" w:type="dxa"/>
          </w:tcPr>
          <w:p w:rsidR="00257EA0" w:rsidRDefault="00257EA0" w:rsidP="00257EA0">
            <w:pPr>
              <w:rPr>
                <w:b/>
                <w:sz w:val="24"/>
              </w:rPr>
            </w:pPr>
            <w:r w:rsidRPr="00BE6C6D">
              <w:rPr>
                <w:sz w:val="20"/>
              </w:rPr>
              <w:t>Regional and Global</w:t>
            </w:r>
          </w:p>
        </w:tc>
        <w:tc>
          <w:tcPr>
            <w:tcW w:w="1423" w:type="dxa"/>
          </w:tcPr>
          <w:p w:rsidR="00257EA0" w:rsidRPr="00D90DFC" w:rsidRDefault="00257EA0" w:rsidP="00257EA0">
            <w:pPr>
              <w:jc w:val="right"/>
              <w:rPr>
                <w:sz w:val="20"/>
                <w:szCs w:val="20"/>
              </w:rPr>
            </w:pPr>
            <w:r w:rsidRPr="00D90DFC">
              <w:rPr>
                <w:sz w:val="20"/>
                <w:szCs w:val="20"/>
              </w:rPr>
              <w:t>25.6</w:t>
            </w:r>
          </w:p>
        </w:tc>
        <w:tc>
          <w:tcPr>
            <w:tcW w:w="1842" w:type="dxa"/>
          </w:tcPr>
          <w:p w:rsidR="00257EA0" w:rsidRPr="00D90DFC" w:rsidRDefault="00257EA0" w:rsidP="00257EA0">
            <w:pPr>
              <w:jc w:val="right"/>
              <w:rPr>
                <w:sz w:val="20"/>
                <w:szCs w:val="20"/>
              </w:rPr>
            </w:pPr>
            <w:r w:rsidRPr="00D90DFC">
              <w:rPr>
                <w:sz w:val="20"/>
                <w:szCs w:val="20"/>
              </w:rPr>
              <w:t>37%</w:t>
            </w:r>
          </w:p>
        </w:tc>
      </w:tr>
      <w:tr w:rsidR="00257EA0" w:rsidTr="006A58F4">
        <w:trPr>
          <w:trHeight w:hRule="exact" w:val="369"/>
        </w:trPr>
        <w:tc>
          <w:tcPr>
            <w:tcW w:w="6374" w:type="dxa"/>
          </w:tcPr>
          <w:p w:rsidR="00257EA0" w:rsidRDefault="00257EA0" w:rsidP="00257EA0">
            <w:pPr>
              <w:rPr>
                <w:b/>
                <w:sz w:val="24"/>
              </w:rPr>
            </w:pPr>
            <w:r w:rsidRPr="00BE6C6D">
              <w:rPr>
                <w:sz w:val="20"/>
              </w:rPr>
              <w:t>Other Government Departments</w:t>
            </w:r>
          </w:p>
        </w:tc>
        <w:tc>
          <w:tcPr>
            <w:tcW w:w="1423" w:type="dxa"/>
          </w:tcPr>
          <w:p w:rsidR="00257EA0" w:rsidRPr="00D90DFC" w:rsidRDefault="00257EA0" w:rsidP="00257EA0">
            <w:pPr>
              <w:jc w:val="right"/>
              <w:rPr>
                <w:sz w:val="20"/>
                <w:szCs w:val="20"/>
              </w:rPr>
            </w:pPr>
            <w:r w:rsidRPr="00D90DFC">
              <w:rPr>
                <w:sz w:val="20"/>
                <w:szCs w:val="20"/>
              </w:rPr>
              <w:t>1.6</w:t>
            </w:r>
          </w:p>
        </w:tc>
        <w:tc>
          <w:tcPr>
            <w:tcW w:w="1842" w:type="dxa"/>
          </w:tcPr>
          <w:p w:rsidR="00257EA0" w:rsidRPr="00D90DFC" w:rsidRDefault="00257EA0" w:rsidP="00257EA0">
            <w:pPr>
              <w:jc w:val="right"/>
              <w:rPr>
                <w:sz w:val="20"/>
                <w:szCs w:val="20"/>
              </w:rPr>
            </w:pPr>
            <w:r w:rsidRPr="00D90DFC">
              <w:rPr>
                <w:sz w:val="20"/>
                <w:szCs w:val="20"/>
              </w:rPr>
              <w:t>2%</w:t>
            </w:r>
          </w:p>
        </w:tc>
      </w:tr>
      <w:tr w:rsidR="00257EA0" w:rsidTr="006A58F4">
        <w:trPr>
          <w:trHeight w:hRule="exact" w:val="369"/>
        </w:trPr>
        <w:tc>
          <w:tcPr>
            <w:tcW w:w="6374" w:type="dxa"/>
          </w:tcPr>
          <w:p w:rsidR="00257EA0" w:rsidRDefault="00257EA0" w:rsidP="00257EA0">
            <w:pPr>
              <w:rPr>
                <w:b/>
                <w:sz w:val="24"/>
              </w:rPr>
            </w:pPr>
            <w:r w:rsidRPr="00BE6C6D">
              <w:rPr>
                <w:sz w:val="20"/>
              </w:rPr>
              <w:t>Total ODA Expenditure</w:t>
            </w:r>
          </w:p>
        </w:tc>
        <w:tc>
          <w:tcPr>
            <w:tcW w:w="1423" w:type="dxa"/>
          </w:tcPr>
          <w:p w:rsidR="00257EA0" w:rsidRPr="00E06582" w:rsidRDefault="00257EA0" w:rsidP="00257EA0">
            <w:pPr>
              <w:jc w:val="right"/>
              <w:rPr>
                <w:b/>
                <w:sz w:val="20"/>
                <w:szCs w:val="20"/>
              </w:rPr>
            </w:pPr>
            <w:r w:rsidRPr="00E06582">
              <w:rPr>
                <w:b/>
                <w:sz w:val="20"/>
                <w:szCs w:val="20"/>
              </w:rPr>
              <w:t>69.8</w:t>
            </w:r>
          </w:p>
        </w:tc>
        <w:tc>
          <w:tcPr>
            <w:tcW w:w="1842" w:type="dxa"/>
          </w:tcPr>
          <w:p w:rsidR="00257EA0" w:rsidRPr="00E06582" w:rsidRDefault="00257EA0" w:rsidP="00257EA0">
            <w:pPr>
              <w:jc w:val="right"/>
              <w:rPr>
                <w:b/>
                <w:sz w:val="20"/>
                <w:szCs w:val="20"/>
              </w:rPr>
            </w:pPr>
            <w:r w:rsidRPr="00E06582">
              <w:rPr>
                <w:b/>
                <w:sz w:val="20"/>
                <w:szCs w:val="20"/>
              </w:rPr>
              <w:t>100%</w:t>
            </w:r>
          </w:p>
        </w:tc>
      </w:tr>
    </w:tbl>
    <w:p w:rsidR="002D44E8" w:rsidRPr="007453D0" w:rsidRDefault="007453D0" w:rsidP="007453D0">
      <w:pPr>
        <w:pStyle w:val="ListBullet"/>
        <w:tabs>
          <w:tab w:val="clear" w:pos="284"/>
        </w:tabs>
        <w:rPr>
          <w:rFonts w:asciiTheme="minorHAnsi" w:eastAsiaTheme="minorHAnsi" w:hAnsiTheme="minorHAnsi" w:cstheme="minorBidi"/>
          <w:color w:val="495965" w:themeColor="text2"/>
          <w:sz w:val="22"/>
          <w:szCs w:val="22"/>
          <w:lang w:val="en-GB" w:eastAsia="en-US"/>
        </w:rPr>
      </w:pPr>
      <w:r w:rsidRPr="007453D0">
        <w:rPr>
          <w:rFonts w:asciiTheme="minorHAnsi" w:eastAsiaTheme="minorHAnsi" w:hAnsiTheme="minorHAnsi" w:cstheme="minorBidi"/>
          <w:color w:val="495965" w:themeColor="text2"/>
          <w:sz w:val="22"/>
          <w:szCs w:val="22"/>
          <w:lang w:val="en-GB" w:eastAsia="en-US"/>
        </w:rPr>
        <w:t xml:space="preserve">* </w:t>
      </w:r>
      <w:r w:rsidR="0074489E">
        <w:rPr>
          <w:rFonts w:asciiTheme="minorHAnsi" w:eastAsiaTheme="minorHAnsi" w:hAnsiTheme="minorHAnsi" w:cstheme="minorBidi"/>
          <w:color w:val="495965" w:themeColor="text2"/>
          <w:sz w:val="22"/>
          <w:szCs w:val="22"/>
          <w:lang w:val="en-GB" w:eastAsia="en-US"/>
        </w:rPr>
        <w:t>$35 million</w:t>
      </w:r>
      <w:r w:rsidR="000223E9">
        <w:rPr>
          <w:rFonts w:asciiTheme="minorHAnsi" w:eastAsiaTheme="minorHAnsi" w:hAnsiTheme="minorHAnsi" w:cstheme="minorBidi"/>
          <w:color w:val="495965" w:themeColor="text2"/>
          <w:sz w:val="22"/>
          <w:szCs w:val="22"/>
          <w:lang w:val="en-GB" w:eastAsia="en-US"/>
        </w:rPr>
        <w:t xml:space="preserve"> for TC Pam long-term recovery provided</w:t>
      </w:r>
      <w:r>
        <w:rPr>
          <w:rFonts w:asciiTheme="minorHAnsi" w:eastAsiaTheme="minorHAnsi" w:hAnsiTheme="minorHAnsi" w:cstheme="minorBidi"/>
          <w:color w:val="495965" w:themeColor="text2"/>
          <w:sz w:val="22"/>
          <w:szCs w:val="22"/>
          <w:lang w:val="en-GB" w:eastAsia="en-US"/>
        </w:rPr>
        <w:t xml:space="preserve"> to</w:t>
      </w:r>
      <w:r w:rsidR="00963AA4">
        <w:rPr>
          <w:rFonts w:asciiTheme="minorHAnsi" w:eastAsiaTheme="minorHAnsi" w:hAnsiTheme="minorHAnsi" w:cstheme="minorBidi"/>
          <w:color w:val="495965" w:themeColor="text2"/>
          <w:sz w:val="22"/>
          <w:szCs w:val="22"/>
          <w:lang w:val="en-GB" w:eastAsia="en-US"/>
        </w:rPr>
        <w:t xml:space="preserve"> the</w:t>
      </w:r>
      <w:r>
        <w:rPr>
          <w:rFonts w:asciiTheme="minorHAnsi" w:eastAsiaTheme="minorHAnsi" w:hAnsiTheme="minorHAnsi" w:cstheme="minorBidi"/>
          <w:color w:val="495965" w:themeColor="text2"/>
          <w:sz w:val="22"/>
          <w:szCs w:val="22"/>
          <w:lang w:val="en-GB" w:eastAsia="en-US"/>
        </w:rPr>
        <w:t xml:space="preserve"> </w:t>
      </w:r>
      <w:r w:rsidR="00963AA4">
        <w:rPr>
          <w:rFonts w:asciiTheme="minorHAnsi" w:eastAsiaTheme="minorHAnsi" w:hAnsiTheme="minorHAnsi" w:cstheme="minorBidi"/>
          <w:color w:val="495965" w:themeColor="text2"/>
          <w:sz w:val="22"/>
          <w:szCs w:val="22"/>
          <w:lang w:val="en-GB" w:eastAsia="en-US"/>
        </w:rPr>
        <w:t>Vanuatu Government</w:t>
      </w:r>
      <w:r>
        <w:rPr>
          <w:rFonts w:asciiTheme="minorHAnsi" w:eastAsiaTheme="minorHAnsi" w:hAnsiTheme="minorHAnsi" w:cstheme="minorBidi"/>
          <w:color w:val="495965" w:themeColor="text2"/>
          <w:sz w:val="22"/>
          <w:szCs w:val="22"/>
          <w:lang w:val="en-GB" w:eastAsia="en-US"/>
        </w:rPr>
        <w:t xml:space="preserve"> in 2014-15. </w:t>
      </w:r>
    </w:p>
    <w:p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rsidR="00571CE8" w:rsidRPr="00A12C6F" w:rsidRDefault="006277EA" w:rsidP="00571CE8">
      <w:r>
        <w:t>The performance of Australia’s aid</w:t>
      </w:r>
      <w:r w:rsidR="00A20DCD">
        <w:t xml:space="preserve"> program is measured against</w:t>
      </w:r>
      <w:r>
        <w:t xml:space="preserve"> performance benchmarks outlined in the Australia-Vanuatu Aid Partnership Arrangement and </w:t>
      </w:r>
      <w:r w:rsidR="00216995">
        <w:t xml:space="preserve">the program’s </w:t>
      </w:r>
      <w:r>
        <w:t xml:space="preserve">performance framework </w:t>
      </w:r>
      <w:r w:rsidR="00A20DCD">
        <w:t>under</w:t>
      </w:r>
      <w:r w:rsidR="007A7C61">
        <w:t xml:space="preserve"> the </w:t>
      </w:r>
      <w:r>
        <w:t>Vanuatu Aid Investment Plan 2015-16 to 2018-19. Table 2 summarises progress. The ratings for objectives 1</w:t>
      </w:r>
      <w:r w:rsidR="002E0069">
        <w:t xml:space="preserve"> and </w:t>
      </w:r>
      <w:r>
        <w:t>3 are green in 2016-17</w:t>
      </w:r>
      <w:r w:rsidR="002E0069">
        <w:t>, reflecting</w:t>
      </w:r>
      <w:r>
        <w:t xml:space="preserve"> increasing gains in areas where Australia has </w:t>
      </w:r>
      <w:r w:rsidR="00A20DCD">
        <w:t>consistently</w:t>
      </w:r>
      <w:r>
        <w:t xml:space="preserve"> invest</w:t>
      </w:r>
      <w:r w:rsidR="00A20DCD">
        <w:t>ed over a number of years. They</w:t>
      </w:r>
      <w:r>
        <w:t xml:space="preserve"> also reflect strong buy-in and leadership from the </w:t>
      </w:r>
      <w:r w:rsidR="00456CE4">
        <w:t>Vanuatu Government</w:t>
      </w:r>
      <w:r>
        <w:t xml:space="preserve">. The </w:t>
      </w:r>
      <w:r w:rsidR="009C2EEF">
        <w:t>a</w:t>
      </w:r>
      <w:r>
        <w:t>mber rating against objective</w:t>
      </w:r>
      <w:r w:rsidR="002E0069">
        <w:t xml:space="preserve"> 2 reflects the effectiveness </w:t>
      </w:r>
      <w:r w:rsidR="0074489E">
        <w:t xml:space="preserve">rating </w:t>
      </w:r>
      <w:r w:rsidR="002E0069">
        <w:t xml:space="preserve">of the health program, although our education investments under the same objective are performing strongly. </w:t>
      </w:r>
      <w:r w:rsidR="00DF7406">
        <w:t xml:space="preserve">The design for the new phase of the health program will address previously identified deficiencies. </w:t>
      </w:r>
      <w:r w:rsidR="002E0069">
        <w:t xml:space="preserve">The amber rating for objective </w:t>
      </w:r>
      <w:r>
        <w:t xml:space="preserve">4 reflects that progress </w:t>
      </w:r>
      <w:r w:rsidR="002E0069">
        <w:t xml:space="preserve">on cyclone recovery </w:t>
      </w:r>
      <w:r>
        <w:t xml:space="preserve">has </w:t>
      </w:r>
      <w:r w:rsidR="00A20DCD">
        <w:t>not met expectations</w:t>
      </w:r>
      <w:r>
        <w:t xml:space="preserve">, largely due to delays in programming funds, procurement and construction. Restorative action is in place for </w:t>
      </w:r>
      <w:r w:rsidR="00DF7406">
        <w:t>this</w:t>
      </w:r>
      <w:r>
        <w:t xml:space="preserve"> objective.</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D44C21">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19" w:type="pct"/>
        <w:tblLook w:val="0000" w:firstRow="0" w:lastRow="0" w:firstColumn="0" w:lastColumn="0" w:noHBand="0" w:noVBand="0"/>
      </w:tblPr>
      <w:tblGrid>
        <w:gridCol w:w="6504"/>
        <w:gridCol w:w="1559"/>
        <w:gridCol w:w="1419"/>
      </w:tblGrid>
      <w:tr w:rsidR="00DA040F" w:rsidRPr="00C61187" w:rsidTr="000E408C">
        <w:trPr>
          <w:cnfStyle w:val="000000010000" w:firstRow="0" w:lastRow="0" w:firstColumn="0" w:lastColumn="0" w:oddVBand="0" w:evenVBand="0" w:oddHBand="0" w:evenHBand="1" w:firstRowFirstColumn="0" w:firstRowLastColumn="0" w:lastRowFirstColumn="0" w:lastRowLastColumn="0"/>
          <w:trHeight w:val="354"/>
        </w:trPr>
        <w:tc>
          <w:tcPr>
            <w:tcW w:w="6461" w:type="dxa"/>
          </w:tcPr>
          <w:p w:rsidR="00DA040F" w:rsidRPr="00BE6C6D" w:rsidRDefault="00DA040F" w:rsidP="000E408C">
            <w:pPr>
              <w:pStyle w:val="NormalIndented"/>
              <w:spacing w:after="0"/>
              <w:rPr>
                <w:sz w:val="18"/>
                <w:lang w:eastAsia="en-US"/>
              </w:rPr>
            </w:pPr>
            <w:r w:rsidRPr="00BE6C6D">
              <w:rPr>
                <w:noProof/>
                <w:sz w:val="18"/>
                <w:lang w:val="en-AU"/>
              </w:rPr>
              <w:drawing>
                <wp:anchor distT="0" distB="0" distL="114300" distR="114300" simplePos="0" relativeHeight="251685888" behindDoc="0" locked="0" layoutInCell="1" allowOverlap="1" wp14:anchorId="5CD8B412" wp14:editId="0080FDA5">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6D">
              <w:rPr>
                <w:sz w:val="18"/>
                <w:lang w:eastAsia="en-US"/>
              </w:rPr>
              <w:t>Objective</w:t>
            </w:r>
          </w:p>
        </w:tc>
        <w:tc>
          <w:tcPr>
            <w:tcW w:w="1531" w:type="dxa"/>
          </w:tcPr>
          <w:p w:rsidR="00DA040F" w:rsidRPr="00BE6C6D" w:rsidRDefault="00DA040F" w:rsidP="000E408C">
            <w:pPr>
              <w:pStyle w:val="NormalIndented"/>
              <w:spacing w:after="0"/>
              <w:ind w:left="0"/>
              <w:rPr>
                <w:sz w:val="18"/>
                <w:lang w:eastAsia="en-US"/>
              </w:rPr>
            </w:pPr>
            <w:r w:rsidRPr="00BE6C6D">
              <w:rPr>
                <w:sz w:val="18"/>
                <w:lang w:eastAsia="en-US"/>
              </w:rPr>
              <w:t>Previous Rating</w:t>
            </w:r>
          </w:p>
        </w:tc>
        <w:tc>
          <w:tcPr>
            <w:tcW w:w="1377" w:type="dxa"/>
          </w:tcPr>
          <w:p w:rsidR="00DA040F" w:rsidRPr="00BE6C6D" w:rsidRDefault="00DA040F" w:rsidP="000E408C">
            <w:pPr>
              <w:pStyle w:val="NormalIndented"/>
              <w:spacing w:after="0"/>
              <w:ind w:left="0"/>
              <w:rPr>
                <w:sz w:val="18"/>
                <w:lang w:eastAsia="en-US"/>
              </w:rPr>
            </w:pPr>
            <w:r w:rsidRPr="00BE6C6D">
              <w:rPr>
                <w:sz w:val="18"/>
                <w:lang w:eastAsia="en-US"/>
              </w:rPr>
              <w:t>Current Rating</w:t>
            </w:r>
          </w:p>
        </w:tc>
      </w:tr>
      <w:tr w:rsidR="00B7736E" w:rsidRPr="00C61187" w:rsidTr="000E408C">
        <w:trPr>
          <w:cnfStyle w:val="000000010000" w:firstRow="0" w:lastRow="0" w:firstColumn="0" w:lastColumn="0" w:oddVBand="0" w:evenVBand="0" w:oddHBand="0" w:evenHBand="1" w:firstRowFirstColumn="0" w:firstRowLastColumn="0" w:lastRowFirstColumn="0" w:lastRowLastColumn="0"/>
        </w:trPr>
        <w:tc>
          <w:tcPr>
            <w:tcW w:w="64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7736E" w:rsidRPr="00BE6C6D" w:rsidRDefault="00B7736E" w:rsidP="00B7736E">
            <w:pPr>
              <w:pStyle w:val="NormalIndented"/>
              <w:rPr>
                <w:sz w:val="16"/>
                <w:lang w:eastAsia="en-US"/>
              </w:rPr>
            </w:pPr>
            <w:r w:rsidRPr="00BE6C6D">
              <w:rPr>
                <w:sz w:val="16"/>
                <w:lang w:eastAsia="en-US"/>
              </w:rPr>
              <w:t>Objective 1</w:t>
            </w:r>
            <w:r>
              <w:rPr>
                <w:sz w:val="16"/>
                <w:lang w:eastAsia="en-US"/>
              </w:rPr>
              <w:t>:  Building resilient infrastructure and environment for economic opportunity</w:t>
            </w:r>
          </w:p>
        </w:tc>
        <w:tc>
          <w:tcPr>
            <w:tcW w:w="153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rsidR="00B7736E" w:rsidRPr="006A58F4" w:rsidRDefault="00B7736E" w:rsidP="00B7736E">
            <w:pPr>
              <w:pStyle w:val="NormalIndented"/>
              <w:rPr>
                <w:b/>
                <w:color w:val="FFFFFF" w:themeColor="background1"/>
                <w:sz w:val="16"/>
                <w:lang w:eastAsia="en-US"/>
              </w:rPr>
            </w:pPr>
            <w:r w:rsidRPr="006A58F4">
              <w:rPr>
                <w:b/>
                <w:color w:val="FFFFFF" w:themeColor="background1"/>
                <w:sz w:val="16"/>
                <w:lang w:eastAsia="en-US"/>
              </w:rPr>
              <w:t>Green</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noWrap/>
          </w:tcPr>
          <w:p w:rsidR="00B7736E" w:rsidRPr="006A58F4" w:rsidRDefault="00B7736E" w:rsidP="00B7736E">
            <w:pPr>
              <w:pStyle w:val="NormalIndented"/>
              <w:rPr>
                <w:b/>
                <w:color w:val="FFFFFF" w:themeColor="background1"/>
                <w:sz w:val="16"/>
                <w:lang w:eastAsia="en-US"/>
              </w:rPr>
            </w:pPr>
            <w:r w:rsidRPr="006A58F4">
              <w:rPr>
                <w:b/>
                <w:color w:val="FFFFFF" w:themeColor="background1"/>
                <w:sz w:val="16"/>
                <w:lang w:eastAsia="en-US"/>
              </w:rPr>
              <w:t>Green</w:t>
            </w:r>
          </w:p>
        </w:tc>
      </w:tr>
      <w:tr w:rsidR="00B7736E" w:rsidRPr="00C61187" w:rsidTr="006A58F4">
        <w:trPr>
          <w:cnfStyle w:val="000000010000" w:firstRow="0" w:lastRow="0" w:firstColumn="0" w:lastColumn="0" w:oddVBand="0" w:evenVBand="0" w:oddHBand="0" w:evenHBand="1" w:firstRowFirstColumn="0" w:firstRowLastColumn="0" w:lastRowFirstColumn="0" w:lastRowLastColumn="0"/>
        </w:trPr>
        <w:tc>
          <w:tcPr>
            <w:tcW w:w="6461" w:type="dxa"/>
          </w:tcPr>
          <w:p w:rsidR="00B7736E" w:rsidRPr="00BE6C6D" w:rsidRDefault="00B7736E" w:rsidP="00B7736E">
            <w:pPr>
              <w:pStyle w:val="NormalIndented"/>
              <w:rPr>
                <w:sz w:val="16"/>
                <w:lang w:eastAsia="en-US"/>
              </w:rPr>
            </w:pPr>
            <w:r w:rsidRPr="00BE6C6D">
              <w:rPr>
                <w:sz w:val="16"/>
                <w:lang w:eastAsia="en-US"/>
              </w:rPr>
              <w:t>Objective 2</w:t>
            </w:r>
            <w:r>
              <w:rPr>
                <w:sz w:val="16"/>
                <w:lang w:eastAsia="en-US"/>
              </w:rPr>
              <w:t>: Improving early education and essential health services</w:t>
            </w:r>
          </w:p>
        </w:tc>
        <w:tc>
          <w:tcPr>
            <w:tcW w:w="1531" w:type="dxa"/>
            <w:shd w:val="clear" w:color="auto" w:fill="92D050"/>
            <w:noWrap/>
          </w:tcPr>
          <w:p w:rsidR="00B7736E" w:rsidRPr="006A58F4" w:rsidRDefault="00B7736E" w:rsidP="00B7736E">
            <w:pPr>
              <w:pStyle w:val="NormalIndented"/>
              <w:rPr>
                <w:b/>
                <w:color w:val="FFFFFF" w:themeColor="background1"/>
                <w:sz w:val="16"/>
                <w:lang w:eastAsia="en-US"/>
              </w:rPr>
            </w:pPr>
            <w:r w:rsidRPr="006A58F4">
              <w:rPr>
                <w:b/>
                <w:color w:val="FFFFFF" w:themeColor="background1"/>
                <w:sz w:val="16"/>
                <w:lang w:eastAsia="en-US"/>
              </w:rPr>
              <w:t>Green</w:t>
            </w:r>
          </w:p>
        </w:tc>
        <w:tc>
          <w:tcPr>
            <w:tcW w:w="1377" w:type="dxa"/>
            <w:shd w:val="clear" w:color="auto" w:fill="FF9900"/>
            <w:noWrap/>
          </w:tcPr>
          <w:p w:rsidR="00B7736E" w:rsidRPr="006A58F4" w:rsidRDefault="002E0069" w:rsidP="00B7736E">
            <w:pPr>
              <w:pStyle w:val="NormalIndented"/>
              <w:rPr>
                <w:b/>
                <w:color w:val="FFFFFF" w:themeColor="background1"/>
                <w:sz w:val="16"/>
                <w:lang w:eastAsia="en-US"/>
              </w:rPr>
            </w:pPr>
            <w:r w:rsidRPr="006A58F4">
              <w:rPr>
                <w:b/>
                <w:color w:val="FFFFFF" w:themeColor="background1"/>
                <w:sz w:val="16"/>
                <w:lang w:eastAsia="en-US"/>
              </w:rPr>
              <w:t>Amber</w:t>
            </w:r>
          </w:p>
        </w:tc>
      </w:tr>
      <w:tr w:rsidR="00B7736E" w:rsidRPr="00C61187" w:rsidTr="000E408C">
        <w:trPr>
          <w:cnfStyle w:val="000000010000" w:firstRow="0" w:lastRow="0" w:firstColumn="0" w:lastColumn="0" w:oddVBand="0" w:evenVBand="0" w:oddHBand="0" w:evenHBand="1" w:firstRowFirstColumn="0" w:firstRowLastColumn="0" w:lastRowFirstColumn="0" w:lastRowLastColumn="0"/>
        </w:trPr>
        <w:tc>
          <w:tcPr>
            <w:tcW w:w="6461" w:type="dxa"/>
          </w:tcPr>
          <w:p w:rsidR="00B7736E" w:rsidRPr="00BE6C6D" w:rsidRDefault="00B7736E" w:rsidP="00B7736E">
            <w:pPr>
              <w:pStyle w:val="NormalIndented"/>
              <w:rPr>
                <w:sz w:val="16"/>
                <w:lang w:eastAsia="en-US"/>
              </w:rPr>
            </w:pPr>
            <w:r w:rsidRPr="00BE6C6D">
              <w:rPr>
                <w:sz w:val="16"/>
                <w:lang w:eastAsia="en-US"/>
              </w:rPr>
              <w:t>Objective 3</w:t>
            </w:r>
            <w:r>
              <w:rPr>
                <w:sz w:val="16"/>
                <w:lang w:eastAsia="en-US"/>
              </w:rPr>
              <w:t>: Improving community safety and resilience</w:t>
            </w:r>
          </w:p>
        </w:tc>
        <w:tc>
          <w:tcPr>
            <w:tcW w:w="1531" w:type="dxa"/>
            <w:shd w:val="clear" w:color="auto" w:fill="92D050"/>
            <w:noWrap/>
          </w:tcPr>
          <w:p w:rsidR="00B7736E" w:rsidRPr="006A58F4" w:rsidRDefault="00B7736E" w:rsidP="00B7736E">
            <w:pPr>
              <w:pStyle w:val="NormalIndented"/>
              <w:rPr>
                <w:b/>
                <w:color w:val="FFFFFF" w:themeColor="background1"/>
                <w:sz w:val="16"/>
                <w:lang w:eastAsia="en-US"/>
              </w:rPr>
            </w:pPr>
            <w:r w:rsidRPr="006A58F4">
              <w:rPr>
                <w:b/>
                <w:color w:val="FFFFFF" w:themeColor="background1"/>
                <w:sz w:val="16"/>
                <w:lang w:eastAsia="en-US"/>
              </w:rPr>
              <w:t>Green</w:t>
            </w:r>
          </w:p>
        </w:tc>
        <w:tc>
          <w:tcPr>
            <w:tcW w:w="1377" w:type="dxa"/>
            <w:shd w:val="clear" w:color="auto" w:fill="92D050"/>
            <w:noWrap/>
          </w:tcPr>
          <w:p w:rsidR="00B7736E" w:rsidRPr="006A58F4" w:rsidRDefault="00B7736E" w:rsidP="00B7736E">
            <w:pPr>
              <w:pStyle w:val="NormalIndented"/>
              <w:rPr>
                <w:b/>
                <w:color w:val="FFFFFF" w:themeColor="background1"/>
                <w:sz w:val="16"/>
                <w:lang w:eastAsia="en-US"/>
              </w:rPr>
            </w:pPr>
            <w:r w:rsidRPr="006A58F4">
              <w:rPr>
                <w:b/>
                <w:color w:val="FFFFFF" w:themeColor="background1"/>
                <w:sz w:val="16"/>
                <w:lang w:eastAsia="en-US"/>
              </w:rPr>
              <w:t>Green</w:t>
            </w:r>
          </w:p>
        </w:tc>
      </w:tr>
      <w:tr w:rsidR="00B7736E" w:rsidRPr="00C61187" w:rsidTr="006A58F4">
        <w:trPr>
          <w:cnfStyle w:val="000000010000" w:firstRow="0" w:lastRow="0" w:firstColumn="0" w:lastColumn="0" w:oddVBand="0" w:evenVBand="0" w:oddHBand="0" w:evenHBand="1" w:firstRowFirstColumn="0" w:firstRowLastColumn="0" w:lastRowFirstColumn="0" w:lastRowLastColumn="0"/>
        </w:trPr>
        <w:tc>
          <w:tcPr>
            <w:tcW w:w="6461" w:type="dxa"/>
          </w:tcPr>
          <w:p w:rsidR="00B7736E" w:rsidRPr="00BE6C6D" w:rsidRDefault="00B7736E" w:rsidP="00B7736E">
            <w:pPr>
              <w:pStyle w:val="NormalIndented"/>
              <w:rPr>
                <w:sz w:val="16"/>
              </w:rPr>
            </w:pPr>
            <w:r>
              <w:rPr>
                <w:sz w:val="16"/>
              </w:rPr>
              <w:t>Objective 4: Supporting cyclone recovery and reconstruction</w:t>
            </w:r>
          </w:p>
        </w:tc>
        <w:tc>
          <w:tcPr>
            <w:tcW w:w="1531" w:type="dxa"/>
            <w:shd w:val="clear" w:color="auto" w:fill="FF9900"/>
            <w:noWrap/>
          </w:tcPr>
          <w:p w:rsidR="00B7736E" w:rsidRPr="006A58F4" w:rsidRDefault="00B7736E" w:rsidP="00B7736E">
            <w:pPr>
              <w:pStyle w:val="NormalIndented"/>
              <w:rPr>
                <w:b/>
                <w:color w:val="FFFFFF" w:themeColor="background1"/>
                <w:sz w:val="16"/>
              </w:rPr>
            </w:pPr>
            <w:r w:rsidRPr="006A58F4">
              <w:rPr>
                <w:b/>
                <w:color w:val="FFFFFF" w:themeColor="background1"/>
                <w:sz w:val="16"/>
              </w:rPr>
              <w:t>Amber</w:t>
            </w:r>
          </w:p>
        </w:tc>
        <w:tc>
          <w:tcPr>
            <w:tcW w:w="1377" w:type="dxa"/>
            <w:shd w:val="clear" w:color="auto" w:fill="FF9900"/>
            <w:noWrap/>
          </w:tcPr>
          <w:p w:rsidR="00B7736E" w:rsidRPr="006A58F4" w:rsidRDefault="00B7736E" w:rsidP="00B7736E">
            <w:pPr>
              <w:pStyle w:val="NormalIndented"/>
              <w:rPr>
                <w:b/>
                <w:color w:val="FFFFFF" w:themeColor="background1"/>
                <w:sz w:val="16"/>
              </w:rPr>
            </w:pPr>
            <w:r w:rsidRPr="006A58F4">
              <w:rPr>
                <w:b/>
                <w:color w:val="FFFFFF" w:themeColor="background1"/>
                <w:sz w:val="16"/>
              </w:rPr>
              <w:t>Amber</w:t>
            </w:r>
          </w:p>
        </w:tc>
      </w:tr>
    </w:tbl>
    <w:p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rsidR="002A51CA" w:rsidRDefault="002A51CA" w:rsidP="00BE6C6D">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rsidR="002A51CA" w:rsidRDefault="0041771D" w:rsidP="00AB0B51">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r w:rsidR="002A51CA" w:rsidRPr="002A51CA">
        <w:rPr>
          <w:rFonts w:asciiTheme="majorHAnsi" w:eastAsiaTheme="majorEastAsia" w:hAnsiTheme="majorHAnsi" w:cstheme="majorBidi"/>
          <w:caps/>
          <w:sz w:val="38"/>
          <w:szCs w:val="26"/>
        </w:rPr>
        <w:lastRenderedPageBreak/>
        <w:t>Objective 1</w:t>
      </w:r>
      <w:r>
        <w:rPr>
          <w:rFonts w:asciiTheme="majorHAnsi" w:eastAsiaTheme="majorEastAsia" w:hAnsiTheme="majorHAnsi" w:cstheme="majorBidi"/>
          <w:caps/>
          <w:sz w:val="38"/>
          <w:szCs w:val="26"/>
        </w:rPr>
        <w:t>: building resilient infrastructure and an environment for economic opportunity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2378"/>
        <w:gridCol w:w="2551"/>
        <w:gridCol w:w="1418"/>
        <w:gridCol w:w="1274"/>
      </w:tblGrid>
      <w:tr w:rsidR="00CA7DD8" w:rsidTr="000E408C">
        <w:tc>
          <w:tcPr>
            <w:tcW w:w="2017" w:type="dxa"/>
          </w:tcPr>
          <w:p w:rsidR="00CA7DD8" w:rsidRDefault="00CA7DD8" w:rsidP="00CA7DD8">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6F8F5404" wp14:editId="68971CAE">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2378" w:type="dxa"/>
          </w:tcPr>
          <w:p w:rsidR="00CA7DD8" w:rsidRDefault="007453D0" w:rsidP="007453D0">
            <w:pPr>
              <w:pStyle w:val="ListBullet"/>
              <w:tabs>
                <w:tab w:val="clear" w:pos="284"/>
              </w:tabs>
              <w:spacing w:before="160" w:after="80" w:line="240" w:lineRule="auto"/>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167F934" wp14:editId="5CCFF277">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rPr>
              <w:drawing>
                <wp:inline distT="0" distB="0" distL="0" distR="0" wp14:anchorId="20D9D414" wp14:editId="5FA9BF22">
                  <wp:extent cx="612000" cy="612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551" w:type="dxa"/>
          </w:tcPr>
          <w:p w:rsidR="00CA7DD8" w:rsidRDefault="007453D0" w:rsidP="007453D0">
            <w:pPr>
              <w:pStyle w:val="ListBullet"/>
              <w:tabs>
                <w:tab w:val="clear" w:pos="284"/>
              </w:tabs>
              <w:spacing w:before="160" w:after="80" w:line="240" w:lineRule="auto"/>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4C10001" wp14:editId="4B29D784">
                  <wp:extent cx="612000" cy="612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rPr>
              <w:drawing>
                <wp:inline distT="0" distB="0" distL="0" distR="0" wp14:anchorId="6E9ACBDE" wp14:editId="438BF431">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418" w:type="dxa"/>
          </w:tcPr>
          <w:p w:rsidR="00CA7DD8" w:rsidRDefault="007453D0" w:rsidP="007453D0">
            <w:pPr>
              <w:pStyle w:val="ListBullet"/>
              <w:tabs>
                <w:tab w:val="clear" w:pos="284"/>
              </w:tabs>
              <w:spacing w:before="160" w:after="80" w:line="240" w:lineRule="auto"/>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836106B" wp14:editId="3D2090B1">
                  <wp:extent cx="609600" cy="609600"/>
                  <wp:effectExtent l="0" t="0" r="0" b="0"/>
                  <wp:docPr id="15" name="Picture 15"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274" w:type="dxa"/>
          </w:tcPr>
          <w:p w:rsidR="00CA7DD8" w:rsidRDefault="00B43B06" w:rsidP="007453D0">
            <w:pPr>
              <w:pStyle w:val="ListBullet"/>
              <w:tabs>
                <w:tab w:val="clear" w:pos="284"/>
              </w:tabs>
              <w:spacing w:before="160" w:after="80" w:line="240" w:lineRule="auto"/>
              <w:rPr>
                <w:rFonts w:asciiTheme="majorHAnsi" w:eastAsiaTheme="majorEastAsia" w:hAnsiTheme="majorHAnsi" w:cstheme="majorBidi"/>
                <w:caps/>
                <w:color w:val="495965" w:themeColor="text2"/>
                <w:sz w:val="38"/>
                <w:szCs w:val="26"/>
                <w:lang w:val="en-GB" w:eastAsia="en-US"/>
              </w:rPr>
            </w:pPr>
            <w:r w:rsidRPr="00B43B06">
              <w:rPr>
                <w:rFonts w:asciiTheme="majorHAnsi" w:eastAsiaTheme="majorEastAsia" w:hAnsiTheme="majorHAnsi" w:cstheme="majorBidi"/>
                <w:caps/>
                <w:noProof/>
                <w:color w:val="495965" w:themeColor="text2"/>
                <w:sz w:val="38"/>
                <w:szCs w:val="26"/>
              </w:rPr>
              <w:drawing>
                <wp:inline distT="0" distB="0" distL="0" distR="0" wp14:anchorId="174DF59A" wp14:editId="1AB44A43">
                  <wp:extent cx="612000" cy="612000"/>
                  <wp:effectExtent l="0" t="0" r="0" b="0"/>
                  <wp:docPr id="7" name="Picture 7" descr="\\TITAN\CHCH\Desktop\Aregnaul\Desktop\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Aregnaul\Desktop\sdg-0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r>
    </w:tbl>
    <w:p w:rsidR="009B6771" w:rsidRPr="00FF295B" w:rsidRDefault="003C62A3" w:rsidP="003C62A3">
      <w:r>
        <w:t>Progress against the first objective of building resilient infrastructure and an environment for economic growth has been rated green. Australia’s engagement cuts across the main focus areas of governance, infrastructure, skills and employment</w:t>
      </w:r>
      <w:r w:rsidR="00AC7DD6">
        <w:t xml:space="preserve">. </w:t>
      </w:r>
    </w:p>
    <w:p w:rsidR="009B6771" w:rsidRDefault="009B6771" w:rsidP="009B6771">
      <w:pPr>
        <w:rPr>
          <w:b/>
          <w:bCs/>
        </w:rPr>
      </w:pPr>
      <w:r>
        <w:rPr>
          <w:b/>
          <w:bCs/>
        </w:rPr>
        <w:t xml:space="preserve">Governance </w:t>
      </w:r>
    </w:p>
    <w:p w:rsidR="009B6771" w:rsidRDefault="009B6771" w:rsidP="009B6771">
      <w:r>
        <w:t xml:space="preserve">Australia has assisted the Vanuatu Government </w:t>
      </w:r>
      <w:r w:rsidR="00C6226F">
        <w:t xml:space="preserve">to </w:t>
      </w:r>
      <w:r>
        <w:t>remov</w:t>
      </w:r>
      <w:r w:rsidR="007A7C61">
        <w:t>e</w:t>
      </w:r>
      <w:r>
        <w:t xml:space="preserve"> constraints to economic </w:t>
      </w:r>
      <w:r w:rsidR="00064155">
        <w:t>growth, improve service delivery through reforms, and improve</w:t>
      </w:r>
      <w:r>
        <w:t xml:space="preserve"> public financial management</w:t>
      </w:r>
      <w:r w:rsidR="0002137A">
        <w:t xml:space="preserve"> through targeted technical support.</w:t>
      </w:r>
    </w:p>
    <w:p w:rsidR="009B6771" w:rsidRDefault="009B6771" w:rsidP="009B6771">
      <w:r>
        <w:t xml:space="preserve">Through support provided under the Governance for Growth Program (GfG), </w:t>
      </w:r>
      <w:r w:rsidR="00626EB3">
        <w:t xml:space="preserve">which pursues emerging opportunities for strategic, catalytic investment for economic reform, </w:t>
      </w:r>
      <w:r>
        <w:t>the National Trade Development Committee has facilitated a more coordinated approach by partner government agencies in breaking down barriers to trade and driving the aid-for-trade agenda. We have assisted the government in rolling out its Universal Access Policy, with a trial of 22 computer laboratory and internet community centres coming online in 2016. Australia’s work with the National Bank of Vanuatu on rural and mobile banking has supported increased access t</w:t>
      </w:r>
      <w:r w:rsidR="00D66528">
        <w:t>o financial services, with 6,040</w:t>
      </w:r>
      <w:r>
        <w:t xml:space="preserve"> new bank a</w:t>
      </w:r>
      <w:r w:rsidR="00D66528">
        <w:t>ccounts opened in the last</w:t>
      </w:r>
      <w:r>
        <w:t xml:space="preserve"> year</w:t>
      </w:r>
      <w:r w:rsidR="007A7C61">
        <w:t>, far exceeding the target of 3,000 accounts</w:t>
      </w:r>
      <w:r w:rsidR="00D33A10">
        <w:t xml:space="preserve"> for</w:t>
      </w:r>
      <w:r w:rsidR="00C0066C">
        <w:t xml:space="preserve"> 2016-17</w:t>
      </w:r>
      <w:r>
        <w:t>.</w:t>
      </w:r>
      <w:r w:rsidR="001E6AFB">
        <w:t xml:space="preserve"> Of these, 45 per cent are owned by women.</w:t>
      </w:r>
      <w:r>
        <w:t xml:space="preserve"> </w:t>
      </w:r>
      <w:r w:rsidR="006305B1">
        <w:t>We</w:t>
      </w:r>
      <w:r>
        <w:t xml:space="preserve"> have initiated investments aligned to DFAT’s shared value approach to engaging the private sector. For example, our work with The Difference Incubator supported the re-engagement of 700 small holder coffee growers following </w:t>
      </w:r>
      <w:r w:rsidR="00456CE4">
        <w:t>TC</w:t>
      </w:r>
      <w:r>
        <w:t xml:space="preserve"> Pam, paving the way for substantial private investment in the </w:t>
      </w:r>
      <w:r w:rsidR="00E43188">
        <w:t>c</w:t>
      </w:r>
      <w:r>
        <w:t>offee sector.</w:t>
      </w:r>
    </w:p>
    <w:p w:rsidR="00C0066C" w:rsidRDefault="00C0066C" w:rsidP="00C0066C">
      <w:r>
        <w:t xml:space="preserve">Australia has been able to provide timely, critical funding to assist Vanuatu’s efforts to avoid blacklisting by </w:t>
      </w:r>
      <w:r w:rsidR="00FD3F72">
        <w:t xml:space="preserve">the </w:t>
      </w:r>
      <w:r>
        <w:t>Financial Action Task Force</w:t>
      </w:r>
      <w:r w:rsidR="00FD3F72">
        <w:t xml:space="preserve"> (FATF)</w:t>
      </w:r>
      <w:r>
        <w:t xml:space="preserve">.  In early 2016, Vanuatu was placed on the </w:t>
      </w:r>
      <w:r w:rsidR="00FD3F72">
        <w:t>FATF</w:t>
      </w:r>
      <w:r>
        <w:t>’s grey list for deficiencies in its counter-terrorism financing and anti-money laundering systems, with the likelihood of a further downgrade to the dark grey or black</w:t>
      </w:r>
      <w:r w:rsidR="009C2EEF">
        <w:t xml:space="preserve"> </w:t>
      </w:r>
      <w:r>
        <w:t xml:space="preserve">list if the deficiencies were not addressed. </w:t>
      </w:r>
      <w:r w:rsidR="00064155">
        <w:t>Blacklisting</w:t>
      </w:r>
      <w:r>
        <w:t xml:space="preserve"> would increase the cost of doing business, reduce access to international markets, limit new investment and precipitate capital flight. For a country like Vanuatu, which is reliant on international trade, aid, tourism and remittances, this would have been devastating. </w:t>
      </w:r>
    </w:p>
    <w:p w:rsidR="00C0066C" w:rsidRDefault="00C0066C" w:rsidP="00C0066C">
      <w:r>
        <w:t xml:space="preserve">With assistance from the Australian Attorney-General’s Department, Australia funded technical advisors to work with the State Law Office to draft legislation addressing key counter-terrorism financing and anti-money laundering deficiencies. In June 2017, </w:t>
      </w:r>
      <w:r w:rsidR="00064155">
        <w:t>Parliament passed</w:t>
      </w:r>
      <w:r w:rsidR="006B17FB">
        <w:t xml:space="preserve"> </w:t>
      </w:r>
      <w:r>
        <w:t xml:space="preserve">13 key pieces of priority legislation and </w:t>
      </w:r>
      <w:r w:rsidR="00064155">
        <w:t xml:space="preserve">these were </w:t>
      </w:r>
      <w:r>
        <w:t xml:space="preserve">gazetted into law. </w:t>
      </w:r>
      <w:r w:rsidR="0036515B">
        <w:t xml:space="preserve">While </w:t>
      </w:r>
      <w:r>
        <w:t xml:space="preserve">Vanuatu’s progress </w:t>
      </w:r>
      <w:r w:rsidR="00064155">
        <w:t>was</w:t>
      </w:r>
      <w:r>
        <w:t xml:space="preserve"> commended, </w:t>
      </w:r>
      <w:r w:rsidR="006B17FB">
        <w:t>more</w:t>
      </w:r>
      <w:r w:rsidR="0036515B">
        <w:t xml:space="preserve"> work </w:t>
      </w:r>
      <w:r w:rsidR="006B17FB">
        <w:t>is</w:t>
      </w:r>
      <w:r w:rsidR="0036515B">
        <w:t xml:space="preserve"> required to </w:t>
      </w:r>
      <w:r w:rsidR="00064155">
        <w:t>avoid</w:t>
      </w:r>
      <w:r w:rsidR="0074489E">
        <w:t xml:space="preserve"> a further downgrade in its list</w:t>
      </w:r>
      <w:r>
        <w:t xml:space="preserve">ing. </w:t>
      </w:r>
      <w:r w:rsidR="006B17FB">
        <w:t xml:space="preserve">In 2017-18, </w:t>
      </w:r>
      <w:r>
        <w:t xml:space="preserve">Australia will continue to support </w:t>
      </w:r>
      <w:r w:rsidR="00064155">
        <w:t xml:space="preserve">efforts to remove </w:t>
      </w:r>
      <w:r>
        <w:t xml:space="preserve">Vanuatu from the grey list, including assistance to draft the remaining legislation.   </w:t>
      </w:r>
    </w:p>
    <w:p w:rsidR="009B6771" w:rsidRDefault="009B6771" w:rsidP="009B6771">
      <w:r>
        <w:t xml:space="preserve">Progress </w:t>
      </w:r>
      <w:r w:rsidR="007A7C61">
        <w:t xml:space="preserve">in other areas, however, </w:t>
      </w:r>
      <w:r>
        <w:t>has been uneven with some initiatives losing impetus, and some recent gains still to be locked-in</w:t>
      </w:r>
      <w:r>
        <w:rPr>
          <w:i/>
        </w:rPr>
        <w:t xml:space="preserve">. </w:t>
      </w:r>
      <w:r>
        <w:t>For example, Australia’s support to provide reform options for the Vanuatu Commodities Marketing Board was considered highly relevant, but the Government has to date not been able to progress reforms.</w:t>
      </w:r>
      <w:r>
        <w:rPr>
          <w:rStyle w:val="FootnoteReference"/>
          <w:i/>
        </w:rPr>
        <w:footnoteReference w:id="3"/>
      </w:r>
      <w:r>
        <w:rPr>
          <w:i/>
        </w:rPr>
        <w:t xml:space="preserve"> </w:t>
      </w:r>
      <w:r>
        <w:t xml:space="preserve">Capacity and resource constraints persist in government and </w:t>
      </w:r>
      <w:r w:rsidR="0036515B">
        <w:t xml:space="preserve">frequent </w:t>
      </w:r>
      <w:r>
        <w:t>change in key management positions mean opportunities for reform can be fleeting. Nevertheless, the political demands for reform and expectation on the government to deliver them have increased over the last year.</w:t>
      </w:r>
    </w:p>
    <w:p w:rsidR="004B01F6" w:rsidRDefault="0030215F" w:rsidP="009B6771">
      <w:r>
        <w:lastRenderedPageBreak/>
        <w:t>T</w:t>
      </w:r>
      <w:r w:rsidR="004B01F6">
        <w:t xml:space="preserve">he program </w:t>
      </w:r>
      <w:r>
        <w:t xml:space="preserve">has </w:t>
      </w:r>
      <w:r w:rsidR="004B01F6">
        <w:t>target</w:t>
      </w:r>
      <w:r>
        <w:t>ed</w:t>
      </w:r>
      <w:r w:rsidR="004B01F6">
        <w:t xml:space="preserve"> gender </w:t>
      </w:r>
      <w:r>
        <w:t xml:space="preserve">equality </w:t>
      </w:r>
      <w:r w:rsidR="004B01F6">
        <w:t xml:space="preserve">outcomes in specific investments. </w:t>
      </w:r>
      <w:r>
        <w:t xml:space="preserve">For example, </w:t>
      </w:r>
      <w:r w:rsidR="004B01F6">
        <w:t xml:space="preserve">GfG’s mobile banking program </w:t>
      </w:r>
      <w:r w:rsidR="00064155">
        <w:t xml:space="preserve">was designed </w:t>
      </w:r>
      <w:r w:rsidR="004B01F6">
        <w:t xml:space="preserve">with a gender focus and has achieved impressive results, with 23,727 people (42 per cent women) receiving financial literacy training from 2011 to 2016.  </w:t>
      </w:r>
    </w:p>
    <w:p w:rsidR="00801E79" w:rsidRDefault="009B6771" w:rsidP="00801E79">
      <w:pPr>
        <w:suppressAutoHyphens w:val="0"/>
        <w:spacing w:before="0" w:after="0" w:line="240" w:lineRule="auto"/>
        <w:rPr>
          <w:rFonts w:ascii="Times New Roman" w:hAnsi="Times New Roman" w:cs="Times New Roman"/>
          <w:color w:val="auto"/>
          <w:sz w:val="24"/>
          <w:szCs w:val="24"/>
          <w:lang w:val="en-AU" w:eastAsia="en-AU"/>
        </w:rPr>
      </w:pPr>
      <w:r>
        <w:t>Two sepa</w:t>
      </w:r>
      <w:r w:rsidR="00E43188">
        <w:t>rate reviews</w:t>
      </w:r>
      <w:r w:rsidR="00626EB3">
        <w:t xml:space="preserve"> of GfG</w:t>
      </w:r>
      <w:r w:rsidR="00E43188">
        <w:t xml:space="preserve"> conducted in 2016</w:t>
      </w:r>
      <w:r w:rsidR="00626EB3">
        <w:t xml:space="preserve"> </w:t>
      </w:r>
      <w:r>
        <w:t>substantiate the value of a long-term commitment to support</w:t>
      </w:r>
      <w:r w:rsidR="00064155">
        <w:t xml:space="preserve"> locally </w:t>
      </w:r>
      <w:r>
        <w:t>led and politically feasible institutional reforms.</w:t>
      </w:r>
      <w:r w:rsidR="00801E79">
        <w:t xml:space="preserve"> </w:t>
      </w:r>
      <w:r w:rsidR="00626EB3">
        <w:t xml:space="preserve">A report conducted by the Overseas Development Institute (ODI) </w:t>
      </w:r>
      <w:r w:rsidR="00801E79">
        <w:t>found that GfG has been able to support reforms in a number o</w:t>
      </w:r>
      <w:r w:rsidR="000A1221">
        <w:t xml:space="preserve">f areas by working politically and is delivering on its ambition. The report highlights liberalisation </w:t>
      </w:r>
      <w:r w:rsidR="0036515B">
        <w:t xml:space="preserve">of </w:t>
      </w:r>
      <w:r w:rsidR="000A1221">
        <w:t>the telecommunications industry</w:t>
      </w:r>
      <w:r w:rsidR="00DF7406">
        <w:t>,</w:t>
      </w:r>
      <w:r w:rsidR="000A1221">
        <w:t xml:space="preserve"> </w:t>
      </w:r>
      <w:r w:rsidR="00C6226F">
        <w:t>improvements in</w:t>
      </w:r>
      <w:r w:rsidR="000A1221">
        <w:t xml:space="preserve"> wharf management and fiscal decentralisation as key achievements</w:t>
      </w:r>
      <w:r w:rsidR="00626EB3">
        <w:t xml:space="preserve"> over the life of the investment</w:t>
      </w:r>
      <w:r w:rsidR="000A1221">
        <w:t>.</w:t>
      </w:r>
      <w:r w:rsidR="000A1221">
        <w:rPr>
          <w:rStyle w:val="FootnoteReference"/>
        </w:rPr>
        <w:footnoteReference w:id="4"/>
      </w:r>
      <w:r w:rsidR="000A1221">
        <w:t xml:space="preserve"> </w:t>
      </w:r>
      <w:r w:rsidR="00801E79">
        <w:t>The second review found that</w:t>
      </w:r>
      <w:r w:rsidR="0036515B">
        <w:t>,</w:t>
      </w:r>
      <w:r w:rsidR="00801E79">
        <w:t xml:space="preserve"> while the program had delivered some impressive reforms, ongoing challenges include inclusivity (such as gender or reaching outer islands), capacity limitations and political volatility.</w:t>
      </w:r>
      <w:r w:rsidR="00801E79">
        <w:rPr>
          <w:rStyle w:val="FootnoteReference"/>
        </w:rPr>
        <w:footnoteReference w:id="5"/>
      </w:r>
      <w:r w:rsidR="00801E79">
        <w:t xml:space="preserve"> </w:t>
      </w:r>
    </w:p>
    <w:p w:rsidR="009C2EEF" w:rsidRDefault="00626EB3" w:rsidP="009C2EEF">
      <w:r>
        <w:t>Findings from these reviews have informed the development of the</w:t>
      </w:r>
      <w:r w:rsidR="009B6771">
        <w:t xml:space="preserve"> third phase of Australia’s investment in </w:t>
      </w:r>
      <w:r w:rsidR="009C2EEF">
        <w:t>GfG</w:t>
      </w:r>
      <w:r>
        <w:t xml:space="preserve">, which </w:t>
      </w:r>
      <w:r w:rsidR="009B6771">
        <w:t xml:space="preserve">commenced in August 2017. </w:t>
      </w:r>
      <w:r w:rsidR="009C2EEF">
        <w:t>The new phase will increase Australia’s support to economic reforms that benefit women and will evaluate the impacts of the program on women.</w:t>
      </w:r>
    </w:p>
    <w:p w:rsidR="003C62A3" w:rsidRPr="00FA4B16" w:rsidRDefault="009B6771" w:rsidP="00FA4B16">
      <w:r>
        <w:t>Australia continues to be in a strong position to engage in economic reform policy dialogue through the program, particularly as the multilateral development banks scale up their investments in Vanuatu. There is also scope for increased engagement with other Australian-supported sector</w:t>
      </w:r>
      <w:r w:rsidR="00FD3F72">
        <w:t>s</w:t>
      </w:r>
      <w:r>
        <w:t xml:space="preserve"> such as health and education, including support for public financial management in line ministries</w:t>
      </w:r>
      <w:r w:rsidR="00FF295B">
        <w:t>.</w:t>
      </w:r>
      <w:r w:rsidRPr="00FA4B16">
        <w:t xml:space="preserve"> </w:t>
      </w:r>
    </w:p>
    <w:p w:rsidR="00FA4B16" w:rsidRDefault="00FA4B16" w:rsidP="00FA4B16">
      <w:r w:rsidRPr="00FA4B16">
        <w:t xml:space="preserve">With regard to gender equality, </w:t>
      </w:r>
      <w:r>
        <w:t xml:space="preserve">the push for greater involvement of women at community, provincial, and national levels of government has become increasingly evident in recent years. The Department of Women’s Affairs, with support from Australia’s Pacific Leadership Program, successfully lobbied for reserved seats for women at the municipal level. </w:t>
      </w:r>
      <w:r w:rsidR="00986F7C">
        <w:t>This</w:t>
      </w:r>
      <w:r w:rsidR="007A7C61">
        <w:t xml:space="preserve"> </w:t>
      </w:r>
      <w:r>
        <w:t>illustrate</w:t>
      </w:r>
      <w:r w:rsidR="00986F7C">
        <w:t>s</w:t>
      </w:r>
      <w:r>
        <w:t xml:space="preserve"> a gradual shift towards greater inclusivity and involvement by women in decision-making.  </w:t>
      </w:r>
    </w:p>
    <w:p w:rsidR="00FF295B" w:rsidRPr="00FF295B" w:rsidRDefault="00FF295B" w:rsidP="00FF295B">
      <w:pPr>
        <w:suppressAutoHyphens w:val="0"/>
        <w:spacing w:before="0" w:after="0" w:line="240" w:lineRule="auto"/>
        <w:rPr>
          <w:rFonts w:ascii="Times New Roman" w:hAnsi="Times New Roman" w:cs="Times New Roman"/>
          <w:color w:val="auto"/>
          <w:sz w:val="24"/>
          <w:szCs w:val="24"/>
          <w:lang w:val="en-AU" w:eastAsia="en-AU"/>
        </w:rPr>
      </w:pPr>
    </w:p>
    <w:p w:rsidR="007C2CDD" w:rsidRDefault="007C2CDD" w:rsidP="007C2CDD">
      <w:pPr>
        <w:rPr>
          <w:b/>
          <w:bCs/>
        </w:rPr>
      </w:pPr>
      <w:r>
        <w:rPr>
          <w:b/>
          <w:bCs/>
        </w:rPr>
        <w:t>Infrastructure</w:t>
      </w:r>
    </w:p>
    <w:p w:rsidR="009B6771" w:rsidRDefault="009B6771" w:rsidP="000C1738">
      <w:r>
        <w:t xml:space="preserve">Australia continued to support infrastructure development in Vanuatu through our rural and urban investments. We worked closely with the Public Works Department </w:t>
      </w:r>
      <w:r w:rsidR="00456CE4">
        <w:t xml:space="preserve">(PWD) </w:t>
      </w:r>
      <w:r>
        <w:t>of the Ministry of Infrastructure and Public Utilities</w:t>
      </w:r>
      <w:r w:rsidR="00456CE4">
        <w:t xml:space="preserve"> (MIPU)</w:t>
      </w:r>
      <w:r>
        <w:t xml:space="preserve"> to further its transition from a traditional works organisation to a modern-style network road manager. </w:t>
      </w:r>
    </w:p>
    <w:p w:rsidR="009B6771" w:rsidRDefault="009B6771" w:rsidP="000C1738">
      <w:r>
        <w:t>Through the Roads for Development Program, we supported all six provinces to improve basic road access.  In 2016, routine maintenance was completed on 1</w:t>
      </w:r>
      <w:r w:rsidR="00F92AD9">
        <w:t>,</w:t>
      </w:r>
      <w:r>
        <w:t xml:space="preserve">181 kilometres of rural roads (exceeding expectations) and repairs and rehabilitation were carried out on 81 kilometres of roads (target of 104). Additional physical works included the construction of 15 concrete drifts (target of 18), 41 culverts (target of 52) and 28 concrete pavements (target of 12). </w:t>
      </w:r>
    </w:p>
    <w:p w:rsidR="009B6771" w:rsidRDefault="009B6771" w:rsidP="000C1738">
      <w:r>
        <w:t xml:space="preserve">We supported the Vanuatu </w:t>
      </w:r>
      <w:r w:rsidR="00456CE4">
        <w:t xml:space="preserve">Government </w:t>
      </w:r>
      <w:r>
        <w:t>to develop and implement an important new rural access p</w:t>
      </w:r>
      <w:r w:rsidR="000E408C">
        <w:t xml:space="preserve">olicy and </w:t>
      </w:r>
      <w:r w:rsidR="00C6226F">
        <w:t xml:space="preserve">to </w:t>
      </w:r>
      <w:r w:rsidR="000E408C">
        <w:t>tackle sector reform.</w:t>
      </w:r>
      <w:r>
        <w:t xml:space="preserve"> Vanuatu’s new focus on "roads for people" is bringing year-round basic access to rural communities, which boosts disaster resilience and benefits women and children. Roads are </w:t>
      </w:r>
      <w:r w:rsidR="009C2EEF">
        <w:t xml:space="preserve">also </w:t>
      </w:r>
      <w:r>
        <w:t>meeting new climate resilience standards. An independent ev</w:t>
      </w:r>
      <w:r w:rsidR="000E408C">
        <w:t>aluation conducted in 2016 recommended</w:t>
      </w:r>
      <w:r>
        <w:t xml:space="preserve"> Australia continue to support Vanuatu’s rural road sector to improve rural living conditions</w:t>
      </w:r>
      <w:r w:rsidR="000E408C">
        <w:t>,</w:t>
      </w:r>
      <w:r>
        <w:t xml:space="preserve"> and contribute to economic growth by improving and sustaining rural access.</w:t>
      </w:r>
      <w:r w:rsidR="002A22AA" w:rsidRPr="002A22AA">
        <w:t xml:space="preserve"> </w:t>
      </w:r>
      <w:r w:rsidR="002A22AA">
        <w:t>The evaluation also found that the roads program had suppo</w:t>
      </w:r>
      <w:r w:rsidR="00557818">
        <w:t xml:space="preserve">rted </w:t>
      </w:r>
      <w:r w:rsidR="002A22AA">
        <w:t>improvements in the</w:t>
      </w:r>
      <w:r w:rsidR="00557818">
        <w:t xml:space="preserve"> performance of the</w:t>
      </w:r>
      <w:r w:rsidR="002A22AA">
        <w:t xml:space="preserve"> </w:t>
      </w:r>
      <w:r w:rsidR="00456CE4">
        <w:t>PWD</w:t>
      </w:r>
      <w:r w:rsidR="002A22AA">
        <w:t>, including its ability to deliver more effectively on access improvements and road maintenance.</w:t>
      </w:r>
      <w:r w:rsidR="00E43188">
        <w:rPr>
          <w:rStyle w:val="FootnoteReference"/>
        </w:rPr>
        <w:footnoteReference w:id="6"/>
      </w:r>
      <w:r>
        <w:t xml:space="preserve"> </w:t>
      </w:r>
    </w:p>
    <w:p w:rsidR="00E43188" w:rsidRDefault="009B6771" w:rsidP="00F73421">
      <w:r>
        <w:t>Our support to urban development is transforming Port Vila - Vanuatu's centre of commerce and gateway for tourism. After experiencing delays in its early stages, the Port Vila Urban Development Project (PVUDP), co-funded by Australia and the</w:t>
      </w:r>
      <w:r w:rsidR="003B7D73">
        <w:t xml:space="preserve"> Asian Development Bank</w:t>
      </w:r>
      <w:r>
        <w:t xml:space="preserve"> </w:t>
      </w:r>
      <w:r w:rsidR="003B7D73">
        <w:t>(</w:t>
      </w:r>
      <w:r w:rsidR="00FD3F72">
        <w:t>ADB</w:t>
      </w:r>
      <w:r w:rsidR="003B7D73">
        <w:t>)</w:t>
      </w:r>
      <w:r>
        <w:t>, achieved greater rates of progress in 2016-</w:t>
      </w:r>
      <w:r>
        <w:lastRenderedPageBreak/>
        <w:t xml:space="preserve">17 compared to previous years. </w:t>
      </w:r>
      <w:r w:rsidR="00E43188">
        <w:t>In 2016-17, t</w:t>
      </w:r>
      <w:r>
        <w:t>hree community sanitation facilities were completed and are now operational</w:t>
      </w:r>
      <w:r w:rsidR="00E43188">
        <w:t xml:space="preserve">; </w:t>
      </w:r>
      <w:r>
        <w:t xml:space="preserve">George Kaslakau Drive (minus the concourse) and </w:t>
      </w:r>
      <w:r w:rsidR="0036515B">
        <w:t xml:space="preserve">Vanuatu’s first </w:t>
      </w:r>
      <w:r>
        <w:t>septage treatment facility were completed</w:t>
      </w:r>
      <w:r w:rsidR="00E43188">
        <w:t>;</w:t>
      </w:r>
      <w:r>
        <w:t xml:space="preserve"> 12.8 kilometres of roads were double bitumen sealed (target of 13 kilometres)</w:t>
      </w:r>
      <w:r w:rsidR="001A582F">
        <w:t xml:space="preserve">. Construction rates for </w:t>
      </w:r>
      <w:r>
        <w:t>stormwater drainage, kerb, gutter and footpaths increased</w:t>
      </w:r>
      <w:r w:rsidR="001A582F">
        <w:t xml:space="preserve">, however </w:t>
      </w:r>
      <w:r w:rsidR="00F73421">
        <w:t>the rate of progress remains slow</w:t>
      </w:r>
      <w:r w:rsidR="0036515B">
        <w:t>er than expected</w:t>
      </w:r>
      <w:r w:rsidR="00F73421">
        <w:t>. Some cr</w:t>
      </w:r>
      <w:r w:rsidR="00F73421" w:rsidRPr="00F73421">
        <w:t xml:space="preserve">itical design work remains incomplete and works </w:t>
      </w:r>
      <w:r w:rsidR="00F73421">
        <w:t xml:space="preserve">are expected to extend beyond the current end date. </w:t>
      </w:r>
    </w:p>
    <w:p w:rsidR="00E43188" w:rsidRDefault="00E43188" w:rsidP="000C1738">
      <w:r>
        <w:t xml:space="preserve">A Gender Action Plan </w:t>
      </w:r>
      <w:r w:rsidR="009C2EEF">
        <w:t xml:space="preserve">(GAP) </w:t>
      </w:r>
      <w:r>
        <w:t xml:space="preserve">was prepared in 2016 to address gender </w:t>
      </w:r>
      <w:r w:rsidR="0036515B">
        <w:t xml:space="preserve">issues </w:t>
      </w:r>
      <w:r>
        <w:t>in PVUDP activities. The GAP set targets for women’s employment in projects, training and focussed on inclusive work sites. Broad consultation</w:t>
      </w:r>
      <w:r w:rsidR="000B74F5">
        <w:t xml:space="preserve"> regarding inclusion have resulted in consideration of gender requirements, needs of children and people with disabilities in project works. </w:t>
      </w:r>
    </w:p>
    <w:p w:rsidR="009B6771" w:rsidRDefault="009B6771" w:rsidP="000C1738">
      <w:r>
        <w:t xml:space="preserve">Vanuatu’s infrastructure sector is experiencing an unprecedented level of investment from multilateral </w:t>
      </w:r>
      <w:r w:rsidR="0036515B">
        <w:t xml:space="preserve">development </w:t>
      </w:r>
      <w:r>
        <w:t xml:space="preserve">banks and other development partners. </w:t>
      </w:r>
      <w:r w:rsidR="00F700AB">
        <w:t xml:space="preserve">Australia is </w:t>
      </w:r>
      <w:r>
        <w:t>a long-term partner with a depth of experience working in the sector</w:t>
      </w:r>
      <w:r w:rsidR="00F700AB">
        <w:t xml:space="preserve">. While </w:t>
      </w:r>
      <w:r>
        <w:t xml:space="preserve">Australia will play an important role in </w:t>
      </w:r>
      <w:r w:rsidR="00F700AB">
        <w:t xml:space="preserve">the short-medium term to </w:t>
      </w:r>
      <w:r>
        <w:t xml:space="preserve">support </w:t>
      </w:r>
      <w:r w:rsidR="00E43188">
        <w:t xml:space="preserve">and </w:t>
      </w:r>
      <w:r>
        <w:t>coordinat</w:t>
      </w:r>
      <w:r w:rsidR="00F700AB">
        <w:t>e</w:t>
      </w:r>
      <w:r>
        <w:t xml:space="preserve"> stakeholder engagement</w:t>
      </w:r>
      <w:r w:rsidR="00E43188">
        <w:t xml:space="preserve"> at a time when infrastructure funding is rapidly increasing in Vanuatu</w:t>
      </w:r>
      <w:r w:rsidR="00F700AB">
        <w:t xml:space="preserve">, this </w:t>
      </w:r>
      <w:r w:rsidR="009C2EEF">
        <w:t>i</w:t>
      </w:r>
      <w:r w:rsidR="00F700AB">
        <w:t xml:space="preserve">ncreased investment by the multilateral development banks may free up Australian resources to focus on </w:t>
      </w:r>
      <w:r w:rsidR="00456CE4">
        <w:t>other</w:t>
      </w:r>
      <w:r w:rsidR="009C2EEF">
        <w:t xml:space="preserve"> priorities in the medium to </w:t>
      </w:r>
      <w:r w:rsidR="00F700AB">
        <w:t>long term</w:t>
      </w:r>
      <w:r w:rsidR="00E43188">
        <w:t xml:space="preserve">. </w:t>
      </w:r>
    </w:p>
    <w:p w:rsidR="009E25E7" w:rsidRDefault="009E25E7" w:rsidP="009E25E7"/>
    <w:p w:rsidR="009E25E7" w:rsidRDefault="00F5369A" w:rsidP="009E25E7">
      <w:pPr>
        <w:rPr>
          <w:b/>
          <w:bCs/>
        </w:rPr>
      </w:pPr>
      <w:r>
        <w:rPr>
          <w:b/>
          <w:bCs/>
        </w:rPr>
        <w:t xml:space="preserve">Skills &amp; Employment </w:t>
      </w:r>
    </w:p>
    <w:p w:rsidR="009E25E7" w:rsidRDefault="002828C0" w:rsidP="009E25E7">
      <w:r>
        <w:t>Australia</w:t>
      </w:r>
      <w:r w:rsidR="007A7C61">
        <w:t xml:space="preserve">’s investment in the </w:t>
      </w:r>
      <w:r w:rsidR="00C6226F">
        <w:t>post-</w:t>
      </w:r>
      <w:r w:rsidR="00266E07">
        <w:t xml:space="preserve">school education and </w:t>
      </w:r>
      <w:r w:rsidR="009E25E7">
        <w:t xml:space="preserve">training </w:t>
      </w:r>
      <w:r w:rsidR="00266E07">
        <w:t>sector</w:t>
      </w:r>
      <w:r w:rsidR="007A7C61">
        <w:t xml:space="preserve"> </w:t>
      </w:r>
      <w:r w:rsidR="008D5605">
        <w:t xml:space="preserve">achieved </w:t>
      </w:r>
      <w:r w:rsidR="007A7C61">
        <w:t>strong results</w:t>
      </w:r>
      <w:r w:rsidR="008D5605">
        <w:t xml:space="preserve"> with 834</w:t>
      </w:r>
      <w:r w:rsidR="004F51B7">
        <w:t> </w:t>
      </w:r>
      <w:r w:rsidR="008D5605">
        <w:t>people (42</w:t>
      </w:r>
      <w:r w:rsidR="00FD3F72">
        <w:t xml:space="preserve"> per cent</w:t>
      </w:r>
      <w:r w:rsidR="008D5605">
        <w:t xml:space="preserve"> female; </w:t>
      </w:r>
      <w:r w:rsidR="00D66528">
        <w:t>four</w:t>
      </w:r>
      <w:r w:rsidR="00FD3F72">
        <w:t xml:space="preserve"> per cent</w:t>
      </w:r>
      <w:r w:rsidR="008D5605">
        <w:t xml:space="preserve"> with a disability; 21</w:t>
      </w:r>
      <w:r w:rsidR="00FD3F72">
        <w:t xml:space="preserve"> per cent</w:t>
      </w:r>
      <w:r w:rsidR="008D5605">
        <w:t xml:space="preserve"> youth) benefiting from support in 2016</w:t>
      </w:r>
      <w:r>
        <w:t>.</w:t>
      </w:r>
      <w:r w:rsidRPr="002828C0">
        <w:rPr>
          <w:lang w:val="en-US"/>
        </w:rPr>
        <w:t xml:space="preserve"> </w:t>
      </w:r>
      <w:r>
        <w:rPr>
          <w:lang w:val="en-US"/>
        </w:rPr>
        <w:t xml:space="preserve">Australia </w:t>
      </w:r>
      <w:r>
        <w:t>worked across four of Vanu</w:t>
      </w:r>
      <w:r w:rsidR="00042505">
        <w:t>atu’s six provinces</w:t>
      </w:r>
      <w:r w:rsidR="00456CE4">
        <w:t>,</w:t>
      </w:r>
      <w:r w:rsidR="00042505">
        <w:t xml:space="preserve"> </w:t>
      </w:r>
      <w:r w:rsidR="00EA3308">
        <w:t xml:space="preserve">in </w:t>
      </w:r>
      <w:r>
        <w:t>areas most likely to yield tangible economic benefits for participants: tourism, construction</w:t>
      </w:r>
      <w:r w:rsidR="00266E07">
        <w:t xml:space="preserve">, </w:t>
      </w:r>
      <w:r>
        <w:t>agriculture</w:t>
      </w:r>
      <w:r w:rsidR="00266E07">
        <w:t xml:space="preserve"> and handicrafts</w:t>
      </w:r>
      <w:r>
        <w:t xml:space="preserve">. </w:t>
      </w:r>
      <w:r w:rsidR="009E25E7">
        <w:t xml:space="preserve"> </w:t>
      </w:r>
      <w:r w:rsidR="00266E07">
        <w:t xml:space="preserve">Australian support has provided more opportunities for ni-Vanuatu entrepreneurs, </w:t>
      </w:r>
      <w:r>
        <w:t>increas</w:t>
      </w:r>
      <w:r w:rsidR="00266E07">
        <w:t xml:space="preserve">ing </w:t>
      </w:r>
      <w:r w:rsidR="000B74F5">
        <w:t>their</w:t>
      </w:r>
      <w:r>
        <w:t xml:space="preserve"> participation in the </w:t>
      </w:r>
      <w:r w:rsidR="009E25E7">
        <w:t>formal economy</w:t>
      </w:r>
      <w:r w:rsidR="00F700AB">
        <w:t xml:space="preserve"> and stimulating new businesses</w:t>
      </w:r>
      <w:r w:rsidR="009E25E7">
        <w:t xml:space="preserve">. </w:t>
      </w:r>
    </w:p>
    <w:p w:rsidR="0074489E" w:rsidRDefault="002828C0" w:rsidP="002828C0">
      <w:r>
        <w:rPr>
          <w:lang w:val="en-US"/>
        </w:rPr>
        <w:t xml:space="preserve">We </w:t>
      </w:r>
      <w:r w:rsidR="008D5605">
        <w:rPr>
          <w:lang w:val="en-US"/>
        </w:rPr>
        <w:t xml:space="preserve">supported increased gender equality </w:t>
      </w:r>
      <w:r>
        <w:rPr>
          <w:lang w:val="en-US"/>
        </w:rPr>
        <w:t xml:space="preserve">by </w:t>
      </w:r>
      <w:r w:rsidR="009E25E7">
        <w:rPr>
          <w:lang w:val="en-US"/>
        </w:rPr>
        <w:t>mentoring and coaching women in small business and promot</w:t>
      </w:r>
      <w:r>
        <w:rPr>
          <w:lang w:val="en-US"/>
        </w:rPr>
        <w:t>ing</w:t>
      </w:r>
      <w:r w:rsidR="009E25E7">
        <w:rPr>
          <w:lang w:val="en-US"/>
        </w:rPr>
        <w:t xml:space="preserve"> increased </w:t>
      </w:r>
      <w:r w:rsidR="00AC7DD6">
        <w:rPr>
          <w:lang w:val="en-US"/>
        </w:rPr>
        <w:t xml:space="preserve">female </w:t>
      </w:r>
      <w:r w:rsidR="009E25E7">
        <w:rPr>
          <w:lang w:val="en-US"/>
        </w:rPr>
        <w:t xml:space="preserve">access to traditionally male-dominated trades and markets. </w:t>
      </w:r>
      <w:r w:rsidR="00266E07">
        <w:t xml:space="preserve">In </w:t>
      </w:r>
      <w:r w:rsidR="009E25E7">
        <w:t xml:space="preserve">2016, </w:t>
      </w:r>
      <w:r w:rsidR="00042505">
        <w:t xml:space="preserve">Australia supported </w:t>
      </w:r>
      <w:r w:rsidR="009E25E7">
        <w:t xml:space="preserve">117 rural tourism businesses, of which 55 are co-owned by women. </w:t>
      </w:r>
      <w:r w:rsidR="009C2EEF">
        <w:t xml:space="preserve">Over 80 per cent of </w:t>
      </w:r>
      <w:r w:rsidR="009320EB">
        <w:t>participants continue to report higher incomes following training</w:t>
      </w:r>
      <w:r w:rsidR="009C2EEF">
        <w:t xml:space="preserve"> (meeting program benchmarks)</w:t>
      </w:r>
      <w:r w:rsidR="009320EB">
        <w:t xml:space="preserve">. </w:t>
      </w:r>
      <w:r w:rsidR="00266E07">
        <w:t>Australia supported better t</w:t>
      </w:r>
      <w:r w:rsidR="009E25E7">
        <w:t xml:space="preserve">raining for bungalow owners, tour guides, transport providers, masseuses and handicraft makers. Provincial tourism businesses reported tangible improvements </w:t>
      </w:r>
      <w:r w:rsidR="00F700AB">
        <w:t>i</w:t>
      </w:r>
      <w:r w:rsidR="00042505">
        <w:t xml:space="preserve">n </w:t>
      </w:r>
      <w:r w:rsidR="009E25E7">
        <w:t>product quality and increased revenue.</w:t>
      </w:r>
      <w:r w:rsidR="009E25E7">
        <w:rPr>
          <w:rStyle w:val="FootnoteReference"/>
        </w:rPr>
        <w:footnoteReference w:id="7"/>
      </w:r>
      <w:r w:rsidR="009E25E7">
        <w:t xml:space="preserve"> Successful outcomes of the program include</w:t>
      </w:r>
      <w:r w:rsidR="00042505">
        <w:t>d</w:t>
      </w:r>
      <w:r w:rsidR="009E25E7">
        <w:t xml:space="preserve"> cultural revitalisation</w:t>
      </w:r>
      <w:r w:rsidR="0032137B">
        <w:t xml:space="preserve"> and </w:t>
      </w:r>
      <w:r w:rsidR="009E25E7">
        <w:t>empowerment for women (42</w:t>
      </w:r>
      <w:r w:rsidR="002E56F6">
        <w:t xml:space="preserve"> per cent</w:t>
      </w:r>
      <w:r w:rsidR="009E25E7">
        <w:t xml:space="preserve"> of the 2016 participants in skills development activities)</w:t>
      </w:r>
      <w:r w:rsidR="0032137B">
        <w:t>.</w:t>
      </w:r>
      <w:r w:rsidR="00B865D9">
        <w:rPr>
          <w:rStyle w:val="FootnoteReference"/>
        </w:rPr>
        <w:footnoteReference w:id="8"/>
      </w:r>
      <w:r w:rsidR="000B74F5">
        <w:t xml:space="preserve"> </w:t>
      </w:r>
    </w:p>
    <w:p w:rsidR="00F67D0A" w:rsidRDefault="0032137B" w:rsidP="002828C0">
      <w:r>
        <w:t xml:space="preserve">While participation rates for people with a disability declined from 2015 to 2016, this was due to a transition between phases and a loss of momentum. Plans are in place to improve disability inclusiveness in 2017. </w:t>
      </w:r>
      <w:r w:rsidR="00042505">
        <w:t xml:space="preserve">Australia has embedded its support </w:t>
      </w:r>
      <w:r w:rsidR="002828C0">
        <w:t>into the structure of the Ministry of Education and Training</w:t>
      </w:r>
      <w:r w:rsidR="00042505">
        <w:t xml:space="preserve"> </w:t>
      </w:r>
      <w:r w:rsidR="00456CE4">
        <w:t xml:space="preserve">(MoET) </w:t>
      </w:r>
      <w:r w:rsidR="00042505">
        <w:t>to ensure ownership and sustainability</w:t>
      </w:r>
      <w:r w:rsidR="002828C0">
        <w:t>.</w:t>
      </w:r>
      <w:r w:rsidR="0074489E">
        <w:t xml:space="preserve"> </w:t>
      </w:r>
      <w:r w:rsidR="00F67D0A">
        <w:t xml:space="preserve">In 2016-17, </w:t>
      </w:r>
      <w:r w:rsidR="003B7D73">
        <w:t xml:space="preserve">the program secured </w:t>
      </w:r>
      <w:r w:rsidR="0030215F">
        <w:t xml:space="preserve">an additional </w:t>
      </w:r>
      <w:r w:rsidR="00F67D0A">
        <w:t xml:space="preserve">$1.1 million from the Disability Inclusive Development Fund </w:t>
      </w:r>
      <w:r w:rsidR="009C2EEF">
        <w:t>(DIDFund)</w:t>
      </w:r>
      <w:r w:rsidR="003B7D73">
        <w:t xml:space="preserve"> </w:t>
      </w:r>
      <w:r w:rsidR="00F67D0A">
        <w:t xml:space="preserve">to progress disability inclusion within the Vanuatu Skills for Economic Growth Program between 2016-19. The goal of this effort is to improve </w:t>
      </w:r>
      <w:r w:rsidR="009320EB">
        <w:t xml:space="preserve">access to skills development activities for </w:t>
      </w:r>
      <w:r w:rsidR="00F67D0A">
        <w:t xml:space="preserve">men and women with disabilities in Vanuatu. </w:t>
      </w:r>
      <w:r w:rsidR="006E2E50">
        <w:rPr>
          <w:rFonts w:cs="Calibri"/>
        </w:rPr>
        <w:t xml:space="preserve">The DIDFund grant enables scaling up of lessons learned previously to promote and support disability inclusion amongst training providers, in line with the national policy, as well as strengthening demand for skills development opportunities amongst people with </w:t>
      </w:r>
      <w:r w:rsidR="009C2EEF">
        <w:rPr>
          <w:rFonts w:cs="Calibri"/>
        </w:rPr>
        <w:t xml:space="preserve">a </w:t>
      </w:r>
      <w:r w:rsidR="006E2E50">
        <w:rPr>
          <w:rFonts w:cs="Calibri"/>
        </w:rPr>
        <w:t xml:space="preserve">disability and their families. </w:t>
      </w:r>
      <w:r w:rsidR="004F51B7">
        <w:rPr>
          <w:rFonts w:cs="Calibri"/>
        </w:rPr>
        <w:t>With</w:t>
      </w:r>
      <w:r w:rsidR="003B7D73">
        <w:rPr>
          <w:rFonts w:cs="Calibri"/>
        </w:rPr>
        <w:t xml:space="preserve"> the foundations for this scale-</w:t>
      </w:r>
      <w:r w:rsidR="004F51B7">
        <w:rPr>
          <w:rFonts w:cs="Calibri"/>
        </w:rPr>
        <w:t>up put in place in 2016-17, we expect to see</w:t>
      </w:r>
      <w:r w:rsidR="006B17FB">
        <w:rPr>
          <w:rFonts w:cs="Calibri"/>
        </w:rPr>
        <w:t xml:space="preserve"> increased</w:t>
      </w:r>
      <w:r w:rsidR="004F51B7">
        <w:t xml:space="preserve"> access to skills development opportunities for people with a </w:t>
      </w:r>
      <w:r w:rsidR="00F37F65">
        <w:t>disability</w:t>
      </w:r>
      <w:r w:rsidR="00F37F65">
        <w:rPr>
          <w:rFonts w:cs="Calibri"/>
        </w:rPr>
        <w:t xml:space="preserve"> in</w:t>
      </w:r>
      <w:r w:rsidR="004F51B7">
        <w:rPr>
          <w:rFonts w:cs="Calibri"/>
        </w:rPr>
        <w:t xml:space="preserve"> 2017-18.</w:t>
      </w:r>
    </w:p>
    <w:p w:rsidR="009E25E7" w:rsidRDefault="00483F28" w:rsidP="009E25E7">
      <w:r>
        <w:t>Australia support</w:t>
      </w:r>
      <w:r w:rsidR="008D5605">
        <w:t xml:space="preserve">ed 72 ni-Vanuatu students on-award </w:t>
      </w:r>
      <w:r w:rsidR="008D5605" w:rsidRPr="00CC6B62">
        <w:t>(</w:t>
      </w:r>
      <w:r w:rsidR="00CC6B62" w:rsidRPr="00C0066C">
        <w:t>30</w:t>
      </w:r>
      <w:r w:rsidR="008D5605" w:rsidRPr="00C0066C">
        <w:t xml:space="preserve"> men, </w:t>
      </w:r>
      <w:r w:rsidR="00CC6B62" w:rsidRPr="00C0066C">
        <w:t>42</w:t>
      </w:r>
      <w:r w:rsidR="008D5605" w:rsidRPr="00C0066C">
        <w:t xml:space="preserve"> women</w:t>
      </w:r>
      <w:r w:rsidR="008D5605" w:rsidRPr="00CC6B62">
        <w:t>),</w:t>
      </w:r>
      <w:r w:rsidR="008D5605">
        <w:t xml:space="preserve"> </w:t>
      </w:r>
      <w:r>
        <w:t>to undertake study, research and professional development in Australia and the region</w:t>
      </w:r>
      <w:r w:rsidR="009572EC">
        <w:t xml:space="preserve"> (compared to </w:t>
      </w:r>
      <w:r w:rsidR="00246192">
        <w:t>103 students on-award</w:t>
      </w:r>
      <w:r w:rsidR="009572EC">
        <w:t xml:space="preserve"> in 2015-16; </w:t>
      </w:r>
      <w:r w:rsidR="00246192">
        <w:t>50 men and 53</w:t>
      </w:r>
      <w:r w:rsidR="009572EC">
        <w:t xml:space="preserve"> women)</w:t>
      </w:r>
      <w:r>
        <w:t>. A</w:t>
      </w:r>
      <w:r w:rsidR="005F766F">
        <w:t> </w:t>
      </w:r>
      <w:r>
        <w:t>number of ni-Vanuatu Australia Award</w:t>
      </w:r>
      <w:r w:rsidR="005F766F">
        <w:t>s</w:t>
      </w:r>
      <w:r>
        <w:t xml:space="preserve"> alumni </w:t>
      </w:r>
      <w:r w:rsidR="008D5605">
        <w:t xml:space="preserve">are now in </w:t>
      </w:r>
      <w:r>
        <w:t xml:space="preserve">Ministerial, senior </w:t>
      </w:r>
      <w:r>
        <w:lastRenderedPageBreak/>
        <w:t>public service and private sector positions where they maintain strong ties with Australia and contribute to Vanuatu’s development.</w:t>
      </w:r>
      <w:r w:rsidR="005F766F">
        <w:t xml:space="preserve"> </w:t>
      </w:r>
      <w:r w:rsidR="009E25E7">
        <w:t xml:space="preserve">A key focus </w:t>
      </w:r>
      <w:r>
        <w:t xml:space="preserve">in </w:t>
      </w:r>
      <w:r w:rsidR="009E25E7">
        <w:t>2016-17 has been to build the alumni network</w:t>
      </w:r>
      <w:r w:rsidR="006B17FB">
        <w:t>, with a</w:t>
      </w:r>
      <w:r w:rsidR="005F766F">
        <w:t xml:space="preserve">n </w:t>
      </w:r>
      <w:r w:rsidR="009E25E7">
        <w:t xml:space="preserve">alumni committee </w:t>
      </w:r>
      <w:r w:rsidR="005F766F">
        <w:t xml:space="preserve">established in May 2016 </w:t>
      </w:r>
      <w:r w:rsidR="009320EB">
        <w:t xml:space="preserve">and </w:t>
      </w:r>
      <w:r w:rsidR="00B865D9">
        <w:t xml:space="preserve">four </w:t>
      </w:r>
      <w:r w:rsidR="002828C0">
        <w:t xml:space="preserve">professional development </w:t>
      </w:r>
      <w:r w:rsidR="009320EB">
        <w:t>workshops delivered</w:t>
      </w:r>
      <w:r w:rsidR="006B17FB">
        <w:t>, benefiting</w:t>
      </w:r>
      <w:r w:rsidR="005F766F">
        <w:t xml:space="preserve"> </w:t>
      </w:r>
      <w:r w:rsidR="00B865D9">
        <w:t>approximately 165</w:t>
      </w:r>
      <w:r w:rsidR="005F766F">
        <w:t xml:space="preserve"> alumni members.</w:t>
      </w:r>
      <w:r w:rsidR="009572EC">
        <w:t xml:space="preserve"> </w:t>
      </w:r>
      <w:r w:rsidR="00FA7EC8">
        <w:t>While the progr</w:t>
      </w:r>
      <w:r w:rsidR="00EB54DC">
        <w:t>am is progressing well overall,</w:t>
      </w:r>
      <w:r w:rsidR="00FA7EC8">
        <w:t xml:space="preserve"> plans are underway to </w:t>
      </w:r>
      <w:r w:rsidR="009320EB">
        <w:t xml:space="preserve">improve efficiency </w:t>
      </w:r>
      <w:r w:rsidR="00FA7EC8">
        <w:t>by outsourcing</w:t>
      </w:r>
      <w:r w:rsidR="00BC4308">
        <w:t xml:space="preserve"> </w:t>
      </w:r>
      <w:r w:rsidR="002B6C7A">
        <w:t xml:space="preserve">administration </w:t>
      </w:r>
      <w:r w:rsidR="00BC4308">
        <w:t xml:space="preserve">of </w:t>
      </w:r>
      <w:r w:rsidR="009320EB">
        <w:t xml:space="preserve">Australia </w:t>
      </w:r>
      <w:r w:rsidR="00BC4308">
        <w:t xml:space="preserve">Awards </w:t>
      </w:r>
      <w:r w:rsidR="00FA7EC8">
        <w:t>in 2018.</w:t>
      </w:r>
    </w:p>
    <w:p w:rsidR="009E25E7" w:rsidRDefault="009E25E7" w:rsidP="009E25E7">
      <w:r>
        <w:t xml:space="preserve">The Seasonal Worker Programme (SWP) </w:t>
      </w:r>
      <w:r w:rsidR="00A46B24">
        <w:t xml:space="preserve">continues to provide mutual benefits for both Australian and ni-Vanuatu participants. </w:t>
      </w:r>
      <w:r>
        <w:t>Due to high demand for ni-Vanuatu workers and Vanuatu’s unique system of recruiting workers through licensed labour agents rather than through government, Vanuatu is now the second largest participant in the SWP after Tonga. The number of ni-Vanuatu participants has grown from 567 participants in 2014-15 (94 female, 473 male) to 2,150 participants in 2016-17 (393 female, 1,756 male) – almost a quadrupling of the cohort in two years. A</w:t>
      </w:r>
      <w:r w:rsidR="00EB54DC">
        <w:t xml:space="preserve"> </w:t>
      </w:r>
      <w:r>
        <w:t>tracer study</w:t>
      </w:r>
      <w:r w:rsidR="009C2EEF">
        <w:t xml:space="preserve"> (finalised in July 2017)</w:t>
      </w:r>
      <w:r w:rsidR="007453D0">
        <w:t xml:space="preserve"> was conducted in Vanuatu by Australia’s Labour Mobility Assistance Program to examine the impacts of the SWP. The study revealed the experience of ni-Vanuatu men and women participating in the SWP was overwhelmingly positive. On average, each worker saved $8,529 per placement</w:t>
      </w:r>
      <w:r w:rsidR="00FA7EC8">
        <w:t>,</w:t>
      </w:r>
      <w:r w:rsidR="00EB54DC">
        <w:t xml:space="preserve"> with money earned </w:t>
      </w:r>
      <w:r w:rsidR="007453D0">
        <w:t>used to pay for necessities such as healthcare</w:t>
      </w:r>
      <w:r w:rsidR="001A1587">
        <w:t>,</w:t>
      </w:r>
      <w:r w:rsidR="007453D0">
        <w:t xml:space="preserve"> educational costs </w:t>
      </w:r>
      <w:r w:rsidR="001A1587">
        <w:t xml:space="preserve">and </w:t>
      </w:r>
      <w:r w:rsidR="007453D0">
        <w:t xml:space="preserve">improved housing. </w:t>
      </w:r>
      <w:r>
        <w:t xml:space="preserve"> </w:t>
      </w:r>
    </w:p>
    <w:p w:rsidR="0041771D" w:rsidRDefault="0041771D" w:rsidP="0041771D">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Objective </w:t>
      </w:r>
      <w:r>
        <w:rPr>
          <w:rFonts w:asciiTheme="majorHAnsi" w:eastAsiaTheme="majorEastAsia" w:hAnsiTheme="majorHAnsi" w:cstheme="majorBidi"/>
          <w:caps/>
          <w:color w:val="495965" w:themeColor="text2"/>
          <w:sz w:val="38"/>
          <w:szCs w:val="26"/>
          <w:lang w:val="en-GB" w:eastAsia="en-US"/>
        </w:rPr>
        <w:t>2: improving early education and essential health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876F3C" w:rsidTr="000114AF">
        <w:tc>
          <w:tcPr>
            <w:tcW w:w="1925" w:type="dxa"/>
          </w:tcPr>
          <w:p w:rsidR="00876F3C" w:rsidRDefault="00876F3C" w:rsidP="000114AF">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3B746A65" wp14:editId="7C2268DF">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25" w:type="dxa"/>
          </w:tcPr>
          <w:p w:rsidR="00876F3C" w:rsidRDefault="00876F3C"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4F1E3E74" wp14:editId="564EC354">
                  <wp:extent cx="612000" cy="61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26" w:type="dxa"/>
          </w:tcPr>
          <w:p w:rsidR="00876F3C" w:rsidRDefault="00876F3C"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6A84988" wp14:editId="21199BFB">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26" w:type="dxa"/>
          </w:tcPr>
          <w:p w:rsidR="00876F3C" w:rsidRDefault="007453D0"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F4D41E8" wp14:editId="51E6635B">
                  <wp:extent cx="612000" cy="61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26" w:type="dxa"/>
          </w:tcPr>
          <w:p w:rsidR="00876F3C" w:rsidRDefault="00876F3C"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DA1268" w:rsidRDefault="00DA1268" w:rsidP="00DA1268">
      <w:r>
        <w:t xml:space="preserve">Progress against the second objective of improving early education and essential health services is rated </w:t>
      </w:r>
      <w:r w:rsidR="002E0069">
        <w:t>amber</w:t>
      </w:r>
      <w:r>
        <w:t xml:space="preserve">, </w:t>
      </w:r>
      <w:r w:rsidR="002E0069">
        <w:t>reflecting mixed progress</w:t>
      </w:r>
      <w:r w:rsidR="00C67B2E">
        <w:t xml:space="preserve"> (green for education, amber for health).</w:t>
      </w:r>
      <w:r>
        <w:t xml:space="preserve"> The overall rating of</w:t>
      </w:r>
      <w:r w:rsidR="00847A4A">
        <w:t xml:space="preserve"> amber</w:t>
      </w:r>
      <w:r>
        <w:t xml:space="preserve"> is </w:t>
      </w:r>
      <w:r w:rsidR="00847A4A">
        <w:t>a conservative judgement, and we</w:t>
      </w:r>
      <w:r w:rsidR="004F1D73">
        <w:t xml:space="preserve"> anticipate an</w:t>
      </w:r>
      <w:r w:rsidR="00847A4A">
        <w:t xml:space="preserve"> improved rating following management responses and the transition of the health program to a new phase</w:t>
      </w:r>
      <w:r>
        <w:t>.</w:t>
      </w:r>
    </w:p>
    <w:p w:rsidR="00DA1268" w:rsidRDefault="00DA1268" w:rsidP="00DA1268">
      <w:pPr>
        <w:rPr>
          <w:b/>
          <w:bCs/>
        </w:rPr>
      </w:pPr>
      <w:r>
        <w:rPr>
          <w:b/>
          <w:bCs/>
        </w:rPr>
        <w:t xml:space="preserve">Education  </w:t>
      </w:r>
    </w:p>
    <w:p w:rsidR="00221C74" w:rsidRDefault="00E86E00" w:rsidP="00DA1268">
      <w:r>
        <w:t xml:space="preserve">In </w:t>
      </w:r>
      <w:r w:rsidR="00EB54DC">
        <w:t>2016-17,</w:t>
      </w:r>
      <w:r>
        <w:t xml:space="preserve"> Australia made significant progress</w:t>
      </w:r>
      <w:r w:rsidR="00986F7C">
        <w:t>,</w:t>
      </w:r>
      <w:r>
        <w:t xml:space="preserve"> </w:t>
      </w:r>
      <w:r w:rsidR="00042505">
        <w:t>work</w:t>
      </w:r>
      <w:r>
        <w:t>ing</w:t>
      </w:r>
      <w:r w:rsidR="00042505">
        <w:t xml:space="preserve"> closely with the </w:t>
      </w:r>
      <w:r w:rsidR="00456CE4">
        <w:t>MoET</w:t>
      </w:r>
      <w:r w:rsidR="009C2EEF">
        <w:t xml:space="preserve"> </w:t>
      </w:r>
      <w:r w:rsidR="00042505">
        <w:t xml:space="preserve">to </w:t>
      </w:r>
      <w:r w:rsidR="00DA1268">
        <w:t>improve quality and access to education and management of the education system.</w:t>
      </w:r>
    </w:p>
    <w:p w:rsidR="00986F7C" w:rsidRDefault="00042505" w:rsidP="00986F7C">
      <w:r>
        <w:t>Australia</w:t>
      </w:r>
      <w:r w:rsidR="00BB5E08">
        <w:t xml:space="preserve">n support </w:t>
      </w:r>
      <w:r w:rsidR="002E4830">
        <w:t xml:space="preserve">was instrumental in </w:t>
      </w:r>
      <w:r w:rsidR="00BB5E08">
        <w:t>implementing</w:t>
      </w:r>
      <w:r w:rsidR="002E4830">
        <w:t xml:space="preserve"> </w:t>
      </w:r>
      <w:r w:rsidR="00986F7C">
        <w:t>a</w:t>
      </w:r>
      <w:r w:rsidR="002E4830">
        <w:t xml:space="preserve"> </w:t>
      </w:r>
      <w:r w:rsidR="00E868D9">
        <w:t xml:space="preserve">new </w:t>
      </w:r>
      <w:r w:rsidR="00DA1268">
        <w:t>Language of Instruction</w:t>
      </w:r>
      <w:r w:rsidR="00BB5E08">
        <w:t xml:space="preserve"> </w:t>
      </w:r>
      <w:r w:rsidR="00E868D9">
        <w:t xml:space="preserve">Policy </w:t>
      </w:r>
      <w:r w:rsidR="00BB5E08">
        <w:t>in primary school</w:t>
      </w:r>
      <w:r w:rsidR="00E868D9">
        <w:t>s</w:t>
      </w:r>
      <w:r w:rsidR="002E4830">
        <w:t>. The</w:t>
      </w:r>
      <w:r w:rsidR="00986F7C">
        <w:t xml:space="preserve"> policy</w:t>
      </w:r>
      <w:r w:rsidR="002E4830">
        <w:t xml:space="preserve"> promote</w:t>
      </w:r>
      <w:r w:rsidR="00E868D9">
        <w:t>s</w:t>
      </w:r>
      <w:r w:rsidR="002E4830">
        <w:t xml:space="preserve"> teaching and learning in mother tongue</w:t>
      </w:r>
      <w:r w:rsidR="002E4830" w:rsidDel="002E4830">
        <w:t xml:space="preserve"> </w:t>
      </w:r>
      <w:r w:rsidR="002E4830">
        <w:t xml:space="preserve">to </w:t>
      </w:r>
      <w:r w:rsidR="00221C74">
        <w:t>increase</w:t>
      </w:r>
      <w:r w:rsidR="00DA1268">
        <w:t xml:space="preserve"> participation of </w:t>
      </w:r>
      <w:r w:rsidR="004F51B7">
        <w:t xml:space="preserve">girls and boys </w:t>
      </w:r>
      <w:r w:rsidR="00DA1268">
        <w:t xml:space="preserve">in </w:t>
      </w:r>
      <w:r w:rsidR="002E4830">
        <w:t>the early years of school.</w:t>
      </w:r>
      <w:r w:rsidR="00DA1268">
        <w:t xml:space="preserve"> </w:t>
      </w:r>
      <w:r w:rsidR="009455B1">
        <w:t xml:space="preserve">Our program </w:t>
      </w:r>
      <w:r w:rsidR="002E4830">
        <w:t>met targets to develop teaching material</w:t>
      </w:r>
      <w:r w:rsidR="00E868D9">
        <w:t>s</w:t>
      </w:r>
      <w:r w:rsidR="002E4830">
        <w:t xml:space="preserve"> in Bislama and translate readers into 60 vernaculars for </w:t>
      </w:r>
      <w:r w:rsidR="00E868D9">
        <w:t>Y</w:t>
      </w:r>
      <w:r w:rsidR="002E4830">
        <w:t>ears 1 and 2</w:t>
      </w:r>
      <w:r w:rsidR="00E868D9">
        <w:t>,</w:t>
      </w:r>
      <w:r w:rsidR="002E4830">
        <w:t xml:space="preserve"> and </w:t>
      </w:r>
      <w:r w:rsidR="00E868D9">
        <w:t xml:space="preserve">to </w:t>
      </w:r>
      <w:r w:rsidR="002E4830">
        <w:t xml:space="preserve">roll out </w:t>
      </w:r>
      <w:r w:rsidR="006B17FB">
        <w:t xml:space="preserve">a </w:t>
      </w:r>
      <w:r w:rsidR="00E868D9">
        <w:t xml:space="preserve">new </w:t>
      </w:r>
      <w:r w:rsidR="001D54B8">
        <w:t xml:space="preserve">curriculum to </w:t>
      </w:r>
      <w:r w:rsidR="00E868D9">
        <w:t>Y</w:t>
      </w:r>
      <w:r w:rsidR="00DA1268">
        <w:t>ear</w:t>
      </w:r>
      <w:r w:rsidR="001D54B8">
        <w:t xml:space="preserve"> </w:t>
      </w:r>
      <w:r w:rsidR="00DA1268">
        <w:t>2.</w:t>
      </w:r>
      <w:r w:rsidR="00DA1268">
        <w:rPr>
          <w:rStyle w:val="FootnoteReference"/>
        </w:rPr>
        <w:footnoteReference w:id="9"/>
      </w:r>
      <w:r w:rsidR="00DA1268">
        <w:t xml:space="preserve"> </w:t>
      </w:r>
      <w:r w:rsidR="002D5E21">
        <w:t xml:space="preserve"> </w:t>
      </w:r>
      <w:r w:rsidR="00986F7C">
        <w:t>We also constructed classrooms in 1</w:t>
      </w:r>
      <w:r w:rsidR="006B17FB">
        <w:t>5 schools on Tanna, which are</w:t>
      </w:r>
      <w:r w:rsidR="00986F7C">
        <w:t xml:space="preserve"> disability </w:t>
      </w:r>
      <w:r w:rsidR="006B17FB">
        <w:t>accessible</w:t>
      </w:r>
      <w:r w:rsidR="00986F7C">
        <w:t xml:space="preserve"> and can withstand category 4-5 cyclones.</w:t>
      </w:r>
    </w:p>
    <w:p w:rsidR="00986F7C" w:rsidRDefault="00986F7C" w:rsidP="00443F09">
      <w:pPr>
        <w:suppressAutoHyphens w:val="0"/>
        <w:spacing w:before="0" w:after="0" w:line="240" w:lineRule="auto"/>
        <w:rPr>
          <w:rFonts w:ascii="Times New Roman" w:hAnsi="Times New Roman" w:cs="Times New Roman"/>
          <w:color w:val="auto"/>
          <w:sz w:val="24"/>
          <w:szCs w:val="24"/>
          <w:lang w:val="en-AU" w:eastAsia="en-AU"/>
        </w:rPr>
      </w:pPr>
      <w:r>
        <w:t>A mid-term review of the program conducted in late 2016 emphasised the importance of seeing the program as a multi-decad</w:t>
      </w:r>
      <w:r w:rsidR="000C4C14">
        <w:t>e</w:t>
      </w:r>
      <w:r>
        <w:t xml:space="preserve"> agenda of sector strengthening rather than a standalone program. The review found that </w:t>
      </w:r>
      <w:r w:rsidR="009C2EEF">
        <w:t>MoET was</w:t>
      </w:r>
      <w:r>
        <w:t xml:space="preserve"> providing strong leadership, governance arrangements were working well, and the program remains a relevant and effective tool for the</w:t>
      </w:r>
      <w:r w:rsidR="00847A4A">
        <w:t xml:space="preserve"> Vanuatu</w:t>
      </w:r>
      <w:r>
        <w:t xml:space="preserve"> Government to implement its education agenda. The review also noted</w:t>
      </w:r>
      <w:r w:rsidR="000223E9">
        <w:t xml:space="preserve"> </w:t>
      </w:r>
      <w:r>
        <w:t>that many of the reforms supported by the program are beginning to gain momentum.</w:t>
      </w:r>
      <w:r>
        <w:rPr>
          <w:rStyle w:val="FootnoteReference"/>
        </w:rPr>
        <w:footnoteReference w:id="10"/>
      </w:r>
      <w:r>
        <w:t xml:space="preserve"> We expect it will take four years to fully realise learning outcomes (improved literacy and numeracy for Year 4 </w:t>
      </w:r>
      <w:r w:rsidR="000C4C14">
        <w:t>girls and boys</w:t>
      </w:r>
      <w:r>
        <w:t xml:space="preserve">) and gains from work on school registration and teacher management. There are early indications of success, however, with teachers reporting improved participation of </w:t>
      </w:r>
      <w:r w:rsidR="00443F09">
        <w:t>girls and boys</w:t>
      </w:r>
      <w:r>
        <w:t xml:space="preserve"> in the classroom.</w:t>
      </w:r>
      <w:r w:rsidRPr="00443F09">
        <w:t xml:space="preserve"> </w:t>
      </w:r>
      <w:r w:rsidR="00443F09" w:rsidRPr="00443F09">
        <w:t xml:space="preserve">In terms of gender, </w:t>
      </w:r>
      <w:r w:rsidR="00443F09">
        <w:t xml:space="preserve">Australia has provided support to MoET to improve women’s leadership in the ministry. All school management committees now include at least one woman. </w:t>
      </w:r>
    </w:p>
    <w:p w:rsidR="00DA1268" w:rsidRDefault="00DA1268" w:rsidP="00DA1268">
      <w:r>
        <w:lastRenderedPageBreak/>
        <w:t xml:space="preserve">In August 2016, </w:t>
      </w:r>
      <w:r w:rsidR="009455B1">
        <w:t xml:space="preserve">we evaluated </w:t>
      </w:r>
      <w:r w:rsidR="004F51B7">
        <w:t xml:space="preserve">a small </w:t>
      </w:r>
      <w:r w:rsidR="00116497">
        <w:t xml:space="preserve">pilot program in early childhood </w:t>
      </w:r>
      <w:r w:rsidR="00E868D9">
        <w:t xml:space="preserve">care and education (ECCE), </w:t>
      </w:r>
      <w:r w:rsidR="00A46B24" w:rsidRPr="00B7292C">
        <w:t xml:space="preserve">which </w:t>
      </w:r>
      <w:r w:rsidR="009455B1">
        <w:t xml:space="preserve">aimed to </w:t>
      </w:r>
      <w:r w:rsidR="00DD1876" w:rsidRPr="00B7292C">
        <w:t>improv</w:t>
      </w:r>
      <w:r w:rsidR="009455B1">
        <w:t>e the</w:t>
      </w:r>
      <w:r w:rsidR="00DD1876" w:rsidRPr="00B7292C">
        <w:t xml:space="preserve"> quality </w:t>
      </w:r>
      <w:r w:rsidR="00E868D9">
        <w:t xml:space="preserve">of, </w:t>
      </w:r>
      <w:r w:rsidR="00DD1876" w:rsidRPr="00B7292C">
        <w:t>and access to</w:t>
      </w:r>
      <w:r w:rsidR="00E868D9">
        <w:t>,</w:t>
      </w:r>
      <w:r w:rsidR="00DD1876" w:rsidRPr="00B7292C">
        <w:t xml:space="preserve"> </w:t>
      </w:r>
      <w:r w:rsidR="00E868D9">
        <w:t>Kindergarten</w:t>
      </w:r>
      <w:r w:rsidR="00FA4B16">
        <w:t xml:space="preserve">. </w:t>
      </w:r>
      <w:r w:rsidR="000B74F5">
        <w:t xml:space="preserve">The program was found to be effective in improving </w:t>
      </w:r>
      <w:r w:rsidR="006B17FB">
        <w:t>K</w:t>
      </w:r>
      <w:r w:rsidR="000B74F5">
        <w:t>indergarten students’ readiness for Year 1</w:t>
      </w:r>
      <w:r w:rsidR="000D4D15">
        <w:t>.</w:t>
      </w:r>
      <w:r w:rsidR="000B74F5">
        <w:t xml:space="preserve"> </w:t>
      </w:r>
      <w:r w:rsidR="000D4D15">
        <w:t>T</w:t>
      </w:r>
      <w:r w:rsidR="000B74F5">
        <w:t>he review found there was a lack of shared vision of the program’s key objectives</w:t>
      </w:r>
      <w:r w:rsidR="00986F7C">
        <w:t>, compromising its relevance</w:t>
      </w:r>
      <w:r w:rsidR="000B74F5">
        <w:t>.</w:t>
      </w:r>
      <w:r w:rsidR="000B74F5">
        <w:rPr>
          <w:rStyle w:val="FootnoteReference"/>
        </w:rPr>
        <w:footnoteReference w:id="11"/>
      </w:r>
      <w:r w:rsidR="000B74F5">
        <w:t xml:space="preserve"> </w:t>
      </w:r>
      <w:r w:rsidR="000D4D15">
        <w:t>Following this, t</w:t>
      </w:r>
      <w:r>
        <w:t xml:space="preserve">he </w:t>
      </w:r>
      <w:r w:rsidR="006B17FB">
        <w:t>MoET</w:t>
      </w:r>
      <w:r w:rsidR="00E868D9">
        <w:t xml:space="preserve"> </w:t>
      </w:r>
      <w:r>
        <w:t xml:space="preserve">is developing a </w:t>
      </w:r>
      <w:r w:rsidR="00A46B24">
        <w:t>five</w:t>
      </w:r>
      <w:r>
        <w:t>-year ECCE strategy based on lessons learned from the pilot.</w:t>
      </w:r>
    </w:p>
    <w:p w:rsidR="00DA1268" w:rsidRDefault="00D72A61" w:rsidP="00DA1268">
      <w:r>
        <w:t>E</w:t>
      </w:r>
      <w:r w:rsidR="00DA1268">
        <w:t xml:space="preserve">ducation is a priority for Australia and </w:t>
      </w:r>
      <w:r>
        <w:t>we have deep and enduring experience and relationships in the sector</w:t>
      </w:r>
      <w:r w:rsidR="00DA1268">
        <w:t xml:space="preserve">. </w:t>
      </w:r>
      <w:r>
        <w:t xml:space="preserve">Our support continues to </w:t>
      </w:r>
      <w:r w:rsidR="00DA1268">
        <w:t>buil</w:t>
      </w:r>
      <w:r>
        <w:t>d</w:t>
      </w:r>
      <w:r w:rsidR="00DA1268">
        <w:t xml:space="preserve"> o</w:t>
      </w:r>
      <w:r>
        <w:t>n</w:t>
      </w:r>
      <w:r w:rsidR="00DA1268">
        <w:t xml:space="preserve"> </w:t>
      </w:r>
      <w:r w:rsidR="00E868D9">
        <w:t>Australia’s investment in the sector over many years</w:t>
      </w:r>
      <w:r w:rsidR="000B74F5">
        <w:t>.</w:t>
      </w:r>
    </w:p>
    <w:p w:rsidR="00A32E97" w:rsidRDefault="00A32E97" w:rsidP="00A32E97">
      <w:pPr>
        <w:rPr>
          <w:b/>
          <w:bCs/>
        </w:rPr>
      </w:pPr>
      <w:r>
        <w:rPr>
          <w:b/>
          <w:bCs/>
        </w:rPr>
        <w:t xml:space="preserve">Health </w:t>
      </w:r>
    </w:p>
    <w:p w:rsidR="00A32E97" w:rsidRPr="00C0066C" w:rsidRDefault="00A32E97" w:rsidP="00A32E97">
      <w:pPr>
        <w:rPr>
          <w:color w:val="auto"/>
          <w:lang w:val="en-AU"/>
        </w:rPr>
      </w:pPr>
      <w:r>
        <w:t xml:space="preserve">Health continues to be a challenging and complex sector, </w:t>
      </w:r>
      <w:r w:rsidR="004F1D73">
        <w:t>with</w:t>
      </w:r>
      <w:r>
        <w:t xml:space="preserve"> mixed progress</w:t>
      </w:r>
      <w:r w:rsidR="004F1D73">
        <w:t xml:space="preserve"> across</w:t>
      </w:r>
      <w:r w:rsidR="002D5E21">
        <w:t xml:space="preserve"> our investments.</w:t>
      </w:r>
      <w:r>
        <w:t xml:space="preserve"> While Vanuatu has made some progress, </w:t>
      </w:r>
      <w:r w:rsidR="00F67D0A">
        <w:t>immunisation coverage, family planning</w:t>
      </w:r>
      <w:r w:rsidR="004F1D73">
        <w:t>,</w:t>
      </w:r>
      <w:r w:rsidR="00F67D0A">
        <w:t xml:space="preserve"> and screening for non-communicable diseases are</w:t>
      </w:r>
      <w:r>
        <w:t xml:space="preserve"> still areas of concern. Workforce shortages</w:t>
      </w:r>
      <w:r w:rsidR="00F67D0A">
        <w:t xml:space="preserve"> – particularly in rural areas </w:t>
      </w:r>
      <w:r w:rsidR="004F1D73">
        <w:t xml:space="preserve"> – </w:t>
      </w:r>
      <w:r>
        <w:t xml:space="preserve"> also remain a significant risk </w:t>
      </w:r>
      <w:r w:rsidR="00A46B24">
        <w:t>affecting</w:t>
      </w:r>
      <w:r>
        <w:t xml:space="preserve"> aid posts, hospitals and dispensaries.</w:t>
      </w:r>
      <w:r w:rsidR="008D0F54" w:rsidRPr="008D0F54">
        <w:t xml:space="preserve"> </w:t>
      </w:r>
      <w:r w:rsidR="008D0F54">
        <w:t xml:space="preserve"> </w:t>
      </w:r>
    </w:p>
    <w:p w:rsidR="008D0F54" w:rsidRDefault="008D0F54" w:rsidP="00C0066C">
      <w:r>
        <w:t>I</w:t>
      </w:r>
      <w:r w:rsidR="00125BF2">
        <w:t>n 2016-17</w:t>
      </w:r>
      <w:r>
        <w:t xml:space="preserve">, we </w:t>
      </w:r>
      <w:r w:rsidR="00F73421">
        <w:t xml:space="preserve">increased our support </w:t>
      </w:r>
      <w:r w:rsidR="0035639A">
        <w:t>to provincial health facilities</w:t>
      </w:r>
      <w:r w:rsidR="00F73421">
        <w:t xml:space="preserve">. </w:t>
      </w:r>
      <w:r w:rsidR="00125BF2">
        <w:t xml:space="preserve">Australian-funded technical advisors have provided program management training (including business planning and public financial management) to support capacity building at the provincial level. </w:t>
      </w:r>
      <w:r w:rsidR="00F73421">
        <w:t xml:space="preserve">For the first time, </w:t>
      </w:r>
      <w:r w:rsidR="00125BF2">
        <w:t xml:space="preserve">Australia is directly funding provincial cost centres, giving provincial authorities </w:t>
      </w:r>
      <w:r w:rsidR="005D0D7A">
        <w:t>more</w:t>
      </w:r>
      <w:r w:rsidR="00125BF2">
        <w:t xml:space="preserve"> autonomy and control over their health budgets. Stronger provincial health systems are essential to delivering more and better services that </w:t>
      </w:r>
      <w:r w:rsidR="0095322A">
        <w:t>respond to</w:t>
      </w:r>
      <w:r w:rsidR="00125BF2">
        <w:t xml:space="preserve"> communities’ changing needs. </w:t>
      </w:r>
    </w:p>
    <w:p w:rsidR="0095322A" w:rsidRDefault="0035639A" w:rsidP="00C0066C">
      <w:r>
        <w:t>We continued to support the Ministry of Health’s</w:t>
      </w:r>
      <w:r w:rsidR="00F83816">
        <w:t xml:space="preserve"> (MoH)</w:t>
      </w:r>
      <w:r>
        <w:t xml:space="preserve"> national headquarters, including corporate planning, public financial management and human resource management</w:t>
      </w:r>
      <w:r w:rsidR="00F56BA5">
        <w:t>.</w:t>
      </w:r>
      <w:r>
        <w:t xml:space="preserve">  </w:t>
      </w:r>
      <w:r w:rsidR="00F73421">
        <w:t>Australian-funded technical advisers supported the Vanuatu Government to complete a long-term workforce plan to build capacity and fill critical gaps</w:t>
      </w:r>
      <w:r w:rsidR="0095322A">
        <w:t>. However,</w:t>
      </w:r>
      <w:r w:rsidR="00C51EFC">
        <w:t xml:space="preserve"> ongoing staff shortages in </w:t>
      </w:r>
      <w:r w:rsidR="00F83816">
        <w:t>MoH</w:t>
      </w:r>
      <w:r w:rsidR="00870BC5">
        <w:t xml:space="preserve"> corporate teams</w:t>
      </w:r>
      <w:r w:rsidR="00C51EFC">
        <w:t xml:space="preserve"> continue to </w:t>
      </w:r>
      <w:r w:rsidR="0095322A">
        <w:t>hamper</w:t>
      </w:r>
      <w:r w:rsidR="00C51EFC">
        <w:t xml:space="preserve"> progress</w:t>
      </w:r>
      <w:r w:rsidR="00F73421">
        <w:t xml:space="preserve">. </w:t>
      </w:r>
    </w:p>
    <w:p w:rsidR="00F73421" w:rsidRDefault="0095322A" w:rsidP="00C0066C">
      <w:pPr>
        <w:rPr>
          <w:color w:val="auto"/>
          <w:lang w:val="en-AU"/>
        </w:rPr>
      </w:pPr>
      <w:r>
        <w:t>N</w:t>
      </w:r>
      <w:r w:rsidR="006B51B8" w:rsidRPr="00F37F65">
        <w:t>ew curriculum for the delivery of midwifery</w:t>
      </w:r>
      <w:r w:rsidR="00F83816">
        <w:t xml:space="preserve"> training to certificate level 7</w:t>
      </w:r>
      <w:r w:rsidR="006B51B8" w:rsidRPr="00F37F65">
        <w:t xml:space="preserve"> at V</w:t>
      </w:r>
      <w:r w:rsidR="009C2EEF">
        <w:t>anuatu College of Nursing Education</w:t>
      </w:r>
      <w:r w:rsidR="006B51B8" w:rsidRPr="00F37F65">
        <w:t xml:space="preserve"> commenced in January 2016</w:t>
      </w:r>
      <w:r w:rsidR="00F83816">
        <w:t>,</w:t>
      </w:r>
      <w:r w:rsidR="006B51B8" w:rsidRPr="00F37F65">
        <w:t xml:space="preserve"> </w:t>
      </w:r>
      <w:r>
        <w:t xml:space="preserve">with </w:t>
      </w:r>
      <w:r w:rsidR="00F83816">
        <w:t>all 12</w:t>
      </w:r>
      <w:r w:rsidR="006B51B8" w:rsidRPr="00F37F65">
        <w:t xml:space="preserve"> units of competency accredited under the </w:t>
      </w:r>
      <w:r w:rsidR="009C2EEF">
        <w:t>Vanuatu Qualifications Authority</w:t>
      </w:r>
      <w:r w:rsidR="006B51B8" w:rsidRPr="00F37F65">
        <w:t xml:space="preserve">.  </w:t>
      </w:r>
      <w:r w:rsidR="00F83816">
        <w:t>Fourteen</w:t>
      </w:r>
      <w:r w:rsidR="006B51B8" w:rsidRPr="00F37F65">
        <w:t xml:space="preserve"> midwifery students</w:t>
      </w:r>
      <w:r w:rsidR="00870BC5">
        <w:t xml:space="preserve"> completed training in June 2017.  </w:t>
      </w:r>
      <w:r w:rsidR="006B51B8" w:rsidRPr="00F37F65">
        <w:t xml:space="preserve"> </w:t>
      </w:r>
    </w:p>
    <w:p w:rsidR="00A32E97" w:rsidRDefault="00A32E97" w:rsidP="00A32E97">
      <w:r>
        <w:t xml:space="preserve">Through </w:t>
      </w:r>
      <w:r w:rsidR="00784CBD">
        <w:t xml:space="preserve">Australia’s </w:t>
      </w:r>
      <w:r>
        <w:t xml:space="preserve">support </w:t>
      </w:r>
      <w:r w:rsidR="00221C74">
        <w:t>for</w:t>
      </w:r>
      <w:r>
        <w:t xml:space="preserve"> UNICEF, an Expanded Program of Immunisation (EPI) coverage survey </w:t>
      </w:r>
      <w:r w:rsidR="00221C74">
        <w:t xml:space="preserve">in 2016-17 showed Vanuatu </w:t>
      </w:r>
      <w:r w:rsidR="00E86E00">
        <w:t xml:space="preserve">has made significant progress towards </w:t>
      </w:r>
      <w:r w:rsidR="00221C74">
        <w:t>its 2016-17 benchmark</w:t>
      </w:r>
      <w:r>
        <w:t xml:space="preserve">. The </w:t>
      </w:r>
      <w:r w:rsidR="008972FC">
        <w:t xml:space="preserve">survey </w:t>
      </w:r>
      <w:r w:rsidR="00A46B24">
        <w:t xml:space="preserve">showed that </w:t>
      </w:r>
      <w:r w:rsidR="00221C74">
        <w:t>81 per cent of</w:t>
      </w:r>
      <w:r>
        <w:t xml:space="preserve"> children </w:t>
      </w:r>
      <w:r w:rsidR="00221C74">
        <w:t xml:space="preserve">aged </w:t>
      </w:r>
      <w:r>
        <w:t>12</w:t>
      </w:r>
      <w:r w:rsidR="002D5E21">
        <w:t xml:space="preserve"> to </w:t>
      </w:r>
      <w:r>
        <w:t xml:space="preserve">23 months </w:t>
      </w:r>
      <w:r w:rsidR="00221C74">
        <w:t>received DPT3</w:t>
      </w:r>
      <w:r w:rsidR="0040396A">
        <w:t xml:space="preserve"> (diphtheria-tetanus-pertussis</w:t>
      </w:r>
      <w:r w:rsidR="006B17FB">
        <w:t xml:space="preserve"> vaccine</w:t>
      </w:r>
      <w:r w:rsidR="0040396A">
        <w:t>)</w:t>
      </w:r>
      <w:r w:rsidR="00221C74">
        <w:t xml:space="preserve">, </w:t>
      </w:r>
      <w:r>
        <w:t>compared to 79</w:t>
      </w:r>
      <w:r w:rsidR="002D5E21">
        <w:t xml:space="preserve"> per cent</w:t>
      </w:r>
      <w:r>
        <w:t xml:space="preserve"> in 2015.  </w:t>
      </w:r>
      <w:r w:rsidR="00A46B24">
        <w:t>Eighty-four</w:t>
      </w:r>
      <w:r w:rsidR="008972FC">
        <w:t xml:space="preserve"> per cent of c</w:t>
      </w:r>
      <w:r>
        <w:t xml:space="preserve">hildren </w:t>
      </w:r>
      <w:r w:rsidR="00221C74">
        <w:t xml:space="preserve">aged </w:t>
      </w:r>
      <w:r>
        <w:t>24</w:t>
      </w:r>
      <w:r w:rsidR="00A46B24">
        <w:t xml:space="preserve"> to </w:t>
      </w:r>
      <w:r w:rsidR="008972FC">
        <w:t>35 months received MCV1</w:t>
      </w:r>
      <w:r w:rsidR="0040396A">
        <w:t xml:space="preserve"> (measles-containing vaccine first dose)</w:t>
      </w:r>
      <w:r w:rsidR="008972FC">
        <w:t>,</w:t>
      </w:r>
      <w:r>
        <w:t xml:space="preserve"> </w:t>
      </w:r>
      <w:r w:rsidR="008972FC">
        <w:t xml:space="preserve">compared to 71 per cent </w:t>
      </w:r>
      <w:r>
        <w:t>in 2015</w:t>
      </w:r>
      <w:r w:rsidR="00221C74">
        <w:t xml:space="preserve">. </w:t>
      </w:r>
      <w:r w:rsidR="00784CBD">
        <w:t xml:space="preserve">Australia’s </w:t>
      </w:r>
      <w:r>
        <w:t xml:space="preserve">support for the National Vector Borne Disease Control Program </w:t>
      </w:r>
      <w:r w:rsidR="00A46B24">
        <w:t xml:space="preserve">has </w:t>
      </w:r>
      <w:r w:rsidR="00F83816">
        <w:t>helped</w:t>
      </w:r>
      <w:r>
        <w:t xml:space="preserve"> keep the number of deaths from malaria at zero since 2012.</w:t>
      </w:r>
    </w:p>
    <w:p w:rsidR="00A32E97" w:rsidRDefault="00A32E97" w:rsidP="00A32E97">
      <w:r>
        <w:t>Australia’s investments in health, while individually highly relevant, are fragmented</w:t>
      </w:r>
      <w:r w:rsidR="00032C37">
        <w:t xml:space="preserve">. </w:t>
      </w:r>
      <w:r w:rsidR="00F56BA5">
        <w:t xml:space="preserve">While we have seen </w:t>
      </w:r>
      <w:r w:rsidR="008A1B61">
        <w:t xml:space="preserve">isolated </w:t>
      </w:r>
      <w:r w:rsidR="00F56BA5">
        <w:t xml:space="preserve">successes in 2016-17, </w:t>
      </w:r>
      <w:r w:rsidR="0095322A">
        <w:t xml:space="preserve">assessing progress </w:t>
      </w:r>
      <w:r w:rsidR="00F56BA5">
        <w:t xml:space="preserve">of the overall health program </w:t>
      </w:r>
      <w:r w:rsidR="005D0D7A">
        <w:t>is</w:t>
      </w:r>
      <w:r w:rsidR="00F56BA5">
        <w:t xml:space="preserve"> challenging.</w:t>
      </w:r>
      <w:r>
        <w:t xml:space="preserve"> </w:t>
      </w:r>
      <w:r w:rsidR="00F56BA5">
        <w:t>T</w:t>
      </w:r>
      <w:r>
        <w:t xml:space="preserve">here </w:t>
      </w:r>
      <w:r w:rsidR="0095322A">
        <w:t>are</w:t>
      </w:r>
      <w:r>
        <w:t xml:space="preserve"> two significant constraints: a limited monitoring and evaluation </w:t>
      </w:r>
      <w:r w:rsidR="006B17FB">
        <w:t xml:space="preserve">M&amp;E </w:t>
      </w:r>
      <w:r>
        <w:t>framework</w:t>
      </w:r>
      <w:r w:rsidR="00F83816">
        <w:t>,</w:t>
      </w:r>
      <w:r w:rsidR="00784CBD">
        <w:t xml:space="preserve"> </w:t>
      </w:r>
      <w:r>
        <w:t xml:space="preserve">and the lack of a coherent framework to guide investments in the health sector. Both constraints will be addressed in the coming year, which will be a transitional one for the health program and the </w:t>
      </w:r>
      <w:r w:rsidR="00963AA4">
        <w:t>Vanuatu Government</w:t>
      </w:r>
      <w:r>
        <w:t>. Design for a new phase of the health program, including a strengthened M&amp;E framework, has commenced</w:t>
      </w:r>
      <w:r w:rsidR="0095322A">
        <w:t>,</w:t>
      </w:r>
      <w:r>
        <w:t xml:space="preserve"> and the new phase will begin in 2018-19.</w:t>
      </w:r>
      <w:r w:rsidRPr="00EA1EF2">
        <w:t xml:space="preserve"> </w:t>
      </w:r>
    </w:p>
    <w:p w:rsidR="00A32E97" w:rsidRDefault="00847A4A" w:rsidP="00F37F65">
      <w:pPr>
        <w:suppressAutoHyphens w:val="0"/>
        <w:autoSpaceDE w:val="0"/>
        <w:autoSpaceDN w:val="0"/>
        <w:adjustRightInd w:val="0"/>
        <w:spacing w:before="0" w:line="240" w:lineRule="auto"/>
      </w:pPr>
      <w:r>
        <w:t>C</w:t>
      </w:r>
      <w:r w:rsidR="004532D8">
        <w:t xml:space="preserve">ontinued investment in Vanuatu’s health sector has flow-on benefits. </w:t>
      </w:r>
      <w:r w:rsidR="007C2CDD">
        <w:t xml:space="preserve"> An effective public health system contributes to regional health security. With over 250,000 Australians visiting or living in Vanuatu each year, </w:t>
      </w:r>
      <w:r w:rsidR="004532D8">
        <w:t>and</w:t>
      </w:r>
      <w:r w:rsidR="007C2CDD">
        <w:t xml:space="preserve"> increasing movement through the Seasonal Worker Program, </w:t>
      </w:r>
      <w:r w:rsidR="006B17FB">
        <w:t xml:space="preserve">there is </w:t>
      </w:r>
      <w:r w:rsidR="007C2CDD">
        <w:t>potential</w:t>
      </w:r>
      <w:r w:rsidR="006B17FB">
        <w:t xml:space="preserve"> for</w:t>
      </w:r>
      <w:r w:rsidR="007C2CDD">
        <w:t xml:space="preserve"> transmission of preventable infectious diseases.</w:t>
      </w:r>
      <w:r w:rsidR="00A32E97">
        <w:t xml:space="preserve"> Increased coordination with </w:t>
      </w:r>
      <w:r w:rsidR="00784CBD">
        <w:t xml:space="preserve">Australia’s investments in central Ministries </w:t>
      </w:r>
      <w:r w:rsidR="00A32E97">
        <w:t xml:space="preserve">in the future will also assist in addressing public financial management and human resourcing constraints faced by the </w:t>
      </w:r>
      <w:r w:rsidR="00F83816">
        <w:t>MoH</w:t>
      </w:r>
      <w:r w:rsidR="00A32E97">
        <w:t xml:space="preserve">. </w:t>
      </w:r>
    </w:p>
    <w:p w:rsidR="0041771D" w:rsidRDefault="0041771D" w:rsidP="0041771D">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 xml:space="preserve">Objective </w:t>
      </w:r>
      <w:r>
        <w:rPr>
          <w:rFonts w:asciiTheme="majorHAnsi" w:eastAsiaTheme="majorEastAsia" w:hAnsiTheme="majorHAnsi" w:cstheme="majorBidi"/>
          <w:caps/>
          <w:color w:val="495965" w:themeColor="text2"/>
          <w:sz w:val="38"/>
          <w:szCs w:val="26"/>
          <w:lang w:val="en-GB" w:eastAsia="en-US"/>
        </w:rPr>
        <w:t xml:space="preserve">3: </w:t>
      </w:r>
      <w:r w:rsidR="005D5DBC">
        <w:rPr>
          <w:rFonts w:asciiTheme="majorHAnsi" w:eastAsiaTheme="majorEastAsia" w:hAnsiTheme="majorHAnsi" w:cstheme="majorBidi"/>
          <w:caps/>
          <w:color w:val="495965" w:themeColor="text2"/>
          <w:sz w:val="38"/>
          <w:szCs w:val="26"/>
          <w:lang w:val="en-GB" w:eastAsia="en-US"/>
        </w:rPr>
        <w:t>improving community safety and resilience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876F3C" w:rsidTr="00D045EC">
        <w:tc>
          <w:tcPr>
            <w:tcW w:w="2016" w:type="dxa"/>
          </w:tcPr>
          <w:p w:rsidR="00876F3C" w:rsidRDefault="00876F3C" w:rsidP="000114AF">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6E81C126" wp14:editId="02DBCE43">
                  <wp:extent cx="1137600" cy="720000"/>
                  <wp:effectExtent l="0" t="0" r="571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876F3C" w:rsidRDefault="00876F3C"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458492C4" wp14:editId="09FF4C6A">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876F3C" w:rsidRDefault="00876F3C"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2233582" wp14:editId="3BC87C24">
                  <wp:extent cx="612000" cy="61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876F3C" w:rsidRDefault="00876F3C"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54F4899" wp14:editId="1DA0CF0E">
                  <wp:extent cx="608400" cy="612000"/>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891" w:type="dxa"/>
          </w:tcPr>
          <w:p w:rsidR="00876F3C" w:rsidRDefault="00876F3C"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D045EC" w:rsidRDefault="00D045EC" w:rsidP="00D045EC">
      <w:r>
        <w:t>Progress against the objective of improving community safety and resilience is rated green</w:t>
      </w:r>
      <w:r w:rsidR="00A46B24">
        <w:t>. This is based</w:t>
      </w:r>
      <w:r>
        <w:t xml:space="preserve"> on achievements in the previous </w:t>
      </w:r>
      <w:r w:rsidR="00E86E00">
        <w:t xml:space="preserve">and new </w:t>
      </w:r>
      <w:r>
        <w:t>phase</w:t>
      </w:r>
      <w:r w:rsidR="00E86E00">
        <w:t>s</w:t>
      </w:r>
      <w:r>
        <w:t xml:space="preserve"> of the Policing </w:t>
      </w:r>
      <w:r w:rsidR="00A46B24">
        <w:t>and</w:t>
      </w:r>
      <w:r>
        <w:t xml:space="preserve"> Justice </w:t>
      </w:r>
      <w:r w:rsidR="00D66528">
        <w:t>P</w:t>
      </w:r>
      <w:r>
        <w:t xml:space="preserve">rogram. </w:t>
      </w:r>
    </w:p>
    <w:p w:rsidR="00D045EC" w:rsidRDefault="00D045EC" w:rsidP="00D045EC">
      <w:r>
        <w:t>Australia plays a critical role in supporting access to justice for women and children impacted by family violence. The issue requires long-term support</w:t>
      </w:r>
      <w:r w:rsidR="005D0D7A">
        <w:t>,</w:t>
      </w:r>
      <w:r>
        <w:t xml:space="preserve"> and close partnership with the Vanuatu Government. The Vanuatu Policing and Justice </w:t>
      </w:r>
      <w:r w:rsidR="00D66528">
        <w:t>P</w:t>
      </w:r>
      <w:r>
        <w:t>rogram provides support t</w:t>
      </w:r>
      <w:r w:rsidR="00112A5F">
        <w:t>o</w:t>
      </w:r>
      <w:r>
        <w:t xml:space="preserve"> coordinate and collaborate across the law and justice </w:t>
      </w:r>
      <w:r w:rsidR="00112A5F">
        <w:t>system,</w:t>
      </w:r>
      <w:r>
        <w:t xml:space="preserve"> build capacity and deliver services focused on women, children and youth. </w:t>
      </w:r>
    </w:p>
    <w:p w:rsidR="000F1782" w:rsidRDefault="005D0D7A" w:rsidP="00D045EC">
      <w:r>
        <w:t>In August 2016, Australia’s</w:t>
      </w:r>
      <w:r w:rsidR="000F1782">
        <w:t xml:space="preserve"> Minister for International Development and the Pacific launched Australian-funded research on access t</w:t>
      </w:r>
      <w:r>
        <w:t>o justice in rural Vanuatu. The</w:t>
      </w:r>
      <w:r w:rsidR="000F1782">
        <w:t xml:space="preserve"> research identified significant barriers to justice for women</w:t>
      </w:r>
      <w:r w:rsidR="0040396A">
        <w:t>, including</w:t>
      </w:r>
      <w:r w:rsidR="000F1782">
        <w:t xml:space="preserve"> severe under resourcing, a lack of training</w:t>
      </w:r>
      <w:r>
        <w:t xml:space="preserve">, and </w:t>
      </w:r>
      <w:r w:rsidR="000F1782">
        <w:t>poor decentralisation across all state justice agencies (</w:t>
      </w:r>
      <w:r w:rsidR="0032137B">
        <w:t xml:space="preserve">e.g. </w:t>
      </w:r>
      <w:r w:rsidR="000F1782">
        <w:t>courts</w:t>
      </w:r>
      <w:r w:rsidR="0032137B">
        <w:t xml:space="preserve"> and </w:t>
      </w:r>
      <w:r w:rsidR="000F1782">
        <w:t>police)</w:t>
      </w:r>
      <w:r w:rsidR="001A1587">
        <w:t xml:space="preserve">. It also highlighted </w:t>
      </w:r>
      <w:r w:rsidR="000F1782">
        <w:t xml:space="preserve">a lack of general knowledge of the law and poor understanding of the different roles of the state justice system </w:t>
      </w:r>
      <w:r w:rsidR="000F1782" w:rsidRPr="00FF295B">
        <w:rPr>
          <w:i/>
        </w:rPr>
        <w:t>vis a vis</w:t>
      </w:r>
      <w:r w:rsidR="000F1782">
        <w:t xml:space="preserve"> kastom (which is seen to have less neutrality and less support for victims of crime). Women’s limited voice in decision-maki</w:t>
      </w:r>
      <w:r w:rsidR="006B17FB">
        <w:t xml:space="preserve">ng also contributes to restricting </w:t>
      </w:r>
      <w:r w:rsidR="000F1782">
        <w:t>women’s access to justice.</w:t>
      </w:r>
      <w:r w:rsidR="000D4D15">
        <w:t xml:space="preserve"> This research informed </w:t>
      </w:r>
      <w:r w:rsidR="001A1587">
        <w:t xml:space="preserve">the </w:t>
      </w:r>
      <w:r w:rsidR="000D4D15">
        <w:t xml:space="preserve">design of a new phase of support, which has a much stronger focus on access to justice for women and children, particularly in </w:t>
      </w:r>
      <w:r w:rsidR="00F83816">
        <w:t>rural</w:t>
      </w:r>
      <w:r w:rsidR="000D4D15">
        <w:t xml:space="preserve"> areas.</w:t>
      </w:r>
    </w:p>
    <w:p w:rsidR="00D045EC" w:rsidRDefault="00112A5F" w:rsidP="00D045EC">
      <w:r>
        <w:t xml:space="preserve">Drawing on this </w:t>
      </w:r>
      <w:r w:rsidR="00E33E8F">
        <w:t xml:space="preserve">critical </w:t>
      </w:r>
      <w:r>
        <w:t xml:space="preserve">research, and our extensive experience in the sector, </w:t>
      </w:r>
      <w:r w:rsidR="00E33E8F">
        <w:t>t</w:t>
      </w:r>
      <w:r w:rsidR="00D66528">
        <w:t>he Policing and Justice P</w:t>
      </w:r>
      <w:r w:rsidR="00D045EC">
        <w:t xml:space="preserve">rogram entered a new phase </w:t>
      </w:r>
      <w:r w:rsidR="005D0D7A">
        <w:t>in early 2017</w:t>
      </w:r>
      <w:r w:rsidR="00D045EC">
        <w:t xml:space="preserve"> with a strengthened focus on access to justice at the provincial level. In 2016-17, engagement with the </w:t>
      </w:r>
      <w:r w:rsidR="009F27D2">
        <w:t>Magistrates C</w:t>
      </w:r>
      <w:r w:rsidR="00D045EC">
        <w:t>ourt and the public prosecutor has improved</w:t>
      </w:r>
      <w:r w:rsidR="009F27D2">
        <w:t xml:space="preserve"> communications across sector agencies</w:t>
      </w:r>
      <w:r w:rsidR="005D0D7A">
        <w:t>.</w:t>
      </w:r>
      <w:r w:rsidR="006C336D">
        <w:t xml:space="preserve"> </w:t>
      </w:r>
      <w:r w:rsidR="005D0D7A">
        <w:t xml:space="preserve">The </w:t>
      </w:r>
      <w:r w:rsidR="006C336D">
        <w:t>Magistrates C</w:t>
      </w:r>
      <w:r w:rsidR="00F83816">
        <w:t>ourt support</w:t>
      </w:r>
      <w:r w:rsidR="005D0D7A">
        <w:t xml:space="preserve">ed </w:t>
      </w:r>
      <w:r w:rsidR="00F83816">
        <w:t>a meeting of</w:t>
      </w:r>
      <w:r w:rsidR="006C336D">
        <w:t xml:space="preserve"> c</w:t>
      </w:r>
      <w:r w:rsidR="009F27D2">
        <w:t xml:space="preserve">ourt </w:t>
      </w:r>
      <w:r w:rsidR="006C336D">
        <w:t>users to drive collaboration on the administration of justice in that court</w:t>
      </w:r>
      <w:r w:rsidR="005D0D7A">
        <w:t xml:space="preserve"> – </w:t>
      </w:r>
      <w:r w:rsidR="00D66528">
        <w:t>an effort</w:t>
      </w:r>
      <w:r w:rsidR="00476970">
        <w:t xml:space="preserve"> </w:t>
      </w:r>
      <w:r w:rsidR="005D0D7A">
        <w:t>unheard of in past years</w:t>
      </w:r>
      <w:r w:rsidR="00476970">
        <w:t>. The program supported the</w:t>
      </w:r>
      <w:r w:rsidR="00D045EC">
        <w:t xml:space="preserve"> rollout of the Police Information Management System </w:t>
      </w:r>
      <w:r w:rsidR="009F27D2">
        <w:t xml:space="preserve">(PIMS), </w:t>
      </w:r>
      <w:r w:rsidR="00476970">
        <w:t>enabling</w:t>
      </w:r>
      <w:r w:rsidR="009F27D2">
        <w:t xml:space="preserve"> the </w:t>
      </w:r>
      <w:r w:rsidR="00CB4A62">
        <w:t>Vanuatu Police Force (</w:t>
      </w:r>
      <w:r w:rsidR="009F27D2">
        <w:t>VPF</w:t>
      </w:r>
      <w:r w:rsidR="00CB4A62">
        <w:t>)</w:t>
      </w:r>
      <w:r w:rsidR="009F27D2">
        <w:t xml:space="preserve"> to enter 5</w:t>
      </w:r>
      <w:r w:rsidR="00FA4B16">
        <w:t>,</w:t>
      </w:r>
      <w:r w:rsidR="009F27D2">
        <w:t xml:space="preserve">000 incidents accounting for almost two years of information. PIMS </w:t>
      </w:r>
      <w:r w:rsidR="0095322A">
        <w:t xml:space="preserve">provides </w:t>
      </w:r>
      <w:r w:rsidR="009F27D2">
        <w:t>the VPF Executive with a platform for more evidence-based policing a</w:t>
      </w:r>
      <w:r w:rsidR="00FF295B">
        <w:t>n</w:t>
      </w:r>
      <w:r w:rsidR="009F27D2">
        <w:t>d reliable criminal history records</w:t>
      </w:r>
      <w:r w:rsidR="00D045EC" w:rsidRPr="00FF295B">
        <w:t>.</w:t>
      </w:r>
      <w:r w:rsidR="00D045EC">
        <w:t xml:space="preserve"> Collaboration across the sector has been strong</w:t>
      </w:r>
      <w:r w:rsidR="0095322A">
        <w:t xml:space="preserve"> - </w:t>
      </w:r>
      <w:r w:rsidR="00D045EC">
        <w:t xml:space="preserve">a considerable achievement </w:t>
      </w:r>
      <w:r w:rsidR="00A46B24">
        <w:t>for</w:t>
      </w:r>
      <w:r w:rsidR="00D045EC">
        <w:t xml:space="preserve"> 16 bodies operating under three ministries</w:t>
      </w:r>
      <w:r w:rsidR="006C336D">
        <w:t>. For example, women are collaborating on women’s professional participation in the sector; the Office of the Ombudsman and the VPF Professional Standards Unit have an MOU in place and collaborate on investigations of mutual interest</w:t>
      </w:r>
      <w:r w:rsidR="00D045EC">
        <w:t xml:space="preserve">. </w:t>
      </w:r>
    </w:p>
    <w:p w:rsidR="000F1782" w:rsidRDefault="00445F3E" w:rsidP="00D045EC">
      <w:r>
        <w:t xml:space="preserve">Despite these successes, and </w:t>
      </w:r>
      <w:r w:rsidR="000F1782">
        <w:t>significant investment through the aid program over many years</w:t>
      </w:r>
      <w:r>
        <w:t>, many challenges remain to ensuring access to justice for women and children.</w:t>
      </w:r>
      <w:r w:rsidR="000F1782">
        <w:t xml:space="preserve"> The </w:t>
      </w:r>
      <w:r w:rsidR="00CB4A62">
        <w:t>VPF</w:t>
      </w:r>
      <w:r w:rsidR="000F1782">
        <w:t xml:space="preserve"> </w:t>
      </w:r>
      <w:r w:rsidR="0032137B">
        <w:t xml:space="preserve">does not have adequate resources to manage </w:t>
      </w:r>
      <w:r w:rsidR="00476970">
        <w:t>their</w:t>
      </w:r>
      <w:r w:rsidR="0032137B">
        <w:t xml:space="preserve"> caseload (there are </w:t>
      </w:r>
      <w:r w:rsidR="000F1782">
        <w:t>over 4,000 open investigations, many of which should lead to prosecution</w:t>
      </w:r>
      <w:r w:rsidR="0032137B">
        <w:t>)</w:t>
      </w:r>
      <w:r w:rsidR="000F1782">
        <w:t xml:space="preserve">. </w:t>
      </w:r>
      <w:r w:rsidR="00BC4308">
        <w:t xml:space="preserve">The </w:t>
      </w:r>
      <w:r w:rsidR="00CB4A62">
        <w:t xml:space="preserve">performance </w:t>
      </w:r>
      <w:r>
        <w:t xml:space="preserve">of </w:t>
      </w:r>
      <w:r w:rsidR="00CB4A62">
        <w:t xml:space="preserve">police has flow-on effects </w:t>
      </w:r>
      <w:r w:rsidR="001A1587">
        <w:t xml:space="preserve">on </w:t>
      </w:r>
      <w:r w:rsidR="00CB4A62">
        <w:t xml:space="preserve">the </w:t>
      </w:r>
      <w:r w:rsidR="0032137B">
        <w:t xml:space="preserve">performance of </w:t>
      </w:r>
      <w:r w:rsidR="000F1782">
        <w:t>prosecutions and the courts</w:t>
      </w:r>
      <w:r w:rsidR="0032137B">
        <w:t xml:space="preserve"> (f</w:t>
      </w:r>
      <w:r w:rsidR="000F1782">
        <w:t xml:space="preserve">or example, </w:t>
      </w:r>
      <w:r w:rsidR="0032137B">
        <w:t xml:space="preserve">if </w:t>
      </w:r>
      <w:r w:rsidR="000F1782">
        <w:t xml:space="preserve">police </w:t>
      </w:r>
      <w:r w:rsidR="0040396A">
        <w:t>do no</w:t>
      </w:r>
      <w:r w:rsidR="0032137B">
        <w:t xml:space="preserve">t serve </w:t>
      </w:r>
      <w:r w:rsidR="000F1782">
        <w:t>summons, courts are unable to hear cases</w:t>
      </w:r>
      <w:r w:rsidR="0032137B">
        <w:t>;</w:t>
      </w:r>
      <w:r w:rsidR="000F1782">
        <w:t xml:space="preserve"> </w:t>
      </w:r>
      <w:r w:rsidR="0032137B">
        <w:t>c</w:t>
      </w:r>
      <w:r w:rsidR="000F1782">
        <w:t>urrently, only three per cent of the cases with the State Prosecutions Department have been listed for a future hearing in court</w:t>
      </w:r>
      <w:r w:rsidR="0032137B">
        <w:t>)</w:t>
      </w:r>
      <w:r w:rsidR="000F1782">
        <w:t xml:space="preserve">. </w:t>
      </w:r>
      <w:r w:rsidR="00CB4A62">
        <w:t>Accordingly, Austral</w:t>
      </w:r>
      <w:r w:rsidR="001A1587">
        <w:t xml:space="preserve">ia’s program with </w:t>
      </w:r>
      <w:r w:rsidR="00CB4A62">
        <w:t xml:space="preserve">the police </w:t>
      </w:r>
      <w:r>
        <w:t>and other agencies takes a holistic view</w:t>
      </w:r>
      <w:r w:rsidR="00112A5F">
        <w:t xml:space="preserve">, recognising </w:t>
      </w:r>
      <w:r w:rsidR="00E33E8F">
        <w:t xml:space="preserve">the need for </w:t>
      </w:r>
      <w:r w:rsidR="00112A5F">
        <w:t xml:space="preserve">improvement across the entire </w:t>
      </w:r>
      <w:r w:rsidR="00E33E8F">
        <w:t xml:space="preserve">sector </w:t>
      </w:r>
      <w:r w:rsidR="00112A5F">
        <w:t xml:space="preserve">to make a real difference to women and children. </w:t>
      </w:r>
    </w:p>
    <w:p w:rsidR="00D045EC" w:rsidRDefault="00445F3E" w:rsidP="00D045EC">
      <w:r w:rsidRPr="00FC796B">
        <w:t>Australia</w:t>
      </w:r>
      <w:r w:rsidR="00D045EC" w:rsidRPr="00FC796B">
        <w:t xml:space="preserve"> </w:t>
      </w:r>
      <w:r w:rsidR="006C1199" w:rsidRPr="00FC796B">
        <w:t xml:space="preserve">is a long-term </w:t>
      </w:r>
      <w:r w:rsidR="00D045EC" w:rsidRPr="00FC796B">
        <w:t>support</w:t>
      </w:r>
      <w:r w:rsidR="006C1199" w:rsidRPr="00FC796B">
        <w:t>er</w:t>
      </w:r>
      <w:r w:rsidR="00D045EC" w:rsidRPr="00FC796B">
        <w:t xml:space="preserve"> </w:t>
      </w:r>
      <w:r w:rsidR="006C1199" w:rsidRPr="00FC796B">
        <w:t xml:space="preserve">of </w:t>
      </w:r>
      <w:r w:rsidR="00D045EC" w:rsidRPr="00FC796B">
        <w:t>the Vanuatu Women’s Centre</w:t>
      </w:r>
      <w:r w:rsidR="00FC796B" w:rsidRPr="00FC796B">
        <w:t xml:space="preserve"> (VWC)</w:t>
      </w:r>
      <w:r w:rsidR="00D045EC" w:rsidRPr="00FC796B">
        <w:t xml:space="preserve">. In the latest phase of support </w:t>
      </w:r>
      <w:r w:rsidR="00FC796B" w:rsidRPr="00FC796B">
        <w:t>(</w:t>
      </w:r>
      <w:r w:rsidR="00FC796B">
        <w:t>2012</w:t>
      </w:r>
      <w:r w:rsidR="00FC796B" w:rsidRPr="00FC796B">
        <w:t>-</w:t>
      </w:r>
      <w:r w:rsidR="00FC796B">
        <w:t>16</w:t>
      </w:r>
      <w:r w:rsidR="00FC796B" w:rsidRPr="00FC796B">
        <w:t>)</w:t>
      </w:r>
      <w:r w:rsidR="00D045EC" w:rsidRPr="00FC796B">
        <w:t>, 16,369 clients accessed VWC services, an increase of approximately 30 per cent from the previous phase</w:t>
      </w:r>
      <w:r w:rsidR="00D045EC" w:rsidRPr="00FF295B">
        <w:t>.</w:t>
      </w:r>
      <w:r w:rsidR="00D045EC" w:rsidRPr="00FC796B">
        <w:t xml:space="preserve"> In the 2</w:t>
      </w:r>
      <w:r w:rsidR="00FC796B">
        <w:t>3</w:t>
      </w:r>
      <w:r w:rsidR="00D045EC" w:rsidRPr="00FC796B">
        <w:t xml:space="preserve"> years since Australia started providing support to VWC,</w:t>
      </w:r>
      <w:r w:rsidR="00D045EC">
        <w:t xml:space="preserve"> it has grown to include five provincial branches and has extended its services from counselling to provide education and awareness raising about family violence, legal advocacy, lobbying and human rights training. Building on </w:t>
      </w:r>
      <w:r w:rsidR="00FC796B">
        <w:t xml:space="preserve">this </w:t>
      </w:r>
      <w:r w:rsidR="00D045EC">
        <w:t xml:space="preserve">success, UN </w:t>
      </w:r>
      <w:r w:rsidR="00FC796B">
        <w:t xml:space="preserve">Women </w:t>
      </w:r>
      <w:r w:rsidR="00D045EC">
        <w:t>fund</w:t>
      </w:r>
      <w:r w:rsidR="00A41B92">
        <w:t>ed</w:t>
      </w:r>
      <w:r w:rsidR="00D045EC">
        <w:t xml:space="preserve"> a </w:t>
      </w:r>
      <w:r w:rsidR="00FC796B">
        <w:t xml:space="preserve">sixth </w:t>
      </w:r>
      <w:r w:rsidR="00D045EC">
        <w:t>VWC centre</w:t>
      </w:r>
      <w:r w:rsidR="004C0FAB">
        <w:t xml:space="preserve"> in</w:t>
      </w:r>
      <w:r w:rsidR="00A41B92">
        <w:t xml:space="preserve"> </w:t>
      </w:r>
      <w:r w:rsidR="00D045EC">
        <w:t>Penama</w:t>
      </w:r>
      <w:r w:rsidR="004C0FAB">
        <w:t xml:space="preserve"> Province</w:t>
      </w:r>
      <w:r w:rsidR="00D045EC">
        <w:t xml:space="preserve">, </w:t>
      </w:r>
      <w:r w:rsidR="00A41B92">
        <w:t xml:space="preserve">which opened in </w:t>
      </w:r>
      <w:r w:rsidR="00DA682C">
        <w:t>January 2017</w:t>
      </w:r>
      <w:r w:rsidR="00D045EC">
        <w:t>.</w:t>
      </w:r>
    </w:p>
    <w:p w:rsidR="00527429" w:rsidRDefault="00527429" w:rsidP="00D045EC">
      <w:r>
        <w:lastRenderedPageBreak/>
        <w:t>Australia’s support for Wan Smolbag Theatre</w:t>
      </w:r>
      <w:r w:rsidR="00573BA8">
        <w:t xml:space="preserve"> (WSB)</w:t>
      </w:r>
      <w:r>
        <w:t xml:space="preserve"> has provided a wide range of </w:t>
      </w:r>
      <w:r w:rsidR="006B17FB">
        <w:t>services to the</w:t>
      </w:r>
      <w:r>
        <w:t xml:space="preserve"> community, particularly youth and</w:t>
      </w:r>
      <w:r w:rsidR="00573BA8">
        <w:t xml:space="preserve"> at risk groups. WSB’s scope of activities has grown from using drama to raise community awareness of sensitive issues to include programs in creative media, youth and community, health, environment, governance and policy research. In 2016-17, WSB performed five different plays exploring a range of social, political, environmental and health issues; delivered workshops, including in sexual and reproductive health to 1,934 youth (compared to 1,862 in 2015); and provided sexual and reproductive health services to over 10,978 people (9,759 female), exceeding the annual tar</w:t>
      </w:r>
      <w:r w:rsidR="00DA682C">
        <w:t xml:space="preserve">get. Vanuatu is experiencing a youth bulge and </w:t>
      </w:r>
      <w:r w:rsidR="006B17FB">
        <w:t>WSB’s programs</w:t>
      </w:r>
      <w:r w:rsidR="00DA682C">
        <w:t xml:space="preserve"> for youth and at</w:t>
      </w:r>
      <w:r w:rsidR="006B17FB">
        <w:t xml:space="preserve">-risk members of the community provide important </w:t>
      </w:r>
      <w:r w:rsidR="00DA682C">
        <w:t xml:space="preserve">support </w:t>
      </w:r>
      <w:r w:rsidR="006B17FB">
        <w:t>for</w:t>
      </w:r>
      <w:r w:rsidR="00DA682C">
        <w:t xml:space="preserve"> community safety and resilience.</w:t>
      </w:r>
    </w:p>
    <w:p w:rsidR="005D5DBC" w:rsidRDefault="005D5DBC" w:rsidP="005D5DBC">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Objective </w:t>
      </w:r>
      <w:r>
        <w:rPr>
          <w:rFonts w:asciiTheme="majorHAnsi" w:eastAsiaTheme="majorEastAsia" w:hAnsiTheme="majorHAnsi" w:cstheme="majorBidi"/>
          <w:caps/>
          <w:color w:val="495965" w:themeColor="text2"/>
          <w:sz w:val="38"/>
          <w:szCs w:val="26"/>
          <w:lang w:val="en-GB" w:eastAsia="en-US"/>
        </w:rPr>
        <w:t>4: supporting cyclone recovery and reconstruction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876F3C" w:rsidTr="00876F3C">
        <w:tc>
          <w:tcPr>
            <w:tcW w:w="2016" w:type="dxa"/>
          </w:tcPr>
          <w:p w:rsidR="00876F3C" w:rsidRDefault="00876F3C" w:rsidP="000114AF">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3D340BC7" wp14:editId="10B493E8">
                  <wp:extent cx="1137600" cy="720000"/>
                  <wp:effectExtent l="0" t="0" r="571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876F3C" w:rsidRDefault="007453D0"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8A9E5A2" wp14:editId="68DB5463">
                  <wp:extent cx="612000" cy="61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876F3C" w:rsidRDefault="00B43B06"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B43B06">
              <w:rPr>
                <w:rFonts w:asciiTheme="majorHAnsi" w:eastAsiaTheme="majorEastAsia" w:hAnsiTheme="majorHAnsi" w:cstheme="majorBidi"/>
                <w:caps/>
                <w:noProof/>
                <w:color w:val="495965" w:themeColor="text2"/>
                <w:sz w:val="38"/>
                <w:szCs w:val="26"/>
              </w:rPr>
              <w:drawing>
                <wp:inline distT="0" distB="0" distL="0" distR="0" wp14:anchorId="13DB4683" wp14:editId="399001BA">
                  <wp:extent cx="612000" cy="612000"/>
                  <wp:effectExtent l="0" t="0" r="9525" b="9525"/>
                  <wp:docPr id="8" name="Picture 8" descr="\\TITAN\CHCH\Desktop\Aregnaul\Desktop\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AN\CHCH\Desktop\Aregnaul\Desktop\sdg-0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911" w:type="dxa"/>
          </w:tcPr>
          <w:p w:rsidR="00876F3C" w:rsidRDefault="007453D0"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820AC64" wp14:editId="0882364C">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1" w:type="dxa"/>
          </w:tcPr>
          <w:p w:rsidR="00876F3C" w:rsidRDefault="007453D0" w:rsidP="000114AF">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FB04CF0" wp14:editId="29847F9C">
                  <wp:extent cx="612000" cy="612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876F3C" w:rsidRPr="00E97556" w:rsidRDefault="000E408C" w:rsidP="00876F3C">
      <w:r>
        <w:t>P</w:t>
      </w:r>
      <w:r w:rsidR="00876F3C" w:rsidRPr="00E97556">
        <w:t>rogress against the objective of supporting cyclone recovery and reconstruction is rated amber</w:t>
      </w:r>
      <w:r w:rsidR="00D651C2">
        <w:t xml:space="preserve"> </w:t>
      </w:r>
      <w:r w:rsidR="004C0FAB">
        <w:t xml:space="preserve">because </w:t>
      </w:r>
      <w:r w:rsidR="00876F3C" w:rsidRPr="00E97556">
        <w:t xml:space="preserve">implementation </w:t>
      </w:r>
      <w:r w:rsidR="0026483B">
        <w:t xml:space="preserve">has been </w:t>
      </w:r>
      <w:r w:rsidR="00876F3C" w:rsidRPr="00E97556">
        <w:t xml:space="preserve">slower than anticipated. </w:t>
      </w:r>
    </w:p>
    <w:p w:rsidR="009E285B" w:rsidRDefault="00876F3C" w:rsidP="00876F3C">
      <w:r w:rsidRPr="00E97556">
        <w:t xml:space="preserve">Australia’s $35 million long-term recovery funding package comprises 72 per cent of total </w:t>
      </w:r>
      <w:r w:rsidR="00582849">
        <w:t xml:space="preserve">response and </w:t>
      </w:r>
      <w:r w:rsidRPr="00E97556">
        <w:t xml:space="preserve">recovery funding in Vanuatu. Programming these funds </w:t>
      </w:r>
      <w:r w:rsidR="00D651C2">
        <w:t>was</w:t>
      </w:r>
      <w:r w:rsidR="00304817">
        <w:t xml:space="preserve"> </w:t>
      </w:r>
      <w:r w:rsidRPr="00E97556">
        <w:t>challenging</w:t>
      </w:r>
      <w:r w:rsidR="00D651C2">
        <w:t xml:space="preserve"> in the first year of the program</w:t>
      </w:r>
      <w:r w:rsidRPr="00E97556">
        <w:t xml:space="preserve">; </w:t>
      </w:r>
      <w:r w:rsidR="00A8659E">
        <w:t xml:space="preserve">only </w:t>
      </w:r>
      <w:r w:rsidRPr="00E97556">
        <w:t>32</w:t>
      </w:r>
      <w:r w:rsidR="008A1B61">
        <w:t> </w:t>
      </w:r>
      <w:r w:rsidR="00EB54DC">
        <w:t xml:space="preserve">per cent of funding </w:t>
      </w:r>
      <w:r w:rsidR="00A8659E">
        <w:t xml:space="preserve">was </w:t>
      </w:r>
      <w:r w:rsidRPr="00E97556">
        <w:t>a</w:t>
      </w:r>
      <w:r w:rsidR="00A8659E">
        <w:t>llocated by the end of 2015-16 (target of 50 per cent). These delays have</w:t>
      </w:r>
      <w:r w:rsidR="00026799">
        <w:t xml:space="preserve"> put the program behind where it had initially set out to be at this point. While 89 per cent of funds </w:t>
      </w:r>
      <w:r w:rsidR="00A8659E">
        <w:t>are now</w:t>
      </w:r>
      <w:r w:rsidR="002D2118">
        <w:t xml:space="preserve"> </w:t>
      </w:r>
      <w:r w:rsidR="00026799">
        <w:t>programmed (</w:t>
      </w:r>
      <w:r w:rsidR="00A8659E">
        <w:t xml:space="preserve">a significant achievement which </w:t>
      </w:r>
      <w:r w:rsidR="00026799">
        <w:t>exceed</w:t>
      </w:r>
      <w:r w:rsidR="00A8659E">
        <w:t xml:space="preserve">s </w:t>
      </w:r>
      <w:r w:rsidR="00026799">
        <w:t>the 2016-17 target of 85 percent</w:t>
      </w:r>
      <w:r w:rsidR="00A8659E">
        <w:t>),</w:t>
      </w:r>
      <w:r w:rsidR="00026799">
        <w:t xml:space="preserve"> implementation</w:t>
      </w:r>
      <w:r w:rsidR="00A8659E">
        <w:t xml:space="preserve"> rates vary</w:t>
      </w:r>
      <w:r w:rsidR="00026799">
        <w:t xml:space="preserve"> across activities.</w:t>
      </w:r>
      <w:r w:rsidR="009E285B">
        <w:t xml:space="preserve"> </w:t>
      </w:r>
    </w:p>
    <w:p w:rsidR="009E285B" w:rsidRDefault="00A8659E" w:rsidP="009E285B">
      <w:r>
        <w:t xml:space="preserve">The program consists of 13 projects spread across </w:t>
      </w:r>
      <w:r w:rsidR="00D66528">
        <w:t>seven</w:t>
      </w:r>
      <w:r w:rsidR="00876F3C" w:rsidRPr="00E97556">
        <w:t xml:space="preserve"> sectors</w:t>
      </w:r>
      <w:r>
        <w:t>. It</w:t>
      </w:r>
      <w:r w:rsidR="00F44B51">
        <w:t xml:space="preserve"> </w:t>
      </w:r>
      <w:r w:rsidR="0040396A" w:rsidRPr="00E97556">
        <w:t>include</w:t>
      </w:r>
      <w:r w:rsidR="00F44B51">
        <w:t>s</w:t>
      </w:r>
      <w:r>
        <w:t>:</w:t>
      </w:r>
      <w:r w:rsidR="00876F3C" w:rsidRPr="00E97556">
        <w:t xml:space="preserve"> </w:t>
      </w:r>
      <w:r w:rsidR="00D95127">
        <w:t xml:space="preserve">large investments in </w:t>
      </w:r>
      <w:r w:rsidR="00876F3C" w:rsidRPr="00E97556">
        <w:t xml:space="preserve">rebuilding health </w:t>
      </w:r>
      <w:r w:rsidR="00C859CB">
        <w:t>centres</w:t>
      </w:r>
      <w:r w:rsidR="00D95127">
        <w:t xml:space="preserve">, </w:t>
      </w:r>
      <w:r w:rsidR="00C859CB">
        <w:t>primary school classrooms</w:t>
      </w:r>
      <w:r w:rsidR="00D95127">
        <w:t xml:space="preserve"> and public buildings</w:t>
      </w:r>
      <w:r w:rsidR="00876F3C" w:rsidRPr="00E97556">
        <w:t xml:space="preserve">; </w:t>
      </w:r>
      <w:r w:rsidR="00D95127">
        <w:t xml:space="preserve">smaller investments in </w:t>
      </w:r>
      <w:r w:rsidR="00876F3C" w:rsidRPr="00E97556">
        <w:t>rehabilitating</w:t>
      </w:r>
      <w:r w:rsidR="00C859CB">
        <w:t xml:space="preserve"> rainwater harvesting and gravity feed systems</w:t>
      </w:r>
      <w:r w:rsidR="00876F3C" w:rsidRPr="00E97556">
        <w:t xml:space="preserve">; </w:t>
      </w:r>
      <w:r w:rsidR="0086278A">
        <w:t>distributing</w:t>
      </w:r>
      <w:r w:rsidR="00876F3C" w:rsidRPr="00E97556">
        <w:t xml:space="preserve"> livestock and agricultur</w:t>
      </w:r>
      <w:r w:rsidR="0086278A">
        <w:t>e supplies</w:t>
      </w:r>
      <w:r w:rsidR="00876F3C" w:rsidRPr="00E97556">
        <w:t xml:space="preserve"> to affected communities; </w:t>
      </w:r>
      <w:r w:rsidR="00D95127">
        <w:t xml:space="preserve">and </w:t>
      </w:r>
      <w:r w:rsidR="00876F3C" w:rsidRPr="00E97556">
        <w:t>funding</w:t>
      </w:r>
      <w:r w:rsidR="0086278A">
        <w:t xml:space="preserve"> a</w:t>
      </w:r>
      <w:r w:rsidR="00304817">
        <w:t xml:space="preserve"> </w:t>
      </w:r>
      <w:r w:rsidR="00876F3C" w:rsidRPr="00E97556">
        <w:t>tourism campaign</w:t>
      </w:r>
      <w:r w:rsidR="0086278A">
        <w:t xml:space="preserve"> and rebuilding tourism </w:t>
      </w:r>
      <w:r w:rsidR="00FF3F90">
        <w:t>bungalows</w:t>
      </w:r>
      <w:r w:rsidR="00876F3C" w:rsidRPr="00E97556">
        <w:t>. Some of these sectors, such as agriculture, are outside the scope of our long-term bilateral program</w:t>
      </w:r>
      <w:r w:rsidR="00A46B24">
        <w:t xml:space="preserve">, but were identified by Vanuatu as critical for recovery. </w:t>
      </w:r>
      <w:r w:rsidR="009E285B">
        <w:t xml:space="preserve">While investments in health, tourism and agriculture are well progressed, the rehabilitation of government buildings and water systems </w:t>
      </w:r>
      <w:r w:rsidR="00D66528">
        <w:t xml:space="preserve">has only partly progressed and </w:t>
      </w:r>
      <w:r w:rsidR="009E285B">
        <w:t xml:space="preserve">rebuilding schools is only just starting. </w:t>
      </w:r>
      <w:r w:rsidR="004C0FAB">
        <w:t>A s</w:t>
      </w:r>
      <w:r w:rsidR="009E285B">
        <w:t xml:space="preserve">ignificant focus in 2017-18 </w:t>
      </w:r>
      <w:r w:rsidR="004C0FAB">
        <w:t xml:space="preserve">will be </w:t>
      </w:r>
      <w:r w:rsidR="009E285B">
        <w:t>to progress implementation o</w:t>
      </w:r>
      <w:r w:rsidR="004C0FAB">
        <w:t>f</w:t>
      </w:r>
      <w:r w:rsidR="009E285B">
        <w:t xml:space="preserve"> infrastructure works.</w:t>
      </w:r>
    </w:p>
    <w:p w:rsidR="00FA4B16" w:rsidRPr="00E97556" w:rsidRDefault="00FA4B16" w:rsidP="00FA4B16">
      <w:r w:rsidRPr="00E97556">
        <w:t xml:space="preserve">In 2016-17, </w:t>
      </w:r>
      <w:r w:rsidR="00A8659E">
        <w:t xml:space="preserve">we completed </w:t>
      </w:r>
      <w:r w:rsidR="00D66528">
        <w:t>three</w:t>
      </w:r>
      <w:r w:rsidR="004C0FAB">
        <w:t xml:space="preserve"> health centres and commenced an additional 15 </w:t>
      </w:r>
      <w:r w:rsidR="00F83816">
        <w:t>on</w:t>
      </w:r>
      <w:r>
        <w:t xml:space="preserve"> Efate. </w:t>
      </w:r>
      <w:r w:rsidR="00D66528">
        <w:t>Eight</w:t>
      </w:r>
      <w:r w:rsidR="002D2118" w:rsidRPr="00E97556">
        <w:t xml:space="preserve"> tourism bungalows</w:t>
      </w:r>
      <w:r w:rsidR="002D2118">
        <w:t xml:space="preserve"> </w:t>
      </w:r>
      <w:r w:rsidR="004C0FAB">
        <w:t>were reconstructed</w:t>
      </w:r>
      <w:r w:rsidR="002D2118">
        <w:t>, which will result in enhanced economic opportunities.</w:t>
      </w:r>
      <w:r w:rsidR="002D2118" w:rsidRPr="00E97556">
        <w:t xml:space="preserve"> </w:t>
      </w:r>
      <w:r>
        <w:t>In agriculture, f</w:t>
      </w:r>
      <w:r w:rsidRPr="00E97556">
        <w:t xml:space="preserve">ish aggregating devices and solar freezers </w:t>
      </w:r>
      <w:r>
        <w:t>were</w:t>
      </w:r>
      <w:r w:rsidR="00F83816">
        <w:t xml:space="preserve"> distributed,</w:t>
      </w:r>
      <w:r w:rsidRPr="00E97556">
        <w:t xml:space="preserve"> and </w:t>
      </w:r>
      <w:r w:rsidR="00EB54DC">
        <w:t xml:space="preserve">we completed </w:t>
      </w:r>
      <w:r w:rsidRPr="00E97556">
        <w:t xml:space="preserve">the Tafea Provincial Livestock Breeding Centre, supporting livelihoods and increased production opportunities. </w:t>
      </w:r>
      <w:r w:rsidR="004C0FAB">
        <w:t xml:space="preserve">On Tanna, </w:t>
      </w:r>
      <w:r w:rsidRPr="00E97556">
        <w:t xml:space="preserve">Australia </w:t>
      </w:r>
      <w:r>
        <w:t xml:space="preserve">also </w:t>
      </w:r>
      <w:r w:rsidRPr="00E97556">
        <w:t>supported provision of potato seeds, construction of</w:t>
      </w:r>
      <w:r w:rsidR="00A8659E">
        <w:t xml:space="preserve"> </w:t>
      </w:r>
      <w:r w:rsidR="00D66528">
        <w:t>seven</w:t>
      </w:r>
      <w:r w:rsidRPr="00E97556">
        <w:t xml:space="preserve"> new </w:t>
      </w:r>
      <w:r w:rsidR="0040396A" w:rsidRPr="00E97556">
        <w:t>water-harvesting</w:t>
      </w:r>
      <w:r w:rsidRPr="00E97556">
        <w:t xml:space="preserve"> systems in five communities</w:t>
      </w:r>
      <w:r w:rsidR="00A8659E">
        <w:t xml:space="preserve">, </w:t>
      </w:r>
      <w:r w:rsidR="00D66528">
        <w:t>three</w:t>
      </w:r>
      <w:r>
        <w:t xml:space="preserve"> completed drinking water safety plans and 18 water community development programs. </w:t>
      </w:r>
      <w:r w:rsidR="0040396A">
        <w:t>We completed</w:t>
      </w:r>
      <w:r w:rsidR="004C0FAB">
        <w:t xml:space="preserve"> reconstruction of the Vanuatu Society for People with Disability Office in Port Vila. </w:t>
      </w:r>
      <w:r w:rsidR="002D2118">
        <w:t xml:space="preserve"> In education,</w:t>
      </w:r>
      <w:r w:rsidR="00A8659E">
        <w:t xml:space="preserve"> construction commenced on </w:t>
      </w:r>
      <w:r w:rsidR="00D66528">
        <w:t>seven</w:t>
      </w:r>
      <w:r w:rsidR="002D2118">
        <w:t xml:space="preserve"> double classrooms on Tanna, out of a targeted 143 by the end of 2017-18. </w:t>
      </w:r>
      <w:r w:rsidRPr="00E97556">
        <w:t xml:space="preserve">Project Management Units </w:t>
      </w:r>
      <w:r w:rsidR="00F83816">
        <w:t xml:space="preserve">(PMUs) </w:t>
      </w:r>
      <w:r w:rsidRPr="00E97556">
        <w:t xml:space="preserve">overseeing implementation have </w:t>
      </w:r>
      <w:r w:rsidR="002D2118">
        <w:t xml:space="preserve">increased </w:t>
      </w:r>
      <w:r w:rsidRPr="00E97556">
        <w:t>capacity and experience in procurement and project management, which will benefi</w:t>
      </w:r>
      <w:r w:rsidR="004C0FAB">
        <w:t>t</w:t>
      </w:r>
      <w:r w:rsidR="0040396A">
        <w:t xml:space="preserve"> </w:t>
      </w:r>
      <w:r w:rsidRPr="00E97556">
        <w:t xml:space="preserve">the Vanuatu Government in the long term. </w:t>
      </w:r>
    </w:p>
    <w:p w:rsidR="00876F3C" w:rsidRPr="00E97556" w:rsidRDefault="00582849" w:rsidP="00582849">
      <w:r>
        <w:t>W</w:t>
      </w:r>
      <w:r w:rsidRPr="00E97556">
        <w:t xml:space="preserve">orking through government systems </w:t>
      </w:r>
      <w:r w:rsidR="001F4D76">
        <w:t xml:space="preserve">has </w:t>
      </w:r>
      <w:r w:rsidR="006F704C">
        <w:t>enabled</w:t>
      </w:r>
      <w:r w:rsidRPr="00E97556">
        <w:t xml:space="preserve"> Vanuatu Government</w:t>
      </w:r>
      <w:r>
        <w:t xml:space="preserve"> </w:t>
      </w:r>
      <w:r w:rsidR="006F704C">
        <w:t>line ministries to learn</w:t>
      </w:r>
      <w:r>
        <w:t xml:space="preserve"> additional skills</w:t>
      </w:r>
      <w:r w:rsidR="006F704C">
        <w:t xml:space="preserve"> (procurement and project management), and</w:t>
      </w:r>
      <w:r>
        <w:t xml:space="preserve"> boost</w:t>
      </w:r>
      <w:r w:rsidR="006F704C">
        <w:t>ed</w:t>
      </w:r>
      <w:r>
        <w:t xml:space="preserve"> Vanuatu’s economy through contracting ni-Vanuatu businesses. </w:t>
      </w:r>
      <w:r w:rsidR="00254E45">
        <w:t>However,</w:t>
      </w:r>
      <w:r>
        <w:t xml:space="preserve"> it has also </w:t>
      </w:r>
      <w:r w:rsidRPr="00E97556">
        <w:t>limit</w:t>
      </w:r>
      <w:r>
        <w:t>ed</w:t>
      </w:r>
      <w:r w:rsidRPr="00E97556">
        <w:t xml:space="preserve"> DFAT’s ability to hold implementing partners directly to account. </w:t>
      </w:r>
      <w:r w:rsidR="004265E2">
        <w:t>Delays in progr</w:t>
      </w:r>
      <w:r w:rsidR="00A8659E">
        <w:t>amming funds</w:t>
      </w:r>
      <w:r w:rsidR="004265E2">
        <w:t xml:space="preserve"> </w:t>
      </w:r>
      <w:r>
        <w:t xml:space="preserve">to meet DFAT’s risk and safeguards requirements </w:t>
      </w:r>
      <w:r w:rsidR="00A8659E">
        <w:t>have</w:t>
      </w:r>
      <w:r w:rsidR="004265E2">
        <w:t xml:space="preserve"> meant </w:t>
      </w:r>
      <w:r w:rsidR="00F83816">
        <w:t xml:space="preserve">implementation </w:t>
      </w:r>
      <w:r w:rsidR="004265E2">
        <w:t>is not where we expected</w:t>
      </w:r>
      <w:r w:rsidR="00876F3C" w:rsidRPr="00E97556">
        <w:t xml:space="preserve">. </w:t>
      </w:r>
      <w:r>
        <w:t xml:space="preserve">The large number of </w:t>
      </w:r>
      <w:r w:rsidR="00F83816">
        <w:t xml:space="preserve">small procurements has slowed </w:t>
      </w:r>
      <w:r>
        <w:t>approval</w:t>
      </w:r>
      <w:r w:rsidR="00A8659E">
        <w:t>s</w:t>
      </w:r>
      <w:r>
        <w:t xml:space="preserve"> </w:t>
      </w:r>
      <w:r>
        <w:lastRenderedPageBreak/>
        <w:t xml:space="preserve">through </w:t>
      </w:r>
      <w:r w:rsidR="00A8659E">
        <w:t xml:space="preserve">Vanuatu </w:t>
      </w:r>
      <w:r>
        <w:t>government systems</w:t>
      </w:r>
      <w:r w:rsidR="001F4D76">
        <w:t xml:space="preserve">. Increased construction has </w:t>
      </w:r>
      <w:r w:rsidR="004C0FAB">
        <w:t xml:space="preserve">put pressure on </w:t>
      </w:r>
      <w:r w:rsidR="001F4D76">
        <w:t xml:space="preserve">the availability of </w:t>
      </w:r>
      <w:r>
        <w:t xml:space="preserve">building materials. </w:t>
      </w:r>
      <w:r w:rsidR="00A8659E">
        <w:t xml:space="preserve">In addition, infrastructure works </w:t>
      </w:r>
      <w:r w:rsidR="00876F3C" w:rsidRPr="00E97556">
        <w:t>are</w:t>
      </w:r>
      <w:r w:rsidR="00A8659E">
        <w:t xml:space="preserve"> often</w:t>
      </w:r>
      <w:r w:rsidR="00876F3C" w:rsidRPr="00E97556">
        <w:t xml:space="preserve"> </w:t>
      </w:r>
      <w:r>
        <w:t>in remote locations, presenting challenges for the supply and transport of materials</w:t>
      </w:r>
      <w:r w:rsidR="0040396A">
        <w:t>,</w:t>
      </w:r>
      <w:r w:rsidR="001F4D76">
        <w:t xml:space="preserve"> particularly during the wet season</w:t>
      </w:r>
      <w:r w:rsidR="006F704C">
        <w:t xml:space="preserve">. </w:t>
      </w:r>
    </w:p>
    <w:p w:rsidR="00876F3C" w:rsidRDefault="00A46B24" w:rsidP="00876F3C">
      <w:r>
        <w:t>However, from</w:t>
      </w:r>
      <w:r w:rsidR="0040396A">
        <w:t xml:space="preserve"> an</w:t>
      </w:r>
      <w:r>
        <w:t xml:space="preserve"> aid effectiveness perspective, the</w:t>
      </w:r>
      <w:r w:rsidRPr="00E97556">
        <w:t xml:space="preserve"> </w:t>
      </w:r>
      <w:r w:rsidR="00876F3C" w:rsidRPr="00E97556">
        <w:t>challenges associated with recovery are arguably also the program</w:t>
      </w:r>
      <w:r w:rsidR="00EF3FBC">
        <w:t>’s strengths</w:t>
      </w:r>
      <w:r w:rsidR="00876F3C" w:rsidRPr="00E97556">
        <w:t xml:space="preserve">. The </w:t>
      </w:r>
      <w:r w:rsidR="00F83816">
        <w:t>Vanuatu Government</w:t>
      </w:r>
      <w:r w:rsidR="00876F3C" w:rsidRPr="00E97556">
        <w:t xml:space="preserve"> is leading the recovery effort, using local contractors and coordinating implementation through line ministries. This ensures local ownership and supports institutional strengthening. </w:t>
      </w:r>
      <w:r w:rsidR="001F4D76">
        <w:t>Australia</w:t>
      </w:r>
      <w:r w:rsidR="00F83816">
        <w:t xml:space="preserve">n-funded PMUs are </w:t>
      </w:r>
      <w:r w:rsidR="001F4D76">
        <w:t>staffed by ni</w:t>
      </w:r>
      <w:r w:rsidR="00D95127">
        <w:noBreakHyphen/>
      </w:r>
      <w:r w:rsidR="001F4D76">
        <w:t>Vanuatu with oversight by international technical assistance, providing employment opportunities for ni</w:t>
      </w:r>
      <w:r w:rsidR="00D95127">
        <w:noBreakHyphen/>
      </w:r>
      <w:r w:rsidR="006F704C">
        <w:t xml:space="preserve">Vanuatu but also </w:t>
      </w:r>
      <w:r w:rsidR="00F83816">
        <w:t>mitigating risks in program delivery</w:t>
      </w:r>
      <w:r w:rsidR="001F4D76">
        <w:t xml:space="preserve">. </w:t>
      </w:r>
      <w:r w:rsidR="00876F3C" w:rsidRPr="00E97556">
        <w:t>The program is highly relevant</w:t>
      </w:r>
      <w:r w:rsidR="006F704C">
        <w:t>, and is</w:t>
      </w:r>
      <w:r w:rsidR="00876F3C" w:rsidRPr="00E97556">
        <w:t xml:space="preserve"> critical </w:t>
      </w:r>
      <w:r w:rsidR="006F704C">
        <w:t>to</w:t>
      </w:r>
      <w:r w:rsidR="00876F3C" w:rsidRPr="00E97556">
        <w:t xml:space="preserve"> restoring livelihoods and rebuilding the economy. The program </w:t>
      </w:r>
      <w:r w:rsidR="006F704C">
        <w:t>is committed to</w:t>
      </w:r>
      <w:r w:rsidR="00876F3C" w:rsidRPr="00E97556">
        <w:t xml:space="preserve"> ‘build back better’ principles, which will safeguard investments and </w:t>
      </w:r>
      <w:r w:rsidR="006F704C">
        <w:t>reduce vulnerability</w:t>
      </w:r>
      <w:r w:rsidR="00876F3C" w:rsidRPr="00E97556">
        <w:t xml:space="preserve"> to future </w:t>
      </w:r>
      <w:r w:rsidR="006F704C">
        <w:t>cyclones</w:t>
      </w:r>
      <w:r w:rsidR="00876F3C" w:rsidRPr="00E97556">
        <w:t>.</w:t>
      </w:r>
    </w:p>
    <w:p w:rsidR="003E2091" w:rsidRDefault="00254E45" w:rsidP="00876F3C">
      <w:r>
        <w:t>In</w:t>
      </w:r>
      <w:r w:rsidR="00876F3C" w:rsidRPr="00E97556">
        <w:t xml:space="preserve"> 2017-18, </w:t>
      </w:r>
      <w:r>
        <w:t xml:space="preserve">we will implement </w:t>
      </w:r>
      <w:r w:rsidR="00876F3C" w:rsidRPr="00E97556">
        <w:t xml:space="preserve">a remediation plan to address the deficiencies identified in the </w:t>
      </w:r>
      <w:r w:rsidR="006F704C">
        <w:t>Aid Quality Check</w:t>
      </w:r>
      <w:r w:rsidR="00876F3C" w:rsidRPr="00E97556">
        <w:t>. Given fund</w:t>
      </w:r>
      <w:r w:rsidR="006F704C">
        <w:t xml:space="preserve">s are now </w:t>
      </w:r>
      <w:r w:rsidR="00876F3C" w:rsidRPr="00E97556">
        <w:t>programmed, the focus in 2017-18 will</w:t>
      </w:r>
      <w:r w:rsidR="00C859CB">
        <w:t xml:space="preserve"> be </w:t>
      </w:r>
      <w:r w:rsidR="006F704C">
        <w:t>continuing implementation and managing</w:t>
      </w:r>
      <w:r w:rsidR="00876F3C" w:rsidRPr="00E97556">
        <w:t xml:space="preserve"> </w:t>
      </w:r>
      <w:r w:rsidR="00C859CB">
        <w:t xml:space="preserve">program </w:t>
      </w:r>
      <w:r w:rsidR="00876F3C" w:rsidRPr="00E97556">
        <w:t xml:space="preserve">risks, including ensuring </w:t>
      </w:r>
      <w:r w:rsidR="006F704C" w:rsidRPr="00E97556">
        <w:t xml:space="preserve">construction </w:t>
      </w:r>
      <w:r w:rsidR="006F704C">
        <w:t>quality</w:t>
      </w:r>
      <w:r w:rsidR="00876F3C" w:rsidRPr="00E97556">
        <w:t>, managing potential cost overruns</w:t>
      </w:r>
      <w:r w:rsidR="006F704C">
        <w:t>,</w:t>
      </w:r>
      <w:r w:rsidR="00876F3C" w:rsidRPr="00E97556">
        <w:t xml:space="preserve"> and mitigating against implementation delays.  A</w:t>
      </w:r>
      <w:r w:rsidR="006F704C">
        <w:t>n M&amp;E</w:t>
      </w:r>
      <w:r w:rsidR="001F4D76">
        <w:t xml:space="preserve"> </w:t>
      </w:r>
      <w:r w:rsidR="00876F3C" w:rsidRPr="00E97556">
        <w:t>plan</w:t>
      </w:r>
      <w:r w:rsidR="00C859CB">
        <w:t xml:space="preserve"> has been finalised</w:t>
      </w:r>
      <w:r w:rsidR="006F704C">
        <w:t xml:space="preserve"> in consultation</w:t>
      </w:r>
      <w:r w:rsidR="00C859CB">
        <w:t xml:space="preserve"> with the Vanuatu Government. </w:t>
      </w:r>
      <w:r>
        <w:t xml:space="preserve">As a member of the </w:t>
      </w:r>
      <w:r w:rsidRPr="00E97556">
        <w:t>project steering committee</w:t>
      </w:r>
      <w:r>
        <w:t xml:space="preserve">, </w:t>
      </w:r>
      <w:r w:rsidR="00876F3C" w:rsidRPr="00E97556">
        <w:t>DFAT</w:t>
      </w:r>
      <w:r w:rsidR="00C859CB">
        <w:t xml:space="preserve"> </w:t>
      </w:r>
      <w:r>
        <w:t>will continue to</w:t>
      </w:r>
      <w:r w:rsidR="00C859CB">
        <w:t xml:space="preserve"> monitor implementation </w:t>
      </w:r>
      <w:r w:rsidR="00876F3C" w:rsidRPr="00E97556">
        <w:t xml:space="preserve">and </w:t>
      </w:r>
      <w:r>
        <w:t xml:space="preserve">make </w:t>
      </w:r>
      <w:r w:rsidR="00876F3C" w:rsidRPr="00E97556">
        <w:t xml:space="preserve">additional site visits to </w:t>
      </w:r>
      <w:r w:rsidR="006F704C">
        <w:t>oversee</w:t>
      </w:r>
      <w:r w:rsidR="00C859CB">
        <w:t xml:space="preserve"> </w:t>
      </w:r>
      <w:r w:rsidR="00876F3C" w:rsidRPr="00E97556">
        <w:t xml:space="preserve">progress. </w:t>
      </w:r>
    </w:p>
    <w:p w:rsidR="00876F3C" w:rsidRDefault="00152F64" w:rsidP="00876F3C">
      <w:r>
        <w:t xml:space="preserve">We will also support the Department of Women’s Affairs to </w:t>
      </w:r>
      <w:r w:rsidR="006F704C">
        <w:t>implement</w:t>
      </w:r>
      <w:r>
        <w:t xml:space="preserve"> the gender recovery project. The project will support community awareness and training on gender and protection issues, </w:t>
      </w:r>
      <w:r w:rsidR="006F704C">
        <w:t xml:space="preserve">as well as </w:t>
      </w:r>
      <w:r>
        <w:t>disaster risk reduction planning to better accommodate the needs of children, women, the elderly and people with a disability</w:t>
      </w:r>
      <w:r w:rsidR="006F704C">
        <w:t>. It will p</w:t>
      </w:r>
      <w:r>
        <w:t>rovide training to Community Disaster and Climate Change Committees (CDCCCs) on gender and protection issues. This will build on and reinforce the work of the Gender and Protection Cluster</w:t>
      </w:r>
      <w:r w:rsidR="00254E45">
        <w:t>,</w:t>
      </w:r>
      <w:r>
        <w:t xml:space="preserve"> and help communities prepare for future disasters.</w:t>
      </w:r>
    </w:p>
    <w:p w:rsidR="00D95127" w:rsidRPr="00E97556" w:rsidRDefault="00D95127" w:rsidP="00876F3C">
      <w:r>
        <w:t xml:space="preserve">Australia will continue to address disaster risk reduction and disaster risk management through non-government organisations funded through global and regional programs. Their focus </w:t>
      </w:r>
      <w:r w:rsidR="006F704C">
        <w:t xml:space="preserve">is </w:t>
      </w:r>
      <w:r>
        <w:t>on strengthening links with communities through CDCCCs</w:t>
      </w:r>
      <w:r w:rsidR="006F704C">
        <w:t>,</w:t>
      </w:r>
      <w:r>
        <w:t xml:space="preserve"> and helping the National Disaster Management Office </w:t>
      </w:r>
      <w:r w:rsidR="003E2091">
        <w:t xml:space="preserve">(NDMO) </w:t>
      </w:r>
      <w:r>
        <w:t xml:space="preserve">to decentralise coordination to the </w:t>
      </w:r>
      <w:r w:rsidR="006F704C">
        <w:t>provinces</w:t>
      </w:r>
      <w:r>
        <w:t xml:space="preserve"> by developing disaster management plans </w:t>
      </w:r>
      <w:r w:rsidR="006F704C">
        <w:t>in all six provinces</w:t>
      </w:r>
      <w:r w:rsidR="003E2091">
        <w:t xml:space="preserve">. This work </w:t>
      </w:r>
      <w:r w:rsidR="006F704C">
        <w:t xml:space="preserve">is supported </w:t>
      </w:r>
      <w:r>
        <w:t xml:space="preserve">by a Disaster Risk Management Specialist </w:t>
      </w:r>
      <w:r w:rsidR="006F704C">
        <w:t xml:space="preserve">placed </w:t>
      </w:r>
      <w:r>
        <w:t>at the NDMO through the Australian Civilian Corp</w:t>
      </w:r>
      <w:r w:rsidR="003E2091">
        <w:t>s</w:t>
      </w:r>
      <w:r w:rsidR="00D66528">
        <w:t>. The s</w:t>
      </w:r>
      <w:r w:rsidR="006F704C">
        <w:t>pecialist</w:t>
      </w:r>
      <w:r>
        <w:t xml:space="preserve"> has assisted with legislative reform and </w:t>
      </w:r>
      <w:r w:rsidRPr="00607B0D">
        <w:t>help</w:t>
      </w:r>
      <w:r>
        <w:t>ed</w:t>
      </w:r>
      <w:r w:rsidRPr="00607B0D">
        <w:t xml:space="preserve"> strengthen the </w:t>
      </w:r>
      <w:r w:rsidR="006F704C">
        <w:t>NDMO’s capacity</w:t>
      </w:r>
      <w:r w:rsidRPr="00607B0D">
        <w:t xml:space="preserve"> to prepare for, coordinate and respond to emergencies</w:t>
      </w:r>
      <w:r w:rsidR="00152F64">
        <w:t xml:space="preserve"> </w:t>
      </w:r>
      <w:r w:rsidR="006F704C">
        <w:t>(</w:t>
      </w:r>
      <w:r w:rsidR="00152F64">
        <w:t>including cyclones Cook and Donna in 2017</w:t>
      </w:r>
      <w:r w:rsidR="006F704C">
        <w:t>)</w:t>
      </w:r>
      <w:r w:rsidRPr="00607B0D">
        <w:t>.</w:t>
      </w:r>
      <w:r>
        <w:t xml:space="preserve"> The new Australian Humanitarian P</w:t>
      </w:r>
      <w:r w:rsidR="006F704C">
        <w:t>artnership</w:t>
      </w:r>
      <w:r>
        <w:t xml:space="preserve"> will further add </w:t>
      </w:r>
      <w:r w:rsidRPr="00FB1F10">
        <w:t>focus</w:t>
      </w:r>
      <w:r>
        <w:t xml:space="preserve"> </w:t>
      </w:r>
      <w:r w:rsidRPr="00FB1F10">
        <w:t>on preparedness and disaster risk reduction</w:t>
      </w:r>
      <w:r>
        <w:t xml:space="preserve"> in Vanuatu</w:t>
      </w:r>
      <w:r w:rsidR="006F704C">
        <w:t>, building on</w:t>
      </w:r>
      <w:r>
        <w:t xml:space="preserve"> work that s</w:t>
      </w:r>
      <w:r w:rsidR="003E2091">
        <w:t xml:space="preserve">ix lead Australian NGOs </w:t>
      </w:r>
      <w:r w:rsidRPr="00FB1F10">
        <w:t xml:space="preserve">have </w:t>
      </w:r>
      <w:r w:rsidR="006F704C">
        <w:t>implemented</w:t>
      </w:r>
      <w:r>
        <w:t xml:space="preserve"> in </w:t>
      </w:r>
      <w:r w:rsidR="00152F64">
        <w:t xml:space="preserve">recent </w:t>
      </w:r>
      <w:r>
        <w:t>years</w:t>
      </w:r>
      <w:r w:rsidRPr="00FB1F10">
        <w:t>.</w:t>
      </w:r>
      <w:r>
        <w:t xml:space="preserve"> </w:t>
      </w:r>
    </w:p>
    <w:p w:rsidR="002A51CA" w:rsidRDefault="002A51CA" w:rsidP="002A51CA">
      <w:pPr>
        <w:pStyle w:val="Heading2"/>
      </w:pPr>
      <w:r>
        <w:t>Mutual obligations</w:t>
      </w:r>
    </w:p>
    <w:p w:rsidR="00DA2FD8" w:rsidRDefault="00DA2FD8" w:rsidP="00DA2FD8">
      <w:r>
        <w:t xml:space="preserve">The Australia-Vanuatu Aid Partnership Arrangement 2016-19 affirms a series of mutually reinforcing commitments. Obligations for the Vanuatu Government include increasing access to services for people with a disability; developing and implementing a national school rationalisation policy; implementing the National Gender Equality Policy; and implementing a national Rural Road Access Policy and </w:t>
      </w:r>
      <w:r w:rsidR="00254E45">
        <w:t>Strategy, which</w:t>
      </w:r>
      <w:r>
        <w:t xml:space="preserve"> identifies access targets and levels of service. The Australian Government will support the Vanuatu Government to deliver its commitments; support the Vanuatu Government to develop evidence-based policy options; and deliver aid in line with the strategic priorities and objectives of the Partnership. Both partners </w:t>
      </w:r>
      <w:r w:rsidR="003E2091">
        <w:t>are committed</w:t>
      </w:r>
      <w:r>
        <w:t xml:space="preserve"> to a zero tolerance approach to fraud and corruption in the aid program</w:t>
      </w:r>
      <w:r w:rsidR="003E2091">
        <w:t xml:space="preserve">. Both partners </w:t>
      </w:r>
      <w:r>
        <w:t>will consider climate and disaster resilience in investments to safeguard sustainability and ensure value for money.</w:t>
      </w:r>
    </w:p>
    <w:p w:rsidR="002A51CA" w:rsidRPr="002A51CA" w:rsidRDefault="002A51CA" w:rsidP="002A51CA">
      <w:pPr>
        <w:pStyle w:val="Heading2"/>
      </w:pPr>
      <w:r w:rsidRPr="002A51CA">
        <w:t xml:space="preserve">Program Quality and Partner Performance </w:t>
      </w:r>
    </w:p>
    <w:p w:rsidR="002A51CA" w:rsidRPr="002A51CA" w:rsidRDefault="002A51CA" w:rsidP="002A51CA">
      <w:pPr>
        <w:rPr>
          <w:b/>
          <w:lang w:eastAsia="zh-CN"/>
        </w:rPr>
      </w:pPr>
      <w:r w:rsidRPr="002A51CA">
        <w:rPr>
          <w:b/>
          <w:lang w:eastAsia="zh-CN"/>
        </w:rPr>
        <w:t>Overview</w:t>
      </w:r>
      <w:r w:rsidRPr="002A51CA">
        <w:rPr>
          <w:b/>
          <w:lang w:eastAsia="zh-CN"/>
        </w:rPr>
        <w:tab/>
      </w:r>
      <w:r w:rsidRPr="002A51CA">
        <w:rPr>
          <w:b/>
          <w:lang w:eastAsia="zh-CN"/>
        </w:rPr>
        <w:tab/>
      </w:r>
    </w:p>
    <w:p w:rsidR="00DA2FD8" w:rsidRDefault="00DA2FD8" w:rsidP="00BE6C6D">
      <w:r>
        <w:t xml:space="preserve">The health check of the Vanuatu aid program in February 2017 recommended an update to the Vanuatu Aid Investment Plan in order to align with the Australia-Vanuatu Aid Partnership Agreement. The AIP will be </w:t>
      </w:r>
      <w:r>
        <w:lastRenderedPageBreak/>
        <w:t>updated in 2017-18 and will include a</w:t>
      </w:r>
      <w:r w:rsidR="005D6308">
        <w:t xml:space="preserve"> </w:t>
      </w:r>
      <w:r>
        <w:t xml:space="preserve">Performance Assessment Framework. Broadly, monitoring and evaluation (M&amp;E) was identified as an </w:t>
      </w:r>
      <w:r w:rsidR="00254E45">
        <w:t xml:space="preserve">area </w:t>
      </w:r>
      <w:r w:rsidR="00847A4A">
        <w:t xml:space="preserve">for improvement </w:t>
      </w:r>
      <w:r>
        <w:t xml:space="preserve">in a number of programs during 2016-17 AQC discussions. With a number of program designs being undertaken in 2017-18, enhanced M&amp;E will be a focus. </w:t>
      </w:r>
      <w:r w:rsidR="00985D70">
        <w:t>An M&amp;E advisor will be engaged in 2017-18 to provide su</w:t>
      </w:r>
      <w:r w:rsidR="00963AA4">
        <w:t>pport across</w:t>
      </w:r>
      <w:r w:rsidR="00985D70">
        <w:t xml:space="preserve"> aid investments in Vanuatu. </w:t>
      </w:r>
    </w:p>
    <w:p w:rsidR="00600479" w:rsidRDefault="00600479" w:rsidP="00BE6C6D">
      <w:pPr>
        <w:rPr>
          <w:b/>
          <w:lang w:eastAsia="zh-CN"/>
        </w:rPr>
      </w:pPr>
      <w:r>
        <w:rPr>
          <w:b/>
          <w:lang w:eastAsia="zh-CN"/>
        </w:rPr>
        <w:t>Aid Quality Checks (AQCs)</w:t>
      </w:r>
    </w:p>
    <w:p w:rsidR="00984E7D" w:rsidRDefault="00987D17" w:rsidP="005D6308">
      <w:r>
        <w:t xml:space="preserve">DFAT completed </w:t>
      </w:r>
      <w:r w:rsidR="00847A4A">
        <w:t>AQCs</w:t>
      </w:r>
      <w:r w:rsidR="003B4124">
        <w:t xml:space="preserve"> </w:t>
      </w:r>
      <w:r>
        <w:t xml:space="preserve">or </w:t>
      </w:r>
      <w:r w:rsidR="00847A4A">
        <w:t>FAQCs</w:t>
      </w:r>
      <w:r>
        <w:t xml:space="preserve"> on 11 programs </w:t>
      </w:r>
      <w:r w:rsidR="003B4124">
        <w:t>in 2016-17</w:t>
      </w:r>
      <w:r w:rsidR="00CF44CE">
        <w:t>. All AQCs were completed by senior program manage</w:t>
      </w:r>
      <w:r w:rsidR="006F704C">
        <w:t>rs and ratings agreed through</w:t>
      </w:r>
      <w:r w:rsidR="00CF44CE">
        <w:t xml:space="preserve"> independently moderated detailed discussion</w:t>
      </w:r>
      <w:r w:rsidR="006F704C">
        <w:t>s</w:t>
      </w:r>
      <w:r w:rsidR="00CF44CE">
        <w:t xml:space="preserve"> between Port Vila Post, DFAT’s Vanuatu desk</w:t>
      </w:r>
      <w:r w:rsidR="006F704C">
        <w:t>,</w:t>
      </w:r>
      <w:r w:rsidR="00CF44CE">
        <w:t xml:space="preserve"> and relevant sectoral or thematic sections. Overall</w:t>
      </w:r>
      <w:r w:rsidR="00847A4A">
        <w:t>,</w:t>
      </w:r>
      <w:r w:rsidR="00CF44CE">
        <w:t xml:space="preserve"> relevance and effectiveness scored </w:t>
      </w:r>
      <w:r w:rsidR="00C6226F">
        <w:t>‘</w:t>
      </w:r>
      <w:r w:rsidR="00CF44CE">
        <w:t>good</w:t>
      </w:r>
      <w:r w:rsidR="00C6226F">
        <w:t>’</w:t>
      </w:r>
      <w:r w:rsidR="00CF44CE">
        <w:t xml:space="preserve"> or </w:t>
      </w:r>
      <w:r w:rsidR="00C6226F">
        <w:t>‘</w:t>
      </w:r>
      <w:r w:rsidR="00CF44CE">
        <w:t>adequate</w:t>
      </w:r>
      <w:r w:rsidR="00C6226F">
        <w:t>’</w:t>
      </w:r>
      <w:r w:rsidR="00CF44CE">
        <w:t xml:space="preserve">. Efficiency and sustainability were generally rated </w:t>
      </w:r>
      <w:r w:rsidR="00C6226F">
        <w:t>‘</w:t>
      </w:r>
      <w:r w:rsidR="00CF44CE">
        <w:t>adequate</w:t>
      </w:r>
      <w:r w:rsidR="00C6226F">
        <w:t>’</w:t>
      </w:r>
      <w:r w:rsidR="00CF44CE">
        <w:t xml:space="preserve">. </w:t>
      </w:r>
      <w:r w:rsidR="00FF295B">
        <w:t>Four programs scored</w:t>
      </w:r>
      <w:r w:rsidR="00CF44CE">
        <w:t xml:space="preserve"> </w:t>
      </w:r>
      <w:r w:rsidR="003E2091">
        <w:t>M&amp;E</w:t>
      </w:r>
      <w:r w:rsidR="00963AA4">
        <w:t xml:space="preserve"> </w:t>
      </w:r>
      <w:r w:rsidR="00FF295B">
        <w:t xml:space="preserve">as less than adequate </w:t>
      </w:r>
      <w:r w:rsidR="006F704C">
        <w:t>and</w:t>
      </w:r>
      <w:r w:rsidR="00FF295B">
        <w:t xml:space="preserve"> two programs scored</w:t>
      </w:r>
      <w:r w:rsidR="003B4124">
        <w:t xml:space="preserve"> gender equality less than adequate</w:t>
      </w:r>
      <w:r w:rsidR="0074489E">
        <w:t xml:space="preserve"> – a slight decline in these ratings</w:t>
      </w:r>
      <w:r w:rsidR="00C0508C">
        <w:t xml:space="preserve"> compared to </w:t>
      </w:r>
      <w:r w:rsidR="006F704C">
        <w:t>the previous year</w:t>
      </w:r>
      <w:r w:rsidR="003B4124">
        <w:t>.</w:t>
      </w:r>
      <w:r w:rsidR="00C0508C">
        <w:t xml:space="preserve"> This trend reflects limitations in M&amp;E </w:t>
      </w:r>
      <w:r w:rsidR="00847A4A">
        <w:t>across the</w:t>
      </w:r>
      <w:r w:rsidR="00C0508C">
        <w:t xml:space="preserve"> program </w:t>
      </w:r>
      <w:r w:rsidR="00984E7D">
        <w:t xml:space="preserve">and </w:t>
      </w:r>
      <w:r w:rsidR="00C0508C">
        <w:t xml:space="preserve">a need to </w:t>
      </w:r>
      <w:r w:rsidR="00984E7D">
        <w:t>improve gender mainstreaming</w:t>
      </w:r>
      <w:r w:rsidR="00C0508C">
        <w:t>.</w:t>
      </w:r>
      <w:r w:rsidR="005D6308" w:rsidRPr="005D6308">
        <w:t xml:space="preserve"> </w:t>
      </w:r>
    </w:p>
    <w:p w:rsidR="003B4124" w:rsidRDefault="000D74F9" w:rsidP="005D6308">
      <w:r>
        <w:t xml:space="preserve">The </w:t>
      </w:r>
      <w:r w:rsidR="00984E7D">
        <w:t>PVUDP</w:t>
      </w:r>
      <w:r w:rsidR="005D6308">
        <w:t xml:space="preserve"> was taken off the Investment Requiring Improv</w:t>
      </w:r>
      <w:r w:rsidR="00984E7D">
        <w:t>ement list in 2016-17.</w:t>
      </w:r>
      <w:r w:rsidR="00963AA4">
        <w:t xml:space="preserve"> </w:t>
      </w:r>
      <w:r w:rsidR="005D6308">
        <w:t xml:space="preserve">DFAT continues to monitor implementation closely to ensure </w:t>
      </w:r>
      <w:r w:rsidR="001F4D76">
        <w:t xml:space="preserve">outcomes are </w:t>
      </w:r>
      <w:r w:rsidR="005D6308">
        <w:t xml:space="preserve">consistent with expectations. </w:t>
      </w:r>
      <w:r w:rsidR="00963AA4">
        <w:t>TC Pam Recovery</w:t>
      </w:r>
      <w:r w:rsidR="003B4124">
        <w:t xml:space="preserve"> was rated as an Investment Requiring Improvement in the 2016-17 AQC process. </w:t>
      </w:r>
    </w:p>
    <w:p w:rsidR="00CF44CE" w:rsidRDefault="00987D17" w:rsidP="00BE6C6D">
      <w:r>
        <w:t xml:space="preserve">To </w:t>
      </w:r>
      <w:r w:rsidR="00847A4A">
        <w:t xml:space="preserve">improve </w:t>
      </w:r>
      <w:r w:rsidR="003B4124">
        <w:t xml:space="preserve">M&amp;E </w:t>
      </w:r>
      <w:r w:rsidR="00847A4A">
        <w:t>of</w:t>
      </w:r>
      <w:r>
        <w:t xml:space="preserve"> the program, DFAT </w:t>
      </w:r>
      <w:r w:rsidR="005D6308">
        <w:t>will increase</w:t>
      </w:r>
      <w:r>
        <w:t xml:space="preserve"> its ability to analyse </w:t>
      </w:r>
      <w:r w:rsidR="00847A4A">
        <w:t>M&amp;E</w:t>
      </w:r>
      <w:r>
        <w:t xml:space="preserve"> </w:t>
      </w:r>
      <w:r w:rsidR="00847A4A">
        <w:t xml:space="preserve">data </w:t>
      </w:r>
      <w:r>
        <w:t>and report on whole of program results. This will be enhanced by a refreshed Performance Assessment Framework</w:t>
      </w:r>
      <w:r w:rsidR="00847A4A">
        <w:t>,</w:t>
      </w:r>
      <w:r>
        <w:t xml:space="preserve"> and</w:t>
      </w:r>
      <w:r w:rsidR="00847A4A">
        <w:t xml:space="preserve"> a</w:t>
      </w:r>
      <w:r>
        <w:t xml:space="preserve"> newly appointed program and quality focal point</w:t>
      </w:r>
      <w:r w:rsidR="00D66528">
        <w:t>.</w:t>
      </w:r>
      <w:r w:rsidR="00984E7D">
        <w:t xml:space="preserve"> </w:t>
      </w:r>
      <w:r>
        <w:t>T</w:t>
      </w:r>
      <w:r w:rsidR="003B4124">
        <w:t xml:space="preserve">he </w:t>
      </w:r>
      <w:r w:rsidR="00963AA4">
        <w:t>TC</w:t>
      </w:r>
      <w:r w:rsidR="003B4124">
        <w:t xml:space="preserve"> </w:t>
      </w:r>
      <w:r w:rsidR="00DA682C">
        <w:t xml:space="preserve">Pam </w:t>
      </w:r>
      <w:r w:rsidR="003B4124">
        <w:t xml:space="preserve">Recovery program </w:t>
      </w:r>
      <w:r>
        <w:t xml:space="preserve">has </w:t>
      </w:r>
      <w:r w:rsidR="003B4124">
        <w:t>engage</w:t>
      </w:r>
      <w:r>
        <w:t>d</w:t>
      </w:r>
      <w:r w:rsidR="003B4124">
        <w:t xml:space="preserve"> an M&amp;E specialist and develop</w:t>
      </w:r>
      <w:r w:rsidR="001F4D76">
        <w:t>ed</w:t>
      </w:r>
      <w:r w:rsidR="003B4124">
        <w:t xml:space="preserve"> an M&amp;E </w:t>
      </w:r>
      <w:r w:rsidR="00847A4A">
        <w:t>plan</w:t>
      </w:r>
      <w:r w:rsidR="00984E7D">
        <w:t xml:space="preserve">. </w:t>
      </w:r>
      <w:r>
        <w:t xml:space="preserve">Gender </w:t>
      </w:r>
      <w:r w:rsidR="004C0FAB">
        <w:t>e</w:t>
      </w:r>
      <w:r>
        <w:t xml:space="preserve">quality will </w:t>
      </w:r>
      <w:r w:rsidR="001F4D76">
        <w:t xml:space="preserve">also </w:t>
      </w:r>
      <w:r w:rsidR="00984E7D">
        <w:t>continue to be a major focus across</w:t>
      </w:r>
      <w:r>
        <w:t xml:space="preserve"> the</w:t>
      </w:r>
      <w:r w:rsidR="00984E7D">
        <w:t xml:space="preserve"> Vanuatu</w:t>
      </w:r>
      <w:r>
        <w:t xml:space="preserve"> program</w:t>
      </w:r>
      <w:r w:rsidR="00847A4A">
        <w:t>,</w:t>
      </w:r>
      <w:r w:rsidR="001F4D76">
        <w:t xml:space="preserve"> inc</w:t>
      </w:r>
      <w:r w:rsidR="00984E7D">
        <w:t>luding in new program designs</w:t>
      </w:r>
      <w:r w:rsidR="001F4D76">
        <w:t xml:space="preserve"> </w:t>
      </w:r>
      <w:r w:rsidR="00984E7D">
        <w:t>(</w:t>
      </w:r>
      <w:r w:rsidR="00CF44CE">
        <w:t>health</w:t>
      </w:r>
      <w:r w:rsidR="001F4D76">
        <w:t>, infrastructure and education</w:t>
      </w:r>
      <w:r w:rsidR="00984E7D">
        <w:t>)</w:t>
      </w:r>
      <w:r>
        <w:t>. T</w:t>
      </w:r>
      <w:r w:rsidR="00CF44CE">
        <w:t xml:space="preserve">he new phase of the </w:t>
      </w:r>
      <w:r w:rsidR="00847A4A">
        <w:t>GfG</w:t>
      </w:r>
      <w:r w:rsidR="00CF44CE">
        <w:t xml:space="preserve"> </w:t>
      </w:r>
      <w:r>
        <w:t xml:space="preserve">program </w:t>
      </w:r>
      <w:r w:rsidR="00CF44CE">
        <w:t xml:space="preserve">will target economic reforms that benefit women and evaluate the impacts of program investments on women.  </w:t>
      </w:r>
    </w:p>
    <w:p w:rsidR="002A51CA" w:rsidRDefault="00CF44CE" w:rsidP="00BE6C6D">
      <w:r>
        <w:t xml:space="preserve"> </w:t>
      </w:r>
      <w:r w:rsidR="002A51CA" w:rsidRPr="00C61187">
        <w:t xml:space="preserve">A table of AQC ratings </w:t>
      </w:r>
      <w:r w:rsidR="00DA2FD8">
        <w:t xml:space="preserve">is at </w:t>
      </w:r>
      <w:r w:rsidR="002A51CA" w:rsidRPr="00C61187">
        <w:rPr>
          <w:b/>
        </w:rPr>
        <w:t>Annex D</w:t>
      </w:r>
      <w:r w:rsidR="002A51CA" w:rsidRPr="00C61187">
        <w:t>.</w:t>
      </w:r>
    </w:p>
    <w:p w:rsidR="00600479" w:rsidRDefault="00600479" w:rsidP="00600479">
      <w:pPr>
        <w:rPr>
          <w:b/>
          <w:lang w:eastAsia="zh-CN"/>
        </w:rPr>
      </w:pPr>
      <w:r>
        <w:rPr>
          <w:b/>
          <w:lang w:eastAsia="zh-CN"/>
        </w:rPr>
        <w:t>Performance of key delivery partners</w:t>
      </w:r>
    </w:p>
    <w:p w:rsidR="00FA4B16" w:rsidRDefault="00FA4B16" w:rsidP="00FA4B16">
      <w:r>
        <w:t xml:space="preserve">Australia’s aid investments in Vanuatu </w:t>
      </w:r>
      <w:r w:rsidR="004C0FAB">
        <w:t xml:space="preserve">are delivered </w:t>
      </w:r>
      <w:r>
        <w:t xml:space="preserve">through a range of modalities. </w:t>
      </w:r>
      <w:r w:rsidR="008D0F54">
        <w:t xml:space="preserve">Where possible, </w:t>
      </w:r>
      <w:r w:rsidR="00DA70A5">
        <w:t>Australian</w:t>
      </w:r>
      <w:r w:rsidR="008D0F54">
        <w:t xml:space="preserve"> s</w:t>
      </w:r>
      <w:r w:rsidR="00DA70A5">
        <w:t xml:space="preserve">upport is provided directly to </w:t>
      </w:r>
      <w:r w:rsidR="00963AA4">
        <w:t>the</w:t>
      </w:r>
      <w:r w:rsidR="00DA70A5">
        <w:t xml:space="preserve"> Vanu</w:t>
      </w:r>
      <w:r w:rsidR="00F83816">
        <w:t>atu Government</w:t>
      </w:r>
      <w:r w:rsidR="00963AA4">
        <w:t xml:space="preserve"> to strengthen </w:t>
      </w:r>
      <w:r w:rsidR="00DA70A5">
        <w:t>local institutions’</w:t>
      </w:r>
      <w:r w:rsidR="00DA70A5" w:rsidRPr="00DA70A5">
        <w:t xml:space="preserve"> </w:t>
      </w:r>
      <w:r w:rsidR="00DA70A5">
        <w:t>systems and processes. Persist</w:t>
      </w:r>
      <w:r w:rsidR="004C0FAB">
        <w:t>ent</w:t>
      </w:r>
      <w:r w:rsidR="00DA70A5">
        <w:t xml:space="preserve"> human resource </w:t>
      </w:r>
      <w:r w:rsidR="0035639A">
        <w:t>gaps</w:t>
      </w:r>
      <w:r w:rsidR="00DA70A5">
        <w:t xml:space="preserve"> and the absence of strategic policies create challenges in some sectors, including health.  </w:t>
      </w:r>
      <w:r w:rsidR="001F4D76">
        <w:t>M</w:t>
      </w:r>
      <w:r>
        <w:t xml:space="preserve">anaging contractors </w:t>
      </w:r>
      <w:r w:rsidR="001F4D76">
        <w:t xml:space="preserve">engaged by DFAT to deliver programs </w:t>
      </w:r>
      <w:r w:rsidR="00984E7D">
        <w:t>(including</w:t>
      </w:r>
      <w:r>
        <w:t xml:space="preserve"> infrastructure) have generally </w:t>
      </w:r>
      <w:r w:rsidR="001F4D76">
        <w:t>performed well</w:t>
      </w:r>
      <w:r>
        <w:t xml:space="preserve">. DFAT </w:t>
      </w:r>
      <w:r w:rsidR="004C0FAB">
        <w:t xml:space="preserve">works </w:t>
      </w:r>
      <w:r w:rsidR="00DA70A5">
        <w:t xml:space="preserve">with multilateral agencies, including the World Health Organization, UNICEF and the </w:t>
      </w:r>
      <w:r w:rsidR="00984E7D">
        <w:t>ADB,</w:t>
      </w:r>
      <w:r w:rsidR="00DA70A5">
        <w:t xml:space="preserve"> across </w:t>
      </w:r>
      <w:r w:rsidR="00984E7D">
        <w:t>several</w:t>
      </w:r>
      <w:r w:rsidR="00DA70A5">
        <w:t xml:space="preserve"> sectors.</w:t>
      </w:r>
      <w:r w:rsidR="00F73421">
        <w:t xml:space="preserve">  </w:t>
      </w:r>
      <w:r w:rsidR="0035639A">
        <w:t>While ADB’s</w:t>
      </w:r>
      <w:r w:rsidR="00DA70A5">
        <w:t xml:space="preserve"> ability to</w:t>
      </w:r>
      <w:r w:rsidR="00F73421">
        <w:t xml:space="preserve"> foresee and manage risks for</w:t>
      </w:r>
      <w:r w:rsidR="003E2091">
        <w:t xml:space="preserve"> </w:t>
      </w:r>
      <w:r w:rsidR="00984E7D">
        <w:t>PVUDP</w:t>
      </w:r>
      <w:r w:rsidR="0035639A">
        <w:t xml:space="preserve"> continues to be limited </w:t>
      </w:r>
      <w:r w:rsidR="00F73421">
        <w:t xml:space="preserve">by </w:t>
      </w:r>
      <w:r w:rsidR="00984E7D">
        <w:t>a</w:t>
      </w:r>
      <w:r w:rsidR="00F73421">
        <w:t xml:space="preserve"> lack of in-country presence, </w:t>
      </w:r>
      <w:r w:rsidR="0035639A">
        <w:t xml:space="preserve">we have been pleased with the </w:t>
      </w:r>
      <w:r w:rsidR="0035639A" w:rsidRPr="0035639A">
        <w:t xml:space="preserve">Project Officer's </w:t>
      </w:r>
      <w:r w:rsidR="0035639A">
        <w:t>engagement</w:t>
      </w:r>
      <w:r w:rsidR="0035639A" w:rsidRPr="0035639A">
        <w:t xml:space="preserve"> and </w:t>
      </w:r>
      <w:r w:rsidR="00984E7D">
        <w:t xml:space="preserve">the </w:t>
      </w:r>
      <w:r w:rsidR="0035639A" w:rsidRPr="0035639A">
        <w:t xml:space="preserve">increased frequency and duration of review missions. </w:t>
      </w:r>
      <w:r>
        <w:t>Work with local civil society organisations (including Wan Smolbag and the</w:t>
      </w:r>
      <w:r w:rsidR="00D66528">
        <w:t xml:space="preserve"> VWC</w:t>
      </w:r>
      <w:r>
        <w:t xml:space="preserve">) has been successful. These organisations have strong links to the community and have delivered programs efficiently and effectively. </w:t>
      </w:r>
      <w:r w:rsidR="00C0066C">
        <w:t xml:space="preserve">Ten </w:t>
      </w:r>
      <w:r>
        <w:t xml:space="preserve">performance assessments were completed during the reporting period. </w:t>
      </w:r>
    </w:p>
    <w:p w:rsidR="002A51CA" w:rsidRPr="002A51CA" w:rsidRDefault="002A51CA" w:rsidP="002A51CA">
      <w:pPr>
        <w:pStyle w:val="Heading2"/>
      </w:pPr>
      <w:r w:rsidRPr="002A51CA">
        <w:t>Risks</w:t>
      </w:r>
    </w:p>
    <w:p w:rsidR="00F01686" w:rsidRPr="00F01686" w:rsidRDefault="00F01686" w:rsidP="002A51CA">
      <w:r>
        <w:t>There are common risks across the program, including political instability. Other common risks include poor planning</w:t>
      </w:r>
      <w:r w:rsidR="005D6308">
        <w:t xml:space="preserve">, </w:t>
      </w:r>
      <w:r>
        <w:t>human resource management</w:t>
      </w:r>
      <w:r w:rsidR="005D6308">
        <w:t xml:space="preserve"> and financial systems in the partner government</w:t>
      </w:r>
      <w:r w:rsidR="00FA4B16">
        <w:t xml:space="preserve"> </w:t>
      </w:r>
      <w:r>
        <w:t xml:space="preserve">and the persistent risk of a natural disaster. These risks have the potential to diminish the sustainability, efficiency and effectiveness of the Australian aid program and, in the case of natural disasters, could disrupt the implementation or relevance of programs. </w:t>
      </w:r>
    </w:p>
    <w:p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5000" w:type="pct"/>
        <w:tblBorders>
          <w:top w:val="none" w:sz="0" w:space="0" w:color="auto"/>
          <w:bottom w:val="none" w:sz="0" w:space="0" w:color="auto"/>
        </w:tblBorders>
        <w:tblLook w:val="0600" w:firstRow="0" w:lastRow="0" w:firstColumn="0" w:lastColumn="0" w:noHBand="1" w:noVBand="1"/>
      </w:tblPr>
      <w:tblGrid>
        <w:gridCol w:w="1929"/>
        <w:gridCol w:w="1948"/>
        <w:gridCol w:w="1986"/>
        <w:gridCol w:w="2505"/>
        <w:gridCol w:w="1270"/>
      </w:tblGrid>
      <w:tr w:rsidR="002A6AC8" w:rsidRPr="00C61187" w:rsidTr="00B91A3A">
        <w:tc>
          <w:tcPr>
            <w:tcW w:w="1887" w:type="dxa"/>
            <w:hideMark/>
          </w:tcPr>
          <w:p w:rsidR="002A6AC8" w:rsidRPr="00BE6C6D" w:rsidRDefault="002A6AC8" w:rsidP="00BE6C6D">
            <w:pPr>
              <w:rPr>
                <w:rFonts w:asciiTheme="minorHAnsi" w:hAnsiTheme="minorHAnsi"/>
                <w:b/>
              </w:rPr>
            </w:pPr>
            <w:r w:rsidRPr="00BE6C6D">
              <w:rPr>
                <w:rFonts w:asciiTheme="minorHAnsi" w:hAnsiTheme="minorHAnsi"/>
                <w:b/>
              </w:rPr>
              <w:lastRenderedPageBreak/>
              <w:t>Key risks</w:t>
            </w:r>
          </w:p>
        </w:tc>
        <w:tc>
          <w:tcPr>
            <w:tcW w:w="1920" w:type="dxa"/>
          </w:tcPr>
          <w:p w:rsidR="002A6AC8" w:rsidRPr="00BE6C6D" w:rsidRDefault="002A6AC8" w:rsidP="00BE6C6D">
            <w:pPr>
              <w:rPr>
                <w:rFonts w:asciiTheme="minorHAnsi" w:hAnsiTheme="minorHAnsi"/>
                <w:b/>
              </w:rPr>
            </w:pPr>
            <w:r w:rsidRPr="00BE6C6D">
              <w:rPr>
                <w:rFonts w:asciiTheme="minorHAnsi" w:hAnsiTheme="minorHAnsi"/>
                <w:b/>
              </w:rPr>
              <w:t>What actions were taken to manage the risks over the past year?</w:t>
            </w:r>
          </w:p>
        </w:tc>
        <w:tc>
          <w:tcPr>
            <w:tcW w:w="1958" w:type="dxa"/>
          </w:tcPr>
          <w:p w:rsidR="002A6AC8" w:rsidRPr="00BE6C6D" w:rsidRDefault="002A6AC8" w:rsidP="00BE6C6D">
            <w:pPr>
              <w:rPr>
                <w:rFonts w:asciiTheme="minorHAnsi" w:hAnsiTheme="minorHAnsi"/>
                <w:b/>
              </w:rPr>
            </w:pPr>
            <w:r w:rsidRPr="00BE6C6D">
              <w:rPr>
                <w:rFonts w:asciiTheme="minorHAnsi" w:hAnsiTheme="minorHAnsi"/>
                <w:b/>
              </w:rPr>
              <w:t>What further actions will be taken to manage the risks in the coming year?</w:t>
            </w:r>
          </w:p>
        </w:tc>
        <w:tc>
          <w:tcPr>
            <w:tcW w:w="2477" w:type="dxa"/>
          </w:tcPr>
          <w:p w:rsidR="002A6AC8" w:rsidRPr="00BE6C6D" w:rsidRDefault="002A6AC8" w:rsidP="00BE6C6D">
            <w:pPr>
              <w:rPr>
                <w:rFonts w:asciiTheme="minorHAnsi" w:hAnsiTheme="minorHAnsi"/>
                <w:b/>
              </w:rPr>
            </w:pPr>
            <w:r w:rsidRPr="00BE6C6D">
              <w:rPr>
                <w:rFonts w:asciiTheme="minorHAnsi" w:hAnsiTheme="minorHAnsi"/>
                <w:b/>
              </w:rPr>
              <w:t>For emerging/ongoing risks provide a Risk Rating (low, medium, high, very high)</w:t>
            </w:r>
          </w:p>
        </w:tc>
        <w:tc>
          <w:tcPr>
            <w:tcW w:w="1228" w:type="dxa"/>
          </w:tcPr>
          <w:p w:rsidR="002A6AC8" w:rsidRPr="00BE6C6D" w:rsidRDefault="0043564E" w:rsidP="0043564E">
            <w:pPr>
              <w:rPr>
                <w:b/>
              </w:rPr>
            </w:pPr>
            <w:r>
              <w:rPr>
                <w:b/>
              </w:rPr>
              <w:t xml:space="preserve">Are </w:t>
            </w:r>
            <w:r w:rsidR="002A6AC8">
              <w:rPr>
                <w:b/>
              </w:rPr>
              <w:t xml:space="preserve">these same risks </w:t>
            </w:r>
            <w:r>
              <w:rPr>
                <w:b/>
              </w:rPr>
              <w:t xml:space="preserve">in in </w:t>
            </w:r>
            <w:r w:rsidR="002A6AC8">
              <w:rPr>
                <w:b/>
              </w:rPr>
              <w:t>Post’s Risk Register (Yes/No)*</w:t>
            </w:r>
          </w:p>
        </w:tc>
      </w:tr>
      <w:tr w:rsidR="005F1CE5" w:rsidRPr="00C61187" w:rsidTr="005F1CE5">
        <w:tc>
          <w:tcPr>
            <w:tcW w:w="1887" w:type="dxa"/>
            <w:hideMark/>
          </w:tcPr>
          <w:p w:rsidR="005F1CE5" w:rsidRPr="00C61187" w:rsidRDefault="005F1CE5" w:rsidP="005F1CE5">
            <w:pPr>
              <w:keepLines/>
              <w:spacing w:before="40" w:after="40" w:line="200" w:lineRule="atLeast"/>
              <w:rPr>
                <w:rFonts w:eastAsia="Times New Roman"/>
                <w:iCs/>
                <w:szCs w:val="17"/>
                <w:lang w:eastAsia="en-US"/>
              </w:rPr>
            </w:pPr>
            <w:r>
              <w:rPr>
                <w:rFonts w:eastAsia="Times New Roman"/>
                <w:iCs/>
                <w:szCs w:val="17"/>
                <w:lang w:eastAsia="en-US"/>
              </w:rPr>
              <w:t>Political instability; change of leadership</w:t>
            </w:r>
          </w:p>
        </w:tc>
        <w:tc>
          <w:tcPr>
            <w:tcW w:w="1920" w:type="dxa"/>
          </w:tcPr>
          <w:p w:rsidR="005F1CE5" w:rsidRPr="00C61187" w:rsidRDefault="00FA4B16" w:rsidP="005F1CE5">
            <w:pPr>
              <w:keepLines/>
              <w:spacing w:before="40" w:after="40" w:line="200" w:lineRule="atLeast"/>
              <w:rPr>
                <w:rFonts w:eastAsia="Times New Roman"/>
                <w:iCs/>
                <w:szCs w:val="17"/>
                <w:lang w:eastAsia="en-US"/>
              </w:rPr>
            </w:pPr>
            <w:r>
              <w:rPr>
                <w:rFonts w:eastAsia="Times New Roman"/>
                <w:iCs/>
                <w:szCs w:val="17"/>
                <w:lang w:eastAsia="en-US"/>
              </w:rPr>
              <w:t>Work closely with relevant Ministries to ensure shared understanding of aid investments; work with agreed priorities and plans; new aid partnership to set clear boundaries for aid program and hold annual discussions.</w:t>
            </w:r>
          </w:p>
        </w:tc>
        <w:tc>
          <w:tcPr>
            <w:tcW w:w="1958" w:type="dxa"/>
          </w:tcPr>
          <w:p w:rsidR="005F1CE5" w:rsidRDefault="005F1CE5" w:rsidP="005F1CE5">
            <w:pPr>
              <w:keepLines/>
              <w:spacing w:before="40" w:after="40" w:line="200" w:lineRule="atLeast"/>
              <w:rPr>
                <w:rFonts w:eastAsia="Times New Roman"/>
                <w:iCs/>
                <w:szCs w:val="17"/>
                <w:lang w:eastAsia="en-US"/>
              </w:rPr>
            </w:pPr>
            <w:r>
              <w:rPr>
                <w:rFonts w:eastAsia="Times New Roman"/>
                <w:iCs/>
                <w:szCs w:val="17"/>
                <w:lang w:eastAsia="en-US"/>
              </w:rPr>
              <w:t>Regular dialogue and engagement with senior officials</w:t>
            </w:r>
            <w:r w:rsidR="00F660A9">
              <w:rPr>
                <w:rFonts w:eastAsia="Times New Roman"/>
                <w:iCs/>
                <w:szCs w:val="17"/>
                <w:lang w:eastAsia="en-US"/>
              </w:rPr>
              <w:t xml:space="preserve"> across government.</w:t>
            </w:r>
          </w:p>
          <w:p w:rsidR="005F1CE5" w:rsidRPr="00C61187" w:rsidRDefault="005F1CE5" w:rsidP="005F1CE5">
            <w:pPr>
              <w:keepLines/>
              <w:spacing w:before="40" w:after="40" w:line="200" w:lineRule="atLeast"/>
              <w:rPr>
                <w:rFonts w:eastAsia="Times New Roman"/>
                <w:iCs/>
                <w:szCs w:val="17"/>
                <w:lang w:eastAsia="en-US"/>
              </w:rPr>
            </w:pPr>
          </w:p>
        </w:tc>
        <w:tc>
          <w:tcPr>
            <w:tcW w:w="2477" w:type="dxa"/>
          </w:tcPr>
          <w:p w:rsidR="005F1CE5" w:rsidRPr="00C61187" w:rsidRDefault="005F1CE5" w:rsidP="005F1CE5">
            <w:pPr>
              <w:keepLines/>
              <w:spacing w:before="40" w:after="40" w:line="200" w:lineRule="atLeast"/>
              <w:rPr>
                <w:rFonts w:eastAsia="Times New Roman"/>
                <w:iCs/>
                <w:szCs w:val="17"/>
                <w:lang w:eastAsia="en-US"/>
              </w:rPr>
            </w:pPr>
            <w:r>
              <w:rPr>
                <w:rFonts w:eastAsia="Times New Roman"/>
                <w:iCs/>
                <w:szCs w:val="17"/>
                <w:lang w:eastAsia="en-US"/>
              </w:rPr>
              <w:t>Medium</w:t>
            </w:r>
          </w:p>
        </w:tc>
        <w:tc>
          <w:tcPr>
            <w:tcW w:w="1228" w:type="dxa"/>
          </w:tcPr>
          <w:p w:rsidR="005F1CE5" w:rsidRPr="00C61187" w:rsidRDefault="005F1CE5" w:rsidP="005F1CE5">
            <w:pPr>
              <w:keepLines/>
              <w:spacing w:before="40" w:after="40" w:line="200" w:lineRule="atLeast"/>
              <w:rPr>
                <w:rFonts w:eastAsia="Times New Roman"/>
                <w:iCs/>
                <w:szCs w:val="17"/>
              </w:rPr>
            </w:pPr>
            <w:r>
              <w:rPr>
                <w:rFonts w:eastAsia="Times New Roman"/>
                <w:iCs/>
                <w:szCs w:val="17"/>
              </w:rPr>
              <w:t>Yes</w:t>
            </w:r>
          </w:p>
        </w:tc>
      </w:tr>
      <w:tr w:rsidR="005F1CE5" w:rsidRPr="00C61187" w:rsidTr="005F1CE5">
        <w:tc>
          <w:tcPr>
            <w:tcW w:w="1887" w:type="dxa"/>
          </w:tcPr>
          <w:p w:rsidR="005F1CE5" w:rsidRDefault="005F1CE5" w:rsidP="00963AA4">
            <w:pPr>
              <w:keepLines/>
              <w:spacing w:before="40" w:after="40" w:line="200" w:lineRule="atLeast"/>
              <w:rPr>
                <w:rFonts w:eastAsia="Times New Roman"/>
                <w:iCs/>
                <w:szCs w:val="17"/>
              </w:rPr>
            </w:pPr>
            <w:r>
              <w:rPr>
                <w:rFonts w:eastAsia="Times New Roman"/>
                <w:iCs/>
                <w:szCs w:val="17"/>
              </w:rPr>
              <w:t xml:space="preserve">Continued capacity and HR constraints </w:t>
            </w:r>
            <w:r w:rsidR="00F660A9">
              <w:rPr>
                <w:rFonts w:eastAsia="Times New Roman"/>
                <w:iCs/>
                <w:szCs w:val="17"/>
              </w:rPr>
              <w:t xml:space="preserve">in </w:t>
            </w:r>
            <w:r w:rsidR="00963AA4">
              <w:rPr>
                <w:rFonts w:eastAsia="Times New Roman"/>
                <w:iCs/>
                <w:szCs w:val="17"/>
              </w:rPr>
              <w:t>Vanuatu Government</w:t>
            </w:r>
          </w:p>
        </w:tc>
        <w:tc>
          <w:tcPr>
            <w:tcW w:w="1920" w:type="dxa"/>
          </w:tcPr>
          <w:p w:rsidR="005F1CE5" w:rsidRDefault="00FA4B16" w:rsidP="005F1CE5">
            <w:pPr>
              <w:keepLines/>
              <w:spacing w:before="40" w:after="40" w:line="200" w:lineRule="atLeast"/>
              <w:rPr>
                <w:rFonts w:eastAsia="Times New Roman"/>
                <w:iCs/>
                <w:szCs w:val="17"/>
              </w:rPr>
            </w:pPr>
            <w:r>
              <w:rPr>
                <w:rFonts w:eastAsia="Times New Roman"/>
                <w:iCs/>
                <w:szCs w:val="17"/>
              </w:rPr>
              <w:t>Strong engagement and dialogue with relevant Ministries; regular dialogue with partners; recruit HR and capacity development advisors where needed.</w:t>
            </w:r>
          </w:p>
        </w:tc>
        <w:tc>
          <w:tcPr>
            <w:tcW w:w="1958" w:type="dxa"/>
          </w:tcPr>
          <w:p w:rsidR="005F1CE5" w:rsidRDefault="00F660A9" w:rsidP="005F1CE5">
            <w:pPr>
              <w:keepLines/>
              <w:spacing w:before="40" w:after="40" w:line="200" w:lineRule="atLeast"/>
              <w:rPr>
                <w:rFonts w:eastAsia="Times New Roman"/>
                <w:iCs/>
                <w:szCs w:val="17"/>
              </w:rPr>
            </w:pPr>
            <w:r>
              <w:rPr>
                <w:rFonts w:eastAsia="Times New Roman"/>
                <w:iCs/>
                <w:szCs w:val="17"/>
              </w:rPr>
              <w:t xml:space="preserve">Support corporate reforms and strengthening of HR systems in key programs. </w:t>
            </w:r>
            <w:r w:rsidR="005F1CE5">
              <w:rPr>
                <w:rFonts w:eastAsia="Times New Roman"/>
                <w:iCs/>
                <w:szCs w:val="17"/>
              </w:rPr>
              <w:t>Placing managing contractors or technical advisors in key roles</w:t>
            </w:r>
          </w:p>
        </w:tc>
        <w:tc>
          <w:tcPr>
            <w:tcW w:w="2477" w:type="dxa"/>
          </w:tcPr>
          <w:p w:rsidR="005F1CE5" w:rsidRPr="00C61187" w:rsidRDefault="005F1CE5" w:rsidP="005F1CE5">
            <w:pPr>
              <w:keepLines/>
              <w:spacing w:before="40" w:after="40" w:line="200" w:lineRule="atLeast"/>
              <w:rPr>
                <w:rFonts w:eastAsia="Times New Roman"/>
                <w:iCs/>
                <w:szCs w:val="17"/>
              </w:rPr>
            </w:pPr>
            <w:r>
              <w:rPr>
                <w:rFonts w:eastAsia="Times New Roman"/>
                <w:iCs/>
                <w:szCs w:val="17"/>
              </w:rPr>
              <w:t>Medium</w:t>
            </w:r>
          </w:p>
        </w:tc>
        <w:tc>
          <w:tcPr>
            <w:tcW w:w="1228" w:type="dxa"/>
          </w:tcPr>
          <w:p w:rsidR="005F1CE5" w:rsidRPr="00C61187" w:rsidRDefault="005F1CE5" w:rsidP="005F1CE5">
            <w:pPr>
              <w:keepLines/>
              <w:spacing w:before="40" w:after="40" w:line="200" w:lineRule="atLeast"/>
              <w:rPr>
                <w:rFonts w:eastAsia="Times New Roman"/>
                <w:iCs/>
                <w:szCs w:val="17"/>
              </w:rPr>
            </w:pPr>
            <w:r>
              <w:rPr>
                <w:rFonts w:eastAsia="Times New Roman"/>
                <w:iCs/>
                <w:szCs w:val="17"/>
              </w:rPr>
              <w:t>Yes</w:t>
            </w:r>
          </w:p>
        </w:tc>
      </w:tr>
      <w:tr w:rsidR="005F1CE5" w:rsidRPr="00C61187" w:rsidTr="00B91A3A">
        <w:tc>
          <w:tcPr>
            <w:tcW w:w="1887" w:type="dxa"/>
          </w:tcPr>
          <w:p w:rsidR="005F1CE5" w:rsidRPr="00C61187" w:rsidRDefault="005F1CE5" w:rsidP="005F1CE5">
            <w:pPr>
              <w:keepLines/>
              <w:spacing w:before="40" w:after="40" w:line="200" w:lineRule="atLeast"/>
              <w:rPr>
                <w:rFonts w:eastAsia="Times New Roman"/>
                <w:iCs/>
                <w:szCs w:val="17"/>
              </w:rPr>
            </w:pPr>
            <w:r>
              <w:rPr>
                <w:rFonts w:eastAsia="Times New Roman"/>
                <w:iCs/>
                <w:szCs w:val="17"/>
              </w:rPr>
              <w:t>Implementation delays for TC Pam recovery</w:t>
            </w:r>
          </w:p>
        </w:tc>
        <w:tc>
          <w:tcPr>
            <w:tcW w:w="1920" w:type="dxa"/>
          </w:tcPr>
          <w:p w:rsidR="005F1CE5" w:rsidRPr="00C61187" w:rsidRDefault="00173042" w:rsidP="00963AA4">
            <w:pPr>
              <w:keepLines/>
              <w:spacing w:before="40" w:after="40" w:line="200" w:lineRule="atLeast"/>
              <w:rPr>
                <w:rFonts w:eastAsia="Times New Roman"/>
                <w:iCs/>
                <w:szCs w:val="17"/>
              </w:rPr>
            </w:pPr>
            <w:r>
              <w:rPr>
                <w:rFonts w:eastAsia="Times New Roman"/>
                <w:iCs/>
                <w:szCs w:val="17"/>
              </w:rPr>
              <w:t xml:space="preserve">Active dialogue with </w:t>
            </w:r>
            <w:r w:rsidR="00963AA4">
              <w:rPr>
                <w:rFonts w:eastAsia="Times New Roman"/>
                <w:iCs/>
                <w:szCs w:val="17"/>
              </w:rPr>
              <w:t>Vanuatu Government</w:t>
            </w:r>
            <w:r>
              <w:rPr>
                <w:rFonts w:eastAsia="Times New Roman"/>
                <w:iCs/>
                <w:szCs w:val="17"/>
              </w:rPr>
              <w:t>, engagement in oversight committee</w:t>
            </w:r>
          </w:p>
        </w:tc>
        <w:tc>
          <w:tcPr>
            <w:tcW w:w="1958" w:type="dxa"/>
          </w:tcPr>
          <w:p w:rsidR="005F1CE5" w:rsidRPr="00C61187" w:rsidRDefault="005F1CE5" w:rsidP="00F660A9">
            <w:pPr>
              <w:keepLines/>
              <w:spacing w:before="40" w:after="40" w:line="200" w:lineRule="atLeast"/>
              <w:rPr>
                <w:rFonts w:eastAsia="Times New Roman"/>
                <w:iCs/>
                <w:szCs w:val="17"/>
              </w:rPr>
            </w:pPr>
            <w:r>
              <w:rPr>
                <w:rFonts w:eastAsia="Times New Roman"/>
                <w:iCs/>
                <w:szCs w:val="17"/>
              </w:rPr>
              <w:t xml:space="preserve">Active </w:t>
            </w:r>
            <w:r w:rsidR="00F660A9">
              <w:rPr>
                <w:rFonts w:eastAsia="Times New Roman"/>
                <w:iCs/>
                <w:szCs w:val="17"/>
              </w:rPr>
              <w:t xml:space="preserve">engagement </w:t>
            </w:r>
            <w:r>
              <w:rPr>
                <w:rFonts w:eastAsia="Times New Roman"/>
                <w:iCs/>
                <w:szCs w:val="17"/>
              </w:rPr>
              <w:t xml:space="preserve">with </w:t>
            </w:r>
            <w:r w:rsidR="003E2091">
              <w:rPr>
                <w:rFonts w:eastAsia="Times New Roman"/>
                <w:iCs/>
                <w:szCs w:val="17"/>
              </w:rPr>
              <w:t>Ministers, Director General</w:t>
            </w:r>
            <w:r w:rsidR="00F660A9">
              <w:rPr>
                <w:rFonts w:eastAsia="Times New Roman"/>
                <w:iCs/>
                <w:szCs w:val="17"/>
              </w:rPr>
              <w:t>s, P</w:t>
            </w:r>
            <w:r w:rsidR="003E2091">
              <w:rPr>
                <w:rFonts w:eastAsia="Times New Roman"/>
                <w:iCs/>
                <w:szCs w:val="17"/>
              </w:rPr>
              <w:t xml:space="preserve">roject </w:t>
            </w:r>
            <w:r w:rsidR="00F660A9">
              <w:rPr>
                <w:rFonts w:eastAsia="Times New Roman"/>
                <w:iCs/>
                <w:szCs w:val="17"/>
              </w:rPr>
              <w:t>M</w:t>
            </w:r>
            <w:r w:rsidR="003E2091">
              <w:rPr>
                <w:rFonts w:eastAsia="Times New Roman"/>
                <w:iCs/>
                <w:szCs w:val="17"/>
              </w:rPr>
              <w:t xml:space="preserve">anagement </w:t>
            </w:r>
            <w:r w:rsidR="00F660A9">
              <w:rPr>
                <w:rFonts w:eastAsia="Times New Roman"/>
                <w:iCs/>
                <w:szCs w:val="17"/>
              </w:rPr>
              <w:t>U</w:t>
            </w:r>
            <w:r w:rsidR="003E2091">
              <w:rPr>
                <w:rFonts w:eastAsia="Times New Roman"/>
                <w:iCs/>
                <w:szCs w:val="17"/>
              </w:rPr>
              <w:t>nits and technical assistance</w:t>
            </w:r>
            <w:r w:rsidR="00F660A9">
              <w:rPr>
                <w:rFonts w:eastAsia="Times New Roman"/>
                <w:iCs/>
                <w:szCs w:val="17"/>
              </w:rPr>
              <w:t xml:space="preserve"> and through steering </w:t>
            </w:r>
            <w:r>
              <w:rPr>
                <w:rFonts w:eastAsia="Times New Roman"/>
                <w:iCs/>
                <w:szCs w:val="17"/>
              </w:rPr>
              <w:t>committee</w:t>
            </w:r>
            <w:r w:rsidR="00F660A9">
              <w:rPr>
                <w:rFonts w:eastAsia="Times New Roman"/>
                <w:iCs/>
                <w:szCs w:val="17"/>
              </w:rPr>
              <w:t>s; increased monitoring; increased cross project collaboration.</w:t>
            </w:r>
          </w:p>
        </w:tc>
        <w:tc>
          <w:tcPr>
            <w:tcW w:w="2477" w:type="dxa"/>
          </w:tcPr>
          <w:p w:rsidR="005F1CE5" w:rsidRPr="00C61187" w:rsidRDefault="005F1CE5" w:rsidP="005F1CE5">
            <w:pPr>
              <w:keepLines/>
              <w:spacing w:before="40" w:after="40" w:line="200" w:lineRule="atLeast"/>
              <w:rPr>
                <w:rFonts w:eastAsia="Times New Roman"/>
                <w:iCs/>
                <w:szCs w:val="17"/>
              </w:rPr>
            </w:pPr>
            <w:r>
              <w:rPr>
                <w:rFonts w:eastAsia="Times New Roman"/>
                <w:iCs/>
                <w:szCs w:val="17"/>
              </w:rPr>
              <w:t>High</w:t>
            </w:r>
          </w:p>
        </w:tc>
        <w:tc>
          <w:tcPr>
            <w:tcW w:w="1228" w:type="dxa"/>
          </w:tcPr>
          <w:p w:rsidR="005F1CE5" w:rsidRPr="00C61187" w:rsidRDefault="000A1221" w:rsidP="005F1CE5">
            <w:pPr>
              <w:keepLines/>
              <w:spacing w:before="40" w:after="40" w:line="200" w:lineRule="atLeast"/>
              <w:rPr>
                <w:rFonts w:eastAsia="Times New Roman"/>
                <w:iCs/>
                <w:szCs w:val="17"/>
              </w:rPr>
            </w:pPr>
            <w:r>
              <w:rPr>
                <w:rFonts w:eastAsia="Times New Roman"/>
                <w:iCs/>
                <w:szCs w:val="17"/>
              </w:rPr>
              <w:t>Yes</w:t>
            </w:r>
          </w:p>
        </w:tc>
      </w:tr>
      <w:tr w:rsidR="005F1CE5" w:rsidRPr="00C61187" w:rsidTr="00B91A3A">
        <w:tc>
          <w:tcPr>
            <w:tcW w:w="1887" w:type="dxa"/>
          </w:tcPr>
          <w:p w:rsidR="005F1CE5" w:rsidRPr="00C61187" w:rsidRDefault="005F1CE5" w:rsidP="005F1CE5">
            <w:pPr>
              <w:keepLines/>
              <w:spacing w:before="40" w:after="40" w:line="200" w:lineRule="atLeast"/>
              <w:rPr>
                <w:rFonts w:eastAsia="Times New Roman"/>
                <w:iCs/>
                <w:szCs w:val="17"/>
              </w:rPr>
            </w:pPr>
            <w:r>
              <w:rPr>
                <w:rFonts w:eastAsia="Times New Roman"/>
                <w:iCs/>
                <w:szCs w:val="17"/>
              </w:rPr>
              <w:t>Future natural disasters impact recovery efforts or other investments</w:t>
            </w:r>
          </w:p>
        </w:tc>
        <w:tc>
          <w:tcPr>
            <w:tcW w:w="1920" w:type="dxa"/>
          </w:tcPr>
          <w:p w:rsidR="005F1CE5" w:rsidRPr="00C61187" w:rsidRDefault="00173042" w:rsidP="005F1CE5">
            <w:pPr>
              <w:keepLines/>
              <w:spacing w:before="40" w:after="40" w:line="200" w:lineRule="atLeast"/>
              <w:rPr>
                <w:rFonts w:eastAsia="Times New Roman"/>
                <w:iCs/>
                <w:szCs w:val="17"/>
              </w:rPr>
            </w:pPr>
            <w:r>
              <w:rPr>
                <w:rFonts w:eastAsia="Times New Roman"/>
                <w:iCs/>
                <w:szCs w:val="17"/>
              </w:rPr>
              <w:t>Climate change and disaster resilience built into aid programs; scenario planning and disaster management plans.</w:t>
            </w:r>
          </w:p>
        </w:tc>
        <w:tc>
          <w:tcPr>
            <w:tcW w:w="1958" w:type="dxa"/>
          </w:tcPr>
          <w:p w:rsidR="005F1CE5" w:rsidRDefault="005F1CE5" w:rsidP="005F1CE5">
            <w:pPr>
              <w:keepLines/>
              <w:spacing w:before="40" w:after="40" w:line="200" w:lineRule="atLeast"/>
              <w:rPr>
                <w:rFonts w:eastAsia="Times New Roman"/>
                <w:iCs/>
                <w:szCs w:val="17"/>
              </w:rPr>
            </w:pPr>
            <w:r>
              <w:rPr>
                <w:rFonts w:eastAsia="Times New Roman"/>
                <w:iCs/>
                <w:szCs w:val="17"/>
              </w:rPr>
              <w:t>Climate change and resilience built into aid programs.</w:t>
            </w:r>
          </w:p>
          <w:p w:rsidR="005F1CE5" w:rsidRPr="00C61187" w:rsidRDefault="00F660A9" w:rsidP="00F660A9">
            <w:pPr>
              <w:keepLines/>
              <w:spacing w:before="40" w:after="40" w:line="200" w:lineRule="atLeast"/>
              <w:rPr>
                <w:rFonts w:eastAsia="Times New Roman"/>
                <w:iCs/>
                <w:szCs w:val="17"/>
              </w:rPr>
            </w:pPr>
            <w:r>
              <w:rPr>
                <w:rFonts w:eastAsia="Times New Roman"/>
                <w:iCs/>
                <w:szCs w:val="17"/>
              </w:rPr>
              <w:t>Increased measures in contracts to provide flexibility in the case of a disaster, including challenging recovery funding through those programs</w:t>
            </w:r>
          </w:p>
        </w:tc>
        <w:tc>
          <w:tcPr>
            <w:tcW w:w="2477" w:type="dxa"/>
          </w:tcPr>
          <w:p w:rsidR="005F1CE5" w:rsidRPr="00C61187" w:rsidRDefault="005F1CE5" w:rsidP="005F1CE5">
            <w:pPr>
              <w:keepLines/>
              <w:spacing w:before="40" w:after="40" w:line="200" w:lineRule="atLeast"/>
              <w:rPr>
                <w:rFonts w:eastAsia="Times New Roman"/>
                <w:iCs/>
                <w:szCs w:val="17"/>
              </w:rPr>
            </w:pPr>
            <w:r>
              <w:rPr>
                <w:rFonts w:eastAsia="Times New Roman"/>
                <w:iCs/>
                <w:szCs w:val="17"/>
              </w:rPr>
              <w:t>Very high</w:t>
            </w:r>
          </w:p>
        </w:tc>
        <w:tc>
          <w:tcPr>
            <w:tcW w:w="1228" w:type="dxa"/>
          </w:tcPr>
          <w:p w:rsidR="005F1CE5" w:rsidRPr="00C61187" w:rsidRDefault="005F1CE5" w:rsidP="005F1CE5">
            <w:pPr>
              <w:keepLines/>
              <w:spacing w:before="40" w:after="40" w:line="200" w:lineRule="atLeast"/>
              <w:rPr>
                <w:rFonts w:eastAsia="Times New Roman"/>
                <w:iCs/>
                <w:szCs w:val="17"/>
              </w:rPr>
            </w:pPr>
            <w:r>
              <w:rPr>
                <w:rFonts w:eastAsia="Times New Roman"/>
                <w:iCs/>
                <w:szCs w:val="17"/>
              </w:rPr>
              <w:t>Yes</w:t>
            </w:r>
          </w:p>
        </w:tc>
      </w:tr>
    </w:tbl>
    <w:p w:rsidR="002A51CA" w:rsidRDefault="002A51CA" w:rsidP="002A51CA">
      <w:pPr>
        <w:spacing w:before="20" w:after="20" w:line="180" w:lineRule="atLeast"/>
        <w:jc w:val="both"/>
        <w:rPr>
          <w:rFonts w:ascii="Franklin Gothic Book" w:eastAsia="Times New Roman" w:hAnsi="Franklin Gothic Book"/>
          <w:b/>
          <w:sz w:val="14"/>
          <w:szCs w:val="14"/>
        </w:rPr>
      </w:pPr>
    </w:p>
    <w:p w:rsidR="002A6AC8" w:rsidRDefault="002A6AC8" w:rsidP="002A51CA">
      <w:pPr>
        <w:spacing w:before="20" w:after="20" w:line="180" w:lineRule="atLeast"/>
        <w:jc w:val="both"/>
        <w:rPr>
          <w:rFonts w:ascii="Franklin Gothic Book" w:eastAsia="Times New Roman" w:hAnsi="Franklin Gothic Book"/>
          <w:sz w:val="18"/>
          <w:szCs w:val="18"/>
        </w:rPr>
      </w:pPr>
      <w:r w:rsidRPr="00332EC9">
        <w:rPr>
          <w:rFonts w:ascii="Franklin Gothic Book" w:eastAsia="Times New Roman" w:hAnsi="Franklin Gothic Book"/>
          <w:sz w:val="18"/>
          <w:szCs w:val="18"/>
        </w:rPr>
        <w:t>*If no, consider updating the Risk Register</w:t>
      </w:r>
    </w:p>
    <w:p w:rsidR="006A58F4" w:rsidRDefault="006A58F4" w:rsidP="002A51CA">
      <w:pPr>
        <w:pStyle w:val="Heading2"/>
      </w:pPr>
    </w:p>
    <w:p w:rsidR="002A51CA" w:rsidRPr="002A51CA" w:rsidRDefault="002A51CA" w:rsidP="006A58F4">
      <w:pPr>
        <w:pStyle w:val="Heading2"/>
        <w:spacing w:before="0" w:after="0" w:line="240" w:lineRule="auto"/>
      </w:pPr>
      <w:r w:rsidRPr="002A51CA">
        <w:t xml:space="preserve">Management </w:t>
      </w:r>
      <w:r w:rsidR="00AC302F">
        <w:t>actions</w:t>
      </w:r>
      <w:r w:rsidRPr="002A51CA">
        <w:tab/>
      </w:r>
      <w:r w:rsidRPr="002A51CA">
        <w:tab/>
      </w:r>
    </w:p>
    <w:p w:rsidR="00D15A00" w:rsidRDefault="00872804" w:rsidP="002A51CA">
      <w:r>
        <w:t>The following management responses are for the forthcoming 12 months:</w:t>
      </w:r>
    </w:p>
    <w:p w:rsidR="00007945" w:rsidRPr="00DF76BF" w:rsidRDefault="00007945" w:rsidP="00007945">
      <w:pPr>
        <w:numPr>
          <w:ilvl w:val="0"/>
          <w:numId w:val="41"/>
        </w:numPr>
        <w:suppressAutoHyphens w:val="0"/>
        <w:autoSpaceDE w:val="0"/>
        <w:autoSpaceDN w:val="0"/>
        <w:spacing w:before="0" w:after="0" w:line="240" w:lineRule="auto"/>
      </w:pPr>
      <w:r w:rsidRPr="00DF76BF">
        <w:t xml:space="preserve">Update the Vanuatu Aid Investment Plan to reflect the Australia-Vanuatu Aid Partnership Arrangement 2016-19 including a </w:t>
      </w:r>
      <w:r w:rsidR="00374A65">
        <w:t xml:space="preserve">refreshed </w:t>
      </w:r>
      <w:r w:rsidRPr="00DF76BF">
        <w:t>performance assessment framework.</w:t>
      </w:r>
    </w:p>
    <w:p w:rsidR="00007945" w:rsidRPr="00DF76BF" w:rsidRDefault="00007945" w:rsidP="00007945">
      <w:pPr>
        <w:numPr>
          <w:ilvl w:val="0"/>
          <w:numId w:val="41"/>
        </w:numPr>
        <w:suppressAutoHyphens w:val="0"/>
        <w:autoSpaceDE w:val="0"/>
        <w:autoSpaceDN w:val="0"/>
        <w:spacing w:before="0" w:after="0" w:line="240" w:lineRule="auto"/>
      </w:pPr>
      <w:r w:rsidRPr="00DF76BF">
        <w:t>Strengthen focus on youth and climate change through design processes for new investments</w:t>
      </w:r>
      <w:r w:rsidR="006407A8">
        <w:t>, including health, education and infrastructure.</w:t>
      </w:r>
      <w:r w:rsidRPr="00DF76BF">
        <w:t xml:space="preserve"> </w:t>
      </w:r>
    </w:p>
    <w:p w:rsidR="00007945" w:rsidRDefault="00007945" w:rsidP="00007945">
      <w:pPr>
        <w:numPr>
          <w:ilvl w:val="0"/>
          <w:numId w:val="41"/>
        </w:numPr>
        <w:suppressAutoHyphens w:val="0"/>
        <w:autoSpaceDE w:val="0"/>
        <w:autoSpaceDN w:val="0"/>
        <w:spacing w:before="0" w:after="0" w:line="240" w:lineRule="auto"/>
      </w:pPr>
      <w:r w:rsidRPr="00DF76BF">
        <w:t>Develop a coordinated approach to addressing</w:t>
      </w:r>
      <w:r w:rsidR="006407A8">
        <w:t xml:space="preserve"> overarching</w:t>
      </w:r>
      <w:r w:rsidRPr="00DF76BF">
        <w:t xml:space="preserve"> policy priorities across the program, initially focussing on </w:t>
      </w:r>
      <w:r w:rsidR="003E2091">
        <w:t xml:space="preserve">public financial management. </w:t>
      </w:r>
    </w:p>
    <w:p w:rsidR="006407A8" w:rsidRDefault="00910C9A" w:rsidP="00007945">
      <w:pPr>
        <w:numPr>
          <w:ilvl w:val="0"/>
          <w:numId w:val="41"/>
        </w:numPr>
        <w:suppressAutoHyphens w:val="0"/>
        <w:autoSpaceDE w:val="0"/>
        <w:autoSpaceDN w:val="0"/>
        <w:spacing w:before="0" w:after="0" w:line="240" w:lineRule="auto"/>
      </w:pPr>
      <w:r>
        <w:t>S</w:t>
      </w:r>
      <w:r w:rsidR="00592A06">
        <w:t xml:space="preserve">trengthen gender equality </w:t>
      </w:r>
      <w:r>
        <w:t>in programs including</w:t>
      </w:r>
      <w:r w:rsidR="00963AA4">
        <w:t>:</w:t>
      </w:r>
      <w:r>
        <w:t xml:space="preserve"> </w:t>
      </w:r>
      <w:r w:rsidR="00592A06">
        <w:t>health</w:t>
      </w:r>
      <w:r>
        <w:t xml:space="preserve"> – by developing a major focus on women and girls in the new design</w:t>
      </w:r>
      <w:r w:rsidR="00343D75">
        <w:t>;</w:t>
      </w:r>
      <w:r w:rsidR="00963AA4">
        <w:t xml:space="preserve"> TC Pam r</w:t>
      </w:r>
      <w:r>
        <w:t xml:space="preserve">ecovery – by supporting government to progress </w:t>
      </w:r>
      <w:r>
        <w:lastRenderedPageBreak/>
        <w:t>implementation of the gender</w:t>
      </w:r>
      <w:r w:rsidR="003C1ED6">
        <w:t xml:space="preserve"> equality and social protection</w:t>
      </w:r>
      <w:r>
        <w:t xml:space="preserve"> project</w:t>
      </w:r>
      <w:r w:rsidR="00343D75">
        <w:t>;</w:t>
      </w:r>
      <w:r>
        <w:t xml:space="preserve"> and </w:t>
      </w:r>
      <w:r w:rsidR="004F1D73">
        <w:t>GfG</w:t>
      </w:r>
      <w:r w:rsidR="00A05942">
        <w:t xml:space="preserve"> </w:t>
      </w:r>
      <w:r>
        <w:t xml:space="preserve">– </w:t>
      </w:r>
      <w:r w:rsidR="00A05942">
        <w:t xml:space="preserve">through </w:t>
      </w:r>
      <w:r w:rsidR="003C1ED6">
        <w:t xml:space="preserve">engaging </w:t>
      </w:r>
      <w:r w:rsidR="00A05942">
        <w:t>gender equality expertise</w:t>
      </w:r>
      <w:r>
        <w:t>.</w:t>
      </w:r>
    </w:p>
    <w:p w:rsidR="006407A8" w:rsidRDefault="006407A8">
      <w:pPr>
        <w:numPr>
          <w:ilvl w:val="0"/>
          <w:numId w:val="41"/>
        </w:numPr>
        <w:suppressAutoHyphens w:val="0"/>
        <w:autoSpaceDE w:val="0"/>
        <w:autoSpaceDN w:val="0"/>
        <w:spacing w:before="0" w:after="0" w:line="240" w:lineRule="auto"/>
      </w:pPr>
      <w:r>
        <w:t xml:space="preserve">Increase mainstreaming of disability inclusion across investments, including increasing </w:t>
      </w:r>
      <w:r w:rsidR="00A27EEF">
        <w:t xml:space="preserve">access to skills development opportunities for </w:t>
      </w:r>
      <w:r>
        <w:t>people with a disability.</w:t>
      </w:r>
    </w:p>
    <w:p w:rsidR="006407A8" w:rsidRPr="00DF76BF" w:rsidRDefault="006407A8" w:rsidP="00F37F65">
      <w:pPr>
        <w:numPr>
          <w:ilvl w:val="0"/>
          <w:numId w:val="41"/>
        </w:numPr>
        <w:suppressAutoHyphens w:val="0"/>
        <w:autoSpaceDE w:val="0"/>
        <w:autoSpaceDN w:val="0"/>
        <w:spacing w:before="0" w:after="0" w:line="240" w:lineRule="auto"/>
      </w:pPr>
      <w:r w:rsidRPr="00DF76BF">
        <w:t>Increase investment in whole of program analysis and reporting by engaging an M&amp;E advisor.</w:t>
      </w:r>
    </w:p>
    <w:p w:rsidR="006407A8" w:rsidRPr="00DF76BF" w:rsidRDefault="00374A65" w:rsidP="006407A8">
      <w:pPr>
        <w:numPr>
          <w:ilvl w:val="0"/>
          <w:numId w:val="41"/>
        </w:numPr>
        <w:suppressAutoHyphens w:val="0"/>
        <w:autoSpaceDE w:val="0"/>
        <w:autoSpaceDN w:val="0"/>
        <w:spacing w:before="0" w:after="0" w:line="240" w:lineRule="auto"/>
      </w:pPr>
      <w:r>
        <w:t xml:space="preserve">Improve </w:t>
      </w:r>
      <w:r w:rsidR="006407A8" w:rsidRPr="00DF76BF">
        <w:t xml:space="preserve">efficiencies by transferring management of the Australia Awards (Vanuatu) to a contractor. </w:t>
      </w:r>
    </w:p>
    <w:p w:rsidR="006407A8" w:rsidRDefault="00374A65" w:rsidP="006407A8">
      <w:pPr>
        <w:numPr>
          <w:ilvl w:val="0"/>
          <w:numId w:val="41"/>
        </w:numPr>
        <w:suppressAutoHyphens w:val="0"/>
        <w:autoSpaceDE w:val="0"/>
        <w:autoSpaceDN w:val="0"/>
        <w:spacing w:before="0" w:after="0" w:line="240" w:lineRule="auto"/>
      </w:pPr>
      <w:r>
        <w:t xml:space="preserve">Implement the remediation plan for the </w:t>
      </w:r>
      <w:r w:rsidR="00963AA4">
        <w:t>TC</w:t>
      </w:r>
      <w:r w:rsidR="006407A8" w:rsidRPr="00DF76BF">
        <w:t xml:space="preserve"> Pam recovery </w:t>
      </w:r>
      <w:r>
        <w:t>program</w:t>
      </w:r>
      <w:r w:rsidR="00343D75">
        <w:t xml:space="preserve">. </w:t>
      </w:r>
    </w:p>
    <w:p w:rsidR="006407A8" w:rsidRPr="00DF76BF" w:rsidRDefault="006407A8" w:rsidP="00F37F65">
      <w:pPr>
        <w:suppressAutoHyphens w:val="0"/>
        <w:autoSpaceDE w:val="0"/>
        <w:autoSpaceDN w:val="0"/>
        <w:spacing w:before="0" w:after="0" w:line="240" w:lineRule="auto"/>
        <w:ind w:left="360"/>
      </w:pPr>
    </w:p>
    <w:p w:rsidR="002A3517" w:rsidRDefault="002A3517" w:rsidP="00F37F65">
      <w:pPr>
        <w:suppressAutoHyphens w:val="0"/>
        <w:autoSpaceDE w:val="0"/>
        <w:autoSpaceDN w:val="0"/>
        <w:spacing w:before="0" w:after="0" w:line="240" w:lineRule="auto"/>
        <w:ind w:left="720"/>
      </w:pPr>
    </w:p>
    <w:p w:rsidR="002A3517" w:rsidRPr="00DF76BF" w:rsidRDefault="002A3517" w:rsidP="002A3517">
      <w:pPr>
        <w:suppressAutoHyphens w:val="0"/>
        <w:autoSpaceDE w:val="0"/>
        <w:autoSpaceDN w:val="0"/>
        <w:spacing w:before="0" w:after="0" w:line="240" w:lineRule="auto"/>
      </w:pPr>
    </w:p>
    <w:p w:rsidR="00007945" w:rsidRPr="00872804" w:rsidRDefault="00007945" w:rsidP="00DF76BF">
      <w:pPr>
        <w:pStyle w:val="ListParagraph"/>
        <w:ind w:left="360"/>
        <w:rPr>
          <w:rFonts w:asciiTheme="minorHAnsi" w:eastAsiaTheme="minorHAnsi" w:hAnsiTheme="minorHAnsi" w:cstheme="minorBidi"/>
          <w:color w:val="495965" w:themeColor="text2"/>
          <w:sz w:val="22"/>
          <w:szCs w:val="22"/>
          <w:lang w:val="en-GB"/>
        </w:rPr>
      </w:pPr>
    </w:p>
    <w:p w:rsidR="00D15A00" w:rsidRDefault="00D15A00" w:rsidP="00872804"/>
    <w:p w:rsidR="00D15A00" w:rsidRDefault="00D15A00" w:rsidP="002A51CA">
      <w:pPr>
        <w:sectPr w:rsidR="00D15A00" w:rsidSect="00C6626C">
          <w:pgSz w:w="11906" w:h="16838" w:code="9"/>
          <w:pgMar w:top="1527" w:right="1134" w:bottom="851" w:left="1134" w:header="1418" w:footer="567" w:gutter="0"/>
          <w:cols w:space="397"/>
          <w:docGrid w:linePitch="360"/>
        </w:sectPr>
      </w:pPr>
    </w:p>
    <w:p w:rsidR="00400B0F" w:rsidRPr="00400B0F" w:rsidRDefault="00400B0F" w:rsidP="00400B0F">
      <w:pPr>
        <w:pStyle w:val="Subtitle"/>
        <w:numPr>
          <w:ilvl w:val="0"/>
          <w:numId w:val="0"/>
        </w:numPr>
      </w:pPr>
      <w:r w:rsidRPr="00400B0F">
        <w:lastRenderedPageBreak/>
        <w:t xml:space="preserve">Annex A - Progress in Addressing Management </w:t>
      </w:r>
      <w:r w:rsidR="00AC302F">
        <w:t>actions</w:t>
      </w:r>
    </w:p>
    <w:p w:rsidR="00400B0F" w:rsidRPr="00C61187" w:rsidRDefault="00400B0F" w:rsidP="008C2F58">
      <w:r w:rsidRPr="00C61187">
        <w:t xml:space="preserve">Describe progress made against management </w:t>
      </w:r>
      <w:r w:rsidR="00A54034">
        <w:t>actions</w:t>
      </w:r>
      <w:r w:rsidRPr="00C61187">
        <w:t xml:space="preserve"> in 201</w:t>
      </w:r>
      <w:r w:rsidR="00510FAB">
        <w:t>5</w:t>
      </w:r>
      <w:r w:rsidRPr="00C61187">
        <w:t>-1</w:t>
      </w:r>
      <w:r w:rsidR="00510FAB">
        <w:t>6</w:t>
      </w:r>
      <w:r w:rsidRPr="00C61187">
        <w:t xml:space="preserve"> report</w:t>
      </w:r>
    </w:p>
    <w:tbl>
      <w:tblPr>
        <w:tblStyle w:val="APPR"/>
        <w:tblpPr w:leftFromText="180" w:rightFromText="180" w:vertAnchor="text" w:tblpY="1"/>
        <w:tblW w:w="5000" w:type="pct"/>
        <w:tblLayout w:type="fixed"/>
        <w:tblLook w:val="0000" w:firstRow="0" w:lastRow="0" w:firstColumn="0" w:lastColumn="0" w:noHBand="0" w:noVBand="0"/>
      </w:tblPr>
      <w:tblGrid>
        <w:gridCol w:w="6391"/>
        <w:gridCol w:w="977"/>
        <w:gridCol w:w="6805"/>
      </w:tblGrid>
      <w:tr w:rsidR="00400B0F" w:rsidRPr="00C61187" w:rsidTr="00E566AF">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400B0F" w:rsidP="00A54034">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sidR="00A54034">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sidR="00510FAB">
              <w:rPr>
                <w:rFonts w:asciiTheme="minorHAnsi" w:eastAsia="Times New Roman" w:hAnsiTheme="minorHAnsi"/>
                <w:b/>
                <w:iCs/>
                <w:szCs w:val="17"/>
                <w:lang w:eastAsia="en-US"/>
              </w:rPr>
              <w:t>5</w:t>
            </w:r>
            <w:r w:rsidRPr="00880004">
              <w:rPr>
                <w:rFonts w:asciiTheme="minorHAnsi" w:eastAsia="Times New Roman" w:hAnsiTheme="minorHAnsi"/>
                <w:b/>
                <w:iCs/>
                <w:szCs w:val="17"/>
                <w:lang w:eastAsia="en-US"/>
              </w:rPr>
              <w:t>-1</w:t>
            </w:r>
            <w:r w:rsidR="00510FAB">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949"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763" w:type="dxa"/>
          </w:tcPr>
          <w:p w:rsidR="00400B0F" w:rsidRPr="00880004" w:rsidRDefault="00400B0F" w:rsidP="001103E6">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sidR="001103E6">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sidR="001103E6">
              <w:rPr>
                <w:rFonts w:asciiTheme="minorHAnsi" w:eastAsia="Times New Roman" w:hAnsiTheme="minorHAnsi"/>
                <w:b/>
                <w:iCs/>
                <w:szCs w:val="17"/>
                <w:lang w:eastAsia="en-US"/>
              </w:rPr>
              <w:t>7</w:t>
            </w:r>
          </w:p>
        </w:tc>
      </w:tr>
      <w:tr w:rsidR="00400B0F" w:rsidRPr="00C61187" w:rsidTr="006D6744">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E566AF"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Finalise a new aid partnership between Vanuatu and Australia, which sets objectives for the program, provides greater strategic coherence and outlines clear performance benchmarks and mutual obligations</w:t>
            </w:r>
          </w:p>
        </w:tc>
        <w:tc>
          <w:tcPr>
            <w:tcW w:w="949" w:type="dxa"/>
            <w:shd w:val="clear" w:color="auto" w:fill="72AF2F"/>
          </w:tcPr>
          <w:p w:rsidR="00400B0F" w:rsidRPr="00880004"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6763" w:type="dxa"/>
          </w:tcPr>
          <w:p w:rsidR="00400B0F" w:rsidRPr="00FF295B" w:rsidRDefault="006D6744" w:rsidP="006F27B1">
            <w:pPr>
              <w:keepLines/>
              <w:spacing w:before="40" w:after="40" w:line="200" w:lineRule="atLeast"/>
              <w:rPr>
                <w:rFonts w:asciiTheme="minorHAnsi" w:eastAsia="Times New Roman" w:hAnsiTheme="minorHAnsi"/>
                <w:iCs/>
                <w:szCs w:val="17"/>
                <w:lang w:eastAsia="en-US"/>
              </w:rPr>
            </w:pPr>
            <w:r w:rsidRPr="00FF295B">
              <w:rPr>
                <w:rFonts w:asciiTheme="minorHAnsi" w:eastAsia="Times New Roman" w:hAnsiTheme="minorHAnsi"/>
                <w:iCs/>
                <w:szCs w:val="17"/>
                <w:lang w:eastAsia="en-US"/>
              </w:rPr>
              <w:t>The Australia-Vanuatu Aid Partnership Arrangement 2016-2019 was signed in December 2016.</w:t>
            </w:r>
          </w:p>
        </w:tc>
      </w:tr>
      <w:tr w:rsidR="00400B0F" w:rsidRPr="00C61187" w:rsidTr="006D6744">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E566AF"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Provide close management of</w:t>
            </w:r>
            <w:r w:rsidR="003E2091">
              <w:rPr>
                <w:rFonts w:asciiTheme="minorHAnsi" w:eastAsia="Times New Roman" w:hAnsiTheme="minorHAnsi"/>
                <w:iCs/>
                <w:szCs w:val="17"/>
                <w:lang w:eastAsia="en-US"/>
              </w:rPr>
              <w:t xml:space="preserve"> Port Vila Urban Development Project</w:t>
            </w:r>
            <w:r>
              <w:rPr>
                <w:rFonts w:asciiTheme="minorHAnsi" w:eastAsia="Times New Roman" w:hAnsiTheme="minorHAnsi"/>
                <w:iCs/>
                <w:szCs w:val="17"/>
                <w:lang w:eastAsia="en-US"/>
              </w:rPr>
              <w:t xml:space="preserve"> </w:t>
            </w:r>
            <w:r w:rsidR="003E2091">
              <w:rPr>
                <w:rFonts w:asciiTheme="minorHAnsi" w:eastAsia="Times New Roman" w:hAnsiTheme="minorHAnsi"/>
                <w:iCs/>
                <w:szCs w:val="17"/>
                <w:lang w:eastAsia="en-US"/>
              </w:rPr>
              <w:t>(</w:t>
            </w:r>
            <w:r>
              <w:rPr>
                <w:rFonts w:asciiTheme="minorHAnsi" w:eastAsia="Times New Roman" w:hAnsiTheme="minorHAnsi"/>
                <w:iCs/>
                <w:szCs w:val="17"/>
                <w:lang w:eastAsia="en-US"/>
              </w:rPr>
              <w:t>PVUDP</w:t>
            </w:r>
            <w:r w:rsidR="003E2091">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 to ensure that improvements continue.</w:t>
            </w:r>
          </w:p>
        </w:tc>
        <w:tc>
          <w:tcPr>
            <w:tcW w:w="949" w:type="dxa"/>
            <w:shd w:val="clear" w:color="auto" w:fill="72AF2F"/>
          </w:tcPr>
          <w:p w:rsidR="00400B0F" w:rsidRPr="00880004"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r w:rsidRPr="00880004">
              <w:rPr>
                <w:rFonts w:eastAsia="Times New Roman"/>
                <w:iCs/>
                <w:color w:val="FFFFFF" w:themeColor="background1"/>
                <w:szCs w:val="17"/>
              </w:rPr>
              <w:fldChar w:fldCharType="begin"/>
            </w:r>
            <w:r w:rsidRPr="00880004">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80004">
              <w:rPr>
                <w:rFonts w:eastAsia="Times New Roman"/>
                <w:iCs/>
                <w:color w:val="FFFFFF" w:themeColor="background1"/>
                <w:szCs w:val="17"/>
              </w:rPr>
              <w:fldChar w:fldCharType="end"/>
            </w:r>
          </w:p>
        </w:tc>
        <w:tc>
          <w:tcPr>
            <w:tcW w:w="6763" w:type="dxa"/>
          </w:tcPr>
          <w:p w:rsidR="00400B0F" w:rsidRPr="00FF295B" w:rsidRDefault="008F5371" w:rsidP="003E209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Close management of PVUDP was maintained throughout 201-17, including increased engagement with </w:t>
            </w:r>
            <w:r w:rsidR="003E2091">
              <w:rPr>
                <w:rFonts w:asciiTheme="minorHAnsi" w:eastAsia="Times New Roman" w:hAnsiTheme="minorHAnsi"/>
                <w:iCs/>
                <w:szCs w:val="17"/>
                <w:lang w:eastAsia="en-US"/>
              </w:rPr>
              <w:t>ADB</w:t>
            </w:r>
            <w:r>
              <w:rPr>
                <w:rFonts w:asciiTheme="minorHAnsi" w:eastAsia="Times New Roman" w:hAnsiTheme="minorHAnsi"/>
                <w:iCs/>
                <w:szCs w:val="17"/>
                <w:lang w:eastAsia="en-US"/>
              </w:rPr>
              <w:t xml:space="preserve"> Project Officer, ongoing monitoring by the Infrastructure Adviser to the Australian High Commission and regular reporting to the Head of Mission on progress and potential risks. </w:t>
            </w:r>
          </w:p>
        </w:tc>
      </w:tr>
      <w:tr w:rsidR="00400B0F" w:rsidRPr="00C61187" w:rsidTr="00E566AF">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6D6744"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Provide strong oversight of cyclone recovery package to ensure any contingencies can be effectively managed.</w:t>
            </w:r>
          </w:p>
        </w:tc>
        <w:tc>
          <w:tcPr>
            <w:tcW w:w="949" w:type="dxa"/>
            <w:shd w:val="clear" w:color="auto" w:fill="E36C0A"/>
          </w:tcPr>
          <w:p w:rsidR="00400B0F" w:rsidRPr="00880004"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Partly achieved</w:t>
            </w:r>
          </w:p>
        </w:tc>
        <w:tc>
          <w:tcPr>
            <w:tcW w:w="6763" w:type="dxa"/>
          </w:tcPr>
          <w:p w:rsidR="00400B0F" w:rsidRPr="00FF295B" w:rsidRDefault="004B3824" w:rsidP="00AE2A1A">
            <w:pPr>
              <w:keepLines/>
              <w:spacing w:before="40" w:after="40" w:line="200" w:lineRule="atLeast"/>
              <w:rPr>
                <w:rFonts w:asciiTheme="minorHAnsi" w:eastAsia="Times New Roman" w:hAnsiTheme="minorHAnsi"/>
                <w:iCs/>
                <w:szCs w:val="17"/>
                <w:lang w:eastAsia="en-US"/>
              </w:rPr>
            </w:pPr>
            <w:r w:rsidRPr="00FF295B">
              <w:rPr>
                <w:rFonts w:asciiTheme="minorHAnsi" w:eastAsia="Times New Roman" w:hAnsiTheme="minorHAnsi"/>
                <w:iCs/>
                <w:szCs w:val="17"/>
                <w:lang w:eastAsia="en-US"/>
              </w:rPr>
              <w:t>Strong oversight provided</w:t>
            </w:r>
            <w:r w:rsidR="00362333" w:rsidRPr="00FF295B">
              <w:rPr>
                <w:rFonts w:asciiTheme="minorHAnsi" w:eastAsia="Times New Roman" w:hAnsiTheme="minorHAnsi"/>
                <w:iCs/>
                <w:szCs w:val="17"/>
                <w:lang w:eastAsia="en-US"/>
              </w:rPr>
              <w:t xml:space="preserve"> through regular senior level en</w:t>
            </w:r>
            <w:r w:rsidR="003E2091">
              <w:rPr>
                <w:rFonts w:asciiTheme="minorHAnsi" w:eastAsia="Times New Roman" w:hAnsiTheme="minorHAnsi"/>
                <w:iCs/>
                <w:szCs w:val="17"/>
                <w:lang w:eastAsia="en-US"/>
              </w:rPr>
              <w:t xml:space="preserve">gagement, the establishment of </w:t>
            </w:r>
            <w:r w:rsidR="00362333" w:rsidRPr="00FF295B">
              <w:rPr>
                <w:rFonts w:asciiTheme="minorHAnsi" w:eastAsia="Times New Roman" w:hAnsiTheme="minorHAnsi"/>
                <w:iCs/>
                <w:szCs w:val="17"/>
                <w:lang w:eastAsia="en-US"/>
              </w:rPr>
              <w:t>Program Management Units and the placement of technical assistance</w:t>
            </w:r>
            <w:r w:rsidR="003E2091">
              <w:rPr>
                <w:rFonts w:asciiTheme="minorHAnsi" w:eastAsia="Times New Roman" w:hAnsiTheme="minorHAnsi"/>
                <w:iCs/>
                <w:szCs w:val="17"/>
                <w:lang w:eastAsia="en-US"/>
              </w:rPr>
              <w:t>. H</w:t>
            </w:r>
            <w:r w:rsidR="00AE2A1A">
              <w:rPr>
                <w:rFonts w:asciiTheme="minorHAnsi" w:eastAsia="Times New Roman" w:hAnsiTheme="minorHAnsi"/>
                <w:iCs/>
                <w:szCs w:val="17"/>
                <w:lang w:eastAsia="en-US"/>
              </w:rPr>
              <w:t>owever, delivery through government systems limited DFAT’s ability to hold implementing agencies directly to account.</w:t>
            </w:r>
          </w:p>
        </w:tc>
      </w:tr>
      <w:tr w:rsidR="006D6744" w:rsidRPr="00C61187" w:rsidTr="00826B8D">
        <w:trPr>
          <w:cnfStyle w:val="000000010000" w:firstRow="0" w:lastRow="0" w:firstColumn="0" w:lastColumn="0" w:oddVBand="0" w:evenVBand="0" w:oddHBand="0" w:evenHBand="1" w:firstRowFirstColumn="0" w:firstRowLastColumn="0" w:lastRowFirstColumn="0" w:lastRowLastColumn="0"/>
        </w:trPr>
        <w:tc>
          <w:tcPr>
            <w:tcW w:w="6349" w:type="dxa"/>
          </w:tcPr>
          <w:p w:rsidR="006D6744" w:rsidRDefault="006D6744" w:rsidP="006F27B1">
            <w:pPr>
              <w:keepLines/>
              <w:spacing w:before="40" w:after="40" w:line="200" w:lineRule="atLeast"/>
              <w:rPr>
                <w:rFonts w:eastAsia="Times New Roman"/>
                <w:iCs/>
                <w:szCs w:val="17"/>
              </w:rPr>
            </w:pPr>
            <w:r>
              <w:rPr>
                <w:rFonts w:asciiTheme="minorHAnsi" w:eastAsia="Times New Roman" w:hAnsiTheme="minorHAnsi"/>
                <w:iCs/>
                <w:szCs w:val="17"/>
                <w:lang w:eastAsia="en-US"/>
              </w:rPr>
              <w:t>Continue work to promote gender equality and disability inclusion throughout the program, with a focus on programs which received less than satisfactory ratings.</w:t>
            </w:r>
          </w:p>
        </w:tc>
        <w:tc>
          <w:tcPr>
            <w:tcW w:w="949" w:type="dxa"/>
            <w:shd w:val="clear" w:color="auto" w:fill="7FB64D" w:themeFill="accent3" w:themeFillShade="BF"/>
          </w:tcPr>
          <w:p w:rsidR="006D6744" w:rsidRPr="00880004" w:rsidRDefault="006277EA" w:rsidP="006F27B1">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Achieved</w:t>
            </w:r>
          </w:p>
        </w:tc>
        <w:tc>
          <w:tcPr>
            <w:tcW w:w="6763" w:type="dxa"/>
          </w:tcPr>
          <w:p w:rsidR="006D6744" w:rsidRPr="00FF295B" w:rsidRDefault="00AE2A1A" w:rsidP="003E209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incorporated g</w:t>
            </w:r>
            <w:r w:rsidR="006277EA">
              <w:rPr>
                <w:rFonts w:asciiTheme="minorHAnsi" w:eastAsia="Times New Roman" w:hAnsiTheme="minorHAnsi"/>
                <w:iCs/>
                <w:szCs w:val="17"/>
                <w:lang w:eastAsia="en-US"/>
              </w:rPr>
              <w:t xml:space="preserve">ender equality and </w:t>
            </w:r>
            <w:r w:rsidR="00362333" w:rsidRPr="00FF295B">
              <w:rPr>
                <w:rFonts w:asciiTheme="minorHAnsi" w:eastAsia="Times New Roman" w:hAnsiTheme="minorHAnsi"/>
                <w:iCs/>
                <w:szCs w:val="17"/>
                <w:lang w:eastAsia="en-US"/>
              </w:rPr>
              <w:t xml:space="preserve">disability inclusion </w:t>
            </w:r>
            <w:r>
              <w:rPr>
                <w:rFonts w:asciiTheme="minorHAnsi" w:eastAsia="Times New Roman" w:hAnsiTheme="minorHAnsi"/>
                <w:iCs/>
                <w:szCs w:val="17"/>
                <w:lang w:eastAsia="en-US"/>
              </w:rPr>
              <w:t>in</w:t>
            </w:r>
            <w:r w:rsidR="006277EA">
              <w:rPr>
                <w:rFonts w:asciiTheme="minorHAnsi" w:eastAsia="Times New Roman" w:hAnsiTheme="minorHAnsi"/>
                <w:iCs/>
                <w:szCs w:val="17"/>
                <w:lang w:eastAsia="en-US"/>
              </w:rPr>
              <w:t xml:space="preserve"> all new </w:t>
            </w:r>
            <w:r>
              <w:rPr>
                <w:rFonts w:asciiTheme="minorHAnsi" w:eastAsia="Times New Roman" w:hAnsiTheme="minorHAnsi"/>
                <w:iCs/>
                <w:szCs w:val="17"/>
                <w:lang w:eastAsia="en-US"/>
              </w:rPr>
              <w:t>program designs</w:t>
            </w:r>
            <w:r w:rsidR="006277EA">
              <w:rPr>
                <w:rFonts w:asciiTheme="minorHAnsi" w:eastAsia="Times New Roman" w:hAnsiTheme="minorHAnsi"/>
                <w:iCs/>
                <w:szCs w:val="17"/>
                <w:lang w:eastAsia="en-US"/>
              </w:rPr>
              <w:t xml:space="preserve">, including </w:t>
            </w:r>
            <w:r>
              <w:rPr>
                <w:rFonts w:asciiTheme="minorHAnsi" w:eastAsia="Times New Roman" w:hAnsiTheme="minorHAnsi"/>
                <w:iCs/>
                <w:szCs w:val="17"/>
                <w:lang w:eastAsia="en-US"/>
              </w:rPr>
              <w:t>V</w:t>
            </w:r>
            <w:r w:rsidR="003E2091">
              <w:rPr>
                <w:rFonts w:asciiTheme="minorHAnsi" w:eastAsia="Times New Roman" w:hAnsiTheme="minorHAnsi"/>
                <w:iCs/>
                <w:szCs w:val="17"/>
                <w:lang w:eastAsia="en-US"/>
              </w:rPr>
              <w:t>anuatu Australia Policing and Justice program</w:t>
            </w:r>
            <w:r w:rsidR="006277EA">
              <w:rPr>
                <w:rFonts w:asciiTheme="minorHAnsi" w:eastAsia="Times New Roman" w:hAnsiTheme="minorHAnsi"/>
                <w:iCs/>
                <w:szCs w:val="17"/>
                <w:lang w:eastAsia="en-US"/>
              </w:rPr>
              <w:t xml:space="preserve">, </w:t>
            </w:r>
            <w:r w:rsidR="003E2091">
              <w:rPr>
                <w:rFonts w:asciiTheme="minorHAnsi" w:eastAsia="Times New Roman" w:hAnsiTheme="minorHAnsi"/>
                <w:iCs/>
                <w:szCs w:val="17"/>
                <w:lang w:eastAsia="en-US"/>
              </w:rPr>
              <w:t xml:space="preserve">Governance for Growth Phase </w:t>
            </w:r>
            <w:r w:rsidR="006277EA">
              <w:rPr>
                <w:rFonts w:asciiTheme="minorHAnsi" w:eastAsia="Times New Roman" w:hAnsiTheme="minorHAnsi"/>
                <w:iCs/>
                <w:szCs w:val="17"/>
                <w:lang w:eastAsia="en-US"/>
              </w:rPr>
              <w:t xml:space="preserve">III (draft), Skills Partnership Program and Scholarships (draft). DFAT has established a </w:t>
            </w:r>
            <w:r w:rsidR="00362333" w:rsidRPr="00FF295B">
              <w:rPr>
                <w:rFonts w:asciiTheme="minorHAnsi" w:eastAsia="Times New Roman" w:hAnsiTheme="minorHAnsi"/>
                <w:iCs/>
                <w:szCs w:val="17"/>
                <w:lang w:eastAsia="en-US"/>
              </w:rPr>
              <w:t>disability focal point</w:t>
            </w:r>
            <w:r w:rsidR="006277EA">
              <w:rPr>
                <w:rFonts w:asciiTheme="minorHAnsi" w:eastAsia="Times New Roman" w:hAnsiTheme="minorHAnsi"/>
                <w:iCs/>
                <w:szCs w:val="17"/>
                <w:lang w:eastAsia="en-US"/>
              </w:rPr>
              <w:t xml:space="preserve">, </w:t>
            </w:r>
            <w:r w:rsidR="00362333" w:rsidRPr="00FF295B">
              <w:rPr>
                <w:rFonts w:asciiTheme="minorHAnsi" w:eastAsia="Times New Roman" w:hAnsiTheme="minorHAnsi"/>
                <w:iCs/>
                <w:szCs w:val="17"/>
                <w:lang w:eastAsia="en-US"/>
              </w:rPr>
              <w:t>second gender focal point</w:t>
            </w:r>
            <w:r w:rsidR="006277EA">
              <w:rPr>
                <w:rFonts w:asciiTheme="minorHAnsi" w:eastAsia="Times New Roman" w:hAnsiTheme="minorHAnsi"/>
                <w:iCs/>
                <w:szCs w:val="17"/>
                <w:lang w:eastAsia="en-US"/>
              </w:rPr>
              <w:t xml:space="preserve"> and a gender equality committee. DFAT delivered training to staff, managing contractors, government counterparts and NGOs. Further focus will be given to incorporating gender equality and disability inclusion into new designs </w:t>
            </w:r>
            <w:r>
              <w:rPr>
                <w:rFonts w:asciiTheme="minorHAnsi" w:eastAsia="Times New Roman" w:hAnsiTheme="minorHAnsi"/>
                <w:iCs/>
                <w:szCs w:val="17"/>
                <w:lang w:eastAsia="en-US"/>
              </w:rPr>
              <w:t xml:space="preserve">schedule for </w:t>
            </w:r>
            <w:r w:rsidR="006277EA">
              <w:rPr>
                <w:rFonts w:asciiTheme="minorHAnsi" w:eastAsia="Times New Roman" w:hAnsiTheme="minorHAnsi"/>
                <w:iCs/>
                <w:szCs w:val="17"/>
                <w:lang w:eastAsia="en-US"/>
              </w:rPr>
              <w:t>2016-17.</w:t>
            </w:r>
          </w:p>
        </w:tc>
      </w:tr>
      <w:tr w:rsidR="00400B0F" w:rsidRPr="00C61187" w:rsidTr="00FF295B">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E566AF" w:rsidP="003E209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Analyse current programming pipeline to assess its contribution to climate change programming targets from existing programs, including R</w:t>
            </w:r>
            <w:r w:rsidR="003E2091">
              <w:rPr>
                <w:rFonts w:asciiTheme="minorHAnsi" w:eastAsia="Times New Roman" w:hAnsiTheme="minorHAnsi"/>
                <w:iCs/>
                <w:szCs w:val="17"/>
                <w:lang w:eastAsia="en-US"/>
              </w:rPr>
              <w:t>oads for Development, PVUDP and the Australian NGO Cooperation Program</w:t>
            </w:r>
            <w:r>
              <w:rPr>
                <w:rFonts w:asciiTheme="minorHAnsi" w:eastAsia="Times New Roman" w:hAnsiTheme="minorHAnsi"/>
                <w:iCs/>
                <w:szCs w:val="17"/>
                <w:lang w:eastAsia="en-US"/>
              </w:rPr>
              <w:t xml:space="preserve">. Future programming may need to incorporate greater climate change expenditure. </w:t>
            </w:r>
          </w:p>
        </w:tc>
        <w:tc>
          <w:tcPr>
            <w:tcW w:w="949" w:type="dxa"/>
            <w:shd w:val="clear" w:color="auto" w:fill="7FB64D" w:themeFill="accent3" w:themeFillShade="BF"/>
          </w:tcPr>
          <w:p w:rsidR="00400B0F" w:rsidRPr="0038148E" w:rsidRDefault="005502AB" w:rsidP="006F27B1">
            <w:pPr>
              <w:keepLines/>
              <w:spacing w:before="40" w:after="40" w:line="200" w:lineRule="atLeast"/>
              <w:jc w:val="center"/>
              <w:rPr>
                <w:rFonts w:asciiTheme="minorHAnsi" w:eastAsia="Times New Roman" w:hAnsiTheme="minorHAnsi"/>
                <w:iCs/>
                <w:color w:val="00B050"/>
                <w:szCs w:val="17"/>
                <w:lang w:eastAsia="en-US"/>
              </w:rPr>
            </w:pPr>
            <w:r w:rsidRPr="0038148E">
              <w:rPr>
                <w:rFonts w:asciiTheme="minorHAnsi" w:eastAsia="Times New Roman" w:hAnsiTheme="minorHAnsi"/>
                <w:iCs/>
                <w:color w:val="FFFFFF" w:themeColor="background1"/>
                <w:szCs w:val="17"/>
                <w:lang w:eastAsia="en-US"/>
              </w:rPr>
              <w:t>Achieved</w:t>
            </w:r>
          </w:p>
        </w:tc>
        <w:tc>
          <w:tcPr>
            <w:tcW w:w="6763" w:type="dxa"/>
          </w:tcPr>
          <w:p w:rsidR="00400B0F" w:rsidRPr="00FF295B" w:rsidRDefault="005502AB" w:rsidP="006F27B1">
            <w:pPr>
              <w:keepLines/>
              <w:spacing w:before="40" w:after="40" w:line="200" w:lineRule="atLeast"/>
              <w:rPr>
                <w:rFonts w:asciiTheme="minorHAnsi" w:eastAsia="Times New Roman" w:hAnsiTheme="minorHAnsi"/>
                <w:iCs/>
                <w:szCs w:val="17"/>
                <w:lang w:eastAsia="en-US"/>
              </w:rPr>
            </w:pPr>
            <w:r w:rsidRPr="00FF295B">
              <w:rPr>
                <w:rFonts w:asciiTheme="minorHAnsi" w:eastAsia="Times New Roman" w:hAnsiTheme="minorHAnsi"/>
                <w:iCs/>
                <w:szCs w:val="17"/>
                <w:lang w:eastAsia="en-US"/>
              </w:rPr>
              <w:t>Climate change stocktake and integration plan completed</w:t>
            </w:r>
            <w:r w:rsidR="00AE2A1A">
              <w:rPr>
                <w:rFonts w:asciiTheme="minorHAnsi" w:eastAsia="Times New Roman" w:hAnsiTheme="minorHAnsi"/>
                <w:iCs/>
                <w:szCs w:val="17"/>
                <w:lang w:eastAsia="en-US"/>
              </w:rPr>
              <w:t>.</w:t>
            </w:r>
          </w:p>
        </w:tc>
      </w:tr>
      <w:tr w:rsidR="00E566AF" w:rsidRPr="00C61187" w:rsidTr="00826B8D">
        <w:trPr>
          <w:cnfStyle w:val="000000010000" w:firstRow="0" w:lastRow="0" w:firstColumn="0" w:lastColumn="0" w:oddVBand="0" w:evenVBand="0" w:oddHBand="0" w:evenHBand="1" w:firstRowFirstColumn="0" w:firstRowLastColumn="0" w:lastRowFirstColumn="0" w:lastRowLastColumn="0"/>
        </w:trPr>
        <w:tc>
          <w:tcPr>
            <w:tcW w:w="6349" w:type="dxa"/>
          </w:tcPr>
          <w:p w:rsidR="00E566AF" w:rsidRDefault="00E566AF" w:rsidP="006F27B1">
            <w:pPr>
              <w:keepLines/>
              <w:spacing w:before="40" w:after="40" w:line="200" w:lineRule="atLeast"/>
              <w:rPr>
                <w:rFonts w:eastAsia="Times New Roman"/>
                <w:iCs/>
                <w:szCs w:val="17"/>
              </w:rPr>
            </w:pPr>
            <w:r>
              <w:rPr>
                <w:rFonts w:eastAsia="Times New Roman"/>
                <w:iCs/>
                <w:szCs w:val="17"/>
              </w:rPr>
              <w:t xml:space="preserve">Consider tailored communication strategies alongside program designs to support program implementation. </w:t>
            </w:r>
          </w:p>
        </w:tc>
        <w:tc>
          <w:tcPr>
            <w:tcW w:w="949" w:type="dxa"/>
            <w:shd w:val="clear" w:color="auto" w:fill="7FB64D" w:themeFill="accent3" w:themeFillShade="BF"/>
          </w:tcPr>
          <w:p w:rsidR="00E566AF" w:rsidRPr="0038148E" w:rsidRDefault="006277EA" w:rsidP="006277E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Achieved </w:t>
            </w:r>
          </w:p>
        </w:tc>
        <w:tc>
          <w:tcPr>
            <w:tcW w:w="6763" w:type="dxa"/>
          </w:tcPr>
          <w:p w:rsidR="00E566AF" w:rsidRPr="0038148E" w:rsidRDefault="003E2091" w:rsidP="003E2091">
            <w:pPr>
              <w:keepLines/>
              <w:spacing w:before="40" w:after="40" w:line="200" w:lineRule="atLeast"/>
              <w:rPr>
                <w:rFonts w:asciiTheme="minorHAnsi" w:eastAsia="Times New Roman" w:hAnsiTheme="minorHAnsi"/>
                <w:iCs/>
                <w:szCs w:val="17"/>
                <w:lang w:eastAsia="en-US"/>
              </w:rPr>
            </w:pPr>
            <w:r w:rsidRPr="0038148E">
              <w:rPr>
                <w:rFonts w:asciiTheme="minorHAnsi" w:eastAsia="Times New Roman" w:hAnsiTheme="minorHAnsi"/>
                <w:iCs/>
                <w:szCs w:val="17"/>
                <w:lang w:eastAsia="en-US"/>
              </w:rPr>
              <w:t>Comm</w:t>
            </w:r>
            <w:r>
              <w:rPr>
                <w:rFonts w:asciiTheme="minorHAnsi" w:eastAsia="Times New Roman" w:hAnsiTheme="minorHAnsi"/>
                <w:iCs/>
                <w:szCs w:val="17"/>
                <w:lang w:eastAsia="en-US"/>
              </w:rPr>
              <w:t>unications</w:t>
            </w:r>
            <w:r w:rsidR="004B3824" w:rsidRPr="0038148E">
              <w:rPr>
                <w:rFonts w:asciiTheme="minorHAnsi" w:eastAsia="Times New Roman" w:hAnsiTheme="minorHAnsi"/>
                <w:iCs/>
                <w:szCs w:val="17"/>
                <w:lang w:eastAsia="en-US"/>
              </w:rPr>
              <w:t xml:space="preserve"> strategies and</w:t>
            </w:r>
            <w:r w:rsidR="00362333" w:rsidRPr="00FF295B">
              <w:rPr>
                <w:rFonts w:asciiTheme="minorHAnsi" w:eastAsia="Times New Roman" w:hAnsiTheme="minorHAnsi"/>
                <w:iCs/>
                <w:szCs w:val="17"/>
                <w:lang w:eastAsia="en-US"/>
              </w:rPr>
              <w:t>/or</w:t>
            </w:r>
            <w:r w:rsidR="004B3824" w:rsidRPr="0038148E">
              <w:rPr>
                <w:rFonts w:asciiTheme="minorHAnsi" w:eastAsia="Times New Roman" w:hAnsiTheme="minorHAnsi"/>
                <w:iCs/>
                <w:szCs w:val="17"/>
                <w:lang w:eastAsia="en-US"/>
              </w:rPr>
              <w:t xml:space="preserve"> officers in </w:t>
            </w:r>
            <w:r w:rsidR="00362333" w:rsidRPr="00FF295B">
              <w:rPr>
                <w:rFonts w:asciiTheme="minorHAnsi" w:eastAsia="Times New Roman" w:hAnsiTheme="minorHAnsi"/>
                <w:iCs/>
                <w:szCs w:val="17"/>
                <w:lang w:eastAsia="en-US"/>
              </w:rPr>
              <w:t xml:space="preserve">place where </w:t>
            </w:r>
            <w:r w:rsidR="006277EA">
              <w:rPr>
                <w:rFonts w:asciiTheme="minorHAnsi" w:eastAsia="Times New Roman" w:hAnsiTheme="minorHAnsi"/>
                <w:iCs/>
                <w:szCs w:val="17"/>
                <w:lang w:eastAsia="en-US"/>
              </w:rPr>
              <w:t xml:space="preserve">relevant </w:t>
            </w:r>
            <w:r w:rsidR="00362333" w:rsidRPr="00FF295B">
              <w:rPr>
                <w:rFonts w:asciiTheme="minorHAnsi" w:eastAsia="Times New Roman" w:hAnsiTheme="minorHAnsi"/>
                <w:iCs/>
                <w:szCs w:val="17"/>
                <w:lang w:eastAsia="en-US"/>
              </w:rPr>
              <w:t xml:space="preserve">including </w:t>
            </w:r>
            <w:r>
              <w:rPr>
                <w:rFonts w:asciiTheme="minorHAnsi" w:eastAsia="Times New Roman" w:hAnsiTheme="minorHAnsi"/>
                <w:iCs/>
                <w:szCs w:val="17"/>
                <w:lang w:eastAsia="en-US"/>
              </w:rPr>
              <w:t>Vanuatu Skills for Economic Growth</w:t>
            </w:r>
            <w:r w:rsidR="004B3824" w:rsidRPr="0038148E">
              <w:rPr>
                <w:rFonts w:asciiTheme="minorHAnsi" w:eastAsia="Times New Roman" w:hAnsiTheme="minorHAnsi"/>
                <w:iCs/>
                <w:szCs w:val="17"/>
                <w:lang w:eastAsia="en-US"/>
              </w:rPr>
              <w:t xml:space="preserve">, PVUDP, </w:t>
            </w:r>
            <w:r w:rsidR="00826B8D">
              <w:rPr>
                <w:rFonts w:asciiTheme="minorHAnsi" w:eastAsia="Times New Roman" w:hAnsiTheme="minorHAnsi"/>
                <w:iCs/>
                <w:szCs w:val="17"/>
                <w:lang w:eastAsia="en-US"/>
              </w:rPr>
              <w:t>Wan Smolb</w:t>
            </w:r>
            <w:r w:rsidR="00362333" w:rsidRPr="00FF295B">
              <w:rPr>
                <w:rFonts w:asciiTheme="minorHAnsi" w:eastAsia="Times New Roman" w:hAnsiTheme="minorHAnsi"/>
                <w:iCs/>
                <w:szCs w:val="17"/>
                <w:lang w:eastAsia="en-US"/>
              </w:rPr>
              <w:t>ag</w:t>
            </w:r>
            <w:r w:rsidR="00AE2A1A">
              <w:rPr>
                <w:rFonts w:asciiTheme="minorHAnsi" w:eastAsia="Times New Roman" w:hAnsiTheme="minorHAnsi"/>
                <w:iCs/>
                <w:szCs w:val="17"/>
                <w:lang w:eastAsia="en-US"/>
              </w:rPr>
              <w:t xml:space="preserve"> and </w:t>
            </w:r>
            <w:r w:rsidR="00362333" w:rsidRPr="00FF295B">
              <w:rPr>
                <w:rFonts w:asciiTheme="minorHAnsi" w:eastAsia="Times New Roman" w:hAnsiTheme="minorHAnsi"/>
                <w:iCs/>
                <w:szCs w:val="17"/>
                <w:lang w:eastAsia="en-US"/>
              </w:rPr>
              <w:t xml:space="preserve">Vanuatu Women’s Centre. </w:t>
            </w:r>
            <w:r w:rsidR="002D56F7" w:rsidRPr="00FF295B">
              <w:rPr>
                <w:rFonts w:asciiTheme="minorHAnsi" w:eastAsia="Times New Roman" w:hAnsiTheme="minorHAnsi"/>
                <w:iCs/>
                <w:szCs w:val="17"/>
                <w:lang w:eastAsia="en-US"/>
              </w:rPr>
              <w:t xml:space="preserve">New infrastructure, education and health programs will be designed in 2017-18. </w:t>
            </w: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400B0F" w:rsidRPr="00C61187" w:rsidRDefault="00400B0F" w:rsidP="00400B0F">
      <w:pPr>
        <w:spacing w:after="200" w:line="276" w:lineRule="auto"/>
        <w:rPr>
          <w:rFonts w:ascii="Franklin Gothic Book" w:hAnsi="Franklin Gothic Book"/>
          <w:sz w:val="21"/>
        </w:rPr>
      </w:pPr>
    </w:p>
    <w:p w:rsidR="00D15A00" w:rsidRDefault="00D15A00" w:rsidP="002A51CA"/>
    <w:p w:rsidR="00060268" w:rsidRDefault="00060268" w:rsidP="002A51CA"/>
    <w:p w:rsidR="00033AB7" w:rsidRDefault="00400B0F" w:rsidP="00400B0F">
      <w:pPr>
        <w:pStyle w:val="Subtitle"/>
        <w:numPr>
          <w:ilvl w:val="0"/>
          <w:numId w:val="0"/>
        </w:numPr>
      </w:pPr>
      <w:r w:rsidRPr="00400B0F">
        <w:lastRenderedPageBreak/>
        <w:t xml:space="preserve">Annex B </w:t>
      </w:r>
      <w:r w:rsidR="00033AB7">
        <w:t>–</w:t>
      </w:r>
      <w:r w:rsidRPr="00400B0F">
        <w:t xml:space="preserve"> </w:t>
      </w:r>
      <w:r w:rsidR="00033AB7">
        <w:t>PERFORMANCE BENCHMARKS</w:t>
      </w:r>
    </w:p>
    <w:p w:rsidR="00320251" w:rsidRPr="00320251" w:rsidRDefault="00320251" w:rsidP="00CE5DF0">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p w:rsidR="008B6C7F" w:rsidRDefault="008B6C7F" w:rsidP="00CE5DF0">
      <w:r>
        <w:rPr>
          <w:rFonts w:ascii="Franklin Gothic Book" w:eastAsia="Times New Roman" w:hAnsi="Franklin Gothic Book"/>
          <w:sz w:val="21"/>
        </w:rPr>
        <w:t>Performance Benchmarks below are those agreed in the Australia-Vanuatu Partnership Arrangement signed in December 2016.</w:t>
      </w:r>
    </w:p>
    <w:p w:rsidR="00CE5DF0" w:rsidRPr="00CE5DF0" w:rsidRDefault="00CE5DF0" w:rsidP="00CE5DF0"/>
    <w:tbl>
      <w:tblPr>
        <w:tblStyle w:val="DFATTable"/>
        <w:tblW w:w="5000" w:type="pct"/>
        <w:tblLook w:val="04A0" w:firstRow="1" w:lastRow="0" w:firstColumn="1" w:lastColumn="0" w:noHBand="0" w:noVBand="1"/>
      </w:tblPr>
      <w:tblGrid>
        <w:gridCol w:w="2211"/>
        <w:gridCol w:w="2211"/>
        <w:gridCol w:w="1332"/>
        <w:gridCol w:w="8419"/>
      </w:tblGrid>
      <w:tr w:rsidR="00400B0F" w:rsidRPr="00C61187" w:rsidTr="006F27B1">
        <w:trPr>
          <w:tblHeader/>
        </w:trPr>
        <w:tc>
          <w:tcPr>
            <w:tcW w:w="780" w:type="pct"/>
            <w:tcMar>
              <w:top w:w="57" w:type="dxa"/>
              <w:bottom w:w="57" w:type="dxa"/>
            </w:tcMa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rsidR="00400B0F" w:rsidRPr="00880004" w:rsidRDefault="00320251" w:rsidP="00320251">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00400B0F" w:rsidRPr="00880004">
              <w:rPr>
                <w:rFonts w:asciiTheme="minorHAnsi" w:eastAsia="Times New Roman" w:hAnsiTheme="minorHAnsi"/>
                <w:b/>
                <w:iCs/>
                <w:szCs w:val="17"/>
                <w:lang w:eastAsia="en-US"/>
              </w:rPr>
              <w:t xml:space="preserve">enchmark </w:t>
            </w:r>
          </w:p>
        </w:tc>
        <w:tc>
          <w:tcPr>
            <w:tcW w:w="470" w:type="pct"/>
          </w:tcPr>
          <w:p w:rsidR="00400B0F" w:rsidRPr="00880004" w:rsidRDefault="00400B0F" w:rsidP="009E7BB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rsidR="00400B0F" w:rsidRPr="00880004" w:rsidRDefault="00400B0F" w:rsidP="001103E6">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1103E6">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sidR="001103E6">
              <w:rPr>
                <w:rFonts w:asciiTheme="minorHAnsi" w:eastAsia="Times New Roman" w:hAnsiTheme="minorHAnsi"/>
                <w:b/>
                <w:iCs/>
                <w:szCs w:val="17"/>
                <w:lang w:eastAsia="en-US"/>
              </w:rPr>
              <w:t>7</w:t>
            </w:r>
          </w:p>
        </w:tc>
      </w:tr>
      <w:tr w:rsidR="00400B0F" w:rsidRPr="00C61187" w:rsidTr="006A58F4">
        <w:tc>
          <w:tcPr>
            <w:tcW w:w="780" w:type="pct"/>
            <w:tcMar>
              <w:top w:w="57" w:type="dxa"/>
              <w:bottom w:w="57" w:type="dxa"/>
            </w:tcMar>
          </w:tcPr>
          <w:p w:rsidR="00400B0F" w:rsidRPr="00880004" w:rsidRDefault="006D6744" w:rsidP="0032025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Build better infrastructure and an environment for economic opportunity</w:t>
            </w:r>
          </w:p>
        </w:tc>
        <w:tc>
          <w:tcPr>
            <w:tcW w:w="780" w:type="pct"/>
          </w:tcPr>
          <w:p w:rsidR="00400B0F" w:rsidRPr="00880004" w:rsidRDefault="006D6744"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13 km of urban roads resealed/asphalt concreted</w:t>
            </w:r>
          </w:p>
        </w:tc>
        <w:tc>
          <w:tcPr>
            <w:tcW w:w="470" w:type="pct"/>
            <w:shd w:val="clear" w:color="auto" w:fill="7FB64D" w:themeFill="accent3" w:themeFillShade="BF"/>
          </w:tcPr>
          <w:p w:rsidR="00400B0F" w:rsidRPr="006A58F4" w:rsidRDefault="00400B0F" w:rsidP="006F27B1">
            <w:pPr>
              <w:keepLines/>
              <w:spacing w:before="40" w:after="40" w:line="200" w:lineRule="atLeast"/>
              <w:jc w:val="center"/>
              <w:rPr>
                <w:rFonts w:asciiTheme="minorHAnsi" w:eastAsia="Times New Roman" w:hAnsiTheme="minorHAnsi"/>
                <w:b/>
                <w:iCs/>
                <w:color w:val="FFFFFF" w:themeColor="background1"/>
                <w:szCs w:val="17"/>
                <w:lang w:eastAsia="en-US"/>
              </w:rPr>
            </w:pPr>
            <w:r w:rsidRPr="006A58F4">
              <w:rPr>
                <w:rFonts w:asciiTheme="minorHAnsi" w:eastAsia="Times New Roman" w:hAnsiTheme="minorHAnsi"/>
                <w:b/>
                <w:iCs/>
                <w:color w:val="FFFFFF" w:themeColor="background1"/>
                <w:szCs w:val="17"/>
                <w:lang w:eastAsia="en-US"/>
              </w:rPr>
              <w:t>Achieved</w:t>
            </w:r>
          </w:p>
        </w:tc>
        <w:tc>
          <w:tcPr>
            <w:tcW w:w="2970" w:type="pct"/>
          </w:tcPr>
          <w:p w:rsidR="00400B0F" w:rsidRPr="00880004" w:rsidRDefault="00173042" w:rsidP="00173042">
            <w:pPr>
              <w:keepLines/>
              <w:spacing w:before="40" w:after="40" w:line="200" w:lineRule="atLeast"/>
              <w:rPr>
                <w:rFonts w:asciiTheme="minorHAnsi" w:eastAsia="Times New Roman" w:hAnsiTheme="minorHAnsi"/>
                <w:iCs/>
                <w:szCs w:val="17"/>
                <w:lang w:eastAsia="en-US"/>
              </w:rPr>
            </w:pPr>
            <w:r w:rsidRPr="00173042">
              <w:rPr>
                <w:rFonts w:asciiTheme="minorHAnsi" w:eastAsia="Times New Roman" w:hAnsiTheme="minorHAnsi"/>
                <w:iCs/>
                <w:szCs w:val="17"/>
                <w:lang w:eastAsia="en-US"/>
              </w:rPr>
              <w:t>12.8km of roads were double bitumen sealed</w:t>
            </w:r>
            <w:r w:rsidR="00400B0F" w:rsidRPr="00880004">
              <w:rPr>
                <w:rFonts w:asciiTheme="minorHAnsi" w:eastAsia="Times New Roman" w:hAnsiTheme="minorHAnsi"/>
                <w:iCs/>
                <w:szCs w:val="17"/>
                <w:lang w:eastAsia="en-US"/>
              </w:rPr>
              <w:t>.</w:t>
            </w:r>
          </w:p>
        </w:tc>
      </w:tr>
      <w:tr w:rsidR="006D6744" w:rsidRPr="00C61187" w:rsidTr="006A58F4">
        <w:tc>
          <w:tcPr>
            <w:tcW w:w="780" w:type="pct"/>
            <w:tcMar>
              <w:top w:w="57" w:type="dxa"/>
              <w:bottom w:w="57" w:type="dxa"/>
            </w:tcMar>
          </w:tcPr>
          <w:p w:rsidR="006D6744" w:rsidRPr="00880004" w:rsidRDefault="006D6744" w:rsidP="00320251">
            <w:pPr>
              <w:keepLines/>
              <w:spacing w:before="40" w:after="40" w:line="200" w:lineRule="atLeast"/>
              <w:rPr>
                <w:rFonts w:eastAsia="Times New Roman"/>
                <w:iCs/>
                <w:szCs w:val="17"/>
              </w:rPr>
            </w:pPr>
            <w:r>
              <w:rPr>
                <w:rFonts w:asciiTheme="minorHAnsi" w:eastAsia="Times New Roman" w:hAnsiTheme="minorHAnsi"/>
                <w:iCs/>
                <w:szCs w:val="17"/>
                <w:lang w:eastAsia="en-US"/>
              </w:rPr>
              <w:t>Build better infrastructure and an environment for economic opportunity</w:t>
            </w:r>
          </w:p>
        </w:tc>
        <w:tc>
          <w:tcPr>
            <w:tcW w:w="780" w:type="pct"/>
          </w:tcPr>
          <w:p w:rsidR="006D6744" w:rsidRPr="006D6744" w:rsidRDefault="006D6744" w:rsidP="006F27B1">
            <w:pPr>
              <w:keepLines/>
              <w:spacing w:before="40" w:after="40" w:line="200" w:lineRule="atLeast"/>
              <w:rPr>
                <w:rFonts w:asciiTheme="minorHAnsi" w:eastAsia="Times New Roman" w:hAnsiTheme="minorHAnsi"/>
                <w:iCs/>
                <w:szCs w:val="17"/>
              </w:rPr>
            </w:pPr>
            <w:r w:rsidRPr="006D6744">
              <w:rPr>
                <w:rFonts w:asciiTheme="minorHAnsi" w:eastAsia="Times New Roman" w:hAnsiTheme="minorHAnsi"/>
                <w:iCs/>
                <w:szCs w:val="17"/>
                <w:lang w:eastAsia="en-US"/>
              </w:rPr>
              <w:t>Increase</w:t>
            </w:r>
            <w:r w:rsidRPr="006D6744">
              <w:rPr>
                <w:rFonts w:asciiTheme="minorHAnsi" w:eastAsia="Times New Roman" w:hAnsiTheme="minorHAnsi"/>
                <w:iCs/>
                <w:szCs w:val="17"/>
              </w:rPr>
              <w:t xml:space="preserve"> in bank accounts opened in rural areas</w:t>
            </w:r>
          </w:p>
        </w:tc>
        <w:tc>
          <w:tcPr>
            <w:tcW w:w="470" w:type="pct"/>
            <w:shd w:val="clear" w:color="auto" w:fill="7FB64D" w:themeFill="accent3" w:themeFillShade="BF"/>
          </w:tcPr>
          <w:p w:rsidR="006D6744" w:rsidRPr="006A58F4" w:rsidRDefault="00173042" w:rsidP="006F27B1">
            <w:pPr>
              <w:keepLines/>
              <w:spacing w:before="40" w:after="40" w:line="200" w:lineRule="atLeast"/>
              <w:jc w:val="center"/>
              <w:rPr>
                <w:rFonts w:asciiTheme="minorHAnsi" w:eastAsia="Times New Roman" w:hAnsiTheme="minorHAnsi"/>
                <w:b/>
                <w:iCs/>
                <w:color w:val="FFFFFF" w:themeColor="background1"/>
                <w:szCs w:val="17"/>
                <w:lang w:eastAsia="en-US"/>
              </w:rPr>
            </w:pPr>
            <w:r w:rsidRPr="006A58F4">
              <w:rPr>
                <w:rFonts w:asciiTheme="minorHAnsi" w:eastAsia="Times New Roman" w:hAnsiTheme="minorHAnsi"/>
                <w:b/>
                <w:iCs/>
                <w:color w:val="FFFFFF" w:themeColor="background1"/>
                <w:szCs w:val="17"/>
                <w:lang w:eastAsia="en-US"/>
              </w:rPr>
              <w:t>Achieved</w:t>
            </w:r>
          </w:p>
        </w:tc>
        <w:tc>
          <w:tcPr>
            <w:tcW w:w="2970" w:type="pct"/>
          </w:tcPr>
          <w:p w:rsidR="006D6744" w:rsidRPr="00173042" w:rsidRDefault="001E6AFB"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6,040 </w:t>
            </w:r>
            <w:r w:rsidR="00954863">
              <w:rPr>
                <w:rFonts w:asciiTheme="minorHAnsi" w:eastAsia="Times New Roman" w:hAnsiTheme="minorHAnsi"/>
                <w:iCs/>
                <w:szCs w:val="17"/>
                <w:lang w:eastAsia="en-US"/>
              </w:rPr>
              <w:t xml:space="preserve">new bank </w:t>
            </w:r>
            <w:r>
              <w:rPr>
                <w:rFonts w:asciiTheme="minorHAnsi" w:eastAsia="Times New Roman" w:hAnsiTheme="minorHAnsi"/>
                <w:iCs/>
                <w:szCs w:val="17"/>
                <w:lang w:eastAsia="en-US"/>
              </w:rPr>
              <w:t>accounts opened in the last year (exceeding target of 3,000 for 2016-17)</w:t>
            </w:r>
            <w:r w:rsidR="00173042" w:rsidRPr="00173042">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 Of these, 45 per cent are owned by women.</w:t>
            </w:r>
          </w:p>
        </w:tc>
      </w:tr>
      <w:tr w:rsidR="006D6744" w:rsidRPr="00C61187" w:rsidTr="006A58F4">
        <w:tc>
          <w:tcPr>
            <w:tcW w:w="780" w:type="pct"/>
            <w:tcMar>
              <w:top w:w="57" w:type="dxa"/>
              <w:bottom w:w="57" w:type="dxa"/>
            </w:tcMar>
          </w:tcPr>
          <w:p w:rsidR="006D6744" w:rsidRPr="00880004" w:rsidRDefault="006D6744" w:rsidP="00320251">
            <w:pPr>
              <w:keepLines/>
              <w:spacing w:before="40" w:after="40" w:line="200" w:lineRule="atLeast"/>
              <w:rPr>
                <w:rFonts w:eastAsia="Times New Roman"/>
                <w:iCs/>
                <w:szCs w:val="17"/>
              </w:rPr>
            </w:pPr>
            <w:r>
              <w:rPr>
                <w:rFonts w:asciiTheme="minorHAnsi" w:eastAsia="Times New Roman" w:hAnsiTheme="minorHAnsi"/>
                <w:iCs/>
                <w:szCs w:val="17"/>
                <w:lang w:eastAsia="en-US"/>
              </w:rPr>
              <w:t>Build better infrastructure and an environment for economic opportunity</w:t>
            </w:r>
          </w:p>
        </w:tc>
        <w:tc>
          <w:tcPr>
            <w:tcW w:w="780" w:type="pct"/>
          </w:tcPr>
          <w:p w:rsidR="006D6744" w:rsidRPr="006D6744" w:rsidRDefault="00173042" w:rsidP="00173042">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80% of s</w:t>
            </w:r>
            <w:r w:rsidR="006D6744" w:rsidRPr="006D6744">
              <w:rPr>
                <w:rFonts w:asciiTheme="minorHAnsi" w:eastAsia="Times New Roman" w:hAnsiTheme="minorHAnsi"/>
                <w:iCs/>
                <w:szCs w:val="17"/>
              </w:rPr>
              <w:t>elf-employed TVET trainees report higher incomes following training</w:t>
            </w:r>
          </w:p>
        </w:tc>
        <w:tc>
          <w:tcPr>
            <w:tcW w:w="470" w:type="pct"/>
            <w:shd w:val="clear" w:color="auto" w:fill="7FB64D" w:themeFill="accent3" w:themeFillShade="BF"/>
          </w:tcPr>
          <w:p w:rsidR="006D6744" w:rsidRPr="006A58F4" w:rsidRDefault="00173042" w:rsidP="006F27B1">
            <w:pPr>
              <w:keepLines/>
              <w:spacing w:before="40" w:after="40" w:line="200" w:lineRule="atLeast"/>
              <w:jc w:val="center"/>
              <w:rPr>
                <w:rFonts w:asciiTheme="minorHAnsi" w:eastAsia="Times New Roman" w:hAnsiTheme="minorHAnsi"/>
                <w:b/>
                <w:iCs/>
                <w:color w:val="FFFFFF" w:themeColor="background1"/>
                <w:szCs w:val="17"/>
                <w:lang w:eastAsia="en-US"/>
              </w:rPr>
            </w:pPr>
            <w:r w:rsidRPr="006A58F4">
              <w:rPr>
                <w:rFonts w:asciiTheme="minorHAnsi" w:eastAsia="Times New Roman" w:hAnsiTheme="minorHAnsi"/>
                <w:b/>
                <w:iCs/>
                <w:color w:val="FFFFFF" w:themeColor="background1"/>
                <w:szCs w:val="17"/>
                <w:lang w:eastAsia="en-US"/>
              </w:rPr>
              <w:t>Achieved</w:t>
            </w:r>
          </w:p>
        </w:tc>
        <w:tc>
          <w:tcPr>
            <w:tcW w:w="2970" w:type="pct"/>
          </w:tcPr>
          <w:p w:rsidR="006D6744" w:rsidRPr="00880004" w:rsidRDefault="006D6744" w:rsidP="006F27B1">
            <w:pPr>
              <w:keepLines/>
              <w:spacing w:before="40" w:after="40" w:line="200" w:lineRule="atLeast"/>
              <w:rPr>
                <w:rFonts w:eastAsia="Times New Roman"/>
                <w:iCs/>
                <w:szCs w:val="17"/>
              </w:rPr>
            </w:pPr>
          </w:p>
        </w:tc>
      </w:tr>
      <w:tr w:rsidR="00400B0F" w:rsidRPr="00C61187" w:rsidTr="0038148E">
        <w:tc>
          <w:tcPr>
            <w:tcW w:w="780" w:type="pct"/>
            <w:tcMar>
              <w:top w:w="57" w:type="dxa"/>
              <w:bottom w:w="57" w:type="dxa"/>
            </w:tcMar>
          </w:tcPr>
          <w:p w:rsidR="00400B0F" w:rsidRPr="00880004" w:rsidRDefault="006D6744"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Improve early education and essential health services</w:t>
            </w:r>
            <w:r w:rsidR="00400B0F" w:rsidRPr="00880004">
              <w:rPr>
                <w:rFonts w:asciiTheme="minorHAnsi" w:eastAsia="Times New Roman" w:hAnsiTheme="minorHAnsi"/>
                <w:iCs/>
                <w:szCs w:val="17"/>
                <w:lang w:eastAsia="en-US"/>
              </w:rPr>
              <w:t xml:space="preserve"> </w:t>
            </w:r>
          </w:p>
        </w:tc>
        <w:tc>
          <w:tcPr>
            <w:tcW w:w="780" w:type="pct"/>
          </w:tcPr>
          <w:p w:rsidR="00400B0F" w:rsidRPr="006D6744" w:rsidRDefault="006D6744" w:rsidP="0032025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Increase in literacy and numeracy rates in</w:t>
            </w:r>
            <w:r w:rsidR="00173042">
              <w:rPr>
                <w:rFonts w:asciiTheme="minorHAnsi" w:eastAsia="Times New Roman" w:hAnsiTheme="minorHAnsi"/>
                <w:iCs/>
                <w:szCs w:val="17"/>
                <w:lang w:eastAsia="en-US"/>
              </w:rPr>
              <w:t xml:space="preserve"> 51% of</w:t>
            </w:r>
            <w:r>
              <w:rPr>
                <w:rFonts w:asciiTheme="minorHAnsi" w:eastAsia="Times New Roman" w:hAnsiTheme="minorHAnsi"/>
                <w:iCs/>
                <w:szCs w:val="17"/>
                <w:lang w:eastAsia="en-US"/>
              </w:rPr>
              <w:t xml:space="preserve"> Year 4 students</w:t>
            </w:r>
            <w:r w:rsidR="00400B0F" w:rsidRPr="006D6744">
              <w:rPr>
                <w:rFonts w:asciiTheme="minorHAnsi" w:eastAsia="Times New Roman" w:hAnsiTheme="minorHAnsi"/>
                <w:iCs/>
                <w:szCs w:val="17"/>
                <w:lang w:eastAsia="en-US"/>
              </w:rPr>
              <w:t xml:space="preserve"> </w:t>
            </w:r>
          </w:p>
        </w:tc>
        <w:tc>
          <w:tcPr>
            <w:tcW w:w="470" w:type="pct"/>
            <w:shd w:val="clear" w:color="auto" w:fill="auto"/>
          </w:tcPr>
          <w:p w:rsidR="00400B0F" w:rsidRPr="00880004" w:rsidRDefault="00173042" w:rsidP="006F27B1">
            <w:pPr>
              <w:keepLines/>
              <w:spacing w:before="40" w:after="40" w:line="200" w:lineRule="atLeast"/>
              <w:jc w:val="center"/>
              <w:rPr>
                <w:rFonts w:asciiTheme="minorHAnsi" w:eastAsia="Times New Roman" w:hAnsiTheme="minorHAnsi"/>
                <w:iCs/>
                <w:szCs w:val="17"/>
                <w:lang w:eastAsia="en-US"/>
              </w:rPr>
            </w:pPr>
            <w:r w:rsidRPr="0038148E">
              <w:rPr>
                <w:rFonts w:asciiTheme="minorHAnsi" w:eastAsia="Times New Roman" w:hAnsiTheme="minorHAnsi"/>
                <w:iCs/>
                <w:color w:val="auto"/>
                <w:szCs w:val="17"/>
                <w:lang w:eastAsia="en-US"/>
              </w:rPr>
              <w:t>n/a</w:t>
            </w:r>
          </w:p>
        </w:tc>
        <w:tc>
          <w:tcPr>
            <w:tcW w:w="2970" w:type="pct"/>
          </w:tcPr>
          <w:p w:rsidR="00400B0F" w:rsidRPr="00880004" w:rsidRDefault="00173042"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Currently unable to assess, as children who program was rolled out to in Year 1 have yet to reach Year 4</w:t>
            </w:r>
            <w:r w:rsidR="00400B0F" w:rsidRPr="00880004">
              <w:rPr>
                <w:rFonts w:asciiTheme="minorHAnsi" w:eastAsia="Times New Roman" w:hAnsiTheme="minorHAnsi"/>
                <w:iCs/>
                <w:szCs w:val="17"/>
                <w:lang w:eastAsia="en-US"/>
              </w:rPr>
              <w:t>.</w:t>
            </w:r>
          </w:p>
        </w:tc>
      </w:tr>
      <w:tr w:rsidR="006D6744" w:rsidRPr="00C61187" w:rsidTr="006A58F4">
        <w:tc>
          <w:tcPr>
            <w:tcW w:w="780" w:type="pct"/>
            <w:tcMar>
              <w:top w:w="57" w:type="dxa"/>
              <w:bottom w:w="57" w:type="dxa"/>
            </w:tcMar>
          </w:tcPr>
          <w:p w:rsidR="006D6744" w:rsidRDefault="006D6744" w:rsidP="006F27B1">
            <w:pPr>
              <w:keepLines/>
              <w:spacing w:before="40" w:after="40" w:line="200" w:lineRule="atLeast"/>
              <w:rPr>
                <w:rFonts w:eastAsia="Times New Roman"/>
                <w:iCs/>
                <w:szCs w:val="17"/>
              </w:rPr>
            </w:pPr>
            <w:r>
              <w:rPr>
                <w:rFonts w:asciiTheme="minorHAnsi" w:eastAsia="Times New Roman" w:hAnsiTheme="minorHAnsi"/>
                <w:iCs/>
                <w:szCs w:val="17"/>
                <w:lang w:eastAsia="en-US"/>
              </w:rPr>
              <w:t>Improve early education and essential health services</w:t>
            </w:r>
          </w:p>
        </w:tc>
        <w:tc>
          <w:tcPr>
            <w:tcW w:w="780" w:type="pct"/>
          </w:tcPr>
          <w:p w:rsidR="006D6744" w:rsidRPr="006D6744" w:rsidRDefault="006D6744" w:rsidP="0032025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Increase in number of fully-immunised children, using routine immunisation systems</w:t>
            </w:r>
            <w:r w:rsidR="006277EA">
              <w:rPr>
                <w:rFonts w:asciiTheme="minorHAnsi" w:eastAsia="Times New Roman" w:hAnsiTheme="minorHAnsi"/>
                <w:iCs/>
                <w:szCs w:val="17"/>
              </w:rPr>
              <w:t xml:space="preserve"> (83</w:t>
            </w:r>
            <w:r w:rsidR="00173042">
              <w:rPr>
                <w:rFonts w:asciiTheme="minorHAnsi" w:eastAsia="Times New Roman" w:hAnsiTheme="minorHAnsi"/>
                <w:iCs/>
                <w:szCs w:val="17"/>
              </w:rPr>
              <w:t>% in 2016-17)</w:t>
            </w:r>
          </w:p>
        </w:tc>
        <w:tc>
          <w:tcPr>
            <w:tcW w:w="470" w:type="pct"/>
            <w:shd w:val="clear" w:color="auto" w:fill="7FB64D" w:themeFill="accent3" w:themeFillShade="BF"/>
          </w:tcPr>
          <w:p w:rsidR="006D6744" w:rsidRPr="006A58F4" w:rsidRDefault="00AE2A1A" w:rsidP="00AE2A1A">
            <w:pPr>
              <w:keepLines/>
              <w:spacing w:before="40" w:after="40" w:line="200" w:lineRule="atLeast"/>
              <w:jc w:val="center"/>
              <w:rPr>
                <w:rFonts w:eastAsia="Times New Roman"/>
                <w:b/>
                <w:iCs/>
                <w:color w:val="FFFFFF" w:themeColor="background1"/>
                <w:szCs w:val="17"/>
              </w:rPr>
            </w:pPr>
            <w:r w:rsidRPr="006A58F4">
              <w:rPr>
                <w:rFonts w:asciiTheme="minorHAnsi" w:eastAsia="Times New Roman" w:hAnsiTheme="minorHAnsi"/>
                <w:b/>
                <w:iCs/>
                <w:color w:val="FFFFFF" w:themeColor="background1"/>
                <w:szCs w:val="17"/>
                <w:lang w:eastAsia="en-US"/>
              </w:rPr>
              <w:t xml:space="preserve">Achieved </w:t>
            </w:r>
          </w:p>
        </w:tc>
        <w:tc>
          <w:tcPr>
            <w:tcW w:w="2970" w:type="pct"/>
          </w:tcPr>
          <w:p w:rsidR="006D6744" w:rsidRPr="00880004" w:rsidRDefault="00173042" w:rsidP="003E2091">
            <w:pPr>
              <w:keepLines/>
              <w:spacing w:before="40" w:after="40" w:line="200" w:lineRule="atLeast"/>
              <w:rPr>
                <w:rFonts w:eastAsia="Times New Roman"/>
                <w:iCs/>
                <w:szCs w:val="17"/>
              </w:rPr>
            </w:pPr>
            <w:r w:rsidRPr="00173042">
              <w:rPr>
                <w:rFonts w:asciiTheme="minorHAnsi" w:eastAsia="Times New Roman" w:hAnsiTheme="minorHAnsi"/>
                <w:iCs/>
                <w:szCs w:val="17"/>
                <w:lang w:eastAsia="en-US"/>
              </w:rPr>
              <w:t xml:space="preserve">Vanuatu is close to achieving this target. The survey showed that 81 per cent of children aged 12 to 23 months received DPT3, compared to 79 per cent in 2015.  </w:t>
            </w:r>
            <w:r w:rsidR="003E2091">
              <w:rPr>
                <w:rFonts w:asciiTheme="minorHAnsi" w:eastAsia="Times New Roman" w:hAnsiTheme="minorHAnsi"/>
                <w:iCs/>
                <w:szCs w:val="17"/>
                <w:lang w:eastAsia="en-US"/>
              </w:rPr>
              <w:t>84</w:t>
            </w:r>
            <w:r w:rsidRPr="00173042">
              <w:rPr>
                <w:rFonts w:asciiTheme="minorHAnsi" w:eastAsia="Times New Roman" w:hAnsiTheme="minorHAnsi"/>
                <w:iCs/>
                <w:szCs w:val="17"/>
                <w:lang w:eastAsia="en-US"/>
              </w:rPr>
              <w:t xml:space="preserve"> per cent of children aged 24 to 35 months received MCV1, compared to 71 per cent in 2015</w:t>
            </w:r>
            <w:r>
              <w:rPr>
                <w:rFonts w:asciiTheme="minorHAnsi" w:eastAsia="Times New Roman" w:hAnsiTheme="minorHAnsi"/>
                <w:iCs/>
                <w:szCs w:val="17"/>
                <w:lang w:eastAsia="en-US"/>
              </w:rPr>
              <w:t>.</w:t>
            </w:r>
          </w:p>
        </w:tc>
      </w:tr>
      <w:tr w:rsidR="006D6744" w:rsidRPr="00C61187" w:rsidTr="006A58F4">
        <w:tc>
          <w:tcPr>
            <w:tcW w:w="780" w:type="pct"/>
            <w:tcMar>
              <w:top w:w="57" w:type="dxa"/>
              <w:bottom w:w="57" w:type="dxa"/>
            </w:tcMar>
          </w:tcPr>
          <w:p w:rsidR="006D6744" w:rsidRPr="006D6744" w:rsidRDefault="006D6744" w:rsidP="006F27B1">
            <w:pPr>
              <w:keepLines/>
              <w:spacing w:before="40" w:after="40" w:line="200" w:lineRule="atLeast"/>
              <w:rPr>
                <w:rFonts w:eastAsia="Times New Roman"/>
                <w:iCs/>
                <w:szCs w:val="17"/>
              </w:rPr>
            </w:pPr>
            <w:r w:rsidRPr="006D6744">
              <w:rPr>
                <w:rFonts w:asciiTheme="minorHAnsi" w:eastAsia="Times New Roman" w:hAnsiTheme="minorHAnsi"/>
                <w:iCs/>
                <w:szCs w:val="17"/>
                <w:lang w:eastAsia="en-US"/>
              </w:rPr>
              <w:t>Improve community safety and resilience</w:t>
            </w:r>
            <w:r w:rsidRPr="006D6744">
              <w:rPr>
                <w:rFonts w:eastAsia="Times New Roman"/>
                <w:iCs/>
                <w:szCs w:val="17"/>
              </w:rPr>
              <w:t xml:space="preserve"> </w:t>
            </w:r>
          </w:p>
        </w:tc>
        <w:tc>
          <w:tcPr>
            <w:tcW w:w="780" w:type="pct"/>
          </w:tcPr>
          <w:p w:rsidR="006D6744" w:rsidRPr="006D6744" w:rsidRDefault="006D6744" w:rsidP="0032025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Increase in number of women survivors of violence provided counselling support and legal services</w:t>
            </w:r>
            <w:r w:rsidR="0038148E">
              <w:rPr>
                <w:rFonts w:asciiTheme="minorHAnsi" w:eastAsia="Times New Roman" w:hAnsiTheme="minorHAnsi"/>
                <w:iCs/>
                <w:szCs w:val="17"/>
              </w:rPr>
              <w:t xml:space="preserve"> (3,500 in 2016-17)</w:t>
            </w:r>
          </w:p>
        </w:tc>
        <w:tc>
          <w:tcPr>
            <w:tcW w:w="470" w:type="pct"/>
            <w:shd w:val="clear" w:color="auto" w:fill="7FB64D" w:themeFill="accent3" w:themeFillShade="BF"/>
          </w:tcPr>
          <w:p w:rsidR="006D6744" w:rsidRPr="006A58F4" w:rsidRDefault="00254E45" w:rsidP="006F27B1">
            <w:pPr>
              <w:keepLines/>
              <w:spacing w:before="40" w:after="40" w:line="200" w:lineRule="atLeast"/>
              <w:jc w:val="center"/>
              <w:rPr>
                <w:rFonts w:asciiTheme="minorHAnsi" w:eastAsia="Times New Roman" w:hAnsiTheme="minorHAnsi"/>
                <w:b/>
                <w:iCs/>
                <w:color w:val="FFFFFF" w:themeColor="background1"/>
                <w:szCs w:val="17"/>
                <w:lang w:eastAsia="en-US"/>
              </w:rPr>
            </w:pPr>
            <w:r w:rsidRPr="006A58F4">
              <w:rPr>
                <w:rFonts w:asciiTheme="minorHAnsi" w:eastAsia="Times New Roman" w:hAnsiTheme="minorHAnsi"/>
                <w:b/>
                <w:iCs/>
                <w:color w:val="FFFFFF" w:themeColor="background1"/>
                <w:szCs w:val="17"/>
                <w:lang w:eastAsia="en-US"/>
              </w:rPr>
              <w:t>Achieved</w:t>
            </w:r>
          </w:p>
        </w:tc>
        <w:tc>
          <w:tcPr>
            <w:tcW w:w="2970" w:type="pct"/>
          </w:tcPr>
          <w:p w:rsidR="006D6744" w:rsidRPr="00880004" w:rsidRDefault="00DA682C" w:rsidP="006F27B1">
            <w:pPr>
              <w:keepLines/>
              <w:spacing w:before="40" w:after="40" w:line="200" w:lineRule="atLeast"/>
              <w:rPr>
                <w:rFonts w:eastAsia="Times New Roman"/>
                <w:iCs/>
                <w:szCs w:val="17"/>
              </w:rPr>
            </w:pPr>
            <w:r w:rsidRPr="00DA682C">
              <w:rPr>
                <w:rFonts w:asciiTheme="minorHAnsi" w:eastAsia="Times New Roman" w:hAnsiTheme="minorHAnsi"/>
                <w:iCs/>
                <w:szCs w:val="17"/>
                <w:lang w:eastAsia="en-US"/>
              </w:rPr>
              <w:t>From 2012-2016,16,369 clients accessed VWC services, an increase of approximately 30 per cent from the previous phase</w:t>
            </w:r>
            <w:r>
              <w:rPr>
                <w:rFonts w:asciiTheme="minorHAnsi" w:eastAsia="Times New Roman" w:hAnsiTheme="minorHAnsi"/>
                <w:iCs/>
                <w:szCs w:val="17"/>
                <w:lang w:eastAsia="en-US"/>
              </w:rPr>
              <w:t>.</w:t>
            </w:r>
          </w:p>
        </w:tc>
      </w:tr>
      <w:tr w:rsidR="00400B0F" w:rsidRPr="00C61187" w:rsidTr="006A58F4">
        <w:tc>
          <w:tcPr>
            <w:tcW w:w="780" w:type="pct"/>
            <w:tcMar>
              <w:top w:w="57" w:type="dxa"/>
              <w:bottom w:w="57" w:type="dxa"/>
            </w:tcMar>
          </w:tcPr>
          <w:p w:rsidR="00400B0F" w:rsidRPr="00880004" w:rsidRDefault="006D6744"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Support cyclone recovery and reconstruction</w:t>
            </w:r>
          </w:p>
        </w:tc>
        <w:tc>
          <w:tcPr>
            <w:tcW w:w="780" w:type="pct"/>
          </w:tcPr>
          <w:p w:rsidR="00400B0F" w:rsidRPr="006D6744" w:rsidRDefault="006D6744" w:rsidP="0032025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Australia’s $35m long-term recovery support is allocated to recovery projects</w:t>
            </w:r>
            <w:r w:rsidR="00400B0F" w:rsidRPr="006D6744">
              <w:rPr>
                <w:rFonts w:asciiTheme="minorHAnsi" w:eastAsia="Times New Roman" w:hAnsiTheme="minorHAnsi"/>
                <w:iCs/>
                <w:szCs w:val="17"/>
                <w:lang w:eastAsia="en-US"/>
              </w:rPr>
              <w:t xml:space="preserve"> </w:t>
            </w:r>
            <w:r w:rsidR="0038148E">
              <w:rPr>
                <w:rFonts w:asciiTheme="minorHAnsi" w:eastAsia="Times New Roman" w:hAnsiTheme="minorHAnsi"/>
                <w:iCs/>
                <w:szCs w:val="17"/>
                <w:lang w:eastAsia="en-US"/>
              </w:rPr>
              <w:t>(85% in 2016-17)</w:t>
            </w:r>
          </w:p>
        </w:tc>
        <w:tc>
          <w:tcPr>
            <w:tcW w:w="470" w:type="pct"/>
            <w:shd w:val="clear" w:color="auto" w:fill="7FB64D" w:themeFill="accent3" w:themeFillShade="BF"/>
          </w:tcPr>
          <w:p w:rsidR="00400B0F" w:rsidRPr="006A58F4" w:rsidRDefault="006D6744" w:rsidP="0038148E">
            <w:pPr>
              <w:keepLines/>
              <w:spacing w:before="40" w:after="40" w:line="200" w:lineRule="atLeast"/>
              <w:jc w:val="center"/>
              <w:rPr>
                <w:rFonts w:asciiTheme="minorHAnsi" w:eastAsia="Times New Roman" w:hAnsiTheme="minorHAnsi"/>
                <w:b/>
                <w:iCs/>
                <w:szCs w:val="17"/>
                <w:lang w:eastAsia="en-US"/>
              </w:rPr>
            </w:pPr>
            <w:r w:rsidRPr="006A58F4">
              <w:rPr>
                <w:rFonts w:asciiTheme="minorHAnsi" w:eastAsia="Times New Roman" w:hAnsiTheme="minorHAnsi"/>
                <w:b/>
                <w:iCs/>
                <w:color w:val="FFFFFF" w:themeColor="background1"/>
                <w:szCs w:val="17"/>
                <w:lang w:eastAsia="en-US"/>
              </w:rPr>
              <w:t>Achieved</w:t>
            </w:r>
          </w:p>
        </w:tc>
        <w:tc>
          <w:tcPr>
            <w:tcW w:w="2970" w:type="pct"/>
          </w:tcPr>
          <w:p w:rsidR="00AA7BE3" w:rsidRPr="00880004" w:rsidRDefault="0038148E" w:rsidP="00AA7BE3">
            <w:pPr>
              <w:pStyle w:val="TableTextEntries"/>
              <w:keepNext/>
              <w:rPr>
                <w:rFonts w:asciiTheme="minorHAnsi" w:hAnsiTheme="minorHAnsi" w:cstheme="minorBidi"/>
                <w:color w:val="495965" w:themeColor="text2"/>
                <w:lang w:val="en-GB" w:eastAsia="en-US"/>
              </w:rPr>
            </w:pPr>
            <w:r>
              <w:rPr>
                <w:rFonts w:asciiTheme="minorHAnsi" w:hAnsiTheme="minorHAnsi" w:cstheme="minorBidi"/>
                <w:color w:val="495965" w:themeColor="text2"/>
                <w:lang w:val="en-GB" w:eastAsia="en-US"/>
              </w:rPr>
              <w:t>89 per cent of funds were programmed in 2016-17.</w:t>
            </w:r>
          </w:p>
          <w:p w:rsidR="00400B0F" w:rsidRPr="00880004" w:rsidRDefault="00400B0F" w:rsidP="006F27B1">
            <w:pPr>
              <w:keepLines/>
              <w:spacing w:before="40" w:after="40" w:line="200" w:lineRule="atLeast"/>
              <w:rPr>
                <w:rFonts w:asciiTheme="minorHAnsi" w:eastAsia="Times New Roman" w:hAnsiTheme="minorHAnsi"/>
                <w:iCs/>
                <w:szCs w:val="17"/>
                <w:lang w:eastAsia="en-US"/>
              </w:rPr>
            </w:pP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7B4865" w:rsidRDefault="007B4865" w:rsidP="007B4865">
      <w:pPr>
        <w:rPr>
          <w:rFonts w:ascii="Franklin Gothic Book" w:eastAsia="Times New Roman" w:hAnsi="Franklin Gothic Book"/>
          <w:b/>
          <w:sz w:val="24"/>
          <w:szCs w:val="24"/>
        </w:rPr>
      </w:pPr>
    </w:p>
    <w:p w:rsidR="00007945" w:rsidRPr="008C201D" w:rsidRDefault="00CE5DF0" w:rsidP="00007945">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 xml:space="preserve">Performance Benchmarks </w:t>
      </w:r>
      <w:r w:rsidR="00320251" w:rsidRPr="007B4865">
        <w:rPr>
          <w:rFonts w:ascii="Franklin Gothic Book" w:eastAsia="Times New Roman" w:hAnsi="Franklin Gothic Book"/>
          <w:b/>
          <w:sz w:val="24"/>
          <w:szCs w:val="24"/>
        </w:rPr>
        <w:t>for remainder of A</w:t>
      </w:r>
      <w:r w:rsidR="007B4865">
        <w:rPr>
          <w:rFonts w:ascii="Franklin Gothic Book" w:eastAsia="Times New Roman" w:hAnsi="Franklin Gothic Book"/>
          <w:b/>
          <w:sz w:val="24"/>
          <w:szCs w:val="24"/>
        </w:rPr>
        <w:t xml:space="preserve">id </w:t>
      </w:r>
      <w:r w:rsidR="00320251" w:rsidRPr="007B4865">
        <w:rPr>
          <w:rFonts w:ascii="Franklin Gothic Book" w:eastAsia="Times New Roman" w:hAnsi="Franklin Gothic Book"/>
          <w:b/>
          <w:sz w:val="24"/>
          <w:szCs w:val="24"/>
        </w:rPr>
        <w:t>I</w:t>
      </w:r>
      <w:r w:rsidR="007B4865">
        <w:rPr>
          <w:rFonts w:ascii="Franklin Gothic Book" w:eastAsia="Times New Roman" w:hAnsi="Franklin Gothic Book"/>
          <w:b/>
          <w:sz w:val="24"/>
          <w:szCs w:val="24"/>
        </w:rPr>
        <w:t xml:space="preserve">nvestment </w:t>
      </w:r>
      <w:r w:rsidR="00320251" w:rsidRPr="007B4865">
        <w:rPr>
          <w:rFonts w:ascii="Franklin Gothic Book" w:eastAsia="Times New Roman" w:hAnsi="Franklin Gothic Book"/>
          <w:b/>
          <w:sz w:val="24"/>
          <w:szCs w:val="24"/>
        </w:rPr>
        <w:t>P</w:t>
      </w:r>
      <w:r w:rsidR="007B4865">
        <w:rPr>
          <w:rFonts w:ascii="Franklin Gothic Book" w:eastAsia="Times New Roman" w:hAnsi="Franklin Gothic Book"/>
          <w:b/>
          <w:sz w:val="24"/>
          <w:szCs w:val="24"/>
        </w:rPr>
        <w:t xml:space="preserve">lan </w:t>
      </w:r>
      <w:r w:rsidR="00320251" w:rsidRPr="007B4865">
        <w:rPr>
          <w:rFonts w:ascii="Franklin Gothic Book" w:eastAsia="Times New Roman" w:hAnsi="Franklin Gothic Book"/>
          <w:b/>
          <w:sz w:val="24"/>
          <w:szCs w:val="24"/>
        </w:rPr>
        <w:t xml:space="preserve"> </w:t>
      </w:r>
      <w:r w:rsidRPr="007B4865">
        <w:rPr>
          <w:rFonts w:ascii="Franklin Gothic Book" w:eastAsia="Times New Roman" w:hAnsi="Franklin Gothic Book"/>
          <w:b/>
          <w:sz w:val="24"/>
          <w:szCs w:val="24"/>
        </w:rPr>
        <w:t xml:space="preserve"> </w:t>
      </w:r>
    </w:p>
    <w:tbl>
      <w:tblPr>
        <w:tblW w:w="12540" w:type="dxa"/>
        <w:tblLook w:val="04A0" w:firstRow="1" w:lastRow="0" w:firstColumn="1" w:lastColumn="0" w:noHBand="0" w:noVBand="1"/>
      </w:tblPr>
      <w:tblGrid>
        <w:gridCol w:w="5060"/>
        <w:gridCol w:w="4600"/>
        <w:gridCol w:w="960"/>
        <w:gridCol w:w="960"/>
        <w:gridCol w:w="960"/>
      </w:tblGrid>
      <w:tr w:rsidR="00810286" w:rsidRPr="00810286" w:rsidTr="00810286">
        <w:trPr>
          <w:trHeight w:val="315"/>
        </w:trPr>
        <w:tc>
          <w:tcPr>
            <w:tcW w:w="5060" w:type="dxa"/>
            <w:tcBorders>
              <w:top w:val="single" w:sz="12" w:space="0" w:color="auto"/>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810286">
              <w:rPr>
                <w:rFonts w:ascii="Calibri Light" w:eastAsia="Times New Roman" w:hAnsi="Calibri Light" w:cs="Times New Roman"/>
                <w:b/>
                <w:bCs/>
                <w:iCs/>
                <w:color w:val="495965"/>
                <w:sz w:val="17"/>
                <w:szCs w:val="17"/>
                <w:lang w:eastAsia="en-AU"/>
              </w:rPr>
              <w:t>Aid objective</w:t>
            </w:r>
          </w:p>
        </w:tc>
        <w:tc>
          <w:tcPr>
            <w:tcW w:w="4600" w:type="dxa"/>
            <w:tcBorders>
              <w:top w:val="single" w:sz="12" w:space="0" w:color="auto"/>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810286">
              <w:rPr>
                <w:rFonts w:ascii="Calibri Light" w:eastAsia="Times New Roman" w:hAnsi="Calibri Light" w:cs="Times New Roman"/>
                <w:b/>
                <w:bCs/>
                <w:iCs/>
                <w:color w:val="495965"/>
                <w:sz w:val="17"/>
                <w:szCs w:val="17"/>
                <w:lang w:eastAsia="en-AU"/>
              </w:rPr>
              <w:t xml:space="preserve">Performance Benchmark </w:t>
            </w:r>
          </w:p>
        </w:tc>
        <w:tc>
          <w:tcPr>
            <w:tcW w:w="960" w:type="dxa"/>
            <w:tcBorders>
              <w:top w:val="single" w:sz="12" w:space="0" w:color="auto"/>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810286">
              <w:rPr>
                <w:rFonts w:ascii="Calibri Light" w:eastAsia="Times New Roman" w:hAnsi="Calibri Light" w:cs="Times New Roman"/>
                <w:b/>
                <w:bCs/>
                <w:color w:val="495965"/>
                <w:sz w:val="17"/>
                <w:lang w:eastAsia="en-AU"/>
              </w:rPr>
              <w:t>2017-18</w:t>
            </w:r>
          </w:p>
        </w:tc>
        <w:tc>
          <w:tcPr>
            <w:tcW w:w="960" w:type="dxa"/>
            <w:tcBorders>
              <w:top w:val="single" w:sz="12" w:space="0" w:color="auto"/>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810286">
              <w:rPr>
                <w:rFonts w:ascii="Calibri Light" w:eastAsia="Times New Roman" w:hAnsi="Calibri Light" w:cs="Times New Roman"/>
                <w:b/>
                <w:bCs/>
                <w:color w:val="495965"/>
                <w:sz w:val="17"/>
                <w:lang w:eastAsia="en-AU"/>
              </w:rPr>
              <w:t>2018-19</w:t>
            </w:r>
          </w:p>
        </w:tc>
        <w:tc>
          <w:tcPr>
            <w:tcW w:w="960" w:type="dxa"/>
            <w:tcBorders>
              <w:top w:val="single" w:sz="12" w:space="0" w:color="auto"/>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810286">
              <w:rPr>
                <w:rFonts w:ascii="Calibri Light" w:eastAsia="Times New Roman" w:hAnsi="Calibri Light" w:cs="Times New Roman"/>
                <w:b/>
                <w:bCs/>
                <w:color w:val="495965"/>
                <w:sz w:val="17"/>
                <w:lang w:eastAsia="en-AU"/>
              </w:rPr>
              <w:t>2019-20</w:t>
            </w:r>
          </w:p>
        </w:tc>
      </w:tr>
      <w:tr w:rsidR="00810286" w:rsidRPr="00810286" w:rsidTr="00810286">
        <w:trPr>
          <w:trHeight w:val="885"/>
        </w:trPr>
        <w:tc>
          <w:tcPr>
            <w:tcW w:w="50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Objective 1: Build resilient infrastructure and an environment for trade and economic opportunity, including in the productive sectors.</w:t>
            </w:r>
          </w:p>
        </w:tc>
        <w:tc>
          <w:tcPr>
            <w:tcW w:w="460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Kilometres of urban roads resealed or asphalt concreted</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8</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p>
        </w:tc>
      </w:tr>
      <w:tr w:rsidR="00810286" w:rsidRPr="00810286" w:rsidTr="00810286">
        <w:trPr>
          <w:trHeight w:val="885"/>
        </w:trPr>
        <w:tc>
          <w:tcPr>
            <w:tcW w:w="50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c>
          <w:tcPr>
            <w:tcW w:w="460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Number of rural bank accounts opened in rural areas</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3,000</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3,000</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p>
        </w:tc>
      </w:tr>
      <w:tr w:rsidR="00810286" w:rsidRPr="00810286" w:rsidTr="00810286">
        <w:trPr>
          <w:trHeight w:val="885"/>
        </w:trPr>
        <w:tc>
          <w:tcPr>
            <w:tcW w:w="50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c>
          <w:tcPr>
            <w:tcW w:w="460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Self-employed TVET trainees reporting higher incomes following training</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80%</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80%</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p>
        </w:tc>
      </w:tr>
      <w:tr w:rsidR="00810286" w:rsidRPr="00810286" w:rsidTr="00810286">
        <w:trPr>
          <w:trHeight w:val="885"/>
        </w:trPr>
        <w:tc>
          <w:tcPr>
            <w:tcW w:w="50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Objective 2: Improve early education and essential health facilities.</w:t>
            </w:r>
          </w:p>
        </w:tc>
        <w:tc>
          <w:tcPr>
            <w:tcW w:w="460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Literacy and numeracy rates in Year 4 students</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51%</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70%</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p>
        </w:tc>
      </w:tr>
      <w:tr w:rsidR="00810286" w:rsidRPr="00810286" w:rsidTr="00810286">
        <w:trPr>
          <w:trHeight w:val="885"/>
        </w:trPr>
        <w:tc>
          <w:tcPr>
            <w:tcW w:w="50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Times New Roman" w:eastAsia="Times New Roman" w:hAnsi="Times New Roman" w:cs="Times New Roman"/>
                <w:color w:val="auto"/>
                <w:sz w:val="20"/>
                <w:szCs w:val="20"/>
                <w:lang w:val="en-AU" w:eastAsia="en-AU"/>
              </w:rPr>
            </w:pPr>
          </w:p>
        </w:tc>
        <w:tc>
          <w:tcPr>
            <w:tcW w:w="460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Rate of immunised children</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87%</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90%</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p>
        </w:tc>
      </w:tr>
      <w:tr w:rsidR="00810286" w:rsidRPr="00810286" w:rsidTr="00810286">
        <w:trPr>
          <w:trHeight w:val="885"/>
        </w:trPr>
        <w:tc>
          <w:tcPr>
            <w:tcW w:w="50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 xml:space="preserve">Objective 3: Improve community safety and resilience. </w:t>
            </w:r>
          </w:p>
        </w:tc>
        <w:tc>
          <w:tcPr>
            <w:tcW w:w="460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Number of women survivors of violence provided counselling, support and legal services</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4,000</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4,000</w:t>
            </w:r>
          </w:p>
        </w:tc>
        <w:tc>
          <w:tcPr>
            <w:tcW w:w="960" w:type="dxa"/>
            <w:tcBorders>
              <w:top w:val="nil"/>
              <w:left w:val="nil"/>
              <w:bottom w:val="nil"/>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p>
        </w:tc>
      </w:tr>
      <w:tr w:rsidR="00810286" w:rsidRPr="00810286" w:rsidTr="00810286">
        <w:trPr>
          <w:trHeight w:val="885"/>
        </w:trPr>
        <w:tc>
          <w:tcPr>
            <w:tcW w:w="5060" w:type="dxa"/>
            <w:tcBorders>
              <w:top w:val="nil"/>
              <w:left w:val="nil"/>
              <w:bottom w:val="single" w:sz="4" w:space="0" w:color="auto"/>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 xml:space="preserve">Objective 4: Supporting cyclone recovery and reconstruction. </w:t>
            </w:r>
          </w:p>
        </w:tc>
        <w:tc>
          <w:tcPr>
            <w:tcW w:w="4600" w:type="dxa"/>
            <w:tcBorders>
              <w:top w:val="nil"/>
              <w:left w:val="nil"/>
              <w:bottom w:val="single" w:sz="4" w:space="0" w:color="auto"/>
              <w:right w:val="nil"/>
            </w:tcBorders>
            <w:shd w:val="clear" w:color="auto" w:fill="auto"/>
            <w:vAlign w:val="center"/>
            <w:hideMark/>
          </w:tcPr>
          <w:p w:rsidR="00810286" w:rsidRPr="00810286" w:rsidRDefault="00810286" w:rsidP="00810286">
            <w:pPr>
              <w:suppressAutoHyphens w:val="0"/>
              <w:spacing w:before="0" w:after="0" w:line="240" w:lineRule="auto"/>
              <w:rPr>
                <w:rFonts w:ascii="Arial" w:eastAsia="Times New Roman" w:hAnsi="Arial" w:cs="Arial"/>
                <w:color w:val="495965"/>
                <w:sz w:val="17"/>
                <w:szCs w:val="17"/>
                <w:lang w:val="en-AU" w:eastAsia="en-AU"/>
              </w:rPr>
            </w:pPr>
            <w:r w:rsidRPr="00810286">
              <w:rPr>
                <w:rFonts w:ascii="Arial" w:eastAsia="Times New Roman" w:hAnsi="Arial" w:cs="Arial"/>
                <w:color w:val="495965"/>
                <w:sz w:val="17"/>
                <w:szCs w:val="17"/>
                <w:lang w:eastAsia="en-AU"/>
              </w:rPr>
              <w:t>Proportion of Australia’s $35m long-term recovery support allocated to recovery projects</w:t>
            </w:r>
          </w:p>
        </w:tc>
        <w:tc>
          <w:tcPr>
            <w:tcW w:w="960" w:type="dxa"/>
            <w:tcBorders>
              <w:top w:val="nil"/>
              <w:left w:val="nil"/>
              <w:bottom w:val="single" w:sz="4" w:space="0" w:color="auto"/>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100%</w:t>
            </w:r>
          </w:p>
        </w:tc>
        <w:tc>
          <w:tcPr>
            <w:tcW w:w="960" w:type="dxa"/>
            <w:tcBorders>
              <w:top w:val="nil"/>
              <w:left w:val="nil"/>
              <w:bottom w:val="single" w:sz="4" w:space="0" w:color="auto"/>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 </w:t>
            </w:r>
          </w:p>
        </w:tc>
        <w:tc>
          <w:tcPr>
            <w:tcW w:w="960" w:type="dxa"/>
            <w:tcBorders>
              <w:top w:val="nil"/>
              <w:left w:val="nil"/>
              <w:bottom w:val="single" w:sz="4" w:space="0" w:color="auto"/>
              <w:right w:val="nil"/>
            </w:tcBorders>
            <w:shd w:val="clear" w:color="auto" w:fill="auto"/>
            <w:vAlign w:val="center"/>
            <w:hideMark/>
          </w:tcPr>
          <w:p w:rsidR="00810286" w:rsidRPr="00810286" w:rsidRDefault="00810286" w:rsidP="00810286">
            <w:pPr>
              <w:suppressAutoHyphens w:val="0"/>
              <w:spacing w:before="0" w:after="0" w:line="240" w:lineRule="auto"/>
              <w:jc w:val="center"/>
              <w:rPr>
                <w:rFonts w:ascii="Arial" w:eastAsia="Times New Roman" w:hAnsi="Arial" w:cs="Arial"/>
                <w:i/>
                <w:iCs/>
                <w:color w:val="808080"/>
                <w:sz w:val="17"/>
                <w:szCs w:val="17"/>
                <w:lang w:val="en-AU" w:eastAsia="en-AU"/>
              </w:rPr>
            </w:pPr>
            <w:r w:rsidRPr="00810286">
              <w:rPr>
                <w:rFonts w:ascii="Arial" w:eastAsia="Times New Roman" w:hAnsi="Arial" w:cs="Arial"/>
                <w:i/>
                <w:iCs/>
                <w:color w:val="808080"/>
                <w:sz w:val="17"/>
                <w:szCs w:val="17"/>
                <w:lang w:eastAsia="en-AU"/>
              </w:rPr>
              <w:t> </w:t>
            </w:r>
          </w:p>
        </w:tc>
      </w:tr>
    </w:tbl>
    <w:p w:rsidR="00400B0F" w:rsidRDefault="00400B0F">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rsidR="00400B0F" w:rsidRPr="00784031" w:rsidRDefault="00400B0F" w:rsidP="00784031">
      <w:pPr>
        <w:pStyle w:val="Subtitle"/>
        <w:numPr>
          <w:ilvl w:val="0"/>
          <w:numId w:val="0"/>
        </w:numPr>
      </w:pPr>
      <w:r w:rsidRPr="00784031">
        <w:lastRenderedPageBreak/>
        <w:t>Annex C - Evaluation Planning</w:t>
      </w:r>
    </w:p>
    <w:p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number and name </w:t>
            </w:r>
          </w:p>
          <w:p w:rsidR="00400B0F" w:rsidRPr="00880004" w:rsidRDefault="00400B0F" w:rsidP="006F27B1">
            <w:pPr>
              <w:keepLines/>
              <w:spacing w:line="200" w:lineRule="atLeast"/>
              <w:rPr>
                <w:rFonts w:asciiTheme="minorHAnsi" w:eastAsia="Times New Roman" w:hAnsiTheme="minorHAnsi"/>
                <w:b w:val="0"/>
                <w:iCs/>
                <w:szCs w:val="17"/>
                <w:lang w:eastAsia="en-US"/>
              </w:rPr>
            </w:pPr>
            <w:r w:rsidRPr="00880004">
              <w:rPr>
                <w:rFonts w:asciiTheme="minorHAnsi" w:eastAsia="Times New Roman" w:hAnsiTheme="minorHAnsi"/>
                <w:iCs/>
                <w:szCs w:val="17"/>
                <w:lang w:eastAsia="en-US"/>
              </w:rPr>
              <w:t xml:space="preserve">(if applicable) </w:t>
            </w:r>
          </w:p>
        </w:tc>
        <w:tc>
          <w:tcPr>
            <w:tcW w:w="4657"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Name of evaluation</w:t>
            </w:r>
          </w:p>
        </w:tc>
        <w:tc>
          <w:tcPr>
            <w:tcW w:w="1397"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completed</w:t>
            </w:r>
          </w:p>
        </w:tc>
        <w:tc>
          <w:tcPr>
            <w:tcW w:w="1953"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Evaluation report Uploaded into AidWorks</w:t>
            </w:r>
          </w:p>
        </w:tc>
        <w:tc>
          <w:tcPr>
            <w:tcW w:w="1671"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Management response uploaded into AidWorks</w:t>
            </w:r>
          </w:p>
        </w:tc>
        <w:tc>
          <w:tcPr>
            <w:tcW w:w="1515"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Published on website</w:t>
            </w:r>
          </w:p>
        </w:tc>
      </w:tr>
      <w:tr w:rsidR="00935A69"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935A69" w:rsidRPr="00880004" w:rsidRDefault="00935A69" w:rsidP="00935A69">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INK455 Governance for Growth (Phase II)</w:t>
            </w:r>
          </w:p>
        </w:tc>
        <w:tc>
          <w:tcPr>
            <w:tcW w:w="4657" w:type="dxa"/>
          </w:tcPr>
          <w:p w:rsidR="00935A69" w:rsidRPr="00880004" w:rsidRDefault="00935A69" w:rsidP="00935A69">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Vanuatu Governance for Growth Program - Review</w:t>
            </w:r>
          </w:p>
        </w:tc>
        <w:tc>
          <w:tcPr>
            <w:tcW w:w="1397" w:type="dxa"/>
          </w:tcPr>
          <w:p w:rsidR="00935A69" w:rsidRPr="00EE6D41" w:rsidRDefault="008B6C7F" w:rsidP="008B6C7F">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A</w:t>
            </w:r>
            <w:r>
              <w:rPr>
                <w:rFonts w:asciiTheme="minorHAnsi" w:eastAsia="Times New Roman" w:hAnsiTheme="minorHAnsi"/>
                <w:b w:val="0"/>
                <w:iCs/>
                <w:szCs w:val="17"/>
                <w:lang w:eastAsia="en-US"/>
              </w:rPr>
              <w:t>pril</w:t>
            </w:r>
            <w:r w:rsidRPr="00EE6D41">
              <w:rPr>
                <w:rFonts w:asciiTheme="minorHAnsi" w:eastAsia="Times New Roman" w:hAnsiTheme="minorHAnsi"/>
                <w:b w:val="0"/>
                <w:iCs/>
                <w:szCs w:val="17"/>
                <w:lang w:eastAsia="en-US"/>
              </w:rPr>
              <w:t xml:space="preserve"> 2017</w:t>
            </w:r>
          </w:p>
        </w:tc>
        <w:tc>
          <w:tcPr>
            <w:tcW w:w="1953" w:type="dxa"/>
          </w:tcPr>
          <w:p w:rsidR="00935A69" w:rsidRPr="00EE6D41" w:rsidRDefault="008B6C7F" w:rsidP="00935A69">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10 August 2017</w:t>
            </w:r>
          </w:p>
        </w:tc>
        <w:tc>
          <w:tcPr>
            <w:tcW w:w="1671" w:type="dxa"/>
          </w:tcPr>
          <w:p w:rsidR="00935A69" w:rsidRPr="00EE6D41" w:rsidRDefault="00EE6D41" w:rsidP="00935A69">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n/a</w:t>
            </w:r>
          </w:p>
        </w:tc>
        <w:tc>
          <w:tcPr>
            <w:tcW w:w="1515" w:type="dxa"/>
          </w:tcPr>
          <w:p w:rsidR="00935A69" w:rsidRPr="00EE6D41" w:rsidRDefault="00F37F65" w:rsidP="00935A69">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 publication</w:t>
            </w:r>
          </w:p>
        </w:tc>
      </w:tr>
      <w:tr w:rsidR="00935A69"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935A69" w:rsidRPr="0036670D" w:rsidRDefault="00935A69" w:rsidP="00935A69">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INK455 Governance for Growth (Phase II)</w:t>
            </w:r>
          </w:p>
        </w:tc>
        <w:tc>
          <w:tcPr>
            <w:tcW w:w="4657" w:type="dxa"/>
          </w:tcPr>
          <w:p w:rsidR="00935A69" w:rsidRPr="0036670D" w:rsidRDefault="0036670D" w:rsidP="00935A69">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Overseas Development Institute</w:t>
            </w:r>
            <w:r w:rsidR="00935A69" w:rsidRPr="0036670D">
              <w:rPr>
                <w:rFonts w:asciiTheme="minorHAnsi" w:eastAsia="Times New Roman" w:hAnsiTheme="minorHAnsi"/>
                <w:b w:val="0"/>
                <w:iCs/>
                <w:szCs w:val="17"/>
                <w:lang w:eastAsia="en-US"/>
              </w:rPr>
              <w:t xml:space="preserve"> Review – Governance for Growth in Vanuatu</w:t>
            </w:r>
          </w:p>
        </w:tc>
        <w:tc>
          <w:tcPr>
            <w:tcW w:w="1397" w:type="dxa"/>
          </w:tcPr>
          <w:p w:rsidR="00935A69" w:rsidRPr="0036670D" w:rsidRDefault="008B6C7F" w:rsidP="00935A69">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June </w:t>
            </w:r>
            <w:r w:rsidRPr="001D257C">
              <w:rPr>
                <w:rFonts w:asciiTheme="minorHAnsi" w:eastAsia="Times New Roman" w:hAnsiTheme="minorHAnsi"/>
                <w:b w:val="0"/>
                <w:iCs/>
                <w:szCs w:val="17"/>
                <w:lang w:eastAsia="en-US"/>
              </w:rPr>
              <w:t>2017</w:t>
            </w:r>
          </w:p>
        </w:tc>
        <w:tc>
          <w:tcPr>
            <w:tcW w:w="1953" w:type="dxa"/>
          </w:tcPr>
          <w:p w:rsidR="00935A69" w:rsidRPr="00EE6D41" w:rsidRDefault="008B6C7F" w:rsidP="00935A69">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10 August 2017</w:t>
            </w:r>
          </w:p>
        </w:tc>
        <w:tc>
          <w:tcPr>
            <w:tcW w:w="1671" w:type="dxa"/>
          </w:tcPr>
          <w:p w:rsidR="00935A69" w:rsidRPr="00EE6D41" w:rsidRDefault="00EE6D41" w:rsidP="00935A69">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10 August 2017</w:t>
            </w:r>
          </w:p>
        </w:tc>
        <w:tc>
          <w:tcPr>
            <w:tcW w:w="1515" w:type="dxa"/>
          </w:tcPr>
          <w:p w:rsidR="00935A69" w:rsidRPr="00EE6D41" w:rsidRDefault="00EE6D41" w:rsidP="00935A69">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July 2017 (ODI website)</w:t>
            </w:r>
          </w:p>
        </w:tc>
      </w:tr>
      <w:tr w:rsidR="00935A69"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935A69" w:rsidRPr="0036670D" w:rsidRDefault="00935A69" w:rsidP="00935A69">
            <w:pPr>
              <w:keepLines/>
              <w:spacing w:before="40" w:after="40" w:line="200" w:lineRule="atLeast"/>
              <w:rPr>
                <w:rFonts w:asciiTheme="minorHAnsi" w:eastAsia="Times New Roman" w:hAnsiTheme="minorHAnsi"/>
                <w:b w:val="0"/>
                <w:iCs/>
                <w:szCs w:val="17"/>
                <w:lang w:eastAsia="en-US"/>
              </w:rPr>
            </w:pPr>
            <w:r w:rsidRPr="0036670D">
              <w:rPr>
                <w:rFonts w:asciiTheme="minorHAnsi" w:eastAsia="Times New Roman" w:hAnsiTheme="minorHAnsi"/>
                <w:b w:val="0"/>
                <w:iCs/>
                <w:szCs w:val="17"/>
                <w:lang w:eastAsia="en-US"/>
              </w:rPr>
              <w:t>INK372 Vanuatu Education Support Program (VESP)</w:t>
            </w:r>
          </w:p>
        </w:tc>
        <w:tc>
          <w:tcPr>
            <w:tcW w:w="4657" w:type="dxa"/>
          </w:tcPr>
          <w:p w:rsidR="00935A69" w:rsidRPr="0036670D" w:rsidRDefault="00935A69" w:rsidP="00935A69">
            <w:pPr>
              <w:keepLines/>
              <w:spacing w:before="40" w:after="40" w:line="200" w:lineRule="atLeast"/>
              <w:rPr>
                <w:rFonts w:asciiTheme="minorHAnsi" w:eastAsia="Times New Roman" w:hAnsiTheme="minorHAnsi"/>
                <w:b w:val="0"/>
                <w:iCs/>
                <w:szCs w:val="17"/>
                <w:lang w:eastAsia="en-US"/>
              </w:rPr>
            </w:pPr>
            <w:r w:rsidRPr="0036670D">
              <w:rPr>
                <w:rFonts w:asciiTheme="minorHAnsi" w:eastAsia="Times New Roman" w:hAnsiTheme="minorHAnsi"/>
                <w:b w:val="0"/>
                <w:iCs/>
                <w:szCs w:val="17"/>
                <w:lang w:eastAsia="en-US"/>
              </w:rPr>
              <w:t>VESP 2013-2017: Mid-Term Review</w:t>
            </w:r>
          </w:p>
        </w:tc>
        <w:tc>
          <w:tcPr>
            <w:tcW w:w="1397" w:type="dxa"/>
          </w:tcPr>
          <w:p w:rsidR="00935A69" w:rsidRPr="0036670D" w:rsidRDefault="00935A69" w:rsidP="00935A69">
            <w:pPr>
              <w:keepLines/>
              <w:spacing w:line="200" w:lineRule="atLeast"/>
              <w:rPr>
                <w:rFonts w:asciiTheme="minorHAnsi" w:eastAsia="Times New Roman" w:hAnsiTheme="minorHAnsi"/>
                <w:b w:val="0"/>
                <w:iCs/>
                <w:szCs w:val="17"/>
                <w:lang w:eastAsia="en-US"/>
              </w:rPr>
            </w:pPr>
            <w:r w:rsidRPr="0036670D">
              <w:rPr>
                <w:rFonts w:asciiTheme="minorHAnsi" w:eastAsia="Times New Roman" w:hAnsiTheme="minorHAnsi"/>
                <w:b w:val="0"/>
                <w:iCs/>
                <w:szCs w:val="17"/>
                <w:lang w:eastAsia="en-US"/>
              </w:rPr>
              <w:t>December 2016</w:t>
            </w:r>
          </w:p>
        </w:tc>
        <w:tc>
          <w:tcPr>
            <w:tcW w:w="1953" w:type="dxa"/>
          </w:tcPr>
          <w:p w:rsidR="00935A69" w:rsidRPr="00826B8D" w:rsidRDefault="008B6C7F" w:rsidP="00935A69">
            <w:pPr>
              <w:keepLines/>
              <w:spacing w:line="200" w:lineRule="atLeast"/>
              <w:rPr>
                <w:rFonts w:asciiTheme="minorHAnsi" w:eastAsia="Times New Roman" w:hAnsiTheme="minorHAnsi"/>
                <w:b w:val="0"/>
                <w:iCs/>
                <w:szCs w:val="17"/>
                <w:lang w:eastAsia="en-US"/>
              </w:rPr>
            </w:pPr>
            <w:r w:rsidRPr="00BF7D92">
              <w:rPr>
                <w:rFonts w:asciiTheme="minorHAnsi" w:eastAsia="Times New Roman" w:hAnsiTheme="minorHAnsi"/>
                <w:b w:val="0"/>
                <w:iCs/>
                <w:szCs w:val="17"/>
                <w:lang w:eastAsia="en-US"/>
              </w:rPr>
              <w:t>24 April 2017</w:t>
            </w:r>
          </w:p>
        </w:tc>
        <w:tc>
          <w:tcPr>
            <w:tcW w:w="1671" w:type="dxa"/>
          </w:tcPr>
          <w:p w:rsidR="00935A69" w:rsidRPr="00826B8D" w:rsidRDefault="00EE6D41" w:rsidP="00935A69">
            <w:pPr>
              <w:keepLines/>
              <w:spacing w:line="200" w:lineRule="atLeast"/>
              <w:rPr>
                <w:rFonts w:asciiTheme="minorHAnsi" w:eastAsia="Times New Roman" w:hAnsiTheme="minorHAnsi"/>
                <w:b w:val="0"/>
                <w:iCs/>
                <w:szCs w:val="17"/>
                <w:lang w:eastAsia="en-US"/>
              </w:rPr>
            </w:pPr>
            <w:r w:rsidRPr="00BF7D92">
              <w:rPr>
                <w:rFonts w:asciiTheme="minorHAnsi" w:eastAsia="Times New Roman" w:hAnsiTheme="minorHAnsi"/>
                <w:b w:val="0"/>
                <w:iCs/>
                <w:szCs w:val="17"/>
                <w:lang w:eastAsia="en-US"/>
              </w:rPr>
              <w:t>10 August 2017</w:t>
            </w:r>
          </w:p>
        </w:tc>
        <w:tc>
          <w:tcPr>
            <w:tcW w:w="1515" w:type="dxa"/>
          </w:tcPr>
          <w:p w:rsidR="00935A69" w:rsidRPr="0038148E" w:rsidRDefault="0038148E" w:rsidP="00935A69">
            <w:pPr>
              <w:keepLines/>
              <w:spacing w:line="200" w:lineRule="atLeast"/>
              <w:rPr>
                <w:rFonts w:asciiTheme="minorHAnsi" w:eastAsia="Times New Roman" w:hAnsiTheme="minorHAnsi"/>
                <w:b w:val="0"/>
                <w:iCs/>
                <w:szCs w:val="17"/>
                <w:lang w:eastAsia="en-US"/>
              </w:rPr>
            </w:pPr>
            <w:r w:rsidRPr="0038148E">
              <w:rPr>
                <w:rFonts w:asciiTheme="minorHAnsi" w:eastAsia="Times New Roman" w:hAnsiTheme="minorHAnsi"/>
                <w:b w:val="0"/>
                <w:iCs/>
                <w:szCs w:val="17"/>
                <w:lang w:eastAsia="en-US"/>
              </w:rPr>
              <w:t>August 2017</w:t>
            </w:r>
          </w:p>
        </w:tc>
      </w:tr>
      <w:tr w:rsidR="00935A69"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935A69" w:rsidRPr="0036670D" w:rsidRDefault="00935A69" w:rsidP="00935A69">
            <w:pPr>
              <w:keepLines/>
              <w:spacing w:before="40" w:after="40" w:line="200" w:lineRule="atLeast"/>
              <w:rPr>
                <w:rFonts w:asciiTheme="minorHAnsi" w:eastAsia="Times New Roman" w:hAnsiTheme="minorHAnsi"/>
                <w:b w:val="0"/>
                <w:iCs/>
                <w:szCs w:val="17"/>
                <w:lang w:eastAsia="en-US"/>
              </w:rPr>
            </w:pPr>
            <w:r w:rsidRPr="0036670D">
              <w:rPr>
                <w:rFonts w:asciiTheme="minorHAnsi" w:eastAsia="Times New Roman" w:hAnsiTheme="minorHAnsi"/>
                <w:b w:val="0"/>
                <w:iCs/>
                <w:szCs w:val="17"/>
                <w:lang w:eastAsia="en-US"/>
              </w:rPr>
              <w:t>INK372 Vanuatu Education Support Program</w:t>
            </w:r>
          </w:p>
        </w:tc>
        <w:tc>
          <w:tcPr>
            <w:tcW w:w="4657" w:type="dxa"/>
          </w:tcPr>
          <w:p w:rsidR="00935A69" w:rsidRPr="0036670D" w:rsidRDefault="00935A69" w:rsidP="00935A69">
            <w:pPr>
              <w:keepLines/>
              <w:spacing w:before="40" w:after="40" w:line="200" w:lineRule="atLeast"/>
              <w:rPr>
                <w:rFonts w:asciiTheme="minorHAnsi" w:eastAsia="Times New Roman" w:hAnsiTheme="minorHAnsi"/>
                <w:b w:val="0"/>
                <w:iCs/>
                <w:szCs w:val="17"/>
                <w:lang w:eastAsia="en-US"/>
              </w:rPr>
            </w:pPr>
            <w:r w:rsidRPr="0036670D">
              <w:rPr>
                <w:rFonts w:asciiTheme="minorHAnsi" w:eastAsia="Times New Roman" w:hAnsiTheme="minorHAnsi"/>
                <w:b w:val="0"/>
                <w:iCs/>
                <w:szCs w:val="17"/>
                <w:lang w:eastAsia="en-US"/>
              </w:rPr>
              <w:t xml:space="preserve">Strengthening Early Childhood Care and Education – Programme Completion Report </w:t>
            </w:r>
          </w:p>
        </w:tc>
        <w:tc>
          <w:tcPr>
            <w:tcW w:w="1397" w:type="dxa"/>
          </w:tcPr>
          <w:p w:rsidR="00935A69" w:rsidRPr="0036670D" w:rsidRDefault="00935A69" w:rsidP="00935A69">
            <w:pPr>
              <w:keepLines/>
              <w:spacing w:line="200" w:lineRule="atLeast"/>
              <w:rPr>
                <w:rFonts w:asciiTheme="minorHAnsi" w:eastAsia="Times New Roman" w:hAnsiTheme="minorHAnsi"/>
                <w:b w:val="0"/>
                <w:iCs/>
                <w:szCs w:val="17"/>
                <w:lang w:eastAsia="en-US"/>
              </w:rPr>
            </w:pPr>
            <w:r w:rsidRPr="0036670D">
              <w:rPr>
                <w:rFonts w:asciiTheme="minorHAnsi" w:eastAsia="Times New Roman" w:hAnsiTheme="minorHAnsi"/>
                <w:b w:val="0"/>
                <w:iCs/>
                <w:szCs w:val="17"/>
                <w:lang w:eastAsia="en-US"/>
              </w:rPr>
              <w:t xml:space="preserve">February 2017 </w:t>
            </w:r>
          </w:p>
        </w:tc>
        <w:tc>
          <w:tcPr>
            <w:tcW w:w="1953" w:type="dxa"/>
          </w:tcPr>
          <w:p w:rsidR="00935A69" w:rsidRPr="00EE6D41" w:rsidRDefault="008B6C7F" w:rsidP="00935A69">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24 April 2017</w:t>
            </w:r>
          </w:p>
        </w:tc>
        <w:tc>
          <w:tcPr>
            <w:tcW w:w="1671" w:type="dxa"/>
          </w:tcPr>
          <w:p w:rsidR="00935A69" w:rsidRPr="00EE6D41" w:rsidRDefault="00EE6D41" w:rsidP="00935A69">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10 August 2017</w:t>
            </w:r>
          </w:p>
        </w:tc>
        <w:tc>
          <w:tcPr>
            <w:tcW w:w="1515" w:type="dxa"/>
          </w:tcPr>
          <w:p w:rsidR="00935A69" w:rsidRPr="0038148E" w:rsidRDefault="0038148E" w:rsidP="00935A69">
            <w:pPr>
              <w:keepLines/>
              <w:spacing w:line="200" w:lineRule="atLeast"/>
              <w:rPr>
                <w:rFonts w:asciiTheme="minorHAnsi" w:eastAsia="Times New Roman" w:hAnsiTheme="minorHAnsi"/>
                <w:b w:val="0"/>
                <w:iCs/>
                <w:szCs w:val="17"/>
                <w:lang w:eastAsia="en-US"/>
              </w:rPr>
            </w:pPr>
            <w:r w:rsidRPr="0038148E">
              <w:rPr>
                <w:rFonts w:asciiTheme="minorHAnsi" w:eastAsia="Times New Roman" w:hAnsiTheme="minorHAnsi"/>
                <w:b w:val="0"/>
                <w:iCs/>
                <w:szCs w:val="17"/>
                <w:lang w:eastAsia="en-US"/>
              </w:rPr>
              <w:t>August 2017</w:t>
            </w:r>
          </w:p>
        </w:tc>
      </w:tr>
      <w:tr w:rsidR="00935A69"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935A69" w:rsidRPr="0036670D" w:rsidRDefault="000D74F9" w:rsidP="00935A69">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INK721 Port Vila Urban D</w:t>
            </w:r>
            <w:r w:rsidR="00935A69" w:rsidRPr="0036670D">
              <w:rPr>
                <w:rFonts w:asciiTheme="minorHAnsi" w:eastAsia="Times New Roman" w:hAnsiTheme="minorHAnsi"/>
                <w:b w:val="0"/>
                <w:iCs/>
                <w:szCs w:val="17"/>
                <w:lang w:eastAsia="en-US"/>
              </w:rPr>
              <w:t>evelopment Project (PVUDP)</w:t>
            </w:r>
          </w:p>
        </w:tc>
        <w:tc>
          <w:tcPr>
            <w:tcW w:w="4657" w:type="dxa"/>
          </w:tcPr>
          <w:p w:rsidR="00935A69" w:rsidRPr="0036670D" w:rsidRDefault="00935A69" w:rsidP="00935A69">
            <w:pPr>
              <w:keepLines/>
              <w:spacing w:before="40" w:after="40" w:line="200" w:lineRule="atLeast"/>
              <w:rPr>
                <w:rFonts w:asciiTheme="minorHAnsi" w:eastAsia="Times New Roman" w:hAnsiTheme="minorHAnsi"/>
                <w:b w:val="0"/>
                <w:iCs/>
                <w:szCs w:val="17"/>
                <w:lang w:eastAsia="en-US"/>
              </w:rPr>
            </w:pPr>
            <w:r w:rsidRPr="0036670D">
              <w:rPr>
                <w:rFonts w:asciiTheme="minorHAnsi" w:eastAsia="Times New Roman" w:hAnsiTheme="minorHAnsi"/>
                <w:b w:val="0"/>
                <w:iCs/>
                <w:szCs w:val="17"/>
                <w:lang w:eastAsia="en-US"/>
              </w:rPr>
              <w:t>PVUDP Mid-Term Review by the Asian Development Bank</w:t>
            </w:r>
          </w:p>
        </w:tc>
        <w:tc>
          <w:tcPr>
            <w:tcW w:w="1397" w:type="dxa"/>
          </w:tcPr>
          <w:p w:rsidR="00935A69" w:rsidRPr="0036670D" w:rsidRDefault="008B6C7F" w:rsidP="00935A69">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February 2016</w:t>
            </w:r>
          </w:p>
        </w:tc>
        <w:tc>
          <w:tcPr>
            <w:tcW w:w="1953" w:type="dxa"/>
          </w:tcPr>
          <w:p w:rsidR="00935A69" w:rsidRPr="00EE6D41" w:rsidRDefault="008B6C7F" w:rsidP="00935A69">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10 August 2016</w:t>
            </w:r>
          </w:p>
        </w:tc>
        <w:tc>
          <w:tcPr>
            <w:tcW w:w="1671" w:type="dxa"/>
          </w:tcPr>
          <w:p w:rsidR="00935A69" w:rsidRPr="00EE6D41" w:rsidRDefault="00EE6D41" w:rsidP="00935A69">
            <w:pPr>
              <w:keepLines/>
              <w:spacing w:line="200" w:lineRule="atLeast"/>
              <w:rPr>
                <w:rFonts w:asciiTheme="minorHAnsi" w:eastAsia="Times New Roman" w:hAnsiTheme="minorHAnsi"/>
                <w:b w:val="0"/>
                <w:iCs/>
                <w:szCs w:val="17"/>
                <w:lang w:eastAsia="en-US"/>
              </w:rPr>
            </w:pPr>
            <w:r w:rsidRPr="00EE6D41">
              <w:rPr>
                <w:rFonts w:asciiTheme="minorHAnsi" w:eastAsia="Times New Roman" w:hAnsiTheme="minorHAnsi"/>
                <w:b w:val="0"/>
                <w:iCs/>
                <w:szCs w:val="17"/>
                <w:lang w:eastAsia="en-US"/>
              </w:rPr>
              <w:t>19 August 2016</w:t>
            </w:r>
          </w:p>
        </w:tc>
        <w:tc>
          <w:tcPr>
            <w:tcW w:w="1515" w:type="dxa"/>
          </w:tcPr>
          <w:p w:rsidR="00935A69" w:rsidRPr="00BF7D92" w:rsidRDefault="00374A65" w:rsidP="00935A69">
            <w:pPr>
              <w:keepLines/>
              <w:spacing w:line="200" w:lineRule="atLeast"/>
              <w:rPr>
                <w:rFonts w:asciiTheme="minorHAnsi" w:eastAsia="Times New Roman" w:hAnsiTheme="minorHAnsi"/>
                <w:b w:val="0"/>
                <w:iCs/>
                <w:szCs w:val="17"/>
                <w:lang w:eastAsia="en-US"/>
              </w:rPr>
            </w:pPr>
            <w:r w:rsidRPr="00BF7D92">
              <w:rPr>
                <w:rFonts w:asciiTheme="minorHAnsi" w:eastAsia="Times New Roman" w:hAnsiTheme="minorHAnsi"/>
                <w:b w:val="0"/>
                <w:iCs/>
                <w:szCs w:val="17"/>
                <w:lang w:eastAsia="en-US"/>
              </w:rPr>
              <w:t>Pending publication</w:t>
            </w:r>
          </w:p>
        </w:tc>
      </w:tr>
      <w:tr w:rsidR="000A1221"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0A1221" w:rsidRPr="00BF7D92" w:rsidRDefault="000A1221" w:rsidP="00935A69">
            <w:pPr>
              <w:keepLines/>
              <w:spacing w:before="40" w:after="40" w:line="200" w:lineRule="atLeast"/>
              <w:rPr>
                <w:rFonts w:asciiTheme="minorHAnsi" w:eastAsia="Times New Roman" w:hAnsiTheme="minorHAnsi"/>
                <w:b w:val="0"/>
                <w:iCs/>
                <w:szCs w:val="17"/>
                <w:lang w:eastAsia="en-US"/>
              </w:rPr>
            </w:pPr>
            <w:r w:rsidRPr="00BF7D92">
              <w:rPr>
                <w:rFonts w:asciiTheme="minorHAnsi" w:eastAsia="Times New Roman" w:hAnsiTheme="minorHAnsi"/>
                <w:b w:val="0"/>
                <w:iCs/>
                <w:szCs w:val="17"/>
                <w:lang w:eastAsia="en-US"/>
              </w:rPr>
              <w:t>Tropical Cyclone Pam Recovery Package</w:t>
            </w:r>
          </w:p>
        </w:tc>
        <w:tc>
          <w:tcPr>
            <w:tcW w:w="4657" w:type="dxa"/>
          </w:tcPr>
          <w:p w:rsidR="000A1221" w:rsidRPr="00BF7D92" w:rsidRDefault="000A1221" w:rsidP="00935A69">
            <w:pPr>
              <w:keepLines/>
              <w:spacing w:before="40" w:after="40" w:line="200" w:lineRule="atLeast"/>
              <w:rPr>
                <w:rFonts w:asciiTheme="minorHAnsi" w:eastAsia="Times New Roman" w:hAnsiTheme="minorHAnsi"/>
                <w:b w:val="0"/>
                <w:iCs/>
                <w:szCs w:val="17"/>
                <w:lang w:eastAsia="en-US"/>
              </w:rPr>
            </w:pPr>
            <w:r w:rsidRPr="00BF7D92">
              <w:rPr>
                <w:rFonts w:asciiTheme="minorHAnsi" w:eastAsia="Times New Roman" w:hAnsiTheme="minorHAnsi"/>
                <w:b w:val="0"/>
                <w:iCs/>
                <w:szCs w:val="17"/>
                <w:lang w:eastAsia="en-US"/>
              </w:rPr>
              <w:t>Humanitarian Assistance in the Pacific: An evaluation of the effectiveness of Australia’s response to cyclone Pam</w:t>
            </w:r>
          </w:p>
        </w:tc>
        <w:tc>
          <w:tcPr>
            <w:tcW w:w="1397" w:type="dxa"/>
          </w:tcPr>
          <w:p w:rsidR="000A1221" w:rsidRPr="00BF7D92" w:rsidRDefault="000A1221" w:rsidP="00935A69">
            <w:pPr>
              <w:keepLines/>
              <w:spacing w:line="200" w:lineRule="atLeast"/>
              <w:rPr>
                <w:rFonts w:asciiTheme="minorHAnsi" w:eastAsia="Times New Roman" w:hAnsiTheme="minorHAnsi"/>
                <w:b w:val="0"/>
                <w:iCs/>
                <w:szCs w:val="17"/>
                <w:lang w:eastAsia="en-US"/>
              </w:rPr>
            </w:pPr>
            <w:r w:rsidRPr="00BF7D92">
              <w:rPr>
                <w:rFonts w:asciiTheme="minorHAnsi" w:eastAsia="Times New Roman" w:hAnsiTheme="minorHAnsi"/>
                <w:b w:val="0"/>
                <w:iCs/>
                <w:szCs w:val="17"/>
                <w:lang w:eastAsia="en-US"/>
              </w:rPr>
              <w:t>February 2017</w:t>
            </w:r>
          </w:p>
        </w:tc>
        <w:tc>
          <w:tcPr>
            <w:tcW w:w="1953" w:type="dxa"/>
          </w:tcPr>
          <w:p w:rsidR="000A1221" w:rsidRPr="00BF7D92" w:rsidRDefault="003E2091" w:rsidP="00935A69">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671" w:type="dxa"/>
          </w:tcPr>
          <w:p w:rsidR="000A1221" w:rsidRPr="0036515B" w:rsidRDefault="003E2091" w:rsidP="00935A69">
            <w:pPr>
              <w:keepLines/>
              <w:spacing w:line="200" w:lineRule="atLeast"/>
              <w:rPr>
                <w:rFonts w:eastAsia="Times New Roman"/>
                <w:b w:val="0"/>
                <w:iCs/>
                <w:szCs w:val="17"/>
              </w:rPr>
            </w:pPr>
            <w:r>
              <w:rPr>
                <w:rFonts w:eastAsia="Times New Roman"/>
                <w:b w:val="0"/>
                <w:iCs/>
                <w:szCs w:val="17"/>
              </w:rPr>
              <w:t>n/a</w:t>
            </w:r>
          </w:p>
        </w:tc>
        <w:tc>
          <w:tcPr>
            <w:tcW w:w="1515" w:type="dxa"/>
          </w:tcPr>
          <w:p w:rsidR="000A1221" w:rsidRPr="00910C9A" w:rsidRDefault="000A1221" w:rsidP="00935A69">
            <w:pPr>
              <w:keepLines/>
              <w:spacing w:line="200" w:lineRule="atLeast"/>
              <w:rPr>
                <w:rFonts w:eastAsia="Times New Roman"/>
                <w:b w:val="0"/>
                <w:iCs/>
                <w:szCs w:val="17"/>
                <w:highlight w:val="cyan"/>
              </w:rPr>
            </w:pPr>
            <w:r w:rsidRPr="00BF7D92">
              <w:rPr>
                <w:rFonts w:asciiTheme="minorHAnsi" w:eastAsia="Times New Roman" w:hAnsiTheme="minorHAnsi"/>
                <w:b w:val="0"/>
                <w:iCs/>
                <w:szCs w:val="17"/>
                <w:lang w:eastAsia="en-US"/>
              </w:rPr>
              <w:t>February 2017</w:t>
            </w:r>
          </w:p>
        </w:tc>
      </w:tr>
      <w:tr w:rsidR="00935A69"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935A69" w:rsidRDefault="00935A69" w:rsidP="00935A69">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INK771 Vanuatu Transport Sector Support Program Phase 2</w:t>
            </w:r>
          </w:p>
          <w:p w:rsidR="00211B55" w:rsidRDefault="00211B55" w:rsidP="00935A69">
            <w:pPr>
              <w:keepLines/>
              <w:spacing w:before="40" w:after="40" w:line="200" w:lineRule="atLeast"/>
              <w:rPr>
                <w:rFonts w:asciiTheme="minorHAnsi" w:eastAsia="Times New Roman" w:hAnsiTheme="minorHAnsi"/>
                <w:b w:val="0"/>
                <w:iCs/>
                <w:szCs w:val="17"/>
                <w:lang w:eastAsia="en-US"/>
              </w:rPr>
            </w:pPr>
          </w:p>
          <w:p w:rsidR="00211B55" w:rsidRPr="00880004" w:rsidRDefault="00211B55" w:rsidP="00935A69">
            <w:pPr>
              <w:keepLines/>
              <w:spacing w:before="40" w:after="40" w:line="200" w:lineRule="atLeast"/>
              <w:rPr>
                <w:rFonts w:asciiTheme="minorHAnsi" w:eastAsia="Times New Roman" w:hAnsiTheme="minorHAnsi"/>
                <w:b w:val="0"/>
                <w:iCs/>
                <w:szCs w:val="17"/>
                <w:lang w:eastAsia="en-US"/>
              </w:rPr>
            </w:pPr>
          </w:p>
        </w:tc>
        <w:tc>
          <w:tcPr>
            <w:tcW w:w="4657" w:type="dxa"/>
          </w:tcPr>
          <w:p w:rsidR="00935A69" w:rsidRDefault="00935A69" w:rsidP="00935A69">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Independent Evaluation</w:t>
            </w:r>
          </w:p>
          <w:p w:rsidR="00211B55" w:rsidRDefault="00211B55" w:rsidP="00935A69">
            <w:pPr>
              <w:keepLines/>
              <w:spacing w:before="40" w:after="40" w:line="200" w:lineRule="atLeast"/>
              <w:rPr>
                <w:rFonts w:asciiTheme="minorHAnsi" w:eastAsia="Times New Roman" w:hAnsiTheme="minorHAnsi"/>
                <w:b w:val="0"/>
                <w:iCs/>
                <w:szCs w:val="17"/>
                <w:lang w:eastAsia="en-US"/>
              </w:rPr>
            </w:pPr>
          </w:p>
          <w:p w:rsidR="00211B55" w:rsidRDefault="00211B55" w:rsidP="00935A69">
            <w:pPr>
              <w:keepLines/>
              <w:spacing w:before="40" w:after="40" w:line="200" w:lineRule="atLeast"/>
              <w:rPr>
                <w:rFonts w:asciiTheme="minorHAnsi" w:eastAsia="Times New Roman" w:hAnsiTheme="minorHAnsi"/>
                <w:b w:val="0"/>
                <w:iCs/>
                <w:szCs w:val="17"/>
                <w:lang w:eastAsia="en-US"/>
              </w:rPr>
            </w:pPr>
          </w:p>
          <w:p w:rsidR="00211B55" w:rsidRPr="00880004" w:rsidRDefault="00211B55" w:rsidP="00935A69">
            <w:pPr>
              <w:keepLines/>
              <w:spacing w:before="40" w:after="40" w:line="200" w:lineRule="atLeast"/>
              <w:rPr>
                <w:rFonts w:asciiTheme="minorHAnsi" w:eastAsia="Times New Roman" w:hAnsiTheme="minorHAnsi"/>
                <w:b w:val="0"/>
                <w:iCs/>
                <w:szCs w:val="17"/>
                <w:lang w:eastAsia="en-US"/>
              </w:rPr>
            </w:pPr>
          </w:p>
        </w:tc>
        <w:tc>
          <w:tcPr>
            <w:tcW w:w="1397" w:type="dxa"/>
          </w:tcPr>
          <w:p w:rsidR="00935A69" w:rsidRDefault="008F5371" w:rsidP="008F53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June</w:t>
            </w:r>
            <w:r w:rsidR="008B6C7F">
              <w:rPr>
                <w:rFonts w:asciiTheme="minorHAnsi" w:eastAsia="Times New Roman" w:hAnsiTheme="minorHAnsi"/>
                <w:b w:val="0"/>
                <w:iCs/>
                <w:szCs w:val="17"/>
                <w:lang w:eastAsia="en-US"/>
              </w:rPr>
              <w:t xml:space="preserve"> 2017 </w:t>
            </w:r>
          </w:p>
          <w:p w:rsidR="00211B55" w:rsidRPr="00880004" w:rsidRDefault="00211B55" w:rsidP="008F5371">
            <w:pPr>
              <w:keepLines/>
              <w:spacing w:before="40" w:after="40" w:line="200" w:lineRule="atLeast"/>
              <w:rPr>
                <w:rFonts w:asciiTheme="minorHAnsi" w:eastAsia="Times New Roman" w:hAnsiTheme="minorHAnsi"/>
                <w:b w:val="0"/>
                <w:iCs/>
                <w:szCs w:val="17"/>
                <w:lang w:eastAsia="en-US"/>
              </w:rPr>
            </w:pPr>
          </w:p>
        </w:tc>
        <w:tc>
          <w:tcPr>
            <w:tcW w:w="1953" w:type="dxa"/>
          </w:tcPr>
          <w:p w:rsidR="00935A69" w:rsidRPr="00BF7D92" w:rsidRDefault="008F5371" w:rsidP="008F5371">
            <w:pPr>
              <w:keepLines/>
              <w:spacing w:before="40" w:after="40" w:line="200" w:lineRule="atLeast"/>
              <w:rPr>
                <w:rFonts w:asciiTheme="minorHAnsi" w:eastAsia="Times New Roman" w:hAnsiTheme="minorHAnsi"/>
                <w:b w:val="0"/>
                <w:iCs/>
                <w:szCs w:val="17"/>
                <w:lang w:eastAsia="en-US"/>
              </w:rPr>
            </w:pPr>
            <w:r w:rsidRPr="00BF7D92" w:rsidDel="008F5371">
              <w:rPr>
                <w:rFonts w:asciiTheme="minorHAnsi" w:eastAsia="Times New Roman" w:hAnsiTheme="minorHAnsi"/>
                <w:b w:val="0"/>
                <w:iCs/>
                <w:szCs w:val="17"/>
                <w:lang w:eastAsia="en-US"/>
              </w:rPr>
              <w:t xml:space="preserve"> </w:t>
            </w:r>
            <w:r w:rsidR="008B6C7F" w:rsidRPr="00BF7D92">
              <w:rPr>
                <w:rFonts w:asciiTheme="minorHAnsi" w:eastAsia="Times New Roman" w:hAnsiTheme="minorHAnsi"/>
                <w:b w:val="0"/>
                <w:iCs/>
                <w:szCs w:val="17"/>
                <w:lang w:eastAsia="en-US"/>
              </w:rPr>
              <w:t>August 2017</w:t>
            </w:r>
            <w:r w:rsidR="00935A69" w:rsidRPr="00BF7D92">
              <w:rPr>
                <w:rFonts w:asciiTheme="minorHAnsi" w:eastAsia="Times New Roman" w:hAnsiTheme="minorHAnsi"/>
                <w:b w:val="0"/>
                <w:iCs/>
                <w:szCs w:val="17"/>
                <w:lang w:eastAsia="en-US"/>
              </w:rPr>
              <w:t xml:space="preserve"> </w:t>
            </w:r>
          </w:p>
        </w:tc>
        <w:tc>
          <w:tcPr>
            <w:tcW w:w="1671" w:type="dxa"/>
          </w:tcPr>
          <w:p w:rsidR="00935A69" w:rsidRPr="00880004" w:rsidRDefault="00EE6D41" w:rsidP="00EE6D4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In process </w:t>
            </w:r>
          </w:p>
        </w:tc>
        <w:tc>
          <w:tcPr>
            <w:tcW w:w="1515" w:type="dxa"/>
          </w:tcPr>
          <w:p w:rsidR="00935A69" w:rsidRPr="00880004" w:rsidRDefault="00EE6D41" w:rsidP="00EE6D4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Pending publication </w:t>
            </w:r>
          </w:p>
        </w:tc>
      </w:tr>
    </w:tbl>
    <w:p w:rsidR="00400B0F" w:rsidRPr="008C2F58" w:rsidRDefault="00400B0F" w:rsidP="008C2F58">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459"/>
        <w:gridCol w:w="2360"/>
        <w:gridCol w:w="2448"/>
        <w:gridCol w:w="2217"/>
        <w:gridCol w:w="2333"/>
        <w:gridCol w:w="2356"/>
      </w:tblGrid>
      <w:tr w:rsidR="00400B0F" w:rsidRPr="00C61187" w:rsidTr="006F27B1">
        <w:tc>
          <w:tcPr>
            <w:tcW w:w="2472"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title</w:t>
            </w:r>
          </w:p>
        </w:tc>
        <w:tc>
          <w:tcPr>
            <w:tcW w:w="2381"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Investment number and name (if applicable) </w:t>
            </w:r>
          </w:p>
        </w:tc>
        <w:tc>
          <w:tcPr>
            <w:tcW w:w="2459"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commencement (month/year)</w:t>
            </w:r>
          </w:p>
        </w:tc>
        <w:tc>
          <w:tcPr>
            <w:tcW w:w="2227"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completion (month/year)</w:t>
            </w:r>
          </w:p>
        </w:tc>
        <w:tc>
          <w:tcPr>
            <w:tcW w:w="2348"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Purpose of evaluation</w:t>
            </w:r>
          </w:p>
        </w:tc>
        <w:tc>
          <w:tcPr>
            <w:tcW w:w="2362"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type</w:t>
            </w:r>
          </w:p>
        </w:tc>
      </w:tr>
      <w:tr w:rsidR="00400B0F" w:rsidRPr="00C61187" w:rsidTr="006F27B1">
        <w:tc>
          <w:tcPr>
            <w:tcW w:w="2472" w:type="dxa"/>
          </w:tcPr>
          <w:p w:rsidR="00211B55" w:rsidRDefault="00211B5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b/>
                <w:iCs/>
                <w:szCs w:val="17"/>
                <w:lang w:eastAsia="en-US"/>
              </w:rPr>
              <w:t>Tropical Cyclone Pam long-term recovery program</w:t>
            </w:r>
          </w:p>
          <w:p w:rsidR="00211B55" w:rsidRDefault="00211B55" w:rsidP="006F27B1">
            <w:pPr>
              <w:keepLines/>
              <w:spacing w:before="40" w:after="40" w:line="200" w:lineRule="atLeast"/>
              <w:rPr>
                <w:rFonts w:asciiTheme="minorHAnsi" w:eastAsia="Times New Roman" w:hAnsiTheme="minorHAnsi"/>
                <w:iCs/>
                <w:szCs w:val="17"/>
                <w:lang w:eastAsia="en-US"/>
              </w:rPr>
            </w:pPr>
          </w:p>
          <w:p w:rsidR="00400B0F" w:rsidRPr="00880004" w:rsidRDefault="00400B0F" w:rsidP="006F27B1">
            <w:pPr>
              <w:keepLines/>
              <w:spacing w:before="40" w:after="40" w:line="200" w:lineRule="atLeast"/>
              <w:rPr>
                <w:rFonts w:asciiTheme="minorHAnsi" w:eastAsia="Times New Roman" w:hAnsiTheme="minorHAnsi"/>
                <w:iCs/>
                <w:szCs w:val="17"/>
                <w:lang w:eastAsia="en-US"/>
              </w:rPr>
            </w:pPr>
          </w:p>
        </w:tc>
        <w:tc>
          <w:tcPr>
            <w:tcW w:w="2381" w:type="dxa"/>
          </w:tcPr>
          <w:p w:rsidR="00211B55" w:rsidRDefault="00211B5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INL732</w:t>
            </w:r>
          </w:p>
          <w:p w:rsidR="00211B55" w:rsidRDefault="00211B55" w:rsidP="006F27B1">
            <w:pPr>
              <w:keepLines/>
              <w:spacing w:before="40" w:after="40" w:line="200" w:lineRule="atLeast"/>
              <w:rPr>
                <w:rFonts w:asciiTheme="minorHAnsi" w:eastAsia="Times New Roman" w:hAnsiTheme="minorHAnsi"/>
                <w:iCs/>
                <w:szCs w:val="17"/>
                <w:lang w:eastAsia="en-US"/>
              </w:rPr>
            </w:pPr>
          </w:p>
          <w:p w:rsidR="00400B0F" w:rsidRPr="00880004" w:rsidRDefault="00400B0F" w:rsidP="006F27B1">
            <w:pPr>
              <w:keepLines/>
              <w:spacing w:before="40" w:after="40" w:line="200" w:lineRule="atLeast"/>
              <w:rPr>
                <w:rFonts w:asciiTheme="minorHAnsi" w:eastAsia="Times New Roman" w:hAnsiTheme="minorHAnsi"/>
                <w:iCs/>
                <w:szCs w:val="17"/>
                <w:lang w:eastAsia="en-US"/>
              </w:rPr>
            </w:pPr>
          </w:p>
        </w:tc>
        <w:tc>
          <w:tcPr>
            <w:tcW w:w="2459" w:type="dxa"/>
          </w:tcPr>
          <w:p w:rsidR="00211B55" w:rsidRDefault="00211B5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June 2018</w:t>
            </w:r>
          </w:p>
          <w:p w:rsidR="00211B55" w:rsidRDefault="00211B55" w:rsidP="006F27B1">
            <w:pPr>
              <w:keepLines/>
              <w:spacing w:before="40" w:after="40" w:line="200" w:lineRule="atLeast"/>
              <w:rPr>
                <w:rFonts w:asciiTheme="minorHAnsi" w:eastAsia="Times New Roman" w:hAnsiTheme="minorHAnsi"/>
                <w:iCs/>
                <w:szCs w:val="17"/>
                <w:lang w:eastAsia="en-US"/>
              </w:rPr>
            </w:pPr>
          </w:p>
          <w:p w:rsidR="00400B0F" w:rsidRPr="00880004" w:rsidRDefault="00400B0F" w:rsidP="006F27B1">
            <w:pPr>
              <w:keepLines/>
              <w:spacing w:before="40" w:after="40" w:line="200" w:lineRule="atLeast"/>
              <w:rPr>
                <w:rFonts w:asciiTheme="minorHAnsi" w:eastAsia="Times New Roman" w:hAnsiTheme="minorHAnsi"/>
                <w:iCs/>
                <w:szCs w:val="17"/>
                <w:lang w:eastAsia="en-US"/>
              </w:rPr>
            </w:pPr>
          </w:p>
        </w:tc>
        <w:tc>
          <w:tcPr>
            <w:tcW w:w="2227" w:type="dxa"/>
          </w:tcPr>
          <w:p w:rsidR="00211B55" w:rsidRDefault="00211B5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August 2018</w:t>
            </w:r>
          </w:p>
          <w:p w:rsidR="00211B55" w:rsidRDefault="00211B55" w:rsidP="006F27B1">
            <w:pPr>
              <w:keepLines/>
              <w:spacing w:before="40" w:after="40" w:line="200" w:lineRule="atLeast"/>
              <w:rPr>
                <w:rFonts w:asciiTheme="minorHAnsi" w:eastAsia="Times New Roman" w:hAnsiTheme="minorHAnsi"/>
                <w:iCs/>
                <w:szCs w:val="17"/>
                <w:lang w:eastAsia="en-US"/>
              </w:rPr>
            </w:pPr>
          </w:p>
          <w:p w:rsidR="00400B0F" w:rsidRPr="00880004" w:rsidRDefault="00400B0F" w:rsidP="006F27B1">
            <w:pPr>
              <w:keepLines/>
              <w:spacing w:before="40" w:after="40" w:line="200" w:lineRule="atLeast"/>
              <w:rPr>
                <w:rFonts w:asciiTheme="minorHAnsi" w:eastAsia="Times New Roman" w:hAnsiTheme="minorHAnsi"/>
                <w:iCs/>
                <w:szCs w:val="17"/>
                <w:lang w:eastAsia="en-US"/>
              </w:rPr>
            </w:pPr>
          </w:p>
        </w:tc>
        <w:tc>
          <w:tcPr>
            <w:tcW w:w="2348" w:type="dxa"/>
          </w:tcPr>
          <w:p w:rsidR="00211B55" w:rsidRDefault="00211B5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Demonstrate results</w:t>
            </w:r>
          </w:p>
          <w:p w:rsidR="00211B55" w:rsidRDefault="00211B5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Verify performance</w:t>
            </w:r>
          </w:p>
          <w:p w:rsidR="00211B55" w:rsidRDefault="00211B5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Improve existing investment</w:t>
            </w:r>
          </w:p>
          <w:p w:rsidR="00211B55" w:rsidRDefault="00211B5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Inform future recovery investments</w:t>
            </w:r>
          </w:p>
          <w:p w:rsidR="00400B0F" w:rsidRPr="00880004" w:rsidRDefault="00400B0F" w:rsidP="006F27B1">
            <w:pPr>
              <w:keepLines/>
              <w:spacing w:before="40" w:after="40" w:line="200" w:lineRule="atLeast"/>
              <w:rPr>
                <w:rFonts w:asciiTheme="minorHAnsi" w:eastAsia="Times New Roman" w:hAnsiTheme="minorHAnsi"/>
                <w:iCs/>
                <w:color w:val="000000" w:themeColor="text1" w:themeShade="BF"/>
                <w:szCs w:val="17"/>
                <w:lang w:eastAsia="en-US"/>
              </w:rPr>
            </w:pPr>
          </w:p>
        </w:tc>
        <w:tc>
          <w:tcPr>
            <w:tcW w:w="2362" w:type="dxa"/>
          </w:tcPr>
          <w:p w:rsidR="00211B55" w:rsidRPr="00826B8D" w:rsidRDefault="00211B55" w:rsidP="00826B8D">
            <w:pPr>
              <w:keepLines/>
              <w:spacing w:before="40" w:after="40" w:line="200" w:lineRule="atLeast"/>
              <w:rPr>
                <w:rFonts w:asciiTheme="minorHAnsi" w:eastAsia="Times New Roman" w:hAnsiTheme="minorHAnsi"/>
                <w:iCs/>
                <w:szCs w:val="17"/>
                <w:lang w:eastAsia="en-US"/>
              </w:rPr>
            </w:pPr>
            <w:r w:rsidRPr="00826B8D">
              <w:rPr>
                <w:rFonts w:asciiTheme="minorHAnsi" w:eastAsia="Times New Roman" w:hAnsiTheme="minorHAnsi"/>
                <w:iCs/>
                <w:szCs w:val="17"/>
                <w:lang w:eastAsia="en-US"/>
              </w:rPr>
              <w:t>DFAT led (includes consultants engaged by DFAT)</w:t>
            </w:r>
          </w:p>
          <w:p w:rsidR="00211B55" w:rsidRDefault="00211B55" w:rsidP="006F27B1">
            <w:pPr>
              <w:keepLines/>
              <w:spacing w:before="40" w:after="40" w:line="200" w:lineRule="atLeast"/>
              <w:rPr>
                <w:rFonts w:asciiTheme="minorHAnsi" w:eastAsia="Times New Roman" w:hAnsiTheme="minorHAnsi"/>
                <w:iCs/>
                <w:szCs w:val="17"/>
                <w:lang w:eastAsia="en-US"/>
              </w:rPr>
            </w:pPr>
          </w:p>
          <w:p w:rsidR="00400B0F" w:rsidRPr="00880004" w:rsidRDefault="00400B0F" w:rsidP="006F27B1">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 </w:t>
            </w:r>
          </w:p>
        </w:tc>
      </w:tr>
      <w:tr w:rsidR="00400B0F" w:rsidRPr="00C61187" w:rsidTr="006F27B1">
        <w:tc>
          <w:tcPr>
            <w:tcW w:w="2472" w:type="dxa"/>
          </w:tcPr>
          <w:p w:rsidR="00400B0F" w:rsidRPr="00C61187" w:rsidRDefault="00400B0F" w:rsidP="006F27B1">
            <w:pPr>
              <w:keepLines/>
              <w:spacing w:before="40" w:after="40" w:line="200" w:lineRule="atLeast"/>
              <w:rPr>
                <w:rFonts w:eastAsia="Times New Roman"/>
                <w:iCs/>
                <w:szCs w:val="17"/>
                <w:lang w:eastAsia="en-US"/>
              </w:rPr>
            </w:pPr>
          </w:p>
        </w:tc>
        <w:tc>
          <w:tcPr>
            <w:tcW w:w="2381" w:type="dxa"/>
          </w:tcPr>
          <w:p w:rsidR="00400B0F" w:rsidRPr="00C61187" w:rsidRDefault="00400B0F" w:rsidP="006F27B1">
            <w:pPr>
              <w:keepLines/>
              <w:spacing w:before="40" w:after="40" w:line="200" w:lineRule="atLeast"/>
              <w:rPr>
                <w:rFonts w:eastAsia="Times New Roman"/>
                <w:iCs/>
                <w:szCs w:val="17"/>
                <w:lang w:eastAsia="en-US"/>
              </w:rPr>
            </w:pPr>
          </w:p>
        </w:tc>
        <w:tc>
          <w:tcPr>
            <w:tcW w:w="2459" w:type="dxa"/>
          </w:tcPr>
          <w:p w:rsidR="00400B0F" w:rsidRPr="00C61187" w:rsidRDefault="00400B0F" w:rsidP="006F27B1">
            <w:pPr>
              <w:keepLines/>
              <w:spacing w:before="40" w:after="40" w:line="200" w:lineRule="atLeast"/>
              <w:rPr>
                <w:rFonts w:eastAsia="Times New Roman"/>
                <w:iCs/>
                <w:szCs w:val="17"/>
                <w:lang w:eastAsia="en-US"/>
              </w:rPr>
            </w:pPr>
          </w:p>
        </w:tc>
        <w:tc>
          <w:tcPr>
            <w:tcW w:w="2227" w:type="dxa"/>
          </w:tcPr>
          <w:p w:rsidR="00400B0F" w:rsidRPr="00C61187" w:rsidRDefault="00400B0F" w:rsidP="006F27B1">
            <w:pPr>
              <w:keepLines/>
              <w:spacing w:before="40" w:after="40" w:line="200" w:lineRule="atLeast"/>
              <w:rPr>
                <w:rFonts w:eastAsia="Times New Roman"/>
                <w:iCs/>
                <w:szCs w:val="17"/>
                <w:lang w:eastAsia="en-US"/>
              </w:rPr>
            </w:pPr>
          </w:p>
        </w:tc>
        <w:tc>
          <w:tcPr>
            <w:tcW w:w="2348" w:type="dxa"/>
          </w:tcPr>
          <w:p w:rsidR="00400B0F" w:rsidRPr="00C61187" w:rsidRDefault="00400B0F" w:rsidP="006F27B1">
            <w:pPr>
              <w:keepLines/>
              <w:spacing w:before="40" w:after="40" w:line="200" w:lineRule="atLeast"/>
              <w:rPr>
                <w:rFonts w:eastAsia="Times New Roman"/>
                <w:iCs/>
                <w:szCs w:val="17"/>
                <w:lang w:eastAsia="en-US"/>
              </w:rPr>
            </w:pPr>
          </w:p>
        </w:tc>
        <w:tc>
          <w:tcPr>
            <w:tcW w:w="2362" w:type="dxa"/>
          </w:tcPr>
          <w:p w:rsidR="00400B0F" w:rsidRPr="00C61187" w:rsidRDefault="00400B0F" w:rsidP="006F27B1">
            <w:pPr>
              <w:keepLines/>
              <w:spacing w:before="40" w:after="40" w:line="200" w:lineRule="atLeast"/>
              <w:rPr>
                <w:rFonts w:eastAsia="Times New Roman"/>
                <w:iCs/>
                <w:szCs w:val="17"/>
                <w:lang w:eastAsia="en-US"/>
              </w:rPr>
            </w:pPr>
          </w:p>
        </w:tc>
      </w:tr>
    </w:tbl>
    <w:p w:rsidR="00400B0F" w:rsidRPr="00C61187" w:rsidRDefault="00400B0F" w:rsidP="00400B0F">
      <w:pPr>
        <w:rPr>
          <w:b/>
        </w:rPr>
        <w:sectPr w:rsidR="00400B0F" w:rsidRPr="00C61187" w:rsidSect="008C2F58">
          <w:headerReference w:type="even" r:id="rId28"/>
          <w:headerReference w:type="default" r:id="rId29"/>
          <w:headerReference w:type="first" r:id="rId30"/>
          <w:footerReference w:type="first" r:id="rId31"/>
          <w:footnotePr>
            <w:numRestart w:val="eachPage"/>
          </w:footnotePr>
          <w:type w:val="continuous"/>
          <w:pgSz w:w="16838" w:h="11906" w:orient="landscape" w:code="9"/>
          <w:pgMar w:top="1272" w:right="1814" w:bottom="851" w:left="851" w:header="709" w:footer="230" w:gutter="0"/>
          <w:cols w:space="708"/>
          <w:titlePg/>
          <w:docGrid w:linePitch="360"/>
        </w:sectPr>
      </w:pPr>
    </w:p>
    <w:p w:rsidR="00400B0F" w:rsidRPr="00784031"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rsidR="00400B0F" w:rsidRPr="0078403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rsidR="00400B0F" w:rsidRPr="00C61187" w:rsidRDefault="00400B0F" w:rsidP="004E0264">
      <w:r w:rsidRPr="00C61187">
        <w:t>AQC investment performance over the previous 12 months and where available last year’s AQC ratings are included.</w:t>
      </w:r>
    </w:p>
    <w:tbl>
      <w:tblPr>
        <w:tblW w:w="9760" w:type="dxa"/>
        <w:tblLook w:val="04A0" w:firstRow="1" w:lastRow="0" w:firstColumn="1" w:lastColumn="0" w:noHBand="0" w:noVBand="1"/>
      </w:tblPr>
      <w:tblGrid>
        <w:gridCol w:w="3280"/>
        <w:gridCol w:w="960"/>
        <w:gridCol w:w="960"/>
        <w:gridCol w:w="760"/>
        <w:gridCol w:w="760"/>
        <w:gridCol w:w="760"/>
        <w:gridCol w:w="760"/>
        <w:gridCol w:w="760"/>
        <w:gridCol w:w="760"/>
      </w:tblGrid>
      <w:tr w:rsidR="009254CC" w:rsidRPr="009254CC" w:rsidTr="009254CC">
        <w:trPr>
          <w:trHeight w:val="1050"/>
        </w:trPr>
        <w:tc>
          <w:tcPr>
            <w:tcW w:w="3280" w:type="dxa"/>
            <w:tcBorders>
              <w:top w:val="single" w:sz="12" w:space="0" w:color="000000"/>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254CC">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333750" cy="228600"/>
                  <wp:effectExtent l="0" t="0" r="0" b="0"/>
                  <wp:wrapNone/>
                  <wp:docPr id="12" name="Picture 12" hidden="1"/>
                  <wp:cNvGraphicFramePr/>
                  <a:graphic xmlns:a="http://schemas.openxmlformats.org/drawingml/2006/main">
                    <a:graphicData uri="http://schemas.openxmlformats.org/drawingml/2006/picture">
                      <pic:pic xmlns:pic="http://schemas.openxmlformats.org/drawingml/2006/picture">
                        <pic:nvPicPr>
                          <pic:cNvPr id="3" name="Picture 14"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254CC">
              <w:rPr>
                <w:rFonts w:ascii="Calibri Light" w:eastAsia="Times New Roman" w:hAnsi="Calibri Light" w:cs="Times New Roman"/>
                <w:b/>
                <w:bCs/>
                <w:iCs/>
                <w:color w:val="495965"/>
                <w:sz w:val="17"/>
                <w:szCs w:val="17"/>
                <w:lang w:eastAsia="en-AU"/>
              </w:rPr>
              <w:t>Investment name</w:t>
            </w:r>
          </w:p>
        </w:tc>
        <w:tc>
          <w:tcPr>
            <w:tcW w:w="960" w:type="dxa"/>
            <w:tcBorders>
              <w:top w:val="single" w:sz="12" w:space="0" w:color="000000"/>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9254CC">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9254CC">
              <w:rPr>
                <w:rFonts w:ascii="Calibri Light" w:eastAsia="Times New Roman" w:hAnsi="Calibri Light" w:cs="Times New Roman"/>
                <w:b/>
                <w:bCs/>
                <w:iCs/>
                <w:color w:val="495965"/>
                <w:sz w:val="17"/>
                <w:szCs w:val="17"/>
                <w:lang w:eastAsia="en-AU"/>
              </w:rPr>
              <w:t>year on year</w:t>
            </w:r>
          </w:p>
        </w:tc>
        <w:tc>
          <w:tcPr>
            <w:tcW w:w="760" w:type="dxa"/>
            <w:tcBorders>
              <w:top w:val="single" w:sz="12" w:space="0" w:color="000000"/>
              <w:left w:val="nil"/>
              <w:bottom w:val="single" w:sz="8" w:space="0" w:color="auto"/>
              <w:right w:val="nil"/>
            </w:tcBorders>
            <w:shd w:val="clear" w:color="auto" w:fill="auto"/>
            <w:textDirection w:val="btLr"/>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254CC">
              <w:rPr>
                <w:rFonts w:ascii="Calibri Light" w:eastAsia="Times New Roman" w:hAnsi="Calibri Light" w:cs="Times New Roman"/>
                <w:b/>
                <w:bCs/>
                <w:iCs/>
                <w:color w:val="495965"/>
                <w:sz w:val="17"/>
                <w:szCs w:val="17"/>
                <w:lang w:eastAsia="en-AU"/>
              </w:rPr>
              <w:t>Relevance</w:t>
            </w:r>
          </w:p>
        </w:tc>
        <w:tc>
          <w:tcPr>
            <w:tcW w:w="760" w:type="dxa"/>
            <w:tcBorders>
              <w:top w:val="single" w:sz="12" w:space="0" w:color="000000"/>
              <w:left w:val="nil"/>
              <w:bottom w:val="single" w:sz="8" w:space="0" w:color="auto"/>
              <w:right w:val="nil"/>
            </w:tcBorders>
            <w:shd w:val="clear" w:color="auto" w:fill="auto"/>
            <w:textDirection w:val="btLr"/>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254CC">
              <w:rPr>
                <w:rFonts w:ascii="Calibri Light" w:eastAsia="Times New Roman" w:hAnsi="Calibri Light" w:cs="Times New Roman"/>
                <w:b/>
                <w:bCs/>
                <w:iCs/>
                <w:color w:val="495965"/>
                <w:sz w:val="17"/>
                <w:szCs w:val="17"/>
                <w:lang w:eastAsia="en-AU"/>
              </w:rPr>
              <w:t>Effectiveness</w:t>
            </w:r>
          </w:p>
        </w:tc>
        <w:tc>
          <w:tcPr>
            <w:tcW w:w="760" w:type="dxa"/>
            <w:tcBorders>
              <w:top w:val="single" w:sz="12" w:space="0" w:color="000000"/>
              <w:left w:val="nil"/>
              <w:bottom w:val="single" w:sz="8" w:space="0" w:color="auto"/>
              <w:right w:val="nil"/>
            </w:tcBorders>
            <w:shd w:val="clear" w:color="auto" w:fill="auto"/>
            <w:textDirection w:val="btLr"/>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254CC">
              <w:rPr>
                <w:rFonts w:ascii="Calibri Light" w:eastAsia="Times New Roman" w:hAnsi="Calibri Light" w:cs="Times New Roman"/>
                <w:b/>
                <w:bCs/>
                <w:iCs/>
                <w:color w:val="495965"/>
                <w:sz w:val="17"/>
                <w:szCs w:val="17"/>
                <w:lang w:eastAsia="en-AU"/>
              </w:rPr>
              <w:t>Efficiency</w:t>
            </w:r>
          </w:p>
        </w:tc>
        <w:tc>
          <w:tcPr>
            <w:tcW w:w="760" w:type="dxa"/>
            <w:tcBorders>
              <w:top w:val="single" w:sz="12" w:space="0" w:color="000000"/>
              <w:left w:val="nil"/>
              <w:bottom w:val="single" w:sz="8" w:space="0" w:color="auto"/>
              <w:right w:val="nil"/>
            </w:tcBorders>
            <w:shd w:val="clear" w:color="auto" w:fill="auto"/>
            <w:textDirection w:val="btLr"/>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254CC">
              <w:rPr>
                <w:rFonts w:ascii="Calibri Light" w:eastAsia="Times New Roman" w:hAnsi="Calibri Light" w:cs="Times New Roman"/>
                <w:b/>
                <w:bCs/>
                <w:iCs/>
                <w:color w:val="495965"/>
                <w:sz w:val="17"/>
                <w:szCs w:val="17"/>
                <w:lang w:eastAsia="en-AU"/>
              </w:rPr>
              <w:t>Monitoring and Evaluation</w:t>
            </w:r>
          </w:p>
        </w:tc>
        <w:tc>
          <w:tcPr>
            <w:tcW w:w="760" w:type="dxa"/>
            <w:tcBorders>
              <w:top w:val="single" w:sz="12" w:space="0" w:color="000000"/>
              <w:left w:val="nil"/>
              <w:bottom w:val="single" w:sz="8" w:space="0" w:color="auto"/>
              <w:right w:val="nil"/>
            </w:tcBorders>
            <w:shd w:val="clear" w:color="auto" w:fill="auto"/>
            <w:textDirection w:val="btLr"/>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254CC">
              <w:rPr>
                <w:rFonts w:ascii="Calibri Light" w:eastAsia="Times New Roman" w:hAnsi="Calibri Light" w:cs="Times New Roman"/>
                <w:b/>
                <w:bCs/>
                <w:iCs/>
                <w:color w:val="495965"/>
                <w:sz w:val="17"/>
                <w:szCs w:val="17"/>
                <w:lang w:eastAsia="en-AU"/>
              </w:rPr>
              <w:t>Sustainability</w:t>
            </w:r>
          </w:p>
        </w:tc>
        <w:tc>
          <w:tcPr>
            <w:tcW w:w="760" w:type="dxa"/>
            <w:tcBorders>
              <w:top w:val="single" w:sz="12" w:space="0" w:color="000000"/>
              <w:left w:val="nil"/>
              <w:bottom w:val="single" w:sz="8" w:space="0" w:color="auto"/>
              <w:right w:val="nil"/>
            </w:tcBorders>
            <w:shd w:val="clear" w:color="auto" w:fill="auto"/>
            <w:textDirection w:val="btLr"/>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254CC">
              <w:rPr>
                <w:rFonts w:ascii="Calibri Light" w:eastAsia="Times New Roman" w:hAnsi="Calibri Light" w:cs="Times New Roman"/>
                <w:b/>
                <w:bCs/>
                <w:iCs/>
                <w:color w:val="495965"/>
                <w:sz w:val="17"/>
                <w:szCs w:val="17"/>
                <w:lang w:eastAsia="en-AU"/>
              </w:rPr>
              <w:t>Gender equality</w:t>
            </w:r>
          </w:p>
        </w:tc>
      </w:tr>
      <w:tr w:rsidR="009254CC" w:rsidRPr="009254CC" w:rsidTr="009254CC">
        <w:trPr>
          <w:trHeight w:val="300"/>
        </w:trPr>
        <w:tc>
          <w:tcPr>
            <w:tcW w:w="328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Vanuatu Health Sector Support</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9254CC">
              <w:rPr>
                <w:rFonts w:ascii="Calibri Light" w:eastAsia="Times New Roman" w:hAnsi="Calibri Light" w:cs="Times New Roman"/>
                <w:color w:val="000000"/>
                <w:sz w:val="17"/>
                <w:szCs w:val="17"/>
                <w:lang w:eastAsia="en-AU"/>
              </w:rPr>
              <w:t xml:space="preserve">$41.5m </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2017 AQC</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0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w:t>
            </w:r>
          </w:p>
        </w:tc>
      </w:tr>
      <w:tr w:rsidR="009254CC" w:rsidRPr="009254CC" w:rsidTr="009254CC">
        <w:trPr>
          <w:trHeight w:val="315"/>
        </w:trPr>
        <w:tc>
          <w:tcPr>
            <w:tcW w:w="328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 xml:space="preserve">2010-18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2016 AQC</w:t>
            </w:r>
          </w:p>
        </w:tc>
        <w:tc>
          <w:tcPr>
            <w:tcW w:w="760" w:type="dxa"/>
            <w:tcBorders>
              <w:top w:val="nil"/>
              <w:left w:val="nil"/>
              <w:bottom w:val="single" w:sz="8" w:space="0" w:color="auto"/>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r>
      <w:tr w:rsidR="009254CC" w:rsidRPr="009254CC" w:rsidTr="009254CC">
        <w:trPr>
          <w:trHeight w:val="300"/>
        </w:trPr>
        <w:tc>
          <w:tcPr>
            <w:tcW w:w="328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Tropical Cyclone Pam Recovery Package</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9254CC">
              <w:rPr>
                <w:rFonts w:ascii="Calibri Light" w:eastAsia="Times New Roman" w:hAnsi="Calibri Light" w:cs="Times New Roman"/>
                <w:color w:val="000000"/>
                <w:sz w:val="17"/>
                <w:szCs w:val="17"/>
                <w:lang w:eastAsia="en-AU"/>
              </w:rPr>
              <w:t xml:space="preserve">$35m </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2017 AQC</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r>
      <w:tr w:rsidR="009254CC" w:rsidRPr="009254CC" w:rsidTr="009254CC">
        <w:trPr>
          <w:trHeight w:val="315"/>
        </w:trPr>
        <w:tc>
          <w:tcPr>
            <w:tcW w:w="328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 xml:space="preserve">2015-19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2016 AQC</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r>
      <w:tr w:rsidR="009254CC" w:rsidRPr="009254CC" w:rsidTr="009254CC">
        <w:trPr>
          <w:trHeight w:val="300"/>
        </w:trPr>
        <w:tc>
          <w:tcPr>
            <w:tcW w:w="328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Australia Awards</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$3m p.a.</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2017 AQC</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r>
      <w:tr w:rsidR="009254CC" w:rsidRPr="009254CC" w:rsidTr="009254CC">
        <w:trPr>
          <w:trHeight w:val="315"/>
        </w:trPr>
        <w:tc>
          <w:tcPr>
            <w:tcW w:w="328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color w:val="495965"/>
                <w:sz w:val="17"/>
                <w:szCs w:val="17"/>
                <w:lang w:val="en-AU" w:eastAsia="en-AU"/>
              </w:rPr>
              <w:t> </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2016 AQC</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r>
      <w:tr w:rsidR="009254CC" w:rsidRPr="009254CC" w:rsidTr="009254CC">
        <w:trPr>
          <w:trHeight w:val="300"/>
        </w:trPr>
        <w:tc>
          <w:tcPr>
            <w:tcW w:w="328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Wan Smolbag Theatre Community Partnership</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9254CC">
              <w:rPr>
                <w:rFonts w:ascii="Calibri Light" w:eastAsia="Times New Roman" w:hAnsi="Calibri Light" w:cs="Times New Roman"/>
                <w:color w:val="000000"/>
                <w:sz w:val="17"/>
                <w:szCs w:val="17"/>
                <w:lang w:eastAsia="en-AU"/>
              </w:rPr>
              <w:t xml:space="preserve">$11.8m </w:t>
            </w:r>
          </w:p>
        </w:tc>
        <w:tc>
          <w:tcPr>
            <w:tcW w:w="960" w:type="dxa"/>
            <w:tcBorders>
              <w:top w:val="single" w:sz="8" w:space="0" w:color="auto"/>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2017 AQC</w:t>
            </w:r>
          </w:p>
        </w:tc>
        <w:tc>
          <w:tcPr>
            <w:tcW w:w="760" w:type="dxa"/>
            <w:tcBorders>
              <w:top w:val="single" w:sz="8" w:space="0" w:color="auto"/>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single" w:sz="8" w:space="0" w:color="auto"/>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single" w:sz="8" w:space="0" w:color="auto"/>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single" w:sz="8" w:space="0" w:color="auto"/>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single" w:sz="8" w:space="0" w:color="auto"/>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single" w:sz="8" w:space="0" w:color="auto"/>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r>
      <w:tr w:rsidR="009254CC" w:rsidRPr="009254CC" w:rsidTr="009254CC">
        <w:trPr>
          <w:trHeight w:val="315"/>
        </w:trPr>
        <w:tc>
          <w:tcPr>
            <w:tcW w:w="328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 xml:space="preserve">2014-17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2016 AQC</w:t>
            </w:r>
          </w:p>
        </w:tc>
        <w:tc>
          <w:tcPr>
            <w:tcW w:w="760" w:type="dxa"/>
            <w:tcBorders>
              <w:top w:val="nil"/>
              <w:left w:val="nil"/>
              <w:bottom w:val="single" w:sz="8" w:space="0" w:color="auto"/>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8" w:space="0" w:color="auto"/>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8" w:space="0" w:color="auto"/>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r>
      <w:tr w:rsidR="009254CC" w:rsidRPr="009254CC" w:rsidTr="009254CC">
        <w:trPr>
          <w:trHeight w:val="300"/>
        </w:trPr>
        <w:tc>
          <w:tcPr>
            <w:tcW w:w="328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Port Vila Urban Development Project</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9254CC">
              <w:rPr>
                <w:rFonts w:ascii="Calibri Light" w:eastAsia="Times New Roman" w:hAnsi="Calibri Light" w:cs="Times New Roman"/>
                <w:color w:val="000000"/>
                <w:sz w:val="17"/>
                <w:szCs w:val="17"/>
                <w:lang w:eastAsia="en-AU"/>
              </w:rPr>
              <w:t xml:space="preserve">$31m </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2017 AQC</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r>
      <w:tr w:rsidR="009254CC" w:rsidRPr="009254CC" w:rsidTr="009254CC">
        <w:trPr>
          <w:trHeight w:val="315"/>
        </w:trPr>
        <w:tc>
          <w:tcPr>
            <w:tcW w:w="328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 xml:space="preserve">2013-18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2016 AQC</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C0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3</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r>
      <w:tr w:rsidR="009254CC" w:rsidRPr="009254CC" w:rsidTr="009254CC">
        <w:trPr>
          <w:trHeight w:val="300"/>
        </w:trPr>
        <w:tc>
          <w:tcPr>
            <w:tcW w:w="328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Vanuatu Transport Sector Support Program</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$24.8m</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2017 AQC</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r>
      <w:tr w:rsidR="009254CC" w:rsidRPr="009254CC" w:rsidTr="009254CC">
        <w:trPr>
          <w:trHeight w:val="315"/>
        </w:trPr>
        <w:tc>
          <w:tcPr>
            <w:tcW w:w="3280" w:type="dxa"/>
            <w:tcBorders>
              <w:top w:val="nil"/>
              <w:left w:val="nil"/>
              <w:bottom w:val="single" w:sz="12" w:space="0" w:color="000000"/>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2013-17</w:t>
            </w:r>
          </w:p>
        </w:tc>
        <w:tc>
          <w:tcPr>
            <w:tcW w:w="960" w:type="dxa"/>
            <w:tcBorders>
              <w:top w:val="nil"/>
              <w:left w:val="nil"/>
              <w:bottom w:val="single" w:sz="12" w:space="0" w:color="000000"/>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2016 AQC</w:t>
            </w:r>
          </w:p>
        </w:tc>
        <w:tc>
          <w:tcPr>
            <w:tcW w:w="760" w:type="dxa"/>
            <w:tcBorders>
              <w:top w:val="nil"/>
              <w:left w:val="nil"/>
              <w:bottom w:val="single" w:sz="12" w:space="0" w:color="000000"/>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12" w:space="0" w:color="000000"/>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12" w:space="0" w:color="000000"/>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12" w:space="0" w:color="000000"/>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12" w:space="0" w:color="000000"/>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12" w:space="0" w:color="000000"/>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r>
      <w:tr w:rsidR="009254CC" w:rsidRPr="009254CC" w:rsidTr="009254CC">
        <w:trPr>
          <w:trHeight w:val="315"/>
        </w:trPr>
        <w:tc>
          <w:tcPr>
            <w:tcW w:w="328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Vanuatu Education Support Program</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9254CC">
              <w:rPr>
                <w:rFonts w:ascii="Calibri Light" w:eastAsia="Times New Roman" w:hAnsi="Calibri Light" w:cs="Times New Roman"/>
                <w:color w:val="000000"/>
                <w:sz w:val="17"/>
                <w:szCs w:val="17"/>
                <w:lang w:eastAsia="en-AU"/>
              </w:rPr>
              <w:t xml:space="preserve">$37m </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2017 AQC</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r>
      <w:tr w:rsidR="009254CC" w:rsidRPr="009254CC" w:rsidTr="009254CC">
        <w:trPr>
          <w:trHeight w:val="315"/>
        </w:trPr>
        <w:tc>
          <w:tcPr>
            <w:tcW w:w="328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 xml:space="preserve">2012-2017 </w:t>
            </w:r>
          </w:p>
        </w:tc>
        <w:tc>
          <w:tcPr>
            <w:tcW w:w="960" w:type="dxa"/>
            <w:tcBorders>
              <w:top w:val="nil"/>
              <w:left w:val="nil"/>
              <w:bottom w:val="single" w:sz="8" w:space="0" w:color="auto"/>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2016 AQC</w:t>
            </w:r>
          </w:p>
        </w:tc>
        <w:tc>
          <w:tcPr>
            <w:tcW w:w="760" w:type="dxa"/>
            <w:tcBorders>
              <w:top w:val="nil"/>
              <w:left w:val="nil"/>
              <w:bottom w:val="single" w:sz="8" w:space="0" w:color="auto"/>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8" w:space="0" w:color="auto"/>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single" w:sz="8" w:space="0" w:color="auto"/>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r>
      <w:tr w:rsidR="009254CC" w:rsidRPr="009254CC" w:rsidTr="009254CC">
        <w:trPr>
          <w:trHeight w:val="300"/>
        </w:trPr>
        <w:tc>
          <w:tcPr>
            <w:tcW w:w="328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Vanuatu Skills for Economic Growth</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9254CC">
              <w:rPr>
                <w:rFonts w:ascii="Calibri Light" w:eastAsia="Times New Roman" w:hAnsi="Calibri Light" w:cs="Times New Roman"/>
                <w:color w:val="000000"/>
                <w:sz w:val="17"/>
                <w:szCs w:val="17"/>
                <w:lang w:eastAsia="en-AU"/>
              </w:rPr>
              <w:t xml:space="preserve">$16.4m </w:t>
            </w:r>
          </w:p>
        </w:tc>
        <w:tc>
          <w:tcPr>
            <w:tcW w:w="960" w:type="dxa"/>
            <w:tcBorders>
              <w:top w:val="nil"/>
              <w:left w:val="nil"/>
              <w:bottom w:val="nil"/>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2017 AQC</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FFFF0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4</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nil"/>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r>
      <w:tr w:rsidR="009254CC" w:rsidRPr="009254CC" w:rsidTr="009254CC">
        <w:trPr>
          <w:trHeight w:val="315"/>
        </w:trPr>
        <w:tc>
          <w:tcPr>
            <w:tcW w:w="3280" w:type="dxa"/>
            <w:tcBorders>
              <w:top w:val="nil"/>
              <w:left w:val="nil"/>
              <w:bottom w:val="single" w:sz="12" w:space="0" w:color="000000"/>
              <w:right w:val="nil"/>
            </w:tcBorders>
            <w:shd w:val="clear" w:color="auto" w:fill="auto"/>
            <w:vAlign w:val="center"/>
            <w:hideMark/>
          </w:tcPr>
          <w:p w:rsidR="009254CC" w:rsidRPr="009254CC" w:rsidRDefault="009254CC" w:rsidP="009254CC">
            <w:pPr>
              <w:suppressAutoHyphens w:val="0"/>
              <w:spacing w:before="0" w:after="0" w:line="240" w:lineRule="auto"/>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 xml:space="preserve">2016-20 </w:t>
            </w:r>
          </w:p>
        </w:tc>
        <w:tc>
          <w:tcPr>
            <w:tcW w:w="960" w:type="dxa"/>
            <w:tcBorders>
              <w:top w:val="nil"/>
              <w:left w:val="nil"/>
              <w:bottom w:val="single" w:sz="12" w:space="0" w:color="000000"/>
              <w:right w:val="nil"/>
            </w:tcBorders>
            <w:shd w:val="clear" w:color="auto" w:fill="auto"/>
            <w:vAlign w:val="center"/>
            <w:hideMark/>
          </w:tcPr>
          <w:p w:rsidR="009254CC" w:rsidRPr="009254CC" w:rsidRDefault="009254CC" w:rsidP="009254CC">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2016 AQC</w:t>
            </w:r>
          </w:p>
        </w:tc>
        <w:tc>
          <w:tcPr>
            <w:tcW w:w="760" w:type="dxa"/>
            <w:tcBorders>
              <w:top w:val="nil"/>
              <w:left w:val="nil"/>
              <w:bottom w:val="single" w:sz="12" w:space="0" w:color="000000"/>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6</w:t>
            </w:r>
          </w:p>
        </w:tc>
        <w:tc>
          <w:tcPr>
            <w:tcW w:w="760" w:type="dxa"/>
            <w:tcBorders>
              <w:top w:val="nil"/>
              <w:left w:val="nil"/>
              <w:bottom w:val="single" w:sz="12" w:space="0" w:color="000000"/>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6</w:t>
            </w:r>
          </w:p>
        </w:tc>
        <w:tc>
          <w:tcPr>
            <w:tcW w:w="760" w:type="dxa"/>
            <w:tcBorders>
              <w:top w:val="nil"/>
              <w:left w:val="nil"/>
              <w:bottom w:val="single" w:sz="12" w:space="0" w:color="000000"/>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12" w:space="0" w:color="000000"/>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12" w:space="0" w:color="000000"/>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5</w:t>
            </w:r>
          </w:p>
        </w:tc>
        <w:tc>
          <w:tcPr>
            <w:tcW w:w="760" w:type="dxa"/>
            <w:tcBorders>
              <w:top w:val="nil"/>
              <w:left w:val="nil"/>
              <w:bottom w:val="single" w:sz="12" w:space="0" w:color="000000"/>
              <w:right w:val="nil"/>
            </w:tcBorders>
            <w:shd w:val="clear" w:color="000000" w:fill="92D050"/>
            <w:noWrap/>
            <w:vAlign w:val="center"/>
            <w:hideMark/>
          </w:tcPr>
          <w:p w:rsidR="009254CC" w:rsidRPr="009254CC" w:rsidRDefault="009254CC" w:rsidP="009254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254CC">
              <w:rPr>
                <w:rFonts w:ascii="Calibri Light" w:eastAsia="Times New Roman" w:hAnsi="Calibri Light" w:cs="Times New Roman"/>
                <w:iCs/>
                <w:color w:val="495965"/>
                <w:sz w:val="17"/>
                <w:szCs w:val="17"/>
                <w:lang w:eastAsia="en-AU"/>
              </w:rPr>
              <w:t>6</w:t>
            </w:r>
          </w:p>
        </w:tc>
      </w:tr>
    </w:tbl>
    <w:p w:rsidR="00A56F14" w:rsidRDefault="00A56F14" w:rsidP="00400B0F">
      <w:pPr>
        <w:keepNext/>
        <w:numPr>
          <w:ilvl w:val="2"/>
          <w:numId w:val="0"/>
        </w:numPr>
        <w:spacing w:before="240" w:after="120"/>
        <w:outlineLvl w:val="2"/>
        <w:rPr>
          <w:rFonts w:ascii="Helvetica" w:eastAsia="Times New Roman" w:hAnsi="Helvetica" w:cs="Arial"/>
          <w:b/>
          <w:color w:val="124486"/>
          <w:kern w:val="28"/>
          <w:lang w:eastAsia="zh-CN"/>
        </w:rPr>
      </w:pPr>
    </w:p>
    <w:p w:rsidR="00A56F14" w:rsidRDefault="00A56F14" w:rsidP="00A56F14"/>
    <w:p w:rsidR="009254CC" w:rsidRDefault="009254CC">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rsidR="00400B0F" w:rsidRPr="00C61187"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lastRenderedPageBreak/>
        <w:t>FAQC ratings</w:t>
      </w:r>
      <w:r w:rsidRPr="00C61187">
        <w:rPr>
          <w:rFonts w:ascii="Helvetica" w:eastAsia="Times New Roman" w:hAnsi="Helvetica" w:cs="Arial"/>
          <w:b/>
          <w:color w:val="124486"/>
          <w:kern w:val="28"/>
          <w:lang w:eastAsia="zh-CN"/>
        </w:rPr>
        <w:t xml:space="preserve"> </w:t>
      </w:r>
    </w:p>
    <w:p w:rsidR="00400B0F" w:rsidRPr="00C61187" w:rsidRDefault="00400B0F" w:rsidP="00784031">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771"/>
        <w:gridCol w:w="1284"/>
        <w:gridCol w:w="823"/>
        <w:gridCol w:w="821"/>
        <w:gridCol w:w="823"/>
        <w:gridCol w:w="821"/>
        <w:gridCol w:w="823"/>
        <w:gridCol w:w="821"/>
        <w:gridCol w:w="823"/>
        <w:gridCol w:w="828"/>
      </w:tblGrid>
      <w:tr w:rsidR="00400B0F" w:rsidRPr="00C61187" w:rsidTr="00285BBA">
        <w:trPr>
          <w:cnfStyle w:val="000000010000" w:firstRow="0" w:lastRow="0" w:firstColumn="0" w:lastColumn="0" w:oddVBand="0" w:evenVBand="0" w:oddHBand="0" w:evenHBand="1" w:firstRowFirstColumn="0" w:firstRowLastColumn="0" w:lastRowFirstColumn="0" w:lastRowLastColumn="0"/>
          <w:trHeight w:val="1505"/>
        </w:trPr>
        <w:tc>
          <w:tcPr>
            <w:tcW w:w="906" w:type="pct"/>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79744" behindDoc="0" locked="0" layoutInCell="1" allowOverlap="1" wp14:anchorId="7E14E7CA" wp14:editId="030D2C9E">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659"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17" w:type="pct"/>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Overall rating</w:t>
            </w:r>
          </w:p>
        </w:tc>
        <w:tc>
          <w:tcPr>
            <w:tcW w:w="416" w:type="pct"/>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17" w:type="pct"/>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16" w:type="pct"/>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17" w:type="pct"/>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16" w:type="pct"/>
            <w:noWrap/>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17"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12"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p>
        </w:tc>
      </w:tr>
      <w:tr w:rsidR="00400B0F" w:rsidRPr="00C61187" w:rsidTr="00BC61C4">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400B0F" w:rsidRPr="00880004" w:rsidRDefault="00285BBA"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Vanuatu Policing and Justice Support Program </w:t>
            </w:r>
          </w:p>
        </w:tc>
        <w:tc>
          <w:tcPr>
            <w:tcW w:w="659" w:type="pct"/>
          </w:tcPr>
          <w:p w:rsidR="00400B0F" w:rsidRPr="00880004" w:rsidRDefault="00400B0F" w:rsidP="006F27B1">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$2</w:t>
            </w:r>
            <w:r w:rsidR="00743284">
              <w:rPr>
                <w:rFonts w:asciiTheme="minorHAnsi" w:hAnsiTheme="minorHAnsi" w:cs="Franklin Gothic Book"/>
                <w:color w:val="000000"/>
                <w:szCs w:val="17"/>
              </w:rPr>
              <w:t>0</w:t>
            </w:r>
            <w:r w:rsidRPr="00880004">
              <w:rPr>
                <w:rFonts w:asciiTheme="minorHAnsi" w:hAnsiTheme="minorHAnsi" w:cs="Franklin Gothic Book"/>
                <w:color w:val="000000"/>
                <w:szCs w:val="17"/>
              </w:rPr>
              <w:t xml:space="preserve">m </w:t>
            </w:r>
          </w:p>
          <w:p w:rsidR="00400B0F" w:rsidRPr="00880004" w:rsidRDefault="00400B0F" w:rsidP="00743284">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sidR="00510FAB">
              <w:rPr>
                <w:rFonts w:asciiTheme="minorHAnsi" w:eastAsia="Times New Roman" w:hAnsiTheme="minorHAnsi"/>
                <w:iCs/>
                <w:szCs w:val="17"/>
                <w:lang w:eastAsia="en-US"/>
              </w:rPr>
              <w:t>4</w:t>
            </w:r>
            <w:r w:rsidRPr="00880004">
              <w:rPr>
                <w:rFonts w:asciiTheme="minorHAnsi" w:eastAsia="Times New Roman" w:hAnsiTheme="minorHAnsi"/>
                <w:iCs/>
                <w:szCs w:val="17"/>
                <w:lang w:eastAsia="en-US"/>
              </w:rPr>
              <w:t>-</w:t>
            </w:r>
            <w:r w:rsidR="00743284" w:rsidRPr="00880004">
              <w:rPr>
                <w:rFonts w:asciiTheme="minorHAnsi" w:eastAsia="Times New Roman" w:hAnsiTheme="minorHAnsi"/>
                <w:iCs/>
                <w:szCs w:val="17"/>
                <w:lang w:eastAsia="en-US"/>
              </w:rPr>
              <w:t>1</w:t>
            </w:r>
            <w:r w:rsidR="00743284">
              <w:rPr>
                <w:rFonts w:asciiTheme="minorHAnsi" w:eastAsia="Times New Roman" w:hAnsiTheme="minorHAnsi"/>
                <w:iCs/>
                <w:szCs w:val="17"/>
                <w:lang w:eastAsia="en-US"/>
              </w:rPr>
              <w:t>6</w:t>
            </w:r>
            <w:r w:rsidR="00743284" w:rsidRPr="00880004">
              <w:rPr>
                <w:rFonts w:asciiTheme="minorHAnsi" w:eastAsia="Times New Roman" w:hAnsiTheme="minorHAnsi"/>
                <w:iCs/>
                <w:szCs w:val="17"/>
                <w:lang w:eastAsia="en-US"/>
              </w:rPr>
              <w:t xml:space="preserve"> </w:t>
            </w:r>
          </w:p>
        </w:tc>
        <w:tc>
          <w:tcPr>
            <w:tcW w:w="417" w:type="pct"/>
            <w:shd w:val="clear" w:color="auto" w:fill="FFFF00"/>
            <w:noWrap/>
          </w:tcPr>
          <w:p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4</w:t>
            </w:r>
          </w:p>
        </w:tc>
        <w:tc>
          <w:tcPr>
            <w:tcW w:w="416" w:type="pct"/>
            <w:shd w:val="clear" w:color="auto" w:fill="92D050"/>
            <w:noWrap/>
          </w:tcPr>
          <w:p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5</w:t>
            </w:r>
          </w:p>
        </w:tc>
        <w:tc>
          <w:tcPr>
            <w:tcW w:w="417" w:type="pct"/>
            <w:shd w:val="clear" w:color="auto" w:fill="FFFF00"/>
            <w:noWrap/>
          </w:tcPr>
          <w:p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szCs w:val="17"/>
                <w:lang w:eastAsia="en-US"/>
              </w:rPr>
              <w:t>4</w:t>
            </w:r>
          </w:p>
        </w:tc>
        <w:tc>
          <w:tcPr>
            <w:tcW w:w="416" w:type="pct"/>
            <w:shd w:val="clear" w:color="auto" w:fill="FFFF00"/>
            <w:noWrap/>
          </w:tcPr>
          <w:p w:rsidR="00400B0F" w:rsidRPr="00880004" w:rsidRDefault="00BC61C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7" w:type="pct"/>
            <w:shd w:val="clear" w:color="auto" w:fill="FFFF00"/>
            <w:noWrap/>
          </w:tcPr>
          <w:p w:rsidR="00400B0F" w:rsidRPr="00880004" w:rsidRDefault="00BC61C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6" w:type="pct"/>
            <w:shd w:val="clear" w:color="auto" w:fill="FFFF00"/>
            <w:noWrap/>
          </w:tcPr>
          <w:p w:rsidR="00400B0F" w:rsidRPr="00880004" w:rsidRDefault="00BC61C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7" w:type="pct"/>
            <w:shd w:val="clear" w:color="auto" w:fill="FFFF00"/>
          </w:tcPr>
          <w:p w:rsidR="00400B0F" w:rsidRPr="00880004" w:rsidRDefault="00BC61C4"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auto"/>
          </w:tcPr>
          <w:p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p>
        </w:tc>
      </w:tr>
      <w:tr w:rsidR="00285BBA" w:rsidRPr="00C61187" w:rsidTr="00BC61C4">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285BBA" w:rsidRPr="00880004" w:rsidRDefault="00285BBA" w:rsidP="006F27B1">
            <w:pPr>
              <w:keepLines/>
              <w:spacing w:before="40" w:after="40" w:line="200" w:lineRule="atLeast"/>
              <w:rPr>
                <w:rFonts w:eastAsia="Times New Roman"/>
                <w:iCs/>
                <w:szCs w:val="17"/>
              </w:rPr>
            </w:pPr>
            <w:r>
              <w:rPr>
                <w:rFonts w:eastAsia="Times New Roman"/>
                <w:iCs/>
                <w:szCs w:val="17"/>
              </w:rPr>
              <w:t>Governance for Growth</w:t>
            </w:r>
          </w:p>
        </w:tc>
        <w:tc>
          <w:tcPr>
            <w:tcW w:w="659" w:type="pct"/>
          </w:tcPr>
          <w:p w:rsidR="00285BBA" w:rsidRPr="00CB71C6" w:rsidRDefault="00CB71C6" w:rsidP="00CB71C6">
            <w:pPr>
              <w:autoSpaceDE w:val="0"/>
              <w:autoSpaceDN w:val="0"/>
              <w:adjustRightInd w:val="0"/>
              <w:spacing w:before="0" w:after="0" w:line="240" w:lineRule="auto"/>
              <w:rPr>
                <w:rFonts w:asciiTheme="minorHAnsi" w:hAnsiTheme="minorHAnsi" w:cs="Franklin Gothic Book"/>
                <w:color w:val="000000"/>
                <w:szCs w:val="17"/>
              </w:rPr>
            </w:pPr>
            <w:r w:rsidRPr="00CB71C6">
              <w:rPr>
                <w:rFonts w:asciiTheme="minorHAnsi" w:hAnsiTheme="minorHAnsi" w:cs="Franklin Gothic Book"/>
                <w:color w:val="000000"/>
                <w:szCs w:val="17"/>
              </w:rPr>
              <w:t>$23.4m</w:t>
            </w:r>
          </w:p>
          <w:p w:rsidR="00CB71C6" w:rsidRPr="00880004" w:rsidRDefault="00CB71C6" w:rsidP="00CB71C6">
            <w:pPr>
              <w:autoSpaceDE w:val="0"/>
              <w:autoSpaceDN w:val="0"/>
              <w:adjustRightInd w:val="0"/>
              <w:spacing w:before="0" w:after="0" w:line="240" w:lineRule="auto"/>
              <w:rPr>
                <w:rFonts w:cs="Franklin Gothic Book"/>
                <w:color w:val="000000"/>
                <w:szCs w:val="17"/>
              </w:rPr>
            </w:pPr>
            <w:r w:rsidRPr="00CB71C6">
              <w:rPr>
                <w:rFonts w:asciiTheme="minorHAnsi" w:hAnsiTheme="minorHAnsi" w:cs="Franklin Gothic Book"/>
                <w:color w:val="000000"/>
                <w:szCs w:val="17"/>
              </w:rPr>
              <w:t>2012-16</w:t>
            </w:r>
          </w:p>
        </w:tc>
        <w:tc>
          <w:tcPr>
            <w:tcW w:w="417" w:type="pct"/>
            <w:shd w:val="clear" w:color="auto" w:fill="92D05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5</w:t>
            </w:r>
          </w:p>
        </w:tc>
        <w:tc>
          <w:tcPr>
            <w:tcW w:w="416" w:type="pct"/>
            <w:shd w:val="clear" w:color="auto" w:fill="92D05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5</w:t>
            </w:r>
          </w:p>
        </w:tc>
        <w:tc>
          <w:tcPr>
            <w:tcW w:w="417" w:type="pct"/>
            <w:shd w:val="clear" w:color="auto" w:fill="92D05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5</w:t>
            </w:r>
          </w:p>
        </w:tc>
        <w:tc>
          <w:tcPr>
            <w:tcW w:w="416" w:type="pct"/>
            <w:shd w:val="clear" w:color="auto" w:fill="FFFF0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4</w:t>
            </w:r>
          </w:p>
        </w:tc>
        <w:tc>
          <w:tcPr>
            <w:tcW w:w="417" w:type="pct"/>
            <w:shd w:val="clear" w:color="auto" w:fill="FFFF0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4</w:t>
            </w:r>
          </w:p>
        </w:tc>
        <w:tc>
          <w:tcPr>
            <w:tcW w:w="416" w:type="pct"/>
            <w:shd w:val="clear" w:color="auto" w:fill="FFFF0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4</w:t>
            </w:r>
          </w:p>
        </w:tc>
        <w:tc>
          <w:tcPr>
            <w:tcW w:w="417" w:type="pct"/>
            <w:shd w:val="clear" w:color="auto" w:fill="FFC000"/>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3</w:t>
            </w:r>
          </w:p>
        </w:tc>
        <w:tc>
          <w:tcPr>
            <w:tcW w:w="412" w:type="pct"/>
            <w:shd w:val="clear" w:color="auto" w:fill="auto"/>
          </w:tcPr>
          <w:p w:rsidR="00285BBA" w:rsidRPr="00880004" w:rsidRDefault="00285BBA" w:rsidP="006F27B1">
            <w:pPr>
              <w:keepLines/>
              <w:spacing w:before="40" w:after="40" w:line="200" w:lineRule="atLeast"/>
              <w:jc w:val="center"/>
              <w:rPr>
                <w:rFonts w:eastAsia="Times New Roman"/>
                <w:iCs/>
                <w:szCs w:val="17"/>
              </w:rPr>
            </w:pPr>
          </w:p>
        </w:tc>
      </w:tr>
      <w:tr w:rsidR="00285BBA" w:rsidRPr="00C61187" w:rsidTr="00BC61C4">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285BBA" w:rsidRPr="00880004" w:rsidRDefault="00285BBA" w:rsidP="006F27B1">
            <w:pPr>
              <w:keepLines/>
              <w:spacing w:before="40" w:after="40" w:line="200" w:lineRule="atLeast"/>
              <w:rPr>
                <w:rFonts w:eastAsia="Times New Roman"/>
                <w:iCs/>
                <w:szCs w:val="17"/>
              </w:rPr>
            </w:pPr>
            <w:r>
              <w:rPr>
                <w:rFonts w:eastAsia="Times New Roman"/>
                <w:iCs/>
                <w:szCs w:val="17"/>
              </w:rPr>
              <w:t xml:space="preserve">Pacific Women Initiative </w:t>
            </w:r>
          </w:p>
        </w:tc>
        <w:tc>
          <w:tcPr>
            <w:tcW w:w="659" w:type="pct"/>
          </w:tcPr>
          <w:p w:rsidR="00285BBA" w:rsidRPr="00880004" w:rsidRDefault="00285BBA" w:rsidP="006F27B1">
            <w:pPr>
              <w:autoSpaceDE w:val="0"/>
              <w:autoSpaceDN w:val="0"/>
              <w:adjustRightInd w:val="0"/>
              <w:rPr>
                <w:rFonts w:cs="Franklin Gothic Book"/>
                <w:color w:val="000000"/>
                <w:szCs w:val="17"/>
              </w:rPr>
            </w:pPr>
          </w:p>
        </w:tc>
        <w:tc>
          <w:tcPr>
            <w:tcW w:w="417" w:type="pct"/>
            <w:shd w:val="clear" w:color="auto" w:fill="92D05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5</w:t>
            </w:r>
          </w:p>
        </w:tc>
        <w:tc>
          <w:tcPr>
            <w:tcW w:w="416" w:type="pct"/>
            <w:shd w:val="clear" w:color="auto" w:fill="92D05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6</w:t>
            </w:r>
          </w:p>
        </w:tc>
        <w:tc>
          <w:tcPr>
            <w:tcW w:w="417" w:type="pct"/>
            <w:shd w:val="clear" w:color="auto" w:fill="92D05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5</w:t>
            </w:r>
          </w:p>
        </w:tc>
        <w:tc>
          <w:tcPr>
            <w:tcW w:w="416" w:type="pct"/>
            <w:shd w:val="clear" w:color="auto" w:fill="FFFF0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4</w:t>
            </w:r>
          </w:p>
        </w:tc>
        <w:tc>
          <w:tcPr>
            <w:tcW w:w="417" w:type="pct"/>
            <w:shd w:val="clear" w:color="auto" w:fill="FFFF0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4</w:t>
            </w:r>
          </w:p>
        </w:tc>
        <w:tc>
          <w:tcPr>
            <w:tcW w:w="416" w:type="pct"/>
            <w:shd w:val="clear" w:color="auto" w:fill="92D050"/>
            <w:noWrap/>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5</w:t>
            </w:r>
          </w:p>
        </w:tc>
        <w:tc>
          <w:tcPr>
            <w:tcW w:w="417" w:type="pct"/>
            <w:shd w:val="clear" w:color="auto" w:fill="92D050"/>
          </w:tcPr>
          <w:p w:rsidR="00285BBA" w:rsidRPr="00880004" w:rsidRDefault="00BC61C4" w:rsidP="006F27B1">
            <w:pPr>
              <w:keepLines/>
              <w:spacing w:before="40" w:after="40" w:line="200" w:lineRule="atLeast"/>
              <w:jc w:val="center"/>
              <w:rPr>
                <w:rFonts w:eastAsia="Times New Roman"/>
                <w:iCs/>
                <w:szCs w:val="17"/>
              </w:rPr>
            </w:pPr>
            <w:r>
              <w:rPr>
                <w:rFonts w:eastAsia="Times New Roman"/>
                <w:iCs/>
                <w:szCs w:val="17"/>
              </w:rPr>
              <w:t>5</w:t>
            </w:r>
          </w:p>
        </w:tc>
        <w:tc>
          <w:tcPr>
            <w:tcW w:w="412" w:type="pct"/>
            <w:shd w:val="clear" w:color="auto" w:fill="auto"/>
          </w:tcPr>
          <w:p w:rsidR="00285BBA" w:rsidRPr="00880004" w:rsidRDefault="00285BBA" w:rsidP="006F27B1">
            <w:pPr>
              <w:keepLines/>
              <w:spacing w:before="40" w:after="40" w:line="200" w:lineRule="atLeast"/>
              <w:jc w:val="center"/>
              <w:rPr>
                <w:rFonts w:eastAsia="Times New Roman"/>
                <w:iCs/>
                <w:szCs w:val="17"/>
              </w:rPr>
            </w:pPr>
          </w:p>
        </w:tc>
      </w:tr>
    </w:tbl>
    <w:p w:rsidR="00400B0F" w:rsidRPr="00C61187" w:rsidRDefault="00400B0F" w:rsidP="00400B0F">
      <w:pPr>
        <w:spacing w:before="20" w:after="20" w:line="180" w:lineRule="atLeast"/>
        <w:jc w:val="both"/>
        <w:rPr>
          <w:rFonts w:ascii="Franklin Gothic Book" w:eastAsia="Times New Roman" w:hAnsi="Franklin Gothic Book"/>
          <w:b/>
          <w:sz w:val="14"/>
          <w:szCs w:val="14"/>
        </w:rPr>
      </w:pP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Satisfactory (4, 5 and 6)</w:t>
      </w:r>
    </w:p>
    <w:p w:rsidR="00400B0F" w:rsidRPr="00880004" w:rsidRDefault="00400B0F" w:rsidP="009254CC">
      <w:pPr>
        <w:spacing w:before="20" w:after="20" w:line="180" w:lineRule="atLeast"/>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009254CC">
        <w:rPr>
          <w:rFonts w:eastAsia="Times New Roman"/>
          <w:b/>
          <w:sz w:val="16"/>
          <w:szCs w:val="14"/>
        </w:rPr>
        <w:br/>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400B0F" w:rsidRPr="00880004" w:rsidRDefault="00400B0F" w:rsidP="009254CC">
      <w:pPr>
        <w:spacing w:before="20" w:after="20" w:line="180" w:lineRule="atLeast"/>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400B0F" w:rsidRPr="00880004" w:rsidRDefault="00400B0F" w:rsidP="009254CC">
      <w:pPr>
        <w:spacing w:before="20" w:after="20" w:line="180" w:lineRule="atLeast"/>
        <w:rPr>
          <w:rFonts w:eastAsia="Times New Roman"/>
          <w:b/>
          <w:sz w:val="16"/>
          <w:szCs w:val="14"/>
        </w:rPr>
      </w:pPr>
      <w:r w:rsidRPr="00880004">
        <w:rPr>
          <w:rFonts w:eastAsia="Times New Roman"/>
          <w:b/>
          <w:sz w:val="16"/>
          <w:szCs w:val="14"/>
        </w:rPr>
        <w:t>Less than satisfactory (1, 2 and 3)</w:t>
      </w:r>
    </w:p>
    <w:p w:rsidR="00400B0F" w:rsidRPr="00880004" w:rsidRDefault="00400B0F" w:rsidP="009254CC">
      <w:pPr>
        <w:spacing w:before="20" w:after="20" w:line="180" w:lineRule="atLeast"/>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rsidR="00B43B06" w:rsidRDefault="00400B0F" w:rsidP="009254CC">
      <w:pPr>
        <w:spacing w:before="20" w:after="20" w:line="180" w:lineRule="atLeast"/>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009254CC">
        <w:rPr>
          <w:rFonts w:eastAsia="Times New Roman"/>
          <w:b/>
          <w:sz w:val="16"/>
          <w:szCs w:val="14"/>
        </w:rPr>
        <w:br/>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sectPr w:rsidR="00B43B06" w:rsidSect="00CA7DD8">
      <w:headerReference w:type="default" r:id="rId32"/>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F4" w:rsidRDefault="006A58F4" w:rsidP="00EF4574">
      <w:pPr>
        <w:spacing w:before="0" w:after="0" w:line="240" w:lineRule="auto"/>
      </w:pPr>
      <w:r>
        <w:separator/>
      </w:r>
    </w:p>
  </w:endnote>
  <w:endnote w:type="continuationSeparator" w:id="0">
    <w:p w:rsidR="006A58F4" w:rsidRDefault="006A58F4"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FF" w:rsidRDefault="00CA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4" w:rsidRPr="00CD0E4B" w:rsidRDefault="006A58F4" w:rsidP="00C406F0">
    <w:pPr>
      <w:pStyle w:val="Footer"/>
    </w:pPr>
    <w:r w:rsidRPr="00CD0E4B">
      <w:rPr>
        <w:noProof/>
        <w:lang w:val="en-AU" w:eastAsia="en-AU"/>
      </w:rPr>
      <w:drawing>
        <wp:inline distT="0" distB="0" distL="0" distR="0" wp14:anchorId="5B8B5F21" wp14:editId="0CCD5161">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6A58F4" w:rsidRDefault="006A58F4">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FF" w:rsidRDefault="00CA43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4" w:rsidRPr="00CD0E4B" w:rsidRDefault="006A58F4" w:rsidP="00784031">
    <w:pPr>
      <w:pStyle w:val="Footer"/>
    </w:pPr>
    <w:r w:rsidRPr="00CD0E4B">
      <w:rPr>
        <w:noProof/>
        <w:lang w:val="en-AU" w:eastAsia="en-AU"/>
      </w:rPr>
      <w:drawing>
        <wp:inline distT="0" distB="0" distL="0" distR="0" wp14:anchorId="02FE8218" wp14:editId="78D18032">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6A58F4" w:rsidRPr="00CD0E4B" w:rsidRDefault="006A58F4"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F4" w:rsidRPr="008C5A0E" w:rsidRDefault="006A58F4" w:rsidP="001D663E">
      <w:pPr>
        <w:pStyle w:val="Footer"/>
        <w:pBdr>
          <w:top w:val="single" w:sz="4" w:space="1" w:color="495965" w:themeColor="text2"/>
        </w:pBdr>
      </w:pPr>
    </w:p>
  </w:footnote>
  <w:footnote w:type="continuationSeparator" w:id="0">
    <w:p w:rsidR="006A58F4" w:rsidRDefault="006A58F4" w:rsidP="00EF4574">
      <w:pPr>
        <w:spacing w:before="0" w:after="0" w:line="240" w:lineRule="auto"/>
      </w:pPr>
      <w:r>
        <w:continuationSeparator/>
      </w:r>
    </w:p>
  </w:footnote>
  <w:footnote w:id="1">
    <w:p w:rsidR="006A58F4" w:rsidRDefault="006A58F4" w:rsidP="006305B1">
      <w:pPr>
        <w:pStyle w:val="FootnoteText"/>
      </w:pPr>
      <w:r>
        <w:rPr>
          <w:rStyle w:val="FootnoteReference"/>
        </w:rPr>
        <w:footnoteRef/>
      </w:r>
      <w:r>
        <w:t xml:space="preserve"> </w:t>
      </w:r>
      <w:r>
        <w:rPr>
          <w:i/>
          <w:iCs/>
        </w:rPr>
        <w:t>Australian Engagement with Development Countries: Part 2: Official Sector Statistical Summary 2015-16</w:t>
      </w:r>
    </w:p>
  </w:footnote>
  <w:footnote w:id="2">
    <w:p w:rsidR="006A58F4" w:rsidRDefault="006A58F4" w:rsidP="00AE646B">
      <w:pPr>
        <w:pStyle w:val="FootnoteText"/>
      </w:pPr>
      <w:r>
        <w:rPr>
          <w:rStyle w:val="FootnoteReference"/>
        </w:rPr>
        <w:footnoteRef/>
      </w:r>
      <w:r>
        <w:t xml:space="preserve"> National Survey on Women’s Lives and Family Relationships, Vanuatu Women’s Centre in Partnership with the </w:t>
      </w:r>
    </w:p>
    <w:p w:rsidR="006A58F4" w:rsidRDefault="006A58F4" w:rsidP="00AE646B">
      <w:pPr>
        <w:pStyle w:val="FootnoteText"/>
      </w:pPr>
      <w:r>
        <w:t>Vanuatu National Statistics Office, May 2011</w:t>
      </w:r>
    </w:p>
  </w:footnote>
  <w:footnote w:id="3">
    <w:p w:rsidR="006A58F4" w:rsidRDefault="006A58F4" w:rsidP="009B6771">
      <w:pPr>
        <w:pStyle w:val="FootnoteText"/>
        <w:rPr>
          <w:lang w:val="en-AU"/>
        </w:rPr>
      </w:pPr>
      <w:r>
        <w:rPr>
          <w:rStyle w:val="FootnoteReference"/>
        </w:rPr>
        <w:footnoteRef/>
      </w:r>
      <w:r>
        <w:t xml:space="preserve"> Governance for Growth in Vanuatu, Overseas Development Institute report </w:t>
      </w:r>
    </w:p>
  </w:footnote>
  <w:footnote w:id="4">
    <w:p w:rsidR="006A58F4" w:rsidRPr="00F37F65" w:rsidRDefault="006A58F4">
      <w:pPr>
        <w:pStyle w:val="FootnoteText"/>
        <w:rPr>
          <w:lang w:val="en-AU"/>
        </w:rPr>
      </w:pPr>
      <w:r>
        <w:rPr>
          <w:rStyle w:val="FootnoteReference"/>
        </w:rPr>
        <w:footnoteRef/>
      </w:r>
      <w:r>
        <w:t xml:space="preserve"> </w:t>
      </w:r>
      <w:r>
        <w:rPr>
          <w:lang w:val="en-AU"/>
        </w:rPr>
        <w:t xml:space="preserve">Governance for Growth in Vanuatu, Overseas Development Institute, 2016. </w:t>
      </w:r>
    </w:p>
  </w:footnote>
  <w:footnote w:id="5">
    <w:p w:rsidR="006A58F4" w:rsidRDefault="006A58F4" w:rsidP="00801E79">
      <w:pPr>
        <w:pStyle w:val="FootnoteText"/>
        <w:rPr>
          <w:lang w:val="en-AU"/>
        </w:rPr>
      </w:pPr>
      <w:r>
        <w:rPr>
          <w:rStyle w:val="FootnoteReference"/>
        </w:rPr>
        <w:footnoteRef/>
      </w:r>
      <w:r>
        <w:t xml:space="preserve"> </w:t>
      </w:r>
      <w:r>
        <w:rPr>
          <w:lang w:val="en-AU"/>
        </w:rPr>
        <w:t>Vanuatu Governance for Growth Program - Review</w:t>
      </w:r>
    </w:p>
  </w:footnote>
  <w:footnote w:id="6">
    <w:p w:rsidR="006A58F4" w:rsidRPr="00E43188" w:rsidRDefault="006A58F4">
      <w:pPr>
        <w:pStyle w:val="FootnoteText"/>
        <w:rPr>
          <w:lang w:val="en-AU"/>
        </w:rPr>
      </w:pPr>
      <w:r w:rsidRPr="00173042">
        <w:rPr>
          <w:rStyle w:val="FootnoteReference"/>
        </w:rPr>
        <w:footnoteRef/>
      </w:r>
      <w:r w:rsidRPr="00173042">
        <w:t xml:space="preserve"> </w:t>
      </w:r>
      <w:r w:rsidRPr="00173042">
        <w:rPr>
          <w:lang w:val="en-AU"/>
        </w:rPr>
        <w:t>Roads for Development Independent Evaluation, 2017</w:t>
      </w:r>
    </w:p>
  </w:footnote>
  <w:footnote w:id="7">
    <w:p w:rsidR="006A58F4" w:rsidRDefault="006A58F4" w:rsidP="009E25E7">
      <w:pPr>
        <w:pStyle w:val="FootnoteText"/>
      </w:pPr>
      <w:r>
        <w:rPr>
          <w:rStyle w:val="FootnoteReference"/>
        </w:rPr>
        <w:footnoteRef/>
      </w:r>
      <w:r>
        <w:t xml:space="preserve"> TVET for Tourism Final Report and Evaluation May 2016 </w:t>
      </w:r>
    </w:p>
  </w:footnote>
  <w:footnote w:id="8">
    <w:p w:rsidR="006A58F4" w:rsidRPr="00B65DA6" w:rsidRDefault="006A58F4">
      <w:pPr>
        <w:pStyle w:val="FootnoteText"/>
        <w:rPr>
          <w:lang w:val="en-AU"/>
        </w:rPr>
      </w:pPr>
      <w:r>
        <w:rPr>
          <w:rStyle w:val="FootnoteReference"/>
        </w:rPr>
        <w:footnoteRef/>
      </w:r>
      <w:r>
        <w:t xml:space="preserve"> Technical &amp; Vocational Education &amp; Training (</w:t>
      </w:r>
      <w:r>
        <w:rPr>
          <w:lang w:val="en-AU"/>
        </w:rPr>
        <w:t>TVET) for Tourism Final Report and Evaluation, May 2016</w:t>
      </w:r>
    </w:p>
  </w:footnote>
  <w:footnote w:id="9">
    <w:p w:rsidR="006A58F4" w:rsidRDefault="006A58F4" w:rsidP="00DA1268">
      <w:pPr>
        <w:pStyle w:val="FootnoteText"/>
      </w:pPr>
      <w:r>
        <w:rPr>
          <w:rStyle w:val="FootnoteReference"/>
        </w:rPr>
        <w:footnoteRef/>
      </w:r>
      <w:r>
        <w:t xml:space="preserve"> The Vanuatu Education Support Program (2013-2017): Mid Term Review, December 2016</w:t>
      </w:r>
    </w:p>
  </w:footnote>
  <w:footnote w:id="10">
    <w:p w:rsidR="006A58F4" w:rsidRDefault="006A58F4" w:rsidP="00986F7C">
      <w:pPr>
        <w:pStyle w:val="FootnoteText"/>
      </w:pPr>
      <w:r>
        <w:rPr>
          <w:rStyle w:val="FootnoteReference"/>
        </w:rPr>
        <w:footnoteRef/>
      </w:r>
      <w:r>
        <w:t xml:space="preserve"> The Vanuatu Education Support Program (2013-2017): Mid Term Review, December 2016</w:t>
      </w:r>
    </w:p>
  </w:footnote>
  <w:footnote w:id="11">
    <w:p w:rsidR="006A58F4" w:rsidRPr="000B74F5" w:rsidRDefault="006A58F4">
      <w:pPr>
        <w:pStyle w:val="FootnoteText"/>
        <w:rPr>
          <w:lang w:val="en-AU"/>
        </w:rPr>
      </w:pPr>
      <w:r>
        <w:rPr>
          <w:rStyle w:val="FootnoteReference"/>
        </w:rPr>
        <w:footnoteRef/>
      </w:r>
      <w:r>
        <w:t xml:space="preserve"> </w:t>
      </w:r>
      <w:r>
        <w:rPr>
          <w:lang w:val="en-AU"/>
        </w:rPr>
        <w:t>Strengthening Early Childhood Care and Education, Programme Completion Report, February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FF" w:rsidRDefault="00CA4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4" w:rsidRPr="00333501" w:rsidRDefault="006A58F4" w:rsidP="008F56A8">
    <w:pPr>
      <w:pStyle w:val="Header"/>
      <w:jc w:val="left"/>
    </w:pPr>
    <w:r>
      <w:rPr>
        <w:noProof/>
        <w:lang w:val="en-AU" w:eastAsia="en-AU"/>
      </w:rPr>
      <w:drawing>
        <wp:anchor distT="0" distB="0" distL="114300" distR="114300" simplePos="0" relativeHeight="251681792" behindDoc="1" locked="1" layoutInCell="1" allowOverlap="1" wp14:anchorId="2056BD04" wp14:editId="3A9E0750">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FF" w:rsidRDefault="00CA43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4" w:rsidRDefault="006A58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4" w:rsidRPr="00333501" w:rsidRDefault="006A58F4" w:rsidP="008F56A8">
    <w:pPr>
      <w:pStyle w:val="Header"/>
      <w:jc w:val="left"/>
    </w:pPr>
    <w:r>
      <w:rPr>
        <w:noProof/>
        <w:lang w:val="en-AU" w:eastAsia="en-AU"/>
      </w:rPr>
      <w:drawing>
        <wp:anchor distT="0" distB="0" distL="114300" distR="114300" simplePos="0" relativeHeight="251697152" behindDoc="1" locked="1" layoutInCell="1" allowOverlap="1" wp14:anchorId="3BB7A84A" wp14:editId="0FC0059D">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4" w:rsidRPr="003D352D" w:rsidRDefault="006A58F4" w:rsidP="003D352D">
    <w:pPr>
      <w:pStyle w:val="Header"/>
      <w:jc w:val="left"/>
    </w:pPr>
    <w:r>
      <w:rPr>
        <w:noProof/>
        <w:lang w:val="en-AU" w:eastAsia="en-AU"/>
      </w:rPr>
      <w:drawing>
        <wp:anchor distT="0" distB="0" distL="114300" distR="114300" simplePos="0" relativeHeight="251695104" behindDoc="1" locked="1" layoutInCell="1" allowOverlap="1" wp14:anchorId="54A40CA2" wp14:editId="34859053">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4" w:rsidRPr="00333501" w:rsidRDefault="006A58F4" w:rsidP="008F56A8">
    <w:pPr>
      <w:pStyle w:val="Header"/>
      <w:jc w:val="left"/>
    </w:pPr>
    <w:r>
      <w:rPr>
        <w:noProof/>
        <w:lang w:val="en-AU" w:eastAsia="en-AU"/>
      </w:rPr>
      <w:drawing>
        <wp:anchor distT="0" distB="0" distL="114300" distR="114300" simplePos="0" relativeHeight="251699200" behindDoc="1" locked="1" layoutInCell="1" allowOverlap="1" wp14:anchorId="51EE3286" wp14:editId="3A151453">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D0BB5"/>
    <w:multiLevelType w:val="hybridMultilevel"/>
    <w:tmpl w:val="7E424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A367635"/>
    <w:multiLevelType w:val="hybridMultilevel"/>
    <w:tmpl w:val="2E585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4B6AF6"/>
    <w:multiLevelType w:val="hybridMultilevel"/>
    <w:tmpl w:val="7E424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2227CF"/>
    <w:multiLevelType w:val="hybridMultilevel"/>
    <w:tmpl w:val="DDEA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0F2DB9"/>
    <w:multiLevelType w:val="hybridMultilevel"/>
    <w:tmpl w:val="7D54708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F98660C"/>
    <w:multiLevelType w:val="hybridMultilevel"/>
    <w:tmpl w:val="5C9054BE"/>
    <w:lvl w:ilvl="0" w:tplc="F026798C">
      <w:numFmt w:val="bullet"/>
      <w:lvlText w:val="-"/>
      <w:lvlJc w:val="left"/>
      <w:pPr>
        <w:ind w:left="360" w:hanging="360"/>
      </w:pPr>
      <w:rPr>
        <w:rFonts w:ascii="Calibri" w:eastAsiaTheme="minorHAnsi"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2341DB"/>
    <w:multiLevelType w:val="hybridMultilevel"/>
    <w:tmpl w:val="809C6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C1EA7"/>
    <w:multiLevelType w:val="multilevel"/>
    <w:tmpl w:val="43428892"/>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9"/>
  </w:num>
  <w:num w:numId="23">
    <w:abstractNumId w:val="19"/>
  </w:num>
  <w:num w:numId="24">
    <w:abstractNumId w:val="27"/>
  </w:num>
  <w:num w:numId="25">
    <w:abstractNumId w:val="27"/>
  </w:num>
  <w:num w:numId="26">
    <w:abstractNumId w:val="27"/>
  </w:num>
  <w:num w:numId="27">
    <w:abstractNumId w:val="25"/>
  </w:num>
  <w:num w:numId="28">
    <w:abstractNumId w:val="11"/>
  </w:num>
  <w:num w:numId="29">
    <w:abstractNumId w:val="11"/>
  </w:num>
  <w:num w:numId="30">
    <w:abstractNumId w:val="11"/>
  </w:num>
  <w:num w:numId="31">
    <w:abstractNumId w:val="20"/>
  </w:num>
  <w:num w:numId="32">
    <w:abstractNumId w:val="24"/>
  </w:num>
  <w:num w:numId="33">
    <w:abstractNumId w:val="30"/>
  </w:num>
  <w:num w:numId="34">
    <w:abstractNumId w:val="23"/>
  </w:num>
  <w:num w:numId="35">
    <w:abstractNumId w:val="15"/>
  </w:num>
  <w:num w:numId="36">
    <w:abstractNumId w:val="18"/>
  </w:num>
  <w:num w:numId="37">
    <w:abstractNumId w:val="16"/>
  </w:num>
  <w:num w:numId="38">
    <w:abstractNumId w:val="22"/>
  </w:num>
  <w:num w:numId="39">
    <w:abstractNumId w:val="17"/>
  </w:num>
  <w:num w:numId="40">
    <w:abstractNumId w:val="26"/>
  </w:num>
  <w:num w:numId="41">
    <w:abstractNumId w:val="14"/>
  </w:num>
  <w:num w:numId="42">
    <w:abstractNumId w:val="12"/>
  </w:num>
  <w:num w:numId="43">
    <w:abstractNumId w:val="2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64C4"/>
    <w:rsid w:val="00007945"/>
    <w:rsid w:val="000114AF"/>
    <w:rsid w:val="00015316"/>
    <w:rsid w:val="000163B3"/>
    <w:rsid w:val="0002080A"/>
    <w:rsid w:val="0002137A"/>
    <w:rsid w:val="000223E9"/>
    <w:rsid w:val="00026799"/>
    <w:rsid w:val="0002782F"/>
    <w:rsid w:val="00027F29"/>
    <w:rsid w:val="00031512"/>
    <w:rsid w:val="00032C37"/>
    <w:rsid w:val="00033AB7"/>
    <w:rsid w:val="00042505"/>
    <w:rsid w:val="00054E4D"/>
    <w:rsid w:val="0005665D"/>
    <w:rsid w:val="0005673E"/>
    <w:rsid w:val="00060073"/>
    <w:rsid w:val="00060268"/>
    <w:rsid w:val="00061F16"/>
    <w:rsid w:val="00064155"/>
    <w:rsid w:val="00082D1F"/>
    <w:rsid w:val="00084483"/>
    <w:rsid w:val="000A1221"/>
    <w:rsid w:val="000A53A5"/>
    <w:rsid w:val="000B74F5"/>
    <w:rsid w:val="000C1738"/>
    <w:rsid w:val="000C4C14"/>
    <w:rsid w:val="000C79F1"/>
    <w:rsid w:val="000D4D15"/>
    <w:rsid w:val="000D66D6"/>
    <w:rsid w:val="000D74F9"/>
    <w:rsid w:val="000E314A"/>
    <w:rsid w:val="000E408C"/>
    <w:rsid w:val="000E58BD"/>
    <w:rsid w:val="000F1782"/>
    <w:rsid w:val="001103E6"/>
    <w:rsid w:val="00112A5F"/>
    <w:rsid w:val="00116497"/>
    <w:rsid w:val="00125BF2"/>
    <w:rsid w:val="00140883"/>
    <w:rsid w:val="00152F64"/>
    <w:rsid w:val="001541EA"/>
    <w:rsid w:val="00162218"/>
    <w:rsid w:val="00166962"/>
    <w:rsid w:val="00173042"/>
    <w:rsid w:val="00174B8C"/>
    <w:rsid w:val="00177FCF"/>
    <w:rsid w:val="00181E42"/>
    <w:rsid w:val="00184818"/>
    <w:rsid w:val="00186EA3"/>
    <w:rsid w:val="001901D5"/>
    <w:rsid w:val="00192E1F"/>
    <w:rsid w:val="001A0C00"/>
    <w:rsid w:val="001A14C8"/>
    <w:rsid w:val="001A1587"/>
    <w:rsid w:val="001A4108"/>
    <w:rsid w:val="001A582F"/>
    <w:rsid w:val="001B5019"/>
    <w:rsid w:val="001B7B22"/>
    <w:rsid w:val="001D1ABA"/>
    <w:rsid w:val="001D54B8"/>
    <w:rsid w:val="001D663E"/>
    <w:rsid w:val="001E1DC0"/>
    <w:rsid w:val="001E62A0"/>
    <w:rsid w:val="001E6AFB"/>
    <w:rsid w:val="001F4D76"/>
    <w:rsid w:val="0020363F"/>
    <w:rsid w:val="00211B55"/>
    <w:rsid w:val="00216995"/>
    <w:rsid w:val="00221C74"/>
    <w:rsid w:val="002309D8"/>
    <w:rsid w:val="00236A53"/>
    <w:rsid w:val="00237E0F"/>
    <w:rsid w:val="00244DF7"/>
    <w:rsid w:val="00246192"/>
    <w:rsid w:val="00253041"/>
    <w:rsid w:val="00254E45"/>
    <w:rsid w:val="00257EA0"/>
    <w:rsid w:val="002618F5"/>
    <w:rsid w:val="0026483B"/>
    <w:rsid w:val="00266E07"/>
    <w:rsid w:val="00275DB7"/>
    <w:rsid w:val="0027602A"/>
    <w:rsid w:val="002828C0"/>
    <w:rsid w:val="00284957"/>
    <w:rsid w:val="00285BBA"/>
    <w:rsid w:val="0028602A"/>
    <w:rsid w:val="00286BFE"/>
    <w:rsid w:val="002A19BE"/>
    <w:rsid w:val="002A22AA"/>
    <w:rsid w:val="002A3517"/>
    <w:rsid w:val="002A51CA"/>
    <w:rsid w:val="002A6AC8"/>
    <w:rsid w:val="002B1EFF"/>
    <w:rsid w:val="002B3E95"/>
    <w:rsid w:val="002B5E10"/>
    <w:rsid w:val="002B6C7A"/>
    <w:rsid w:val="002D2118"/>
    <w:rsid w:val="002D2B16"/>
    <w:rsid w:val="002D44E8"/>
    <w:rsid w:val="002D56F7"/>
    <w:rsid w:val="002D5E21"/>
    <w:rsid w:val="002E0069"/>
    <w:rsid w:val="002E16F5"/>
    <w:rsid w:val="002E4830"/>
    <w:rsid w:val="002E56F6"/>
    <w:rsid w:val="002F0713"/>
    <w:rsid w:val="002F43F6"/>
    <w:rsid w:val="003002C0"/>
    <w:rsid w:val="00301144"/>
    <w:rsid w:val="0030215F"/>
    <w:rsid w:val="00304817"/>
    <w:rsid w:val="003148B7"/>
    <w:rsid w:val="003158C3"/>
    <w:rsid w:val="00320251"/>
    <w:rsid w:val="0032137B"/>
    <w:rsid w:val="00324651"/>
    <w:rsid w:val="003274CD"/>
    <w:rsid w:val="00332EC9"/>
    <w:rsid w:val="00333501"/>
    <w:rsid w:val="00343D75"/>
    <w:rsid w:val="003457C4"/>
    <w:rsid w:val="0035119D"/>
    <w:rsid w:val="0035639A"/>
    <w:rsid w:val="00356C86"/>
    <w:rsid w:val="00362333"/>
    <w:rsid w:val="0036515B"/>
    <w:rsid w:val="0036670D"/>
    <w:rsid w:val="00374A65"/>
    <w:rsid w:val="0038148E"/>
    <w:rsid w:val="00385DFD"/>
    <w:rsid w:val="00397656"/>
    <w:rsid w:val="003A44F8"/>
    <w:rsid w:val="003B4124"/>
    <w:rsid w:val="003B4F12"/>
    <w:rsid w:val="003B7D73"/>
    <w:rsid w:val="003C1ED6"/>
    <w:rsid w:val="003C62A3"/>
    <w:rsid w:val="003D30EC"/>
    <w:rsid w:val="003D352D"/>
    <w:rsid w:val="003D6AE8"/>
    <w:rsid w:val="003E2091"/>
    <w:rsid w:val="00400B0F"/>
    <w:rsid w:val="00402ACC"/>
    <w:rsid w:val="0040396A"/>
    <w:rsid w:val="00410E3F"/>
    <w:rsid w:val="004120EC"/>
    <w:rsid w:val="00414520"/>
    <w:rsid w:val="0041771D"/>
    <w:rsid w:val="00423F31"/>
    <w:rsid w:val="004265E2"/>
    <w:rsid w:val="0043158F"/>
    <w:rsid w:val="00431899"/>
    <w:rsid w:val="00431E2C"/>
    <w:rsid w:val="0043564E"/>
    <w:rsid w:val="00443F09"/>
    <w:rsid w:val="00445C73"/>
    <w:rsid w:val="00445F3E"/>
    <w:rsid w:val="004532D8"/>
    <w:rsid w:val="00455B30"/>
    <w:rsid w:val="00456CE4"/>
    <w:rsid w:val="00476970"/>
    <w:rsid w:val="00483F28"/>
    <w:rsid w:val="00485EB8"/>
    <w:rsid w:val="00486804"/>
    <w:rsid w:val="00490794"/>
    <w:rsid w:val="004977A1"/>
    <w:rsid w:val="004B01F6"/>
    <w:rsid w:val="004B3775"/>
    <w:rsid w:val="004B3824"/>
    <w:rsid w:val="004B459E"/>
    <w:rsid w:val="004C0FAB"/>
    <w:rsid w:val="004D0BA0"/>
    <w:rsid w:val="004D43F3"/>
    <w:rsid w:val="004E0264"/>
    <w:rsid w:val="004E058F"/>
    <w:rsid w:val="004E3B87"/>
    <w:rsid w:val="004F1D73"/>
    <w:rsid w:val="004F437F"/>
    <w:rsid w:val="004F51B7"/>
    <w:rsid w:val="005014C9"/>
    <w:rsid w:val="00502313"/>
    <w:rsid w:val="00510921"/>
    <w:rsid w:val="00510AD3"/>
    <w:rsid w:val="00510FAB"/>
    <w:rsid w:val="00513348"/>
    <w:rsid w:val="00527429"/>
    <w:rsid w:val="00533B5D"/>
    <w:rsid w:val="00541620"/>
    <w:rsid w:val="005502AB"/>
    <w:rsid w:val="005511BF"/>
    <w:rsid w:val="00557818"/>
    <w:rsid w:val="00571CE8"/>
    <w:rsid w:val="00573BA8"/>
    <w:rsid w:val="00582849"/>
    <w:rsid w:val="00584763"/>
    <w:rsid w:val="0059146A"/>
    <w:rsid w:val="0059150F"/>
    <w:rsid w:val="00592A06"/>
    <w:rsid w:val="005B0928"/>
    <w:rsid w:val="005B5769"/>
    <w:rsid w:val="005D0D7A"/>
    <w:rsid w:val="005D3136"/>
    <w:rsid w:val="005D3655"/>
    <w:rsid w:val="005D5DBC"/>
    <w:rsid w:val="005D6308"/>
    <w:rsid w:val="005E606B"/>
    <w:rsid w:val="005F1CE5"/>
    <w:rsid w:val="005F766F"/>
    <w:rsid w:val="00600479"/>
    <w:rsid w:val="00615669"/>
    <w:rsid w:val="0061785A"/>
    <w:rsid w:val="00623283"/>
    <w:rsid w:val="00623BA1"/>
    <w:rsid w:val="006251B5"/>
    <w:rsid w:val="00626EB3"/>
    <w:rsid w:val="006277EA"/>
    <w:rsid w:val="006305B1"/>
    <w:rsid w:val="006346BC"/>
    <w:rsid w:val="006407A8"/>
    <w:rsid w:val="00650EE7"/>
    <w:rsid w:val="00651D51"/>
    <w:rsid w:val="00657AEE"/>
    <w:rsid w:val="00657F51"/>
    <w:rsid w:val="0066652A"/>
    <w:rsid w:val="00672781"/>
    <w:rsid w:val="00680522"/>
    <w:rsid w:val="00681F08"/>
    <w:rsid w:val="00682167"/>
    <w:rsid w:val="006912DA"/>
    <w:rsid w:val="006926A1"/>
    <w:rsid w:val="00692CAF"/>
    <w:rsid w:val="006A0244"/>
    <w:rsid w:val="006A58F4"/>
    <w:rsid w:val="006B17FB"/>
    <w:rsid w:val="006B51B8"/>
    <w:rsid w:val="006C1199"/>
    <w:rsid w:val="006C336D"/>
    <w:rsid w:val="006C42AF"/>
    <w:rsid w:val="006C4F09"/>
    <w:rsid w:val="006D6744"/>
    <w:rsid w:val="006E1BFF"/>
    <w:rsid w:val="006E2E50"/>
    <w:rsid w:val="006F27B1"/>
    <w:rsid w:val="006F704C"/>
    <w:rsid w:val="00704C8B"/>
    <w:rsid w:val="00711D8E"/>
    <w:rsid w:val="00711E69"/>
    <w:rsid w:val="00712672"/>
    <w:rsid w:val="007157A1"/>
    <w:rsid w:val="00730AC5"/>
    <w:rsid w:val="00734E3F"/>
    <w:rsid w:val="00736985"/>
    <w:rsid w:val="00743284"/>
    <w:rsid w:val="0074489E"/>
    <w:rsid w:val="007453D0"/>
    <w:rsid w:val="00745DF5"/>
    <w:rsid w:val="0076250F"/>
    <w:rsid w:val="00771B53"/>
    <w:rsid w:val="00775031"/>
    <w:rsid w:val="00784031"/>
    <w:rsid w:val="00784CBD"/>
    <w:rsid w:val="007A7C61"/>
    <w:rsid w:val="007B4865"/>
    <w:rsid w:val="007B6200"/>
    <w:rsid w:val="007B785B"/>
    <w:rsid w:val="007C2540"/>
    <w:rsid w:val="007C2CDD"/>
    <w:rsid w:val="007C590A"/>
    <w:rsid w:val="007C7418"/>
    <w:rsid w:val="007D0299"/>
    <w:rsid w:val="007D2E25"/>
    <w:rsid w:val="007D4819"/>
    <w:rsid w:val="007F3395"/>
    <w:rsid w:val="007F4374"/>
    <w:rsid w:val="007F57FA"/>
    <w:rsid w:val="00801B9F"/>
    <w:rsid w:val="00801E79"/>
    <w:rsid w:val="008057FD"/>
    <w:rsid w:val="00810286"/>
    <w:rsid w:val="00826B8D"/>
    <w:rsid w:val="00837A7B"/>
    <w:rsid w:val="008469F3"/>
    <w:rsid w:val="008475F0"/>
    <w:rsid w:val="00847A4A"/>
    <w:rsid w:val="008518C3"/>
    <w:rsid w:val="0086278A"/>
    <w:rsid w:val="00864210"/>
    <w:rsid w:val="00866D4F"/>
    <w:rsid w:val="00870BC5"/>
    <w:rsid w:val="00872804"/>
    <w:rsid w:val="00876F3C"/>
    <w:rsid w:val="00880004"/>
    <w:rsid w:val="00880FBA"/>
    <w:rsid w:val="00891631"/>
    <w:rsid w:val="008972FC"/>
    <w:rsid w:val="00897578"/>
    <w:rsid w:val="008A1B61"/>
    <w:rsid w:val="008A5AFE"/>
    <w:rsid w:val="008B68D7"/>
    <w:rsid w:val="008B6C7F"/>
    <w:rsid w:val="008B7D42"/>
    <w:rsid w:val="008C201D"/>
    <w:rsid w:val="008C2F58"/>
    <w:rsid w:val="008C4F4D"/>
    <w:rsid w:val="008C5A0E"/>
    <w:rsid w:val="008C607D"/>
    <w:rsid w:val="008D0F54"/>
    <w:rsid w:val="008D5605"/>
    <w:rsid w:val="008F0C31"/>
    <w:rsid w:val="008F5371"/>
    <w:rsid w:val="008F56A8"/>
    <w:rsid w:val="00910C9A"/>
    <w:rsid w:val="009254CC"/>
    <w:rsid w:val="009320EB"/>
    <w:rsid w:val="00935A69"/>
    <w:rsid w:val="009455B1"/>
    <w:rsid w:val="0095322A"/>
    <w:rsid w:val="00954863"/>
    <w:rsid w:val="009572EC"/>
    <w:rsid w:val="00963AA4"/>
    <w:rsid w:val="00970924"/>
    <w:rsid w:val="00970AE8"/>
    <w:rsid w:val="0097334F"/>
    <w:rsid w:val="00984E7D"/>
    <w:rsid w:val="00985D70"/>
    <w:rsid w:val="00986F7C"/>
    <w:rsid w:val="00987D17"/>
    <w:rsid w:val="009903F3"/>
    <w:rsid w:val="00992C76"/>
    <w:rsid w:val="009A0733"/>
    <w:rsid w:val="009A4ED8"/>
    <w:rsid w:val="009B4D3B"/>
    <w:rsid w:val="009B6771"/>
    <w:rsid w:val="009C13D6"/>
    <w:rsid w:val="009C2EEF"/>
    <w:rsid w:val="009D7407"/>
    <w:rsid w:val="009D7E91"/>
    <w:rsid w:val="009E0866"/>
    <w:rsid w:val="009E0AB5"/>
    <w:rsid w:val="009E25E7"/>
    <w:rsid w:val="009E285B"/>
    <w:rsid w:val="009E3DDE"/>
    <w:rsid w:val="009E7BB8"/>
    <w:rsid w:val="009F27D2"/>
    <w:rsid w:val="009F5488"/>
    <w:rsid w:val="009F6423"/>
    <w:rsid w:val="00A05942"/>
    <w:rsid w:val="00A20DCD"/>
    <w:rsid w:val="00A24A62"/>
    <w:rsid w:val="00A27EEF"/>
    <w:rsid w:val="00A31C9F"/>
    <w:rsid w:val="00A32E97"/>
    <w:rsid w:val="00A4144F"/>
    <w:rsid w:val="00A41B92"/>
    <w:rsid w:val="00A46B24"/>
    <w:rsid w:val="00A54034"/>
    <w:rsid w:val="00A56F14"/>
    <w:rsid w:val="00A63FB4"/>
    <w:rsid w:val="00A64285"/>
    <w:rsid w:val="00A80F95"/>
    <w:rsid w:val="00A8197B"/>
    <w:rsid w:val="00A8659E"/>
    <w:rsid w:val="00A92B25"/>
    <w:rsid w:val="00A96000"/>
    <w:rsid w:val="00AA7BE3"/>
    <w:rsid w:val="00AB0B51"/>
    <w:rsid w:val="00AB5E7F"/>
    <w:rsid w:val="00AC164A"/>
    <w:rsid w:val="00AC1BC8"/>
    <w:rsid w:val="00AC302F"/>
    <w:rsid w:val="00AC7DD6"/>
    <w:rsid w:val="00AE2A1A"/>
    <w:rsid w:val="00AE425A"/>
    <w:rsid w:val="00AE646B"/>
    <w:rsid w:val="00AF1B85"/>
    <w:rsid w:val="00AF1FF8"/>
    <w:rsid w:val="00AF2050"/>
    <w:rsid w:val="00B03CA8"/>
    <w:rsid w:val="00B1784E"/>
    <w:rsid w:val="00B331DC"/>
    <w:rsid w:val="00B37C19"/>
    <w:rsid w:val="00B438D3"/>
    <w:rsid w:val="00B43A73"/>
    <w:rsid w:val="00B43B06"/>
    <w:rsid w:val="00B5489C"/>
    <w:rsid w:val="00B55E19"/>
    <w:rsid w:val="00B63B68"/>
    <w:rsid w:val="00B65DA6"/>
    <w:rsid w:val="00B7292C"/>
    <w:rsid w:val="00B7736E"/>
    <w:rsid w:val="00B865D9"/>
    <w:rsid w:val="00B907CB"/>
    <w:rsid w:val="00B9084D"/>
    <w:rsid w:val="00B91A3A"/>
    <w:rsid w:val="00BA4B6D"/>
    <w:rsid w:val="00BB254C"/>
    <w:rsid w:val="00BB26C5"/>
    <w:rsid w:val="00BB3C90"/>
    <w:rsid w:val="00BB5E08"/>
    <w:rsid w:val="00BC337C"/>
    <w:rsid w:val="00BC4308"/>
    <w:rsid w:val="00BC61C4"/>
    <w:rsid w:val="00BC6EE5"/>
    <w:rsid w:val="00BE6C6D"/>
    <w:rsid w:val="00BE737D"/>
    <w:rsid w:val="00BF0927"/>
    <w:rsid w:val="00BF4DE6"/>
    <w:rsid w:val="00BF7D92"/>
    <w:rsid w:val="00C0066C"/>
    <w:rsid w:val="00C0508C"/>
    <w:rsid w:val="00C406F0"/>
    <w:rsid w:val="00C42CDE"/>
    <w:rsid w:val="00C500D7"/>
    <w:rsid w:val="00C5182A"/>
    <w:rsid w:val="00C51EFC"/>
    <w:rsid w:val="00C613A4"/>
    <w:rsid w:val="00C6226F"/>
    <w:rsid w:val="00C62D00"/>
    <w:rsid w:val="00C63EE9"/>
    <w:rsid w:val="00C6626C"/>
    <w:rsid w:val="00C67B2E"/>
    <w:rsid w:val="00C83E44"/>
    <w:rsid w:val="00C859CB"/>
    <w:rsid w:val="00C90AA1"/>
    <w:rsid w:val="00CA163D"/>
    <w:rsid w:val="00CA37B1"/>
    <w:rsid w:val="00CA43FF"/>
    <w:rsid w:val="00CA7DD8"/>
    <w:rsid w:val="00CB1959"/>
    <w:rsid w:val="00CB4A62"/>
    <w:rsid w:val="00CB71C6"/>
    <w:rsid w:val="00CC2ABF"/>
    <w:rsid w:val="00CC6B62"/>
    <w:rsid w:val="00CD0E4B"/>
    <w:rsid w:val="00CD678D"/>
    <w:rsid w:val="00CE0155"/>
    <w:rsid w:val="00CE5DF0"/>
    <w:rsid w:val="00CF44CE"/>
    <w:rsid w:val="00D00802"/>
    <w:rsid w:val="00D0296C"/>
    <w:rsid w:val="00D045EC"/>
    <w:rsid w:val="00D146A2"/>
    <w:rsid w:val="00D15A00"/>
    <w:rsid w:val="00D3315E"/>
    <w:rsid w:val="00D33A10"/>
    <w:rsid w:val="00D33BF8"/>
    <w:rsid w:val="00D40AEB"/>
    <w:rsid w:val="00D44C21"/>
    <w:rsid w:val="00D460DC"/>
    <w:rsid w:val="00D55973"/>
    <w:rsid w:val="00D64BD1"/>
    <w:rsid w:val="00D651C2"/>
    <w:rsid w:val="00D65CAB"/>
    <w:rsid w:val="00D66528"/>
    <w:rsid w:val="00D72760"/>
    <w:rsid w:val="00D72A61"/>
    <w:rsid w:val="00D73EFE"/>
    <w:rsid w:val="00D86954"/>
    <w:rsid w:val="00D934D9"/>
    <w:rsid w:val="00D95127"/>
    <w:rsid w:val="00DA040F"/>
    <w:rsid w:val="00DA1268"/>
    <w:rsid w:val="00DA2FD8"/>
    <w:rsid w:val="00DA682C"/>
    <w:rsid w:val="00DA70A5"/>
    <w:rsid w:val="00DC1949"/>
    <w:rsid w:val="00DD1876"/>
    <w:rsid w:val="00DD1986"/>
    <w:rsid w:val="00DE084C"/>
    <w:rsid w:val="00DE3DF1"/>
    <w:rsid w:val="00DE60C0"/>
    <w:rsid w:val="00DF45F2"/>
    <w:rsid w:val="00DF6736"/>
    <w:rsid w:val="00DF7406"/>
    <w:rsid w:val="00DF76BF"/>
    <w:rsid w:val="00E0719C"/>
    <w:rsid w:val="00E07CA3"/>
    <w:rsid w:val="00E245D7"/>
    <w:rsid w:val="00E33E8F"/>
    <w:rsid w:val="00E357B7"/>
    <w:rsid w:val="00E36F91"/>
    <w:rsid w:val="00E41D4C"/>
    <w:rsid w:val="00E43188"/>
    <w:rsid w:val="00E47CE3"/>
    <w:rsid w:val="00E53800"/>
    <w:rsid w:val="00E5616D"/>
    <w:rsid w:val="00E566AF"/>
    <w:rsid w:val="00E6081F"/>
    <w:rsid w:val="00E868D9"/>
    <w:rsid w:val="00E86E00"/>
    <w:rsid w:val="00EA04B2"/>
    <w:rsid w:val="00EA20F3"/>
    <w:rsid w:val="00EA3308"/>
    <w:rsid w:val="00EB2D0F"/>
    <w:rsid w:val="00EB54DC"/>
    <w:rsid w:val="00ED2831"/>
    <w:rsid w:val="00ED43D1"/>
    <w:rsid w:val="00ED5BB3"/>
    <w:rsid w:val="00EE4320"/>
    <w:rsid w:val="00EE4EE1"/>
    <w:rsid w:val="00EE6D41"/>
    <w:rsid w:val="00EF3FBC"/>
    <w:rsid w:val="00EF4574"/>
    <w:rsid w:val="00EF6543"/>
    <w:rsid w:val="00F01686"/>
    <w:rsid w:val="00F077B9"/>
    <w:rsid w:val="00F1757D"/>
    <w:rsid w:val="00F2684E"/>
    <w:rsid w:val="00F36F64"/>
    <w:rsid w:val="00F37F65"/>
    <w:rsid w:val="00F43383"/>
    <w:rsid w:val="00F44B51"/>
    <w:rsid w:val="00F5369A"/>
    <w:rsid w:val="00F5404C"/>
    <w:rsid w:val="00F56BA5"/>
    <w:rsid w:val="00F61702"/>
    <w:rsid w:val="00F660A9"/>
    <w:rsid w:val="00F67D0A"/>
    <w:rsid w:val="00F700AB"/>
    <w:rsid w:val="00F729EF"/>
    <w:rsid w:val="00F72AA5"/>
    <w:rsid w:val="00F73421"/>
    <w:rsid w:val="00F73EB1"/>
    <w:rsid w:val="00F77CAE"/>
    <w:rsid w:val="00F77ECA"/>
    <w:rsid w:val="00F82271"/>
    <w:rsid w:val="00F83428"/>
    <w:rsid w:val="00F83816"/>
    <w:rsid w:val="00F83848"/>
    <w:rsid w:val="00F92AD9"/>
    <w:rsid w:val="00F95157"/>
    <w:rsid w:val="00F9543E"/>
    <w:rsid w:val="00F96BB9"/>
    <w:rsid w:val="00FA4B16"/>
    <w:rsid w:val="00FA7EC8"/>
    <w:rsid w:val="00FC796B"/>
    <w:rsid w:val="00FD3F72"/>
    <w:rsid w:val="00FE6D51"/>
    <w:rsid w:val="00FF09F3"/>
    <w:rsid w:val="00FF0A27"/>
    <w:rsid w:val="00FF295B"/>
    <w:rsid w:val="00FF3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E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Footnote Text Char2,FN,f,Car"/>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8C5A0E"/>
    <w:rPr>
      <w:color w:val="495965" w:themeColor="text2"/>
      <w:sz w:val="12"/>
      <w:szCs w:val="20"/>
    </w:rPr>
  </w:style>
  <w:style w:type="character" w:styleId="FootnoteReference">
    <w:name w:val="footnote reference"/>
    <w:aliases w:val="ftref,ftref1,ftref2,ftref11,SUPERS,referencia nota al pie Char Char,BVI fnr Char Char,BVI fnr Car Car Char Char,BVI fnr Car Char Char,BVI fnr Car Car Car Car Char Char Char,BVI fnr Char Char Char Char Char,ftref Char Char,4_G"/>
    <w:basedOn w:val="DefaultParagraphFont"/>
    <w:link w:val="referencianotaalpieChar"/>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DA1268"/>
    <w:pPr>
      <w:suppressAutoHyphens w:val="0"/>
      <w:spacing w:before="0" w:after="160" w:line="240" w:lineRule="exact"/>
    </w:pPr>
    <w:rPr>
      <w:color w:val="auto"/>
      <w:vertAlign w:val="superscript"/>
      <w:lang w:val="en-AU"/>
    </w:rPr>
  </w:style>
  <w:style w:type="character" w:styleId="CommentReference">
    <w:name w:val="annotation reference"/>
    <w:basedOn w:val="DefaultParagraphFont"/>
    <w:uiPriority w:val="99"/>
    <w:semiHidden/>
    <w:unhideWhenUsed/>
    <w:rsid w:val="00D045EC"/>
    <w:rPr>
      <w:sz w:val="16"/>
      <w:szCs w:val="16"/>
    </w:rPr>
  </w:style>
  <w:style w:type="paragraph" w:styleId="CommentText">
    <w:name w:val="annotation text"/>
    <w:basedOn w:val="Normal"/>
    <w:link w:val="CommentTextChar"/>
    <w:uiPriority w:val="99"/>
    <w:semiHidden/>
    <w:unhideWhenUsed/>
    <w:rsid w:val="00D045EC"/>
    <w:pPr>
      <w:suppressAutoHyphens w:val="0"/>
      <w:spacing w:before="0" w:after="0" w:line="240" w:lineRule="auto"/>
    </w:pPr>
    <w:rPr>
      <w:rFonts w:ascii="Calibri" w:hAnsi="Calibri" w:cs="Times New Roman"/>
      <w:color w:val="auto"/>
      <w:sz w:val="20"/>
      <w:szCs w:val="20"/>
      <w:lang w:val="en-AU"/>
    </w:rPr>
  </w:style>
  <w:style w:type="character" w:customStyle="1" w:styleId="CommentTextChar">
    <w:name w:val="Comment Text Char"/>
    <w:basedOn w:val="DefaultParagraphFont"/>
    <w:link w:val="CommentText"/>
    <w:uiPriority w:val="99"/>
    <w:semiHidden/>
    <w:rsid w:val="00D045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43A73"/>
    <w:pPr>
      <w:suppressAutoHyphens/>
      <w:spacing w:before="120" w:after="60"/>
    </w:pPr>
    <w:rPr>
      <w:rFonts w:ascii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B43A73"/>
    <w:rPr>
      <w:rFonts w:ascii="Calibri" w:hAnsi="Calibri" w:cs="Times New Roman"/>
      <w:b/>
      <w:bCs/>
      <w:color w:val="495965" w:themeColor="text2"/>
      <w:sz w:val="20"/>
      <w:szCs w:val="20"/>
      <w:lang w:val="en-GB"/>
    </w:rPr>
  </w:style>
  <w:style w:type="paragraph" w:styleId="PlainText">
    <w:name w:val="Plain Text"/>
    <w:basedOn w:val="Normal"/>
    <w:link w:val="PlainTextChar"/>
    <w:uiPriority w:val="99"/>
    <w:semiHidden/>
    <w:unhideWhenUsed/>
    <w:rsid w:val="009B6771"/>
    <w:pPr>
      <w:suppressAutoHyphens w:val="0"/>
      <w:spacing w:before="0" w:after="0" w:line="240" w:lineRule="auto"/>
    </w:pPr>
    <w:rPr>
      <w:rFonts w:ascii="Calibri" w:hAnsi="Calibri"/>
      <w:color w:val="auto"/>
      <w:szCs w:val="21"/>
      <w:lang w:val="en-AU"/>
    </w:rPr>
  </w:style>
  <w:style w:type="character" w:customStyle="1" w:styleId="PlainTextChar">
    <w:name w:val="Plain Text Char"/>
    <w:basedOn w:val="DefaultParagraphFont"/>
    <w:link w:val="PlainText"/>
    <w:uiPriority w:val="99"/>
    <w:semiHidden/>
    <w:rsid w:val="009B67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5024">
      <w:bodyDiv w:val="1"/>
      <w:marLeft w:val="0"/>
      <w:marRight w:val="0"/>
      <w:marTop w:val="0"/>
      <w:marBottom w:val="0"/>
      <w:divBdr>
        <w:top w:val="none" w:sz="0" w:space="0" w:color="auto"/>
        <w:left w:val="none" w:sz="0" w:space="0" w:color="auto"/>
        <w:bottom w:val="none" w:sz="0" w:space="0" w:color="auto"/>
        <w:right w:val="none" w:sz="0" w:space="0" w:color="auto"/>
      </w:divBdr>
    </w:div>
    <w:div w:id="202599018">
      <w:bodyDiv w:val="1"/>
      <w:marLeft w:val="0"/>
      <w:marRight w:val="0"/>
      <w:marTop w:val="0"/>
      <w:marBottom w:val="0"/>
      <w:divBdr>
        <w:top w:val="none" w:sz="0" w:space="0" w:color="auto"/>
        <w:left w:val="none" w:sz="0" w:space="0" w:color="auto"/>
        <w:bottom w:val="none" w:sz="0" w:space="0" w:color="auto"/>
        <w:right w:val="none" w:sz="0" w:space="0" w:color="auto"/>
      </w:divBdr>
    </w:div>
    <w:div w:id="259723526">
      <w:bodyDiv w:val="1"/>
      <w:marLeft w:val="0"/>
      <w:marRight w:val="0"/>
      <w:marTop w:val="0"/>
      <w:marBottom w:val="0"/>
      <w:divBdr>
        <w:top w:val="none" w:sz="0" w:space="0" w:color="auto"/>
        <w:left w:val="none" w:sz="0" w:space="0" w:color="auto"/>
        <w:bottom w:val="none" w:sz="0" w:space="0" w:color="auto"/>
        <w:right w:val="none" w:sz="0" w:space="0" w:color="auto"/>
      </w:divBdr>
    </w:div>
    <w:div w:id="354574320">
      <w:bodyDiv w:val="1"/>
      <w:marLeft w:val="0"/>
      <w:marRight w:val="0"/>
      <w:marTop w:val="0"/>
      <w:marBottom w:val="0"/>
      <w:divBdr>
        <w:top w:val="none" w:sz="0" w:space="0" w:color="auto"/>
        <w:left w:val="none" w:sz="0" w:space="0" w:color="auto"/>
        <w:bottom w:val="none" w:sz="0" w:space="0" w:color="auto"/>
        <w:right w:val="none" w:sz="0" w:space="0" w:color="auto"/>
      </w:divBdr>
    </w:div>
    <w:div w:id="561208834">
      <w:bodyDiv w:val="1"/>
      <w:marLeft w:val="0"/>
      <w:marRight w:val="0"/>
      <w:marTop w:val="0"/>
      <w:marBottom w:val="0"/>
      <w:divBdr>
        <w:top w:val="none" w:sz="0" w:space="0" w:color="auto"/>
        <w:left w:val="none" w:sz="0" w:space="0" w:color="auto"/>
        <w:bottom w:val="none" w:sz="0" w:space="0" w:color="auto"/>
        <w:right w:val="none" w:sz="0" w:space="0" w:color="auto"/>
      </w:divBdr>
    </w:div>
    <w:div w:id="809053789">
      <w:bodyDiv w:val="1"/>
      <w:marLeft w:val="0"/>
      <w:marRight w:val="0"/>
      <w:marTop w:val="0"/>
      <w:marBottom w:val="0"/>
      <w:divBdr>
        <w:top w:val="none" w:sz="0" w:space="0" w:color="auto"/>
        <w:left w:val="none" w:sz="0" w:space="0" w:color="auto"/>
        <w:bottom w:val="none" w:sz="0" w:space="0" w:color="auto"/>
        <w:right w:val="none" w:sz="0" w:space="0" w:color="auto"/>
      </w:divBdr>
    </w:div>
    <w:div w:id="809857432">
      <w:bodyDiv w:val="1"/>
      <w:marLeft w:val="0"/>
      <w:marRight w:val="0"/>
      <w:marTop w:val="0"/>
      <w:marBottom w:val="0"/>
      <w:divBdr>
        <w:top w:val="none" w:sz="0" w:space="0" w:color="auto"/>
        <w:left w:val="none" w:sz="0" w:space="0" w:color="auto"/>
        <w:bottom w:val="none" w:sz="0" w:space="0" w:color="auto"/>
        <w:right w:val="none" w:sz="0" w:space="0" w:color="auto"/>
      </w:divBdr>
    </w:div>
    <w:div w:id="978266928">
      <w:bodyDiv w:val="1"/>
      <w:marLeft w:val="0"/>
      <w:marRight w:val="0"/>
      <w:marTop w:val="0"/>
      <w:marBottom w:val="0"/>
      <w:divBdr>
        <w:top w:val="none" w:sz="0" w:space="0" w:color="auto"/>
        <w:left w:val="none" w:sz="0" w:space="0" w:color="auto"/>
        <w:bottom w:val="none" w:sz="0" w:space="0" w:color="auto"/>
        <w:right w:val="none" w:sz="0" w:space="0" w:color="auto"/>
      </w:divBdr>
    </w:div>
    <w:div w:id="1468085100">
      <w:bodyDiv w:val="1"/>
      <w:marLeft w:val="0"/>
      <w:marRight w:val="0"/>
      <w:marTop w:val="0"/>
      <w:marBottom w:val="0"/>
      <w:divBdr>
        <w:top w:val="none" w:sz="0" w:space="0" w:color="auto"/>
        <w:left w:val="none" w:sz="0" w:space="0" w:color="auto"/>
        <w:bottom w:val="none" w:sz="0" w:space="0" w:color="auto"/>
        <w:right w:val="none" w:sz="0" w:space="0" w:color="auto"/>
      </w:divBdr>
    </w:div>
    <w:div w:id="1845781498">
      <w:bodyDiv w:val="1"/>
      <w:marLeft w:val="0"/>
      <w:marRight w:val="0"/>
      <w:marTop w:val="0"/>
      <w:marBottom w:val="0"/>
      <w:divBdr>
        <w:top w:val="none" w:sz="0" w:space="0" w:color="auto"/>
        <w:left w:val="none" w:sz="0" w:space="0" w:color="auto"/>
        <w:bottom w:val="none" w:sz="0" w:space="0" w:color="auto"/>
        <w:right w:val="none" w:sz="0" w:space="0" w:color="auto"/>
      </w:divBdr>
    </w:div>
    <w:div w:id="21210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7.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6.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FD4F1C-06F6-4EAE-A8C6-F0D004A910F8}"/>
</file>

<file path=customXml/itemProps2.xml><?xml version="1.0" encoding="utf-8"?>
<ds:datastoreItem xmlns:ds="http://schemas.openxmlformats.org/officeDocument/2006/customXml" ds:itemID="{479472F8-4C09-4793-BBF3-7C0649FE44C6}"/>
</file>

<file path=customXml/itemProps3.xml><?xml version="1.0" encoding="utf-8"?>
<ds:datastoreItem xmlns:ds="http://schemas.openxmlformats.org/officeDocument/2006/customXml" ds:itemID="{D81264AF-E8C7-46AD-B7B6-01585037B6BB}"/>
</file>

<file path=customXml/itemProps4.xml><?xml version="1.0" encoding="utf-8"?>
<ds:datastoreItem xmlns:ds="http://schemas.openxmlformats.org/officeDocument/2006/customXml" ds:itemID="{FDA81296-2BBB-440C-B1D5-A359FBD32445}"/>
</file>

<file path=docProps/app.xml><?xml version="1.0" encoding="utf-8"?>
<Properties xmlns="http://schemas.openxmlformats.org/officeDocument/2006/extended-properties" xmlns:vt="http://schemas.openxmlformats.org/officeDocument/2006/docPropsVTypes">
  <Template>Normal.dotm</Template>
  <TotalTime>0</TotalTime>
  <Pages>21</Pages>
  <Words>9092</Words>
  <Characters>51825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Vanuatu Aid Program Performance Report 2016-17</vt:lpstr>
    </vt:vector>
  </TitlesOfParts>
  <Company/>
  <LinksUpToDate>false</LinksUpToDate>
  <CharactersWithSpaces>60796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Vanuatu Aid Program Performance Report 2016-17</dc:title>
  <dc:creator/>
  <cp:lastModifiedBy/>
  <cp:revision>1</cp:revision>
  <dcterms:created xsi:type="dcterms:W3CDTF">2017-09-21T04:08:00Z</dcterms:created>
  <dcterms:modified xsi:type="dcterms:W3CDTF">2017-09-21T04:09:00Z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a31702e6-a9c0-47a6-b393-55bd953a3fa4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1126800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