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46A" w:rsidRDefault="0059146A" w:rsidP="005B5769">
      <w:pPr>
        <w:pStyle w:val="ListBullet"/>
        <w:tabs>
          <w:tab w:val="clear" w:pos="284"/>
        </w:tabs>
      </w:pPr>
      <w:bookmarkStart w:id="0" w:name="_GoBack"/>
      <w:bookmarkEnd w:id="0"/>
    </w:p>
    <w:p w:rsidR="0059146A" w:rsidRDefault="0059146A" w:rsidP="005B5769">
      <w:pPr>
        <w:pStyle w:val="ListBullet"/>
        <w:tabs>
          <w:tab w:val="clear" w:pos="284"/>
        </w:tabs>
      </w:pPr>
    </w:p>
    <w:p w:rsidR="0059146A" w:rsidRPr="0059146A" w:rsidRDefault="0059146A" w:rsidP="005B5769">
      <w:pPr>
        <w:pStyle w:val="ListBullet"/>
        <w:tabs>
          <w:tab w:val="clear" w:pos="284"/>
        </w:tabs>
      </w:pPr>
    </w:p>
    <w:p w:rsidR="00A56F14" w:rsidRPr="0059146A" w:rsidRDefault="00A56F14" w:rsidP="0059146A">
      <w:pPr>
        <w:pStyle w:val="ListBullet"/>
        <w:tabs>
          <w:tab w:val="clear" w:pos="284"/>
        </w:tabs>
      </w:pPr>
    </w:p>
    <w:p w:rsidR="00A56F14" w:rsidRDefault="00A56F14" w:rsidP="00A56F14">
      <w:pPr>
        <w:spacing w:after="200" w:line="276" w:lineRule="auto"/>
        <w:rPr>
          <w:b/>
        </w:rPr>
      </w:pPr>
    </w:p>
    <w:p w:rsidR="00A56F14" w:rsidRDefault="00A56F14" w:rsidP="00A56F14">
      <w:pPr>
        <w:spacing w:after="200" w:line="276" w:lineRule="auto"/>
        <w:rPr>
          <w:b/>
        </w:rPr>
      </w:pPr>
    </w:p>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A56F14" w:rsidRPr="002A51CA" w:rsidRDefault="00A56F14" w:rsidP="002A51CA">
      <w:pPr>
        <w:pStyle w:val="Title"/>
        <w:spacing w:after="120" w:line="600" w:lineRule="exact"/>
        <w:rPr>
          <w:spacing w:val="-20"/>
          <w:sz w:val="60"/>
        </w:rPr>
      </w:pPr>
      <w:r w:rsidRPr="002A51CA">
        <w:rPr>
          <w:noProof/>
          <w:spacing w:val="-20"/>
          <w:sz w:val="60"/>
          <w:lang w:val="en-AU" w:eastAsia="en-AU"/>
        </w:rPr>
        <w:drawing>
          <wp:anchor distT="0" distB="0" distL="114300" distR="114300" simplePos="0" relativeHeight="251664384" behindDoc="1" locked="1" layoutInCell="1" allowOverlap="1" wp14:anchorId="0092B507" wp14:editId="17377662">
            <wp:simplePos x="0" y="0"/>
            <wp:positionH relativeFrom="page">
              <wp:posOffset>872490</wp:posOffset>
            </wp:positionH>
            <wp:positionV relativeFrom="page">
              <wp:posOffset>1561465</wp:posOffset>
            </wp:positionV>
            <wp:extent cx="3167380" cy="55435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67380" cy="554355"/>
                    </a:xfrm>
                    <a:prstGeom prst="rect">
                      <a:avLst/>
                    </a:prstGeom>
                  </pic:spPr>
                </pic:pic>
              </a:graphicData>
            </a:graphic>
            <wp14:sizeRelH relativeFrom="margin">
              <wp14:pctWidth>0</wp14:pctWidth>
            </wp14:sizeRelH>
            <wp14:sizeRelV relativeFrom="margin">
              <wp14:pctHeight>0</wp14:pctHeight>
            </wp14:sizeRelV>
          </wp:anchor>
        </w:drawing>
      </w:r>
      <w:r w:rsidRPr="002A51CA">
        <w:rPr>
          <w:noProof/>
          <w:spacing w:val="-20"/>
          <w:sz w:val="60"/>
          <w:lang w:val="en-AU" w:eastAsia="en-AU"/>
        </w:rPr>
        <w:drawing>
          <wp:anchor distT="0" distB="0" distL="114300" distR="114300" simplePos="0" relativeHeight="251663360" behindDoc="1" locked="1" layoutInCell="1" allowOverlap="1" wp14:anchorId="45C540DB" wp14:editId="3B55D9D4">
            <wp:simplePos x="0" y="0"/>
            <wp:positionH relativeFrom="page">
              <wp:posOffset>7620</wp:posOffset>
            </wp:positionH>
            <wp:positionV relativeFrom="page">
              <wp:posOffset>-7620</wp:posOffset>
            </wp:positionV>
            <wp:extent cx="7750810" cy="10725785"/>
            <wp:effectExtent l="0" t="0" r="254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10">
                      <a:extLst>
                        <a:ext uri="{28A0092B-C50C-407E-A947-70E740481C1C}">
                          <a14:useLocalDpi xmlns:a14="http://schemas.microsoft.com/office/drawing/2010/main" val="0"/>
                        </a:ext>
                      </a:extLst>
                    </a:blip>
                    <a:stretch>
                      <a:fillRect/>
                    </a:stretch>
                  </pic:blipFill>
                  <pic:spPr>
                    <a:xfrm>
                      <a:off x="0" y="0"/>
                      <a:ext cx="7750810" cy="10725785"/>
                    </a:xfrm>
                    <a:prstGeom prst="rect">
                      <a:avLst/>
                    </a:prstGeom>
                  </pic:spPr>
                </pic:pic>
              </a:graphicData>
            </a:graphic>
            <wp14:sizeRelH relativeFrom="margin">
              <wp14:pctWidth>0</wp14:pctWidth>
            </wp14:sizeRelH>
            <wp14:sizeRelV relativeFrom="margin">
              <wp14:pctHeight>0</wp14:pctHeight>
            </wp14:sizeRelV>
          </wp:anchor>
        </w:drawing>
      </w:r>
      <w:r w:rsidR="00C6626C" w:rsidRPr="002A51CA">
        <w:rPr>
          <w:spacing w:val="-20"/>
          <w:sz w:val="60"/>
        </w:rPr>
        <w:t xml:space="preserve">Aid Program, Performance </w:t>
      </w:r>
    </w:p>
    <w:p w:rsidR="00C6626C" w:rsidRPr="002A51CA" w:rsidRDefault="00C6626C" w:rsidP="002A51CA">
      <w:pPr>
        <w:pStyle w:val="Title"/>
        <w:spacing w:after="120" w:line="600" w:lineRule="exact"/>
        <w:rPr>
          <w:spacing w:val="-20"/>
          <w:sz w:val="60"/>
        </w:rPr>
      </w:pPr>
      <w:r w:rsidRPr="002A51CA">
        <w:rPr>
          <w:spacing w:val="-20"/>
          <w:sz w:val="60"/>
        </w:rPr>
        <w:t>Report 2015-16</w:t>
      </w:r>
    </w:p>
    <w:p w:rsidR="00C6626C" w:rsidRDefault="001C1F70" w:rsidP="00A56F14">
      <w:r>
        <w:rPr>
          <w:sz w:val="40"/>
        </w:rPr>
        <w:t>Vanuatu</w:t>
      </w:r>
    </w:p>
    <w:p w:rsidR="00C6626C" w:rsidRPr="002A51CA" w:rsidRDefault="00C6626C" w:rsidP="00A56F14">
      <w:pPr>
        <w:rPr>
          <w:sz w:val="24"/>
        </w:rPr>
      </w:pPr>
      <w:r w:rsidRPr="002A51CA">
        <w:rPr>
          <w:sz w:val="24"/>
        </w:rPr>
        <w:t>September 2016</w:t>
      </w:r>
    </w:p>
    <w:p w:rsidR="00C6626C" w:rsidRDefault="00C6626C" w:rsidP="00A56F14">
      <w:pPr>
        <w:sectPr w:rsidR="00C6626C" w:rsidSect="00C6626C">
          <w:headerReference w:type="even" r:id="rId11"/>
          <w:headerReference w:type="default" r:id="rId12"/>
          <w:footerReference w:type="even" r:id="rId13"/>
          <w:footerReference w:type="default" r:id="rId14"/>
          <w:headerReference w:type="first" r:id="rId15"/>
          <w:footerReference w:type="first" r:id="rId16"/>
          <w:pgSz w:w="11906" w:h="16838" w:code="9"/>
          <w:pgMar w:top="1952" w:right="1134" w:bottom="851" w:left="1134" w:header="1814" w:footer="567" w:gutter="0"/>
          <w:cols w:space="397"/>
          <w:docGrid w:linePitch="360"/>
        </w:sectPr>
      </w:pPr>
    </w:p>
    <w:p w:rsidR="00C6626C" w:rsidRPr="00C61187" w:rsidRDefault="00C6626C" w:rsidP="002A51CA">
      <w:pPr>
        <w:pStyle w:val="ListBullet"/>
        <w:tabs>
          <w:tab w:val="clear" w:pos="284"/>
        </w:tabs>
        <w:spacing w:before="360"/>
        <w:rPr>
          <w:kern w:val="28"/>
        </w:rPr>
      </w:pPr>
      <w:r w:rsidRPr="002A51CA">
        <w:rPr>
          <w:rFonts w:asciiTheme="majorHAnsi" w:eastAsiaTheme="majorEastAsia" w:hAnsiTheme="majorHAnsi" w:cstheme="majorBidi"/>
          <w:caps/>
          <w:color w:val="495965" w:themeColor="text2"/>
          <w:sz w:val="38"/>
          <w:szCs w:val="26"/>
          <w:lang w:val="en-GB" w:eastAsia="en-US"/>
        </w:rPr>
        <w:lastRenderedPageBreak/>
        <w:t>Key Messages</w:t>
      </w:r>
      <w:r w:rsidRPr="00C61187">
        <w:rPr>
          <w:rFonts w:ascii="Helvetica" w:hAnsi="Helvetica" w:cs="Arial"/>
          <w:color w:val="007FAD"/>
          <w:kern w:val="28"/>
          <w:sz w:val="28"/>
          <w:szCs w:val="28"/>
        </w:rPr>
        <w:tab/>
      </w:r>
      <w:r w:rsidRPr="00C61187">
        <w:rPr>
          <w:rFonts w:ascii="Helvetica" w:hAnsi="Helvetica" w:cs="Arial"/>
          <w:color w:val="007FAD"/>
          <w:kern w:val="28"/>
          <w:sz w:val="24"/>
          <w:szCs w:val="28"/>
        </w:rPr>
        <w:tab/>
      </w:r>
      <w:r w:rsidRPr="00C61187">
        <w:rPr>
          <w:rFonts w:ascii="Helvetica" w:hAnsi="Helvetica" w:cs="Arial"/>
          <w:color w:val="007FAD"/>
          <w:kern w:val="28"/>
          <w:sz w:val="32"/>
          <w:szCs w:val="32"/>
        </w:rPr>
        <w:tab/>
      </w:r>
      <w:r w:rsidRPr="00C61187">
        <w:rPr>
          <w:rFonts w:ascii="Helvetica" w:hAnsi="Helvetica" w:cs="Arial"/>
          <w:color w:val="007FAD"/>
          <w:kern w:val="28"/>
          <w:sz w:val="32"/>
          <w:szCs w:val="32"/>
        </w:rPr>
        <w:tab/>
      </w:r>
      <w:r w:rsidRPr="00C61187">
        <w:rPr>
          <w:rFonts w:ascii="Helvetica" w:hAnsi="Helvetica" w:cs="Arial"/>
          <w:color w:val="007FAD"/>
          <w:kern w:val="28"/>
          <w:sz w:val="32"/>
          <w:szCs w:val="32"/>
        </w:rPr>
        <w:tab/>
      </w:r>
      <w:r w:rsidRPr="00C61187">
        <w:rPr>
          <w:rFonts w:ascii="Helvetica" w:hAnsi="Helvetica" w:cs="Arial"/>
          <w:color w:val="007FAD"/>
          <w:kern w:val="28"/>
          <w:sz w:val="32"/>
          <w:szCs w:val="32"/>
        </w:rPr>
        <w:tab/>
      </w:r>
    </w:p>
    <w:p w:rsidR="00413A01" w:rsidRPr="00413A01" w:rsidRDefault="00413A01" w:rsidP="00413A01">
      <w:r w:rsidRPr="00413A01">
        <w:t xml:space="preserve">The Aid Program Performance Report </w:t>
      </w:r>
      <w:r w:rsidRPr="00B306F9">
        <w:t xml:space="preserve">summarises the Australian aid program’s progress in Vanuatu against the </w:t>
      </w:r>
      <w:r w:rsidRPr="009A2B95">
        <w:rPr>
          <w:i/>
        </w:rPr>
        <w:t xml:space="preserve">Aid Investment Plan 2015-16 to 2018-19 </w:t>
      </w:r>
      <w:r w:rsidRPr="00B63359">
        <w:t>(AIP</w:t>
      </w:r>
      <w:r w:rsidRPr="00DC5B6F">
        <w:t xml:space="preserve">), which was developed in September 2015 and forms the </w:t>
      </w:r>
      <w:r w:rsidRPr="00413A01">
        <w:t xml:space="preserve">basis of ongoing dialogue with the Vanuatu Government on a new Aid Partnership.   </w:t>
      </w:r>
    </w:p>
    <w:p w:rsidR="00413A01" w:rsidRPr="00413A01" w:rsidRDefault="00413A01" w:rsidP="00413A01">
      <w:r w:rsidRPr="00413A01">
        <w:t>In 2015-16, the program delivered a solid performance in a challenging year for Vanuatu against the AIP’s four strategic pillars: building resilient infrastructure and an environment for economic opportunity; improving early education and health services; improving community safety and resilience; and supporting cyclone recovery and reconstruction.  The current program achieved most performance benchmarks and showed improvements in gender equality and disability inclusiveness measures across nearly all sectors.</w:t>
      </w:r>
      <w:r w:rsidRPr="00413A01">
        <w:rPr>
          <w:rFonts w:eastAsia="Times New Roman"/>
          <w:sz w:val="21"/>
        </w:rPr>
        <w:t xml:space="preserve">  </w:t>
      </w:r>
      <w:r w:rsidRPr="00413A01">
        <w:t xml:space="preserve"> </w:t>
      </w:r>
      <w:r w:rsidRPr="009A2B95">
        <w:t>Close and regular communication with the Vanuatu G</w:t>
      </w:r>
      <w:r w:rsidRPr="00B63359">
        <w:t xml:space="preserve">overnment throughout the year </w:t>
      </w:r>
      <w:r w:rsidRPr="00DC5B6F">
        <w:t>has been critical for achieving outcomes</w:t>
      </w:r>
      <w:r w:rsidRPr="00413A01">
        <w:t>, and programs continue to be well-aligned with priorities articulated in Vanuatu’s national strategic planning documents.</w:t>
      </w:r>
    </w:p>
    <w:p w:rsidR="00DC5B6F" w:rsidRDefault="00413A01" w:rsidP="00413A01">
      <w:r w:rsidRPr="00413A01">
        <w:t xml:space="preserve">Program refinements and remedial measures resulted in improvement in investments supporting </w:t>
      </w:r>
      <w:r w:rsidRPr="00413A01">
        <w:rPr>
          <w:b/>
        </w:rPr>
        <w:t>resilient</w:t>
      </w:r>
      <w:r w:rsidRPr="00413A01">
        <w:t xml:space="preserve"> </w:t>
      </w:r>
      <w:r w:rsidRPr="00413A01">
        <w:rPr>
          <w:b/>
        </w:rPr>
        <w:t>infrastructure</w:t>
      </w:r>
      <w:r w:rsidRPr="00413A01">
        <w:t xml:space="preserve">, but ongoing close monitoring and management oversight is required.   </w:t>
      </w:r>
      <w:r w:rsidR="00FB0F7D">
        <w:t>Support to build an</w:t>
      </w:r>
      <w:r w:rsidRPr="00413A01">
        <w:rPr>
          <w:b/>
        </w:rPr>
        <w:t xml:space="preserve"> environment for economic opportunity</w:t>
      </w:r>
      <w:r w:rsidR="00FB0F7D">
        <w:t xml:space="preserve"> </w:t>
      </w:r>
      <w:r w:rsidR="007A3959">
        <w:t>led to</w:t>
      </w:r>
      <w:r w:rsidR="00F453C8">
        <w:t xml:space="preserve"> </w:t>
      </w:r>
      <w:r w:rsidR="00FB0F7D">
        <w:t>p</w:t>
      </w:r>
      <w:r w:rsidR="007A3959">
        <w:t xml:space="preserve">rogress in addressing the </w:t>
      </w:r>
      <w:r w:rsidRPr="00413A01">
        <w:t>availability and affordabil</w:t>
      </w:r>
      <w:r w:rsidR="00F453C8">
        <w:t xml:space="preserve">ity of services and utilities, as well </w:t>
      </w:r>
      <w:r w:rsidR="00FB0F7D">
        <w:t xml:space="preserve">as improvements in </w:t>
      </w:r>
      <w:r w:rsidR="00F453C8">
        <w:t>public financial management, financial inclusion and</w:t>
      </w:r>
      <w:r w:rsidRPr="00DC5B6F">
        <w:t xml:space="preserve"> revenue collection</w:t>
      </w:r>
      <w:r w:rsidR="00FB0F7D">
        <w:t>. Our</w:t>
      </w:r>
      <w:r w:rsidRPr="00DC5B6F">
        <w:t xml:space="preserve"> technical and vocational training</w:t>
      </w:r>
      <w:r w:rsidR="00FB0F7D">
        <w:t xml:space="preserve"> </w:t>
      </w:r>
      <w:r w:rsidR="007A3959">
        <w:t>program,</w:t>
      </w:r>
      <w:r w:rsidRPr="00DC5B6F">
        <w:t xml:space="preserve"> which targeted rural areas</w:t>
      </w:r>
      <w:r w:rsidR="00383C45">
        <w:t xml:space="preserve"> and has strong Vanuatu Government support</w:t>
      </w:r>
      <w:r w:rsidRPr="00DC5B6F">
        <w:t xml:space="preserve">, </w:t>
      </w:r>
      <w:r w:rsidR="00FB0F7D">
        <w:t xml:space="preserve">has </w:t>
      </w:r>
      <w:r w:rsidR="00DC5B6F">
        <w:t>had a</w:t>
      </w:r>
      <w:r w:rsidRPr="00DC5B6F">
        <w:t xml:space="preserve"> significant impact on </w:t>
      </w:r>
      <w:r w:rsidR="00DC5B6F">
        <w:t>participants’ skills and incomes.</w:t>
      </w:r>
    </w:p>
    <w:p w:rsidR="00413A01" w:rsidRPr="00FE2597" w:rsidRDefault="00F6456E" w:rsidP="00413A01">
      <w:r>
        <w:t>Despite the impact of Tropical Cyclone Pam, t</w:t>
      </w:r>
      <w:r w:rsidR="00413A01" w:rsidRPr="00DC5B6F">
        <w:t xml:space="preserve">he program made good progress in </w:t>
      </w:r>
      <w:r w:rsidR="00413A01" w:rsidRPr="00DC5B6F">
        <w:rPr>
          <w:b/>
        </w:rPr>
        <w:t xml:space="preserve">improving early education and health services, </w:t>
      </w:r>
      <w:r w:rsidR="00413A01" w:rsidRPr="00DC5B6F">
        <w:t>with our major education program on track to achieve it</w:t>
      </w:r>
      <w:r w:rsidR="00413A01" w:rsidRPr="00413A01">
        <w:t>s objectives, including in curriculum development and teacher training</w:t>
      </w:r>
      <w:r>
        <w:t>.  I</w:t>
      </w:r>
      <w:r w:rsidR="00413A01" w:rsidRPr="00413A01">
        <w:t xml:space="preserve">mprovements in </w:t>
      </w:r>
      <w:r w:rsidR="00BF7D52">
        <w:t xml:space="preserve">planning </w:t>
      </w:r>
      <w:r w:rsidR="00413A01" w:rsidRPr="00413A01">
        <w:t>and information management processes support</w:t>
      </w:r>
      <w:r>
        <w:t>ed</w:t>
      </w:r>
      <w:r w:rsidR="00413A01" w:rsidRPr="00413A01">
        <w:t xml:space="preserve"> better delivery of services in the health sector. To </w:t>
      </w:r>
      <w:r w:rsidR="0026105C">
        <w:t xml:space="preserve">help </w:t>
      </w:r>
      <w:r w:rsidR="00F91538">
        <w:rPr>
          <w:b/>
        </w:rPr>
        <w:t xml:space="preserve">improve </w:t>
      </w:r>
      <w:r w:rsidR="00413A01" w:rsidRPr="00413A01">
        <w:rPr>
          <w:b/>
        </w:rPr>
        <w:t>community safety and resilience</w:t>
      </w:r>
      <w:r w:rsidR="00413A01" w:rsidRPr="00413A01">
        <w:t xml:space="preserve">, </w:t>
      </w:r>
      <w:r w:rsidR="00FF1E22">
        <w:t xml:space="preserve">police and </w:t>
      </w:r>
      <w:r w:rsidR="00413A01" w:rsidRPr="00413A01">
        <w:t xml:space="preserve">justice agencies were </w:t>
      </w:r>
      <w:r w:rsidR="007A3959">
        <w:t>assisted to</w:t>
      </w:r>
      <w:r w:rsidR="00413A01" w:rsidRPr="00413A01">
        <w:t xml:space="preserve"> improve information and financial management, and women’s access to justice was </w:t>
      </w:r>
      <w:r w:rsidR="00FE2597">
        <w:t>i</w:t>
      </w:r>
      <w:r w:rsidR="00413A01" w:rsidRPr="00FE2597">
        <w:t>ncreased through training</w:t>
      </w:r>
      <w:r w:rsidR="00DC5B6F">
        <w:t xml:space="preserve"> and advocacy</w:t>
      </w:r>
      <w:r w:rsidR="00FE2597">
        <w:t xml:space="preserve"> for </w:t>
      </w:r>
      <w:r w:rsidR="00413A01" w:rsidRPr="00FE2597">
        <w:t>the police and community.</w:t>
      </w:r>
      <w:r w:rsidR="00584DD9">
        <w:t xml:space="preserve"> Support for improved disaster preparedness and early-warning systems may have assisted to reduce damage from Tropical Cyclone Pam.</w:t>
      </w:r>
    </w:p>
    <w:p w:rsidR="00413A01" w:rsidRPr="008C777D" w:rsidRDefault="00413A01" w:rsidP="00413A01">
      <w:r w:rsidRPr="009A2B95">
        <w:t>Tropical Cyclone Pam dominated</w:t>
      </w:r>
      <w:r w:rsidRPr="00B63359">
        <w:t xml:space="preserve"> the reporting period, with the additional challenge of respondin</w:t>
      </w:r>
      <w:r w:rsidRPr="00DC5B6F">
        <w:t xml:space="preserve">g to El Niño weather conditions in late 2015. The </w:t>
      </w:r>
      <w:r w:rsidRPr="00413A01">
        <w:t xml:space="preserve">Australian High Commission established a new recovery team responsible for delivering Australia’s $34.7m long term </w:t>
      </w:r>
      <w:r w:rsidRPr="00413A01">
        <w:rPr>
          <w:b/>
        </w:rPr>
        <w:t>cyclone recovery and reconstruction</w:t>
      </w:r>
      <w:r w:rsidRPr="00413A01">
        <w:t xml:space="preserve"> program, and by June 2016, 65 per cent of long term recovery funding had been programmed towards projects in health, schools, water, agriculture and tourism. Supporting the Vanuatu Government to implement these projects will be a major focus for the next 12 months, and will </w:t>
      </w:r>
      <w:r w:rsidR="008C777D">
        <w:t>draw heavily on</w:t>
      </w:r>
      <w:r w:rsidRPr="008C777D">
        <w:t xml:space="preserve"> resources from the Australian Civilian Corps.</w:t>
      </w:r>
    </w:p>
    <w:p w:rsidR="002C7146" w:rsidRDefault="002C7146" w:rsidP="002C7146"/>
    <w:p w:rsidR="00C6626C" w:rsidRPr="00C61187" w:rsidRDefault="00C6626C" w:rsidP="002C7146">
      <w:pPr>
        <w:pStyle w:val="ListBullet"/>
        <w:tabs>
          <w:tab w:val="clear" w:pos="284"/>
        </w:tabs>
        <w:spacing w:before="360"/>
        <w:rPr>
          <w:kern w:val="28"/>
        </w:rPr>
      </w:pPr>
      <w:r w:rsidRPr="002A51CA">
        <w:rPr>
          <w:rFonts w:asciiTheme="majorHAnsi" w:eastAsiaTheme="majorEastAsia" w:hAnsiTheme="majorHAnsi" w:cstheme="majorBidi"/>
          <w:caps/>
          <w:color w:val="495965" w:themeColor="text2"/>
          <w:sz w:val="38"/>
          <w:szCs w:val="26"/>
          <w:lang w:val="en-GB" w:eastAsia="en-US"/>
        </w:rPr>
        <w:t xml:space="preserve">Context </w:t>
      </w:r>
      <w:r w:rsidRPr="002A51CA">
        <w:rPr>
          <w:rFonts w:asciiTheme="majorHAnsi" w:eastAsiaTheme="majorEastAsia" w:hAnsiTheme="majorHAnsi" w:cstheme="majorBidi"/>
          <w:caps/>
          <w:color w:val="495965" w:themeColor="text2"/>
          <w:sz w:val="38"/>
          <w:szCs w:val="26"/>
          <w:lang w:val="en-GB" w:eastAsia="en-US"/>
        </w:rPr>
        <w:tab/>
      </w:r>
      <w:r w:rsidRPr="00C61187">
        <w:rPr>
          <w:rFonts w:ascii="Helvetica" w:hAnsi="Helvetica" w:cs="Arial"/>
          <w:color w:val="007FAD"/>
          <w:kern w:val="28"/>
          <w:sz w:val="32"/>
          <w:szCs w:val="32"/>
        </w:rPr>
        <w:tab/>
      </w:r>
      <w:r w:rsidRPr="00C61187">
        <w:rPr>
          <w:color w:val="007FAD"/>
          <w:kern w:val="28"/>
        </w:rPr>
        <w:tab/>
      </w:r>
      <w:r w:rsidRPr="00C61187">
        <w:rPr>
          <w:color w:val="007FAD"/>
          <w:kern w:val="28"/>
        </w:rPr>
        <w:tab/>
      </w:r>
      <w:r w:rsidRPr="00C61187">
        <w:rPr>
          <w:color w:val="007FAD"/>
          <w:kern w:val="28"/>
        </w:rPr>
        <w:tab/>
      </w:r>
      <w:r w:rsidRPr="00C61187">
        <w:rPr>
          <w:color w:val="007FAD"/>
          <w:kern w:val="28"/>
        </w:rPr>
        <w:tab/>
      </w:r>
      <w:r w:rsidRPr="00C61187">
        <w:rPr>
          <w:color w:val="007FAD"/>
          <w:kern w:val="28"/>
        </w:rPr>
        <w:tab/>
      </w:r>
    </w:p>
    <w:p w:rsidR="00F6456E" w:rsidRPr="0082595D" w:rsidRDefault="00F6456E" w:rsidP="00F6456E">
      <w:r w:rsidRPr="0082595D">
        <w:t xml:space="preserve">Vanuatu has a widely dispersed population with limited </w:t>
      </w:r>
      <w:r>
        <w:t>services</w:t>
      </w:r>
      <w:r w:rsidRPr="0082595D">
        <w:t xml:space="preserve"> in provincial areas.  One-third of Vanuatu’s population lacks access to basic services and more than 12 per cent live below the national basic needs poverty line.  By the end of the Millennium Development Goals (MDG) reporting period, Vanuatu was on track to reach MDG 6 (HIV, malaria and other diseases), but its progress was uneven or off track on all other goals</w:t>
      </w:r>
      <w:r w:rsidRPr="0082595D">
        <w:rPr>
          <w:vertAlign w:val="superscript"/>
        </w:rPr>
        <w:endnoteReference w:id="1"/>
      </w:r>
      <w:r w:rsidRPr="0082595D">
        <w:t xml:space="preserve">.  Key human development indicators such as literacy and numeracy, immunisation and nutrition remain weak.  </w:t>
      </w:r>
    </w:p>
    <w:p w:rsidR="00F6456E" w:rsidRDefault="00F6456E" w:rsidP="00F6456E">
      <w:r w:rsidRPr="0082595D">
        <w:t>The Vanuatu Government has insufficient revenue to adequately fund education and health services and constraints on service delivery capacity mean that schools and health clinics often lack basic resources.  Efficient use of resources and a focus on the most cost-effective interventions are therefore enduring priorities.</w:t>
      </w:r>
    </w:p>
    <w:p w:rsidR="00F6456E" w:rsidRPr="0082595D" w:rsidRDefault="00F6456E" w:rsidP="00F6456E">
      <w:r w:rsidRPr="0082595D">
        <w:t xml:space="preserve">Increasing rural ni-Vanuatu participation in economic activity will continue to be a major challenge. The number of school (and university) leavers entering the job market far outstrips the average number of jobs created in the formal economy. </w:t>
      </w:r>
    </w:p>
    <w:p w:rsidR="00F6456E" w:rsidRPr="0082595D" w:rsidRDefault="00F6456E" w:rsidP="00F6456E">
      <w:r w:rsidRPr="0082595D">
        <w:t>Violence against women and children is Vanuatu’s most common crime, with 72 per cent of women experiencing physical or sexual violence in their life time.  Other issues include access to justice more broadly (particularly in rural areas), population growth, a youth bulge, urbanisation leading to increased land pressures, poverty and insecurity, climate change and frequent natural disasters</w:t>
      </w:r>
      <w:r w:rsidRPr="0082595D">
        <w:rPr>
          <w:vertAlign w:val="superscript"/>
        </w:rPr>
        <w:endnoteReference w:id="2"/>
      </w:r>
      <w:r w:rsidRPr="0082595D">
        <w:t xml:space="preserve">. </w:t>
      </w:r>
    </w:p>
    <w:p w:rsidR="00F6456E" w:rsidRDefault="00F6456E" w:rsidP="00F6456E">
      <w:r>
        <w:t>Helping to address these challenges, o</w:t>
      </w:r>
      <w:r w:rsidRPr="0082595D">
        <w:t xml:space="preserve">ver the last decade Vanuatu maintained strong economic growth compared with other countries in the region, at an average of 4 per cent GDP per annum (in real terms).  Growth is projected to reach 4 per cent in 2016 and 4.5 per cent in 2017, driven by </w:t>
      </w:r>
      <w:r>
        <w:t>post</w:t>
      </w:r>
      <w:r>
        <w:noBreakHyphen/>
        <w:t xml:space="preserve">cyclone </w:t>
      </w:r>
      <w:r w:rsidRPr="0082595D">
        <w:t>recovery in tourism and agricultural production, and further ramping up of infrastructure projects</w:t>
      </w:r>
      <w:r w:rsidRPr="0082595D">
        <w:rPr>
          <w:vertAlign w:val="superscript"/>
        </w:rPr>
        <w:endnoteReference w:id="3"/>
      </w:r>
      <w:r w:rsidRPr="0082595D">
        <w:t xml:space="preserve">.  Stable macroeconomic management, key microeconomic reforms and social stability have helped attract investment and tourists.  </w:t>
      </w:r>
    </w:p>
    <w:p w:rsidR="002C7146" w:rsidRDefault="002C7146" w:rsidP="002C7146">
      <w:r w:rsidRPr="002C7146">
        <w:t>Developments in Vanuatu in 2015-16 can be described as a tale of two halves.  The first half of the reporting period saw Vanuatu Government resources and attention diverted by issues associated with Tropical Cyclone Pam recovery, El Niño</w:t>
      </w:r>
      <w:r w:rsidR="00FB6781">
        <w:t>,</w:t>
      </w:r>
      <w:r w:rsidRPr="002C7146">
        <w:t xml:space="preserve"> and political instability which led to a general election in January 2016. </w:t>
      </w:r>
      <w:r w:rsidR="00C862FD">
        <w:t xml:space="preserve"> </w:t>
      </w:r>
      <w:r w:rsidRPr="002C7146">
        <w:t xml:space="preserve">This contributed to delayed progress for many investments. </w:t>
      </w:r>
      <w:r w:rsidR="00230094">
        <w:t xml:space="preserve"> </w:t>
      </w:r>
      <w:r w:rsidRPr="002C7146">
        <w:t xml:space="preserve">The second half of the reporting period saw the formation of a new government in February 2016 followed by a period of relative political stability during which the Vanuatu Government focused its attention on an ambitious reform agenda and cyclone recovery efforts.  Our </w:t>
      </w:r>
      <w:r w:rsidRPr="0082595D">
        <w:rPr>
          <w:i/>
        </w:rPr>
        <w:t>Governance for Growth</w:t>
      </w:r>
      <w:r w:rsidRPr="002C7146">
        <w:t xml:space="preserve"> (GfG) program, co-located with the Prime Minister’s Office has been well-placed to assist with some reforms, including initial work on tax policy and administration.</w:t>
      </w:r>
    </w:p>
    <w:p w:rsidR="00600716" w:rsidRPr="00600716" w:rsidRDefault="00600716" w:rsidP="00600716">
      <w:pPr>
        <w:rPr>
          <w:lang w:val="en-AU"/>
        </w:rPr>
      </w:pPr>
      <w:r w:rsidRPr="00600716">
        <w:rPr>
          <w:lang w:val="en-AU"/>
        </w:rPr>
        <w:t>In late 2015, the conviction of 1</w:t>
      </w:r>
      <w:r w:rsidR="00FB6781">
        <w:rPr>
          <w:lang w:val="en-AU"/>
        </w:rPr>
        <w:t>5</w:t>
      </w:r>
      <w:r w:rsidRPr="00600716">
        <w:rPr>
          <w:lang w:val="en-AU"/>
        </w:rPr>
        <w:t xml:space="preserve"> Vanuatu Government Members of Parliament</w:t>
      </w:r>
      <w:r w:rsidR="00192802">
        <w:rPr>
          <w:lang w:val="en-AU"/>
        </w:rPr>
        <w:t xml:space="preserve"> (MPs)</w:t>
      </w:r>
      <w:r w:rsidRPr="00600716">
        <w:rPr>
          <w:lang w:val="en-AU"/>
        </w:rPr>
        <w:t xml:space="preserve"> (</w:t>
      </w:r>
      <w:r w:rsidR="00FB6781">
        <w:rPr>
          <w:lang w:val="en-AU"/>
        </w:rPr>
        <w:t>including</w:t>
      </w:r>
      <w:r w:rsidR="00FB6781" w:rsidRPr="00600716">
        <w:rPr>
          <w:lang w:val="en-AU"/>
        </w:rPr>
        <w:t xml:space="preserve"> </w:t>
      </w:r>
      <w:r w:rsidRPr="00600716">
        <w:rPr>
          <w:lang w:val="en-AU"/>
        </w:rPr>
        <w:t xml:space="preserve">one guilty plea) on criminal charges of bribery resulted in the dissolution of the </w:t>
      </w:r>
      <w:r w:rsidR="00192802">
        <w:rPr>
          <w:lang w:val="en-AU"/>
        </w:rPr>
        <w:t>g</w:t>
      </w:r>
      <w:r w:rsidR="00192802" w:rsidRPr="00600716">
        <w:rPr>
          <w:lang w:val="en-AU"/>
        </w:rPr>
        <w:t xml:space="preserve">overnment </w:t>
      </w:r>
      <w:r w:rsidRPr="00600716">
        <w:rPr>
          <w:lang w:val="en-AU"/>
        </w:rPr>
        <w:t>of the day and a snap election in January 2016.  The case highlighted</w:t>
      </w:r>
      <w:r w:rsidR="00041418">
        <w:rPr>
          <w:lang w:val="en-AU"/>
        </w:rPr>
        <w:t xml:space="preserve"> </w:t>
      </w:r>
      <w:r w:rsidRPr="00600716">
        <w:rPr>
          <w:lang w:val="en-AU"/>
        </w:rPr>
        <w:t xml:space="preserve">the risk </w:t>
      </w:r>
      <w:r w:rsidR="00041418">
        <w:rPr>
          <w:lang w:val="en-AU"/>
        </w:rPr>
        <w:t>corruption</w:t>
      </w:r>
      <w:r w:rsidR="00041418" w:rsidRPr="00600716">
        <w:rPr>
          <w:lang w:val="en-AU"/>
        </w:rPr>
        <w:t xml:space="preserve"> </w:t>
      </w:r>
      <w:r w:rsidRPr="00600716">
        <w:rPr>
          <w:lang w:val="en-AU"/>
        </w:rPr>
        <w:t xml:space="preserve">poses to efficient and effective management of public finances and resources.  However, the successful prosecution of 14 serving MPs </w:t>
      </w:r>
      <w:r w:rsidR="00FB6781">
        <w:rPr>
          <w:lang w:val="en-AU"/>
        </w:rPr>
        <w:t xml:space="preserve">(plus one guilty plea) </w:t>
      </w:r>
      <w:r w:rsidRPr="00600716">
        <w:rPr>
          <w:lang w:val="en-AU"/>
        </w:rPr>
        <w:t>also highlighted the integrity and effectiveness of Vanuatu’s public sector governance and accountability mechanisms and its adherence to the rule of law.</w:t>
      </w:r>
    </w:p>
    <w:p w:rsidR="002C7146" w:rsidRPr="002C7146" w:rsidRDefault="002C7146" w:rsidP="002C7146">
      <w:r w:rsidRPr="002C7146">
        <w:t xml:space="preserve">Tropical Cyclone Pam, which struck Vanuatu in March 2015, will continue to compound many of Vanuatu’s existing social and economic challenges and may delay progress in addressing them.  </w:t>
      </w:r>
      <w:r w:rsidR="00084CBC">
        <w:t>Tropical Cyclone Pam</w:t>
      </w:r>
      <w:r w:rsidRPr="002C7146">
        <w:t xml:space="preserve"> caused widespread and severe damage, estimated at around $600 million (or 64 per cent of GDP), affecting the livelihoods of around 195,000 people, including in the key agriculture and tourism industries.  The cyclone recovery process will take a number of years, with recovery costs estimated at around $426 million, likely far in excess of donor contributions.  Australia was the first and one of the largest contributors to the cyclone response, providing more than $50 million in assistance.  </w:t>
      </w:r>
      <w:r w:rsidR="00F3206D" w:rsidRPr="00F3206D">
        <w:t xml:space="preserve">This assistance was developed in consultation with the Vanuatu Government and aligns closely with the critical needs identified in its recovery plan, </w:t>
      </w:r>
      <w:r w:rsidR="00F3206D" w:rsidRPr="00F3206D">
        <w:rPr>
          <w:i/>
        </w:rPr>
        <w:t>Strengthening ni-Vanuatu Resilience – National Recovery and Economic Strengthening Plan</w:t>
      </w:r>
      <w:r w:rsidR="00F3206D" w:rsidRPr="00F3206D">
        <w:t>.  It also complements the Australia</w:t>
      </w:r>
      <w:r w:rsidR="00F3206D">
        <w:t xml:space="preserve">’s bilateral program </w:t>
      </w:r>
      <w:r w:rsidR="00F3206D" w:rsidRPr="00F3206D">
        <w:t xml:space="preserve">and proposed </w:t>
      </w:r>
      <w:r w:rsidR="0066484F">
        <w:t xml:space="preserve">cyclone </w:t>
      </w:r>
      <w:r w:rsidR="00F3206D" w:rsidRPr="00F3206D">
        <w:t xml:space="preserve">recovery support by other donors.  </w:t>
      </w:r>
      <w:r w:rsidRPr="002C7146">
        <w:t xml:space="preserve"> </w:t>
      </w:r>
    </w:p>
    <w:p w:rsidR="002C7146" w:rsidRPr="002C7146" w:rsidRDefault="0082595D" w:rsidP="002C7146">
      <w:r>
        <w:t>Australia is</w:t>
      </w:r>
      <w:r w:rsidR="002C7146" w:rsidRPr="002C7146">
        <w:t xml:space="preserve"> the largest provider of aid, equivalent to around 30 per cent of total public spending and around six per cent of Vanuatu’s GDP.  Australia is one of the largest sources of foreign investment ($</w:t>
      </w:r>
      <w:r w:rsidR="006371A9">
        <w:t>112 million in 2015, down from $</w:t>
      </w:r>
      <w:r w:rsidR="002C7146" w:rsidRPr="002C7146">
        <w:t xml:space="preserve">169 million in 2014) and tourists (over 200,000 a year) and </w:t>
      </w:r>
      <w:r w:rsidR="00084CBC">
        <w:t xml:space="preserve">is the </w:t>
      </w:r>
      <w:r w:rsidR="002C7146" w:rsidRPr="002C7146">
        <w:t>twelfth ranked destination for Vanuatu exports.  We are the lead donor in the health, education, governance and justice and policing sectors.</w:t>
      </w:r>
    </w:p>
    <w:p w:rsidR="002C7146" w:rsidRPr="002C7146" w:rsidRDefault="002C7146" w:rsidP="002C7146">
      <w:r w:rsidRPr="002C7146">
        <w:t>Vanuatu has few other long</w:t>
      </w:r>
      <w:r w:rsidRPr="002C7146">
        <w:noBreakHyphen/>
        <w:t xml:space="preserve">term </w:t>
      </w:r>
      <w:r w:rsidR="00A8361B">
        <w:t xml:space="preserve">development </w:t>
      </w:r>
      <w:r w:rsidRPr="002C7146">
        <w:t xml:space="preserve">partners.  New Zealand supports infrastructure, education, water and tourism.  China and Japan have a growing presence in infrastructure.  The World Bank and </w:t>
      </w:r>
      <w:r w:rsidR="0066484F">
        <w:t xml:space="preserve">the </w:t>
      </w:r>
      <w:r w:rsidRPr="002C7146">
        <w:t>Asian Development Bank are increasing their engagement in Vanuatu following the cyclone</w:t>
      </w:r>
      <w:r w:rsidR="00084CBC">
        <w:t>,</w:t>
      </w:r>
      <w:r w:rsidRPr="002C7146">
        <w:t xml:space="preserve"> and their contribution to recovery will be important.  </w:t>
      </w:r>
    </w:p>
    <w:p w:rsidR="00C6626C" w:rsidRPr="002A51CA" w:rsidRDefault="00C6626C" w:rsidP="009B4E87">
      <w:pPr>
        <w:pStyle w:val="ListBullet"/>
        <w:keepNext/>
        <w:tabs>
          <w:tab w:val="clear" w:pos="284"/>
        </w:tabs>
        <w:spacing w:before="360"/>
        <w:rPr>
          <w:rFonts w:asciiTheme="majorHAnsi" w:eastAsiaTheme="majorEastAsia" w:hAnsiTheme="majorHAnsi" w:cstheme="majorBidi"/>
          <w:caps/>
          <w:color w:val="495965" w:themeColor="text2"/>
          <w:sz w:val="38"/>
          <w:szCs w:val="26"/>
          <w:lang w:val="en-GB" w:eastAsia="en-US"/>
        </w:rPr>
      </w:pPr>
      <w:r w:rsidRPr="002A51CA">
        <w:rPr>
          <w:rFonts w:asciiTheme="majorHAnsi" w:eastAsiaTheme="majorEastAsia" w:hAnsiTheme="majorHAnsi" w:cstheme="majorBidi"/>
          <w:caps/>
          <w:color w:val="495965" w:themeColor="text2"/>
          <w:sz w:val="38"/>
          <w:szCs w:val="26"/>
          <w:lang w:val="en-GB" w:eastAsia="en-US"/>
        </w:rPr>
        <w:t>Expenditure</w:t>
      </w:r>
    </w:p>
    <w:p w:rsidR="00941481" w:rsidRPr="00941481" w:rsidRDefault="00941481" w:rsidP="009B4E87">
      <w:pPr>
        <w:keepNext/>
        <w:rPr>
          <w:lang w:val="en-AU"/>
        </w:rPr>
      </w:pPr>
      <w:r w:rsidRPr="00941481">
        <w:rPr>
          <w:lang w:val="en-AU"/>
        </w:rPr>
        <w:t>Total Australian Government ODA to Vanuatu in 201</w:t>
      </w:r>
      <w:r>
        <w:rPr>
          <w:lang w:val="en-AU"/>
        </w:rPr>
        <w:t>5-16 was $</w:t>
      </w:r>
      <w:r w:rsidR="00D918C7">
        <w:rPr>
          <w:lang w:val="en-AU"/>
        </w:rPr>
        <w:t>61.0</w:t>
      </w:r>
      <w:r w:rsidRPr="00941481">
        <w:rPr>
          <w:lang w:val="en-AU"/>
        </w:rPr>
        <w:t xml:space="preserve"> million. </w:t>
      </w:r>
      <w:r w:rsidRPr="00230094">
        <w:rPr>
          <w:i/>
          <w:lang w:val="en-AU"/>
        </w:rPr>
        <w:t>Table 1</w:t>
      </w:r>
      <w:r w:rsidRPr="00941481">
        <w:rPr>
          <w:lang w:val="en-AU"/>
        </w:rPr>
        <w:t xml:space="preserve"> shows expenditure from the bilateral</w:t>
      </w:r>
      <w:r>
        <w:rPr>
          <w:lang w:val="en-AU"/>
        </w:rPr>
        <w:t xml:space="preserve"> program for financial year 2015-16</w:t>
      </w:r>
      <w:r w:rsidRPr="00941481">
        <w:rPr>
          <w:lang w:val="en-AU"/>
        </w:rPr>
        <w:t xml:space="preserve">, disaggregated by objective.  Australian-funded </w:t>
      </w:r>
      <w:r w:rsidR="004F2B00">
        <w:rPr>
          <w:lang w:val="en-AU"/>
        </w:rPr>
        <w:t>long</w:t>
      </w:r>
      <w:r w:rsidR="004F2B00">
        <w:rPr>
          <w:lang w:val="en-AU"/>
        </w:rPr>
        <w:noBreakHyphen/>
        <w:t xml:space="preserve">term cyclone </w:t>
      </w:r>
      <w:r w:rsidRPr="00941481">
        <w:rPr>
          <w:lang w:val="en-AU"/>
        </w:rPr>
        <w:t>recovery projects will be implemented over three years through the Vanuatu Government’s recovery management arrangements.</w:t>
      </w:r>
    </w:p>
    <w:p w:rsidR="00941481" w:rsidRPr="00941481" w:rsidRDefault="00941481" w:rsidP="00941481">
      <w:pPr>
        <w:rPr>
          <w:lang w:val="en-AU"/>
        </w:rPr>
      </w:pPr>
      <w:r w:rsidRPr="00941481">
        <w:rPr>
          <w:lang w:val="en-AU"/>
        </w:rPr>
        <w:t>Total ODA flows to Vanuatu include an estimated $</w:t>
      </w:r>
      <w:r w:rsidR="00D918C7">
        <w:rPr>
          <w:lang w:val="en-AU"/>
        </w:rPr>
        <w:t>18.0</w:t>
      </w:r>
      <w:r w:rsidRPr="00941481">
        <w:rPr>
          <w:lang w:val="en-AU"/>
        </w:rPr>
        <w:t xml:space="preserve"> million from regional and global programs and $</w:t>
      </w:r>
      <w:r w:rsidR="00D7671D">
        <w:rPr>
          <w:lang w:val="en-AU"/>
        </w:rPr>
        <w:t>0.9 </w:t>
      </w:r>
      <w:r w:rsidRPr="00941481">
        <w:rPr>
          <w:lang w:val="en-AU"/>
        </w:rPr>
        <w:t xml:space="preserve">million from other government departments. Pacific regional programs are reported in a separate </w:t>
      </w:r>
      <w:r w:rsidR="00192802">
        <w:rPr>
          <w:lang w:val="en-AU"/>
        </w:rPr>
        <w:t>Annual Program Performance Report (</w:t>
      </w:r>
      <w:r w:rsidRPr="00941481">
        <w:rPr>
          <w:lang w:val="en-AU"/>
        </w:rPr>
        <w:t>APPR</w:t>
      </w:r>
      <w:r w:rsidR="00192802">
        <w:rPr>
          <w:lang w:val="en-AU"/>
        </w:rPr>
        <w:t>)</w:t>
      </w:r>
      <w:r w:rsidRPr="00941481">
        <w:rPr>
          <w:lang w:val="en-AU"/>
        </w:rPr>
        <w:t xml:space="preserve">. </w:t>
      </w:r>
      <w:r w:rsidR="00023444">
        <w:rPr>
          <w:lang w:val="en-AU"/>
        </w:rPr>
        <w:t xml:space="preserve"> </w:t>
      </w:r>
      <w:r w:rsidRPr="00941481">
        <w:rPr>
          <w:lang w:val="en-AU"/>
        </w:rPr>
        <w:t xml:space="preserve">Australian Federal Police (AFP) </w:t>
      </w:r>
      <w:r w:rsidR="004F2B00">
        <w:rPr>
          <w:lang w:val="en-AU"/>
        </w:rPr>
        <w:t xml:space="preserve">advisory </w:t>
      </w:r>
      <w:r w:rsidRPr="00941481">
        <w:rPr>
          <w:lang w:val="en-AU"/>
        </w:rPr>
        <w:t>activities are funded through DFAT</w:t>
      </w:r>
      <w:r w:rsidR="002E1BBF">
        <w:rPr>
          <w:lang w:val="en-AU"/>
        </w:rPr>
        <w:t xml:space="preserve"> and included in bilateral figures</w:t>
      </w:r>
      <w:r w:rsidRPr="00941481">
        <w:rPr>
          <w:lang w:val="en-AU"/>
        </w:rPr>
        <w:t xml:space="preserve">.  </w:t>
      </w:r>
    </w:p>
    <w:p w:rsidR="002A51CA" w:rsidRDefault="002A51CA" w:rsidP="002A51CA"/>
    <w:p w:rsidR="002A51CA" w:rsidRPr="008C2F58" w:rsidRDefault="002A51CA" w:rsidP="002A51CA">
      <w:pPr>
        <w:rPr>
          <w:b/>
          <w:sz w:val="24"/>
        </w:rPr>
      </w:pPr>
      <w:r w:rsidRPr="008C2F58">
        <w:rPr>
          <w:b/>
          <w:sz w:val="24"/>
        </w:rPr>
        <w:t xml:space="preserve">Table </w:t>
      </w:r>
      <w:r w:rsidRPr="008C2F58">
        <w:rPr>
          <w:b/>
          <w:sz w:val="24"/>
        </w:rPr>
        <w:fldChar w:fldCharType="begin"/>
      </w:r>
      <w:r w:rsidRPr="008C2F58">
        <w:rPr>
          <w:b/>
          <w:sz w:val="24"/>
        </w:rPr>
        <w:instrText xml:space="preserve"> SEQ Table \* ARABIC </w:instrText>
      </w:r>
      <w:r w:rsidRPr="008C2F58">
        <w:rPr>
          <w:b/>
          <w:sz w:val="24"/>
        </w:rPr>
        <w:fldChar w:fldCharType="separate"/>
      </w:r>
      <w:r w:rsidR="00F6456E">
        <w:rPr>
          <w:b/>
          <w:noProof/>
          <w:sz w:val="24"/>
        </w:rPr>
        <w:t>1</w:t>
      </w:r>
      <w:r w:rsidRPr="008C2F58">
        <w:rPr>
          <w:b/>
          <w:noProof/>
          <w:sz w:val="24"/>
        </w:rPr>
        <w:fldChar w:fldCharType="end"/>
      </w:r>
      <w:r w:rsidRPr="008C2F58">
        <w:rPr>
          <w:b/>
          <w:sz w:val="24"/>
        </w:rPr>
        <w:t xml:space="preserve"> Total ODA Expenditure in FY 2015-16</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992"/>
        <w:gridCol w:w="1525"/>
      </w:tblGrid>
      <w:tr w:rsidR="002A51CA" w:rsidRPr="003B0793" w:rsidTr="00D15A00">
        <w:tc>
          <w:tcPr>
            <w:tcW w:w="6204" w:type="dxa"/>
          </w:tcPr>
          <w:p w:rsidR="002A51CA" w:rsidRPr="003B0793" w:rsidRDefault="002A51CA" w:rsidP="00D15A00">
            <w:pPr>
              <w:keepNext/>
              <w:spacing w:after="160" w:line="280" w:lineRule="exact"/>
              <w:rPr>
                <w:rFonts w:eastAsia="Times New Roman"/>
                <w:b/>
                <w:sz w:val="17"/>
                <w:szCs w:val="17"/>
              </w:rPr>
            </w:pPr>
            <w:r w:rsidRPr="003B0793">
              <w:rPr>
                <w:rFonts w:eastAsia="Times New Roman"/>
                <w:b/>
                <w:sz w:val="17"/>
                <w:szCs w:val="17"/>
              </w:rPr>
              <w:t>Objective</w:t>
            </w:r>
          </w:p>
        </w:tc>
        <w:tc>
          <w:tcPr>
            <w:tcW w:w="992" w:type="dxa"/>
          </w:tcPr>
          <w:p w:rsidR="002A51CA" w:rsidRPr="003B0793" w:rsidRDefault="002A51CA" w:rsidP="00D15A00">
            <w:pPr>
              <w:keepNext/>
              <w:spacing w:after="160" w:line="280" w:lineRule="exact"/>
              <w:rPr>
                <w:rFonts w:eastAsia="Times New Roman"/>
                <w:sz w:val="17"/>
                <w:szCs w:val="17"/>
              </w:rPr>
            </w:pPr>
            <w:r w:rsidRPr="003B0793">
              <w:rPr>
                <w:rFonts w:eastAsia="Times New Roman"/>
                <w:b/>
                <w:sz w:val="17"/>
                <w:szCs w:val="17"/>
              </w:rPr>
              <w:t>A$ million</w:t>
            </w:r>
          </w:p>
        </w:tc>
        <w:tc>
          <w:tcPr>
            <w:tcW w:w="1525" w:type="dxa"/>
          </w:tcPr>
          <w:p w:rsidR="002A51CA" w:rsidRPr="003B0793" w:rsidRDefault="00D63A83" w:rsidP="00D15A00">
            <w:pPr>
              <w:keepNext/>
              <w:spacing w:after="160" w:line="280" w:lineRule="exact"/>
              <w:rPr>
                <w:rFonts w:eastAsia="Times New Roman"/>
                <w:sz w:val="17"/>
                <w:szCs w:val="17"/>
              </w:rPr>
            </w:pPr>
            <w:r>
              <w:rPr>
                <w:rFonts w:eastAsia="Times New Roman"/>
                <w:b/>
                <w:sz w:val="17"/>
                <w:szCs w:val="17"/>
              </w:rPr>
              <w:t>per cent</w:t>
            </w:r>
            <w:r w:rsidR="002A51CA" w:rsidRPr="003B0793">
              <w:rPr>
                <w:rFonts w:eastAsia="Times New Roman"/>
                <w:b/>
                <w:sz w:val="17"/>
                <w:szCs w:val="17"/>
              </w:rPr>
              <w:t xml:space="preserve"> of total ODA</w:t>
            </w:r>
          </w:p>
        </w:tc>
      </w:tr>
      <w:tr w:rsidR="002A51CA" w:rsidRPr="003B0793" w:rsidTr="00D15A00">
        <w:tc>
          <w:tcPr>
            <w:tcW w:w="6204" w:type="dxa"/>
          </w:tcPr>
          <w:p w:rsidR="002A51CA" w:rsidRPr="003B0793" w:rsidRDefault="002A51CA" w:rsidP="00D15A00">
            <w:pPr>
              <w:keepNext/>
              <w:spacing w:after="160" w:line="280" w:lineRule="exact"/>
              <w:rPr>
                <w:rFonts w:eastAsia="Times New Roman"/>
                <w:b/>
                <w:i/>
                <w:sz w:val="17"/>
                <w:szCs w:val="17"/>
              </w:rPr>
            </w:pPr>
            <w:r w:rsidRPr="003B0793">
              <w:rPr>
                <w:rFonts w:eastAsia="Times New Roman"/>
                <w:b/>
                <w:i/>
                <w:sz w:val="17"/>
                <w:szCs w:val="17"/>
              </w:rPr>
              <w:t xml:space="preserve">Bilateral </w:t>
            </w:r>
          </w:p>
        </w:tc>
        <w:tc>
          <w:tcPr>
            <w:tcW w:w="992" w:type="dxa"/>
          </w:tcPr>
          <w:p w:rsidR="002A51CA" w:rsidRPr="003B0793" w:rsidRDefault="002A51CA" w:rsidP="00D15A00">
            <w:pPr>
              <w:keepNext/>
              <w:spacing w:after="160" w:line="280" w:lineRule="exact"/>
              <w:rPr>
                <w:rFonts w:eastAsia="Times New Roman"/>
                <w:b/>
                <w:sz w:val="17"/>
                <w:szCs w:val="17"/>
              </w:rPr>
            </w:pPr>
          </w:p>
        </w:tc>
        <w:tc>
          <w:tcPr>
            <w:tcW w:w="1525" w:type="dxa"/>
          </w:tcPr>
          <w:p w:rsidR="002A51CA" w:rsidRPr="003B0793" w:rsidRDefault="002A51CA" w:rsidP="00D15A00">
            <w:pPr>
              <w:keepNext/>
              <w:spacing w:after="160" w:line="280" w:lineRule="exact"/>
              <w:rPr>
                <w:rFonts w:eastAsia="Times New Roman"/>
                <w:b/>
                <w:sz w:val="17"/>
                <w:szCs w:val="17"/>
              </w:rPr>
            </w:pPr>
          </w:p>
        </w:tc>
      </w:tr>
      <w:tr w:rsidR="002A51CA" w:rsidRPr="003B0793" w:rsidTr="00D15A00">
        <w:tc>
          <w:tcPr>
            <w:tcW w:w="6204" w:type="dxa"/>
          </w:tcPr>
          <w:p w:rsidR="002A51CA" w:rsidRPr="003B0793" w:rsidRDefault="000723C6" w:rsidP="00D15A00">
            <w:pPr>
              <w:keepNext/>
              <w:spacing w:before="40" w:after="40" w:line="280" w:lineRule="exact"/>
              <w:rPr>
                <w:rFonts w:eastAsia="Times New Roman"/>
                <w:sz w:val="17"/>
                <w:szCs w:val="17"/>
              </w:rPr>
            </w:pPr>
            <w:r>
              <w:rPr>
                <w:rFonts w:eastAsia="Times New Roman"/>
                <w:sz w:val="17"/>
                <w:szCs w:val="17"/>
              </w:rPr>
              <w:t>Building resilient infrastructure and environment for economic opportunity</w:t>
            </w:r>
          </w:p>
        </w:tc>
        <w:tc>
          <w:tcPr>
            <w:tcW w:w="992" w:type="dxa"/>
          </w:tcPr>
          <w:p w:rsidR="002A51CA" w:rsidRPr="003B0793" w:rsidRDefault="00FF024D" w:rsidP="00E155F2">
            <w:pPr>
              <w:keepNext/>
              <w:spacing w:before="40" w:after="40" w:line="280" w:lineRule="exact"/>
              <w:rPr>
                <w:rFonts w:eastAsia="Times New Roman"/>
                <w:sz w:val="17"/>
                <w:szCs w:val="17"/>
              </w:rPr>
            </w:pPr>
            <w:r>
              <w:rPr>
                <w:rFonts w:eastAsia="Times New Roman"/>
                <w:sz w:val="17"/>
                <w:szCs w:val="17"/>
              </w:rPr>
              <w:t>22.</w:t>
            </w:r>
            <w:r w:rsidR="00E155F2">
              <w:rPr>
                <w:rFonts w:eastAsia="Times New Roman"/>
                <w:sz w:val="17"/>
                <w:szCs w:val="17"/>
              </w:rPr>
              <w:t>9</w:t>
            </w:r>
          </w:p>
        </w:tc>
        <w:tc>
          <w:tcPr>
            <w:tcW w:w="1525" w:type="dxa"/>
          </w:tcPr>
          <w:p w:rsidR="002A51CA" w:rsidRPr="003B0793" w:rsidRDefault="00FF024D" w:rsidP="006C706D">
            <w:pPr>
              <w:keepNext/>
              <w:spacing w:before="40" w:after="40" w:line="280" w:lineRule="exact"/>
              <w:rPr>
                <w:rFonts w:eastAsia="Times New Roman"/>
                <w:sz w:val="17"/>
                <w:szCs w:val="17"/>
              </w:rPr>
            </w:pPr>
            <w:r>
              <w:rPr>
                <w:rFonts w:eastAsia="Times New Roman"/>
                <w:sz w:val="17"/>
                <w:szCs w:val="17"/>
              </w:rPr>
              <w:t>37.</w:t>
            </w:r>
            <w:r w:rsidR="006C706D">
              <w:rPr>
                <w:rFonts w:eastAsia="Times New Roman"/>
                <w:sz w:val="17"/>
                <w:szCs w:val="17"/>
              </w:rPr>
              <w:t>5</w:t>
            </w:r>
          </w:p>
        </w:tc>
      </w:tr>
      <w:tr w:rsidR="002A51CA" w:rsidRPr="003B0793" w:rsidTr="00D15A00">
        <w:tc>
          <w:tcPr>
            <w:tcW w:w="6204" w:type="dxa"/>
          </w:tcPr>
          <w:p w:rsidR="002A51CA" w:rsidRPr="003B0793" w:rsidRDefault="000723C6" w:rsidP="00D15A00">
            <w:pPr>
              <w:keepNext/>
              <w:spacing w:before="40" w:after="40" w:line="280" w:lineRule="exact"/>
              <w:rPr>
                <w:rFonts w:eastAsia="Times New Roman"/>
                <w:sz w:val="17"/>
                <w:szCs w:val="17"/>
              </w:rPr>
            </w:pPr>
            <w:r>
              <w:rPr>
                <w:rFonts w:eastAsia="Times New Roman"/>
                <w:sz w:val="17"/>
                <w:szCs w:val="17"/>
              </w:rPr>
              <w:t>Improving early education and essential health services</w:t>
            </w:r>
          </w:p>
        </w:tc>
        <w:tc>
          <w:tcPr>
            <w:tcW w:w="992" w:type="dxa"/>
          </w:tcPr>
          <w:p w:rsidR="002A51CA" w:rsidRPr="003B0793" w:rsidRDefault="00585E4C" w:rsidP="00E155F2">
            <w:pPr>
              <w:keepNext/>
              <w:spacing w:before="40" w:after="40" w:line="280" w:lineRule="exact"/>
              <w:rPr>
                <w:rFonts w:eastAsia="Times New Roman"/>
                <w:sz w:val="17"/>
                <w:szCs w:val="17"/>
              </w:rPr>
            </w:pPr>
            <w:r>
              <w:rPr>
                <w:rFonts w:eastAsia="Times New Roman"/>
                <w:sz w:val="17"/>
                <w:szCs w:val="17"/>
              </w:rPr>
              <w:t>10.</w:t>
            </w:r>
            <w:r w:rsidR="00E155F2">
              <w:rPr>
                <w:rFonts w:eastAsia="Times New Roman"/>
                <w:sz w:val="17"/>
                <w:szCs w:val="17"/>
              </w:rPr>
              <w:t>1</w:t>
            </w:r>
          </w:p>
        </w:tc>
        <w:tc>
          <w:tcPr>
            <w:tcW w:w="1525" w:type="dxa"/>
          </w:tcPr>
          <w:p w:rsidR="002A51CA" w:rsidRPr="003B0793" w:rsidRDefault="006C706D" w:rsidP="00A009C5">
            <w:pPr>
              <w:keepNext/>
              <w:spacing w:before="40" w:after="40" w:line="280" w:lineRule="exact"/>
              <w:rPr>
                <w:rFonts w:eastAsia="Times New Roman"/>
                <w:sz w:val="17"/>
                <w:szCs w:val="17"/>
              </w:rPr>
            </w:pPr>
            <w:r>
              <w:rPr>
                <w:rFonts w:eastAsia="Times New Roman"/>
                <w:sz w:val="17"/>
                <w:szCs w:val="17"/>
              </w:rPr>
              <w:t>16.</w:t>
            </w:r>
            <w:r w:rsidR="00A009C5">
              <w:rPr>
                <w:rFonts w:eastAsia="Times New Roman"/>
                <w:sz w:val="17"/>
                <w:szCs w:val="17"/>
              </w:rPr>
              <w:t>6</w:t>
            </w:r>
          </w:p>
        </w:tc>
      </w:tr>
      <w:tr w:rsidR="002A51CA" w:rsidRPr="000723C6" w:rsidTr="00D15A00">
        <w:tc>
          <w:tcPr>
            <w:tcW w:w="6204" w:type="dxa"/>
          </w:tcPr>
          <w:p w:rsidR="00A53243" w:rsidRDefault="000723C6" w:rsidP="00D15A00">
            <w:pPr>
              <w:keepNext/>
              <w:spacing w:before="40" w:after="40" w:line="280" w:lineRule="exact"/>
              <w:rPr>
                <w:rFonts w:eastAsia="Times New Roman"/>
                <w:sz w:val="17"/>
                <w:szCs w:val="17"/>
              </w:rPr>
            </w:pPr>
            <w:r>
              <w:rPr>
                <w:rFonts w:eastAsia="Times New Roman"/>
                <w:sz w:val="17"/>
                <w:szCs w:val="17"/>
              </w:rPr>
              <w:t>Improving community safety and resilience</w:t>
            </w:r>
            <w:r w:rsidR="00A53243" w:rsidRPr="003B0793">
              <w:rPr>
                <w:rFonts w:eastAsia="Times New Roman"/>
                <w:sz w:val="17"/>
                <w:szCs w:val="17"/>
              </w:rPr>
              <w:t xml:space="preserve"> </w:t>
            </w:r>
          </w:p>
          <w:p w:rsidR="002A51CA" w:rsidRPr="003B0793" w:rsidRDefault="000723C6" w:rsidP="00AF0752">
            <w:pPr>
              <w:keepNext/>
              <w:spacing w:before="40" w:after="40" w:line="280" w:lineRule="exact"/>
              <w:rPr>
                <w:rFonts w:eastAsia="Times New Roman"/>
                <w:sz w:val="17"/>
                <w:szCs w:val="17"/>
              </w:rPr>
            </w:pPr>
            <w:r>
              <w:rPr>
                <w:rFonts w:eastAsia="Times New Roman"/>
                <w:sz w:val="17"/>
                <w:szCs w:val="17"/>
              </w:rPr>
              <w:t>Supporting cyclone recovery and reconstruction</w:t>
            </w:r>
          </w:p>
        </w:tc>
        <w:tc>
          <w:tcPr>
            <w:tcW w:w="992" w:type="dxa"/>
          </w:tcPr>
          <w:p w:rsidR="002A51CA" w:rsidRDefault="00E155F2" w:rsidP="00D15A00">
            <w:pPr>
              <w:keepNext/>
              <w:spacing w:before="40" w:after="40" w:line="280" w:lineRule="exact"/>
              <w:rPr>
                <w:rFonts w:eastAsia="Times New Roman"/>
                <w:sz w:val="17"/>
                <w:szCs w:val="17"/>
              </w:rPr>
            </w:pPr>
            <w:r>
              <w:rPr>
                <w:rFonts w:eastAsia="Times New Roman"/>
                <w:sz w:val="17"/>
                <w:szCs w:val="17"/>
              </w:rPr>
              <w:t>9</w:t>
            </w:r>
            <w:r w:rsidR="00585E4C">
              <w:rPr>
                <w:rFonts w:eastAsia="Times New Roman"/>
                <w:sz w:val="17"/>
                <w:szCs w:val="17"/>
              </w:rPr>
              <w:t>.</w:t>
            </w:r>
            <w:r>
              <w:rPr>
                <w:rFonts w:eastAsia="Times New Roman"/>
                <w:sz w:val="17"/>
                <w:szCs w:val="17"/>
              </w:rPr>
              <w:t>1</w:t>
            </w:r>
          </w:p>
          <w:p w:rsidR="000723C6" w:rsidRPr="003B0793" w:rsidRDefault="00AF0752" w:rsidP="00585E4C">
            <w:pPr>
              <w:keepNext/>
              <w:spacing w:before="40" w:after="40" w:line="280" w:lineRule="exact"/>
              <w:rPr>
                <w:rFonts w:eastAsia="Times New Roman"/>
                <w:sz w:val="17"/>
                <w:szCs w:val="17"/>
              </w:rPr>
            </w:pPr>
            <w:r>
              <w:rPr>
                <w:rFonts w:eastAsia="Times New Roman"/>
                <w:sz w:val="17"/>
                <w:szCs w:val="17"/>
              </w:rPr>
              <w:t>n/a</w:t>
            </w:r>
          </w:p>
        </w:tc>
        <w:tc>
          <w:tcPr>
            <w:tcW w:w="1525" w:type="dxa"/>
          </w:tcPr>
          <w:p w:rsidR="002A51CA" w:rsidRDefault="00873968" w:rsidP="00D15A00">
            <w:pPr>
              <w:keepNext/>
              <w:spacing w:before="40" w:after="40" w:line="280" w:lineRule="exact"/>
              <w:rPr>
                <w:rFonts w:eastAsia="Times New Roman"/>
                <w:sz w:val="17"/>
                <w:szCs w:val="17"/>
              </w:rPr>
            </w:pPr>
            <w:r>
              <w:rPr>
                <w:rFonts w:eastAsia="Times New Roman"/>
                <w:sz w:val="17"/>
                <w:szCs w:val="17"/>
              </w:rPr>
              <w:t>14.</w:t>
            </w:r>
            <w:r w:rsidR="006C706D">
              <w:rPr>
                <w:rFonts w:eastAsia="Times New Roman"/>
                <w:sz w:val="17"/>
                <w:szCs w:val="17"/>
              </w:rPr>
              <w:t>9</w:t>
            </w:r>
          </w:p>
          <w:p w:rsidR="000723C6" w:rsidRPr="003B0793" w:rsidRDefault="00AF0752" w:rsidP="00D15A00">
            <w:pPr>
              <w:keepNext/>
              <w:spacing w:before="40" w:after="40" w:line="280" w:lineRule="exact"/>
              <w:rPr>
                <w:rFonts w:eastAsia="Times New Roman"/>
                <w:sz w:val="17"/>
                <w:szCs w:val="17"/>
              </w:rPr>
            </w:pPr>
            <w:r>
              <w:rPr>
                <w:rFonts w:eastAsia="Times New Roman"/>
                <w:sz w:val="17"/>
                <w:szCs w:val="17"/>
              </w:rPr>
              <w:t>n/a</w:t>
            </w:r>
          </w:p>
        </w:tc>
      </w:tr>
      <w:tr w:rsidR="002A51CA" w:rsidRPr="003B0793" w:rsidTr="00D15A00">
        <w:tc>
          <w:tcPr>
            <w:tcW w:w="6204" w:type="dxa"/>
          </w:tcPr>
          <w:p w:rsidR="002A51CA" w:rsidRPr="003B0793" w:rsidRDefault="002A51CA" w:rsidP="00D15A00">
            <w:pPr>
              <w:keepNext/>
              <w:spacing w:after="160" w:line="280" w:lineRule="exact"/>
              <w:rPr>
                <w:rFonts w:eastAsia="Times New Roman"/>
                <w:b/>
                <w:sz w:val="17"/>
                <w:szCs w:val="17"/>
              </w:rPr>
            </w:pPr>
            <w:r w:rsidRPr="003B0793">
              <w:rPr>
                <w:rFonts w:eastAsia="Times New Roman"/>
                <w:b/>
                <w:sz w:val="17"/>
                <w:szCs w:val="17"/>
              </w:rPr>
              <w:t>Sub-Total Bilateral</w:t>
            </w:r>
          </w:p>
        </w:tc>
        <w:tc>
          <w:tcPr>
            <w:tcW w:w="992" w:type="dxa"/>
          </w:tcPr>
          <w:p w:rsidR="002A51CA" w:rsidRPr="00585E4C" w:rsidRDefault="00326DDC" w:rsidP="00307AF8">
            <w:pPr>
              <w:keepNext/>
              <w:spacing w:after="160" w:line="280" w:lineRule="exact"/>
              <w:rPr>
                <w:rFonts w:eastAsia="Times New Roman"/>
                <w:b/>
                <w:sz w:val="17"/>
                <w:szCs w:val="17"/>
              </w:rPr>
            </w:pPr>
            <w:r>
              <w:rPr>
                <w:rFonts w:eastAsia="Times New Roman"/>
                <w:b/>
                <w:sz w:val="17"/>
                <w:szCs w:val="17"/>
              </w:rPr>
              <w:t>42.1</w:t>
            </w:r>
          </w:p>
        </w:tc>
        <w:tc>
          <w:tcPr>
            <w:tcW w:w="1525" w:type="dxa"/>
          </w:tcPr>
          <w:p w:rsidR="002A51CA" w:rsidRPr="00585E4C" w:rsidRDefault="00326DDC" w:rsidP="00873968">
            <w:pPr>
              <w:keepNext/>
              <w:spacing w:after="160" w:line="280" w:lineRule="exact"/>
              <w:rPr>
                <w:rFonts w:eastAsia="Times New Roman"/>
                <w:b/>
                <w:sz w:val="17"/>
                <w:szCs w:val="17"/>
              </w:rPr>
            </w:pPr>
            <w:r>
              <w:rPr>
                <w:rFonts w:eastAsia="Times New Roman"/>
                <w:b/>
                <w:sz w:val="17"/>
                <w:szCs w:val="17"/>
              </w:rPr>
              <w:t>69.0</w:t>
            </w:r>
          </w:p>
        </w:tc>
      </w:tr>
      <w:tr w:rsidR="002A51CA" w:rsidRPr="003B0793" w:rsidTr="00D15A00">
        <w:tc>
          <w:tcPr>
            <w:tcW w:w="6204" w:type="dxa"/>
          </w:tcPr>
          <w:p w:rsidR="002A51CA" w:rsidRPr="003B0793" w:rsidRDefault="002A51CA" w:rsidP="00D15A00">
            <w:pPr>
              <w:keepNext/>
              <w:spacing w:before="40" w:after="40" w:line="280" w:lineRule="exact"/>
              <w:rPr>
                <w:rFonts w:eastAsia="Times New Roman"/>
                <w:sz w:val="17"/>
                <w:szCs w:val="17"/>
              </w:rPr>
            </w:pPr>
            <w:r w:rsidRPr="003B0793">
              <w:rPr>
                <w:rFonts w:eastAsia="Times New Roman"/>
                <w:sz w:val="17"/>
                <w:szCs w:val="17"/>
              </w:rPr>
              <w:t>Regional and Global</w:t>
            </w:r>
            <w:r w:rsidR="00AF0752">
              <w:rPr>
                <w:rStyle w:val="EndnoteReference"/>
                <w:rFonts w:eastAsia="Times New Roman"/>
                <w:szCs w:val="17"/>
              </w:rPr>
              <w:endnoteReference w:id="4"/>
            </w:r>
          </w:p>
        </w:tc>
        <w:tc>
          <w:tcPr>
            <w:tcW w:w="992" w:type="dxa"/>
          </w:tcPr>
          <w:p w:rsidR="002A51CA" w:rsidRPr="003B0793" w:rsidRDefault="00AF0752" w:rsidP="00A009C5">
            <w:pPr>
              <w:keepNext/>
              <w:spacing w:before="40" w:after="40" w:line="280" w:lineRule="exact"/>
              <w:rPr>
                <w:rFonts w:eastAsia="Times New Roman"/>
                <w:sz w:val="17"/>
                <w:szCs w:val="17"/>
              </w:rPr>
            </w:pPr>
            <w:r>
              <w:rPr>
                <w:rFonts w:eastAsia="Times New Roman"/>
                <w:sz w:val="17"/>
                <w:szCs w:val="17"/>
              </w:rPr>
              <w:t>18.0</w:t>
            </w:r>
          </w:p>
        </w:tc>
        <w:tc>
          <w:tcPr>
            <w:tcW w:w="1525" w:type="dxa"/>
          </w:tcPr>
          <w:p w:rsidR="002A51CA" w:rsidRPr="003B0793" w:rsidRDefault="00AF0752" w:rsidP="00D15A00">
            <w:pPr>
              <w:keepNext/>
              <w:spacing w:before="40" w:after="40" w:line="280" w:lineRule="exact"/>
              <w:rPr>
                <w:rFonts w:eastAsia="Times New Roman"/>
                <w:sz w:val="17"/>
                <w:szCs w:val="17"/>
              </w:rPr>
            </w:pPr>
            <w:r>
              <w:rPr>
                <w:rFonts w:eastAsia="Times New Roman"/>
                <w:sz w:val="17"/>
                <w:szCs w:val="17"/>
              </w:rPr>
              <w:t>29.5</w:t>
            </w:r>
          </w:p>
        </w:tc>
      </w:tr>
      <w:tr w:rsidR="002A51CA" w:rsidRPr="003B0793" w:rsidTr="00D15A00">
        <w:tc>
          <w:tcPr>
            <w:tcW w:w="6204" w:type="dxa"/>
          </w:tcPr>
          <w:p w:rsidR="002A51CA" w:rsidRPr="003B0793" w:rsidRDefault="002A51CA" w:rsidP="00D15A00">
            <w:pPr>
              <w:keepNext/>
              <w:spacing w:before="40" w:after="40" w:line="280" w:lineRule="exact"/>
              <w:rPr>
                <w:rFonts w:eastAsia="Times New Roman"/>
                <w:sz w:val="17"/>
                <w:szCs w:val="17"/>
              </w:rPr>
            </w:pPr>
            <w:r w:rsidRPr="003B0793">
              <w:rPr>
                <w:rFonts w:eastAsia="Times New Roman"/>
                <w:sz w:val="17"/>
                <w:szCs w:val="17"/>
              </w:rPr>
              <w:t>Other Government Departments</w:t>
            </w:r>
          </w:p>
        </w:tc>
        <w:tc>
          <w:tcPr>
            <w:tcW w:w="992" w:type="dxa"/>
          </w:tcPr>
          <w:p w:rsidR="002A51CA" w:rsidRPr="003B0793" w:rsidRDefault="00FF024D" w:rsidP="00D15A00">
            <w:pPr>
              <w:keepNext/>
              <w:spacing w:before="40" w:after="40" w:line="280" w:lineRule="exact"/>
              <w:rPr>
                <w:rFonts w:eastAsia="Times New Roman"/>
                <w:sz w:val="17"/>
                <w:szCs w:val="17"/>
              </w:rPr>
            </w:pPr>
            <w:r>
              <w:rPr>
                <w:rFonts w:eastAsia="Times New Roman"/>
                <w:sz w:val="17"/>
                <w:szCs w:val="17"/>
              </w:rPr>
              <w:t>0.9</w:t>
            </w:r>
          </w:p>
        </w:tc>
        <w:tc>
          <w:tcPr>
            <w:tcW w:w="1525" w:type="dxa"/>
          </w:tcPr>
          <w:p w:rsidR="002A51CA" w:rsidRPr="003B0793" w:rsidRDefault="004B2D6E" w:rsidP="00D15A00">
            <w:pPr>
              <w:keepNext/>
              <w:spacing w:before="40" w:after="40" w:line="280" w:lineRule="exact"/>
              <w:rPr>
                <w:rFonts w:eastAsia="Times New Roman"/>
                <w:sz w:val="17"/>
                <w:szCs w:val="17"/>
              </w:rPr>
            </w:pPr>
            <w:r>
              <w:rPr>
                <w:rFonts w:eastAsia="Times New Roman"/>
                <w:sz w:val="17"/>
                <w:szCs w:val="17"/>
              </w:rPr>
              <w:t>1.</w:t>
            </w:r>
            <w:r w:rsidR="00A009C5">
              <w:rPr>
                <w:rFonts w:eastAsia="Times New Roman"/>
                <w:sz w:val="17"/>
                <w:szCs w:val="17"/>
              </w:rPr>
              <w:t>5</w:t>
            </w:r>
          </w:p>
        </w:tc>
      </w:tr>
      <w:tr w:rsidR="002A51CA" w:rsidRPr="003B0793" w:rsidTr="00D15A00">
        <w:tc>
          <w:tcPr>
            <w:tcW w:w="6204" w:type="dxa"/>
          </w:tcPr>
          <w:p w:rsidR="002A51CA" w:rsidRPr="003B0793" w:rsidRDefault="002A51CA" w:rsidP="00D15A00">
            <w:pPr>
              <w:keepNext/>
              <w:spacing w:after="160" w:line="280" w:lineRule="exact"/>
              <w:rPr>
                <w:rFonts w:eastAsia="Times New Roman"/>
                <w:b/>
                <w:sz w:val="17"/>
                <w:szCs w:val="17"/>
              </w:rPr>
            </w:pPr>
            <w:r w:rsidRPr="003B0793">
              <w:rPr>
                <w:rFonts w:eastAsia="Times New Roman"/>
                <w:b/>
                <w:sz w:val="17"/>
                <w:szCs w:val="17"/>
              </w:rPr>
              <w:t>Total ODA Expenditure</w:t>
            </w:r>
          </w:p>
        </w:tc>
        <w:tc>
          <w:tcPr>
            <w:tcW w:w="992" w:type="dxa"/>
          </w:tcPr>
          <w:p w:rsidR="002A51CA" w:rsidRPr="00585E4C" w:rsidRDefault="00307AF8" w:rsidP="00D15A00">
            <w:pPr>
              <w:keepNext/>
              <w:spacing w:after="160" w:line="280" w:lineRule="exact"/>
              <w:rPr>
                <w:rFonts w:eastAsia="Times New Roman"/>
                <w:b/>
                <w:sz w:val="17"/>
                <w:szCs w:val="17"/>
              </w:rPr>
            </w:pPr>
            <w:r>
              <w:rPr>
                <w:rFonts w:eastAsia="Times New Roman"/>
                <w:b/>
                <w:sz w:val="17"/>
                <w:szCs w:val="17"/>
              </w:rPr>
              <w:t>61.0</w:t>
            </w:r>
          </w:p>
        </w:tc>
        <w:tc>
          <w:tcPr>
            <w:tcW w:w="1525" w:type="dxa"/>
          </w:tcPr>
          <w:p w:rsidR="002A51CA" w:rsidRPr="003B0793" w:rsidRDefault="004D6DEB" w:rsidP="00D15A00">
            <w:pPr>
              <w:keepNext/>
              <w:spacing w:after="160" w:line="280" w:lineRule="exact"/>
              <w:rPr>
                <w:rFonts w:eastAsia="Times New Roman"/>
                <w:sz w:val="17"/>
                <w:szCs w:val="17"/>
              </w:rPr>
            </w:pPr>
            <w:r>
              <w:rPr>
                <w:rFonts w:eastAsia="Times New Roman"/>
                <w:sz w:val="17"/>
                <w:szCs w:val="17"/>
              </w:rPr>
              <w:t>100.00</w:t>
            </w:r>
          </w:p>
        </w:tc>
      </w:tr>
    </w:tbl>
    <w:p w:rsidR="002A51CA" w:rsidRPr="002A51CA" w:rsidRDefault="002A51CA" w:rsidP="002A51CA">
      <w:pPr>
        <w:pStyle w:val="ListBullet"/>
        <w:tabs>
          <w:tab w:val="clear" w:pos="284"/>
        </w:tabs>
        <w:spacing w:before="360"/>
        <w:rPr>
          <w:rFonts w:asciiTheme="majorHAnsi" w:eastAsiaTheme="majorEastAsia" w:hAnsiTheme="majorHAnsi" w:cstheme="majorBidi"/>
          <w:caps/>
          <w:color w:val="495965" w:themeColor="text2"/>
          <w:sz w:val="38"/>
          <w:szCs w:val="26"/>
          <w:lang w:val="en-GB" w:eastAsia="en-US"/>
        </w:rPr>
      </w:pPr>
      <w:r w:rsidRPr="002A51CA">
        <w:rPr>
          <w:rFonts w:asciiTheme="majorHAnsi" w:eastAsiaTheme="majorEastAsia" w:hAnsiTheme="majorHAnsi" w:cstheme="majorBidi"/>
          <w:caps/>
          <w:color w:val="495965" w:themeColor="text2"/>
          <w:sz w:val="38"/>
          <w:szCs w:val="26"/>
          <w:lang w:val="en-GB" w:eastAsia="en-US"/>
        </w:rPr>
        <w:t>Progress towards Objectives</w:t>
      </w:r>
      <w:r w:rsidRPr="002A51CA">
        <w:rPr>
          <w:rFonts w:asciiTheme="majorHAnsi" w:eastAsiaTheme="majorEastAsia" w:hAnsiTheme="majorHAnsi" w:cstheme="majorBidi"/>
          <w:caps/>
          <w:color w:val="495965" w:themeColor="text2"/>
          <w:sz w:val="38"/>
          <w:szCs w:val="26"/>
          <w:lang w:val="en-GB" w:eastAsia="en-US"/>
        </w:rPr>
        <w:tab/>
      </w:r>
    </w:p>
    <w:p w:rsidR="00251552" w:rsidRPr="00251552" w:rsidRDefault="00251552" w:rsidP="00251552">
      <w:r w:rsidRPr="004F2B00">
        <w:t>Table 2</w:t>
      </w:r>
      <w:r>
        <w:t xml:space="preserve"> summarises progress against Australia’s four objectives in Va</w:t>
      </w:r>
      <w:r w:rsidR="004F2B00">
        <w:t xml:space="preserve">nuatu as articulated in the </w:t>
      </w:r>
      <w:r w:rsidR="004F2B00" w:rsidRPr="004F2B00">
        <w:rPr>
          <w:i/>
        </w:rPr>
        <w:t>Aid </w:t>
      </w:r>
      <w:r w:rsidRPr="004F2B00">
        <w:rPr>
          <w:i/>
        </w:rPr>
        <w:t>Investment Plan 2015-16 to 2018-19</w:t>
      </w:r>
      <w:r>
        <w:t xml:space="preserve">.  </w:t>
      </w:r>
    </w:p>
    <w:p w:rsidR="002A51CA" w:rsidRPr="008C2F58" w:rsidRDefault="002A51CA" w:rsidP="002A51CA">
      <w:pPr>
        <w:rPr>
          <w:b/>
          <w:sz w:val="24"/>
        </w:rPr>
      </w:pPr>
      <w:r w:rsidRPr="008C2F58">
        <w:rPr>
          <w:b/>
          <w:sz w:val="24"/>
        </w:rPr>
        <w:t xml:space="preserve">Table </w:t>
      </w:r>
      <w:r w:rsidRPr="008C2F58">
        <w:rPr>
          <w:b/>
          <w:sz w:val="24"/>
        </w:rPr>
        <w:fldChar w:fldCharType="begin"/>
      </w:r>
      <w:r w:rsidRPr="008C2F58">
        <w:rPr>
          <w:b/>
          <w:sz w:val="24"/>
        </w:rPr>
        <w:instrText xml:space="preserve"> SEQ Table \* ARABIC </w:instrText>
      </w:r>
      <w:r w:rsidRPr="008C2F58">
        <w:rPr>
          <w:b/>
          <w:sz w:val="24"/>
        </w:rPr>
        <w:fldChar w:fldCharType="separate"/>
      </w:r>
      <w:r w:rsidR="00F6456E">
        <w:rPr>
          <w:b/>
          <w:noProof/>
          <w:sz w:val="24"/>
        </w:rPr>
        <w:t>2</w:t>
      </w:r>
      <w:r w:rsidRPr="008C2F58">
        <w:rPr>
          <w:b/>
          <w:noProof/>
          <w:sz w:val="24"/>
        </w:rPr>
        <w:fldChar w:fldCharType="end"/>
      </w:r>
      <w:r w:rsidRPr="008C2F58">
        <w:rPr>
          <w:b/>
          <w:sz w:val="24"/>
        </w:rPr>
        <w:t xml:space="preserve"> Rating of the Program's Progress towards Australia’s Aid Objectives</w:t>
      </w:r>
    </w:p>
    <w:tbl>
      <w:tblPr>
        <w:tblStyle w:val="APPR"/>
        <w:tblW w:w="5000" w:type="pct"/>
        <w:tblLook w:val="0000" w:firstRow="0" w:lastRow="0" w:firstColumn="0" w:lastColumn="0" w:noHBand="0" w:noVBand="0"/>
      </w:tblPr>
      <w:tblGrid>
        <w:gridCol w:w="7046"/>
        <w:gridCol w:w="1157"/>
        <w:gridCol w:w="479"/>
        <w:gridCol w:w="1228"/>
      </w:tblGrid>
      <w:tr w:rsidR="002A51CA" w:rsidRPr="003B0793" w:rsidTr="00D15A00">
        <w:trPr>
          <w:cnfStyle w:val="000000010000" w:firstRow="0" w:lastRow="0" w:firstColumn="0" w:lastColumn="0" w:oddVBand="0" w:evenVBand="0" w:oddHBand="0" w:evenHBand="1" w:firstRowFirstColumn="0" w:firstRowLastColumn="0" w:lastRowFirstColumn="0" w:lastRowLastColumn="0"/>
          <w:trHeight w:val="651"/>
        </w:trPr>
        <w:tc>
          <w:tcPr>
            <w:tcW w:w="6029" w:type="dxa"/>
          </w:tcPr>
          <w:p w:rsidR="002A51CA" w:rsidRPr="003B0793" w:rsidRDefault="002A51CA" w:rsidP="00D15A00">
            <w:pPr>
              <w:keepLines/>
              <w:spacing w:before="80" w:after="80" w:line="200" w:lineRule="atLeast"/>
              <w:rPr>
                <w:rFonts w:asciiTheme="minorHAnsi" w:eastAsia="Times New Roman" w:hAnsiTheme="minorHAnsi"/>
                <w:b/>
                <w:iCs/>
                <w:szCs w:val="17"/>
                <w:lang w:eastAsia="en-US"/>
              </w:rPr>
            </w:pPr>
            <w:r w:rsidRPr="003B0793">
              <w:rPr>
                <w:rFonts w:eastAsia="Times New Roman"/>
                <w:b/>
                <w:iCs/>
                <w:noProof/>
                <w:szCs w:val="17"/>
                <w:lang w:val="en-AU"/>
              </w:rPr>
              <w:drawing>
                <wp:anchor distT="0" distB="0" distL="114300" distR="114300" simplePos="0" relativeHeight="251674624" behindDoc="0" locked="0" layoutInCell="1" allowOverlap="1" wp14:anchorId="7BEAE47D" wp14:editId="7D4C9082">
                  <wp:simplePos x="0" y="0"/>
                  <wp:positionH relativeFrom="column">
                    <wp:posOffset>0</wp:posOffset>
                  </wp:positionH>
                  <wp:positionV relativeFrom="paragraph">
                    <wp:posOffset>0</wp:posOffset>
                  </wp:positionV>
                  <wp:extent cx="1857375" cy="228600"/>
                  <wp:effectExtent l="0" t="0" r="9525" b="0"/>
                  <wp:wrapNone/>
                  <wp:docPr id="2" name="Picture 2"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0793">
              <w:rPr>
                <w:rFonts w:asciiTheme="minorHAnsi" w:eastAsia="Times New Roman" w:hAnsiTheme="minorHAnsi"/>
                <w:b/>
                <w:iCs/>
                <w:szCs w:val="17"/>
                <w:lang w:eastAsia="en-US"/>
              </w:rPr>
              <w:t>Objective</w:t>
            </w:r>
          </w:p>
        </w:tc>
        <w:tc>
          <w:tcPr>
            <w:tcW w:w="972" w:type="dxa"/>
          </w:tcPr>
          <w:p w:rsidR="002A51CA" w:rsidRPr="003B0793" w:rsidRDefault="002A51CA" w:rsidP="003B0793">
            <w:pPr>
              <w:keepLines/>
              <w:spacing w:before="80" w:after="80" w:line="200" w:lineRule="atLeast"/>
              <w:jc w:val="center"/>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Previous Rating</w:t>
            </w:r>
          </w:p>
        </w:tc>
        <w:tc>
          <w:tcPr>
            <w:tcW w:w="388" w:type="dxa"/>
          </w:tcPr>
          <w:p w:rsidR="002A51CA" w:rsidRPr="003B0793" w:rsidRDefault="002A51CA" w:rsidP="003B0793">
            <w:pPr>
              <w:keepLines/>
              <w:spacing w:before="80" w:after="80" w:line="200" w:lineRule="atLeast"/>
              <w:jc w:val="center"/>
              <w:rPr>
                <w:rFonts w:asciiTheme="minorHAnsi" w:eastAsia="Times New Roman" w:hAnsiTheme="minorHAnsi"/>
                <w:b/>
                <w:iCs/>
                <w:szCs w:val="17"/>
                <w:lang w:eastAsia="en-US"/>
              </w:rPr>
            </w:pPr>
          </w:p>
        </w:tc>
        <w:tc>
          <w:tcPr>
            <w:tcW w:w="1021" w:type="dxa"/>
          </w:tcPr>
          <w:p w:rsidR="002A51CA" w:rsidRPr="003B0793" w:rsidRDefault="002A51CA" w:rsidP="003B0793">
            <w:pPr>
              <w:keepLines/>
              <w:spacing w:before="80" w:after="80" w:line="200" w:lineRule="atLeast"/>
              <w:jc w:val="center"/>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Current Rating</w:t>
            </w:r>
          </w:p>
        </w:tc>
      </w:tr>
      <w:tr w:rsidR="002A51CA" w:rsidRPr="003B0793" w:rsidTr="007D17E7">
        <w:trPr>
          <w:cnfStyle w:val="000000010000" w:firstRow="0" w:lastRow="0" w:firstColumn="0" w:lastColumn="0" w:oddVBand="0" w:evenVBand="0" w:oddHBand="0" w:evenHBand="1" w:firstRowFirstColumn="0" w:firstRowLastColumn="0" w:lastRowFirstColumn="0" w:lastRowLastColumn="0"/>
        </w:trPr>
        <w:tc>
          <w:tcPr>
            <w:tcW w:w="6029" w:type="dxa"/>
          </w:tcPr>
          <w:p w:rsidR="002A51CA" w:rsidRPr="003B0793" w:rsidRDefault="007424BD" w:rsidP="007424BD">
            <w:pPr>
              <w:keepLines/>
              <w:spacing w:before="40" w:after="40" w:line="200" w:lineRule="atLeast"/>
              <w:rPr>
                <w:rFonts w:asciiTheme="minorHAnsi" w:eastAsia="Times New Roman" w:hAnsiTheme="minorHAnsi"/>
                <w:iCs/>
                <w:szCs w:val="17"/>
                <w:lang w:eastAsia="en-US"/>
              </w:rPr>
            </w:pPr>
            <w:r>
              <w:rPr>
                <w:rFonts w:eastAsia="Times New Roman"/>
                <w:szCs w:val="17"/>
              </w:rPr>
              <w:t>Building resilient infrastructure and environment for economic opportunity</w:t>
            </w:r>
            <w:r w:rsidRPr="003B0793">
              <w:rPr>
                <w:rFonts w:asciiTheme="minorHAnsi" w:eastAsia="Times New Roman" w:hAnsiTheme="minorHAnsi"/>
                <w:iCs/>
                <w:szCs w:val="17"/>
                <w:lang w:eastAsia="en-US"/>
              </w:rPr>
              <w:t xml:space="preserve"> </w:t>
            </w:r>
          </w:p>
        </w:tc>
        <w:tc>
          <w:tcPr>
            <w:tcW w:w="972" w:type="dxa"/>
            <w:shd w:val="clear" w:color="auto" w:fill="auto"/>
            <w:noWrap/>
          </w:tcPr>
          <w:p w:rsidR="002A51CA" w:rsidRPr="00934B78" w:rsidRDefault="00F07AAD" w:rsidP="00D15A00">
            <w:pPr>
              <w:keepLines/>
              <w:spacing w:before="40" w:after="40" w:line="200" w:lineRule="atLeast"/>
              <w:jc w:val="center"/>
              <w:rPr>
                <w:rFonts w:asciiTheme="minorHAnsi" w:eastAsia="Times New Roman" w:hAnsiTheme="minorHAnsi"/>
                <w:iCs/>
                <w:color w:val="auto"/>
                <w:szCs w:val="17"/>
                <w:lang w:eastAsia="en-US"/>
              </w:rPr>
            </w:pPr>
            <w:r w:rsidRPr="00934B78">
              <w:rPr>
                <w:rFonts w:asciiTheme="minorHAnsi" w:eastAsia="Times New Roman" w:hAnsiTheme="minorHAnsi"/>
                <w:iCs/>
                <w:color w:val="auto"/>
                <w:szCs w:val="17"/>
                <w:lang w:eastAsia="en-US"/>
              </w:rPr>
              <w:t>n/a</w:t>
            </w:r>
          </w:p>
        </w:tc>
        <w:tc>
          <w:tcPr>
            <w:tcW w:w="388" w:type="dxa"/>
          </w:tcPr>
          <w:p w:rsidR="002A51CA" w:rsidRPr="003B0793" w:rsidRDefault="002A51CA" w:rsidP="00D15A00">
            <w:pPr>
              <w:keepLines/>
              <w:spacing w:before="40" w:after="40" w:line="200" w:lineRule="atLeast"/>
              <w:jc w:val="center"/>
              <w:rPr>
                <w:rFonts w:asciiTheme="minorHAnsi" w:eastAsia="Times New Roman" w:hAnsiTheme="minorHAnsi"/>
                <w:iCs/>
                <w:color w:val="FFFFFF" w:themeColor="background1"/>
                <w:szCs w:val="17"/>
                <w:lang w:eastAsia="en-US"/>
              </w:rPr>
            </w:pPr>
          </w:p>
        </w:tc>
        <w:tc>
          <w:tcPr>
            <w:tcW w:w="1021" w:type="dxa"/>
            <w:shd w:val="clear" w:color="auto" w:fill="009900"/>
            <w:noWrap/>
          </w:tcPr>
          <w:p w:rsidR="002A51CA" w:rsidRPr="003B0793" w:rsidRDefault="005E4478" w:rsidP="00D15A00">
            <w:pPr>
              <w:keepLines/>
              <w:spacing w:before="40" w:after="40" w:line="200" w:lineRule="atLeast"/>
              <w:jc w:val="center"/>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lang w:eastAsia="en-US"/>
              </w:rPr>
              <w:t>Green</w:t>
            </w:r>
          </w:p>
        </w:tc>
      </w:tr>
      <w:tr w:rsidR="002A51CA" w:rsidRPr="003B0793" w:rsidTr="007D17E7">
        <w:trPr>
          <w:cnfStyle w:val="000000010000" w:firstRow="0" w:lastRow="0" w:firstColumn="0" w:lastColumn="0" w:oddVBand="0" w:evenVBand="0" w:oddHBand="0" w:evenHBand="1" w:firstRowFirstColumn="0" w:firstRowLastColumn="0" w:lastRowFirstColumn="0" w:lastRowLastColumn="0"/>
        </w:trPr>
        <w:tc>
          <w:tcPr>
            <w:tcW w:w="6029" w:type="dxa"/>
          </w:tcPr>
          <w:p w:rsidR="002A51CA" w:rsidRPr="003B0793" w:rsidRDefault="007424BD" w:rsidP="00D15A00">
            <w:pPr>
              <w:keepLines/>
              <w:spacing w:before="40" w:after="40" w:line="200" w:lineRule="atLeast"/>
              <w:rPr>
                <w:rFonts w:asciiTheme="minorHAnsi" w:eastAsia="Times New Roman" w:hAnsiTheme="minorHAnsi"/>
                <w:iCs/>
                <w:szCs w:val="17"/>
                <w:lang w:eastAsia="en-US"/>
              </w:rPr>
            </w:pPr>
            <w:r>
              <w:rPr>
                <w:rFonts w:eastAsia="Times New Roman"/>
                <w:szCs w:val="17"/>
              </w:rPr>
              <w:t>Improving early education and essential health services</w:t>
            </w:r>
          </w:p>
        </w:tc>
        <w:tc>
          <w:tcPr>
            <w:tcW w:w="972" w:type="dxa"/>
            <w:shd w:val="clear" w:color="auto" w:fill="E36C0A"/>
            <w:noWrap/>
          </w:tcPr>
          <w:p w:rsidR="002A51CA" w:rsidRPr="003B0793" w:rsidRDefault="002A51CA" w:rsidP="00D15A00">
            <w:pPr>
              <w:keepLines/>
              <w:spacing w:before="40" w:after="40" w:line="200" w:lineRule="atLeast"/>
              <w:jc w:val="center"/>
              <w:rPr>
                <w:rFonts w:asciiTheme="minorHAnsi" w:eastAsia="Times New Roman" w:hAnsiTheme="minorHAnsi"/>
                <w:iCs/>
                <w:color w:val="FFFFFF" w:themeColor="background1"/>
                <w:szCs w:val="17"/>
                <w:lang w:eastAsia="en-US"/>
              </w:rPr>
            </w:pPr>
            <w:r w:rsidRPr="003B0793">
              <w:rPr>
                <w:rFonts w:asciiTheme="minorHAnsi" w:eastAsia="Times New Roman" w:hAnsiTheme="minorHAnsi"/>
                <w:iCs/>
                <w:color w:val="FFFFFF" w:themeColor="background1"/>
                <w:szCs w:val="17"/>
                <w:lang w:eastAsia="en-US"/>
              </w:rPr>
              <w:t>Amber</w:t>
            </w:r>
          </w:p>
        </w:tc>
        <w:tc>
          <w:tcPr>
            <w:tcW w:w="388" w:type="dxa"/>
          </w:tcPr>
          <w:p w:rsidR="002A51CA" w:rsidRPr="003B0793" w:rsidRDefault="002A51CA" w:rsidP="00D15A00">
            <w:pPr>
              <w:keepLines/>
              <w:spacing w:before="40" w:after="40" w:line="200" w:lineRule="atLeast"/>
              <w:jc w:val="center"/>
              <w:rPr>
                <w:rFonts w:asciiTheme="minorHAnsi" w:eastAsia="Times New Roman" w:hAnsiTheme="minorHAnsi"/>
                <w:iCs/>
                <w:color w:val="FFFFFF" w:themeColor="background1"/>
                <w:szCs w:val="17"/>
                <w:lang w:eastAsia="en-US"/>
              </w:rPr>
            </w:pPr>
          </w:p>
        </w:tc>
        <w:tc>
          <w:tcPr>
            <w:tcW w:w="1021" w:type="dxa"/>
            <w:shd w:val="clear" w:color="auto" w:fill="009900"/>
            <w:noWrap/>
          </w:tcPr>
          <w:p w:rsidR="002A51CA" w:rsidRPr="003B0793" w:rsidRDefault="002A51CA" w:rsidP="00D15A00">
            <w:pPr>
              <w:keepLines/>
              <w:spacing w:before="40" w:after="40" w:line="200" w:lineRule="atLeast"/>
              <w:jc w:val="center"/>
              <w:rPr>
                <w:rFonts w:asciiTheme="minorHAnsi" w:eastAsia="Times New Roman" w:hAnsiTheme="minorHAnsi"/>
                <w:iCs/>
                <w:color w:val="FFFFFF" w:themeColor="background1"/>
                <w:szCs w:val="17"/>
                <w:lang w:eastAsia="en-US"/>
              </w:rPr>
            </w:pPr>
            <w:r w:rsidRPr="003B0793">
              <w:rPr>
                <w:rFonts w:asciiTheme="minorHAnsi" w:eastAsia="Times New Roman" w:hAnsiTheme="minorHAnsi"/>
                <w:iCs/>
                <w:color w:val="FFFFFF" w:themeColor="background1"/>
                <w:szCs w:val="17"/>
                <w:lang w:eastAsia="en-US"/>
              </w:rPr>
              <w:t>Green</w:t>
            </w:r>
          </w:p>
        </w:tc>
      </w:tr>
      <w:tr w:rsidR="002A51CA" w:rsidRPr="003B0793" w:rsidTr="007D17E7">
        <w:trPr>
          <w:cnfStyle w:val="000000010000" w:firstRow="0" w:lastRow="0" w:firstColumn="0" w:lastColumn="0" w:oddVBand="0" w:evenVBand="0" w:oddHBand="0" w:evenHBand="1" w:firstRowFirstColumn="0" w:firstRowLastColumn="0" w:lastRowFirstColumn="0" w:lastRowLastColumn="0"/>
        </w:trPr>
        <w:tc>
          <w:tcPr>
            <w:tcW w:w="6029" w:type="dxa"/>
          </w:tcPr>
          <w:p w:rsidR="002A51CA" w:rsidRPr="003B0793" w:rsidRDefault="007424BD" w:rsidP="007424BD">
            <w:pPr>
              <w:keepNext/>
              <w:spacing w:before="40" w:after="40" w:line="280" w:lineRule="exact"/>
              <w:rPr>
                <w:rFonts w:asciiTheme="minorHAnsi" w:eastAsia="Times New Roman" w:hAnsiTheme="minorHAnsi"/>
                <w:iCs/>
                <w:szCs w:val="17"/>
                <w:lang w:eastAsia="en-US"/>
              </w:rPr>
            </w:pPr>
            <w:r>
              <w:rPr>
                <w:rFonts w:eastAsia="Times New Roman"/>
                <w:szCs w:val="17"/>
              </w:rPr>
              <w:t>Improving community safety and resilience</w:t>
            </w:r>
            <w:r w:rsidRPr="003B0793">
              <w:rPr>
                <w:rFonts w:eastAsia="Times New Roman"/>
                <w:szCs w:val="17"/>
              </w:rPr>
              <w:t xml:space="preserve"> </w:t>
            </w:r>
          </w:p>
        </w:tc>
        <w:tc>
          <w:tcPr>
            <w:tcW w:w="972" w:type="dxa"/>
            <w:shd w:val="clear" w:color="auto" w:fill="auto"/>
            <w:noWrap/>
          </w:tcPr>
          <w:p w:rsidR="002A51CA" w:rsidRPr="00934B78" w:rsidRDefault="002A51CA" w:rsidP="00D15A00">
            <w:pPr>
              <w:keepLines/>
              <w:spacing w:before="40" w:after="40" w:line="200" w:lineRule="atLeast"/>
              <w:jc w:val="center"/>
              <w:rPr>
                <w:rFonts w:asciiTheme="minorHAnsi" w:eastAsia="Times New Roman" w:hAnsiTheme="minorHAnsi"/>
                <w:iCs/>
                <w:color w:val="auto"/>
                <w:szCs w:val="17"/>
                <w:lang w:eastAsia="en-US"/>
              </w:rPr>
            </w:pPr>
            <w:r w:rsidRPr="00934B78">
              <w:rPr>
                <w:rFonts w:asciiTheme="minorHAnsi" w:eastAsia="Times New Roman" w:hAnsiTheme="minorHAnsi"/>
                <w:iCs/>
                <w:color w:val="auto"/>
                <w:szCs w:val="17"/>
                <w:lang w:eastAsia="en-US"/>
              </w:rPr>
              <w:t>n/a</w:t>
            </w:r>
          </w:p>
        </w:tc>
        <w:tc>
          <w:tcPr>
            <w:tcW w:w="388" w:type="dxa"/>
          </w:tcPr>
          <w:p w:rsidR="002A51CA" w:rsidRPr="003B0793" w:rsidRDefault="002A51CA" w:rsidP="00D15A00">
            <w:pPr>
              <w:keepLines/>
              <w:spacing w:before="40" w:after="40" w:line="200" w:lineRule="atLeast"/>
              <w:jc w:val="center"/>
              <w:rPr>
                <w:rFonts w:asciiTheme="minorHAnsi" w:eastAsia="Times New Roman" w:hAnsiTheme="minorHAnsi"/>
                <w:iCs/>
                <w:color w:val="FFFFFF" w:themeColor="background1"/>
                <w:szCs w:val="17"/>
                <w:lang w:eastAsia="en-US"/>
              </w:rPr>
            </w:pPr>
          </w:p>
        </w:tc>
        <w:tc>
          <w:tcPr>
            <w:tcW w:w="1021" w:type="dxa"/>
            <w:shd w:val="clear" w:color="auto" w:fill="009900"/>
            <w:noWrap/>
          </w:tcPr>
          <w:p w:rsidR="002A51CA" w:rsidRPr="003B0793" w:rsidRDefault="005E73A5" w:rsidP="00D15A00">
            <w:pPr>
              <w:keepLines/>
              <w:spacing w:before="40" w:after="40" w:line="200" w:lineRule="atLeast"/>
              <w:jc w:val="center"/>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lang w:eastAsia="en-US"/>
              </w:rPr>
              <w:t>Green</w:t>
            </w:r>
          </w:p>
        </w:tc>
      </w:tr>
      <w:tr w:rsidR="003055AA" w:rsidRPr="003B0793" w:rsidTr="007D17E7">
        <w:trPr>
          <w:cnfStyle w:val="000000010000" w:firstRow="0" w:lastRow="0" w:firstColumn="0" w:lastColumn="0" w:oddVBand="0" w:evenVBand="0" w:oddHBand="0" w:evenHBand="1" w:firstRowFirstColumn="0" w:firstRowLastColumn="0" w:lastRowFirstColumn="0" w:lastRowLastColumn="0"/>
        </w:trPr>
        <w:tc>
          <w:tcPr>
            <w:tcW w:w="6029" w:type="dxa"/>
          </w:tcPr>
          <w:p w:rsidR="003055AA" w:rsidRPr="003B0793" w:rsidRDefault="007424BD" w:rsidP="00D15A00">
            <w:pPr>
              <w:keepLines/>
              <w:spacing w:before="40" w:after="40" w:line="200" w:lineRule="atLeast"/>
              <w:rPr>
                <w:rFonts w:eastAsia="Times New Roman"/>
                <w:iCs/>
                <w:szCs w:val="17"/>
              </w:rPr>
            </w:pPr>
            <w:r>
              <w:rPr>
                <w:rFonts w:eastAsia="Times New Roman"/>
                <w:szCs w:val="17"/>
              </w:rPr>
              <w:t>Supporting cyclone recovery and reconstruction</w:t>
            </w:r>
          </w:p>
        </w:tc>
        <w:tc>
          <w:tcPr>
            <w:tcW w:w="972" w:type="dxa"/>
            <w:shd w:val="clear" w:color="auto" w:fill="auto"/>
            <w:noWrap/>
          </w:tcPr>
          <w:p w:rsidR="003055AA" w:rsidRPr="00934B78" w:rsidRDefault="00F07AAD" w:rsidP="00D15A00">
            <w:pPr>
              <w:keepLines/>
              <w:spacing w:before="40" w:after="40" w:line="200" w:lineRule="atLeast"/>
              <w:jc w:val="center"/>
              <w:rPr>
                <w:rFonts w:asciiTheme="minorHAnsi" w:eastAsia="Times New Roman" w:hAnsiTheme="minorHAnsi"/>
                <w:iCs/>
                <w:color w:val="auto"/>
                <w:szCs w:val="17"/>
                <w:lang w:eastAsia="en-US"/>
              </w:rPr>
            </w:pPr>
            <w:r w:rsidRPr="00934B78">
              <w:rPr>
                <w:rFonts w:asciiTheme="minorHAnsi" w:eastAsia="Times New Roman" w:hAnsiTheme="minorHAnsi"/>
                <w:iCs/>
                <w:color w:val="auto"/>
                <w:szCs w:val="17"/>
                <w:lang w:eastAsia="en-US"/>
              </w:rPr>
              <w:t>n/a</w:t>
            </w:r>
          </w:p>
        </w:tc>
        <w:tc>
          <w:tcPr>
            <w:tcW w:w="388" w:type="dxa"/>
          </w:tcPr>
          <w:p w:rsidR="003055AA" w:rsidRPr="003B0793" w:rsidRDefault="003055AA" w:rsidP="00D15A00">
            <w:pPr>
              <w:keepLines/>
              <w:spacing w:before="40" w:after="40" w:line="200" w:lineRule="atLeast"/>
              <w:jc w:val="center"/>
              <w:rPr>
                <w:rFonts w:eastAsia="Times New Roman"/>
                <w:iCs/>
                <w:color w:val="FFFFFF" w:themeColor="background1"/>
                <w:szCs w:val="17"/>
              </w:rPr>
            </w:pPr>
          </w:p>
        </w:tc>
        <w:tc>
          <w:tcPr>
            <w:tcW w:w="1021" w:type="dxa"/>
            <w:shd w:val="clear" w:color="auto" w:fill="FF6600"/>
            <w:noWrap/>
          </w:tcPr>
          <w:p w:rsidR="003055AA" w:rsidRPr="003B0793" w:rsidRDefault="005E73A5" w:rsidP="00D15A00">
            <w:pPr>
              <w:keepLines/>
              <w:spacing w:before="40" w:after="40" w:line="200" w:lineRule="atLeast"/>
              <w:jc w:val="center"/>
              <w:rPr>
                <w:rFonts w:eastAsia="Times New Roman"/>
                <w:iCs/>
                <w:color w:val="FFFFFF" w:themeColor="background1"/>
                <w:szCs w:val="17"/>
              </w:rPr>
            </w:pPr>
            <w:r>
              <w:rPr>
                <w:rFonts w:eastAsia="Times New Roman"/>
                <w:iCs/>
                <w:color w:val="FFFFFF" w:themeColor="background1"/>
                <w:szCs w:val="17"/>
              </w:rPr>
              <w:t>Amber</w:t>
            </w:r>
          </w:p>
        </w:tc>
      </w:tr>
    </w:tbl>
    <w:p w:rsidR="002A51CA" w:rsidRPr="003B0793" w:rsidRDefault="002A51CA" w:rsidP="002A51CA">
      <w:pPr>
        <w:spacing w:before="20" w:after="20" w:line="180" w:lineRule="atLeast"/>
        <w:jc w:val="both"/>
        <w:rPr>
          <w:rFonts w:eastAsia="Times New Roman"/>
          <w:b/>
          <w:sz w:val="16"/>
          <w:szCs w:val="14"/>
        </w:rPr>
      </w:pPr>
      <w:r w:rsidRPr="003B0793">
        <w:rPr>
          <w:rFonts w:eastAsia="Times New Roman"/>
          <w:b/>
          <w:sz w:val="16"/>
          <w:szCs w:val="14"/>
        </w:rPr>
        <w:t xml:space="preserve">Note: </w:t>
      </w:r>
    </w:p>
    <w:p w:rsidR="002A51CA" w:rsidRPr="003B0793" w:rsidRDefault="002A51CA" w:rsidP="002A51CA">
      <w:pPr>
        <w:spacing w:before="20" w:after="20" w:line="180" w:lineRule="atLeast"/>
        <w:jc w:val="both"/>
        <w:rPr>
          <w:rFonts w:eastAsia="Times New Roman"/>
          <w:b/>
          <w:sz w:val="16"/>
          <w:szCs w:val="14"/>
        </w:rPr>
      </w:pPr>
      <w:r w:rsidRPr="003B0793">
        <w:rPr>
          <w:rFonts w:eastAsia="Times New Roman"/>
          <w:b/>
          <w:color w:val="72AF2F"/>
          <w:sz w:val="16"/>
          <w:szCs w:val="14"/>
        </w:rPr>
        <w:sym w:font="Webdings" w:char="F067"/>
      </w:r>
      <w:r w:rsidRPr="003B0793">
        <w:rPr>
          <w:rFonts w:eastAsia="Times New Roman"/>
          <w:b/>
          <w:sz w:val="16"/>
          <w:szCs w:val="14"/>
        </w:rPr>
        <w:t> </w:t>
      </w:r>
      <w:r w:rsidRPr="003B0793">
        <w:rPr>
          <w:rFonts w:eastAsia="Times New Roman"/>
          <w:b/>
          <w:sz w:val="16"/>
          <w:szCs w:val="14"/>
        </w:rPr>
        <w:t xml:space="preserve"> Green. Progress is as expected at this stage of implementation and it is likely that the objective will be achieved. Standard program management practices are sufficient.</w:t>
      </w:r>
    </w:p>
    <w:p w:rsidR="002A51CA" w:rsidRPr="003B0793" w:rsidRDefault="002A51CA" w:rsidP="002A51CA">
      <w:pPr>
        <w:spacing w:before="20" w:after="20" w:line="180" w:lineRule="atLeast"/>
        <w:jc w:val="both"/>
        <w:rPr>
          <w:rFonts w:eastAsia="Times New Roman"/>
          <w:b/>
          <w:sz w:val="16"/>
          <w:szCs w:val="14"/>
        </w:rPr>
      </w:pPr>
      <w:r w:rsidRPr="003B0793">
        <w:rPr>
          <w:rFonts w:eastAsia="Times New Roman"/>
          <w:b/>
          <w:color w:val="E36C0A"/>
          <w:sz w:val="16"/>
          <w:szCs w:val="14"/>
        </w:rPr>
        <w:sym w:font="Webdings" w:char="F067"/>
      </w:r>
      <w:r w:rsidRPr="003B0793">
        <w:rPr>
          <w:rFonts w:eastAsia="Times New Roman"/>
          <w:b/>
          <w:sz w:val="16"/>
          <w:szCs w:val="14"/>
        </w:rPr>
        <w:t> </w:t>
      </w:r>
      <w:r w:rsidRPr="003B0793">
        <w:rPr>
          <w:rFonts w:eastAsia="Times New Roman"/>
          <w:b/>
          <w:sz w:val="16"/>
          <w:szCs w:val="14"/>
        </w:rPr>
        <w:t xml:space="preserve"> Amber. Progress is somewhat less than expected at this stage of implementation and restorative action will be necessary if the objective is to be achieved. Close performance monitoring is recommended.</w:t>
      </w:r>
    </w:p>
    <w:p w:rsidR="002A51CA" w:rsidRPr="003B0793" w:rsidRDefault="002A51CA" w:rsidP="002A51CA">
      <w:pPr>
        <w:spacing w:before="20" w:after="20" w:line="180" w:lineRule="atLeast"/>
        <w:jc w:val="both"/>
        <w:rPr>
          <w:rFonts w:eastAsia="Times New Roman"/>
          <w:b/>
          <w:sz w:val="16"/>
          <w:szCs w:val="14"/>
        </w:rPr>
      </w:pPr>
      <w:r w:rsidRPr="003B0793">
        <w:rPr>
          <w:rFonts w:eastAsia="Times New Roman"/>
          <w:b/>
          <w:color w:val="FF0000"/>
          <w:sz w:val="16"/>
          <w:szCs w:val="14"/>
        </w:rPr>
        <w:sym w:font="Webdings" w:char="F067"/>
      </w:r>
      <w:r w:rsidRPr="003B0793">
        <w:rPr>
          <w:rFonts w:eastAsia="Times New Roman"/>
          <w:b/>
          <w:sz w:val="16"/>
          <w:szCs w:val="14"/>
        </w:rPr>
        <w:t> </w:t>
      </w:r>
      <w:r w:rsidRPr="003B0793">
        <w:rPr>
          <w:rFonts w:eastAsia="Times New Roman"/>
          <w:b/>
          <w:sz w:val="16"/>
          <w:szCs w:val="14"/>
        </w:rPr>
        <w:t xml:space="preserve"> Red. Progress is significantly less than expected at this stage of implementation and the objective is not likely to be met given available resources and priorities. Recasting the objective may be required.</w:t>
      </w:r>
    </w:p>
    <w:p w:rsidR="002A51CA" w:rsidRPr="003B0793" w:rsidRDefault="002A51CA" w:rsidP="002A51CA">
      <w:pPr>
        <w:spacing w:before="20" w:after="20" w:line="180" w:lineRule="atLeast"/>
        <w:jc w:val="both"/>
        <w:rPr>
          <w:rFonts w:eastAsia="Times New Roman"/>
          <w:b/>
          <w:sz w:val="14"/>
          <w:szCs w:val="14"/>
        </w:rPr>
      </w:pPr>
      <w:r w:rsidRPr="003B0793">
        <w:rPr>
          <w:rFonts w:eastAsia="Times New Roman"/>
          <w:b/>
          <w:sz w:val="14"/>
          <w:szCs w:val="14"/>
        </w:rPr>
        <w:t xml:space="preserve">  </w:t>
      </w:r>
    </w:p>
    <w:p w:rsidR="001E4CC2" w:rsidRPr="005E4478" w:rsidRDefault="001E4CC2" w:rsidP="002A51CA">
      <w:pPr>
        <w:spacing w:after="120" w:line="280" w:lineRule="exact"/>
        <w:rPr>
          <w:rFonts w:eastAsia="Times New Roman"/>
        </w:rPr>
      </w:pPr>
      <w:r w:rsidRPr="005E4478">
        <w:rPr>
          <w:rFonts w:eastAsia="Times New Roman"/>
        </w:rPr>
        <w:t xml:space="preserve">Overall the Vanuatu aid program is performing well </w:t>
      </w:r>
      <w:r w:rsidR="0007257B" w:rsidRPr="005E4478">
        <w:rPr>
          <w:rFonts w:eastAsia="Times New Roman"/>
        </w:rPr>
        <w:t xml:space="preserve">against its </w:t>
      </w:r>
      <w:r w:rsidR="00F671E0" w:rsidRPr="005E4478">
        <w:rPr>
          <w:rFonts w:eastAsia="Times New Roman"/>
        </w:rPr>
        <w:t xml:space="preserve">four </w:t>
      </w:r>
      <w:r w:rsidR="0007257B" w:rsidRPr="005E4478">
        <w:rPr>
          <w:rFonts w:eastAsia="Times New Roman"/>
        </w:rPr>
        <w:t xml:space="preserve">AIP objectives, </w:t>
      </w:r>
      <w:r w:rsidR="00505021" w:rsidRPr="005E4478">
        <w:rPr>
          <w:rFonts w:eastAsia="Times New Roman"/>
        </w:rPr>
        <w:t>achieving</w:t>
      </w:r>
      <w:r w:rsidRPr="005E4478">
        <w:rPr>
          <w:rFonts w:eastAsia="Times New Roman"/>
        </w:rPr>
        <w:t xml:space="preserve"> most performance benchmarks and showing</w:t>
      </w:r>
      <w:r w:rsidR="0007257B" w:rsidRPr="005E4478">
        <w:rPr>
          <w:rFonts w:eastAsia="Times New Roman"/>
        </w:rPr>
        <w:t xml:space="preserve"> </w:t>
      </w:r>
      <w:r w:rsidRPr="005E4478">
        <w:rPr>
          <w:rFonts w:eastAsia="Times New Roman"/>
        </w:rPr>
        <w:t>improvements in gender equality and disability inclusiveness measures</w:t>
      </w:r>
      <w:r w:rsidR="0007257B" w:rsidRPr="005E4478">
        <w:rPr>
          <w:rFonts w:eastAsia="Times New Roman"/>
        </w:rPr>
        <w:t xml:space="preserve"> across nearly all sectors</w:t>
      </w:r>
      <w:r w:rsidRPr="005E4478">
        <w:rPr>
          <w:rFonts w:eastAsia="Times New Roman"/>
        </w:rPr>
        <w:t xml:space="preserve">.  The infrastructure program is back on track, </w:t>
      </w:r>
      <w:r w:rsidR="005E4478">
        <w:rPr>
          <w:rFonts w:eastAsia="Times New Roman"/>
        </w:rPr>
        <w:t>two thirds</w:t>
      </w:r>
      <w:r w:rsidR="0007257B" w:rsidRPr="005E4478">
        <w:rPr>
          <w:rFonts w:eastAsia="Times New Roman"/>
        </w:rPr>
        <w:t xml:space="preserve"> of cyclone recovery funds have been programmed, and </w:t>
      </w:r>
      <w:r w:rsidR="00F87AE9" w:rsidRPr="005E4478">
        <w:rPr>
          <w:rFonts w:eastAsia="Times New Roman"/>
        </w:rPr>
        <w:t xml:space="preserve">some </w:t>
      </w:r>
      <w:r w:rsidR="0007257B" w:rsidRPr="005E4478">
        <w:rPr>
          <w:rFonts w:eastAsia="Times New Roman"/>
        </w:rPr>
        <w:t xml:space="preserve">health and education indicators are improving.  However, </w:t>
      </w:r>
      <w:r w:rsidR="007C7C20" w:rsidRPr="005E4478">
        <w:rPr>
          <w:rFonts w:eastAsia="Times New Roman"/>
        </w:rPr>
        <w:t xml:space="preserve">enduring </w:t>
      </w:r>
      <w:r w:rsidR="0007257B" w:rsidRPr="005E4478">
        <w:rPr>
          <w:rFonts w:eastAsia="Times New Roman"/>
        </w:rPr>
        <w:t>challenges remain within Vanuatu Government systems in relation to: public sector financial and human resource management, significant severance liabilit</w:t>
      </w:r>
      <w:r w:rsidR="007C7C20" w:rsidRPr="005E4478">
        <w:rPr>
          <w:rFonts w:eastAsia="Times New Roman"/>
        </w:rPr>
        <w:t>ies for retiring public servants</w:t>
      </w:r>
      <w:r w:rsidR="0007257B" w:rsidRPr="005E4478">
        <w:rPr>
          <w:rFonts w:eastAsia="Times New Roman"/>
        </w:rPr>
        <w:t xml:space="preserve"> and maintenance of </w:t>
      </w:r>
      <w:r w:rsidR="007C7C20" w:rsidRPr="005E4478">
        <w:rPr>
          <w:rFonts w:eastAsia="Times New Roman"/>
        </w:rPr>
        <w:t xml:space="preserve">public </w:t>
      </w:r>
      <w:r w:rsidR="0007257B" w:rsidRPr="005E4478">
        <w:rPr>
          <w:rFonts w:eastAsia="Times New Roman"/>
        </w:rPr>
        <w:t xml:space="preserve">infrastructure.  </w:t>
      </w:r>
    </w:p>
    <w:p w:rsidR="00505FD5" w:rsidRPr="00283E03" w:rsidRDefault="00505FD5" w:rsidP="00283E03">
      <w:pPr>
        <w:pStyle w:val="ListBullet"/>
        <w:tabs>
          <w:tab w:val="clear" w:pos="284"/>
        </w:tabs>
        <w:spacing w:before="360"/>
        <w:rPr>
          <w:rFonts w:asciiTheme="majorHAnsi" w:eastAsiaTheme="majorEastAsia" w:hAnsiTheme="majorHAnsi" w:cstheme="majorBidi"/>
          <w:caps/>
          <w:color w:val="495965" w:themeColor="text2"/>
          <w:sz w:val="38"/>
          <w:szCs w:val="26"/>
          <w:lang w:val="en-GB" w:eastAsia="en-US"/>
        </w:rPr>
      </w:pPr>
      <w:r w:rsidRPr="00283E03">
        <w:rPr>
          <w:rFonts w:asciiTheme="majorHAnsi" w:eastAsiaTheme="majorEastAsia" w:hAnsiTheme="majorHAnsi" w:cstheme="majorBidi"/>
          <w:caps/>
          <w:color w:val="495965" w:themeColor="text2"/>
          <w:sz w:val="38"/>
          <w:szCs w:val="26"/>
          <w:lang w:val="en-GB" w:eastAsia="en-US"/>
        </w:rPr>
        <w:t>Objective 1:</w:t>
      </w:r>
      <w:r w:rsidR="002A7357" w:rsidRPr="00283E03">
        <w:rPr>
          <w:rFonts w:asciiTheme="majorHAnsi" w:eastAsiaTheme="majorEastAsia" w:hAnsiTheme="majorHAnsi" w:cstheme="majorBidi"/>
          <w:caps/>
          <w:color w:val="495965" w:themeColor="text2"/>
          <w:sz w:val="38"/>
          <w:szCs w:val="26"/>
          <w:lang w:val="en-GB" w:eastAsia="en-US"/>
        </w:rPr>
        <w:t xml:space="preserve">  Build</w:t>
      </w:r>
      <w:r w:rsidR="00F6456E">
        <w:rPr>
          <w:rFonts w:asciiTheme="majorHAnsi" w:eastAsiaTheme="majorEastAsia" w:hAnsiTheme="majorHAnsi" w:cstheme="majorBidi"/>
          <w:caps/>
          <w:color w:val="495965" w:themeColor="text2"/>
          <w:sz w:val="38"/>
          <w:szCs w:val="26"/>
          <w:lang w:val="en-GB" w:eastAsia="en-US"/>
        </w:rPr>
        <w:t>ING RESILIENT</w:t>
      </w:r>
      <w:r w:rsidR="00B866A3">
        <w:rPr>
          <w:rFonts w:asciiTheme="majorHAnsi" w:eastAsiaTheme="majorEastAsia" w:hAnsiTheme="majorHAnsi" w:cstheme="majorBidi"/>
          <w:caps/>
          <w:color w:val="495965" w:themeColor="text2"/>
          <w:sz w:val="38"/>
          <w:szCs w:val="26"/>
          <w:lang w:val="en-GB" w:eastAsia="en-US"/>
        </w:rPr>
        <w:t xml:space="preserve"> </w:t>
      </w:r>
      <w:r w:rsidR="002A7357" w:rsidRPr="00283E03">
        <w:rPr>
          <w:rFonts w:asciiTheme="majorHAnsi" w:eastAsiaTheme="majorEastAsia" w:hAnsiTheme="majorHAnsi" w:cstheme="majorBidi"/>
          <w:caps/>
          <w:color w:val="495965" w:themeColor="text2"/>
          <w:sz w:val="38"/>
          <w:szCs w:val="26"/>
          <w:lang w:val="en-GB" w:eastAsia="en-US"/>
        </w:rPr>
        <w:t>infrastructure and an environment for economic opportunity</w:t>
      </w:r>
    </w:p>
    <w:p w:rsidR="005E4478" w:rsidRPr="005E4478" w:rsidRDefault="005E4478" w:rsidP="005E4478">
      <w:pPr>
        <w:spacing w:after="120" w:line="280" w:lineRule="exact"/>
        <w:rPr>
          <w:rFonts w:eastAsia="Times New Roman"/>
          <w:lang w:val="en-AU"/>
        </w:rPr>
      </w:pPr>
      <w:r w:rsidRPr="005E4478">
        <w:rPr>
          <w:rFonts w:eastAsia="Times New Roman"/>
          <w:lang w:val="en-AU"/>
        </w:rPr>
        <w:t xml:space="preserve">This objective was rated green because, despite some challenges and delays, progress on building resilient infrastructure </w:t>
      </w:r>
      <w:r w:rsidR="00B866A3">
        <w:rPr>
          <w:rFonts w:eastAsia="Times New Roman"/>
          <w:lang w:val="en-AU"/>
        </w:rPr>
        <w:t>was satisfactory</w:t>
      </w:r>
      <w:r w:rsidR="002E1BBF">
        <w:rPr>
          <w:rFonts w:eastAsia="Times New Roman"/>
          <w:lang w:val="en-AU"/>
        </w:rPr>
        <w:t>.  E</w:t>
      </w:r>
      <w:r w:rsidRPr="005E4478">
        <w:rPr>
          <w:rFonts w:eastAsia="Times New Roman"/>
          <w:lang w:val="en-AU"/>
        </w:rPr>
        <w:t>conomic governance, scholarships and vocational training outcomes met expectations for the reporting period.</w:t>
      </w:r>
    </w:p>
    <w:p w:rsidR="007227D4" w:rsidRPr="005E4478" w:rsidRDefault="007227D4" w:rsidP="007227D4">
      <w:pPr>
        <w:spacing w:after="120" w:line="280" w:lineRule="exact"/>
        <w:rPr>
          <w:rFonts w:eastAsia="Times New Roman"/>
          <w:lang w:val="en-AU"/>
        </w:rPr>
      </w:pPr>
      <w:r w:rsidRPr="005E4478">
        <w:rPr>
          <w:rFonts w:eastAsia="Times New Roman"/>
          <w:lang w:val="en-AU"/>
        </w:rPr>
        <w:t>Economic growth over the past decade of around 4 per cent a year (marginally higher than population growth of 2.5 per cent) has lifted some living standards</w:t>
      </w:r>
      <w:r w:rsidR="00196C05" w:rsidRPr="005E4478">
        <w:rPr>
          <w:rFonts w:eastAsia="Times New Roman"/>
          <w:lang w:val="en-AU"/>
        </w:rPr>
        <w:t>.  Despite the shock of Tropical Cyclone Pam and the impact on Vanuatu’s economy, growth is projected to reach 4 per cent by 2016 and 4.5 per cent by 2017</w:t>
      </w:r>
      <w:r w:rsidR="002E1BBF">
        <w:rPr>
          <w:rFonts w:eastAsia="Times New Roman"/>
          <w:lang w:val="en-AU"/>
        </w:rPr>
        <w:t>.  This is</w:t>
      </w:r>
      <w:r w:rsidR="00196C05" w:rsidRPr="005E4478">
        <w:rPr>
          <w:rFonts w:eastAsia="Times New Roman"/>
          <w:lang w:val="en-AU"/>
        </w:rPr>
        <w:t xml:space="preserve"> largely driven by recovery in tourism and agricultural production, and further ramping up of infrastructure projects</w:t>
      </w:r>
      <w:r w:rsidRPr="005E4478">
        <w:rPr>
          <w:rFonts w:eastAsia="Times New Roman"/>
          <w:lang w:val="en-AU"/>
        </w:rPr>
        <w:t xml:space="preserve">. Growth has been underpinned by macroeconomic and social stability, as well as key microeconomic reforms. </w:t>
      </w:r>
      <w:r w:rsidR="00230094">
        <w:rPr>
          <w:rFonts w:eastAsia="Times New Roman"/>
          <w:lang w:val="en-AU"/>
        </w:rPr>
        <w:t xml:space="preserve"> </w:t>
      </w:r>
      <w:r w:rsidRPr="005E4478">
        <w:rPr>
          <w:rFonts w:eastAsia="Times New Roman"/>
          <w:lang w:val="en-AU"/>
        </w:rPr>
        <w:t>Nonetheless, Vanuatu faces significant challenges in its efforts to decrease the cost of doing business, improve the environment for investment, and deliver durable broad-based growth. In addition, challenging public sector reforms are required to improve the quality of public expenditure and service delivery. Tropical Cyclone Pam also highlighted the importance of supporting improved budget management, revenue collection and public sector reforms, which increase economic resilience to disasters.</w:t>
      </w:r>
    </w:p>
    <w:p w:rsidR="00254D2C" w:rsidRPr="00254D2C" w:rsidRDefault="00254D2C" w:rsidP="00254D2C">
      <w:pPr>
        <w:spacing w:after="120" w:line="280" w:lineRule="exact"/>
        <w:rPr>
          <w:rFonts w:eastAsia="Times New Roman"/>
          <w:lang w:val="en-AU"/>
        </w:rPr>
      </w:pPr>
      <w:r w:rsidRPr="00254D2C">
        <w:rPr>
          <w:rFonts w:eastAsia="Times New Roman"/>
          <w:lang w:val="en-AU"/>
        </w:rPr>
        <w:t xml:space="preserve">The </w:t>
      </w:r>
      <w:r w:rsidR="003D01AD" w:rsidRPr="003D01AD">
        <w:rPr>
          <w:rFonts w:eastAsia="Times New Roman"/>
          <w:lang w:val="en-AU"/>
        </w:rPr>
        <w:t>GfG program</w:t>
      </w:r>
      <w:r w:rsidRPr="00254D2C">
        <w:rPr>
          <w:rFonts w:eastAsia="Times New Roman"/>
          <w:lang w:val="en-AU"/>
        </w:rPr>
        <w:t xml:space="preserve"> is DFAT’s main avenue for engagement with the Vanuatu Government on economic, trade and fiscal policy.  G</w:t>
      </w:r>
      <w:r w:rsidR="00D204B5">
        <w:rPr>
          <w:rFonts w:eastAsia="Times New Roman"/>
          <w:lang w:val="en-AU"/>
        </w:rPr>
        <w:t>f</w:t>
      </w:r>
      <w:r w:rsidRPr="00254D2C">
        <w:rPr>
          <w:rFonts w:eastAsia="Times New Roman"/>
          <w:lang w:val="en-AU"/>
        </w:rPr>
        <w:t xml:space="preserve">G’s assistance aims to strengthen public sector governance and management to promote sound, economic growth-focused policies. The program </w:t>
      </w:r>
      <w:r w:rsidR="00D903DC">
        <w:rPr>
          <w:rFonts w:eastAsia="Times New Roman"/>
          <w:lang w:val="en-AU"/>
        </w:rPr>
        <w:t xml:space="preserve">works with </w:t>
      </w:r>
      <w:r w:rsidRPr="00254D2C">
        <w:rPr>
          <w:rFonts w:eastAsia="Times New Roman"/>
          <w:lang w:val="en-AU"/>
        </w:rPr>
        <w:t>a large number of government agencies (currently eight).  G</w:t>
      </w:r>
      <w:r w:rsidR="00D204B5">
        <w:rPr>
          <w:rFonts w:eastAsia="Times New Roman"/>
          <w:lang w:val="en-AU"/>
        </w:rPr>
        <w:t>f</w:t>
      </w:r>
      <w:r w:rsidRPr="00254D2C">
        <w:rPr>
          <w:rFonts w:eastAsia="Times New Roman"/>
          <w:lang w:val="en-AU"/>
        </w:rPr>
        <w:t>G’s strength lies in its in long-term approach, relying on strong relationships with key players in central ministries</w:t>
      </w:r>
      <w:r w:rsidR="00D903DC">
        <w:rPr>
          <w:rFonts w:eastAsia="Times New Roman"/>
          <w:lang w:val="en-AU"/>
        </w:rPr>
        <w:t xml:space="preserve"> and line agencies</w:t>
      </w:r>
      <w:r w:rsidRPr="00254D2C">
        <w:rPr>
          <w:rFonts w:eastAsia="Times New Roman"/>
          <w:lang w:val="en-AU"/>
        </w:rPr>
        <w:t>.  It is co</w:t>
      </w:r>
      <w:r w:rsidR="00095D79">
        <w:rPr>
          <w:rFonts w:eastAsia="Times New Roman"/>
          <w:lang w:val="en-AU"/>
        </w:rPr>
        <w:noBreakHyphen/>
      </w:r>
      <w:r w:rsidRPr="00254D2C">
        <w:rPr>
          <w:rFonts w:eastAsia="Times New Roman"/>
          <w:lang w:val="en-AU"/>
        </w:rPr>
        <w:t>located with the Vanuatu Prime Minister’s Office and is highly valued by senior members of the Vanuatu Government.</w:t>
      </w:r>
    </w:p>
    <w:p w:rsidR="00055845" w:rsidRPr="005E4478" w:rsidRDefault="007227D4" w:rsidP="007227D4">
      <w:pPr>
        <w:spacing w:after="120" w:line="280" w:lineRule="exact"/>
        <w:rPr>
          <w:rFonts w:eastAsia="Times New Roman"/>
          <w:lang w:val="en-AU"/>
        </w:rPr>
      </w:pPr>
      <w:r w:rsidRPr="005E4478">
        <w:rPr>
          <w:rFonts w:eastAsia="Times New Roman"/>
          <w:lang w:val="en-AU"/>
        </w:rPr>
        <w:t>In 201</w:t>
      </w:r>
      <w:r w:rsidR="00C47ABC" w:rsidRPr="005E4478">
        <w:rPr>
          <w:rFonts w:eastAsia="Times New Roman"/>
          <w:lang w:val="en-AU"/>
        </w:rPr>
        <w:t>5</w:t>
      </w:r>
      <w:r w:rsidRPr="005E4478">
        <w:rPr>
          <w:rFonts w:eastAsia="Times New Roman"/>
          <w:lang w:val="en-AU"/>
        </w:rPr>
        <w:t xml:space="preserve">, GfG </w:t>
      </w:r>
      <w:r w:rsidR="00C47ABC" w:rsidRPr="005E4478">
        <w:rPr>
          <w:rFonts w:eastAsia="Times New Roman"/>
          <w:lang w:val="en-AU"/>
        </w:rPr>
        <w:t xml:space="preserve">faced significant challenges with central agencies </w:t>
      </w:r>
      <w:r w:rsidR="002E1BBF">
        <w:rPr>
          <w:rFonts w:eastAsia="Times New Roman"/>
          <w:lang w:val="en-AU"/>
        </w:rPr>
        <w:t>distracted</w:t>
      </w:r>
      <w:r w:rsidR="002E1BBF" w:rsidRPr="005E4478">
        <w:rPr>
          <w:rFonts w:eastAsia="Times New Roman"/>
          <w:lang w:val="en-AU"/>
        </w:rPr>
        <w:t xml:space="preserve"> </w:t>
      </w:r>
      <w:r w:rsidR="00C47ABC" w:rsidRPr="005E4478">
        <w:rPr>
          <w:rFonts w:eastAsia="Times New Roman"/>
          <w:lang w:val="en-AU"/>
        </w:rPr>
        <w:t xml:space="preserve">by </w:t>
      </w:r>
      <w:r w:rsidR="00D204B5">
        <w:rPr>
          <w:rFonts w:eastAsia="Times New Roman"/>
          <w:lang w:val="en-AU"/>
        </w:rPr>
        <w:t xml:space="preserve">the </w:t>
      </w:r>
      <w:r w:rsidR="00C47ABC" w:rsidRPr="005E4478">
        <w:rPr>
          <w:rFonts w:eastAsia="Times New Roman"/>
          <w:lang w:val="en-AU"/>
        </w:rPr>
        <w:t xml:space="preserve">cyclone response and political instability in the latter part of 2015. </w:t>
      </w:r>
      <w:r w:rsidR="0021628D" w:rsidRPr="005E4478">
        <w:rPr>
          <w:rFonts w:eastAsia="Times New Roman"/>
          <w:lang w:val="en-AU"/>
        </w:rPr>
        <w:t xml:space="preserve"> </w:t>
      </w:r>
      <w:r w:rsidR="002E1BBF">
        <w:rPr>
          <w:rFonts w:eastAsia="Times New Roman"/>
          <w:lang w:val="en-AU"/>
        </w:rPr>
        <w:t xml:space="preserve">Despite this, </w:t>
      </w:r>
      <w:r w:rsidR="00686536" w:rsidRPr="005E4478">
        <w:rPr>
          <w:rFonts w:eastAsia="Times New Roman"/>
          <w:lang w:val="en-AU"/>
        </w:rPr>
        <w:t xml:space="preserve">GfG </w:t>
      </w:r>
      <w:r w:rsidR="00055845" w:rsidRPr="005E4478">
        <w:rPr>
          <w:rFonts w:eastAsia="Times New Roman"/>
          <w:lang w:val="en-AU"/>
        </w:rPr>
        <w:t xml:space="preserve">made some progress </w:t>
      </w:r>
      <w:r w:rsidR="00F6456E">
        <w:rPr>
          <w:rFonts w:eastAsia="Times New Roman"/>
          <w:lang w:val="en-AU"/>
        </w:rPr>
        <w:t>i</w:t>
      </w:r>
      <w:r w:rsidR="00055845" w:rsidRPr="005E4478">
        <w:rPr>
          <w:rFonts w:eastAsia="Times New Roman"/>
          <w:lang w:val="en-AU"/>
        </w:rPr>
        <w:t xml:space="preserve">n addressing availability and affordability of services and utilities.  The program </w:t>
      </w:r>
      <w:r w:rsidR="00686536" w:rsidRPr="005E4478">
        <w:rPr>
          <w:rFonts w:eastAsia="Times New Roman"/>
          <w:lang w:val="en-AU"/>
        </w:rPr>
        <w:t xml:space="preserve">supported </w:t>
      </w:r>
      <w:r w:rsidRPr="005E4478">
        <w:rPr>
          <w:rFonts w:eastAsia="Times New Roman"/>
          <w:lang w:val="en-AU"/>
        </w:rPr>
        <w:t xml:space="preserve">a Utilities Regulatory Authority </w:t>
      </w:r>
      <w:r w:rsidR="00686536" w:rsidRPr="005E4478">
        <w:rPr>
          <w:rFonts w:eastAsia="Times New Roman"/>
          <w:lang w:val="en-AU"/>
        </w:rPr>
        <w:t xml:space="preserve">(URA) review of </w:t>
      </w:r>
      <w:r w:rsidRPr="005E4478">
        <w:rPr>
          <w:rFonts w:eastAsia="Times New Roman"/>
          <w:lang w:val="en-AU"/>
        </w:rPr>
        <w:t xml:space="preserve">Port Vila water </w:t>
      </w:r>
      <w:r w:rsidR="00686536" w:rsidRPr="005E4478">
        <w:rPr>
          <w:rFonts w:eastAsia="Times New Roman"/>
          <w:lang w:val="en-AU"/>
        </w:rPr>
        <w:t xml:space="preserve">tariff which </w:t>
      </w:r>
      <w:r w:rsidRPr="005E4478">
        <w:rPr>
          <w:rFonts w:eastAsia="Times New Roman"/>
          <w:lang w:val="en-AU"/>
        </w:rPr>
        <w:t xml:space="preserve">recommended a </w:t>
      </w:r>
      <w:r w:rsidR="00686536" w:rsidRPr="005E4478">
        <w:rPr>
          <w:rFonts w:eastAsia="Times New Roman"/>
          <w:lang w:val="en-AU"/>
        </w:rPr>
        <w:t xml:space="preserve">20 per cent </w:t>
      </w:r>
      <w:r w:rsidRPr="005E4478">
        <w:rPr>
          <w:rFonts w:eastAsia="Times New Roman"/>
          <w:lang w:val="en-AU"/>
        </w:rPr>
        <w:t>r</w:t>
      </w:r>
      <w:r w:rsidR="00686536" w:rsidRPr="005E4478">
        <w:rPr>
          <w:rFonts w:eastAsia="Times New Roman"/>
          <w:lang w:val="en-AU"/>
        </w:rPr>
        <w:t>eduction in price</w:t>
      </w:r>
      <w:r w:rsidRPr="005E4478">
        <w:rPr>
          <w:rFonts w:eastAsia="Times New Roman"/>
          <w:lang w:val="en-AU"/>
        </w:rPr>
        <w:t xml:space="preserve">. </w:t>
      </w:r>
      <w:r w:rsidR="00055845" w:rsidRPr="005E4478">
        <w:rPr>
          <w:rFonts w:eastAsia="Times New Roman"/>
          <w:lang w:val="en-AU"/>
        </w:rPr>
        <w:t xml:space="preserve"> Roll</w:t>
      </w:r>
      <w:r w:rsidR="00055845" w:rsidRPr="005E4478">
        <w:rPr>
          <w:rFonts w:eastAsia="Times New Roman"/>
          <w:lang w:val="en-AU"/>
        </w:rPr>
        <w:noBreakHyphen/>
        <w:t>out of the</w:t>
      </w:r>
      <w:r w:rsidR="00940FF2">
        <w:rPr>
          <w:rFonts w:eastAsia="Times New Roman"/>
          <w:lang w:val="en-AU"/>
        </w:rPr>
        <w:t xml:space="preserve"> pilot</w:t>
      </w:r>
      <w:r w:rsidR="00055845" w:rsidRPr="005E4478">
        <w:rPr>
          <w:rFonts w:eastAsia="Times New Roman"/>
          <w:lang w:val="en-AU"/>
        </w:rPr>
        <w:t xml:space="preserve"> </w:t>
      </w:r>
      <w:r w:rsidR="00055845" w:rsidRPr="00AD1670">
        <w:rPr>
          <w:rFonts w:eastAsia="Times New Roman"/>
          <w:i/>
          <w:lang w:val="en-AU"/>
        </w:rPr>
        <w:t>Universal Access Program</w:t>
      </w:r>
      <w:r w:rsidR="00055845" w:rsidRPr="005E4478">
        <w:rPr>
          <w:rFonts w:eastAsia="Times New Roman"/>
          <w:lang w:val="en-AU"/>
        </w:rPr>
        <w:t xml:space="preserve"> (UAP) increased telecommunications access in rural areas</w:t>
      </w:r>
      <w:r w:rsidR="00EB7E61">
        <w:rPr>
          <w:rFonts w:eastAsia="Times New Roman"/>
          <w:lang w:val="en-AU"/>
        </w:rPr>
        <w:t xml:space="preserve"> where </w:t>
      </w:r>
      <w:r w:rsidR="00D204B5">
        <w:rPr>
          <w:rFonts w:eastAsia="Times New Roman"/>
          <w:lang w:val="en-AU"/>
        </w:rPr>
        <w:t xml:space="preserve">previously </w:t>
      </w:r>
      <w:r w:rsidR="00EB7E61">
        <w:rPr>
          <w:rFonts w:eastAsia="Times New Roman"/>
          <w:lang w:val="en-AU"/>
        </w:rPr>
        <w:t>there was little or no access</w:t>
      </w:r>
      <w:r w:rsidR="00055845" w:rsidRPr="005E4478">
        <w:rPr>
          <w:rFonts w:eastAsia="Times New Roman"/>
          <w:lang w:val="en-AU"/>
        </w:rPr>
        <w:t xml:space="preserve">.  This supported the school internet lab </w:t>
      </w:r>
      <w:r w:rsidR="00D903DC">
        <w:rPr>
          <w:rFonts w:eastAsia="Times New Roman"/>
          <w:lang w:val="en-AU"/>
        </w:rPr>
        <w:t xml:space="preserve">and community internet café </w:t>
      </w:r>
      <w:r w:rsidR="00055845" w:rsidRPr="005E4478">
        <w:rPr>
          <w:rFonts w:eastAsia="Times New Roman"/>
          <w:lang w:val="en-AU"/>
        </w:rPr>
        <w:t>program which has opened in 1</w:t>
      </w:r>
      <w:r w:rsidR="00D903DC">
        <w:rPr>
          <w:rFonts w:eastAsia="Times New Roman"/>
          <w:lang w:val="en-AU"/>
        </w:rPr>
        <w:t>9</w:t>
      </w:r>
      <w:r w:rsidR="00055845" w:rsidRPr="005E4478">
        <w:rPr>
          <w:rFonts w:eastAsia="Times New Roman"/>
          <w:lang w:val="en-AU"/>
        </w:rPr>
        <w:t xml:space="preserve"> schools, covering 4,326 students, of which 2,074 are girls.  </w:t>
      </w:r>
    </w:p>
    <w:p w:rsidR="004E5DAB" w:rsidRPr="005E4478" w:rsidRDefault="00055845" w:rsidP="007227D4">
      <w:pPr>
        <w:spacing w:after="120" w:line="280" w:lineRule="exact"/>
        <w:rPr>
          <w:rFonts w:eastAsia="Times New Roman"/>
          <w:lang w:val="en-AU"/>
        </w:rPr>
      </w:pPr>
      <w:r w:rsidRPr="005E4478">
        <w:rPr>
          <w:rFonts w:eastAsia="Times New Roman"/>
          <w:lang w:val="en-AU"/>
        </w:rPr>
        <w:t>GfG continues to improve</w:t>
      </w:r>
      <w:r w:rsidR="00F672A3" w:rsidRPr="005E4478">
        <w:rPr>
          <w:rFonts w:eastAsia="Times New Roman"/>
          <w:lang w:val="en-AU"/>
        </w:rPr>
        <w:t xml:space="preserve"> gender</w:t>
      </w:r>
      <w:r w:rsidR="004E5DAB" w:rsidRPr="005E4478">
        <w:rPr>
          <w:rFonts w:eastAsia="Times New Roman"/>
          <w:lang w:val="en-AU"/>
        </w:rPr>
        <w:t xml:space="preserve"> equality</w:t>
      </w:r>
      <w:r w:rsidR="008B53C0" w:rsidRPr="005E4478">
        <w:rPr>
          <w:rFonts w:eastAsia="Times New Roman"/>
          <w:lang w:val="en-AU"/>
        </w:rPr>
        <w:t xml:space="preserve"> outcomes, although more needs to be done.  In 2015, roll out</w:t>
      </w:r>
      <w:r w:rsidR="00F672A3" w:rsidRPr="005E4478">
        <w:rPr>
          <w:rFonts w:eastAsia="Times New Roman"/>
          <w:lang w:val="en-AU"/>
        </w:rPr>
        <w:t xml:space="preserve"> </w:t>
      </w:r>
      <w:r w:rsidR="008B53C0" w:rsidRPr="005E4478">
        <w:rPr>
          <w:rFonts w:eastAsia="Times New Roman"/>
          <w:lang w:val="en-AU"/>
        </w:rPr>
        <w:t xml:space="preserve">of </w:t>
      </w:r>
      <w:r w:rsidR="00F672A3" w:rsidRPr="005E4478">
        <w:rPr>
          <w:rFonts w:eastAsia="Times New Roman"/>
          <w:lang w:val="en-AU"/>
        </w:rPr>
        <w:t xml:space="preserve">a </w:t>
      </w:r>
      <w:r w:rsidR="008B53C0" w:rsidRPr="005E4478">
        <w:rPr>
          <w:rFonts w:eastAsia="Times New Roman"/>
          <w:lang w:val="en-AU"/>
        </w:rPr>
        <w:t xml:space="preserve">National Bank of Vanuatu (NBV) </w:t>
      </w:r>
      <w:r w:rsidR="00940FF2">
        <w:rPr>
          <w:rFonts w:eastAsia="Times New Roman"/>
          <w:i/>
          <w:lang w:val="en-AU"/>
        </w:rPr>
        <w:t>M</w:t>
      </w:r>
      <w:r w:rsidR="00686536" w:rsidRPr="00AD1670">
        <w:rPr>
          <w:rFonts w:eastAsia="Times New Roman"/>
          <w:i/>
          <w:lang w:val="en-AU"/>
        </w:rPr>
        <w:t xml:space="preserve">obile </w:t>
      </w:r>
      <w:r w:rsidR="00940FF2">
        <w:rPr>
          <w:rFonts w:eastAsia="Times New Roman"/>
          <w:i/>
          <w:lang w:val="en-AU"/>
        </w:rPr>
        <w:t>B</w:t>
      </w:r>
      <w:r w:rsidR="00940FF2" w:rsidRPr="00AD1670">
        <w:rPr>
          <w:rFonts w:eastAsia="Times New Roman"/>
          <w:i/>
          <w:lang w:val="en-AU"/>
        </w:rPr>
        <w:t xml:space="preserve">anking </w:t>
      </w:r>
      <w:r w:rsidR="00940FF2">
        <w:rPr>
          <w:rFonts w:eastAsia="Times New Roman"/>
          <w:i/>
          <w:lang w:val="en-AU"/>
        </w:rPr>
        <w:t>P</w:t>
      </w:r>
      <w:r w:rsidR="00940FF2" w:rsidRPr="00AD1670">
        <w:rPr>
          <w:rFonts w:eastAsia="Times New Roman"/>
          <w:i/>
          <w:lang w:val="en-AU"/>
        </w:rPr>
        <w:t>rogram</w:t>
      </w:r>
      <w:r w:rsidR="00686536" w:rsidRPr="005E4478">
        <w:rPr>
          <w:rFonts w:eastAsia="Times New Roman"/>
          <w:lang w:val="en-AU"/>
        </w:rPr>
        <w:t xml:space="preserve">, designed </w:t>
      </w:r>
      <w:r w:rsidR="004E5DAB" w:rsidRPr="005E4478">
        <w:rPr>
          <w:rFonts w:eastAsia="Times New Roman"/>
          <w:lang w:val="en-AU"/>
        </w:rPr>
        <w:t xml:space="preserve">with a </w:t>
      </w:r>
      <w:r w:rsidR="00F672A3" w:rsidRPr="005E4478">
        <w:rPr>
          <w:rFonts w:eastAsia="Times New Roman"/>
          <w:lang w:val="en-AU"/>
        </w:rPr>
        <w:t>focus on financial inclusion of women</w:t>
      </w:r>
      <w:r w:rsidR="008F61FD" w:rsidRPr="005E4478">
        <w:rPr>
          <w:rFonts w:eastAsia="Times New Roman"/>
          <w:lang w:val="en-AU"/>
        </w:rPr>
        <w:t>, resulted in:</w:t>
      </w:r>
      <w:r w:rsidR="008B53C0" w:rsidRPr="005E4478">
        <w:rPr>
          <w:rFonts w:eastAsia="Times New Roman"/>
          <w:lang w:val="en-AU"/>
        </w:rPr>
        <w:t xml:space="preserve">  almost 3,500 women participating</w:t>
      </w:r>
      <w:r w:rsidR="00686536" w:rsidRPr="005E4478">
        <w:rPr>
          <w:rFonts w:eastAsia="Times New Roman"/>
          <w:lang w:val="en-AU"/>
        </w:rPr>
        <w:t xml:space="preserve"> in financial literacy training</w:t>
      </w:r>
      <w:r w:rsidR="008B53C0" w:rsidRPr="005E4478">
        <w:rPr>
          <w:rFonts w:eastAsia="Times New Roman"/>
          <w:lang w:val="en-AU"/>
        </w:rPr>
        <w:t>;</w:t>
      </w:r>
      <w:r w:rsidR="00686536" w:rsidRPr="005E4478">
        <w:rPr>
          <w:rFonts w:eastAsia="Times New Roman"/>
          <w:lang w:val="en-AU"/>
        </w:rPr>
        <w:t xml:space="preserve"> over </w:t>
      </w:r>
      <w:r w:rsidR="00F672A3" w:rsidRPr="005E4478">
        <w:rPr>
          <w:rFonts w:eastAsia="Times New Roman"/>
          <w:lang w:val="en-AU"/>
        </w:rPr>
        <w:t>3,000 women op</w:t>
      </w:r>
      <w:r w:rsidR="008B53C0" w:rsidRPr="005E4478">
        <w:rPr>
          <w:rFonts w:eastAsia="Times New Roman"/>
          <w:lang w:val="en-AU"/>
        </w:rPr>
        <w:t>ening</w:t>
      </w:r>
      <w:r w:rsidR="00686536" w:rsidRPr="005E4478">
        <w:rPr>
          <w:rFonts w:eastAsia="Times New Roman"/>
          <w:lang w:val="en-AU"/>
        </w:rPr>
        <w:t xml:space="preserve"> new bank accounts</w:t>
      </w:r>
      <w:r w:rsidR="002E1BBF">
        <w:rPr>
          <w:rFonts w:eastAsia="Times New Roman"/>
          <w:lang w:val="en-AU"/>
        </w:rPr>
        <w:t>;</w:t>
      </w:r>
      <w:r w:rsidR="008B53C0" w:rsidRPr="005E4478">
        <w:rPr>
          <w:rFonts w:eastAsia="Times New Roman"/>
          <w:lang w:val="en-AU"/>
        </w:rPr>
        <w:t xml:space="preserve"> and 382 women receiving</w:t>
      </w:r>
      <w:r w:rsidR="00686536" w:rsidRPr="005E4478">
        <w:rPr>
          <w:rFonts w:eastAsia="Times New Roman"/>
          <w:lang w:val="en-AU"/>
        </w:rPr>
        <w:t xml:space="preserve"> micro</w:t>
      </w:r>
      <w:r w:rsidR="00686536" w:rsidRPr="005E4478">
        <w:rPr>
          <w:rFonts w:eastAsia="Times New Roman"/>
          <w:lang w:val="en-AU"/>
        </w:rPr>
        <w:noBreakHyphen/>
        <w:t>loans</w:t>
      </w:r>
      <w:r w:rsidR="00F07AAD" w:rsidRPr="005E4478">
        <w:rPr>
          <w:rFonts w:eastAsia="Times New Roman"/>
          <w:lang w:val="en-AU"/>
        </w:rPr>
        <w:t xml:space="preserve"> to the value of $1.2 million.</w:t>
      </w:r>
      <w:r w:rsidR="008B53C0" w:rsidRPr="005E4478">
        <w:rPr>
          <w:rFonts w:eastAsia="Times New Roman"/>
          <w:lang w:val="en-AU"/>
        </w:rPr>
        <w:t xml:space="preserve">  </w:t>
      </w:r>
      <w:r w:rsidR="008F61FD" w:rsidRPr="005E4478">
        <w:rPr>
          <w:rFonts w:eastAsia="Times New Roman"/>
          <w:lang w:val="en-AU"/>
        </w:rPr>
        <w:t xml:space="preserve">A </w:t>
      </w:r>
      <w:r w:rsidR="00220328">
        <w:rPr>
          <w:rFonts w:eastAsia="Times New Roman"/>
          <w:lang w:val="en-AU"/>
        </w:rPr>
        <w:t xml:space="preserve">GfG </w:t>
      </w:r>
      <w:r w:rsidR="008F61FD" w:rsidRPr="005E4478">
        <w:rPr>
          <w:rFonts w:eastAsia="Times New Roman"/>
          <w:lang w:val="en-AU"/>
        </w:rPr>
        <w:t>program evaluation and re</w:t>
      </w:r>
      <w:r w:rsidR="008F61FD" w:rsidRPr="005E4478">
        <w:rPr>
          <w:rFonts w:eastAsia="Times New Roman"/>
          <w:lang w:val="en-AU"/>
        </w:rPr>
        <w:noBreakHyphen/>
        <w:t>design in 2016 will incorporate more systematic gender analysis to inform investments.  But further improvements will require stronger support from senior levels of the Vanuatu Government regarding the importance of women’s economic empowerment for driving economic growth.</w:t>
      </w:r>
    </w:p>
    <w:p w:rsidR="009C7413" w:rsidRDefault="00D903DC" w:rsidP="007227D4">
      <w:pPr>
        <w:spacing w:after="120" w:line="280" w:lineRule="exact"/>
        <w:rPr>
          <w:rFonts w:eastAsia="Times New Roman"/>
          <w:lang w:val="en-AU"/>
        </w:rPr>
      </w:pPr>
      <w:r w:rsidRPr="00D903DC">
        <w:rPr>
          <w:rFonts w:eastAsia="Times New Roman"/>
          <w:lang w:val="en-AU"/>
        </w:rPr>
        <w:t>GfG</w:t>
      </w:r>
      <w:r w:rsidR="002E1BBF">
        <w:rPr>
          <w:rFonts w:eastAsia="Times New Roman"/>
          <w:lang w:val="en-AU"/>
        </w:rPr>
        <w:t>’</w:t>
      </w:r>
      <w:r w:rsidRPr="00D903DC">
        <w:rPr>
          <w:rFonts w:eastAsia="Times New Roman"/>
          <w:lang w:val="en-AU"/>
        </w:rPr>
        <w:t xml:space="preserve">s support for improved revenue collection and public financial management continued in 2015.  With GfG assistance, government value-added tax collections exceeded targets despite widespread exemptions following </w:t>
      </w:r>
      <w:r w:rsidR="00084CBC">
        <w:rPr>
          <w:rFonts w:eastAsia="Times New Roman"/>
          <w:lang w:val="en-AU"/>
        </w:rPr>
        <w:t>Tropical Cyclone Pam</w:t>
      </w:r>
      <w:r w:rsidRPr="00D903DC">
        <w:rPr>
          <w:rFonts w:eastAsia="Times New Roman"/>
          <w:lang w:val="en-AU"/>
        </w:rPr>
        <w:t xml:space="preserve">, with VT6.0 billion (approximately AUD 75 million) collected. Over the past </w:t>
      </w:r>
      <w:r w:rsidR="00D63A83">
        <w:rPr>
          <w:rFonts w:eastAsia="Times New Roman"/>
          <w:lang w:val="en-AU"/>
        </w:rPr>
        <w:t>three </w:t>
      </w:r>
      <w:r w:rsidRPr="00D903DC">
        <w:rPr>
          <w:rFonts w:eastAsia="Times New Roman"/>
          <w:lang w:val="en-AU"/>
        </w:rPr>
        <w:t xml:space="preserve">years, with GfG assistance, VAT collections have consistently increased as a result of improved compliance and enforcement from </w:t>
      </w:r>
      <w:r w:rsidR="003C2D93">
        <w:rPr>
          <w:rFonts w:eastAsia="Times New Roman"/>
          <w:lang w:val="en-AU"/>
        </w:rPr>
        <w:t>the Department of Customs an Inland Revenue (</w:t>
      </w:r>
      <w:r w:rsidRPr="00D903DC">
        <w:rPr>
          <w:rFonts w:eastAsia="Times New Roman"/>
          <w:lang w:val="en-AU"/>
        </w:rPr>
        <w:t>DCIR</w:t>
      </w:r>
      <w:r w:rsidR="003C2D93">
        <w:rPr>
          <w:rFonts w:eastAsia="Times New Roman"/>
          <w:lang w:val="en-AU"/>
        </w:rPr>
        <w:t>)</w:t>
      </w:r>
      <w:r w:rsidRPr="00D903DC">
        <w:rPr>
          <w:rFonts w:eastAsia="Times New Roman"/>
          <w:lang w:val="en-AU"/>
        </w:rPr>
        <w:t>.  Continued strengthening of tender processes has resulted in stronger public expenditure control</w:t>
      </w:r>
      <w:r w:rsidR="00192802">
        <w:rPr>
          <w:rFonts w:eastAsia="Times New Roman"/>
          <w:lang w:val="en-AU"/>
        </w:rPr>
        <w:t>,</w:t>
      </w:r>
      <w:r w:rsidRPr="00D903DC">
        <w:rPr>
          <w:rFonts w:eastAsia="Times New Roman"/>
          <w:lang w:val="en-AU"/>
        </w:rPr>
        <w:t xml:space="preserve"> however resourcing constraints in the Ministry of Finance present risks to the implementation and sustainability of reforms.  </w:t>
      </w:r>
    </w:p>
    <w:p w:rsidR="007227D4" w:rsidRPr="00C862FD" w:rsidRDefault="007227D4" w:rsidP="007227D4">
      <w:pPr>
        <w:spacing w:after="120" w:line="280" w:lineRule="exact"/>
        <w:rPr>
          <w:rFonts w:eastAsia="Times New Roman"/>
          <w:vertAlign w:val="superscript"/>
          <w:lang w:val="en-AU"/>
        </w:rPr>
      </w:pPr>
      <w:r w:rsidRPr="005E4478">
        <w:rPr>
          <w:rFonts w:eastAsia="Times New Roman"/>
          <w:lang w:val="en-AU"/>
        </w:rPr>
        <w:t xml:space="preserve">Ni-Vanuatu participation in the </w:t>
      </w:r>
      <w:r w:rsidR="009F1D69" w:rsidRPr="009B4E87">
        <w:rPr>
          <w:rFonts w:eastAsia="Times New Roman"/>
          <w:b/>
          <w:i/>
          <w:lang w:val="en-AU"/>
        </w:rPr>
        <w:t>Seasonal Worker Program</w:t>
      </w:r>
      <w:r w:rsidR="00394BFD" w:rsidRPr="009B4E87">
        <w:rPr>
          <w:rFonts w:eastAsia="Times New Roman"/>
          <w:b/>
          <w:i/>
          <w:lang w:val="en-AU"/>
        </w:rPr>
        <w:t>me</w:t>
      </w:r>
      <w:r w:rsidRPr="005E4478">
        <w:rPr>
          <w:rFonts w:eastAsia="Times New Roman"/>
          <w:lang w:val="en-AU"/>
        </w:rPr>
        <w:t xml:space="preserve"> grew strongly in 201</w:t>
      </w:r>
      <w:r w:rsidR="00055845" w:rsidRPr="005E4478">
        <w:rPr>
          <w:rFonts w:eastAsia="Times New Roman"/>
          <w:lang w:val="en-AU"/>
        </w:rPr>
        <w:t>5</w:t>
      </w:r>
      <w:r w:rsidRPr="005E4478">
        <w:rPr>
          <w:rFonts w:eastAsia="Times New Roman"/>
          <w:lang w:val="en-AU"/>
        </w:rPr>
        <w:t>-1</w:t>
      </w:r>
      <w:r w:rsidR="005773E0" w:rsidRPr="005E4478">
        <w:rPr>
          <w:rFonts w:eastAsia="Times New Roman"/>
          <w:lang w:val="en-AU"/>
        </w:rPr>
        <w:t>6</w:t>
      </w:r>
      <w:r w:rsidRPr="005E4478">
        <w:rPr>
          <w:rFonts w:eastAsia="Times New Roman"/>
          <w:lang w:val="en-AU"/>
        </w:rPr>
        <w:t xml:space="preserve">, with </w:t>
      </w:r>
      <w:r w:rsidR="00150399" w:rsidRPr="005E4478">
        <w:rPr>
          <w:rFonts w:eastAsia="Times New Roman"/>
          <w:lang w:val="en-AU"/>
        </w:rPr>
        <w:t>1,198</w:t>
      </w:r>
      <w:r w:rsidR="00196C05" w:rsidRPr="005E4478">
        <w:rPr>
          <w:rFonts w:eastAsia="Times New Roman"/>
          <w:lang w:val="en-AU"/>
        </w:rPr>
        <w:t xml:space="preserve"> </w:t>
      </w:r>
      <w:r w:rsidR="00150399" w:rsidRPr="005E4478">
        <w:rPr>
          <w:rFonts w:eastAsia="Times New Roman"/>
          <w:lang w:val="en-AU"/>
        </w:rPr>
        <w:t xml:space="preserve">(190 women; 1,008 men) </w:t>
      </w:r>
      <w:r w:rsidRPr="005E4478">
        <w:rPr>
          <w:rFonts w:eastAsia="Times New Roman"/>
          <w:lang w:val="en-AU"/>
        </w:rPr>
        <w:t>participants during the year</w:t>
      </w:r>
      <w:r w:rsidR="0098080B">
        <w:rPr>
          <w:rFonts w:eastAsia="Times New Roman"/>
          <w:lang w:val="en-AU"/>
        </w:rPr>
        <w:t xml:space="preserve"> (more than doubling the previous year’s participation of 94 women and 473 men)</w:t>
      </w:r>
      <w:r w:rsidRPr="005E4478">
        <w:rPr>
          <w:rFonts w:eastAsia="Times New Roman"/>
          <w:lang w:val="en-AU"/>
        </w:rPr>
        <w:t xml:space="preserve">. </w:t>
      </w:r>
      <w:r w:rsidR="00196C05" w:rsidRPr="005E4478">
        <w:rPr>
          <w:rFonts w:eastAsia="Times New Roman"/>
          <w:lang w:val="en-AU"/>
        </w:rPr>
        <w:t xml:space="preserve"> </w:t>
      </w:r>
      <w:r w:rsidRPr="005E4478">
        <w:rPr>
          <w:rFonts w:eastAsia="Times New Roman"/>
          <w:lang w:val="en-AU"/>
        </w:rPr>
        <w:t xml:space="preserve">It brings the total number of ni-Vanuatu participants to </w:t>
      </w:r>
      <w:r w:rsidR="00DB5EC6" w:rsidRPr="005E4478">
        <w:rPr>
          <w:rFonts w:eastAsia="Times New Roman"/>
          <w:lang w:val="en-AU"/>
        </w:rPr>
        <w:t>2,0</w:t>
      </w:r>
      <w:r w:rsidR="00150399" w:rsidRPr="005E4478">
        <w:rPr>
          <w:rFonts w:eastAsia="Times New Roman"/>
          <w:lang w:val="en-AU"/>
        </w:rPr>
        <w:t>96</w:t>
      </w:r>
      <w:r w:rsidRPr="005E4478">
        <w:rPr>
          <w:rFonts w:eastAsia="Times New Roman"/>
          <w:lang w:val="en-AU"/>
        </w:rPr>
        <w:t xml:space="preserve"> since the program began in 2012. </w:t>
      </w:r>
      <w:r w:rsidR="00150399" w:rsidRPr="005E4478">
        <w:rPr>
          <w:rFonts w:eastAsia="Times New Roman"/>
          <w:lang w:val="en-AU"/>
        </w:rPr>
        <w:t xml:space="preserve"> </w:t>
      </w:r>
      <w:r w:rsidRPr="005E4478">
        <w:rPr>
          <w:rFonts w:eastAsia="Times New Roman"/>
          <w:lang w:val="en-AU"/>
        </w:rPr>
        <w:t xml:space="preserve">The majority have participated in horticulture.  The expansion of the SWP to the </w:t>
      </w:r>
      <w:r w:rsidR="00D918C7">
        <w:rPr>
          <w:rFonts w:eastAsia="Times New Roman"/>
          <w:lang w:val="en-AU"/>
        </w:rPr>
        <w:t xml:space="preserve">broader </w:t>
      </w:r>
      <w:r w:rsidRPr="005E4478">
        <w:rPr>
          <w:rFonts w:eastAsia="Times New Roman"/>
          <w:lang w:val="en-AU"/>
        </w:rPr>
        <w:t>agriculture</w:t>
      </w:r>
      <w:r w:rsidR="00D918C7">
        <w:rPr>
          <w:rFonts w:eastAsia="Times New Roman"/>
          <w:lang w:val="en-AU"/>
        </w:rPr>
        <w:t xml:space="preserve"> and accommodation</w:t>
      </w:r>
      <w:r w:rsidRPr="005E4478">
        <w:rPr>
          <w:rFonts w:eastAsia="Times New Roman"/>
          <w:lang w:val="en-AU"/>
        </w:rPr>
        <w:t xml:space="preserve"> sectors will provide further benefits to ni-Vanuatu</w:t>
      </w:r>
      <w:r w:rsidR="002E1BBF">
        <w:rPr>
          <w:rFonts w:eastAsia="Times New Roman"/>
          <w:lang w:val="en-AU"/>
        </w:rPr>
        <w:t>,</w:t>
      </w:r>
      <w:r w:rsidRPr="005E4478">
        <w:rPr>
          <w:rFonts w:eastAsia="Times New Roman"/>
          <w:lang w:val="en-AU"/>
        </w:rPr>
        <w:t xml:space="preserve"> given the prominence of those sectors in Vanuatu and the relevance of those skills to jobs and livelihoods</w:t>
      </w:r>
      <w:r w:rsidR="00CC35FB">
        <w:rPr>
          <w:rFonts w:eastAsia="Times New Roman"/>
          <w:lang w:val="en-AU"/>
        </w:rPr>
        <w:t xml:space="preserve">.  This complements </w:t>
      </w:r>
      <w:r w:rsidRPr="005E4478">
        <w:rPr>
          <w:rFonts w:eastAsia="Times New Roman"/>
          <w:lang w:val="en-AU"/>
        </w:rPr>
        <w:t xml:space="preserve">our investments in-country.  </w:t>
      </w:r>
      <w:r w:rsidR="00C862FD">
        <w:rPr>
          <w:rFonts w:eastAsia="Times New Roman"/>
          <w:lang w:val="en-AU"/>
        </w:rPr>
        <w:t>It is difficult to assess the contribution of seasonal workers to Vanuatu’s economy, although r</w:t>
      </w:r>
      <w:r w:rsidR="00B22263">
        <w:rPr>
          <w:rFonts w:eastAsia="Times New Roman"/>
          <w:lang w:val="en-AU"/>
        </w:rPr>
        <w:t>esearch suggests that</w:t>
      </w:r>
      <w:r w:rsidR="00630E93">
        <w:rPr>
          <w:rFonts w:eastAsia="Times New Roman"/>
          <w:lang w:val="en-AU"/>
        </w:rPr>
        <w:t xml:space="preserve">, on </w:t>
      </w:r>
      <w:r w:rsidR="004F6518">
        <w:rPr>
          <w:rFonts w:eastAsia="Times New Roman"/>
          <w:lang w:val="en-AU"/>
        </w:rPr>
        <w:t>average</w:t>
      </w:r>
      <w:r w:rsidR="00630E93">
        <w:rPr>
          <w:rFonts w:eastAsia="Times New Roman"/>
          <w:lang w:val="en-AU"/>
        </w:rPr>
        <w:t>, a</w:t>
      </w:r>
      <w:r w:rsidR="004F6518">
        <w:rPr>
          <w:rFonts w:eastAsia="Times New Roman"/>
          <w:lang w:val="en-AU"/>
        </w:rPr>
        <w:t xml:space="preserve"> Pacific </w:t>
      </w:r>
      <w:r w:rsidR="00B22263">
        <w:rPr>
          <w:rFonts w:eastAsia="Times New Roman"/>
          <w:lang w:val="en-AU"/>
        </w:rPr>
        <w:t xml:space="preserve">seasonal worker remits around </w:t>
      </w:r>
      <w:r w:rsidR="004F6518">
        <w:rPr>
          <w:rFonts w:eastAsia="Times New Roman"/>
          <w:lang w:val="en-AU"/>
        </w:rPr>
        <w:t>$5,000 during a six</w:t>
      </w:r>
      <w:r w:rsidR="004F6518">
        <w:rPr>
          <w:rFonts w:eastAsia="Times New Roman"/>
          <w:lang w:val="en-AU"/>
        </w:rPr>
        <w:noBreakHyphen/>
        <w:t>month placement.</w:t>
      </w:r>
    </w:p>
    <w:p w:rsidR="00BD4DAF" w:rsidRPr="005E4478" w:rsidRDefault="0008715A" w:rsidP="002A51CA">
      <w:pPr>
        <w:spacing w:after="120" w:line="280" w:lineRule="exact"/>
        <w:rPr>
          <w:rFonts w:eastAsia="Times New Roman"/>
        </w:rPr>
      </w:pPr>
      <w:r w:rsidRPr="005E4478">
        <w:rPr>
          <w:rFonts w:eastAsia="Times New Roman"/>
          <w:lang w:val="en-AU"/>
        </w:rPr>
        <w:t xml:space="preserve">The final phase of Australian support to the </w:t>
      </w:r>
      <w:r w:rsidRPr="005E4478">
        <w:rPr>
          <w:rFonts w:eastAsia="Times New Roman"/>
          <w:b/>
          <w:lang w:val="en-AU"/>
        </w:rPr>
        <w:t>lands sector</w:t>
      </w:r>
      <w:r w:rsidR="0068607D" w:rsidRPr="005E4478">
        <w:rPr>
          <w:rFonts w:eastAsia="Times New Roman"/>
          <w:lang w:val="en-AU"/>
        </w:rPr>
        <w:t xml:space="preserve">, a challenging area of government policy in Vanuatu, </w:t>
      </w:r>
      <w:r w:rsidRPr="005E4478">
        <w:rPr>
          <w:rFonts w:eastAsia="Times New Roman"/>
          <w:lang w:val="en-AU"/>
        </w:rPr>
        <w:t>concluded in December 2015.  Overall, the</w:t>
      </w:r>
      <w:r w:rsidR="00D8138F" w:rsidRPr="005E4478">
        <w:rPr>
          <w:rFonts w:eastAsia="Times New Roman"/>
          <w:lang w:val="en-AU"/>
        </w:rPr>
        <w:t xml:space="preserve"> program, which ran from 2009</w:t>
      </w:r>
      <w:r w:rsidR="00D8138F" w:rsidRPr="005E4478">
        <w:rPr>
          <w:rFonts w:eastAsia="Times New Roman"/>
          <w:lang w:val="en-AU"/>
        </w:rPr>
        <w:noBreakHyphen/>
        <w:t>2</w:t>
      </w:r>
      <w:r w:rsidRPr="005E4478">
        <w:rPr>
          <w:rFonts w:eastAsia="Times New Roman"/>
          <w:lang w:val="en-AU"/>
        </w:rPr>
        <w:t xml:space="preserve">015, rated less than satisfactory in achieving its objectives and outcomes.  </w:t>
      </w:r>
      <w:r w:rsidR="0093642F" w:rsidRPr="005E4478">
        <w:rPr>
          <w:rFonts w:eastAsia="Times New Roman"/>
          <w:lang w:val="en-AU"/>
        </w:rPr>
        <w:t xml:space="preserve">This was in part due to unclear end of program outcomes, the scope being too broad </w:t>
      </w:r>
      <w:r w:rsidR="002E1BBF">
        <w:rPr>
          <w:rFonts w:eastAsia="Times New Roman"/>
          <w:lang w:val="en-AU"/>
        </w:rPr>
        <w:t>(</w:t>
      </w:r>
      <w:r w:rsidR="0093642F" w:rsidRPr="005E4478">
        <w:rPr>
          <w:rFonts w:eastAsia="Times New Roman"/>
          <w:lang w:val="en-AU"/>
        </w:rPr>
        <w:t>and beyond the resources and capacities of program partners</w:t>
      </w:r>
      <w:r w:rsidR="002E1BBF">
        <w:rPr>
          <w:rFonts w:eastAsia="Times New Roman"/>
          <w:lang w:val="en-AU"/>
        </w:rPr>
        <w:t>)</w:t>
      </w:r>
      <w:r w:rsidR="0093642F" w:rsidRPr="005E4478">
        <w:rPr>
          <w:rFonts w:eastAsia="Times New Roman"/>
          <w:lang w:val="en-AU"/>
        </w:rPr>
        <w:t xml:space="preserve">, and the inherent complexity of customary land tenure.  </w:t>
      </w:r>
      <w:r w:rsidR="007D43D4" w:rsidRPr="005E4478">
        <w:rPr>
          <w:rFonts w:eastAsia="Times New Roman"/>
          <w:lang w:val="en-AU"/>
        </w:rPr>
        <w:t>Despite this, there were a number of positive achievements</w:t>
      </w:r>
      <w:r w:rsidR="00630E93">
        <w:rPr>
          <w:rFonts w:eastAsia="Times New Roman"/>
          <w:lang w:val="en-AU"/>
        </w:rPr>
        <w:t xml:space="preserve"> over the course of the investment</w:t>
      </w:r>
      <w:r w:rsidR="007D43D4" w:rsidRPr="005E4478">
        <w:rPr>
          <w:rFonts w:eastAsia="Times New Roman"/>
          <w:lang w:val="en-AU"/>
        </w:rPr>
        <w:t>, including</w:t>
      </w:r>
      <w:r w:rsidR="007227D4" w:rsidRPr="005E4478">
        <w:rPr>
          <w:rFonts w:eastAsia="Times New Roman"/>
          <w:lang w:val="en-AU"/>
        </w:rPr>
        <w:t>: scanning</w:t>
      </w:r>
      <w:r w:rsidR="00F07AAD" w:rsidRPr="005E4478">
        <w:rPr>
          <w:rFonts w:eastAsia="Times New Roman"/>
          <w:lang w:val="en-AU"/>
        </w:rPr>
        <w:t>/digitising</w:t>
      </w:r>
      <w:r w:rsidR="007227D4" w:rsidRPr="005E4478">
        <w:rPr>
          <w:rFonts w:eastAsia="Times New Roman"/>
          <w:lang w:val="en-AU"/>
        </w:rPr>
        <w:t xml:space="preserve"> of 14,000 land registry files; completion of Port Vila and Luganville valuation roles and valuation zone maps (which provide a sound basis for the determination of land rents and municipal rates); improvements to the integrity of the digital cadastral database; and improved use of new survey equipment. </w:t>
      </w:r>
      <w:r w:rsidR="00150399" w:rsidRPr="005E4478">
        <w:rPr>
          <w:rFonts w:eastAsia="Times New Roman"/>
          <w:lang w:val="en-AU"/>
        </w:rPr>
        <w:t xml:space="preserve"> There is no plan to undertake another phase of support to the lands sector.</w:t>
      </w:r>
    </w:p>
    <w:p w:rsidR="00890D15" w:rsidRPr="005E4478" w:rsidRDefault="00525A36" w:rsidP="00890D15">
      <w:pPr>
        <w:spacing w:after="120" w:line="280" w:lineRule="exact"/>
        <w:rPr>
          <w:rFonts w:eastAsia="Times New Roman"/>
          <w:lang w:val="en-AU"/>
        </w:rPr>
      </w:pPr>
      <w:r w:rsidRPr="005E4478">
        <w:rPr>
          <w:rFonts w:eastAsia="Times New Roman"/>
          <w:lang w:val="en-AU"/>
        </w:rPr>
        <w:t xml:space="preserve">Despite recent challenges, </w:t>
      </w:r>
      <w:r w:rsidR="00604765" w:rsidRPr="00CC5FD4">
        <w:rPr>
          <w:rFonts w:eastAsia="Times New Roman"/>
          <w:b/>
          <w:lang w:val="en-AU"/>
        </w:rPr>
        <w:t xml:space="preserve">building resilient </w:t>
      </w:r>
      <w:r w:rsidR="00844E54" w:rsidRPr="00CC5FD4">
        <w:rPr>
          <w:rFonts w:eastAsia="Times New Roman"/>
          <w:b/>
          <w:lang w:val="en-AU"/>
        </w:rPr>
        <w:t>infrastructure</w:t>
      </w:r>
      <w:r w:rsidR="00890D15" w:rsidRPr="005E4478">
        <w:rPr>
          <w:rFonts w:eastAsia="Times New Roman"/>
          <w:lang w:val="en-AU"/>
        </w:rPr>
        <w:t xml:space="preserve"> </w:t>
      </w:r>
      <w:r w:rsidR="001C719B" w:rsidRPr="005E4478">
        <w:rPr>
          <w:rFonts w:eastAsia="Times New Roman"/>
          <w:lang w:val="en-AU"/>
        </w:rPr>
        <w:t xml:space="preserve">work </w:t>
      </w:r>
      <w:r w:rsidRPr="005E4478">
        <w:rPr>
          <w:rFonts w:eastAsia="Times New Roman"/>
          <w:lang w:val="en-AU"/>
        </w:rPr>
        <w:t xml:space="preserve">is back on track and making incremental progress against </w:t>
      </w:r>
      <w:r w:rsidR="00604765" w:rsidRPr="005E4478">
        <w:rPr>
          <w:rFonts w:eastAsia="Times New Roman"/>
          <w:lang w:val="en-AU"/>
        </w:rPr>
        <w:t>performance</w:t>
      </w:r>
      <w:r w:rsidRPr="005E4478">
        <w:rPr>
          <w:rFonts w:eastAsia="Times New Roman"/>
          <w:lang w:val="en-AU"/>
        </w:rPr>
        <w:t xml:space="preserve"> benchmarks</w:t>
      </w:r>
      <w:r w:rsidR="00604765" w:rsidRPr="005E4478">
        <w:rPr>
          <w:rFonts w:eastAsia="Times New Roman"/>
          <w:lang w:val="en-AU"/>
        </w:rPr>
        <w:t>, in line with Vanuatu Government priorities</w:t>
      </w:r>
      <w:r w:rsidR="00890D15" w:rsidRPr="005E4478">
        <w:rPr>
          <w:rFonts w:eastAsia="Times New Roman"/>
          <w:lang w:val="en-AU"/>
        </w:rPr>
        <w:t>.</w:t>
      </w:r>
      <w:r w:rsidRPr="005E4478">
        <w:rPr>
          <w:rFonts w:eastAsia="Times New Roman"/>
          <w:lang w:val="en-AU"/>
        </w:rPr>
        <w:t xml:space="preserve">  </w:t>
      </w:r>
      <w:r w:rsidR="0063393F" w:rsidRPr="005E4478">
        <w:rPr>
          <w:rFonts w:eastAsia="Times New Roman"/>
          <w:lang w:val="en-AU"/>
        </w:rPr>
        <w:t>Investment</w:t>
      </w:r>
      <w:r w:rsidRPr="005E4478">
        <w:rPr>
          <w:rFonts w:eastAsia="Times New Roman"/>
          <w:lang w:val="en-AU"/>
        </w:rPr>
        <w:t xml:space="preserve"> designs incorporate consideration of climate change and disaster risk reduction and mitigation measures</w:t>
      </w:r>
      <w:r w:rsidR="00630E93">
        <w:rPr>
          <w:rFonts w:eastAsia="Times New Roman"/>
          <w:lang w:val="en-AU"/>
        </w:rPr>
        <w:t xml:space="preserve"> and are exploring ways of meaningfully incorporating gender equality and disability inclusiveness measures</w:t>
      </w:r>
      <w:r w:rsidRPr="005E4478">
        <w:rPr>
          <w:rFonts w:eastAsia="Times New Roman"/>
          <w:lang w:val="en-AU"/>
        </w:rPr>
        <w:t>.</w:t>
      </w:r>
    </w:p>
    <w:p w:rsidR="00890D15" w:rsidRPr="005E4478" w:rsidRDefault="00890D15" w:rsidP="00890D15">
      <w:pPr>
        <w:spacing w:after="120" w:line="280" w:lineRule="exact"/>
        <w:rPr>
          <w:rFonts w:eastAsia="Times New Roman"/>
          <w:lang w:val="en-AU"/>
        </w:rPr>
      </w:pPr>
      <w:r w:rsidRPr="005E4478">
        <w:rPr>
          <w:rFonts w:eastAsia="Times New Roman"/>
          <w:lang w:val="en-AU"/>
        </w:rPr>
        <w:t xml:space="preserve">Vanuatu’s infrastructure sector is undergoing significant change. </w:t>
      </w:r>
      <w:r w:rsidR="00525A36" w:rsidRPr="005E4478">
        <w:rPr>
          <w:rFonts w:eastAsia="Times New Roman"/>
          <w:lang w:val="en-AU"/>
        </w:rPr>
        <w:t xml:space="preserve"> </w:t>
      </w:r>
      <w:r w:rsidRPr="005E4478">
        <w:rPr>
          <w:rFonts w:eastAsia="Times New Roman"/>
          <w:lang w:val="en-AU"/>
        </w:rPr>
        <w:t>A</w:t>
      </w:r>
      <w:r w:rsidR="00B71514">
        <w:rPr>
          <w:rFonts w:eastAsia="Times New Roman"/>
          <w:lang w:val="en-AU"/>
        </w:rPr>
        <w:t xml:space="preserve">s reported in last year’s APPR, </w:t>
      </w:r>
      <w:r w:rsidRPr="005E4478">
        <w:rPr>
          <w:rFonts w:eastAsia="Times New Roman"/>
          <w:lang w:val="en-AU"/>
        </w:rPr>
        <w:t>Vanuatu ha</w:t>
      </w:r>
      <w:r w:rsidR="00B71514">
        <w:rPr>
          <w:rFonts w:eastAsia="Times New Roman"/>
          <w:lang w:val="en-AU"/>
        </w:rPr>
        <w:t>d</w:t>
      </w:r>
      <w:r w:rsidRPr="005E4478">
        <w:rPr>
          <w:rFonts w:eastAsia="Times New Roman"/>
          <w:lang w:val="en-AU"/>
        </w:rPr>
        <w:t xml:space="preserve"> six major loan financed projects in the pipeline totalling US$321 million: US$34 million from ADB (11</w:t>
      </w:r>
      <w:r w:rsidR="00F13DE8">
        <w:rPr>
          <w:rFonts w:eastAsia="Times New Roman"/>
          <w:lang w:val="en-AU"/>
        </w:rPr>
        <w:t> </w:t>
      </w:r>
      <w:r w:rsidR="00D63A83">
        <w:rPr>
          <w:rFonts w:eastAsia="Times New Roman"/>
          <w:lang w:val="en-AU"/>
        </w:rPr>
        <w:t>per cent</w:t>
      </w:r>
      <w:r w:rsidRPr="005E4478">
        <w:rPr>
          <w:rFonts w:eastAsia="Times New Roman"/>
          <w:lang w:val="en-AU"/>
        </w:rPr>
        <w:t>), $84 million from JICA (26</w:t>
      </w:r>
      <w:r w:rsidR="00F13DE8">
        <w:rPr>
          <w:rFonts w:eastAsia="Times New Roman"/>
          <w:lang w:val="en-AU"/>
        </w:rPr>
        <w:t xml:space="preserve"> </w:t>
      </w:r>
      <w:r w:rsidR="00D63A83">
        <w:rPr>
          <w:rFonts w:eastAsia="Times New Roman"/>
          <w:lang w:val="en-AU"/>
        </w:rPr>
        <w:t>per cent</w:t>
      </w:r>
      <w:r w:rsidRPr="005E4478">
        <w:rPr>
          <w:rFonts w:eastAsia="Times New Roman"/>
          <w:lang w:val="en-AU"/>
        </w:rPr>
        <w:t>), US$59 million from World Bank (18</w:t>
      </w:r>
      <w:r w:rsidR="00F13DE8">
        <w:rPr>
          <w:rFonts w:eastAsia="Times New Roman"/>
          <w:lang w:val="en-AU"/>
        </w:rPr>
        <w:t xml:space="preserve"> </w:t>
      </w:r>
      <w:r w:rsidR="00D63A83">
        <w:rPr>
          <w:rFonts w:eastAsia="Times New Roman"/>
          <w:lang w:val="en-AU"/>
        </w:rPr>
        <w:t>per cent</w:t>
      </w:r>
      <w:r w:rsidRPr="005E4478">
        <w:rPr>
          <w:rFonts w:eastAsia="Times New Roman"/>
          <w:lang w:val="en-AU"/>
        </w:rPr>
        <w:t>) and US$144 million from China EXIM (45</w:t>
      </w:r>
      <w:r w:rsidR="00F13DE8">
        <w:rPr>
          <w:rFonts w:eastAsia="Times New Roman"/>
          <w:lang w:val="en-AU"/>
        </w:rPr>
        <w:t xml:space="preserve"> </w:t>
      </w:r>
      <w:r w:rsidR="00D63A83">
        <w:rPr>
          <w:rFonts w:eastAsia="Times New Roman"/>
          <w:lang w:val="en-AU"/>
        </w:rPr>
        <w:t>per cent</w:t>
      </w:r>
      <w:r w:rsidRPr="005E4478">
        <w:rPr>
          <w:rFonts w:eastAsia="Times New Roman"/>
          <w:lang w:val="en-AU"/>
        </w:rPr>
        <w:t xml:space="preserve">).  </w:t>
      </w:r>
      <w:r w:rsidR="00B71514">
        <w:rPr>
          <w:rFonts w:eastAsia="Times New Roman"/>
          <w:lang w:val="en-AU"/>
        </w:rPr>
        <w:t xml:space="preserve">In June 2016, the World Bank announced a commitment of US$50 million to fund further reconstruction and climate resilient improvements to roads, schools and public buildings damaged by </w:t>
      </w:r>
      <w:r w:rsidR="00084CBC">
        <w:rPr>
          <w:rFonts w:eastAsia="Times New Roman"/>
          <w:lang w:val="en-AU"/>
        </w:rPr>
        <w:t>Tropical Cyclone Pam</w:t>
      </w:r>
      <w:r w:rsidR="00B71514">
        <w:rPr>
          <w:rFonts w:eastAsia="Times New Roman"/>
          <w:lang w:val="en-AU"/>
        </w:rPr>
        <w:t xml:space="preserve">.  </w:t>
      </w:r>
      <w:r w:rsidRPr="005E4478">
        <w:rPr>
          <w:rFonts w:eastAsia="Times New Roman"/>
          <w:lang w:val="en-AU"/>
        </w:rPr>
        <w:t xml:space="preserve">Considering the capacity limitations in the Public Works Department (PWD) and increasing support from other donors, Australia’s role in the sector may need to change over time. Our investments will increasingly need to support policy dialogue and </w:t>
      </w:r>
      <w:r w:rsidR="009F6814">
        <w:rPr>
          <w:rFonts w:eastAsia="Times New Roman"/>
          <w:lang w:val="en-AU"/>
        </w:rPr>
        <w:t xml:space="preserve">institutional strengthening, </w:t>
      </w:r>
      <w:r w:rsidRPr="005E4478">
        <w:rPr>
          <w:rFonts w:eastAsia="Times New Roman"/>
          <w:lang w:val="en-AU"/>
        </w:rPr>
        <w:t>performance management</w:t>
      </w:r>
      <w:r w:rsidR="009F6814">
        <w:rPr>
          <w:rFonts w:eastAsia="Times New Roman"/>
          <w:lang w:val="en-AU"/>
        </w:rPr>
        <w:t xml:space="preserve"> and capacity building</w:t>
      </w:r>
      <w:r w:rsidRPr="005E4478">
        <w:rPr>
          <w:rFonts w:eastAsia="Times New Roman"/>
          <w:lang w:val="en-AU"/>
        </w:rPr>
        <w:t xml:space="preserve"> in PWD.  </w:t>
      </w:r>
      <w:r w:rsidR="00D63A83">
        <w:rPr>
          <w:rFonts w:eastAsia="Times New Roman"/>
          <w:lang w:val="en-AU"/>
        </w:rPr>
        <w:t xml:space="preserve">Tropical </w:t>
      </w:r>
      <w:r w:rsidRPr="005E4478">
        <w:rPr>
          <w:rFonts w:eastAsia="Times New Roman"/>
          <w:lang w:val="en-AU"/>
        </w:rPr>
        <w:t xml:space="preserve">Cyclone Pam </w:t>
      </w:r>
      <w:r w:rsidR="009F6814">
        <w:rPr>
          <w:rFonts w:eastAsia="Times New Roman"/>
          <w:lang w:val="en-AU"/>
        </w:rPr>
        <w:t xml:space="preserve">recovery activities </w:t>
      </w:r>
      <w:r w:rsidR="00525A36" w:rsidRPr="005E4478">
        <w:rPr>
          <w:rFonts w:eastAsia="Times New Roman"/>
          <w:lang w:val="en-AU"/>
        </w:rPr>
        <w:t xml:space="preserve">will </w:t>
      </w:r>
      <w:r w:rsidRPr="005E4478">
        <w:rPr>
          <w:rFonts w:eastAsia="Times New Roman"/>
          <w:lang w:val="en-AU"/>
        </w:rPr>
        <w:t xml:space="preserve">compound the challenges the sector faces by increasing the strain on PWD implementation capacity. </w:t>
      </w:r>
    </w:p>
    <w:p w:rsidR="00890D15" w:rsidRPr="005E4478" w:rsidRDefault="00890D15" w:rsidP="00890D15">
      <w:pPr>
        <w:spacing w:after="120" w:line="280" w:lineRule="exact"/>
        <w:rPr>
          <w:rFonts w:eastAsia="Times New Roman"/>
          <w:lang w:val="en-AU"/>
        </w:rPr>
      </w:pPr>
      <w:r w:rsidRPr="005E4478">
        <w:rPr>
          <w:rFonts w:eastAsia="Times New Roman"/>
          <w:lang w:val="en-AU"/>
        </w:rPr>
        <w:t xml:space="preserve">The </w:t>
      </w:r>
      <w:r w:rsidRPr="00AD1670">
        <w:rPr>
          <w:rFonts w:eastAsia="Times New Roman"/>
          <w:b/>
          <w:i/>
          <w:lang w:val="en-AU"/>
        </w:rPr>
        <w:t>Roads for Development program</w:t>
      </w:r>
      <w:r w:rsidRPr="005E4478">
        <w:rPr>
          <w:rFonts w:eastAsia="Times New Roman"/>
          <w:b/>
          <w:lang w:val="en-AU"/>
        </w:rPr>
        <w:t xml:space="preserve"> (R4D)</w:t>
      </w:r>
      <w:r w:rsidRPr="005E4478">
        <w:rPr>
          <w:rFonts w:eastAsia="Times New Roman"/>
          <w:lang w:val="en-AU"/>
        </w:rPr>
        <w:t xml:space="preserve"> is a long term program (10-15 years) designed to improve economic growth and service delivery in rural areas through increased access to a well maintained, affordable and integrated transport network. </w:t>
      </w:r>
      <w:r w:rsidR="0063393F" w:rsidRPr="005E4478">
        <w:rPr>
          <w:rFonts w:eastAsia="Times New Roman"/>
          <w:lang w:val="en-AU"/>
        </w:rPr>
        <w:t xml:space="preserve"> </w:t>
      </w:r>
      <w:r w:rsidRPr="005E4478">
        <w:rPr>
          <w:rFonts w:eastAsia="Times New Roman"/>
          <w:lang w:val="en-AU"/>
        </w:rPr>
        <w:t>Key activities include physical civil works on the islands of Tanna, Malekula, Ambae and Pentecost, institutional transformation such as establishing public financial management and procurement systems and processes, and human resources capacity building.</w:t>
      </w:r>
      <w:r w:rsidR="009F6814">
        <w:rPr>
          <w:rFonts w:eastAsia="Times New Roman"/>
          <w:lang w:val="en-AU"/>
        </w:rPr>
        <w:t xml:space="preserve">  </w:t>
      </w:r>
      <w:r w:rsidR="009F6814" w:rsidRPr="009F6814">
        <w:rPr>
          <w:rFonts w:eastAsia="Times New Roman"/>
          <w:lang w:val="en-AU"/>
        </w:rPr>
        <w:t>In 2016, R4D support was opened up to all provinces and islands and its work</w:t>
      </w:r>
      <w:r w:rsidR="00630E93">
        <w:rPr>
          <w:rFonts w:eastAsia="Times New Roman"/>
          <w:lang w:val="en-AU"/>
        </w:rPr>
        <w:t xml:space="preserve"> </w:t>
      </w:r>
      <w:r w:rsidR="009F6814" w:rsidRPr="009F6814">
        <w:rPr>
          <w:rFonts w:eastAsia="Times New Roman"/>
          <w:lang w:val="en-AU"/>
        </w:rPr>
        <w:t>plan was integrated with that of PWD.</w:t>
      </w:r>
    </w:p>
    <w:p w:rsidR="00890D15" w:rsidRPr="005E4478" w:rsidRDefault="009F6814" w:rsidP="00890D15">
      <w:pPr>
        <w:spacing w:after="120" w:line="280" w:lineRule="exact"/>
        <w:rPr>
          <w:rFonts w:eastAsia="Times New Roman"/>
          <w:lang w:val="en-AU"/>
        </w:rPr>
      </w:pPr>
      <w:r w:rsidRPr="009F6814">
        <w:rPr>
          <w:rFonts w:eastAsia="Times New Roman"/>
          <w:lang w:val="en-AU"/>
        </w:rPr>
        <w:t>By end-June 2016, R4D had maintained 668 kilometres of rural roads—in large part basic maintenance by communities—and built 210 drainage structures since the program commenced in July 2013. In 2015-16, the program provided around 56,100 worker days (including 9,005 for women), mainly through island based contractors (IBCs) and community based contracts.</w:t>
      </w:r>
      <w:r w:rsidR="00890D15" w:rsidRPr="005E4478">
        <w:rPr>
          <w:rFonts w:eastAsia="Times New Roman"/>
          <w:lang w:val="en-AU"/>
        </w:rPr>
        <w:t xml:space="preserve">  </w:t>
      </w:r>
      <w:r w:rsidR="000F4311">
        <w:rPr>
          <w:rFonts w:eastAsia="Times New Roman"/>
          <w:lang w:val="en-AU"/>
        </w:rPr>
        <w:t>To assist PWD to manage and maintain roads in a sustainable and cost</w:t>
      </w:r>
      <w:r w:rsidR="000F4311">
        <w:rPr>
          <w:rFonts w:eastAsia="Times New Roman"/>
          <w:lang w:val="en-AU"/>
        </w:rPr>
        <w:noBreakHyphen/>
        <w:t>effective way, t</w:t>
      </w:r>
      <w:r w:rsidR="00604765" w:rsidRPr="005E4478">
        <w:rPr>
          <w:rFonts w:eastAsia="Times New Roman"/>
          <w:lang w:val="en-AU"/>
        </w:rPr>
        <w:t>he program established an innovative Tractor</w:t>
      </w:r>
      <w:r w:rsidR="00604765" w:rsidRPr="005E4478">
        <w:rPr>
          <w:rFonts w:eastAsia="Times New Roman"/>
          <w:lang w:val="en-AU"/>
        </w:rPr>
        <w:noBreakHyphen/>
        <w:t>Based Plant and Equipment Trial (including outsourcing of management and equipment), and us</w:t>
      </w:r>
      <w:r w:rsidR="00F6456E">
        <w:rPr>
          <w:rFonts w:eastAsia="Times New Roman"/>
          <w:lang w:val="en-AU"/>
        </w:rPr>
        <w:t>ed</w:t>
      </w:r>
      <w:r w:rsidR="00604765" w:rsidRPr="005E4478">
        <w:rPr>
          <w:rFonts w:eastAsia="Times New Roman"/>
          <w:lang w:val="en-AU"/>
        </w:rPr>
        <w:t xml:space="preserve"> community</w:t>
      </w:r>
      <w:r w:rsidR="00604765" w:rsidRPr="005E4478">
        <w:rPr>
          <w:rFonts w:eastAsia="Times New Roman"/>
          <w:lang w:val="en-AU"/>
        </w:rPr>
        <w:noBreakHyphen/>
        <w:t>based contractors (CBCs) to undertake light labour</w:t>
      </w:r>
      <w:r w:rsidR="00604765" w:rsidRPr="005E4478">
        <w:rPr>
          <w:rFonts w:eastAsia="Times New Roman"/>
          <w:lang w:val="en-AU"/>
        </w:rPr>
        <w:noBreakHyphen/>
        <w:t>based maintenance of roads</w:t>
      </w:r>
      <w:r w:rsidR="000F4311">
        <w:rPr>
          <w:rFonts w:eastAsia="Times New Roman"/>
          <w:lang w:val="en-AU"/>
        </w:rPr>
        <w:t xml:space="preserve">. </w:t>
      </w:r>
      <w:r w:rsidR="00604765" w:rsidRPr="005E4478">
        <w:rPr>
          <w:rFonts w:eastAsia="Times New Roman"/>
          <w:lang w:val="en-AU"/>
        </w:rPr>
        <w:t xml:space="preserve"> </w:t>
      </w:r>
      <w:r w:rsidR="00890D15" w:rsidRPr="005E4478">
        <w:rPr>
          <w:rFonts w:eastAsia="Times New Roman"/>
          <w:lang w:val="en-AU"/>
        </w:rPr>
        <w:t xml:space="preserve">A tracer study of IBCs </w:t>
      </w:r>
      <w:r w:rsidR="00604765" w:rsidRPr="005E4478">
        <w:rPr>
          <w:rFonts w:eastAsia="Times New Roman"/>
          <w:lang w:val="en-AU"/>
        </w:rPr>
        <w:t xml:space="preserve">in the previous reporting period </w:t>
      </w:r>
      <w:r w:rsidR="00890D15" w:rsidRPr="005E4478">
        <w:rPr>
          <w:rFonts w:eastAsia="Times New Roman"/>
          <w:lang w:val="en-AU"/>
        </w:rPr>
        <w:t>showed approximately 20</w:t>
      </w:r>
      <w:r w:rsidR="002E1BBF">
        <w:rPr>
          <w:rFonts w:eastAsia="Times New Roman"/>
          <w:lang w:val="en-AU"/>
        </w:rPr>
        <w:t xml:space="preserve"> </w:t>
      </w:r>
      <w:r w:rsidR="00D63A83">
        <w:rPr>
          <w:rFonts w:eastAsia="Times New Roman"/>
          <w:lang w:val="en-AU"/>
        </w:rPr>
        <w:t>per cent</w:t>
      </w:r>
      <w:r w:rsidR="00890D15" w:rsidRPr="005E4478">
        <w:rPr>
          <w:rFonts w:eastAsia="Times New Roman"/>
          <w:lang w:val="en-AU"/>
        </w:rPr>
        <w:t xml:space="preserve"> of the work-force is female. Equal employment opportunities var</w:t>
      </w:r>
      <w:r w:rsidR="000D4888" w:rsidRPr="005E4478">
        <w:rPr>
          <w:rFonts w:eastAsia="Times New Roman"/>
          <w:lang w:val="en-AU"/>
        </w:rPr>
        <w:t>ied</w:t>
      </w:r>
      <w:r w:rsidR="00890D15" w:rsidRPr="005E4478">
        <w:rPr>
          <w:rFonts w:eastAsia="Times New Roman"/>
          <w:lang w:val="en-AU"/>
        </w:rPr>
        <w:t xml:space="preserve"> significantly from area-to-a</w:t>
      </w:r>
      <w:r w:rsidR="00D050DD" w:rsidRPr="005E4478">
        <w:rPr>
          <w:rFonts w:eastAsia="Times New Roman"/>
          <w:lang w:val="en-AU"/>
        </w:rPr>
        <w:t>rea and amongst IBCs.</w:t>
      </w:r>
      <w:r w:rsidR="00F13DE8">
        <w:rPr>
          <w:rFonts w:eastAsia="Times New Roman"/>
          <w:lang w:val="en-AU"/>
        </w:rPr>
        <w:t xml:space="preserve"> </w:t>
      </w:r>
      <w:r w:rsidR="00D050DD" w:rsidRPr="005E4478">
        <w:rPr>
          <w:rFonts w:eastAsia="Times New Roman"/>
          <w:lang w:val="en-AU"/>
        </w:rPr>
        <w:t xml:space="preserve"> There appeared to be </w:t>
      </w:r>
      <w:r w:rsidR="00890D15" w:rsidRPr="005E4478">
        <w:rPr>
          <w:rFonts w:eastAsia="Times New Roman"/>
          <w:lang w:val="en-AU"/>
        </w:rPr>
        <w:t>more equality of opportunity on labour-based, light routine maintenance jobs (e.g. grass cutting, clearing drains), but little opportunity for women to work o</w:t>
      </w:r>
      <w:r w:rsidR="008E46B1" w:rsidRPr="005E4478">
        <w:rPr>
          <w:rFonts w:eastAsia="Times New Roman"/>
          <w:lang w:val="en-AU"/>
        </w:rPr>
        <w:t>n construction</w:t>
      </w:r>
      <w:r w:rsidR="00890D15" w:rsidRPr="005E4478">
        <w:rPr>
          <w:rFonts w:eastAsia="Times New Roman"/>
          <w:lang w:val="en-AU"/>
        </w:rPr>
        <w:t>.</w:t>
      </w:r>
    </w:p>
    <w:p w:rsidR="008233BE" w:rsidRPr="005E4478" w:rsidRDefault="002C65AC" w:rsidP="00890D15">
      <w:pPr>
        <w:spacing w:after="120" w:line="280" w:lineRule="exact"/>
        <w:rPr>
          <w:rFonts w:eastAsia="Times New Roman"/>
          <w:lang w:val="en-AU"/>
        </w:rPr>
      </w:pPr>
      <w:r w:rsidRPr="005E4478">
        <w:rPr>
          <w:rFonts w:eastAsia="Times New Roman"/>
          <w:lang w:val="en-AU"/>
        </w:rPr>
        <w:t xml:space="preserve">In response to an Interim Review </w:t>
      </w:r>
      <w:r w:rsidR="009F6814">
        <w:rPr>
          <w:rFonts w:eastAsia="Times New Roman"/>
          <w:lang w:val="en-AU"/>
        </w:rPr>
        <w:t>completed</w:t>
      </w:r>
      <w:r w:rsidR="009F6814" w:rsidRPr="005E4478">
        <w:rPr>
          <w:rFonts w:eastAsia="Times New Roman"/>
          <w:lang w:val="en-AU"/>
        </w:rPr>
        <w:t xml:space="preserve"> </w:t>
      </w:r>
      <w:r w:rsidRPr="005E4478">
        <w:rPr>
          <w:rFonts w:eastAsia="Times New Roman"/>
          <w:lang w:val="en-AU"/>
        </w:rPr>
        <w:t>in March 2015, t</w:t>
      </w:r>
      <w:r w:rsidR="00890D15" w:rsidRPr="005E4478">
        <w:rPr>
          <w:rFonts w:eastAsia="Times New Roman"/>
          <w:lang w:val="en-AU"/>
        </w:rPr>
        <w:t xml:space="preserve">he program assisted PWD </w:t>
      </w:r>
      <w:r w:rsidR="003771D8" w:rsidRPr="005E4478">
        <w:rPr>
          <w:rFonts w:eastAsia="Times New Roman"/>
          <w:lang w:val="en-AU"/>
        </w:rPr>
        <w:t xml:space="preserve">to </w:t>
      </w:r>
      <w:r w:rsidR="00890D15" w:rsidRPr="005E4478">
        <w:rPr>
          <w:rFonts w:eastAsia="Times New Roman"/>
          <w:lang w:val="en-AU"/>
        </w:rPr>
        <w:t>develop</w:t>
      </w:r>
      <w:r w:rsidR="008233BE" w:rsidRPr="005E4478">
        <w:rPr>
          <w:rFonts w:eastAsia="Times New Roman"/>
          <w:lang w:val="en-AU"/>
        </w:rPr>
        <w:t xml:space="preserve"> a</w:t>
      </w:r>
      <w:r w:rsidR="004D7919" w:rsidRPr="005E4478">
        <w:rPr>
          <w:rFonts w:eastAsia="Times New Roman"/>
          <w:lang w:val="en-AU"/>
        </w:rPr>
        <w:t xml:space="preserve"> draft</w:t>
      </w:r>
      <w:r w:rsidR="008233BE" w:rsidRPr="005E4478">
        <w:rPr>
          <w:rFonts w:eastAsia="Times New Roman"/>
          <w:lang w:val="en-AU"/>
        </w:rPr>
        <w:t xml:space="preserve"> </w:t>
      </w:r>
      <w:r w:rsidR="008233BE" w:rsidRPr="0077105F">
        <w:rPr>
          <w:rFonts w:eastAsia="Times New Roman"/>
          <w:i/>
          <w:lang w:val="en-AU"/>
        </w:rPr>
        <w:t>Rural Roa</w:t>
      </w:r>
      <w:r w:rsidR="00130DA8" w:rsidRPr="0077105F">
        <w:rPr>
          <w:rFonts w:eastAsia="Times New Roman"/>
          <w:i/>
          <w:lang w:val="en-AU"/>
        </w:rPr>
        <w:t>d Access Policy</w:t>
      </w:r>
      <w:r w:rsidR="00130DA8" w:rsidRPr="005E4478">
        <w:rPr>
          <w:rFonts w:eastAsia="Times New Roman"/>
          <w:lang w:val="en-AU"/>
        </w:rPr>
        <w:t xml:space="preserve"> (RRAP) that gives clear and detailed guidance for multi</w:t>
      </w:r>
      <w:r w:rsidR="00130DA8" w:rsidRPr="005E4478">
        <w:rPr>
          <w:rFonts w:eastAsia="Times New Roman"/>
          <w:lang w:val="en-AU"/>
        </w:rPr>
        <w:noBreakHyphen/>
        <w:t>year road investment planning</w:t>
      </w:r>
      <w:r w:rsidR="00FB0966">
        <w:rPr>
          <w:rFonts w:eastAsia="Times New Roman"/>
          <w:lang w:val="en-AU"/>
        </w:rPr>
        <w:t xml:space="preserve"> in line with program targets</w:t>
      </w:r>
      <w:r w:rsidR="00130DA8" w:rsidRPr="005E4478">
        <w:rPr>
          <w:rFonts w:eastAsia="Times New Roman"/>
          <w:lang w:val="en-AU"/>
        </w:rPr>
        <w:t>.  The policy</w:t>
      </w:r>
      <w:r w:rsidR="00BB39D1" w:rsidRPr="00BB39D1">
        <w:rPr>
          <w:rFonts w:eastAsia="Times New Roman"/>
          <w:lang w:val="en-AU"/>
        </w:rPr>
        <w:t xml:space="preserve">, which is in the final stages of preparation, </w:t>
      </w:r>
      <w:r w:rsidR="00130DA8" w:rsidRPr="005E4478">
        <w:rPr>
          <w:rFonts w:eastAsia="Times New Roman"/>
          <w:lang w:val="en-AU"/>
        </w:rPr>
        <w:t>sets time-bound rural road access (RAI) targets for islands, provinces, and the entire country</w:t>
      </w:r>
      <w:r w:rsidR="00130DA8" w:rsidRPr="005E4478">
        <w:rPr>
          <w:rStyle w:val="FootnoteReference"/>
          <w:rFonts w:eastAsia="Times New Roman"/>
          <w:lang w:val="en-AU"/>
        </w:rPr>
        <w:footnoteReference w:id="1"/>
      </w:r>
      <w:r w:rsidR="00130DA8" w:rsidRPr="005E4478">
        <w:rPr>
          <w:rFonts w:eastAsia="Times New Roman"/>
          <w:lang w:val="en-AU"/>
        </w:rPr>
        <w:t xml:space="preserve">. </w:t>
      </w:r>
      <w:r w:rsidR="008F7BCE" w:rsidRPr="005E4478">
        <w:rPr>
          <w:rFonts w:eastAsia="Times New Roman"/>
          <w:lang w:val="en-AU"/>
        </w:rPr>
        <w:t xml:space="preserve"> The </w:t>
      </w:r>
      <w:r w:rsidR="00CC5EFD">
        <w:rPr>
          <w:rFonts w:eastAsia="Times New Roman"/>
          <w:lang w:val="en-AU"/>
        </w:rPr>
        <w:t>program is</w:t>
      </w:r>
      <w:r w:rsidR="00CC5EFD" w:rsidRPr="005E4478">
        <w:rPr>
          <w:rFonts w:eastAsia="Times New Roman"/>
          <w:lang w:val="en-AU"/>
        </w:rPr>
        <w:t xml:space="preserve"> </w:t>
      </w:r>
      <w:r w:rsidR="008F7BCE" w:rsidRPr="005E4478">
        <w:rPr>
          <w:rFonts w:eastAsia="Times New Roman"/>
          <w:lang w:val="en-AU"/>
        </w:rPr>
        <w:t>also shift</w:t>
      </w:r>
      <w:r w:rsidR="00CC5EFD">
        <w:rPr>
          <w:rFonts w:eastAsia="Times New Roman"/>
          <w:lang w:val="en-AU"/>
        </w:rPr>
        <w:t>ing</w:t>
      </w:r>
      <w:r w:rsidR="008F7BCE" w:rsidRPr="005E4478">
        <w:rPr>
          <w:rFonts w:eastAsia="Times New Roman"/>
          <w:lang w:val="en-AU"/>
        </w:rPr>
        <w:t xml:space="preserve"> the physical works focus away from road lengths to “pinch points” with an emphasis on building critical drainage structures and crossings, sealing steep sections of roads, and providing reliable all</w:t>
      </w:r>
      <w:r w:rsidR="008F7BCE" w:rsidRPr="005E4478">
        <w:rPr>
          <w:rFonts w:eastAsia="Times New Roman"/>
          <w:lang w:val="en-AU"/>
        </w:rPr>
        <w:noBreakHyphen/>
        <w:t>season access over longer dista</w:t>
      </w:r>
      <w:r w:rsidRPr="005E4478">
        <w:rPr>
          <w:rFonts w:eastAsia="Times New Roman"/>
          <w:lang w:val="en-AU"/>
        </w:rPr>
        <w:t>nces and reaching more people.  T</w:t>
      </w:r>
      <w:r w:rsidR="00FD296E" w:rsidRPr="005E4478">
        <w:rPr>
          <w:rFonts w:eastAsia="Times New Roman"/>
          <w:lang w:val="en-AU"/>
        </w:rPr>
        <w:t>he program also shifted to a demand</w:t>
      </w:r>
      <w:r w:rsidR="00FD296E" w:rsidRPr="005E4478">
        <w:rPr>
          <w:rFonts w:eastAsia="Times New Roman"/>
          <w:lang w:val="en-AU"/>
        </w:rPr>
        <w:noBreakHyphen/>
        <w:t>driven approach to physical works planning during the reporting period</w:t>
      </w:r>
      <w:r w:rsidR="000B44F3">
        <w:rPr>
          <w:rFonts w:eastAsia="Times New Roman"/>
          <w:lang w:val="en-AU"/>
        </w:rPr>
        <w:t>.  This paradigm shift to a demand driven approach</w:t>
      </w:r>
      <w:r w:rsidR="00FD296E" w:rsidRPr="005E4478">
        <w:rPr>
          <w:rFonts w:eastAsia="Times New Roman"/>
          <w:lang w:val="en-AU"/>
        </w:rPr>
        <w:t xml:space="preserve"> led to </w:t>
      </w:r>
      <w:r w:rsidR="000B44F3">
        <w:rPr>
          <w:rFonts w:eastAsia="Times New Roman"/>
          <w:lang w:val="en-AU"/>
        </w:rPr>
        <w:t xml:space="preserve">an unprecedented level of positive </w:t>
      </w:r>
      <w:r w:rsidR="00FD296E" w:rsidRPr="005E4478">
        <w:rPr>
          <w:rFonts w:eastAsia="Times New Roman"/>
          <w:lang w:val="en-AU"/>
        </w:rPr>
        <w:t>engagement</w:t>
      </w:r>
      <w:r w:rsidR="000B44F3">
        <w:rPr>
          <w:rFonts w:eastAsia="Times New Roman"/>
          <w:lang w:val="en-AU"/>
        </w:rPr>
        <w:t xml:space="preserve">, </w:t>
      </w:r>
      <w:r w:rsidR="00CC5EFD">
        <w:rPr>
          <w:rFonts w:eastAsia="Times New Roman"/>
          <w:lang w:val="en-AU"/>
        </w:rPr>
        <w:t xml:space="preserve">capacity development </w:t>
      </w:r>
      <w:r w:rsidR="00FD296E" w:rsidRPr="005E4478">
        <w:rPr>
          <w:rFonts w:eastAsia="Times New Roman"/>
          <w:lang w:val="en-AU"/>
        </w:rPr>
        <w:t>of divisional (provincial) managers</w:t>
      </w:r>
      <w:r w:rsidR="000B44F3">
        <w:rPr>
          <w:rFonts w:eastAsia="Times New Roman"/>
          <w:lang w:val="en-AU"/>
        </w:rPr>
        <w:t>, and improved responsiveness to central government policies and priorities</w:t>
      </w:r>
      <w:r w:rsidR="00FD296E" w:rsidRPr="005E4478">
        <w:rPr>
          <w:rFonts w:eastAsia="Times New Roman"/>
          <w:lang w:val="en-AU"/>
        </w:rPr>
        <w:t xml:space="preserve">.  </w:t>
      </w:r>
    </w:p>
    <w:p w:rsidR="00D97C76" w:rsidRPr="00D97C76" w:rsidRDefault="00D97C76" w:rsidP="00D97C76">
      <w:pPr>
        <w:spacing w:after="120" w:line="280" w:lineRule="exact"/>
        <w:rPr>
          <w:rFonts w:eastAsia="Times New Roman"/>
          <w:lang w:val="en-AU"/>
        </w:rPr>
      </w:pPr>
      <w:r w:rsidRPr="00D97C76">
        <w:rPr>
          <w:rFonts w:eastAsia="Times New Roman"/>
          <w:lang w:val="en-AU"/>
        </w:rPr>
        <w:t xml:space="preserve">The </w:t>
      </w:r>
      <w:r w:rsidRPr="00AD1670">
        <w:rPr>
          <w:rFonts w:eastAsia="Times New Roman"/>
          <w:b/>
          <w:i/>
          <w:lang w:val="en-AU"/>
        </w:rPr>
        <w:t>Port Vila Urban Development Project</w:t>
      </w:r>
      <w:r w:rsidRPr="00D97C76">
        <w:rPr>
          <w:rFonts w:eastAsia="Times New Roman"/>
          <w:b/>
          <w:lang w:val="en-AU"/>
        </w:rPr>
        <w:t xml:space="preserve"> (PVUDP)</w:t>
      </w:r>
      <w:r w:rsidRPr="00D97C76">
        <w:rPr>
          <w:rFonts w:eastAsia="Times New Roman"/>
          <w:lang w:val="en-AU"/>
        </w:rPr>
        <w:t xml:space="preserve"> will contribute to sustainable urban development in Port Vila through improved road, drainage and sanitation infrastructure and services.  The PVUDP</w:t>
      </w:r>
      <w:r w:rsidR="00430B47">
        <w:rPr>
          <w:rFonts w:eastAsia="Times New Roman"/>
          <w:lang w:val="en-AU"/>
        </w:rPr>
        <w:t xml:space="preserve">, which is managed by the Asian Development Bank (ADB), has demanded </w:t>
      </w:r>
      <w:r w:rsidR="00C203C9">
        <w:rPr>
          <w:rFonts w:eastAsia="Times New Roman"/>
          <w:lang w:val="en-AU"/>
        </w:rPr>
        <w:t xml:space="preserve">intensive </w:t>
      </w:r>
      <w:r w:rsidR="00430B47">
        <w:rPr>
          <w:rFonts w:eastAsia="Times New Roman"/>
          <w:lang w:val="en-AU"/>
        </w:rPr>
        <w:t xml:space="preserve">effort by </w:t>
      </w:r>
      <w:r w:rsidR="00492E58">
        <w:rPr>
          <w:rFonts w:eastAsia="Times New Roman"/>
          <w:lang w:val="en-AU"/>
        </w:rPr>
        <w:t xml:space="preserve">the Australian High Commission </w:t>
      </w:r>
      <w:r w:rsidR="00430B47">
        <w:rPr>
          <w:rFonts w:eastAsia="Times New Roman"/>
          <w:lang w:val="en-AU"/>
        </w:rPr>
        <w:t xml:space="preserve">to </w:t>
      </w:r>
      <w:r w:rsidR="007D17E7">
        <w:rPr>
          <w:rFonts w:eastAsia="Times New Roman"/>
          <w:lang w:val="en-AU"/>
        </w:rPr>
        <w:t xml:space="preserve">ensure that </w:t>
      </w:r>
      <w:r w:rsidRPr="00D97C76">
        <w:rPr>
          <w:rFonts w:eastAsia="Times New Roman"/>
          <w:lang w:val="en-AU"/>
        </w:rPr>
        <w:t xml:space="preserve">significant challenges </w:t>
      </w:r>
      <w:r w:rsidR="007D17E7">
        <w:rPr>
          <w:rFonts w:eastAsia="Times New Roman"/>
          <w:lang w:val="en-AU"/>
        </w:rPr>
        <w:t xml:space="preserve">were overcome </w:t>
      </w:r>
      <w:r w:rsidRPr="00D97C76">
        <w:rPr>
          <w:rFonts w:eastAsia="Times New Roman"/>
          <w:lang w:val="en-AU"/>
        </w:rPr>
        <w:t>during the reporting period</w:t>
      </w:r>
      <w:r w:rsidR="00430B47">
        <w:rPr>
          <w:rFonts w:eastAsia="Times New Roman"/>
          <w:lang w:val="en-AU"/>
        </w:rPr>
        <w:t xml:space="preserve">.  </w:t>
      </w:r>
      <w:r w:rsidRPr="00D97C76">
        <w:rPr>
          <w:rFonts w:eastAsia="Times New Roman"/>
          <w:lang w:val="en-AU"/>
        </w:rPr>
        <w:t>Previously identified management and governance challenges are being addressed and have resulted in improved engineering design performance, successful construction tenders, increased management oversight and construction supervision.  However, the investment will require close and careful monitoring and management oversight to ensure that improvements continue.</w:t>
      </w:r>
      <w:r w:rsidR="008A4BF0">
        <w:rPr>
          <w:rFonts w:eastAsia="Times New Roman"/>
          <w:lang w:val="en-AU"/>
        </w:rPr>
        <w:t xml:space="preserve"> </w:t>
      </w:r>
    </w:p>
    <w:p w:rsidR="00055845" w:rsidRPr="005E4478" w:rsidRDefault="00304710" w:rsidP="00CE1CD0">
      <w:pPr>
        <w:spacing w:after="120" w:line="280" w:lineRule="exact"/>
        <w:rPr>
          <w:rFonts w:eastAsia="Times New Roman"/>
          <w:lang w:val="en-AU"/>
        </w:rPr>
      </w:pPr>
      <w:r w:rsidRPr="005E4478">
        <w:rPr>
          <w:rFonts w:eastAsia="Times New Roman"/>
          <w:lang w:val="en-AU"/>
        </w:rPr>
        <w:t xml:space="preserve">Revised engineering designs and tender documents that are fit-for-purpose have brought </w:t>
      </w:r>
      <w:r w:rsidR="00055845" w:rsidRPr="005E4478">
        <w:rPr>
          <w:rFonts w:eastAsia="Times New Roman"/>
          <w:lang w:val="en-AU"/>
        </w:rPr>
        <w:t xml:space="preserve">PVUDP </w:t>
      </w:r>
      <w:r w:rsidRPr="005E4478">
        <w:rPr>
          <w:rFonts w:eastAsia="Times New Roman"/>
          <w:lang w:val="en-AU"/>
        </w:rPr>
        <w:t>back on track to achieve expected outcomes, albeit with a reduced scope.  This resulted in four out of five sub</w:t>
      </w:r>
      <w:r w:rsidRPr="005E4478">
        <w:rPr>
          <w:rFonts w:eastAsia="Times New Roman"/>
          <w:lang w:val="en-AU"/>
        </w:rPr>
        <w:noBreakHyphen/>
        <w:t>projects tendered and cont</w:t>
      </w:r>
      <w:r w:rsidR="00055845" w:rsidRPr="005E4478">
        <w:rPr>
          <w:rFonts w:eastAsia="Times New Roman"/>
          <w:lang w:val="en-AU"/>
        </w:rPr>
        <w:t>racts awarded.  By April 2016, one</w:t>
      </w:r>
      <w:r w:rsidRPr="005E4478">
        <w:rPr>
          <w:rFonts w:eastAsia="Times New Roman"/>
          <w:lang w:val="en-AU"/>
        </w:rPr>
        <w:t xml:space="preserve"> contractor had started work and three were about to mobilise, including the large Phase 1 Roads and Drains contractor.  </w:t>
      </w:r>
      <w:r w:rsidR="00CE1CD0" w:rsidRPr="005E4478">
        <w:rPr>
          <w:rFonts w:eastAsia="Times New Roman"/>
          <w:lang w:val="en-AU"/>
        </w:rPr>
        <w:t xml:space="preserve">The original scope for urban drainage and sanitation has been mostly retained, while road rehabilitation scope was reduced from 22km to 13km and </w:t>
      </w:r>
      <w:r w:rsidR="00CC5EFD">
        <w:rPr>
          <w:rFonts w:eastAsia="Times New Roman"/>
          <w:lang w:val="en-AU"/>
        </w:rPr>
        <w:t>some</w:t>
      </w:r>
      <w:r w:rsidR="00CE1CD0" w:rsidRPr="005E4478">
        <w:rPr>
          <w:rFonts w:eastAsia="Times New Roman"/>
          <w:lang w:val="en-AU"/>
        </w:rPr>
        <w:t xml:space="preserve"> residential area flooding hotspots </w:t>
      </w:r>
      <w:r w:rsidR="00CC5EFD">
        <w:rPr>
          <w:rFonts w:eastAsia="Times New Roman"/>
          <w:lang w:val="en-AU"/>
        </w:rPr>
        <w:t>may</w:t>
      </w:r>
      <w:r w:rsidR="00CE1CD0" w:rsidRPr="005E4478">
        <w:rPr>
          <w:rFonts w:eastAsia="Times New Roman"/>
          <w:lang w:val="en-AU"/>
        </w:rPr>
        <w:t xml:space="preserve"> not be treated.  </w:t>
      </w:r>
      <w:r w:rsidR="00FD1EB3" w:rsidRPr="005E4478">
        <w:rPr>
          <w:rFonts w:eastAsia="Times New Roman"/>
          <w:lang w:val="en-AU"/>
        </w:rPr>
        <w:t>After a four</w:t>
      </w:r>
      <w:r w:rsidR="00FD1EB3" w:rsidRPr="005E4478">
        <w:rPr>
          <w:rFonts w:eastAsia="Times New Roman"/>
          <w:lang w:val="en-AU"/>
        </w:rPr>
        <w:noBreakHyphen/>
        <w:t>month delay, t</w:t>
      </w:r>
      <w:r w:rsidR="00A85174" w:rsidRPr="005E4478">
        <w:rPr>
          <w:rFonts w:eastAsia="Times New Roman"/>
          <w:lang w:val="en-AU"/>
        </w:rPr>
        <w:t xml:space="preserve">he first sub-project George Kalsakau Drive </w:t>
      </w:r>
      <w:r w:rsidR="00CE1CD0" w:rsidRPr="005E4478">
        <w:rPr>
          <w:rFonts w:eastAsia="Times New Roman"/>
          <w:lang w:val="en-AU"/>
        </w:rPr>
        <w:t xml:space="preserve">(GKD) </w:t>
      </w:r>
      <w:r w:rsidR="00A85174" w:rsidRPr="005E4478">
        <w:rPr>
          <w:rFonts w:eastAsia="Times New Roman"/>
          <w:lang w:val="en-AU"/>
        </w:rPr>
        <w:t xml:space="preserve">reconstruction commenced in April 2016 and is well harmonised with other donor </w:t>
      </w:r>
      <w:r w:rsidR="00AE5E90" w:rsidRPr="005E4478">
        <w:rPr>
          <w:rFonts w:eastAsia="Times New Roman"/>
          <w:lang w:val="en-AU"/>
        </w:rPr>
        <w:t xml:space="preserve">funded projects </w:t>
      </w:r>
      <w:r w:rsidR="00FD1EB3" w:rsidRPr="005E4478">
        <w:rPr>
          <w:rFonts w:eastAsia="Times New Roman"/>
          <w:lang w:val="en-AU"/>
        </w:rPr>
        <w:t>in the vicinity</w:t>
      </w:r>
      <w:r w:rsidR="00A85174" w:rsidRPr="005E4478">
        <w:rPr>
          <w:rFonts w:eastAsia="Times New Roman"/>
          <w:lang w:val="en-AU"/>
        </w:rPr>
        <w:t xml:space="preserve">.  </w:t>
      </w:r>
      <w:r w:rsidR="00890D15" w:rsidRPr="005E4478">
        <w:rPr>
          <w:rFonts w:eastAsia="Times New Roman"/>
          <w:lang w:val="en-AU"/>
        </w:rPr>
        <w:t xml:space="preserve">By </w:t>
      </w:r>
      <w:r w:rsidR="00CC5EFD">
        <w:rPr>
          <w:rFonts w:eastAsia="Times New Roman"/>
          <w:lang w:val="en-AU"/>
        </w:rPr>
        <w:t>June</w:t>
      </w:r>
      <w:r w:rsidR="00CC5EFD" w:rsidRPr="005E4478">
        <w:rPr>
          <w:rFonts w:eastAsia="Times New Roman"/>
          <w:lang w:val="en-AU"/>
        </w:rPr>
        <w:t xml:space="preserve"> </w:t>
      </w:r>
      <w:r w:rsidR="00890D15" w:rsidRPr="005E4478">
        <w:rPr>
          <w:rFonts w:eastAsia="Times New Roman"/>
          <w:lang w:val="en-AU"/>
        </w:rPr>
        <w:t xml:space="preserve">2016 the majority of project funds </w:t>
      </w:r>
      <w:r w:rsidR="00B02CF4" w:rsidRPr="005E4478">
        <w:rPr>
          <w:rFonts w:eastAsia="Times New Roman"/>
          <w:lang w:val="en-AU"/>
        </w:rPr>
        <w:t xml:space="preserve">were </w:t>
      </w:r>
      <w:r w:rsidR="00890D15" w:rsidRPr="005E4478">
        <w:rPr>
          <w:rFonts w:eastAsia="Times New Roman"/>
          <w:lang w:val="en-AU"/>
        </w:rPr>
        <w:t>committed and construction underway</w:t>
      </w:r>
      <w:r w:rsidR="00CE1CD0" w:rsidRPr="005E4478">
        <w:rPr>
          <w:rFonts w:eastAsia="Times New Roman"/>
          <w:lang w:val="en-AU"/>
        </w:rPr>
        <w:t xml:space="preserve"> </w:t>
      </w:r>
      <w:r w:rsidR="00CC5EFD">
        <w:rPr>
          <w:rFonts w:eastAsia="Times New Roman"/>
          <w:lang w:val="en-AU"/>
        </w:rPr>
        <w:t>on three</w:t>
      </w:r>
      <w:r w:rsidR="00CE1CD0" w:rsidRPr="005E4478">
        <w:rPr>
          <w:rFonts w:eastAsia="Times New Roman"/>
          <w:lang w:val="en-AU"/>
        </w:rPr>
        <w:t xml:space="preserve"> community sanitation facilities and </w:t>
      </w:r>
      <w:r w:rsidR="00CC5EFD">
        <w:rPr>
          <w:rFonts w:eastAsia="Times New Roman"/>
          <w:lang w:val="en-AU"/>
        </w:rPr>
        <w:t>two drainage detention basins</w:t>
      </w:r>
      <w:r w:rsidR="00890D15" w:rsidRPr="005E4478">
        <w:rPr>
          <w:rFonts w:eastAsia="Times New Roman"/>
          <w:lang w:val="en-AU"/>
        </w:rPr>
        <w:t xml:space="preserve">. </w:t>
      </w:r>
      <w:r w:rsidRPr="005E4478">
        <w:rPr>
          <w:rFonts w:eastAsia="Times New Roman"/>
          <w:lang w:val="en-AU"/>
        </w:rPr>
        <w:t xml:space="preserve"> </w:t>
      </w:r>
    </w:p>
    <w:p w:rsidR="00890D15" w:rsidRPr="005E4478" w:rsidRDefault="00296A20" w:rsidP="00CE1CD0">
      <w:pPr>
        <w:spacing w:after="120" w:line="280" w:lineRule="exact"/>
        <w:rPr>
          <w:rFonts w:eastAsia="Times New Roman"/>
          <w:lang w:val="en-AU"/>
        </w:rPr>
      </w:pPr>
      <w:r w:rsidRPr="005E4478">
        <w:rPr>
          <w:rFonts w:eastAsia="Times New Roman"/>
          <w:lang w:val="en-AU"/>
        </w:rPr>
        <w:t xml:space="preserve">PVUDP </w:t>
      </w:r>
      <w:r w:rsidR="00304710" w:rsidRPr="005E4478">
        <w:rPr>
          <w:rFonts w:eastAsia="Times New Roman"/>
          <w:lang w:val="en-AU"/>
        </w:rPr>
        <w:t xml:space="preserve">contracted the </w:t>
      </w:r>
      <w:r w:rsidR="00304710" w:rsidRPr="005E4478">
        <w:rPr>
          <w:rFonts w:eastAsia="Times New Roman"/>
          <w:i/>
          <w:lang w:val="en-AU"/>
        </w:rPr>
        <w:t xml:space="preserve">Vanuatu Society for </w:t>
      </w:r>
      <w:r w:rsidR="00CC5FD4">
        <w:rPr>
          <w:rFonts w:eastAsia="Times New Roman"/>
          <w:i/>
          <w:lang w:val="en-AU"/>
        </w:rPr>
        <w:t xml:space="preserve">People with a </w:t>
      </w:r>
      <w:r w:rsidR="00304710" w:rsidRPr="005E4478">
        <w:rPr>
          <w:rFonts w:eastAsia="Times New Roman"/>
          <w:i/>
          <w:lang w:val="en-AU"/>
        </w:rPr>
        <w:t xml:space="preserve">Disability </w:t>
      </w:r>
      <w:r w:rsidR="00304710" w:rsidRPr="005E4478">
        <w:rPr>
          <w:rFonts w:eastAsia="Times New Roman"/>
          <w:lang w:val="en-AU"/>
        </w:rPr>
        <w:t xml:space="preserve">to conduct a needs survey of people </w:t>
      </w:r>
      <w:r w:rsidR="002E1C46">
        <w:rPr>
          <w:rFonts w:eastAsia="Times New Roman"/>
          <w:lang w:val="en-AU"/>
        </w:rPr>
        <w:t xml:space="preserve">with disability </w:t>
      </w:r>
      <w:r w:rsidR="00304710" w:rsidRPr="005E4478">
        <w:rPr>
          <w:rFonts w:eastAsia="Times New Roman"/>
          <w:lang w:val="en-AU"/>
        </w:rPr>
        <w:t xml:space="preserve">living in targeted communities that resulted in five of the seven </w:t>
      </w:r>
      <w:r w:rsidR="00AE5E90" w:rsidRPr="005E4478">
        <w:rPr>
          <w:rFonts w:eastAsia="Times New Roman"/>
          <w:lang w:val="en-AU"/>
        </w:rPr>
        <w:t>communities having access</w:t>
      </w:r>
      <w:r w:rsidR="002E1C46">
        <w:rPr>
          <w:rFonts w:eastAsia="Times New Roman"/>
          <w:lang w:val="en-AU"/>
        </w:rPr>
        <w:t>ible</w:t>
      </w:r>
      <w:r w:rsidR="00AE5E90" w:rsidRPr="005E4478">
        <w:rPr>
          <w:rFonts w:eastAsia="Times New Roman"/>
          <w:lang w:val="en-AU"/>
        </w:rPr>
        <w:t xml:space="preserve"> toilets included in the design of community sanitation facilities (CSF).  </w:t>
      </w:r>
      <w:r w:rsidR="00304710" w:rsidRPr="005E4478">
        <w:rPr>
          <w:rFonts w:eastAsia="Times New Roman"/>
          <w:lang w:val="en-AU"/>
        </w:rPr>
        <w:t>The project partnered with</w:t>
      </w:r>
      <w:r w:rsidR="00EC60E7">
        <w:rPr>
          <w:rFonts w:eastAsia="Times New Roman"/>
          <w:lang w:val="en-AU"/>
        </w:rPr>
        <w:t xml:space="preserve"> </w:t>
      </w:r>
      <w:r w:rsidR="00EC60E7" w:rsidRPr="00C862FD">
        <w:rPr>
          <w:rFonts w:eastAsia="Times New Roman"/>
          <w:i/>
          <w:lang w:val="en-AU"/>
        </w:rPr>
        <w:t>World Vision</w:t>
      </w:r>
      <w:r w:rsidR="00EC60E7">
        <w:rPr>
          <w:rFonts w:eastAsia="Times New Roman"/>
          <w:lang w:val="en-AU"/>
        </w:rPr>
        <w:t xml:space="preserve"> and </w:t>
      </w:r>
      <w:r w:rsidR="00890D15" w:rsidRPr="005E4478">
        <w:rPr>
          <w:rFonts w:eastAsia="Times New Roman"/>
          <w:i/>
          <w:lang w:val="en-AU"/>
        </w:rPr>
        <w:t xml:space="preserve">Wan Smolbag </w:t>
      </w:r>
      <w:r w:rsidR="00890D15" w:rsidRPr="005E4478">
        <w:rPr>
          <w:rFonts w:eastAsia="Times New Roman"/>
          <w:lang w:val="en-AU"/>
        </w:rPr>
        <w:t xml:space="preserve">to develop baseline data and consider disability issues in the designs for </w:t>
      </w:r>
      <w:r w:rsidR="00055845" w:rsidRPr="005E4478">
        <w:rPr>
          <w:rFonts w:eastAsia="Times New Roman"/>
          <w:lang w:val="en-AU"/>
        </w:rPr>
        <w:t>CSFs</w:t>
      </w:r>
      <w:r w:rsidR="00890D15" w:rsidRPr="005E4478">
        <w:rPr>
          <w:rFonts w:eastAsia="Times New Roman"/>
          <w:lang w:val="en-AU"/>
        </w:rPr>
        <w:t xml:space="preserve"> and traffic and pedestrian management plans.</w:t>
      </w:r>
    </w:p>
    <w:p w:rsidR="00E815B1" w:rsidRPr="005E4478" w:rsidRDefault="00890D15" w:rsidP="00890D15">
      <w:pPr>
        <w:spacing w:after="120" w:line="280" w:lineRule="exact"/>
        <w:rPr>
          <w:rFonts w:eastAsia="Times New Roman"/>
        </w:rPr>
      </w:pPr>
      <w:r w:rsidRPr="005E4478">
        <w:rPr>
          <w:rFonts w:eastAsia="Times New Roman"/>
        </w:rPr>
        <w:t xml:space="preserve">Progress </w:t>
      </w:r>
      <w:r w:rsidR="00DC1406" w:rsidRPr="005E4478">
        <w:rPr>
          <w:rFonts w:eastAsia="Times New Roman"/>
        </w:rPr>
        <w:t>was very good</w:t>
      </w:r>
      <w:r w:rsidR="00E07C3F">
        <w:rPr>
          <w:rFonts w:eastAsia="Times New Roman"/>
        </w:rPr>
        <w:t xml:space="preserve"> for our</w:t>
      </w:r>
      <w:r w:rsidRPr="005E4478">
        <w:rPr>
          <w:rFonts w:eastAsia="Times New Roman"/>
        </w:rPr>
        <w:t xml:space="preserve"> </w:t>
      </w:r>
      <w:r w:rsidRPr="00AD1670">
        <w:rPr>
          <w:rFonts w:eastAsia="Times New Roman"/>
          <w:b/>
          <w:i/>
        </w:rPr>
        <w:t>Technical and Vocational Education</w:t>
      </w:r>
      <w:r w:rsidR="00A07C84" w:rsidRPr="00AD1670">
        <w:rPr>
          <w:rFonts w:eastAsia="Times New Roman"/>
          <w:b/>
          <w:i/>
        </w:rPr>
        <w:t xml:space="preserve"> and Training</w:t>
      </w:r>
      <w:r w:rsidR="00A07C84" w:rsidRPr="005E4478">
        <w:rPr>
          <w:rFonts w:eastAsia="Times New Roman"/>
          <w:b/>
        </w:rPr>
        <w:t xml:space="preserve"> (TVET)</w:t>
      </w:r>
      <w:r w:rsidR="00E815B1" w:rsidRPr="005E4478">
        <w:rPr>
          <w:rFonts w:eastAsia="Times New Roman"/>
        </w:rPr>
        <w:t xml:space="preserve"> </w:t>
      </w:r>
      <w:r w:rsidR="007C7C20" w:rsidRPr="005E4478">
        <w:rPr>
          <w:rFonts w:eastAsia="Times New Roman"/>
        </w:rPr>
        <w:t xml:space="preserve">program </w:t>
      </w:r>
      <w:r w:rsidR="00E815B1" w:rsidRPr="005E4478">
        <w:rPr>
          <w:rFonts w:eastAsia="Times New Roman"/>
        </w:rPr>
        <w:t xml:space="preserve">during the reporting period.  Phase three of the </w:t>
      </w:r>
      <w:r w:rsidR="004911D7" w:rsidRPr="005E4478">
        <w:rPr>
          <w:rFonts w:eastAsia="Times New Roman"/>
        </w:rPr>
        <w:t xml:space="preserve">TVET </w:t>
      </w:r>
      <w:r w:rsidR="00E815B1" w:rsidRPr="005E4478">
        <w:rPr>
          <w:rFonts w:eastAsia="Times New Roman"/>
        </w:rPr>
        <w:t>program, which concluded in June 2016, saw a large increase in coverage of activities with TVET centres opening in Torba and Tafea provinces, in 2014 and 2015 respectively</w:t>
      </w:r>
      <w:r w:rsidR="00AD5C0E" w:rsidRPr="005E4478">
        <w:rPr>
          <w:rFonts w:eastAsia="Times New Roman"/>
        </w:rPr>
        <w:t xml:space="preserve"> (in addition to two previously established in Sanma and Malampa provinces).  </w:t>
      </w:r>
      <w:r w:rsidR="00DD003A">
        <w:rPr>
          <w:rFonts w:eastAsia="Times New Roman"/>
        </w:rPr>
        <w:t>Since 2013, 86 per </w:t>
      </w:r>
      <w:r w:rsidR="004911D7" w:rsidRPr="005E4478">
        <w:rPr>
          <w:rFonts w:eastAsia="Times New Roman"/>
        </w:rPr>
        <w:t xml:space="preserve">cent of program participants have come from rural areas (of which 25 per cent were from remote areas) in line with </w:t>
      </w:r>
      <w:r w:rsidR="003B1E9F" w:rsidRPr="005E4478">
        <w:rPr>
          <w:rFonts w:eastAsia="Times New Roman"/>
        </w:rPr>
        <w:t xml:space="preserve">the </w:t>
      </w:r>
      <w:r w:rsidR="004911D7" w:rsidRPr="005E4478">
        <w:rPr>
          <w:rFonts w:eastAsia="Times New Roman"/>
        </w:rPr>
        <w:t xml:space="preserve">Vanuatu Government goal of decentralisation of service delivery to rural and remote areas.  </w:t>
      </w:r>
      <w:r w:rsidR="00AD5C0E" w:rsidRPr="005E4478">
        <w:rPr>
          <w:rFonts w:eastAsia="Times New Roman"/>
        </w:rPr>
        <w:t xml:space="preserve">At the provincial level, progress generally exceeded expectations, with 65 nationally accredited training and 176 business development support (BDS) activities aligned to provincial economic development priorities delivered to 2,706 participants (2013-2015) of which about 37 per cent were women.  Over the same period, the number of participants with a disability increased from four to eight per cent.  </w:t>
      </w:r>
      <w:r w:rsidR="00F67A14" w:rsidRPr="005E4478">
        <w:rPr>
          <w:rFonts w:eastAsia="Times New Roman"/>
        </w:rPr>
        <w:t>The program exceeded performance benchmarks with s</w:t>
      </w:r>
      <w:r w:rsidR="00AD5C0E" w:rsidRPr="005E4478">
        <w:rPr>
          <w:rFonts w:eastAsia="Times New Roman"/>
        </w:rPr>
        <w:t xml:space="preserve">ome 63 per cent of all participants and </w:t>
      </w:r>
      <w:r w:rsidR="00890464">
        <w:rPr>
          <w:rFonts w:eastAsia="Times New Roman"/>
        </w:rPr>
        <w:t>some</w:t>
      </w:r>
      <w:r w:rsidR="00890464" w:rsidRPr="005E4478">
        <w:rPr>
          <w:rFonts w:eastAsia="Times New Roman"/>
        </w:rPr>
        <w:t xml:space="preserve"> </w:t>
      </w:r>
      <w:r w:rsidR="00C634DA">
        <w:rPr>
          <w:rFonts w:eastAsia="Times New Roman"/>
        </w:rPr>
        <w:t>89</w:t>
      </w:r>
      <w:r w:rsidR="00C634DA" w:rsidRPr="005E4478">
        <w:rPr>
          <w:rFonts w:eastAsia="Times New Roman"/>
        </w:rPr>
        <w:t xml:space="preserve"> </w:t>
      </w:r>
      <w:r w:rsidR="00AD5C0E" w:rsidRPr="005E4478">
        <w:rPr>
          <w:rFonts w:eastAsia="Times New Roman"/>
        </w:rPr>
        <w:t>per cent of self</w:t>
      </w:r>
      <w:r w:rsidR="00AD5C0E" w:rsidRPr="005E4478">
        <w:rPr>
          <w:rFonts w:eastAsia="Times New Roman"/>
        </w:rPr>
        <w:noBreakHyphen/>
        <w:t>employed participa</w:t>
      </w:r>
      <w:r w:rsidR="00F67A14" w:rsidRPr="005E4478">
        <w:rPr>
          <w:rFonts w:eastAsia="Times New Roman"/>
        </w:rPr>
        <w:t>nts reporting</w:t>
      </w:r>
      <w:r w:rsidR="00A07C84" w:rsidRPr="005E4478">
        <w:rPr>
          <w:rFonts w:eastAsia="Times New Roman"/>
        </w:rPr>
        <w:t xml:space="preserve"> increases in income attributable to skills acquired during training activities.</w:t>
      </w:r>
    </w:p>
    <w:p w:rsidR="00E07C3F" w:rsidRPr="00E07C3F" w:rsidRDefault="00E07C3F" w:rsidP="00E07C3F">
      <w:pPr>
        <w:spacing w:after="120" w:line="280" w:lineRule="exact"/>
        <w:rPr>
          <w:rFonts w:eastAsia="Times New Roman"/>
          <w:lang w:val="en-AU"/>
        </w:rPr>
      </w:pPr>
      <w:r w:rsidRPr="00E07C3F">
        <w:rPr>
          <w:rFonts w:eastAsia="Times New Roman"/>
          <w:lang w:val="en-AU"/>
        </w:rPr>
        <w:t>The TVET program has strong Vanuatu Government support.  The investment is well</w:t>
      </w:r>
      <w:r w:rsidRPr="00E07C3F">
        <w:rPr>
          <w:rFonts w:eastAsia="Times New Roman"/>
          <w:lang w:val="en-AU"/>
        </w:rPr>
        <w:noBreakHyphen/>
        <w:t xml:space="preserve">aligned with Vanuatu Government policies including the </w:t>
      </w:r>
      <w:r w:rsidR="002A72EC">
        <w:rPr>
          <w:rFonts w:eastAsia="Times New Roman"/>
          <w:lang w:val="en-AU"/>
        </w:rPr>
        <w:t>draft</w:t>
      </w:r>
      <w:r w:rsidRPr="00E07C3F">
        <w:rPr>
          <w:rFonts w:eastAsia="Times New Roman"/>
          <w:lang w:val="en-AU"/>
        </w:rPr>
        <w:t xml:space="preserve"> </w:t>
      </w:r>
      <w:r w:rsidRPr="00AD1670">
        <w:rPr>
          <w:rFonts w:eastAsia="Times New Roman"/>
          <w:i/>
          <w:lang w:val="en-AU"/>
        </w:rPr>
        <w:t>National Sustainable Development Plan</w:t>
      </w:r>
      <w:r w:rsidRPr="00E07C3F">
        <w:rPr>
          <w:rFonts w:eastAsia="Times New Roman"/>
          <w:lang w:val="en-AU"/>
        </w:rPr>
        <w:t xml:space="preserve"> (2016</w:t>
      </w:r>
      <w:r w:rsidRPr="00E07C3F">
        <w:rPr>
          <w:rFonts w:eastAsia="Times New Roman"/>
          <w:lang w:val="en-AU"/>
        </w:rPr>
        <w:noBreakHyphen/>
        <w:t xml:space="preserve">2030).  In 2016, the program supported </w:t>
      </w:r>
      <w:r w:rsidR="00D63A83">
        <w:rPr>
          <w:rFonts w:eastAsia="Times New Roman"/>
          <w:lang w:val="en-AU"/>
        </w:rPr>
        <w:t xml:space="preserve">the </w:t>
      </w:r>
      <w:r w:rsidRPr="00E07C3F">
        <w:rPr>
          <w:rFonts w:eastAsia="Times New Roman"/>
          <w:lang w:val="en-AU"/>
        </w:rPr>
        <w:t>Ministry of Education and Training (MoET) and the Vanuatu Qualifications Authority in drafting a new national Post</w:t>
      </w:r>
      <w:r w:rsidRPr="00E07C3F">
        <w:rPr>
          <w:rFonts w:eastAsia="Times New Roman"/>
          <w:lang w:val="en-AU"/>
        </w:rPr>
        <w:noBreakHyphen/>
        <w:t>School Education and Training policy in line with the national TVET policy.  The TVET program adapted to service the high demand for post</w:t>
      </w:r>
      <w:r w:rsidRPr="00E07C3F">
        <w:rPr>
          <w:rFonts w:eastAsia="Times New Roman"/>
          <w:lang w:val="en-AU"/>
        </w:rPr>
        <w:noBreakHyphen/>
        <w:t xml:space="preserve">cyclone reconstruction skills, with the fourth TVET centre in Tafea province (the most heavily affected by Tropical Cyclone Pam) having the highest demand.  The program will continue to help meet the strong demand for skills development opportunities following Tropical Cyclone Pam and complement our long-term recovery activities. </w:t>
      </w:r>
      <w:r w:rsidR="00D63A83">
        <w:rPr>
          <w:rFonts w:eastAsia="Times New Roman"/>
          <w:lang w:val="en-AU"/>
        </w:rPr>
        <w:t xml:space="preserve"> </w:t>
      </w:r>
      <w:r w:rsidRPr="00E07C3F">
        <w:rPr>
          <w:rFonts w:eastAsia="Times New Roman"/>
          <w:lang w:val="en-AU"/>
        </w:rPr>
        <w:t xml:space="preserve">Capacity building within the </w:t>
      </w:r>
      <w:r w:rsidR="00D918C7">
        <w:rPr>
          <w:rFonts w:eastAsia="Times New Roman"/>
          <w:lang w:val="en-AU"/>
        </w:rPr>
        <w:t xml:space="preserve">cyclone recovery </w:t>
      </w:r>
      <w:r w:rsidRPr="00E07C3F">
        <w:rPr>
          <w:rFonts w:eastAsia="Times New Roman"/>
          <w:lang w:val="en-AU"/>
        </w:rPr>
        <w:t>program team resulted in all full time staff, including the Team Leader</w:t>
      </w:r>
      <w:r w:rsidR="00917C3E">
        <w:rPr>
          <w:rFonts w:eastAsia="Times New Roman"/>
          <w:lang w:val="en-AU"/>
        </w:rPr>
        <w:t>, being locally</w:t>
      </w:r>
      <w:r w:rsidR="00D918C7">
        <w:rPr>
          <w:rFonts w:eastAsia="Times New Roman"/>
          <w:lang w:val="en-AU"/>
        </w:rPr>
        <w:t xml:space="preserve"> recruited</w:t>
      </w:r>
      <w:r w:rsidRPr="00E07C3F">
        <w:rPr>
          <w:rFonts w:eastAsia="Times New Roman"/>
          <w:lang w:val="en-AU"/>
        </w:rPr>
        <w:t>.</w:t>
      </w:r>
    </w:p>
    <w:p w:rsidR="00E07C3F" w:rsidRPr="00E07C3F" w:rsidRDefault="00E07C3F" w:rsidP="00E07C3F">
      <w:pPr>
        <w:spacing w:after="120" w:line="280" w:lineRule="exact"/>
        <w:rPr>
          <w:rFonts w:eastAsia="Times New Roman"/>
          <w:lang w:val="en-AU"/>
        </w:rPr>
      </w:pPr>
      <w:r w:rsidRPr="00E07C3F">
        <w:rPr>
          <w:rFonts w:eastAsia="Times New Roman"/>
          <w:lang w:val="en-AU"/>
        </w:rPr>
        <w:t>The TVET program has maintained a partnership with the</w:t>
      </w:r>
      <w:r w:rsidR="002E1C46" w:rsidRPr="00AD1670">
        <w:rPr>
          <w:rFonts w:eastAsia="Times New Roman"/>
          <w:i/>
          <w:lang w:val="en-AU"/>
        </w:rPr>
        <w:t xml:space="preserve"> </w:t>
      </w:r>
      <w:r w:rsidR="002E1C46" w:rsidRPr="00AD1670">
        <w:rPr>
          <w:rFonts w:eastAsia="Times New Roman"/>
          <w:b/>
          <w:i/>
          <w:lang w:val="en-AU"/>
        </w:rPr>
        <w:t>Pacific Women Shaping Pacific Development (</w:t>
      </w:r>
      <w:r w:rsidRPr="00AD1670">
        <w:rPr>
          <w:rFonts w:eastAsia="Times New Roman"/>
          <w:b/>
          <w:i/>
          <w:lang w:val="en-AU"/>
        </w:rPr>
        <w:t>Pacific Women</w:t>
      </w:r>
      <w:r w:rsidR="00553F82" w:rsidRPr="00AD1670">
        <w:rPr>
          <w:rFonts w:eastAsia="Times New Roman"/>
          <w:b/>
          <w:i/>
          <w:lang w:val="en-AU"/>
        </w:rPr>
        <w:t>)</w:t>
      </w:r>
      <w:r w:rsidRPr="00AD1670">
        <w:rPr>
          <w:rFonts w:eastAsia="Times New Roman"/>
          <w:i/>
          <w:lang w:val="en-AU"/>
        </w:rPr>
        <w:t xml:space="preserve"> </w:t>
      </w:r>
      <w:r w:rsidRPr="00E07C3F">
        <w:rPr>
          <w:rFonts w:eastAsia="Times New Roman"/>
          <w:lang w:val="en-AU"/>
        </w:rPr>
        <w:t xml:space="preserve">program since 2014, although it has no specific gender outcomes or targets.  It recognises that women are a key factor in economic growth and has developed measures to encourage women’s participation in skills development activities.  In 2015, 68 per cent of </w:t>
      </w:r>
      <w:r w:rsidR="00553F82">
        <w:rPr>
          <w:rFonts w:eastAsia="Times New Roman"/>
          <w:lang w:val="en-AU"/>
        </w:rPr>
        <w:t>female participants</w:t>
      </w:r>
      <w:r w:rsidR="00553F82" w:rsidRPr="00E07C3F">
        <w:rPr>
          <w:rFonts w:eastAsia="Times New Roman"/>
          <w:lang w:val="en-AU"/>
        </w:rPr>
        <w:t xml:space="preserve"> </w:t>
      </w:r>
      <w:r w:rsidRPr="00E07C3F">
        <w:rPr>
          <w:rFonts w:eastAsia="Times New Roman"/>
          <w:lang w:val="en-AU"/>
        </w:rPr>
        <w:t xml:space="preserve">reported increased income and improved livelihoods attributable to TVET development activities.  Women’s participation has varied from year to year and by province.  In 2015, women’s participation in activities decreased to 36 per cent from 48 per cent the previous year.  This was likely due to the aftermath of </w:t>
      </w:r>
      <w:r w:rsidR="00084CBC">
        <w:rPr>
          <w:rFonts w:eastAsia="Times New Roman"/>
          <w:lang w:val="en-AU"/>
        </w:rPr>
        <w:t>Tropical Cyclone Pam</w:t>
      </w:r>
      <w:r w:rsidRPr="00E07C3F">
        <w:rPr>
          <w:rFonts w:eastAsia="Times New Roman"/>
          <w:lang w:val="en-AU"/>
        </w:rPr>
        <w:t xml:space="preserve"> when priorities were reconstruction and food security for families.  </w:t>
      </w:r>
    </w:p>
    <w:p w:rsidR="007D17E7" w:rsidRPr="007D17E7" w:rsidRDefault="007D17E7" w:rsidP="007D17E7">
      <w:pPr>
        <w:spacing w:after="120" w:line="280" w:lineRule="exact"/>
        <w:rPr>
          <w:rFonts w:eastAsia="Times New Roman"/>
          <w:lang w:val="en-AU"/>
        </w:rPr>
      </w:pPr>
      <w:r w:rsidRPr="007D17E7">
        <w:rPr>
          <w:rFonts w:eastAsia="Times New Roman"/>
          <w:lang w:val="en-AU"/>
        </w:rPr>
        <w:t xml:space="preserve">Completion rates were high in the </w:t>
      </w:r>
      <w:r w:rsidRPr="00AD1670">
        <w:rPr>
          <w:rFonts w:eastAsia="Times New Roman"/>
          <w:b/>
          <w:i/>
          <w:lang w:val="en-AU"/>
        </w:rPr>
        <w:t>Scholarships Program</w:t>
      </w:r>
      <w:r w:rsidRPr="007D17E7">
        <w:rPr>
          <w:rFonts w:eastAsia="Times New Roman"/>
          <w:lang w:val="en-AU"/>
        </w:rPr>
        <w:t xml:space="preserve"> in 2015, with 32 (17 women, 15 men) of a possible 40 graduating and returning to Vanuatu and 6 (4 women, 2 men) granted extensions and expected to graduate in 2016.  Of the recent graduates, seven returned to their employers and 13 found employment in their field of study and are contributing to development outcomes in Vanuatu.  Our focus on disability inclusiveness and gender was continued. </w:t>
      </w:r>
    </w:p>
    <w:p w:rsidR="007D17E7" w:rsidRPr="007D17E7" w:rsidRDefault="007D17E7" w:rsidP="007D17E7">
      <w:pPr>
        <w:spacing w:after="120" w:line="280" w:lineRule="exact"/>
        <w:rPr>
          <w:rFonts w:eastAsia="Times New Roman"/>
          <w:lang w:val="en-AU"/>
        </w:rPr>
      </w:pPr>
      <w:r w:rsidRPr="007D17E7">
        <w:rPr>
          <w:rFonts w:eastAsia="Times New Roman"/>
          <w:lang w:val="en-AU"/>
        </w:rPr>
        <w:t xml:space="preserve">The </w:t>
      </w:r>
      <w:r w:rsidRPr="00AD1670">
        <w:rPr>
          <w:rFonts w:eastAsia="Times New Roman"/>
          <w:i/>
          <w:lang w:val="en-AU"/>
        </w:rPr>
        <w:t>Scholarships Program</w:t>
      </w:r>
      <w:r w:rsidRPr="007D17E7">
        <w:rPr>
          <w:rFonts w:eastAsia="Times New Roman"/>
          <w:lang w:val="en-AU"/>
        </w:rPr>
        <w:t xml:space="preserve"> has implemented new processes to improve the efficiency and rigour of the selection process, and awardees selected through this process have demonstrated excellent academic results to date. </w:t>
      </w:r>
      <w:r w:rsidR="00A9309C">
        <w:rPr>
          <w:rFonts w:eastAsia="Times New Roman"/>
          <w:lang w:val="en-AU"/>
        </w:rPr>
        <w:t xml:space="preserve"> </w:t>
      </w:r>
      <w:r w:rsidRPr="007D17E7">
        <w:rPr>
          <w:rFonts w:eastAsia="Times New Roman"/>
          <w:lang w:val="en-AU"/>
        </w:rPr>
        <w:t>The program also completed a comprehensive survey of former scholars and conducted a number of focus groups to better target alumni activities to meet the demands of members in 2015. The Australia Awards Alumni Network – Vanuatu</w:t>
      </w:r>
      <w:r w:rsidR="00552890">
        <w:rPr>
          <w:rFonts w:eastAsia="Times New Roman"/>
          <w:lang w:val="en-AU"/>
        </w:rPr>
        <w:t xml:space="preserve"> was launched</w:t>
      </w:r>
      <w:r w:rsidRPr="007D17E7">
        <w:rPr>
          <w:rFonts w:eastAsia="Times New Roman"/>
          <w:lang w:val="en-AU"/>
        </w:rPr>
        <w:t xml:space="preserve"> in February 2016 and has since coordinated a number of professional development workshops and other events for alumni members, which have been well attended. </w:t>
      </w:r>
      <w:r w:rsidR="00A9309C">
        <w:rPr>
          <w:rFonts w:eastAsia="Times New Roman"/>
          <w:lang w:val="en-AU"/>
        </w:rPr>
        <w:t xml:space="preserve"> </w:t>
      </w:r>
      <w:r w:rsidR="00F6456E">
        <w:rPr>
          <w:rFonts w:eastAsia="Times New Roman"/>
          <w:lang w:val="en-AU"/>
        </w:rPr>
        <w:t>T</w:t>
      </w:r>
      <w:r w:rsidRPr="007D17E7">
        <w:rPr>
          <w:rFonts w:eastAsia="Times New Roman"/>
          <w:lang w:val="en-AU"/>
        </w:rPr>
        <w:t xml:space="preserve">he program has increased engagement with the Public Service Commission and the Training and Scholarships Coordination Unit (TSCU) at </w:t>
      </w:r>
      <w:r w:rsidR="00BF76B6">
        <w:rPr>
          <w:rFonts w:eastAsia="Times New Roman"/>
          <w:lang w:val="en-AU"/>
        </w:rPr>
        <w:t>MoET</w:t>
      </w:r>
      <w:r w:rsidRPr="007D17E7">
        <w:rPr>
          <w:rFonts w:eastAsia="Times New Roman"/>
          <w:lang w:val="en-AU"/>
        </w:rPr>
        <w:t xml:space="preserve"> to share information and ensure alignment of the program with the priority needs of the Vanuatu Government. </w:t>
      </w:r>
      <w:r w:rsidR="00D63A83">
        <w:rPr>
          <w:rFonts w:eastAsia="Times New Roman"/>
          <w:lang w:val="en-AU"/>
        </w:rPr>
        <w:t xml:space="preserve"> </w:t>
      </w:r>
      <w:r w:rsidR="00A9309C">
        <w:rPr>
          <w:rFonts w:eastAsia="Times New Roman"/>
          <w:lang w:val="en-AU"/>
        </w:rPr>
        <w:t xml:space="preserve"> </w:t>
      </w:r>
      <w:r w:rsidRPr="007D17E7">
        <w:rPr>
          <w:rFonts w:eastAsia="Times New Roman"/>
          <w:lang w:val="en-AU"/>
        </w:rPr>
        <w:t>An Australian Volunteer for International Development also provided support to the TSCU to improve Vanuatu Government scholarship processes.</w:t>
      </w:r>
    </w:p>
    <w:p w:rsidR="00E07C3F" w:rsidRPr="005E4478" w:rsidRDefault="00E07C3F" w:rsidP="00844E54">
      <w:pPr>
        <w:spacing w:after="120" w:line="280" w:lineRule="exact"/>
        <w:rPr>
          <w:rFonts w:eastAsia="Times New Roman"/>
          <w:lang w:val="en-AU"/>
        </w:rPr>
      </w:pPr>
    </w:p>
    <w:p w:rsidR="00505FD5" w:rsidRPr="00283E03" w:rsidRDefault="00505FD5" w:rsidP="001968BD">
      <w:pPr>
        <w:keepNext/>
        <w:suppressAutoHyphens w:val="0"/>
        <w:spacing w:before="360" w:after="120" w:line="280" w:lineRule="exact"/>
        <w:rPr>
          <w:rFonts w:asciiTheme="majorHAnsi" w:eastAsiaTheme="majorEastAsia" w:hAnsiTheme="majorHAnsi" w:cstheme="majorBidi"/>
          <w:caps/>
          <w:sz w:val="38"/>
          <w:szCs w:val="26"/>
        </w:rPr>
      </w:pPr>
      <w:r w:rsidRPr="00283E03">
        <w:rPr>
          <w:rFonts w:asciiTheme="majorHAnsi" w:eastAsiaTheme="majorEastAsia" w:hAnsiTheme="majorHAnsi" w:cstheme="majorBidi"/>
          <w:caps/>
          <w:sz w:val="38"/>
          <w:szCs w:val="26"/>
        </w:rPr>
        <w:t>Objective 2:</w:t>
      </w:r>
      <w:r w:rsidR="002A7357" w:rsidRPr="00283E03">
        <w:rPr>
          <w:rFonts w:asciiTheme="majorHAnsi" w:eastAsiaTheme="majorEastAsia" w:hAnsiTheme="majorHAnsi" w:cstheme="majorBidi"/>
          <w:caps/>
          <w:sz w:val="38"/>
          <w:szCs w:val="26"/>
        </w:rPr>
        <w:t xml:space="preserve">  Improv</w:t>
      </w:r>
      <w:r w:rsidR="00F6456E">
        <w:rPr>
          <w:rFonts w:asciiTheme="majorHAnsi" w:eastAsiaTheme="majorEastAsia" w:hAnsiTheme="majorHAnsi" w:cstheme="majorBidi"/>
          <w:caps/>
          <w:sz w:val="38"/>
          <w:szCs w:val="26"/>
        </w:rPr>
        <w:t>ING</w:t>
      </w:r>
      <w:r w:rsidR="002A7357" w:rsidRPr="00283E03">
        <w:rPr>
          <w:rFonts w:asciiTheme="majorHAnsi" w:eastAsiaTheme="majorEastAsia" w:hAnsiTheme="majorHAnsi" w:cstheme="majorBidi"/>
          <w:caps/>
          <w:sz w:val="38"/>
          <w:szCs w:val="26"/>
        </w:rPr>
        <w:t xml:space="preserve"> early education and essential health services</w:t>
      </w:r>
    </w:p>
    <w:p w:rsidR="004444F6" w:rsidRPr="009B71EC" w:rsidRDefault="004444F6" w:rsidP="001968BD">
      <w:pPr>
        <w:keepNext/>
        <w:spacing w:after="120" w:line="280" w:lineRule="exact"/>
        <w:rPr>
          <w:rFonts w:eastAsia="Times New Roman"/>
        </w:rPr>
      </w:pPr>
      <w:r w:rsidRPr="009B71EC">
        <w:rPr>
          <w:rFonts w:eastAsia="Times New Roman"/>
        </w:rPr>
        <w:t xml:space="preserve">This objective was rated green because early education work is on track to deliver end of program outcomes and improvements to health sector financial and </w:t>
      </w:r>
      <w:r w:rsidR="00D32D0B">
        <w:rPr>
          <w:rFonts w:eastAsia="Times New Roman"/>
        </w:rPr>
        <w:t>information</w:t>
      </w:r>
      <w:r w:rsidR="00D32D0B" w:rsidRPr="009B71EC">
        <w:rPr>
          <w:rFonts w:eastAsia="Times New Roman"/>
        </w:rPr>
        <w:t xml:space="preserve"> </w:t>
      </w:r>
      <w:r w:rsidRPr="009B71EC">
        <w:rPr>
          <w:rFonts w:eastAsia="Times New Roman"/>
        </w:rPr>
        <w:t xml:space="preserve">management processes have </w:t>
      </w:r>
      <w:r w:rsidR="00D32D0B">
        <w:rPr>
          <w:rFonts w:eastAsia="Times New Roman"/>
        </w:rPr>
        <w:t xml:space="preserve">supported </w:t>
      </w:r>
      <w:r w:rsidRPr="009B71EC">
        <w:rPr>
          <w:rFonts w:eastAsia="Times New Roman"/>
        </w:rPr>
        <w:t>improved delivery of essential health services</w:t>
      </w:r>
      <w:r w:rsidR="00D32D0B">
        <w:rPr>
          <w:rFonts w:eastAsia="Times New Roman"/>
        </w:rPr>
        <w:t>, including routine immunisation for children</w:t>
      </w:r>
      <w:r w:rsidRPr="009B71EC">
        <w:rPr>
          <w:rFonts w:eastAsia="Times New Roman"/>
        </w:rPr>
        <w:t>.</w:t>
      </w:r>
    </w:p>
    <w:p w:rsidR="00890D15" w:rsidRPr="009B71EC" w:rsidRDefault="00583803" w:rsidP="00890D15">
      <w:pPr>
        <w:spacing w:after="120" w:line="280" w:lineRule="exact"/>
        <w:rPr>
          <w:rFonts w:eastAsia="Times New Roman"/>
          <w:lang w:val="en-AU"/>
        </w:rPr>
      </w:pPr>
      <w:r w:rsidRPr="009B71EC">
        <w:rPr>
          <w:rFonts w:eastAsia="Times New Roman"/>
          <w:lang w:val="en-AU"/>
        </w:rPr>
        <w:t>The e</w:t>
      </w:r>
      <w:r w:rsidR="00890D15" w:rsidRPr="009B71EC">
        <w:rPr>
          <w:rFonts w:eastAsia="Times New Roman"/>
          <w:lang w:val="en-AU"/>
        </w:rPr>
        <w:t xml:space="preserve">nrolment rate in primary education </w:t>
      </w:r>
      <w:r w:rsidRPr="009B71EC">
        <w:rPr>
          <w:rFonts w:eastAsia="Times New Roman"/>
          <w:lang w:val="en-AU"/>
        </w:rPr>
        <w:t xml:space="preserve">in Vanuatu has </w:t>
      </w:r>
      <w:r w:rsidR="00890D15" w:rsidRPr="009B71EC">
        <w:rPr>
          <w:rFonts w:eastAsia="Times New Roman"/>
          <w:lang w:val="en-AU"/>
        </w:rPr>
        <w:t xml:space="preserve">increased </w:t>
      </w:r>
      <w:r w:rsidRPr="009B71EC">
        <w:rPr>
          <w:rFonts w:eastAsia="Times New Roman"/>
          <w:lang w:val="en-AU"/>
        </w:rPr>
        <w:t xml:space="preserve">over time </w:t>
      </w:r>
      <w:r w:rsidR="00553F82">
        <w:rPr>
          <w:rFonts w:eastAsia="Times New Roman"/>
          <w:lang w:val="en-AU"/>
        </w:rPr>
        <w:t>with</w:t>
      </w:r>
      <w:r w:rsidR="00553F82" w:rsidRPr="009B71EC">
        <w:rPr>
          <w:rFonts w:eastAsia="Times New Roman"/>
          <w:lang w:val="en-AU"/>
        </w:rPr>
        <w:t xml:space="preserve"> </w:t>
      </w:r>
      <w:r w:rsidRPr="009B71EC">
        <w:rPr>
          <w:rFonts w:eastAsia="Times New Roman"/>
          <w:lang w:val="en-AU"/>
        </w:rPr>
        <w:t xml:space="preserve">45,000 children enrolled in 2015.  Net enrolment rates have remained static in the last few years at 88 per cent (after increasing </w:t>
      </w:r>
      <w:r w:rsidR="00890D15" w:rsidRPr="009B71EC">
        <w:rPr>
          <w:rFonts w:eastAsia="Times New Roman"/>
          <w:lang w:val="en-AU"/>
        </w:rPr>
        <w:t>from 87</w:t>
      </w:r>
      <w:r w:rsidR="00917C3E">
        <w:rPr>
          <w:rFonts w:eastAsia="Times New Roman"/>
          <w:lang w:val="en-AU"/>
        </w:rPr>
        <w:t xml:space="preserve"> </w:t>
      </w:r>
      <w:r w:rsidR="00D63A83">
        <w:rPr>
          <w:rFonts w:eastAsia="Times New Roman"/>
          <w:lang w:val="en-AU"/>
        </w:rPr>
        <w:t>per cent</w:t>
      </w:r>
      <w:r w:rsidR="00890D15" w:rsidRPr="009B71EC">
        <w:rPr>
          <w:rFonts w:eastAsia="Times New Roman"/>
          <w:lang w:val="en-AU"/>
        </w:rPr>
        <w:t xml:space="preserve"> in 2008 to 96</w:t>
      </w:r>
      <w:r w:rsidR="00917C3E">
        <w:rPr>
          <w:rFonts w:eastAsia="Times New Roman"/>
          <w:lang w:val="en-AU"/>
        </w:rPr>
        <w:t xml:space="preserve"> </w:t>
      </w:r>
      <w:r w:rsidR="00D63A83">
        <w:rPr>
          <w:rFonts w:eastAsia="Times New Roman"/>
          <w:lang w:val="en-AU"/>
        </w:rPr>
        <w:t>per cent</w:t>
      </w:r>
      <w:r w:rsidR="00890D15" w:rsidRPr="009B71EC">
        <w:rPr>
          <w:rFonts w:eastAsia="Times New Roman"/>
          <w:lang w:val="en-AU"/>
        </w:rPr>
        <w:t xml:space="preserve"> in 2013</w:t>
      </w:r>
      <w:r w:rsidRPr="009B71EC">
        <w:rPr>
          <w:rFonts w:eastAsia="Times New Roman"/>
          <w:lang w:val="en-AU"/>
        </w:rPr>
        <w:t>)</w:t>
      </w:r>
      <w:r w:rsidR="00890D15" w:rsidRPr="009B71EC">
        <w:rPr>
          <w:rFonts w:eastAsia="Times New Roman"/>
          <w:lang w:val="en-AU"/>
        </w:rPr>
        <w:t>.</w:t>
      </w:r>
      <w:r w:rsidR="00917C3E">
        <w:rPr>
          <w:rFonts w:eastAsia="Times New Roman"/>
          <w:lang w:val="en-AU"/>
        </w:rPr>
        <w:t xml:space="preserve"> </w:t>
      </w:r>
      <w:r w:rsidR="00890D15" w:rsidRPr="009B71EC">
        <w:rPr>
          <w:rFonts w:eastAsia="Times New Roman"/>
          <w:lang w:val="en-AU"/>
        </w:rPr>
        <w:t xml:space="preserve"> However, the quality of education in Vanuatu remains a major concern. Building on Australia's long history in the sector and lessons from previous investments, the </w:t>
      </w:r>
      <w:r w:rsidR="00890D15" w:rsidRPr="00AD1670">
        <w:rPr>
          <w:rFonts w:eastAsia="Times New Roman"/>
          <w:b/>
          <w:i/>
          <w:lang w:val="en-AU"/>
        </w:rPr>
        <w:t>Vanuatu Education Support Program</w:t>
      </w:r>
      <w:r w:rsidR="00890D15" w:rsidRPr="001976AA">
        <w:rPr>
          <w:rFonts w:eastAsia="Times New Roman"/>
          <w:b/>
          <w:lang w:val="en-AU"/>
        </w:rPr>
        <w:t xml:space="preserve"> (VESP)</w:t>
      </w:r>
      <w:r w:rsidR="00890D15" w:rsidRPr="009B71EC">
        <w:rPr>
          <w:rFonts w:eastAsia="Times New Roman"/>
          <w:lang w:val="en-AU"/>
        </w:rPr>
        <w:t xml:space="preserve"> focuses on basic skills in the early years of primary education, recognising the need for stronger foundational learning to underpin a more effective education system. VESP provides targeted support to </w:t>
      </w:r>
      <w:r w:rsidR="00BF76B6">
        <w:rPr>
          <w:rFonts w:eastAsia="Times New Roman"/>
          <w:lang w:val="en-AU"/>
        </w:rPr>
        <w:t>MoET</w:t>
      </w:r>
      <w:r w:rsidR="00890D15" w:rsidRPr="009B71EC">
        <w:rPr>
          <w:rFonts w:eastAsia="Times New Roman"/>
          <w:lang w:val="en-AU"/>
        </w:rPr>
        <w:t xml:space="preserve"> with three long-term goals of improving basic education quality, providing more equitable inclusive access to education and ensuring a well-managed education system. The program pools funds with New Zealand. </w:t>
      </w:r>
      <w:r w:rsidRPr="009B71EC">
        <w:rPr>
          <w:rFonts w:eastAsia="Times New Roman"/>
          <w:lang w:val="en-AU"/>
        </w:rPr>
        <w:t xml:space="preserve"> </w:t>
      </w:r>
    </w:p>
    <w:p w:rsidR="008931DE" w:rsidRPr="009B71EC" w:rsidRDefault="00A229FB" w:rsidP="00890D15">
      <w:pPr>
        <w:spacing w:after="120" w:line="280" w:lineRule="exact"/>
        <w:rPr>
          <w:rFonts w:eastAsia="Times New Roman"/>
          <w:lang w:val="en-AU"/>
        </w:rPr>
      </w:pPr>
      <w:r w:rsidRPr="009B71EC">
        <w:rPr>
          <w:rFonts w:eastAsia="Times New Roman"/>
          <w:lang w:val="en-AU"/>
        </w:rPr>
        <w:t xml:space="preserve">Despite some delays associated with Tropical Cyclone Pam, </w:t>
      </w:r>
      <w:r w:rsidR="00890D15" w:rsidRPr="009B71EC">
        <w:rPr>
          <w:rFonts w:eastAsia="Times New Roman"/>
          <w:lang w:val="en-AU"/>
        </w:rPr>
        <w:t xml:space="preserve">VESP is on track to meet its objectives.  </w:t>
      </w:r>
      <w:r w:rsidRPr="009B71EC">
        <w:rPr>
          <w:rFonts w:eastAsia="Times New Roman"/>
          <w:lang w:val="en-AU"/>
        </w:rPr>
        <w:t>T</w:t>
      </w:r>
      <w:r w:rsidR="008931DE" w:rsidRPr="009B71EC">
        <w:rPr>
          <w:rFonts w:eastAsia="Times New Roman"/>
          <w:lang w:val="en-AU"/>
        </w:rPr>
        <w:t xml:space="preserve">eacher guides for maths and science were distributed to all (391) schools for Year 1; </w:t>
      </w:r>
      <w:r w:rsidR="00F67A14" w:rsidRPr="009B71EC">
        <w:rPr>
          <w:rFonts w:eastAsia="Times New Roman"/>
          <w:lang w:val="en-AU"/>
        </w:rPr>
        <w:t>all (22) provincial trainers and 53 zone curriculum advisers received training in providing classroom support for Year 1 teachers</w:t>
      </w:r>
      <w:r w:rsidR="008F0DAB" w:rsidRPr="009B71EC">
        <w:rPr>
          <w:rFonts w:eastAsia="Times New Roman"/>
          <w:lang w:val="en-AU"/>
        </w:rPr>
        <w:t xml:space="preserve"> implementing the curriculum; </w:t>
      </w:r>
      <w:r w:rsidR="00F67A14" w:rsidRPr="009B71EC">
        <w:rPr>
          <w:rFonts w:eastAsia="Times New Roman"/>
          <w:lang w:val="en-AU"/>
        </w:rPr>
        <w:t xml:space="preserve">and 475 teachers were trained.  In October 2015, a baseline study of Year 4 literacy and numeracy was conducted which will be used to measure progress in literacy and numeracy rates and the impact of implementing </w:t>
      </w:r>
      <w:r w:rsidR="008F0DAB" w:rsidRPr="009B71EC">
        <w:rPr>
          <w:rFonts w:eastAsia="Times New Roman"/>
          <w:lang w:val="en-AU"/>
        </w:rPr>
        <w:t>the</w:t>
      </w:r>
      <w:r w:rsidR="00F67A14" w:rsidRPr="009B71EC">
        <w:rPr>
          <w:rFonts w:eastAsia="Times New Roman"/>
          <w:lang w:val="en-AU"/>
        </w:rPr>
        <w:t xml:space="preserve"> new language policy and curriculum for Years 1</w:t>
      </w:r>
      <w:r w:rsidR="00F67A14" w:rsidRPr="009B71EC">
        <w:rPr>
          <w:rFonts w:eastAsia="Times New Roman"/>
          <w:lang w:val="en-AU"/>
        </w:rPr>
        <w:noBreakHyphen/>
        <w:t xml:space="preserve">3 students.  </w:t>
      </w:r>
    </w:p>
    <w:p w:rsidR="008B32B6" w:rsidRPr="008B32B6" w:rsidRDefault="008B32B6" w:rsidP="008B32B6">
      <w:pPr>
        <w:spacing w:after="120" w:line="280" w:lineRule="exact"/>
        <w:rPr>
          <w:rFonts w:eastAsia="Times New Roman"/>
          <w:lang w:val="en-AU"/>
        </w:rPr>
      </w:pPr>
      <w:r w:rsidRPr="008B32B6">
        <w:rPr>
          <w:rFonts w:eastAsia="Times New Roman"/>
          <w:lang w:val="en-AU"/>
        </w:rPr>
        <w:t xml:space="preserve">The </w:t>
      </w:r>
      <w:r w:rsidRPr="003440CF">
        <w:rPr>
          <w:rFonts w:eastAsia="Times New Roman"/>
          <w:i/>
          <w:lang w:val="en-AU"/>
        </w:rPr>
        <w:t>School Leaders Development Program</w:t>
      </w:r>
      <w:r w:rsidRPr="008B32B6">
        <w:rPr>
          <w:rFonts w:eastAsia="Times New Roman"/>
          <w:lang w:val="en-AU"/>
        </w:rPr>
        <w:t xml:space="preserve"> has brought positive change to: classroom practices; age-appropriate enrolment; community participation in schools; and school improvement planning. Progress has also been made in increasing women’s involvement in school management committees</w:t>
      </w:r>
      <w:r>
        <w:rPr>
          <w:rFonts w:eastAsia="Times New Roman"/>
          <w:lang w:val="en-AU"/>
        </w:rPr>
        <w:t xml:space="preserve"> in line with AIP gender equality objectives</w:t>
      </w:r>
      <w:r w:rsidRPr="008B32B6">
        <w:rPr>
          <w:rFonts w:eastAsia="Times New Roman"/>
          <w:lang w:val="en-AU"/>
        </w:rPr>
        <w:t xml:space="preserve">. </w:t>
      </w:r>
      <w:r>
        <w:rPr>
          <w:rFonts w:eastAsia="Times New Roman"/>
          <w:lang w:val="en-AU"/>
        </w:rPr>
        <w:t xml:space="preserve"> </w:t>
      </w:r>
      <w:r w:rsidRPr="008B32B6">
        <w:rPr>
          <w:rFonts w:eastAsia="Times New Roman"/>
          <w:lang w:val="en-AU"/>
        </w:rPr>
        <w:t>School-based management is also improving, and school grants</w:t>
      </w:r>
      <w:r w:rsidR="00AF7BC5">
        <w:rPr>
          <w:rFonts w:eastAsia="Times New Roman"/>
          <w:lang w:val="en-AU"/>
        </w:rPr>
        <w:t xml:space="preserve"> (</w:t>
      </w:r>
      <w:r w:rsidR="007E7058" w:rsidRPr="007E7058">
        <w:rPr>
          <w:rFonts w:eastAsia="Times New Roman"/>
        </w:rPr>
        <w:t>which are used by schools for a specified range of school needs, such as minor maintenance work and to top up school supplies</w:t>
      </w:r>
      <w:r w:rsidR="00AF7BC5">
        <w:rPr>
          <w:rFonts w:eastAsia="Times New Roman"/>
          <w:lang w:val="en-AU"/>
        </w:rPr>
        <w:t xml:space="preserve">) </w:t>
      </w:r>
      <w:r w:rsidRPr="008B32B6">
        <w:rPr>
          <w:rFonts w:eastAsia="Times New Roman"/>
          <w:lang w:val="en-AU"/>
        </w:rPr>
        <w:t xml:space="preserve">are increasingly funded by </w:t>
      </w:r>
      <w:r w:rsidR="00BF76B6">
        <w:rPr>
          <w:rFonts w:eastAsia="Times New Roman"/>
          <w:lang w:val="en-AU"/>
        </w:rPr>
        <w:t>MoET</w:t>
      </w:r>
      <w:r w:rsidRPr="008B32B6">
        <w:rPr>
          <w:rFonts w:eastAsia="Times New Roman"/>
          <w:lang w:val="en-AU"/>
        </w:rPr>
        <w:t xml:space="preserve">, with over 60 per cent of primary school grants funded by the Ministry. </w:t>
      </w:r>
      <w:r>
        <w:rPr>
          <w:rFonts w:eastAsia="Times New Roman"/>
          <w:lang w:val="en-AU"/>
        </w:rPr>
        <w:t xml:space="preserve"> </w:t>
      </w:r>
      <w:r w:rsidRPr="008B32B6">
        <w:rPr>
          <w:rFonts w:eastAsia="Times New Roman"/>
          <w:lang w:val="en-AU"/>
        </w:rPr>
        <w:t>Almost all (99 per cent) eligible primary schools received the first tranche of 2015 school grants, and over 80 per cent of eligible primary schools received the second 2015 school grant.</w:t>
      </w:r>
    </w:p>
    <w:p w:rsidR="00BD4DAF" w:rsidRPr="009B71EC" w:rsidRDefault="00A229FB" w:rsidP="002A51CA">
      <w:pPr>
        <w:spacing w:after="120" w:line="280" w:lineRule="exact"/>
        <w:rPr>
          <w:rFonts w:eastAsia="Times New Roman"/>
        </w:rPr>
      </w:pPr>
      <w:r w:rsidRPr="009B71EC">
        <w:rPr>
          <w:rFonts w:eastAsia="Times New Roman"/>
        </w:rPr>
        <w:t xml:space="preserve">The VESP program responded to </w:t>
      </w:r>
      <w:r w:rsidR="00084CBC">
        <w:rPr>
          <w:rFonts w:eastAsia="Times New Roman"/>
        </w:rPr>
        <w:t>Tropical Cyclone Pam</w:t>
      </w:r>
      <w:r w:rsidRPr="009B71EC">
        <w:rPr>
          <w:rFonts w:eastAsia="Times New Roman"/>
        </w:rPr>
        <w:t xml:space="preserve"> by prioritising “rebuilding stronger and safer” primary schools in Tafea province; reprinting numeracy and literacy kits; and assisting staff in MoET in the immediate aftermath and ongoing recovery work.  Work is on track for education recovery in Tafea province with contract revision for works on 18 schools (42 classrooms) on Tanna signed and selection of materials supplier for Tanna works approved.  The program is highly regarded within MoET, partly due to program team assistance to support </w:t>
      </w:r>
      <w:r w:rsidR="00084CBC">
        <w:rPr>
          <w:rFonts w:eastAsia="Times New Roman"/>
        </w:rPr>
        <w:t>Tropical Cyclone Pam</w:t>
      </w:r>
      <w:r w:rsidRPr="009B71EC">
        <w:rPr>
          <w:rFonts w:eastAsia="Times New Roman"/>
        </w:rPr>
        <w:t xml:space="preserve"> recovery efforts.</w:t>
      </w:r>
    </w:p>
    <w:p w:rsidR="00890D15" w:rsidRPr="009B71EC" w:rsidRDefault="002A72EC" w:rsidP="00890D15">
      <w:pPr>
        <w:spacing w:after="120" w:line="280" w:lineRule="exact"/>
        <w:rPr>
          <w:rFonts w:eastAsia="Times New Roman"/>
          <w:lang w:val="en-AU"/>
        </w:rPr>
      </w:pPr>
      <w:r w:rsidRPr="002A72EC">
        <w:rPr>
          <w:rFonts w:eastAsia="Times New Roman"/>
          <w:lang w:val="en-AU"/>
        </w:rPr>
        <w:t>Vanuatu’s health sector has one of the lowest trained health worker to population densities in the Pacific (0.19 doctors and 1.58 nurses and midwives per 1,000 population). Under-five mortality rate of 31/1,000 is also very poor and Vanuatu had not met MDG 4 (reduce child mortality) by the end of the MDG reporting period</w:t>
      </w:r>
      <w:r w:rsidRPr="002A72EC">
        <w:rPr>
          <w:rFonts w:eastAsia="Times New Roman"/>
          <w:vertAlign w:val="superscript"/>
          <w:lang w:val="en-AU"/>
        </w:rPr>
        <w:endnoteReference w:id="5"/>
      </w:r>
      <w:r w:rsidRPr="002A72EC">
        <w:rPr>
          <w:rFonts w:eastAsia="Times New Roman"/>
          <w:lang w:val="en-AU"/>
        </w:rPr>
        <w:t>.  Combined with system inefficiencies and limited service delivery capacity, health clinics often lack basic resources.</w:t>
      </w:r>
      <w:r w:rsidRPr="002A72EC">
        <w:rPr>
          <w:rFonts w:eastAsia="Times New Roman"/>
          <w:vertAlign w:val="superscript"/>
          <w:lang w:val="en-AU"/>
        </w:rPr>
        <w:endnoteReference w:id="6"/>
      </w:r>
      <w:r>
        <w:rPr>
          <w:rFonts w:eastAsia="Times New Roman"/>
          <w:lang w:val="en-AU"/>
        </w:rPr>
        <w:t xml:space="preserve">  Despite these ongoing challenges, improvements in health were made i</w:t>
      </w:r>
      <w:r w:rsidR="00E40E4E">
        <w:rPr>
          <w:rFonts w:eastAsia="Times New Roman"/>
          <w:lang w:val="en-AU"/>
        </w:rPr>
        <w:t xml:space="preserve">n the </w:t>
      </w:r>
      <w:r w:rsidR="003440CF" w:rsidRPr="00AD1670">
        <w:rPr>
          <w:rFonts w:eastAsia="Times New Roman"/>
          <w:b/>
          <w:i/>
          <w:lang w:val="en-AU"/>
        </w:rPr>
        <w:t>H</w:t>
      </w:r>
      <w:r w:rsidR="00E40E4E" w:rsidRPr="00AD1670">
        <w:rPr>
          <w:rFonts w:eastAsia="Times New Roman"/>
          <w:b/>
          <w:i/>
          <w:lang w:val="en-AU"/>
        </w:rPr>
        <w:t xml:space="preserve">ealth </w:t>
      </w:r>
      <w:r w:rsidR="003440CF" w:rsidRPr="00AD1670">
        <w:rPr>
          <w:rFonts w:eastAsia="Times New Roman"/>
          <w:b/>
          <w:i/>
          <w:lang w:val="en-AU"/>
        </w:rPr>
        <w:t>Sector Support P</w:t>
      </w:r>
      <w:r w:rsidR="00E40E4E" w:rsidRPr="00AD1670">
        <w:rPr>
          <w:rFonts w:eastAsia="Times New Roman"/>
          <w:b/>
          <w:i/>
          <w:lang w:val="en-AU"/>
        </w:rPr>
        <w:t>rogram</w:t>
      </w:r>
      <w:r w:rsidR="00E40E4E">
        <w:rPr>
          <w:rFonts w:eastAsia="Times New Roman"/>
          <w:lang w:val="en-AU"/>
        </w:rPr>
        <w:t xml:space="preserve">, </w:t>
      </w:r>
      <w:r>
        <w:rPr>
          <w:rFonts w:eastAsia="Times New Roman"/>
          <w:lang w:val="en-AU"/>
        </w:rPr>
        <w:t xml:space="preserve">including </w:t>
      </w:r>
      <w:r w:rsidR="00AA257D" w:rsidRPr="009B71EC">
        <w:rPr>
          <w:rFonts w:eastAsia="Times New Roman"/>
          <w:lang w:val="en-AU"/>
        </w:rPr>
        <w:t xml:space="preserve">in </w:t>
      </w:r>
      <w:r w:rsidR="000334F8">
        <w:rPr>
          <w:rFonts w:eastAsia="Times New Roman"/>
          <w:lang w:val="en-AU"/>
        </w:rPr>
        <w:t>health information</w:t>
      </w:r>
      <w:r w:rsidR="000334F8" w:rsidRPr="009B71EC">
        <w:rPr>
          <w:rFonts w:eastAsia="Times New Roman"/>
          <w:lang w:val="en-AU"/>
        </w:rPr>
        <w:t xml:space="preserve"> </w:t>
      </w:r>
      <w:r w:rsidR="00890D15" w:rsidRPr="009B71EC">
        <w:rPr>
          <w:rFonts w:eastAsia="Times New Roman"/>
          <w:lang w:val="en-AU"/>
        </w:rPr>
        <w:t>management</w:t>
      </w:r>
      <w:r w:rsidR="00E60D06" w:rsidRPr="009B71EC">
        <w:rPr>
          <w:rFonts w:eastAsia="Times New Roman"/>
          <w:lang w:val="en-AU"/>
        </w:rPr>
        <w:t xml:space="preserve"> and budget planning</w:t>
      </w:r>
      <w:r w:rsidR="00890D15" w:rsidRPr="009B71EC">
        <w:rPr>
          <w:rFonts w:eastAsia="Times New Roman"/>
          <w:lang w:val="en-AU"/>
        </w:rPr>
        <w:t xml:space="preserve"> in the Ministry of Health</w:t>
      </w:r>
      <w:r w:rsidR="00552890">
        <w:rPr>
          <w:rFonts w:eastAsia="Times New Roman"/>
          <w:lang w:val="en-AU"/>
        </w:rPr>
        <w:t xml:space="preserve"> (MoH)</w:t>
      </w:r>
      <w:r>
        <w:rPr>
          <w:rFonts w:eastAsia="Times New Roman"/>
          <w:lang w:val="en-AU"/>
        </w:rPr>
        <w:t>.  P</w:t>
      </w:r>
      <w:r w:rsidR="00890D15" w:rsidRPr="009B71EC">
        <w:rPr>
          <w:rFonts w:eastAsia="Times New Roman"/>
          <w:lang w:val="en-AU"/>
        </w:rPr>
        <w:t>rogress across all init</w:t>
      </w:r>
      <w:r w:rsidR="00AA257D" w:rsidRPr="009B71EC">
        <w:rPr>
          <w:rFonts w:eastAsia="Times New Roman"/>
          <w:lang w:val="en-AU"/>
        </w:rPr>
        <w:t xml:space="preserve">iatives improved on last year.  </w:t>
      </w:r>
    </w:p>
    <w:p w:rsidR="00890D15" w:rsidRPr="009B71EC" w:rsidRDefault="00890D15" w:rsidP="00890D15">
      <w:pPr>
        <w:spacing w:after="120" w:line="280" w:lineRule="exact"/>
        <w:rPr>
          <w:rFonts w:eastAsia="Times New Roman"/>
          <w:lang w:val="en-AU"/>
        </w:rPr>
      </w:pPr>
      <w:r w:rsidRPr="009B71EC">
        <w:rPr>
          <w:rFonts w:eastAsia="Times New Roman"/>
          <w:lang w:val="en-AU"/>
        </w:rPr>
        <w:t xml:space="preserve">Australia is the largest and lead donor in the health sector in Vanuatu. </w:t>
      </w:r>
      <w:r w:rsidR="002A72EC">
        <w:rPr>
          <w:rFonts w:eastAsia="Times New Roman"/>
          <w:lang w:val="en-AU"/>
        </w:rPr>
        <w:t xml:space="preserve"> </w:t>
      </w:r>
      <w:r w:rsidRPr="009B71EC">
        <w:rPr>
          <w:rFonts w:eastAsia="Times New Roman"/>
          <w:lang w:val="en-AU"/>
        </w:rPr>
        <w:t>DFAT provides support to: hospitals and nursing</w:t>
      </w:r>
      <w:r w:rsidR="00186FA4">
        <w:rPr>
          <w:rFonts w:eastAsia="Times New Roman"/>
          <w:lang w:val="en-AU"/>
        </w:rPr>
        <w:t>;</w:t>
      </w:r>
      <w:r w:rsidRPr="009B71EC">
        <w:rPr>
          <w:rFonts w:eastAsia="Times New Roman"/>
          <w:lang w:val="en-AU"/>
        </w:rPr>
        <w:t xml:space="preserve"> village health workers</w:t>
      </w:r>
      <w:r w:rsidR="00186FA4">
        <w:rPr>
          <w:rFonts w:eastAsia="Times New Roman"/>
          <w:lang w:val="en-AU"/>
        </w:rPr>
        <w:t>;</w:t>
      </w:r>
      <w:r w:rsidRPr="009B71EC">
        <w:rPr>
          <w:rFonts w:eastAsia="Times New Roman"/>
          <w:lang w:val="en-AU"/>
        </w:rPr>
        <w:t xml:space="preserve"> malaria elimination</w:t>
      </w:r>
      <w:r w:rsidR="00186FA4">
        <w:rPr>
          <w:rFonts w:eastAsia="Times New Roman"/>
          <w:lang w:val="en-AU"/>
        </w:rPr>
        <w:t>;</w:t>
      </w:r>
      <w:r w:rsidRPr="009B71EC">
        <w:rPr>
          <w:rFonts w:eastAsia="Times New Roman"/>
          <w:lang w:val="en-AU"/>
        </w:rPr>
        <w:t xml:space="preserve"> immunisation and health systems strengthening. </w:t>
      </w:r>
      <w:r w:rsidR="008C7113" w:rsidRPr="009B71EC">
        <w:rPr>
          <w:rFonts w:eastAsia="Times New Roman"/>
          <w:lang w:val="en-AU"/>
        </w:rPr>
        <w:t xml:space="preserve"> </w:t>
      </w:r>
      <w:r w:rsidRPr="009B71EC">
        <w:rPr>
          <w:rFonts w:eastAsia="Times New Roman"/>
          <w:lang w:val="en-AU"/>
        </w:rPr>
        <w:t xml:space="preserve">Assistance is provided through government systems, third-party contracts, technical assistance and projects directly managed by contractors. </w:t>
      </w:r>
      <w:r w:rsidR="00AA257D" w:rsidRPr="009B71EC">
        <w:rPr>
          <w:rFonts w:eastAsia="Times New Roman"/>
          <w:lang w:val="en-AU"/>
        </w:rPr>
        <w:t xml:space="preserve"> </w:t>
      </w:r>
      <w:r w:rsidR="0056672D" w:rsidRPr="009B71EC">
        <w:rPr>
          <w:rFonts w:eastAsia="Times New Roman"/>
          <w:lang w:val="en-AU"/>
        </w:rPr>
        <w:t xml:space="preserve">In early 2015, </w:t>
      </w:r>
      <w:r w:rsidR="00084CBC">
        <w:rPr>
          <w:rFonts w:eastAsia="Times New Roman"/>
          <w:lang w:val="en-AU"/>
        </w:rPr>
        <w:t>Tropical Cyclone Pam</w:t>
      </w:r>
      <w:r w:rsidR="005C422D" w:rsidRPr="009B71EC">
        <w:rPr>
          <w:rFonts w:eastAsia="Times New Roman"/>
          <w:lang w:val="en-AU"/>
        </w:rPr>
        <w:t xml:space="preserve"> activities </w:t>
      </w:r>
      <w:r w:rsidR="0056672D" w:rsidRPr="009B71EC">
        <w:rPr>
          <w:rFonts w:eastAsia="Times New Roman"/>
          <w:lang w:val="en-AU"/>
        </w:rPr>
        <w:t>took priority,</w:t>
      </w:r>
      <w:r w:rsidR="00186FA4">
        <w:rPr>
          <w:rFonts w:eastAsia="Times New Roman"/>
          <w:lang w:val="en-AU"/>
        </w:rPr>
        <w:t xml:space="preserve"> </w:t>
      </w:r>
      <w:r w:rsidR="002A72EC">
        <w:rPr>
          <w:rFonts w:eastAsia="Times New Roman"/>
          <w:lang w:val="en-AU"/>
        </w:rPr>
        <w:t>which</w:t>
      </w:r>
      <w:r w:rsidR="00186FA4">
        <w:rPr>
          <w:rFonts w:eastAsia="Times New Roman"/>
          <w:lang w:val="en-AU"/>
        </w:rPr>
        <w:t xml:space="preserve"> resulted in </w:t>
      </w:r>
      <w:r w:rsidR="005C422D" w:rsidRPr="009B71EC">
        <w:rPr>
          <w:rFonts w:eastAsia="Times New Roman"/>
          <w:lang w:val="en-AU"/>
        </w:rPr>
        <w:t>delay</w:t>
      </w:r>
      <w:r w:rsidR="00E40E4E">
        <w:rPr>
          <w:rFonts w:eastAsia="Times New Roman"/>
          <w:lang w:val="en-AU"/>
        </w:rPr>
        <w:t xml:space="preserve">ed progress in some areas throughout 2015.  </w:t>
      </w:r>
    </w:p>
    <w:p w:rsidR="009D54D4" w:rsidRPr="009D54D4" w:rsidRDefault="00890D15" w:rsidP="009D54D4">
      <w:pPr>
        <w:spacing w:after="120" w:line="280" w:lineRule="exact"/>
        <w:rPr>
          <w:rFonts w:eastAsia="Times New Roman"/>
          <w:lang w:val="en-AU"/>
        </w:rPr>
      </w:pPr>
      <w:r w:rsidRPr="009B71EC">
        <w:rPr>
          <w:rFonts w:eastAsia="Times New Roman"/>
          <w:lang w:val="en-AU"/>
        </w:rPr>
        <w:t xml:space="preserve">In </w:t>
      </w:r>
      <w:r w:rsidR="008C7113" w:rsidRPr="009B71EC">
        <w:rPr>
          <w:rFonts w:eastAsia="Times New Roman"/>
          <w:lang w:val="en-AU"/>
        </w:rPr>
        <w:t>2015</w:t>
      </w:r>
      <w:r w:rsidR="008C7113" w:rsidRPr="009B71EC">
        <w:rPr>
          <w:rFonts w:eastAsia="Times New Roman"/>
          <w:lang w:val="en-AU"/>
        </w:rPr>
        <w:noBreakHyphen/>
        <w:t>16</w:t>
      </w:r>
      <w:r w:rsidRPr="009B71EC">
        <w:rPr>
          <w:rFonts w:eastAsia="Times New Roman"/>
          <w:lang w:val="en-AU"/>
        </w:rPr>
        <w:t xml:space="preserve"> DFAT worked with </w:t>
      </w:r>
      <w:r w:rsidR="00186FA4">
        <w:rPr>
          <w:rFonts w:eastAsia="Times New Roman"/>
          <w:lang w:val="en-AU"/>
        </w:rPr>
        <w:t>MoH</w:t>
      </w:r>
      <w:r w:rsidR="00940FF2">
        <w:rPr>
          <w:rFonts w:eastAsia="Times New Roman"/>
          <w:lang w:val="en-AU"/>
        </w:rPr>
        <w:t xml:space="preserve"> and </w:t>
      </w:r>
      <w:r w:rsidR="0077105F">
        <w:rPr>
          <w:rFonts w:eastAsia="Times New Roman"/>
          <w:lang w:val="en-AU"/>
        </w:rPr>
        <w:t>t</w:t>
      </w:r>
      <w:r w:rsidRPr="009B71EC">
        <w:rPr>
          <w:rFonts w:eastAsia="Times New Roman"/>
          <w:lang w:val="en-AU"/>
        </w:rPr>
        <w:t xml:space="preserve">he World Health Organisation </w:t>
      </w:r>
      <w:r w:rsidR="00192802">
        <w:rPr>
          <w:rFonts w:eastAsia="Times New Roman"/>
          <w:lang w:val="en-AU"/>
        </w:rPr>
        <w:t>(WHO)</w:t>
      </w:r>
      <w:r w:rsidR="0077105F">
        <w:rPr>
          <w:rFonts w:eastAsia="Times New Roman"/>
          <w:lang w:val="en-AU"/>
        </w:rPr>
        <w:t xml:space="preserve"> </w:t>
      </w:r>
      <w:r w:rsidR="005C422D" w:rsidRPr="009B71EC">
        <w:rPr>
          <w:rFonts w:eastAsia="Times New Roman"/>
          <w:lang w:val="en-AU"/>
        </w:rPr>
        <w:t xml:space="preserve">to strengthen </w:t>
      </w:r>
      <w:r w:rsidR="00940FF2">
        <w:rPr>
          <w:rFonts w:eastAsia="Times New Roman"/>
          <w:lang w:val="en-AU"/>
        </w:rPr>
        <w:t>Vanuatu’s</w:t>
      </w:r>
      <w:r w:rsidR="00940FF2" w:rsidRPr="009B71EC">
        <w:rPr>
          <w:rFonts w:eastAsia="Times New Roman"/>
          <w:lang w:val="en-AU"/>
        </w:rPr>
        <w:t xml:space="preserve"> </w:t>
      </w:r>
      <w:r w:rsidR="005C422D" w:rsidRPr="009B71EC">
        <w:rPr>
          <w:rFonts w:eastAsia="Times New Roman"/>
          <w:lang w:val="en-AU"/>
        </w:rPr>
        <w:t>Health Information System (HIS) to improve data collection and management.  This has led to an improvement in reporting rates for hospitals, health centres and dispensaries across all provinces</w:t>
      </w:r>
      <w:r w:rsidR="00552890">
        <w:rPr>
          <w:rFonts w:eastAsia="Times New Roman"/>
          <w:lang w:val="en-AU"/>
        </w:rPr>
        <w:t xml:space="preserve"> of</w:t>
      </w:r>
      <w:r w:rsidR="00552890" w:rsidRPr="009B71EC">
        <w:rPr>
          <w:rFonts w:eastAsia="Times New Roman"/>
          <w:lang w:val="en-AU"/>
        </w:rPr>
        <w:t xml:space="preserve"> </w:t>
      </w:r>
      <w:r w:rsidR="005C422D" w:rsidRPr="009B71EC">
        <w:rPr>
          <w:rFonts w:eastAsia="Times New Roman"/>
          <w:lang w:val="en-AU"/>
        </w:rPr>
        <w:t xml:space="preserve">up to 87 per cent in 2015 compared to 79 per cent in 2014 and 58 per cent in 2013.  </w:t>
      </w:r>
      <w:r w:rsidR="009D54D4">
        <w:rPr>
          <w:rFonts w:eastAsia="Times New Roman"/>
          <w:lang w:val="en-AU"/>
        </w:rPr>
        <w:t>During</w:t>
      </w:r>
      <w:r w:rsidR="005C422D" w:rsidRPr="009B71EC">
        <w:rPr>
          <w:rFonts w:eastAsia="Times New Roman"/>
          <w:lang w:val="en-AU"/>
        </w:rPr>
        <w:t xml:space="preserve"> 2015, </w:t>
      </w:r>
      <w:r w:rsidR="009D54D4">
        <w:rPr>
          <w:rFonts w:eastAsia="Times New Roman"/>
          <w:lang w:val="en-AU"/>
        </w:rPr>
        <w:t xml:space="preserve">locally engaged </w:t>
      </w:r>
      <w:r w:rsidR="005C422D" w:rsidRPr="009B71EC">
        <w:rPr>
          <w:rFonts w:eastAsia="Times New Roman"/>
          <w:lang w:val="en-AU"/>
        </w:rPr>
        <w:t xml:space="preserve">advisers </w:t>
      </w:r>
      <w:r w:rsidR="009D54D4">
        <w:rPr>
          <w:rFonts w:eastAsia="Times New Roman"/>
          <w:lang w:val="en-AU"/>
        </w:rPr>
        <w:t xml:space="preserve">were deployed to Human Resources, and </w:t>
      </w:r>
      <w:r w:rsidR="00084CBC">
        <w:rPr>
          <w:rFonts w:eastAsia="Times New Roman"/>
          <w:lang w:val="en-AU"/>
        </w:rPr>
        <w:t>Tropical Cyclone Pam</w:t>
      </w:r>
      <w:r w:rsidR="009D54D4">
        <w:rPr>
          <w:rFonts w:eastAsia="Times New Roman"/>
          <w:lang w:val="en-AU"/>
        </w:rPr>
        <w:t xml:space="preserve"> recovery.  </w:t>
      </w:r>
      <w:r w:rsidR="0056672D" w:rsidRPr="009B71EC">
        <w:rPr>
          <w:rFonts w:eastAsia="Times New Roman"/>
          <w:lang w:val="en-AU"/>
        </w:rPr>
        <w:t xml:space="preserve">  The strategic alignment of advisers has strengthened public sector financial management</w:t>
      </w:r>
      <w:r w:rsidR="003F4AAF" w:rsidRPr="009B71EC">
        <w:rPr>
          <w:rFonts w:eastAsia="Times New Roman"/>
          <w:lang w:val="en-AU"/>
        </w:rPr>
        <w:t>, including</w:t>
      </w:r>
      <w:r w:rsidR="0056672D" w:rsidRPr="009B71EC">
        <w:rPr>
          <w:rFonts w:eastAsia="Times New Roman"/>
          <w:lang w:val="en-AU"/>
        </w:rPr>
        <w:t xml:space="preserve"> through contributing to improved business planning process</w:t>
      </w:r>
      <w:r w:rsidR="000334F8">
        <w:rPr>
          <w:rFonts w:eastAsia="Times New Roman"/>
          <w:lang w:val="en-AU"/>
        </w:rPr>
        <w:t xml:space="preserve">es </w:t>
      </w:r>
      <w:r w:rsidR="0056672D" w:rsidRPr="009B71EC">
        <w:rPr>
          <w:rFonts w:eastAsia="Times New Roman"/>
          <w:lang w:val="en-AU"/>
        </w:rPr>
        <w:t xml:space="preserve">and budget management.  However, planning at the provincial level is </w:t>
      </w:r>
      <w:r w:rsidR="00FF4615">
        <w:rPr>
          <w:rFonts w:eastAsia="Times New Roman"/>
          <w:lang w:val="en-AU"/>
        </w:rPr>
        <w:t>still a challenge which affects</w:t>
      </w:r>
      <w:r w:rsidR="0056672D" w:rsidRPr="009B71EC">
        <w:rPr>
          <w:rFonts w:eastAsia="Times New Roman"/>
          <w:lang w:val="en-AU"/>
        </w:rPr>
        <w:t xml:space="preserve"> service delivery to communities in rural and remote areas</w:t>
      </w:r>
      <w:r w:rsidR="00FF4615">
        <w:rPr>
          <w:rFonts w:eastAsia="Times New Roman"/>
          <w:lang w:val="en-AU"/>
        </w:rPr>
        <w:t>.  S</w:t>
      </w:r>
      <w:r w:rsidR="009D54D4" w:rsidRPr="009D54D4">
        <w:rPr>
          <w:rFonts w:eastAsia="Times New Roman"/>
          <w:lang w:val="en-AU"/>
        </w:rPr>
        <w:t xml:space="preserve">upport to provinces has been a focus for 2017 </w:t>
      </w:r>
      <w:r w:rsidR="00FF4615">
        <w:rPr>
          <w:rFonts w:eastAsia="Times New Roman"/>
          <w:lang w:val="en-AU"/>
        </w:rPr>
        <w:t xml:space="preserve">Vanuatu Government </w:t>
      </w:r>
      <w:r w:rsidR="009D54D4" w:rsidRPr="009D54D4">
        <w:rPr>
          <w:rFonts w:eastAsia="Times New Roman"/>
          <w:lang w:val="en-AU"/>
        </w:rPr>
        <w:t xml:space="preserve">budget preparations. </w:t>
      </w:r>
      <w:r w:rsidR="009D54D4">
        <w:rPr>
          <w:rFonts w:eastAsia="Times New Roman"/>
          <w:lang w:val="en-AU"/>
        </w:rPr>
        <w:t xml:space="preserve"> </w:t>
      </w:r>
      <w:r w:rsidR="009D54D4" w:rsidRPr="009D54D4">
        <w:rPr>
          <w:rFonts w:eastAsia="Times New Roman"/>
          <w:lang w:val="en-AU"/>
        </w:rPr>
        <w:t>A</w:t>
      </w:r>
      <w:r w:rsidR="00B33ADC">
        <w:rPr>
          <w:rFonts w:eastAsia="Times New Roman"/>
          <w:lang w:val="en-AU"/>
        </w:rPr>
        <w:t>n Australian</w:t>
      </w:r>
      <w:r w:rsidR="009D54D4" w:rsidRPr="009D54D4">
        <w:rPr>
          <w:rFonts w:eastAsia="Times New Roman"/>
          <w:lang w:val="en-AU"/>
        </w:rPr>
        <w:t xml:space="preserve"> funded WHO adviser is</w:t>
      </w:r>
      <w:r w:rsidR="009D54D4">
        <w:rPr>
          <w:rFonts w:eastAsia="Times New Roman"/>
          <w:lang w:val="en-AU"/>
        </w:rPr>
        <w:t xml:space="preserve"> also working at the provincial</w:t>
      </w:r>
      <w:r w:rsidR="00B33ADC">
        <w:rPr>
          <w:rFonts w:eastAsia="Times New Roman"/>
          <w:lang w:val="en-AU"/>
        </w:rPr>
        <w:t xml:space="preserve"> </w:t>
      </w:r>
      <w:r w:rsidR="009D54D4" w:rsidRPr="009D54D4">
        <w:rPr>
          <w:rFonts w:eastAsia="Times New Roman"/>
          <w:lang w:val="en-AU"/>
        </w:rPr>
        <w:t xml:space="preserve">level to improve coordination of public health and primary care outreach activities.   </w:t>
      </w:r>
    </w:p>
    <w:p w:rsidR="005C422D" w:rsidRPr="009B71EC" w:rsidRDefault="009D54D4" w:rsidP="009D54D4">
      <w:pPr>
        <w:spacing w:after="120" w:line="280" w:lineRule="exact"/>
        <w:rPr>
          <w:rFonts w:eastAsia="Times New Roman"/>
          <w:lang w:val="en-AU"/>
        </w:rPr>
      </w:pPr>
      <w:r w:rsidRPr="009D54D4">
        <w:rPr>
          <w:rFonts w:eastAsia="Times New Roman"/>
          <w:lang w:val="en-AU"/>
        </w:rPr>
        <w:t xml:space="preserve">Staff vacancies, leadership turnover and policy and management </w:t>
      </w:r>
      <w:r w:rsidR="00FF4615">
        <w:rPr>
          <w:rFonts w:eastAsia="Times New Roman"/>
          <w:lang w:val="en-AU"/>
        </w:rPr>
        <w:t>challenges</w:t>
      </w:r>
      <w:r w:rsidR="00FF4615" w:rsidRPr="009D54D4">
        <w:rPr>
          <w:rFonts w:eastAsia="Times New Roman"/>
          <w:lang w:val="en-AU"/>
        </w:rPr>
        <w:t xml:space="preserve"> </w:t>
      </w:r>
      <w:r w:rsidRPr="009D54D4">
        <w:rPr>
          <w:rFonts w:eastAsia="Times New Roman"/>
          <w:lang w:val="en-AU"/>
        </w:rPr>
        <w:t xml:space="preserve">in MoH limited the impact of our support to workforce planning and management and constrained health service delivery.  DFAT nevertheless maintained regular policy dialogue with MoH and other health development partners throughout the year, and helped MoH to produce a credible 2016 Ministerial Budget Submission that linked HIS data to policy proposals and priorities for 2016. </w:t>
      </w:r>
      <w:r w:rsidR="000334F8">
        <w:rPr>
          <w:rFonts w:eastAsia="Times New Roman"/>
          <w:lang w:val="en-AU"/>
        </w:rPr>
        <w:t xml:space="preserve"> MoH’s</w:t>
      </w:r>
      <w:r w:rsidRPr="009D54D4">
        <w:rPr>
          <w:rFonts w:eastAsia="Times New Roman"/>
          <w:lang w:val="en-AU"/>
        </w:rPr>
        <w:t xml:space="preserve"> 2017 budget preparations commenced in early 2016 which, unlike previous years, is in line with the Government’s budget timetable.</w:t>
      </w:r>
      <w:r w:rsidR="0056672D" w:rsidRPr="009B71EC">
        <w:rPr>
          <w:rFonts w:eastAsia="Times New Roman"/>
          <w:lang w:val="en-AU"/>
        </w:rPr>
        <w:t xml:space="preserve">  </w:t>
      </w:r>
    </w:p>
    <w:p w:rsidR="00863F9C" w:rsidRPr="00863F9C" w:rsidRDefault="00863F9C" w:rsidP="00863F9C">
      <w:pPr>
        <w:spacing w:after="120" w:line="280" w:lineRule="exact"/>
        <w:rPr>
          <w:rFonts w:eastAsia="Times New Roman"/>
          <w:lang w:val="en-AU"/>
        </w:rPr>
      </w:pPr>
      <w:r w:rsidRPr="00863F9C">
        <w:rPr>
          <w:rFonts w:eastAsia="Times New Roman"/>
          <w:lang w:val="en-AU"/>
        </w:rPr>
        <w:t>In 2015</w:t>
      </w:r>
      <w:r w:rsidRPr="00863F9C">
        <w:rPr>
          <w:rFonts w:eastAsia="Times New Roman"/>
          <w:lang w:val="en-AU"/>
        </w:rPr>
        <w:noBreakHyphen/>
        <w:t>16</w:t>
      </w:r>
      <w:r w:rsidR="00604254">
        <w:rPr>
          <w:rFonts w:eastAsia="Times New Roman"/>
          <w:lang w:val="en-AU"/>
        </w:rPr>
        <w:t>,</w:t>
      </w:r>
      <w:r w:rsidRPr="00863F9C">
        <w:rPr>
          <w:rFonts w:eastAsia="Times New Roman"/>
          <w:lang w:val="en-AU"/>
        </w:rPr>
        <w:t xml:space="preserve"> DFAT supported MoH and UNICEF to strengthen routine</w:t>
      </w:r>
      <w:r>
        <w:rPr>
          <w:rFonts w:eastAsia="Times New Roman"/>
          <w:lang w:val="en-AU"/>
        </w:rPr>
        <w:t xml:space="preserve"> </w:t>
      </w:r>
      <w:r w:rsidRPr="00863F9C">
        <w:rPr>
          <w:rFonts w:eastAsia="Times New Roman"/>
          <w:lang w:val="en-AU"/>
        </w:rPr>
        <w:t xml:space="preserve">immunisation for children, </w:t>
      </w:r>
      <w:r w:rsidR="00604254">
        <w:rPr>
          <w:rFonts w:eastAsia="Times New Roman"/>
          <w:lang w:val="en-AU"/>
        </w:rPr>
        <w:t xml:space="preserve">with </w:t>
      </w:r>
      <w:r w:rsidR="00185C2A">
        <w:rPr>
          <w:rFonts w:eastAsia="Times New Roman"/>
          <w:lang w:val="en-AU"/>
        </w:rPr>
        <w:t xml:space="preserve">68.5 per cent of children aged 23-59 months </w:t>
      </w:r>
      <w:r w:rsidR="00604254">
        <w:rPr>
          <w:rFonts w:eastAsia="Times New Roman"/>
          <w:lang w:val="en-AU"/>
        </w:rPr>
        <w:t>being fully</w:t>
      </w:r>
      <w:r w:rsidR="00604254">
        <w:rPr>
          <w:rFonts w:eastAsia="Times New Roman"/>
          <w:lang w:val="en-AU"/>
        </w:rPr>
        <w:noBreakHyphen/>
        <w:t xml:space="preserve">immunised nationwide </w:t>
      </w:r>
      <w:r w:rsidR="00185C2A">
        <w:rPr>
          <w:rFonts w:eastAsia="Times New Roman"/>
          <w:lang w:val="en-AU"/>
        </w:rPr>
        <w:t>(exceeding the 33 per cent baseline target)</w:t>
      </w:r>
      <w:r w:rsidRPr="00863F9C">
        <w:rPr>
          <w:rFonts w:eastAsia="Times New Roman"/>
          <w:lang w:val="en-AU"/>
        </w:rPr>
        <w:t>.</w:t>
      </w:r>
      <w:r w:rsidR="001D7BDA">
        <w:rPr>
          <w:rFonts w:eastAsia="Times New Roman"/>
          <w:lang w:val="en-AU"/>
        </w:rPr>
        <w:t xml:space="preserve">  </w:t>
      </w:r>
      <w:r w:rsidRPr="00863F9C">
        <w:rPr>
          <w:rFonts w:eastAsia="Times New Roman"/>
          <w:lang w:val="en-AU"/>
        </w:rPr>
        <w:t xml:space="preserve"> There have been no confirmed deaths from malaria since 2012.  M</w:t>
      </w:r>
      <w:r>
        <w:rPr>
          <w:rFonts w:eastAsia="Times New Roman"/>
          <w:lang w:val="en-AU"/>
        </w:rPr>
        <w:t>oH</w:t>
      </w:r>
      <w:r w:rsidRPr="00863F9C">
        <w:rPr>
          <w:rFonts w:eastAsia="Times New Roman"/>
          <w:lang w:val="en-AU"/>
        </w:rPr>
        <w:t xml:space="preserve"> reported that the 2015 Annual Parasite Incidence rate for malaria was zero, with no confirmed cases in 2015</w:t>
      </w:r>
      <w:r w:rsidR="001C3C0A">
        <w:rPr>
          <w:rStyle w:val="EndnoteReference"/>
          <w:rFonts w:eastAsia="Times New Roman"/>
          <w:lang w:val="en-AU"/>
        </w:rPr>
        <w:endnoteReference w:id="7"/>
      </w:r>
      <w:r w:rsidRPr="00863F9C">
        <w:rPr>
          <w:rFonts w:eastAsia="Times New Roman"/>
          <w:lang w:val="en-AU"/>
        </w:rPr>
        <w:t>.</w:t>
      </w:r>
      <w:r w:rsidR="00BF76B6">
        <w:rPr>
          <w:rFonts w:eastAsia="Times New Roman"/>
          <w:lang w:val="en-AU"/>
        </w:rPr>
        <w:t xml:space="preserve"> </w:t>
      </w:r>
      <w:r w:rsidRPr="00863F9C">
        <w:rPr>
          <w:rFonts w:eastAsia="Times New Roman"/>
          <w:lang w:val="en-AU"/>
        </w:rPr>
        <w:t xml:space="preserve"> The risk of malaria re</w:t>
      </w:r>
      <w:r w:rsidR="00051FB1">
        <w:rPr>
          <w:rFonts w:eastAsia="Times New Roman"/>
          <w:lang w:val="en-AU"/>
        </w:rPr>
        <w:noBreakHyphen/>
      </w:r>
      <w:r w:rsidRPr="00863F9C">
        <w:rPr>
          <w:rFonts w:eastAsia="Times New Roman"/>
          <w:lang w:val="en-AU"/>
        </w:rPr>
        <w:t xml:space="preserve">emerging remains, and we will continue to monitor impacts of reduced Global Fund allocations to Vanuatu for malaria control, announced in March 2014.  </w:t>
      </w:r>
      <w:r w:rsidR="001B0F24" w:rsidRPr="001B0F24">
        <w:rPr>
          <w:rFonts w:eastAsia="Times New Roman"/>
          <w:lang w:val="en-AU"/>
        </w:rPr>
        <w:t>Some progress has been made on maternal and reproductive health, but ongoing close attention on this priority will be required in 2016-17.</w:t>
      </w:r>
    </w:p>
    <w:p w:rsidR="00515A50" w:rsidRPr="00515A50" w:rsidRDefault="00515A50" w:rsidP="00515A50">
      <w:pPr>
        <w:spacing w:after="120" w:line="280" w:lineRule="exact"/>
        <w:rPr>
          <w:rFonts w:eastAsia="Times New Roman"/>
          <w:lang w:val="en-AU"/>
        </w:rPr>
      </w:pPr>
      <w:r w:rsidRPr="00515A50">
        <w:rPr>
          <w:rFonts w:eastAsia="Times New Roman"/>
          <w:lang w:val="en-AU"/>
        </w:rPr>
        <w:t xml:space="preserve">We remain confident that our capacity building approach in the medical field will be increasingly sustainable over time, which will reduce the requirement for capacity supplementation.  As cited in last year’s APPR, </w:t>
      </w:r>
      <w:r w:rsidR="005F0D78">
        <w:rPr>
          <w:rFonts w:eastAsia="Times New Roman"/>
          <w:lang w:val="en-AU"/>
        </w:rPr>
        <w:t>i</w:t>
      </w:r>
      <w:r w:rsidRPr="00515A50">
        <w:rPr>
          <w:rFonts w:eastAsia="Times New Roman"/>
          <w:lang w:val="en-AU"/>
        </w:rPr>
        <w:t xml:space="preserve">n 2015, there were seven consultant or Masters-level ni-Vanuatu doctors, and </w:t>
      </w:r>
      <w:r w:rsidR="00B33ADC">
        <w:rPr>
          <w:rFonts w:eastAsia="Times New Roman"/>
          <w:lang w:val="en-AU"/>
        </w:rPr>
        <w:t>11</w:t>
      </w:r>
      <w:r w:rsidR="00B33ADC" w:rsidRPr="00515A50">
        <w:rPr>
          <w:rFonts w:eastAsia="Times New Roman"/>
          <w:lang w:val="en-AU"/>
        </w:rPr>
        <w:t xml:space="preserve"> </w:t>
      </w:r>
      <w:r w:rsidRPr="00515A50">
        <w:rPr>
          <w:rFonts w:eastAsia="Times New Roman"/>
          <w:lang w:val="en-AU"/>
        </w:rPr>
        <w:t xml:space="preserve">Diploma-level </w:t>
      </w:r>
      <w:r w:rsidR="007852BB">
        <w:rPr>
          <w:rFonts w:eastAsia="Times New Roman"/>
          <w:lang w:val="en-AU"/>
        </w:rPr>
        <w:t xml:space="preserve">specialist </w:t>
      </w:r>
      <w:r w:rsidRPr="00515A50">
        <w:rPr>
          <w:rFonts w:eastAsia="Times New Roman"/>
          <w:lang w:val="en-AU"/>
        </w:rPr>
        <w:t xml:space="preserve">doctors, compared with none in 2002.  </w:t>
      </w:r>
      <w:r w:rsidR="005F0D78">
        <w:rPr>
          <w:rFonts w:eastAsia="Times New Roman"/>
          <w:lang w:val="en-AU"/>
        </w:rPr>
        <w:t>B</w:t>
      </w:r>
      <w:r w:rsidRPr="00515A50">
        <w:rPr>
          <w:rFonts w:eastAsia="Times New Roman"/>
          <w:lang w:val="en-AU"/>
        </w:rPr>
        <w:t xml:space="preserve">y 2026 there are </w:t>
      </w:r>
      <w:r w:rsidR="005F0D78">
        <w:rPr>
          <w:rFonts w:eastAsia="Times New Roman"/>
          <w:lang w:val="en-AU"/>
        </w:rPr>
        <w:t xml:space="preserve">projected to be </w:t>
      </w:r>
      <w:r w:rsidRPr="00515A50">
        <w:rPr>
          <w:rFonts w:eastAsia="Times New Roman"/>
          <w:lang w:val="en-AU"/>
        </w:rPr>
        <w:t>49 Masters level</w:t>
      </w:r>
      <w:r w:rsidR="005F0D78">
        <w:rPr>
          <w:rFonts w:eastAsia="Times New Roman"/>
          <w:lang w:val="en-AU"/>
        </w:rPr>
        <w:t xml:space="preserve"> ni-Vanuatu specialists</w:t>
      </w:r>
      <w:r w:rsidRPr="00515A50">
        <w:rPr>
          <w:rFonts w:eastAsia="Times New Roman"/>
          <w:lang w:val="en-AU"/>
        </w:rPr>
        <w:t xml:space="preserve">. </w:t>
      </w:r>
      <w:r w:rsidR="00863F9C">
        <w:rPr>
          <w:rFonts w:eastAsia="Times New Roman"/>
          <w:lang w:val="en-AU"/>
        </w:rPr>
        <w:t xml:space="preserve"> </w:t>
      </w:r>
      <w:r w:rsidR="00863F9C" w:rsidRPr="00863F9C">
        <w:rPr>
          <w:rFonts w:eastAsia="Times New Roman"/>
          <w:lang w:val="en-AU"/>
        </w:rPr>
        <w:t>Midwife training commenced in early 2016, with 15 trainees expected to graduate in mid-2017.</w:t>
      </w:r>
    </w:p>
    <w:p w:rsidR="00890D15" w:rsidRPr="009B71EC" w:rsidRDefault="00890D15" w:rsidP="00890D15">
      <w:pPr>
        <w:spacing w:after="120" w:line="280" w:lineRule="exact"/>
        <w:rPr>
          <w:rFonts w:eastAsia="Times New Roman"/>
          <w:lang w:val="en-AU"/>
        </w:rPr>
      </w:pPr>
      <w:r w:rsidRPr="009B71EC">
        <w:rPr>
          <w:rFonts w:eastAsia="Times New Roman"/>
          <w:lang w:val="en-AU"/>
        </w:rPr>
        <w:t xml:space="preserve">DFAT continued its support to the NGO </w:t>
      </w:r>
      <w:r w:rsidRPr="009B71EC">
        <w:rPr>
          <w:rFonts w:eastAsia="Times New Roman"/>
          <w:i/>
          <w:lang w:val="en-AU"/>
        </w:rPr>
        <w:t>Wan Smolbag</w:t>
      </w:r>
      <w:r w:rsidRPr="009B71EC">
        <w:rPr>
          <w:rFonts w:eastAsia="Times New Roman"/>
          <w:lang w:val="en-AU"/>
        </w:rPr>
        <w:t>, which includes a foc</w:t>
      </w:r>
      <w:r w:rsidR="003B7749" w:rsidRPr="009B71EC">
        <w:rPr>
          <w:rFonts w:eastAsia="Times New Roman"/>
          <w:lang w:val="en-AU"/>
        </w:rPr>
        <w:t xml:space="preserve">us on delivering primary health </w:t>
      </w:r>
      <w:r w:rsidRPr="009B71EC">
        <w:rPr>
          <w:rFonts w:eastAsia="Times New Roman"/>
          <w:lang w:val="en-AU"/>
        </w:rPr>
        <w:t>servic</w:t>
      </w:r>
      <w:r w:rsidR="005C2EA2" w:rsidRPr="009B71EC">
        <w:rPr>
          <w:rFonts w:eastAsia="Times New Roman"/>
          <w:lang w:val="en-AU"/>
        </w:rPr>
        <w:t>es to the peri-urban poor through</w:t>
      </w:r>
      <w:r w:rsidR="003B7749" w:rsidRPr="009B71EC">
        <w:rPr>
          <w:rFonts w:eastAsia="Times New Roman"/>
          <w:lang w:val="en-AU"/>
        </w:rPr>
        <w:t xml:space="preserve"> </w:t>
      </w:r>
      <w:r w:rsidR="005C2EA2" w:rsidRPr="009B71EC">
        <w:rPr>
          <w:rFonts w:eastAsia="Times New Roman"/>
          <w:lang w:val="en-AU"/>
        </w:rPr>
        <w:t xml:space="preserve">sexual and </w:t>
      </w:r>
      <w:r w:rsidRPr="009B71EC">
        <w:rPr>
          <w:rFonts w:eastAsia="Times New Roman"/>
          <w:lang w:val="en-AU"/>
        </w:rPr>
        <w:t xml:space="preserve">reproductive health clinics. </w:t>
      </w:r>
      <w:r w:rsidR="005C2EA2" w:rsidRPr="009B71EC">
        <w:rPr>
          <w:rFonts w:eastAsia="Times New Roman"/>
          <w:lang w:val="en-AU"/>
        </w:rPr>
        <w:t xml:space="preserve"> Clinics provided sexual reproductive health services, including testing for STIs and family planning advice, to over 9,500 clients.  </w:t>
      </w:r>
      <w:r w:rsidRPr="009B71EC">
        <w:rPr>
          <w:rFonts w:eastAsia="Times New Roman"/>
          <w:lang w:val="en-AU"/>
        </w:rPr>
        <w:t>In 201</w:t>
      </w:r>
      <w:r w:rsidR="005C2EA2" w:rsidRPr="009B71EC">
        <w:rPr>
          <w:rFonts w:eastAsia="Times New Roman"/>
          <w:lang w:val="en-AU"/>
        </w:rPr>
        <w:t>5</w:t>
      </w:r>
      <w:r w:rsidRPr="009B71EC">
        <w:rPr>
          <w:rFonts w:eastAsia="Times New Roman"/>
          <w:lang w:val="en-AU"/>
        </w:rPr>
        <w:t xml:space="preserve">, </w:t>
      </w:r>
      <w:r w:rsidRPr="009B71EC">
        <w:rPr>
          <w:rFonts w:eastAsia="Times New Roman"/>
          <w:i/>
          <w:lang w:val="en-AU"/>
        </w:rPr>
        <w:t xml:space="preserve">Wan Smolbag </w:t>
      </w:r>
      <w:r w:rsidRPr="009B71EC">
        <w:rPr>
          <w:rFonts w:eastAsia="Times New Roman"/>
          <w:lang w:val="en-AU"/>
        </w:rPr>
        <w:t xml:space="preserve">also produced the </w:t>
      </w:r>
      <w:r w:rsidR="005C2EA2" w:rsidRPr="009B71EC">
        <w:rPr>
          <w:rFonts w:eastAsia="Times New Roman"/>
          <w:lang w:val="en-AU"/>
        </w:rPr>
        <w:t>seventh</w:t>
      </w:r>
      <w:r w:rsidRPr="009B71EC">
        <w:rPr>
          <w:rFonts w:eastAsia="Times New Roman"/>
          <w:lang w:val="en-AU"/>
        </w:rPr>
        <w:t xml:space="preserve"> series of </w:t>
      </w:r>
      <w:r w:rsidRPr="0077105F">
        <w:rPr>
          <w:rFonts w:eastAsia="Times New Roman"/>
          <w:i/>
          <w:lang w:val="en-AU"/>
        </w:rPr>
        <w:t>Love Patrol</w:t>
      </w:r>
      <w:r w:rsidRPr="009B71EC">
        <w:rPr>
          <w:rFonts w:eastAsia="Times New Roman"/>
          <w:lang w:val="en-AU"/>
        </w:rPr>
        <w:t>, a television series with wide reach across Vanuatu and the Pacific, which continues to educate about HIV and other sexually transmitted infections as well as social issues affecting communities including sex work, drug abuse and gender based violence.</w:t>
      </w:r>
      <w:r w:rsidRPr="009B71EC">
        <w:rPr>
          <w:rFonts w:eastAsia="Times New Roman"/>
          <w:vertAlign w:val="superscript"/>
          <w:lang w:val="en-AU"/>
        </w:rPr>
        <w:endnoteReference w:id="8"/>
      </w:r>
      <w:r w:rsidR="005C2EA2" w:rsidRPr="009B71EC">
        <w:rPr>
          <w:rFonts w:eastAsia="Times New Roman"/>
          <w:lang w:val="en-AU"/>
        </w:rPr>
        <w:t xml:space="preserve">  </w:t>
      </w:r>
      <w:r w:rsidR="005C2EA2" w:rsidRPr="009B71EC">
        <w:rPr>
          <w:rFonts w:eastAsia="Times New Roman"/>
          <w:i/>
          <w:lang w:val="en-AU"/>
        </w:rPr>
        <w:t>Wan Smolbag</w:t>
      </w:r>
      <w:r w:rsidR="005C2EA2" w:rsidRPr="009B71EC">
        <w:rPr>
          <w:rFonts w:eastAsia="Times New Roman"/>
          <w:lang w:val="en-AU"/>
        </w:rPr>
        <w:t xml:space="preserve"> theatre productions reached over 10,000 people</w:t>
      </w:r>
      <w:r w:rsidR="006F5794" w:rsidRPr="009B71EC">
        <w:rPr>
          <w:rFonts w:eastAsia="Times New Roman"/>
          <w:lang w:val="en-AU"/>
        </w:rPr>
        <w:t xml:space="preserve"> covering a range of issues, including: social, health, gender</w:t>
      </w:r>
      <w:r w:rsidR="006F5794" w:rsidRPr="009B71EC">
        <w:rPr>
          <w:rFonts w:eastAsia="Times New Roman"/>
          <w:lang w:val="en-AU"/>
        </w:rPr>
        <w:noBreakHyphen/>
        <w:t xml:space="preserve">based violence, environment, hygiene, sanitation, politics and corruption.  </w:t>
      </w:r>
    </w:p>
    <w:p w:rsidR="00890D15" w:rsidRPr="009B71EC" w:rsidRDefault="00890D15" w:rsidP="00890D15">
      <w:pPr>
        <w:spacing w:after="120" w:line="280" w:lineRule="exact"/>
        <w:rPr>
          <w:rFonts w:eastAsia="Times New Roman"/>
          <w:lang w:val="en-AU"/>
        </w:rPr>
      </w:pPr>
      <w:r w:rsidRPr="009B71EC">
        <w:rPr>
          <w:rFonts w:eastAsia="Times New Roman"/>
          <w:lang w:val="en-AU"/>
        </w:rPr>
        <w:t xml:space="preserve">In 2015-16, a new health sector </w:t>
      </w:r>
      <w:r w:rsidR="007852BB">
        <w:rPr>
          <w:rFonts w:eastAsia="Times New Roman"/>
          <w:lang w:val="en-AU"/>
        </w:rPr>
        <w:t xml:space="preserve">investment plan (SIP) </w:t>
      </w:r>
      <w:r w:rsidR="006322EA">
        <w:rPr>
          <w:rFonts w:eastAsia="Times New Roman"/>
          <w:lang w:val="en-AU"/>
        </w:rPr>
        <w:t>was developed</w:t>
      </w:r>
      <w:r w:rsidRPr="009B71EC">
        <w:rPr>
          <w:rFonts w:eastAsia="Times New Roman"/>
          <w:lang w:val="en-AU"/>
        </w:rPr>
        <w:t xml:space="preserve">. </w:t>
      </w:r>
      <w:r w:rsidR="000334F8">
        <w:rPr>
          <w:rFonts w:eastAsia="Times New Roman"/>
          <w:lang w:val="en-AU"/>
        </w:rPr>
        <w:t xml:space="preserve"> </w:t>
      </w:r>
      <w:r w:rsidRPr="009B71EC">
        <w:rPr>
          <w:rFonts w:eastAsia="Times New Roman"/>
          <w:lang w:val="en-AU"/>
        </w:rPr>
        <w:t xml:space="preserve">The </w:t>
      </w:r>
      <w:r w:rsidR="007852BB">
        <w:rPr>
          <w:rFonts w:eastAsia="Times New Roman"/>
          <w:lang w:val="en-AU"/>
        </w:rPr>
        <w:t>SIP</w:t>
      </w:r>
      <w:r w:rsidR="007852BB" w:rsidRPr="009B71EC">
        <w:rPr>
          <w:rFonts w:eastAsia="Times New Roman"/>
          <w:lang w:val="en-AU"/>
        </w:rPr>
        <w:t xml:space="preserve"> </w:t>
      </w:r>
      <w:r w:rsidRPr="009B71EC">
        <w:rPr>
          <w:rFonts w:eastAsia="Times New Roman"/>
          <w:lang w:val="en-AU"/>
        </w:rPr>
        <w:t>will consolidate our investments and build a</w:t>
      </w:r>
      <w:r w:rsidR="006322EA">
        <w:rPr>
          <w:rFonts w:eastAsia="Times New Roman"/>
          <w:lang w:val="en-AU"/>
        </w:rPr>
        <w:t xml:space="preserve"> </w:t>
      </w:r>
      <w:r w:rsidRPr="009B71EC">
        <w:rPr>
          <w:rFonts w:eastAsia="Times New Roman"/>
          <w:lang w:val="en-AU"/>
        </w:rPr>
        <w:t xml:space="preserve">comprehensive </w:t>
      </w:r>
      <w:r w:rsidR="007852BB">
        <w:rPr>
          <w:rFonts w:eastAsia="Times New Roman"/>
          <w:lang w:val="en-AU"/>
        </w:rPr>
        <w:t>program logic</w:t>
      </w:r>
      <w:r w:rsidRPr="009B71EC">
        <w:rPr>
          <w:rFonts w:eastAsia="Times New Roman"/>
          <w:lang w:val="en-AU"/>
        </w:rPr>
        <w:t xml:space="preserve"> to improve outcomes and guide investments over the next four years.  The </w:t>
      </w:r>
      <w:r w:rsidR="007852BB">
        <w:rPr>
          <w:rFonts w:eastAsia="Times New Roman"/>
          <w:lang w:val="en-AU"/>
        </w:rPr>
        <w:t>SIP</w:t>
      </w:r>
      <w:r w:rsidRPr="009B71EC">
        <w:rPr>
          <w:rFonts w:eastAsia="Times New Roman"/>
          <w:lang w:val="en-AU"/>
        </w:rPr>
        <w:t xml:space="preserve"> take</w:t>
      </w:r>
      <w:r w:rsidR="007852BB">
        <w:rPr>
          <w:rFonts w:eastAsia="Times New Roman"/>
          <w:lang w:val="en-AU"/>
        </w:rPr>
        <w:t>s</w:t>
      </w:r>
      <w:r w:rsidRPr="009B71EC">
        <w:rPr>
          <w:rFonts w:eastAsia="Times New Roman"/>
          <w:lang w:val="en-AU"/>
        </w:rPr>
        <w:t xml:space="preserve"> account of </w:t>
      </w:r>
      <w:r w:rsidR="007852BB">
        <w:rPr>
          <w:rFonts w:eastAsia="Times New Roman"/>
          <w:lang w:val="en-AU"/>
        </w:rPr>
        <w:t>the</w:t>
      </w:r>
      <w:r w:rsidR="007852BB" w:rsidRPr="009B71EC">
        <w:rPr>
          <w:rFonts w:eastAsia="Times New Roman"/>
          <w:lang w:val="en-AU"/>
        </w:rPr>
        <w:t xml:space="preserve"> </w:t>
      </w:r>
      <w:r w:rsidRPr="009B71EC">
        <w:rPr>
          <w:rFonts w:eastAsia="Times New Roman"/>
          <w:lang w:val="en-AU"/>
        </w:rPr>
        <w:t>2014 independent review of Australia’s health investments</w:t>
      </w:r>
      <w:r w:rsidR="006322EA">
        <w:rPr>
          <w:rFonts w:eastAsia="Times New Roman"/>
          <w:lang w:val="en-AU"/>
        </w:rPr>
        <w:t xml:space="preserve">. </w:t>
      </w:r>
      <w:r w:rsidR="007852BB">
        <w:rPr>
          <w:rFonts w:eastAsia="Times New Roman"/>
          <w:lang w:val="en-AU"/>
        </w:rPr>
        <w:t xml:space="preserve"> A </w:t>
      </w:r>
      <w:r w:rsidRPr="009B71EC">
        <w:rPr>
          <w:rFonts w:eastAsia="Times New Roman"/>
          <w:lang w:val="en-AU"/>
        </w:rPr>
        <w:t xml:space="preserve">monitoring and evaluation </w:t>
      </w:r>
      <w:r w:rsidR="007852BB" w:rsidRPr="007852BB">
        <w:rPr>
          <w:rFonts w:eastAsia="Times New Roman"/>
          <w:lang w:val="en-AU"/>
        </w:rPr>
        <w:t>plan will be completed in the second half of 2016 which will support the SIP.</w:t>
      </w:r>
    </w:p>
    <w:p w:rsidR="00505FD5" w:rsidRPr="009B71EC" w:rsidRDefault="00505FD5" w:rsidP="002A51CA">
      <w:pPr>
        <w:spacing w:after="120" w:line="280" w:lineRule="exact"/>
        <w:rPr>
          <w:rFonts w:eastAsia="Times New Roman"/>
        </w:rPr>
      </w:pPr>
    </w:p>
    <w:p w:rsidR="00505FD5" w:rsidRPr="00283E03" w:rsidRDefault="00505FD5" w:rsidP="00283E03">
      <w:pPr>
        <w:suppressAutoHyphens w:val="0"/>
        <w:spacing w:before="360" w:after="120" w:line="280" w:lineRule="exact"/>
        <w:rPr>
          <w:rFonts w:asciiTheme="majorHAnsi" w:eastAsiaTheme="majorEastAsia" w:hAnsiTheme="majorHAnsi" w:cstheme="majorBidi"/>
          <w:caps/>
          <w:sz w:val="38"/>
          <w:szCs w:val="26"/>
        </w:rPr>
      </w:pPr>
      <w:r w:rsidRPr="00283E03">
        <w:rPr>
          <w:rFonts w:asciiTheme="majorHAnsi" w:eastAsiaTheme="majorEastAsia" w:hAnsiTheme="majorHAnsi" w:cstheme="majorBidi"/>
          <w:caps/>
          <w:sz w:val="38"/>
          <w:szCs w:val="26"/>
        </w:rPr>
        <w:t>Objective 3:  Improving Community Safety and Resilience</w:t>
      </w:r>
    </w:p>
    <w:p w:rsidR="00890D15" w:rsidRPr="009B71EC" w:rsidRDefault="00B11B2E" w:rsidP="00890D15">
      <w:pPr>
        <w:spacing w:after="120" w:line="280" w:lineRule="exact"/>
        <w:rPr>
          <w:rFonts w:eastAsia="Times New Roman"/>
          <w:lang w:val="en-AU"/>
        </w:rPr>
      </w:pPr>
      <w:r w:rsidRPr="009B71EC">
        <w:rPr>
          <w:rFonts w:eastAsia="Times New Roman"/>
        </w:rPr>
        <w:t xml:space="preserve">Overall this objective was rated green </w:t>
      </w:r>
      <w:r w:rsidR="00BF76B6">
        <w:rPr>
          <w:rFonts w:eastAsia="Times New Roman"/>
        </w:rPr>
        <w:t>as</w:t>
      </w:r>
      <w:r w:rsidR="00BF76B6" w:rsidRPr="009B71EC">
        <w:rPr>
          <w:rFonts w:eastAsia="Times New Roman"/>
        </w:rPr>
        <w:t xml:space="preserve"> </w:t>
      </w:r>
      <w:r w:rsidR="00890D15" w:rsidRPr="009B71EC">
        <w:rPr>
          <w:rFonts w:eastAsia="Times New Roman"/>
          <w:lang w:val="en-AU"/>
        </w:rPr>
        <w:t xml:space="preserve">Australian support continued to achieve good results despite </w:t>
      </w:r>
      <w:r w:rsidRPr="009B71EC">
        <w:rPr>
          <w:rFonts w:eastAsia="Times New Roman"/>
          <w:lang w:val="en-AU"/>
        </w:rPr>
        <w:t xml:space="preserve">high leadership turnover in </w:t>
      </w:r>
      <w:r w:rsidR="00890D15" w:rsidRPr="009B71EC">
        <w:rPr>
          <w:rFonts w:eastAsia="Times New Roman"/>
          <w:lang w:val="en-AU"/>
        </w:rPr>
        <w:t xml:space="preserve">key policing and justice sector </w:t>
      </w:r>
      <w:r w:rsidRPr="009B71EC">
        <w:rPr>
          <w:rFonts w:eastAsia="Times New Roman"/>
          <w:lang w:val="en-AU"/>
        </w:rPr>
        <w:t>agencies</w:t>
      </w:r>
      <w:r w:rsidR="00890D15" w:rsidRPr="009B71EC">
        <w:rPr>
          <w:rFonts w:eastAsia="Times New Roman"/>
          <w:lang w:val="en-AU"/>
        </w:rPr>
        <w:t xml:space="preserve"> and the </w:t>
      </w:r>
      <w:r w:rsidR="004F7B34" w:rsidRPr="009B71EC">
        <w:rPr>
          <w:rFonts w:eastAsia="Times New Roman"/>
          <w:lang w:val="en-AU"/>
        </w:rPr>
        <w:t xml:space="preserve">impact of Tropical Cyclone Pam.  </w:t>
      </w:r>
      <w:r w:rsidR="00BF76B6">
        <w:rPr>
          <w:rFonts w:eastAsia="Times New Roman"/>
          <w:lang w:val="en-AU"/>
        </w:rPr>
        <w:t>E</w:t>
      </w:r>
      <w:r w:rsidR="004F7B34" w:rsidRPr="009B71EC">
        <w:rPr>
          <w:rFonts w:eastAsia="Times New Roman"/>
          <w:lang w:val="en-AU"/>
        </w:rPr>
        <w:t>xtending service delivery and access to justice</w:t>
      </w:r>
      <w:r w:rsidR="00526BE0" w:rsidRPr="009B71EC">
        <w:rPr>
          <w:rFonts w:eastAsia="Times New Roman"/>
          <w:lang w:val="en-AU"/>
        </w:rPr>
        <w:t xml:space="preserve"> for women and children</w:t>
      </w:r>
      <w:r w:rsidR="004F7B34" w:rsidRPr="009B71EC">
        <w:rPr>
          <w:rFonts w:eastAsia="Times New Roman"/>
          <w:lang w:val="en-AU"/>
        </w:rPr>
        <w:t xml:space="preserve"> in rural areas presents ongoing challenges.  </w:t>
      </w:r>
    </w:p>
    <w:p w:rsidR="007227D4" w:rsidRPr="009B71EC" w:rsidRDefault="007227D4" w:rsidP="007227D4">
      <w:pPr>
        <w:spacing w:after="120" w:line="280" w:lineRule="exact"/>
        <w:rPr>
          <w:rFonts w:eastAsia="Times New Roman"/>
          <w:lang w:val="en-AU"/>
        </w:rPr>
      </w:pPr>
      <w:r w:rsidRPr="009B71EC">
        <w:rPr>
          <w:rFonts w:eastAsia="Times New Roman"/>
          <w:lang w:val="en-AU"/>
        </w:rPr>
        <w:t xml:space="preserve">The </w:t>
      </w:r>
      <w:r w:rsidRPr="00AD1670">
        <w:rPr>
          <w:rFonts w:eastAsia="Times New Roman"/>
          <w:b/>
          <w:i/>
          <w:lang w:val="en-AU"/>
        </w:rPr>
        <w:t>Policing and Justice Support Program Vanuatu</w:t>
      </w:r>
      <w:r w:rsidRPr="00BF76B6">
        <w:rPr>
          <w:rFonts w:eastAsia="Times New Roman"/>
          <w:b/>
          <w:lang w:val="en-AU"/>
        </w:rPr>
        <w:t xml:space="preserve"> (PJSPV)</w:t>
      </w:r>
      <w:r w:rsidRPr="009B71EC">
        <w:rPr>
          <w:rFonts w:eastAsia="Times New Roman"/>
          <w:lang w:val="en-AU"/>
        </w:rPr>
        <w:t xml:space="preserve"> aims to improve access to justice for women, children and youth. It provides support to the Vanuatu Police Force (VPF), </w:t>
      </w:r>
      <w:r w:rsidR="003639F1">
        <w:rPr>
          <w:rFonts w:eastAsia="Times New Roman"/>
          <w:lang w:val="en-AU"/>
        </w:rPr>
        <w:t xml:space="preserve">the Judiciary, justice </w:t>
      </w:r>
      <w:r w:rsidRPr="009B71EC">
        <w:rPr>
          <w:rFonts w:eastAsia="Times New Roman"/>
          <w:lang w:val="en-AU"/>
        </w:rPr>
        <w:t>agencies, statutory and constitutional bodies</w:t>
      </w:r>
      <w:r w:rsidR="003639F1">
        <w:rPr>
          <w:rFonts w:eastAsia="Times New Roman"/>
          <w:lang w:val="en-AU"/>
        </w:rPr>
        <w:t xml:space="preserve"> as well as </w:t>
      </w:r>
      <w:r w:rsidRPr="009B71EC">
        <w:rPr>
          <w:rFonts w:eastAsia="Times New Roman"/>
          <w:lang w:val="en-AU"/>
        </w:rPr>
        <w:t>the Ministry of Justice and Community Service</w:t>
      </w:r>
      <w:r w:rsidR="003639F1">
        <w:rPr>
          <w:rFonts w:eastAsia="Times New Roman"/>
          <w:lang w:val="en-AU"/>
        </w:rPr>
        <w:t>s</w:t>
      </w:r>
      <w:r w:rsidRPr="009B71EC">
        <w:rPr>
          <w:rFonts w:eastAsia="Times New Roman"/>
          <w:lang w:val="en-AU"/>
        </w:rPr>
        <w:t xml:space="preserve"> (MJCS), the Prime Minister's Office, and partners with civil society including </w:t>
      </w:r>
      <w:r w:rsidRPr="0077105F">
        <w:rPr>
          <w:rFonts w:eastAsia="Times New Roman"/>
          <w:i/>
          <w:lang w:val="en-AU"/>
        </w:rPr>
        <w:t>Save the Children</w:t>
      </w:r>
      <w:r w:rsidRPr="009B71EC">
        <w:rPr>
          <w:rFonts w:eastAsia="Times New Roman"/>
          <w:lang w:val="en-AU"/>
        </w:rPr>
        <w:t xml:space="preserve">. </w:t>
      </w:r>
      <w:r w:rsidR="003639F1">
        <w:rPr>
          <w:rFonts w:eastAsia="Times New Roman"/>
          <w:lang w:val="en-AU"/>
        </w:rPr>
        <w:t xml:space="preserve"> </w:t>
      </w:r>
      <w:r w:rsidRPr="009B71EC">
        <w:rPr>
          <w:rFonts w:eastAsia="Times New Roman"/>
          <w:lang w:val="en-AU"/>
        </w:rPr>
        <w:t xml:space="preserve">Policing assistance is provided in partnership with </w:t>
      </w:r>
      <w:r w:rsidR="00B33ADC">
        <w:rPr>
          <w:rFonts w:eastAsia="Times New Roman"/>
          <w:lang w:val="en-AU"/>
        </w:rPr>
        <w:t xml:space="preserve">the </w:t>
      </w:r>
      <w:r w:rsidRPr="009B71EC">
        <w:rPr>
          <w:rFonts w:eastAsia="Times New Roman"/>
          <w:lang w:val="en-AU"/>
        </w:rPr>
        <w:t xml:space="preserve">AFP. </w:t>
      </w:r>
    </w:p>
    <w:p w:rsidR="00EF3F42" w:rsidRPr="009B71EC" w:rsidRDefault="007227D4" w:rsidP="007227D4">
      <w:pPr>
        <w:spacing w:after="120" w:line="280" w:lineRule="exact"/>
        <w:rPr>
          <w:rFonts w:eastAsia="Times New Roman"/>
          <w:lang w:val="en-AU"/>
        </w:rPr>
      </w:pPr>
      <w:r w:rsidRPr="009B71EC">
        <w:rPr>
          <w:rFonts w:eastAsia="Times New Roman"/>
          <w:lang w:val="en-AU"/>
        </w:rPr>
        <w:t xml:space="preserve">In </w:t>
      </w:r>
      <w:r w:rsidR="0045474F" w:rsidRPr="009B71EC">
        <w:rPr>
          <w:rFonts w:eastAsia="Times New Roman"/>
          <w:lang w:val="en-AU"/>
        </w:rPr>
        <w:t>2015-16</w:t>
      </w:r>
      <w:r w:rsidRPr="009B71EC">
        <w:rPr>
          <w:rFonts w:eastAsia="Times New Roman"/>
          <w:lang w:val="en-AU"/>
        </w:rPr>
        <w:t xml:space="preserve">, our support helped </w:t>
      </w:r>
      <w:r w:rsidR="00BA5E62" w:rsidRPr="009B71EC">
        <w:rPr>
          <w:rFonts w:eastAsia="Times New Roman"/>
          <w:lang w:val="en-AU"/>
        </w:rPr>
        <w:t>deliver improved information management systems for the Courts and State Law Office resulting in reduced processing time for the handling of advice matters and court cases.  Agencies are demonstrating improved service deliver</w:t>
      </w:r>
      <w:r w:rsidR="00EF3F42" w:rsidRPr="009B71EC">
        <w:rPr>
          <w:rFonts w:eastAsia="Times New Roman"/>
          <w:lang w:val="en-AU"/>
        </w:rPr>
        <w:t>y, including through training VP</w:t>
      </w:r>
      <w:r w:rsidR="00BA5E62" w:rsidRPr="009B71EC">
        <w:rPr>
          <w:rFonts w:eastAsia="Times New Roman"/>
          <w:lang w:val="en-AU"/>
        </w:rPr>
        <w:t>F officers (74 men, 22 women) in a</w:t>
      </w:r>
      <w:r w:rsidR="00B11B2E" w:rsidRPr="009B71EC">
        <w:rPr>
          <w:rFonts w:eastAsia="Times New Roman"/>
          <w:lang w:val="en-AU"/>
        </w:rPr>
        <w:t>n innovative</w:t>
      </w:r>
      <w:r w:rsidR="00BA5E62" w:rsidRPr="009B71EC">
        <w:rPr>
          <w:rFonts w:eastAsia="Times New Roman"/>
          <w:lang w:val="en-AU"/>
        </w:rPr>
        <w:t xml:space="preserve"> new Rapid Charge System (RCS</w:t>
      </w:r>
      <w:r w:rsidR="00EF3F42" w:rsidRPr="009B71EC">
        <w:rPr>
          <w:rFonts w:eastAsia="Times New Roman"/>
          <w:lang w:val="en-AU"/>
        </w:rPr>
        <w:t xml:space="preserve">), which has reduced </w:t>
      </w:r>
      <w:r w:rsidR="00BA5E62" w:rsidRPr="009B71EC">
        <w:rPr>
          <w:rFonts w:eastAsia="Times New Roman"/>
          <w:lang w:val="en-AU"/>
        </w:rPr>
        <w:t xml:space="preserve">the time until charges are heard in court to 10 days </w:t>
      </w:r>
      <w:r w:rsidR="00BF76B6">
        <w:rPr>
          <w:rFonts w:eastAsia="Times New Roman"/>
          <w:lang w:val="en-AU"/>
        </w:rPr>
        <w:t>(</w:t>
      </w:r>
      <w:r w:rsidR="00BA5E62" w:rsidRPr="009B71EC">
        <w:rPr>
          <w:rFonts w:eastAsia="Times New Roman"/>
          <w:lang w:val="en-AU"/>
        </w:rPr>
        <w:t>from 92 days in cases where RCS is not used</w:t>
      </w:r>
      <w:r w:rsidR="00BF76B6">
        <w:rPr>
          <w:rFonts w:eastAsia="Times New Roman"/>
          <w:lang w:val="en-AU"/>
        </w:rPr>
        <w:t>)</w:t>
      </w:r>
      <w:r w:rsidR="00BA5E62" w:rsidRPr="009B71EC">
        <w:rPr>
          <w:rFonts w:eastAsia="Times New Roman"/>
          <w:lang w:val="en-AU"/>
        </w:rPr>
        <w:t xml:space="preserve">. </w:t>
      </w:r>
      <w:r w:rsidR="00EF3F42" w:rsidRPr="009B71EC">
        <w:rPr>
          <w:rFonts w:eastAsia="Times New Roman"/>
          <w:lang w:val="en-AU"/>
        </w:rPr>
        <w:t xml:space="preserve"> Ongoing assistance to the VPF Professional Standards Unit (PSU) resulted in a 14 per cent increase in complaints against police </w:t>
      </w:r>
      <w:r w:rsidR="003C242F" w:rsidRPr="009B71EC">
        <w:rPr>
          <w:rFonts w:eastAsia="Times New Roman"/>
          <w:lang w:val="en-AU"/>
        </w:rPr>
        <w:t xml:space="preserve">(demonstrating increased public confidence in reporting systems and responses) </w:t>
      </w:r>
      <w:r w:rsidR="00EF3F42" w:rsidRPr="009B71EC">
        <w:rPr>
          <w:rFonts w:eastAsia="Times New Roman"/>
          <w:lang w:val="en-AU"/>
        </w:rPr>
        <w:t>and a 200 per cent increase in internal disciplinary matters being referred to the PSU.</w:t>
      </w:r>
      <w:r w:rsidR="00BA5E62" w:rsidRPr="009B71EC">
        <w:rPr>
          <w:rFonts w:eastAsia="Times New Roman"/>
          <w:lang w:val="en-AU"/>
        </w:rPr>
        <w:t xml:space="preserve"> </w:t>
      </w:r>
    </w:p>
    <w:p w:rsidR="00BA5E62" w:rsidRPr="009B71EC" w:rsidRDefault="00EF3F42" w:rsidP="007227D4">
      <w:pPr>
        <w:spacing w:after="120" w:line="280" w:lineRule="exact"/>
        <w:rPr>
          <w:rFonts w:eastAsia="Times New Roman"/>
          <w:lang w:val="en-AU"/>
        </w:rPr>
      </w:pPr>
      <w:r w:rsidRPr="009B71EC">
        <w:rPr>
          <w:rFonts w:eastAsia="Times New Roman"/>
          <w:lang w:val="en-AU"/>
        </w:rPr>
        <w:t xml:space="preserve">The program has </w:t>
      </w:r>
      <w:r w:rsidR="003C242F" w:rsidRPr="009B71EC">
        <w:rPr>
          <w:rFonts w:eastAsia="Times New Roman"/>
          <w:lang w:val="en-AU"/>
        </w:rPr>
        <w:t>worked</w:t>
      </w:r>
      <w:r w:rsidRPr="009B71EC">
        <w:rPr>
          <w:rFonts w:eastAsia="Times New Roman"/>
          <w:lang w:val="en-AU"/>
        </w:rPr>
        <w:t xml:space="preserve"> with the VPF Corporate Services Unit (CSU) to improve financial processes and access to operational funding</w:t>
      </w:r>
      <w:r w:rsidR="003C242F" w:rsidRPr="009B71EC">
        <w:rPr>
          <w:rFonts w:eastAsia="Times New Roman"/>
          <w:lang w:val="en-AU"/>
        </w:rPr>
        <w:t xml:space="preserve">, </w:t>
      </w:r>
      <w:r w:rsidRPr="009B71EC">
        <w:rPr>
          <w:rFonts w:eastAsia="Times New Roman"/>
          <w:lang w:val="en-AU"/>
        </w:rPr>
        <w:t xml:space="preserve">but </w:t>
      </w:r>
      <w:r w:rsidR="003C242F" w:rsidRPr="009B71EC">
        <w:rPr>
          <w:rFonts w:eastAsia="Times New Roman"/>
          <w:lang w:val="en-AU"/>
        </w:rPr>
        <w:t>s</w:t>
      </w:r>
      <w:r w:rsidRPr="009B71EC">
        <w:rPr>
          <w:rFonts w:eastAsia="Times New Roman"/>
          <w:lang w:val="en-AU"/>
        </w:rPr>
        <w:t xml:space="preserve">alary costs continue to consume the bulk of VPF’s budget allocation with little left over for operations.  </w:t>
      </w:r>
      <w:r w:rsidR="004F7B34" w:rsidRPr="009B71EC">
        <w:rPr>
          <w:rFonts w:eastAsia="Times New Roman"/>
          <w:lang w:val="en-AU"/>
        </w:rPr>
        <w:t xml:space="preserve">This negatively impacts service delivery and access to justice, particularly in rural areas.  </w:t>
      </w:r>
    </w:p>
    <w:p w:rsidR="00B94FA1" w:rsidRPr="009B71EC" w:rsidRDefault="00AA1852" w:rsidP="00B94FA1">
      <w:pPr>
        <w:spacing w:after="120" w:line="280" w:lineRule="exact"/>
        <w:rPr>
          <w:rFonts w:eastAsia="Times New Roman"/>
          <w:lang w:val="en-AU"/>
        </w:rPr>
      </w:pPr>
      <w:r w:rsidRPr="00C862FD">
        <w:rPr>
          <w:rFonts w:eastAsia="Times New Roman"/>
          <w:i/>
          <w:lang w:val="en-AU"/>
        </w:rPr>
        <w:t>Pacific Women</w:t>
      </w:r>
      <w:r w:rsidR="00860DDC" w:rsidRPr="009B71EC">
        <w:rPr>
          <w:rFonts w:eastAsia="Times New Roman"/>
          <w:lang w:val="en-AU"/>
        </w:rPr>
        <w:t xml:space="preserve"> </w:t>
      </w:r>
      <w:r w:rsidR="003905AD" w:rsidRPr="009B71EC">
        <w:rPr>
          <w:rFonts w:eastAsia="Times New Roman"/>
          <w:lang w:val="en-AU"/>
        </w:rPr>
        <w:t>provided support through the PJSP</w:t>
      </w:r>
      <w:r w:rsidR="00BB566C" w:rsidRPr="009B71EC">
        <w:rPr>
          <w:rFonts w:eastAsia="Times New Roman"/>
          <w:lang w:val="en-AU"/>
        </w:rPr>
        <w:t>V</w:t>
      </w:r>
      <w:r w:rsidR="003905AD" w:rsidRPr="009B71EC">
        <w:rPr>
          <w:rFonts w:eastAsia="Times New Roman"/>
          <w:lang w:val="en-AU"/>
        </w:rPr>
        <w:t xml:space="preserve"> program to conduct research on </w:t>
      </w:r>
      <w:r w:rsidR="00BB566C" w:rsidRPr="009B71EC">
        <w:rPr>
          <w:rFonts w:eastAsia="Times New Roman"/>
          <w:lang w:val="en-AU"/>
        </w:rPr>
        <w:t>improving</w:t>
      </w:r>
      <w:r w:rsidR="00860DDC" w:rsidRPr="009B71EC">
        <w:rPr>
          <w:rFonts w:eastAsia="Times New Roman"/>
          <w:lang w:val="en-AU"/>
        </w:rPr>
        <w:t xml:space="preserve"> access to justice for women and support to the Department of Women’s Affairs </w:t>
      </w:r>
      <w:r w:rsidR="0006055E" w:rsidRPr="009B71EC">
        <w:rPr>
          <w:rFonts w:eastAsia="Times New Roman"/>
          <w:lang w:val="en-AU"/>
        </w:rPr>
        <w:t xml:space="preserve">(DWA) </w:t>
      </w:r>
      <w:r w:rsidR="00860DDC" w:rsidRPr="009B71EC">
        <w:rPr>
          <w:rFonts w:eastAsia="Times New Roman"/>
          <w:lang w:val="en-AU"/>
        </w:rPr>
        <w:t xml:space="preserve">for the piloting of authorised persons and registered counsellors under the </w:t>
      </w:r>
      <w:r w:rsidR="00E90376" w:rsidRPr="009B71EC">
        <w:rPr>
          <w:rFonts w:eastAsia="Times New Roman"/>
          <w:i/>
          <w:lang w:val="en-AU"/>
        </w:rPr>
        <w:t>Family Protection Act</w:t>
      </w:r>
      <w:r w:rsidR="00E90376" w:rsidRPr="009B71EC">
        <w:rPr>
          <w:rFonts w:eastAsia="Times New Roman"/>
          <w:lang w:val="en-AU"/>
        </w:rPr>
        <w:t xml:space="preserve"> (</w:t>
      </w:r>
      <w:r w:rsidR="00860DDC" w:rsidRPr="009B71EC">
        <w:rPr>
          <w:rFonts w:eastAsia="Times New Roman"/>
          <w:lang w:val="en-AU"/>
        </w:rPr>
        <w:t>FPA</w:t>
      </w:r>
      <w:r w:rsidR="00E90376" w:rsidRPr="009B71EC">
        <w:rPr>
          <w:rFonts w:eastAsia="Times New Roman"/>
          <w:lang w:val="en-AU"/>
        </w:rPr>
        <w:t>)</w:t>
      </w:r>
      <w:r w:rsidR="00B94FA1" w:rsidRPr="009B71EC">
        <w:rPr>
          <w:rFonts w:eastAsia="Times New Roman"/>
          <w:lang w:val="en-AU"/>
        </w:rPr>
        <w:t xml:space="preserve"> – a key stumbling block to full implementation of the FPA</w:t>
      </w:r>
      <w:r w:rsidR="00860DDC" w:rsidRPr="009B71EC">
        <w:rPr>
          <w:rFonts w:eastAsia="Times New Roman"/>
          <w:lang w:val="en-AU"/>
        </w:rPr>
        <w:t xml:space="preserve">.  </w:t>
      </w:r>
      <w:r w:rsidR="00B94FA1" w:rsidRPr="009B71EC">
        <w:rPr>
          <w:rFonts w:eastAsia="Times New Roman"/>
          <w:lang w:val="en-AU"/>
        </w:rPr>
        <w:t xml:space="preserve">VPF personnel are being provided with training on their obligations under FPA, and dealing with women and children.  </w:t>
      </w:r>
      <w:r w:rsidR="00A81D2F" w:rsidRPr="009B71EC">
        <w:rPr>
          <w:rFonts w:eastAsia="Times New Roman"/>
          <w:lang w:val="en-AU"/>
        </w:rPr>
        <w:t>The PJSPV is also assisting VPF to implement their FPA obligations with g</w:t>
      </w:r>
      <w:r w:rsidR="00B94FA1" w:rsidRPr="009B71EC">
        <w:rPr>
          <w:rFonts w:eastAsia="Times New Roman"/>
          <w:lang w:val="en-AU"/>
        </w:rPr>
        <w:t>eneral duties police officers now required to undertake crime prevention and community</w:t>
      </w:r>
      <w:r w:rsidR="00A81D2F" w:rsidRPr="009B71EC">
        <w:rPr>
          <w:rFonts w:eastAsia="Times New Roman"/>
          <w:lang w:val="en-AU"/>
        </w:rPr>
        <w:t xml:space="preserve"> awareness</w:t>
      </w:r>
      <w:r w:rsidR="00B94FA1" w:rsidRPr="009B71EC">
        <w:rPr>
          <w:rFonts w:eastAsia="Times New Roman"/>
          <w:lang w:val="en-AU"/>
        </w:rPr>
        <w:t xml:space="preserve"> raising activities, including on gender</w:t>
      </w:r>
      <w:r w:rsidR="00B94FA1" w:rsidRPr="009B71EC">
        <w:rPr>
          <w:rFonts w:eastAsia="Times New Roman"/>
          <w:lang w:val="en-AU"/>
        </w:rPr>
        <w:noBreakHyphen/>
        <w:t>based violence, for one shift per month.</w:t>
      </w:r>
    </w:p>
    <w:p w:rsidR="0006055E" w:rsidRPr="009B71EC" w:rsidRDefault="00B94FA1" w:rsidP="007227D4">
      <w:pPr>
        <w:spacing w:after="120" w:line="280" w:lineRule="exact"/>
        <w:rPr>
          <w:rFonts w:eastAsia="Times New Roman"/>
          <w:lang w:val="en-AU"/>
        </w:rPr>
      </w:pPr>
      <w:r w:rsidRPr="009B71EC">
        <w:rPr>
          <w:rFonts w:eastAsia="Times New Roman"/>
          <w:lang w:val="en-AU"/>
        </w:rPr>
        <w:t xml:space="preserve">Australia also continued its longstanding support to </w:t>
      </w:r>
      <w:r w:rsidR="00860DDC" w:rsidRPr="009B71EC">
        <w:rPr>
          <w:rFonts w:eastAsia="Times New Roman"/>
          <w:lang w:val="en-AU"/>
        </w:rPr>
        <w:t>the Vanuatu Women’</w:t>
      </w:r>
      <w:r w:rsidR="0006055E" w:rsidRPr="009B71EC">
        <w:rPr>
          <w:rFonts w:eastAsia="Times New Roman"/>
          <w:lang w:val="en-AU"/>
        </w:rPr>
        <w:t>s Centre (</w:t>
      </w:r>
      <w:r w:rsidR="00860DDC" w:rsidRPr="009B71EC">
        <w:rPr>
          <w:rFonts w:eastAsia="Times New Roman"/>
          <w:lang w:val="en-AU"/>
        </w:rPr>
        <w:t>headquartered in Port Vila with four centres in the provinces</w:t>
      </w:r>
      <w:r w:rsidR="0006055E" w:rsidRPr="009B71EC">
        <w:rPr>
          <w:rFonts w:eastAsia="Times New Roman"/>
          <w:lang w:val="en-AU"/>
        </w:rPr>
        <w:t>, most recently Malekula</w:t>
      </w:r>
      <w:r w:rsidR="00860DDC" w:rsidRPr="009B71EC">
        <w:rPr>
          <w:rFonts w:eastAsia="Times New Roman"/>
          <w:lang w:val="en-AU"/>
        </w:rPr>
        <w:t xml:space="preserve">) which has established a </w:t>
      </w:r>
      <w:r w:rsidR="00E90376" w:rsidRPr="009B71EC">
        <w:rPr>
          <w:rFonts w:eastAsia="Times New Roman"/>
          <w:lang w:val="en-AU"/>
        </w:rPr>
        <w:t>national</w:t>
      </w:r>
      <w:r w:rsidR="00860DDC" w:rsidRPr="009B71EC">
        <w:rPr>
          <w:rFonts w:eastAsia="Times New Roman"/>
          <w:lang w:val="en-AU"/>
        </w:rPr>
        <w:t xml:space="preserve"> network of 43 </w:t>
      </w:r>
      <w:r w:rsidR="003C557C" w:rsidRPr="009B71EC">
        <w:rPr>
          <w:rFonts w:eastAsia="Times New Roman"/>
          <w:lang w:val="en-AU"/>
        </w:rPr>
        <w:t>island</w:t>
      </w:r>
      <w:r w:rsidR="003C557C" w:rsidRPr="009B71EC">
        <w:rPr>
          <w:rFonts w:eastAsia="Times New Roman"/>
          <w:lang w:val="en-AU"/>
        </w:rPr>
        <w:noBreakHyphen/>
        <w:t xml:space="preserve">based </w:t>
      </w:r>
      <w:r w:rsidR="00860DDC" w:rsidRPr="00AD1670">
        <w:rPr>
          <w:rFonts w:eastAsia="Times New Roman"/>
          <w:i/>
          <w:lang w:val="en-AU"/>
        </w:rPr>
        <w:t>Committees Against Violen</w:t>
      </w:r>
      <w:r w:rsidR="00E90376" w:rsidRPr="00AD1670">
        <w:rPr>
          <w:rFonts w:eastAsia="Times New Roman"/>
          <w:i/>
          <w:lang w:val="en-AU"/>
        </w:rPr>
        <w:t>ce Against Women</w:t>
      </w:r>
      <w:r w:rsidR="00E90376" w:rsidRPr="009B71EC">
        <w:rPr>
          <w:rFonts w:eastAsia="Times New Roman"/>
          <w:lang w:val="en-AU"/>
        </w:rPr>
        <w:t xml:space="preserve"> (CAVAWs) and trained </w:t>
      </w:r>
      <w:r w:rsidR="00860DDC" w:rsidRPr="009B71EC">
        <w:rPr>
          <w:rFonts w:eastAsia="Times New Roman"/>
          <w:lang w:val="en-AU"/>
        </w:rPr>
        <w:t xml:space="preserve">male advocates.  </w:t>
      </w:r>
      <w:r w:rsidR="00924189" w:rsidRPr="009B71EC">
        <w:rPr>
          <w:rFonts w:eastAsia="Times New Roman"/>
          <w:lang w:val="en-AU"/>
        </w:rPr>
        <w:t xml:space="preserve">Male advocates include chiefs, police, health workers, and church, youth and other community leaders.  </w:t>
      </w:r>
      <w:r w:rsidR="003C557C" w:rsidRPr="009B71EC">
        <w:rPr>
          <w:rFonts w:eastAsia="Times New Roman"/>
          <w:lang w:val="en-AU"/>
        </w:rPr>
        <w:t>CAVAWs undertake community awareness</w:t>
      </w:r>
      <w:r w:rsidR="00A81D2F" w:rsidRPr="009B71EC">
        <w:rPr>
          <w:rFonts w:eastAsia="Times New Roman"/>
          <w:lang w:val="en-AU"/>
        </w:rPr>
        <w:t xml:space="preserve"> raising activities and </w:t>
      </w:r>
      <w:r w:rsidR="00924189" w:rsidRPr="009B71EC">
        <w:rPr>
          <w:rFonts w:eastAsia="Times New Roman"/>
          <w:lang w:val="en-AU"/>
        </w:rPr>
        <w:t xml:space="preserve">assist women and children living with violence in remote communities.  </w:t>
      </w:r>
      <w:r w:rsidR="00E90376" w:rsidRPr="009B71EC">
        <w:rPr>
          <w:rFonts w:eastAsia="Times New Roman"/>
          <w:lang w:val="en-AU"/>
        </w:rPr>
        <w:t xml:space="preserve">CAVAWs are able to process and provide </w:t>
      </w:r>
      <w:r w:rsidR="00924189" w:rsidRPr="009B71EC">
        <w:rPr>
          <w:rFonts w:eastAsia="Times New Roman"/>
          <w:lang w:val="en-AU"/>
        </w:rPr>
        <w:t>reliable</w:t>
      </w:r>
      <w:r w:rsidR="00E90376" w:rsidRPr="009B71EC">
        <w:rPr>
          <w:rFonts w:eastAsia="Times New Roman"/>
          <w:lang w:val="en-AU"/>
        </w:rPr>
        <w:t xml:space="preserve"> information on </w:t>
      </w:r>
      <w:r w:rsidR="00E90376" w:rsidRPr="0077105F">
        <w:rPr>
          <w:rFonts w:eastAsia="Times New Roman"/>
          <w:i/>
          <w:lang w:val="en-AU"/>
        </w:rPr>
        <w:t>Family Protection Orders</w:t>
      </w:r>
      <w:r w:rsidR="00E90376" w:rsidRPr="009B71EC">
        <w:rPr>
          <w:rFonts w:eastAsia="Times New Roman"/>
          <w:lang w:val="en-AU"/>
        </w:rPr>
        <w:t xml:space="preserve"> (FPOs) and support ending of violence against women outcomes through engaging formal and informal systems</w:t>
      </w:r>
      <w:r w:rsidR="00924189" w:rsidRPr="009B71EC">
        <w:rPr>
          <w:rFonts w:eastAsia="Times New Roman"/>
          <w:lang w:val="en-AU"/>
        </w:rPr>
        <w:t xml:space="preserve"> with the assistance of male advocates</w:t>
      </w:r>
      <w:r w:rsidR="00E90376" w:rsidRPr="009B71EC">
        <w:rPr>
          <w:rFonts w:eastAsia="Times New Roman"/>
          <w:lang w:val="en-AU"/>
        </w:rPr>
        <w:t xml:space="preserve">.  </w:t>
      </w:r>
      <w:r w:rsidR="006709C4">
        <w:rPr>
          <w:rFonts w:eastAsia="Times New Roman"/>
          <w:lang w:val="en-AU"/>
        </w:rPr>
        <w:t xml:space="preserve">During the reporting period, </w:t>
      </w:r>
      <w:r w:rsidR="00C709DE" w:rsidRPr="009B71EC">
        <w:rPr>
          <w:rFonts w:eastAsia="Times New Roman"/>
          <w:lang w:val="en-AU"/>
        </w:rPr>
        <w:t xml:space="preserve">VWC assisted </w:t>
      </w:r>
      <w:r w:rsidR="006709C4">
        <w:rPr>
          <w:rFonts w:eastAsia="Times New Roman"/>
          <w:lang w:val="en-AU"/>
        </w:rPr>
        <w:t xml:space="preserve">6,858 women survivors of family violence </w:t>
      </w:r>
      <w:r w:rsidR="00D8138F" w:rsidRPr="009B71EC">
        <w:rPr>
          <w:rFonts w:eastAsia="Times New Roman"/>
          <w:lang w:val="en-AU"/>
        </w:rPr>
        <w:t>(</w:t>
      </w:r>
      <w:r w:rsidR="002E5A80">
        <w:rPr>
          <w:rFonts w:eastAsia="Times New Roman"/>
          <w:lang w:val="en-AU"/>
        </w:rPr>
        <w:t>up from 4,685</w:t>
      </w:r>
      <w:r w:rsidR="006709C4">
        <w:rPr>
          <w:rFonts w:eastAsia="Times New Roman"/>
          <w:lang w:val="en-AU"/>
        </w:rPr>
        <w:t xml:space="preserve"> in 2014</w:t>
      </w:r>
      <w:r w:rsidR="006709C4">
        <w:rPr>
          <w:rFonts w:eastAsia="Times New Roman"/>
          <w:lang w:val="en-AU"/>
        </w:rPr>
        <w:noBreakHyphen/>
        <w:t xml:space="preserve">15), including through counselling support and legal advice (such as assistance </w:t>
      </w:r>
      <w:r w:rsidR="00E90376" w:rsidRPr="009B71EC">
        <w:rPr>
          <w:rFonts w:eastAsia="Times New Roman"/>
          <w:lang w:val="en-AU"/>
        </w:rPr>
        <w:t xml:space="preserve">with </w:t>
      </w:r>
      <w:r w:rsidR="00C709DE" w:rsidRPr="009B71EC">
        <w:rPr>
          <w:rFonts w:eastAsia="Times New Roman"/>
          <w:lang w:val="en-AU"/>
        </w:rPr>
        <w:t>FPO</w:t>
      </w:r>
      <w:r w:rsidR="00E90376" w:rsidRPr="009B71EC">
        <w:rPr>
          <w:rFonts w:eastAsia="Times New Roman"/>
          <w:lang w:val="en-AU"/>
        </w:rPr>
        <w:t>s</w:t>
      </w:r>
      <w:r w:rsidR="006709C4">
        <w:rPr>
          <w:rFonts w:eastAsia="Times New Roman"/>
          <w:lang w:val="en-AU"/>
        </w:rPr>
        <w:t>)</w:t>
      </w:r>
      <w:r w:rsidR="00C709DE" w:rsidRPr="009B71EC">
        <w:rPr>
          <w:rFonts w:eastAsia="Times New Roman"/>
          <w:lang w:val="en-AU"/>
        </w:rPr>
        <w:t xml:space="preserve">.  </w:t>
      </w:r>
      <w:r w:rsidR="00291E54">
        <w:rPr>
          <w:rFonts w:eastAsia="Times New Roman"/>
          <w:lang w:val="en-AU"/>
        </w:rPr>
        <w:t>T</w:t>
      </w:r>
      <w:r w:rsidR="00924189" w:rsidRPr="009B71EC">
        <w:rPr>
          <w:rFonts w:eastAsia="Times New Roman"/>
          <w:lang w:val="en-AU"/>
        </w:rPr>
        <w:t xml:space="preserve">he NGO </w:t>
      </w:r>
      <w:r w:rsidR="00924189" w:rsidRPr="009B71EC">
        <w:rPr>
          <w:rFonts w:eastAsia="Times New Roman"/>
          <w:i/>
          <w:lang w:val="en-AU"/>
        </w:rPr>
        <w:t>Wan Smolbag</w:t>
      </w:r>
      <w:r w:rsidR="00924189" w:rsidRPr="009B71EC">
        <w:rPr>
          <w:rFonts w:eastAsia="Times New Roman"/>
          <w:lang w:val="en-AU"/>
        </w:rPr>
        <w:t xml:space="preserve"> performed three plays on family violence, reaching an audience</w:t>
      </w:r>
      <w:r w:rsidR="00B14D2A">
        <w:rPr>
          <w:rFonts w:eastAsia="Times New Roman"/>
          <w:lang w:val="en-AU"/>
        </w:rPr>
        <w:t xml:space="preserve"> of</w:t>
      </w:r>
      <w:r w:rsidR="00924189" w:rsidRPr="009B71EC">
        <w:rPr>
          <w:rFonts w:eastAsia="Times New Roman"/>
          <w:lang w:val="en-AU"/>
        </w:rPr>
        <w:t xml:space="preserve"> 3,917 people.</w:t>
      </w:r>
    </w:p>
    <w:p w:rsidR="007227D4" w:rsidRPr="009B71EC" w:rsidRDefault="007227D4" w:rsidP="007227D4">
      <w:pPr>
        <w:spacing w:after="120" w:line="280" w:lineRule="exact"/>
        <w:rPr>
          <w:rFonts w:eastAsia="Times New Roman"/>
        </w:rPr>
      </w:pPr>
    </w:p>
    <w:p w:rsidR="00EF1626" w:rsidRDefault="009F24AA" w:rsidP="00E60214">
      <w:pPr>
        <w:spacing w:after="120" w:line="280" w:lineRule="exact"/>
        <w:rPr>
          <w:rFonts w:eastAsia="Times New Roman"/>
          <w:lang w:val="en-AU"/>
        </w:rPr>
      </w:pPr>
      <w:r>
        <w:rPr>
          <w:rFonts w:eastAsia="Times New Roman"/>
          <w:noProof/>
          <w:lang w:val="en-AU" w:eastAsia="en-AU"/>
        </w:rPr>
        <mc:AlternateContent>
          <mc:Choice Requires="wps">
            <w:drawing>
              <wp:anchor distT="0" distB="0" distL="114300" distR="114300" simplePos="0" relativeHeight="251680768" behindDoc="0" locked="0" layoutInCell="1" allowOverlap="1" wp14:anchorId="44C473CB" wp14:editId="3F9B14C1">
                <wp:simplePos x="0" y="0"/>
                <wp:positionH relativeFrom="column">
                  <wp:posOffset>-46013</wp:posOffset>
                </wp:positionH>
                <wp:positionV relativeFrom="paragraph">
                  <wp:posOffset>35707</wp:posOffset>
                </wp:positionV>
                <wp:extent cx="6019800" cy="2602523"/>
                <wp:effectExtent l="0" t="0" r="19050" b="266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2602523"/>
                        </a:xfrm>
                        <a:prstGeom prst="rect">
                          <a:avLst/>
                        </a:prstGeom>
                        <a:solidFill>
                          <a:srgbClr val="FFFFFF"/>
                        </a:solidFill>
                        <a:ln w="9525">
                          <a:solidFill>
                            <a:srgbClr val="000000"/>
                          </a:solidFill>
                          <a:miter lim="800000"/>
                          <a:headEnd/>
                          <a:tailEnd/>
                        </a:ln>
                      </wps:spPr>
                      <wps:txbx>
                        <w:txbxContent>
                          <w:p w:rsidR="00D918C7" w:rsidRPr="00B866A3" w:rsidRDefault="00D918C7" w:rsidP="003D01AD">
                            <w:pPr>
                              <w:rPr>
                                <w:b/>
                                <w:sz w:val="17"/>
                                <w:szCs w:val="17"/>
                              </w:rPr>
                            </w:pPr>
                            <w:r w:rsidRPr="00B866A3">
                              <w:rPr>
                                <w:b/>
                                <w:sz w:val="17"/>
                                <w:szCs w:val="17"/>
                              </w:rPr>
                              <w:t>Box 1 – Cross-sector collaboration between policing, justice and community services agencies improves service delivery</w:t>
                            </w:r>
                          </w:p>
                          <w:p w:rsidR="00D918C7" w:rsidRPr="00B866A3" w:rsidRDefault="00D918C7" w:rsidP="003D01AD">
                            <w:pPr>
                              <w:rPr>
                                <w:sz w:val="17"/>
                                <w:szCs w:val="17"/>
                              </w:rPr>
                            </w:pPr>
                            <w:r w:rsidRPr="00B866A3">
                              <w:rPr>
                                <w:sz w:val="17"/>
                                <w:szCs w:val="17"/>
                              </w:rPr>
                              <w:t xml:space="preserve">Australia’s </w:t>
                            </w:r>
                            <w:r w:rsidRPr="00B866A3">
                              <w:rPr>
                                <w:i/>
                                <w:sz w:val="17"/>
                                <w:szCs w:val="17"/>
                              </w:rPr>
                              <w:t>Vanuatu Policing and Justice Support Program (PJSPV)</w:t>
                            </w:r>
                            <w:r w:rsidRPr="00B866A3">
                              <w:rPr>
                                <w:sz w:val="17"/>
                                <w:szCs w:val="17"/>
                              </w:rPr>
                              <w:t xml:space="preserve"> aims to support improved coordination, collaboration and communication across the complex grouping of constitutional, statutory and line agencies, as a basis for improving the efficiency and effectiveness of the sector, and ultimately service delivery. </w:t>
                            </w:r>
                          </w:p>
                          <w:p w:rsidR="00D918C7" w:rsidRPr="00B866A3" w:rsidRDefault="00D918C7" w:rsidP="003D01AD">
                            <w:pPr>
                              <w:rPr>
                                <w:sz w:val="17"/>
                                <w:szCs w:val="17"/>
                              </w:rPr>
                            </w:pPr>
                            <w:r w:rsidRPr="00B866A3">
                              <w:rPr>
                                <w:sz w:val="17"/>
                                <w:szCs w:val="17"/>
                              </w:rPr>
                              <w:t xml:space="preserve">New Zealand’s </w:t>
                            </w:r>
                            <w:r w:rsidRPr="00B866A3">
                              <w:rPr>
                                <w:i/>
                                <w:sz w:val="17"/>
                                <w:szCs w:val="17"/>
                              </w:rPr>
                              <w:t>Pacific Prevention of Domestic Violence Program (PPDVP)</w:t>
                            </w:r>
                            <w:r w:rsidRPr="00B866A3">
                              <w:rPr>
                                <w:sz w:val="17"/>
                                <w:szCs w:val="17"/>
                              </w:rPr>
                              <w:t xml:space="preserve"> together with PJSPV police advisers and the Vanuatu Police Force (VPF) developed and delivered training on a VPF </w:t>
                            </w:r>
                            <w:r w:rsidRPr="00B866A3">
                              <w:rPr>
                                <w:i/>
                                <w:sz w:val="17"/>
                                <w:szCs w:val="17"/>
                              </w:rPr>
                              <w:t>Family Violence Policy</w:t>
                            </w:r>
                            <w:r w:rsidRPr="00B866A3">
                              <w:rPr>
                                <w:sz w:val="17"/>
                                <w:szCs w:val="17"/>
                              </w:rPr>
                              <w:t xml:space="preserve"> and Standard Operating Procedures.  A local NGO, the Vanuatu Women’s Centre (VWC), also partnered to assist in the delivery of training with the VPF Training College that has resulted in positive changes to VPF work practices regarding how officers respond to family violence complaints.</w:t>
                            </w:r>
                          </w:p>
                          <w:p w:rsidR="00D918C7" w:rsidRPr="00B866A3" w:rsidRDefault="00D918C7" w:rsidP="003D01AD">
                            <w:pPr>
                              <w:rPr>
                                <w:sz w:val="17"/>
                                <w:szCs w:val="17"/>
                              </w:rPr>
                            </w:pPr>
                            <w:r w:rsidRPr="00B866A3">
                              <w:rPr>
                                <w:sz w:val="17"/>
                                <w:szCs w:val="17"/>
                              </w:rPr>
                              <w:t>The Australian Commonwealth Ombudsman provided training on administrative investigations for the VPF Professional Standards Unit (which investigates complaints made against police officers), the Vanuatu Ombudsman, the Vanuatu Land Ombudsman, and other agencies who undertake administrative conduct investigations. As a result a professional network of integrity investigators has been established. Also, an MOU has been developed between the VPF Professional Standards Unit and the Vanuatu Ombudsman for the Vanuatu Ombudsman to review a proportion of the VPF Professional Standards Unit cases to ensure compliance of the VPF with its own internal policy on complaints and the discipline aspects of the Police Act, as well as to provide feedback on complaints processes.</w:t>
                            </w:r>
                          </w:p>
                          <w:p w:rsidR="00D918C7" w:rsidRDefault="00D918C7" w:rsidP="003D01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6pt;margin-top:2.8pt;width:474pt;height:204.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">
                <v:textbox>
                  <w:txbxContent>
                    <w:p w:rsidR="00D918C7" w:rsidRPr="00B866A3" w:rsidRDefault="00D918C7" w:rsidP="003D01AD">
                      <w:pPr>
                        <w:rPr>
                          <w:b/>
                          <w:sz w:val="17"/>
                          <w:szCs w:val="17"/>
                        </w:rPr>
                      </w:pPr>
                      <w:r w:rsidRPr="00B866A3">
                        <w:rPr>
                          <w:b/>
                          <w:sz w:val="17"/>
                          <w:szCs w:val="17"/>
                        </w:rPr>
                        <w:t>Box 1 – Cross-sector collaboration between policing, justice and community services agencies improves service delivery</w:t>
                      </w:r>
                    </w:p>
                    <w:p w:rsidR="00D918C7" w:rsidRPr="00B866A3" w:rsidRDefault="00D918C7" w:rsidP="003D01AD">
                      <w:pPr>
                        <w:rPr>
                          <w:sz w:val="17"/>
                          <w:szCs w:val="17"/>
                        </w:rPr>
                      </w:pPr>
                      <w:r w:rsidRPr="00B866A3">
                        <w:rPr>
                          <w:sz w:val="17"/>
                          <w:szCs w:val="17"/>
                        </w:rPr>
                        <w:t xml:space="preserve">Australia’s </w:t>
                      </w:r>
                      <w:r w:rsidRPr="00B866A3">
                        <w:rPr>
                          <w:i/>
                          <w:sz w:val="17"/>
                          <w:szCs w:val="17"/>
                        </w:rPr>
                        <w:t>Vanuatu Policing and Justice Support Program (PJSPV)</w:t>
                      </w:r>
                      <w:r w:rsidRPr="00B866A3">
                        <w:rPr>
                          <w:sz w:val="17"/>
                          <w:szCs w:val="17"/>
                        </w:rPr>
                        <w:t xml:space="preserve"> aims to support improved coordination, collaboration and communication across the complex grouping of constitutional, statutory and line agencies, as a basis for improving the efficiency and effectiveness of the sector, and ultimately service delivery. </w:t>
                      </w:r>
                    </w:p>
                    <w:p w:rsidR="00D918C7" w:rsidRPr="00B866A3" w:rsidRDefault="00D918C7" w:rsidP="003D01AD">
                      <w:pPr>
                        <w:rPr>
                          <w:sz w:val="17"/>
                          <w:szCs w:val="17"/>
                        </w:rPr>
                      </w:pPr>
                      <w:r w:rsidRPr="00B866A3">
                        <w:rPr>
                          <w:sz w:val="17"/>
                          <w:szCs w:val="17"/>
                        </w:rPr>
                        <w:t xml:space="preserve">New Zealand’s </w:t>
                      </w:r>
                      <w:r w:rsidRPr="00B866A3">
                        <w:rPr>
                          <w:i/>
                          <w:sz w:val="17"/>
                          <w:szCs w:val="17"/>
                        </w:rPr>
                        <w:t>Pacific Prevention of Domestic Violence Program (PPDVP)</w:t>
                      </w:r>
                      <w:r w:rsidRPr="00B866A3">
                        <w:rPr>
                          <w:sz w:val="17"/>
                          <w:szCs w:val="17"/>
                        </w:rPr>
                        <w:t xml:space="preserve"> together with PJSPV police advisers and the Vanuatu Police Force (VPF) developed and delivered training on a VPF </w:t>
                      </w:r>
                      <w:r w:rsidRPr="00B866A3">
                        <w:rPr>
                          <w:i/>
                          <w:sz w:val="17"/>
                          <w:szCs w:val="17"/>
                        </w:rPr>
                        <w:t>Family Violence Policy</w:t>
                      </w:r>
                      <w:r w:rsidRPr="00B866A3">
                        <w:rPr>
                          <w:sz w:val="17"/>
                          <w:szCs w:val="17"/>
                        </w:rPr>
                        <w:t xml:space="preserve"> and Standard Operating Procedures.  A local NGO, the Vanuatu Women’s Centre (VWC), also partnered to assist in the delivery of training with the VPF Training College that has resulted in positive changes to VPF work practices regarding how officers respond to family violence complaints.</w:t>
                      </w:r>
                    </w:p>
                    <w:p w:rsidR="00D918C7" w:rsidRPr="00B866A3" w:rsidRDefault="00D918C7" w:rsidP="003D01AD">
                      <w:pPr>
                        <w:rPr>
                          <w:sz w:val="17"/>
                          <w:szCs w:val="17"/>
                        </w:rPr>
                      </w:pPr>
                      <w:r w:rsidRPr="00B866A3">
                        <w:rPr>
                          <w:sz w:val="17"/>
                          <w:szCs w:val="17"/>
                        </w:rPr>
                        <w:t>The Australian Commonwealth Ombudsman provided training on administrative investigations for the VPF Professional Standards Unit (which investigates complaints made against police officers), the Vanuatu Ombudsman, the Vanuatu Land Ombudsman, and other agencies who undertake administrative conduct investigations. As a result a professional network of integrity investigators has been established. Also, an MOU has been developed between the VPF Professional Standards Unit and the Vanuatu Ombudsman for the Vanuatu Ombudsman to review a proportion of the VPF Professional Standards Unit cases to ensure compliance of the VPF with its own internal policy on complaints and the discipline aspects of the Police Act, as well as to provide feedback on complaints processes.</w:t>
                      </w:r>
                    </w:p>
                    <w:p w:rsidR="00D918C7" w:rsidRDefault="00D918C7" w:rsidP="003D01AD"/>
                  </w:txbxContent>
                </v:textbox>
              </v:shape>
            </w:pict>
          </mc:Fallback>
        </mc:AlternateContent>
      </w:r>
    </w:p>
    <w:p w:rsidR="009F24AA" w:rsidRDefault="009F24AA" w:rsidP="00E60214">
      <w:pPr>
        <w:spacing w:after="120" w:line="280" w:lineRule="exact"/>
        <w:rPr>
          <w:rFonts w:eastAsia="Times New Roman"/>
          <w:lang w:val="en-AU"/>
        </w:rPr>
      </w:pPr>
    </w:p>
    <w:p w:rsidR="009F24AA" w:rsidRDefault="009F24AA" w:rsidP="00E60214">
      <w:pPr>
        <w:spacing w:after="120" w:line="280" w:lineRule="exact"/>
        <w:rPr>
          <w:rFonts w:eastAsia="Times New Roman"/>
          <w:lang w:val="en-AU"/>
        </w:rPr>
      </w:pPr>
    </w:p>
    <w:p w:rsidR="009F24AA" w:rsidRDefault="009F24AA" w:rsidP="00E60214">
      <w:pPr>
        <w:spacing w:after="120" w:line="280" w:lineRule="exact"/>
        <w:rPr>
          <w:rFonts w:eastAsia="Times New Roman"/>
          <w:lang w:val="en-AU"/>
        </w:rPr>
      </w:pPr>
    </w:p>
    <w:p w:rsidR="009F24AA" w:rsidRDefault="009F24AA" w:rsidP="00E60214">
      <w:pPr>
        <w:spacing w:after="120" w:line="280" w:lineRule="exact"/>
        <w:rPr>
          <w:rFonts w:eastAsia="Times New Roman"/>
          <w:lang w:val="en-AU"/>
        </w:rPr>
      </w:pPr>
    </w:p>
    <w:p w:rsidR="009F24AA" w:rsidRDefault="009F24AA" w:rsidP="00E60214">
      <w:pPr>
        <w:spacing w:after="120" w:line="280" w:lineRule="exact"/>
        <w:rPr>
          <w:rFonts w:eastAsia="Times New Roman"/>
          <w:lang w:val="en-AU"/>
        </w:rPr>
      </w:pPr>
    </w:p>
    <w:p w:rsidR="009F24AA" w:rsidRDefault="009F24AA" w:rsidP="00E60214">
      <w:pPr>
        <w:spacing w:after="120" w:line="280" w:lineRule="exact"/>
        <w:rPr>
          <w:rFonts w:eastAsia="Times New Roman"/>
          <w:lang w:val="en-AU"/>
        </w:rPr>
      </w:pPr>
    </w:p>
    <w:p w:rsidR="009F24AA" w:rsidRDefault="009F24AA" w:rsidP="00E60214">
      <w:pPr>
        <w:spacing w:after="120" w:line="280" w:lineRule="exact"/>
        <w:rPr>
          <w:rFonts w:eastAsia="Times New Roman"/>
          <w:lang w:val="en-AU"/>
        </w:rPr>
      </w:pPr>
    </w:p>
    <w:p w:rsidR="009F24AA" w:rsidRDefault="009F24AA" w:rsidP="00E60214">
      <w:pPr>
        <w:spacing w:after="120" w:line="280" w:lineRule="exact"/>
        <w:rPr>
          <w:rFonts w:eastAsia="Times New Roman"/>
          <w:lang w:val="en-AU"/>
        </w:rPr>
      </w:pPr>
    </w:p>
    <w:p w:rsidR="009F24AA" w:rsidRDefault="009F24AA" w:rsidP="00E60214">
      <w:pPr>
        <w:spacing w:after="120" w:line="280" w:lineRule="exact"/>
        <w:rPr>
          <w:rFonts w:eastAsia="Times New Roman"/>
          <w:lang w:val="en-AU"/>
        </w:rPr>
      </w:pPr>
    </w:p>
    <w:p w:rsidR="009F24AA" w:rsidRDefault="009F24AA" w:rsidP="00E60214">
      <w:pPr>
        <w:spacing w:after="120" w:line="280" w:lineRule="exact"/>
        <w:rPr>
          <w:rFonts w:eastAsia="Times New Roman"/>
          <w:lang w:val="en-AU"/>
        </w:rPr>
      </w:pPr>
    </w:p>
    <w:p w:rsidR="009F24AA" w:rsidRDefault="009F24AA" w:rsidP="00E60214">
      <w:pPr>
        <w:spacing w:after="120" w:line="280" w:lineRule="exact"/>
        <w:rPr>
          <w:rFonts w:eastAsia="Times New Roman"/>
          <w:lang w:val="en-AU"/>
        </w:rPr>
      </w:pPr>
    </w:p>
    <w:p w:rsidR="00283E03" w:rsidRPr="00283E03" w:rsidRDefault="00283E03" w:rsidP="00283E03">
      <w:pPr>
        <w:spacing w:after="120" w:line="280" w:lineRule="exact"/>
        <w:rPr>
          <w:rFonts w:eastAsia="Times New Roman"/>
          <w:lang w:val="en-AU"/>
        </w:rPr>
      </w:pPr>
      <w:r w:rsidRPr="00283E03">
        <w:rPr>
          <w:rFonts w:eastAsia="Times New Roman"/>
          <w:lang w:val="en-AU"/>
        </w:rPr>
        <w:t xml:space="preserve">Improved </w:t>
      </w:r>
      <w:r w:rsidRPr="00BF76B6">
        <w:rPr>
          <w:rFonts w:eastAsia="Times New Roman"/>
          <w:b/>
          <w:lang w:val="en-AU"/>
        </w:rPr>
        <w:t>disaster preparedness</w:t>
      </w:r>
      <w:r w:rsidRPr="00283E03">
        <w:rPr>
          <w:rFonts w:eastAsia="Times New Roman"/>
          <w:lang w:val="en-AU"/>
        </w:rPr>
        <w:t xml:space="preserve"> and early-warning systems in Vanuatu, supported by Australia</w:t>
      </w:r>
      <w:r w:rsidR="00BF76B6">
        <w:rPr>
          <w:rFonts w:eastAsia="Times New Roman"/>
          <w:lang w:val="en-AU"/>
        </w:rPr>
        <w:t xml:space="preserve"> (</w:t>
      </w:r>
      <w:r w:rsidRPr="00283E03">
        <w:rPr>
          <w:rFonts w:eastAsia="Times New Roman"/>
          <w:lang w:val="en-AU"/>
        </w:rPr>
        <w:t>including through the Australian Civilian Corps</w:t>
      </w:r>
      <w:r w:rsidR="00BF76B6">
        <w:rPr>
          <w:rFonts w:eastAsia="Times New Roman"/>
          <w:lang w:val="en-AU"/>
        </w:rPr>
        <w:t xml:space="preserve"> - </w:t>
      </w:r>
      <w:r w:rsidRPr="00283E03">
        <w:rPr>
          <w:rFonts w:eastAsia="Times New Roman"/>
          <w:lang w:val="en-AU"/>
        </w:rPr>
        <w:t>ACC), may have helped reduce the number of fatalities and the extent and scale of damage during Tropical Cyclone Pam.</w:t>
      </w:r>
      <w:r>
        <w:rPr>
          <w:rFonts w:eastAsia="Times New Roman"/>
          <w:lang w:val="en-AU"/>
        </w:rPr>
        <w:t xml:space="preserve"> </w:t>
      </w:r>
      <w:r w:rsidRPr="00283E03">
        <w:rPr>
          <w:rFonts w:eastAsia="Times New Roman"/>
          <w:lang w:val="en-AU"/>
        </w:rPr>
        <w:t xml:space="preserve">The ACC support to the </w:t>
      </w:r>
      <w:r>
        <w:rPr>
          <w:rFonts w:eastAsia="Times New Roman"/>
          <w:lang w:val="en-AU"/>
        </w:rPr>
        <w:t>National Disaster Management Office (</w:t>
      </w:r>
      <w:r w:rsidRPr="00283E03">
        <w:rPr>
          <w:rFonts w:eastAsia="Times New Roman"/>
          <w:lang w:val="en-AU"/>
        </w:rPr>
        <w:t>NDMO</w:t>
      </w:r>
      <w:r>
        <w:rPr>
          <w:rFonts w:eastAsia="Times New Roman"/>
          <w:lang w:val="en-AU"/>
        </w:rPr>
        <w:t>)</w:t>
      </w:r>
      <w:r w:rsidRPr="00283E03">
        <w:rPr>
          <w:rFonts w:eastAsia="Times New Roman"/>
          <w:lang w:val="en-AU"/>
        </w:rPr>
        <w:t xml:space="preserve"> was continued through the reporting period, and contributed to the Vanuatu Government’s </w:t>
      </w:r>
      <w:r w:rsidR="00084CBC">
        <w:rPr>
          <w:rFonts w:eastAsia="Times New Roman"/>
          <w:lang w:val="en-AU"/>
        </w:rPr>
        <w:t>Tropical Cyclone Pam</w:t>
      </w:r>
      <w:r w:rsidRPr="00283E03">
        <w:rPr>
          <w:rFonts w:eastAsia="Times New Roman"/>
          <w:lang w:val="en-AU"/>
        </w:rPr>
        <w:t xml:space="preserve"> lessons learned processes</w:t>
      </w:r>
      <w:r w:rsidR="00DD003A">
        <w:rPr>
          <w:rFonts w:eastAsia="Times New Roman"/>
          <w:lang w:val="en-AU"/>
        </w:rPr>
        <w:t xml:space="preserve"> as well as legislative and policy development for disaster management</w:t>
      </w:r>
      <w:r w:rsidRPr="00283E03">
        <w:rPr>
          <w:rFonts w:eastAsia="Times New Roman"/>
          <w:lang w:val="en-AU"/>
        </w:rPr>
        <w:t>.</w:t>
      </w:r>
    </w:p>
    <w:p w:rsidR="00B73929" w:rsidRDefault="00B73929" w:rsidP="00B73929">
      <w:pPr>
        <w:spacing w:after="120" w:line="280" w:lineRule="exact"/>
        <w:rPr>
          <w:rFonts w:eastAsia="Times New Roman"/>
          <w:lang w:val="en-AU"/>
        </w:rPr>
      </w:pPr>
      <w:r w:rsidRPr="009B71EC">
        <w:rPr>
          <w:rFonts w:eastAsia="Times New Roman"/>
          <w:lang w:val="en-AU"/>
        </w:rPr>
        <w:t xml:space="preserve">DFAT regional programs have been addressing the need for communities to become more resilient to the adverse effects of natural disasters and </w:t>
      </w:r>
      <w:r w:rsidRPr="00BF76B6">
        <w:rPr>
          <w:rFonts w:eastAsia="Times New Roman"/>
          <w:b/>
          <w:lang w:val="en-AU"/>
        </w:rPr>
        <w:t>climate change</w:t>
      </w:r>
      <w:r w:rsidRPr="009B71EC">
        <w:rPr>
          <w:rFonts w:eastAsia="Times New Roman"/>
          <w:lang w:val="en-AU"/>
        </w:rPr>
        <w:t xml:space="preserve"> through community programs.  Climate change and disaster risks have been incorporated into seven school safety plans in remote and high risk areas.  A Risk and Resilience Unit was established within the Ministry of Agriculture to oversee relief and recovery efforts in the agriculture, forestry and fisheries sectors, among others.  </w:t>
      </w:r>
    </w:p>
    <w:p w:rsidR="00B73929" w:rsidRPr="009B71EC" w:rsidRDefault="00B73929" w:rsidP="00B73929">
      <w:pPr>
        <w:spacing w:after="120" w:line="280" w:lineRule="exact"/>
        <w:rPr>
          <w:rFonts w:eastAsia="Times New Roman"/>
          <w:lang w:val="en-AU"/>
        </w:rPr>
      </w:pPr>
      <w:r w:rsidRPr="009B71EC">
        <w:rPr>
          <w:rFonts w:eastAsia="Times New Roman"/>
          <w:lang w:val="en-AU"/>
        </w:rPr>
        <w:t xml:space="preserve">Ongoing support to the Vanuatu Meteorological and Geo-Hazards Department (VMGD) through regional climate change programs and the Bureau of Meteorology helped the Vanuatu Government use climate and weather science for better </w:t>
      </w:r>
      <w:r w:rsidRPr="00BF76B6">
        <w:rPr>
          <w:rFonts w:eastAsia="Times New Roman"/>
          <w:b/>
          <w:lang w:val="en-AU"/>
        </w:rPr>
        <w:t>risk mitigation</w:t>
      </w:r>
      <w:r w:rsidRPr="009B71EC">
        <w:rPr>
          <w:rFonts w:eastAsia="Times New Roman"/>
          <w:lang w:val="en-AU"/>
        </w:rPr>
        <w:t xml:space="preserve">. This support helped the VMGD provide timely and critical climate and ocean analysis for key sectors such as agriculture. This information helps to lessen the impact of extreme events such as cyclones and drought. </w:t>
      </w:r>
    </w:p>
    <w:p w:rsidR="008D28E9" w:rsidRPr="009B71EC" w:rsidRDefault="00B73929" w:rsidP="008D28E9">
      <w:pPr>
        <w:spacing w:after="120" w:line="280" w:lineRule="exact"/>
        <w:rPr>
          <w:rFonts w:eastAsia="Times New Roman"/>
          <w:lang w:val="en-AU"/>
        </w:rPr>
      </w:pPr>
      <w:r w:rsidRPr="00B73929">
        <w:rPr>
          <w:rFonts w:eastAsia="Times New Roman"/>
        </w:rPr>
        <w:t xml:space="preserve">The Vanuatu Government launched its </w:t>
      </w:r>
      <w:r w:rsidRPr="00B73929">
        <w:rPr>
          <w:rFonts w:eastAsia="Times New Roman"/>
          <w:i/>
        </w:rPr>
        <w:t>Climate Change and Disaster Risk Reduction Policy 2016-2030</w:t>
      </w:r>
      <w:r w:rsidRPr="00B73929">
        <w:rPr>
          <w:rFonts w:eastAsia="Times New Roman"/>
        </w:rPr>
        <w:t xml:space="preserve"> </w:t>
      </w:r>
      <w:r>
        <w:rPr>
          <w:rFonts w:eastAsia="Times New Roman"/>
        </w:rPr>
        <w:t>in late</w:t>
      </w:r>
      <w:r>
        <w:rPr>
          <w:rFonts w:eastAsia="Times New Roman"/>
        </w:rPr>
        <w:noBreakHyphen/>
      </w:r>
      <w:r w:rsidRPr="00B73929">
        <w:rPr>
          <w:rFonts w:eastAsia="Times New Roman"/>
        </w:rPr>
        <w:t xml:space="preserve">2015. The Policy was developed with the support of the Australian-funded </w:t>
      </w:r>
      <w:r w:rsidRPr="00BF76B6">
        <w:rPr>
          <w:rFonts w:eastAsia="Times New Roman"/>
          <w:b/>
        </w:rPr>
        <w:t xml:space="preserve">Pacific Regional Risk Resilience Program </w:t>
      </w:r>
      <w:r w:rsidR="008D28E9" w:rsidRPr="00BF76B6">
        <w:rPr>
          <w:rFonts w:eastAsia="Times New Roman"/>
          <w:b/>
        </w:rPr>
        <w:t>(PRRP)</w:t>
      </w:r>
      <w:r w:rsidR="008D28E9">
        <w:rPr>
          <w:rFonts w:eastAsia="Times New Roman"/>
        </w:rPr>
        <w:t xml:space="preserve"> </w:t>
      </w:r>
      <w:r w:rsidRPr="00B73929">
        <w:rPr>
          <w:rFonts w:eastAsia="Times New Roman"/>
        </w:rPr>
        <w:t>and provides a framework for mainstreaming climate change and disaster risk reduction into sustainable development processes.</w:t>
      </w:r>
      <w:r w:rsidR="008D28E9">
        <w:rPr>
          <w:rFonts w:eastAsia="Times New Roman"/>
        </w:rPr>
        <w:t xml:space="preserve">   The PRRP also supported a </w:t>
      </w:r>
      <w:r w:rsidR="008D28E9" w:rsidRPr="009B71EC">
        <w:rPr>
          <w:rFonts w:eastAsia="Times New Roman"/>
          <w:lang w:val="en-AU"/>
        </w:rPr>
        <w:t>public</w:t>
      </w:r>
      <w:r w:rsidR="008D28E9" w:rsidRPr="009B71EC">
        <w:rPr>
          <w:rFonts w:eastAsia="Times New Roman"/>
          <w:lang w:val="en-AU"/>
        </w:rPr>
        <w:noBreakHyphen/>
        <w:t xml:space="preserve">private partnership between the Vanuatu Government and </w:t>
      </w:r>
      <w:r w:rsidR="008D28E9" w:rsidRPr="00B73929">
        <w:rPr>
          <w:rFonts w:eastAsia="Times New Roman"/>
          <w:i/>
          <w:lang w:val="en-AU"/>
        </w:rPr>
        <w:t>Digicel Vanuatu</w:t>
      </w:r>
      <w:r w:rsidR="008D28E9" w:rsidRPr="009B71EC">
        <w:rPr>
          <w:rFonts w:eastAsia="Times New Roman"/>
          <w:lang w:val="en-AU"/>
        </w:rPr>
        <w:t xml:space="preserve"> </w:t>
      </w:r>
      <w:r w:rsidR="00940874">
        <w:rPr>
          <w:rFonts w:eastAsia="Times New Roman"/>
          <w:lang w:val="en-AU"/>
        </w:rPr>
        <w:t xml:space="preserve">which </w:t>
      </w:r>
      <w:r w:rsidR="008D28E9" w:rsidRPr="009B71EC">
        <w:rPr>
          <w:rFonts w:eastAsia="Times New Roman"/>
          <w:lang w:val="en-AU"/>
        </w:rPr>
        <w:t>incorporated climate change, disaster risk mitigation and food security in public awareness</w:t>
      </w:r>
      <w:r w:rsidR="008D28E9" w:rsidRPr="009B71EC">
        <w:rPr>
          <w:rFonts w:eastAsia="Times New Roman"/>
          <w:lang w:val="en-AU"/>
        </w:rPr>
        <w:noBreakHyphen/>
        <w:t>raising, particularly regarding education and agriculture.</w:t>
      </w:r>
    </w:p>
    <w:p w:rsidR="008D28E9" w:rsidRPr="008D28E9" w:rsidRDefault="008D28E9" w:rsidP="008D28E9">
      <w:pPr>
        <w:spacing w:after="120" w:line="280" w:lineRule="exact"/>
        <w:rPr>
          <w:rFonts w:eastAsia="Times New Roman"/>
          <w:lang w:val="en-AU"/>
        </w:rPr>
      </w:pPr>
      <w:r>
        <w:rPr>
          <w:rFonts w:eastAsia="Times New Roman"/>
          <w:lang w:val="en-AU"/>
        </w:rPr>
        <w:t>During the reporting period, a</w:t>
      </w:r>
      <w:r w:rsidRPr="008D28E9">
        <w:rPr>
          <w:rFonts w:eastAsia="Times New Roman"/>
          <w:lang w:val="en-AU"/>
        </w:rPr>
        <w:t xml:space="preserve"> dedicated climate change and disaster risk mitigation function was established within the </w:t>
      </w:r>
      <w:r w:rsidR="00940874">
        <w:rPr>
          <w:rFonts w:eastAsia="Times New Roman"/>
          <w:lang w:val="en-AU"/>
        </w:rPr>
        <w:t>DWA</w:t>
      </w:r>
      <w:r w:rsidRPr="008D28E9">
        <w:rPr>
          <w:rFonts w:eastAsia="Times New Roman"/>
          <w:lang w:val="en-AU"/>
        </w:rPr>
        <w:t xml:space="preserve"> to integrate gender and protection issues into improvements to preparedness and response measures.</w:t>
      </w:r>
    </w:p>
    <w:p w:rsidR="00505FD5" w:rsidRPr="009B71EC" w:rsidRDefault="00505FD5" w:rsidP="002A51CA">
      <w:pPr>
        <w:spacing w:after="120" w:line="280" w:lineRule="exact"/>
        <w:rPr>
          <w:rFonts w:eastAsia="Times New Roman"/>
        </w:rPr>
      </w:pPr>
    </w:p>
    <w:p w:rsidR="00505FD5" w:rsidRPr="008D28E9" w:rsidRDefault="002A7357" w:rsidP="008D28E9">
      <w:pPr>
        <w:suppressAutoHyphens w:val="0"/>
        <w:spacing w:before="360" w:after="120" w:line="280" w:lineRule="exact"/>
        <w:rPr>
          <w:rFonts w:asciiTheme="majorHAnsi" w:eastAsiaTheme="majorEastAsia" w:hAnsiTheme="majorHAnsi" w:cstheme="majorBidi"/>
          <w:caps/>
          <w:sz w:val="38"/>
          <w:szCs w:val="26"/>
        </w:rPr>
      </w:pPr>
      <w:r w:rsidRPr="008D28E9">
        <w:rPr>
          <w:rFonts w:asciiTheme="majorHAnsi" w:eastAsiaTheme="majorEastAsia" w:hAnsiTheme="majorHAnsi" w:cstheme="majorBidi"/>
          <w:caps/>
          <w:sz w:val="38"/>
          <w:szCs w:val="26"/>
        </w:rPr>
        <w:t>Objective 4:  Support</w:t>
      </w:r>
      <w:r w:rsidR="00F6456E">
        <w:rPr>
          <w:rFonts w:asciiTheme="majorHAnsi" w:eastAsiaTheme="majorEastAsia" w:hAnsiTheme="majorHAnsi" w:cstheme="majorBidi"/>
          <w:caps/>
          <w:sz w:val="38"/>
          <w:szCs w:val="26"/>
        </w:rPr>
        <w:t>ING</w:t>
      </w:r>
      <w:r w:rsidRPr="008D28E9">
        <w:rPr>
          <w:rFonts w:asciiTheme="majorHAnsi" w:eastAsiaTheme="majorEastAsia" w:hAnsiTheme="majorHAnsi" w:cstheme="majorBidi"/>
          <w:caps/>
          <w:sz w:val="38"/>
          <w:szCs w:val="26"/>
        </w:rPr>
        <w:t xml:space="preserve"> cyclone recovery and reconstruction</w:t>
      </w:r>
    </w:p>
    <w:p w:rsidR="00DD003A" w:rsidRPr="00DD003A" w:rsidRDefault="009656E6" w:rsidP="00DD003A">
      <w:pPr>
        <w:spacing w:after="120" w:line="280" w:lineRule="exact"/>
        <w:rPr>
          <w:rFonts w:eastAsia="Times New Roman"/>
        </w:rPr>
      </w:pPr>
      <w:r>
        <w:rPr>
          <w:rFonts w:eastAsia="Times New Roman"/>
        </w:rPr>
        <w:t xml:space="preserve">Despite exceeding its performance benchmark for the reporting period, </w:t>
      </w:r>
      <w:r w:rsidR="00DD003A" w:rsidRPr="00DD003A">
        <w:rPr>
          <w:rFonts w:eastAsia="Times New Roman"/>
        </w:rPr>
        <w:t>this objective was rated amber</w:t>
      </w:r>
      <w:r>
        <w:rPr>
          <w:rFonts w:eastAsia="Times New Roman"/>
        </w:rPr>
        <w:t xml:space="preserve"> overall</w:t>
      </w:r>
      <w:r w:rsidR="00DD003A" w:rsidRPr="00DD003A">
        <w:rPr>
          <w:rFonts w:eastAsia="Times New Roman"/>
        </w:rPr>
        <w:t>, which can largely be attributed to the complex and challenging funding modality for the long</w:t>
      </w:r>
      <w:r w:rsidR="00DD003A" w:rsidRPr="00DD003A">
        <w:rPr>
          <w:rFonts w:eastAsia="Times New Roman"/>
        </w:rPr>
        <w:noBreakHyphen/>
        <w:t xml:space="preserve">term </w:t>
      </w:r>
      <w:r w:rsidR="00BF76B6">
        <w:rPr>
          <w:rFonts w:eastAsia="Times New Roman"/>
        </w:rPr>
        <w:t xml:space="preserve">cyclone </w:t>
      </w:r>
      <w:r w:rsidR="00DD003A" w:rsidRPr="00DD003A">
        <w:rPr>
          <w:rFonts w:eastAsia="Times New Roman"/>
        </w:rPr>
        <w:t xml:space="preserve">recovery investment.  The $34.7m million long-term recovery package has been channelled through a direct funding arrangement with the Reserve Bank of Vanuatu and is being delivered through Vanuatu Government systems. </w:t>
      </w:r>
      <w:r w:rsidR="00DD003A" w:rsidRPr="00DD003A" w:rsidDel="0043408A">
        <w:rPr>
          <w:rFonts w:eastAsia="Times New Roman"/>
        </w:rPr>
        <w:t xml:space="preserve"> </w:t>
      </w:r>
      <w:r w:rsidR="00DD003A" w:rsidRPr="00DD003A">
        <w:rPr>
          <w:rFonts w:eastAsia="Times New Roman"/>
        </w:rPr>
        <w:t>Since January 2016, the Vanuatu Government has made reconstruction a priority and enabled DFAT to program 65 per cent of long</w:t>
      </w:r>
      <w:r w:rsidR="00DD003A" w:rsidRPr="00DD003A">
        <w:rPr>
          <w:rFonts w:eastAsia="Times New Roman"/>
        </w:rPr>
        <w:noBreakHyphen/>
        <w:t>term recovery funding ($</w:t>
      </w:r>
      <w:r w:rsidR="00DD003A">
        <w:rPr>
          <w:rFonts w:eastAsia="Times New Roman"/>
        </w:rPr>
        <w:t>23 million</w:t>
      </w:r>
      <w:r w:rsidR="00DD003A" w:rsidRPr="00DD003A">
        <w:rPr>
          <w:rFonts w:eastAsia="Times New Roman"/>
        </w:rPr>
        <w:t xml:space="preserve">).  However, DFAT will need to work closely with Vanuatu Government agencies to ensure that risk is adequately managed and aid quality standards and safeguards are incorporated into investments.  </w:t>
      </w:r>
    </w:p>
    <w:p w:rsidR="00914903" w:rsidRPr="009B71EC" w:rsidRDefault="00914903" w:rsidP="006709C4">
      <w:pPr>
        <w:keepNext/>
        <w:spacing w:after="120" w:line="280" w:lineRule="exact"/>
        <w:rPr>
          <w:rFonts w:eastAsia="Times New Roman"/>
          <w:i/>
        </w:rPr>
      </w:pPr>
      <w:r w:rsidRPr="009B71EC">
        <w:rPr>
          <w:rFonts w:eastAsia="Times New Roman"/>
          <w:i/>
        </w:rPr>
        <w:t>Early Recovery</w:t>
      </w:r>
    </w:p>
    <w:p w:rsidR="00914903" w:rsidRPr="009B71EC" w:rsidRDefault="00914903" w:rsidP="006709C4">
      <w:pPr>
        <w:keepNext/>
        <w:spacing w:after="120" w:line="280" w:lineRule="exact"/>
        <w:rPr>
          <w:rFonts w:eastAsia="Times New Roman"/>
        </w:rPr>
      </w:pPr>
      <w:r w:rsidRPr="009B71EC">
        <w:rPr>
          <w:rFonts w:eastAsia="Times New Roman"/>
        </w:rPr>
        <w:t xml:space="preserve">As a rapid humanitarian intervention, the $5 million early recovery programming achieved expected results in terms of restoring basic education and health services, ensuring food security and helping rebuild agricultural livelihoods.  Our support helped the Vanuatu MoH repair hospitals and health centres across the worst affected provinces.  Australian funding to UNICEF helped forestall disease outbreaks by vaccinating 24,000 children and screening over 13,000 for malnutrition and micronutrient feeding.  DFAT also funded MoET grants to 143 schools for urgent repairs and replacement of damaged teaching materials, allowing 19,000 students to return to school </w:t>
      </w:r>
      <w:r w:rsidR="00F207BD">
        <w:rPr>
          <w:rFonts w:eastAsia="Times New Roman"/>
        </w:rPr>
        <w:t>more quickly</w:t>
      </w:r>
      <w:r w:rsidRPr="009B71EC">
        <w:rPr>
          <w:rFonts w:eastAsia="Times New Roman"/>
        </w:rPr>
        <w:t xml:space="preserve">.  </w:t>
      </w:r>
    </w:p>
    <w:p w:rsidR="00914903" w:rsidRPr="009B71EC" w:rsidRDefault="00914903" w:rsidP="00A611A9">
      <w:pPr>
        <w:keepNext/>
        <w:spacing w:after="120" w:line="280" w:lineRule="exact"/>
        <w:rPr>
          <w:rFonts w:eastAsia="Times New Roman"/>
          <w:i/>
        </w:rPr>
      </w:pPr>
      <w:r w:rsidRPr="009B71EC">
        <w:rPr>
          <w:rFonts w:eastAsia="Times New Roman"/>
          <w:i/>
        </w:rPr>
        <w:t>Long</w:t>
      </w:r>
      <w:r w:rsidRPr="009B71EC">
        <w:rPr>
          <w:rFonts w:eastAsia="Times New Roman"/>
          <w:i/>
        </w:rPr>
        <w:noBreakHyphen/>
        <w:t>term Recovery</w:t>
      </w:r>
    </w:p>
    <w:p w:rsidR="00DD003A" w:rsidRDefault="00DD003A" w:rsidP="00A611A9">
      <w:pPr>
        <w:keepNext/>
        <w:spacing w:after="120" w:line="280" w:lineRule="exact"/>
        <w:rPr>
          <w:rFonts w:eastAsia="Times New Roman"/>
        </w:rPr>
      </w:pPr>
      <w:r w:rsidRPr="00DD003A">
        <w:rPr>
          <w:rFonts w:eastAsia="Times New Roman"/>
        </w:rPr>
        <w:t>Notwithstanding the challenging operating environment, the program has exceeded its AIP performance benchmark, successfully programing 65 per cent of long</w:t>
      </w:r>
      <w:r w:rsidRPr="00DD003A">
        <w:rPr>
          <w:rFonts w:eastAsia="Times New Roman"/>
        </w:rPr>
        <w:noBreakHyphen/>
        <w:t>term recovery funds during the reporting period, the bulk of this during the last six months.  By June 2016, 65 per cent of long</w:t>
      </w:r>
      <w:r w:rsidRPr="00DD003A">
        <w:rPr>
          <w:rFonts w:eastAsia="Times New Roman"/>
        </w:rPr>
        <w:noBreakHyphen/>
        <w:t>term recovery funding had been programmed by the Vanuatu</w:t>
      </w:r>
      <w:r w:rsidR="00336C73">
        <w:rPr>
          <w:rFonts w:eastAsia="Times New Roman"/>
        </w:rPr>
        <w:t xml:space="preserve"> Government</w:t>
      </w:r>
      <w:r w:rsidRPr="00DD003A">
        <w:rPr>
          <w:rFonts w:eastAsia="Times New Roman"/>
        </w:rPr>
        <w:t>, including: repair of health and infrastructure ($7.</w:t>
      </w:r>
      <w:r w:rsidR="00FF4615">
        <w:rPr>
          <w:rFonts w:eastAsia="Times New Roman"/>
        </w:rPr>
        <w:t>1</w:t>
      </w:r>
      <w:r w:rsidRPr="00DD003A">
        <w:rPr>
          <w:rFonts w:eastAsia="Times New Roman"/>
        </w:rPr>
        <w:t xml:space="preserve"> million); water management systems ($3.3 million); tourism ($</w:t>
      </w:r>
      <w:r w:rsidR="00FF4615">
        <w:rPr>
          <w:rFonts w:eastAsia="Times New Roman"/>
        </w:rPr>
        <w:t>600</w:t>
      </w:r>
      <w:r w:rsidRPr="00DD003A">
        <w:rPr>
          <w:rFonts w:eastAsia="Times New Roman"/>
        </w:rPr>
        <w:t>,000); agriculture ($2.5 million); and education (9.3 million)</w:t>
      </w:r>
      <w:r>
        <w:rPr>
          <w:rFonts w:eastAsia="Times New Roman"/>
        </w:rPr>
        <w:t>.</w:t>
      </w:r>
    </w:p>
    <w:p w:rsidR="00DD003A" w:rsidRPr="00DD003A" w:rsidRDefault="00DD003A" w:rsidP="00DD003A">
      <w:pPr>
        <w:spacing w:after="120" w:line="280" w:lineRule="exact"/>
        <w:rPr>
          <w:rFonts w:eastAsia="Times New Roman"/>
        </w:rPr>
      </w:pPr>
      <w:r w:rsidRPr="00DD003A">
        <w:rPr>
          <w:rFonts w:eastAsia="Times New Roman"/>
        </w:rPr>
        <w:t>There is a high level of local ownership of the program, since the long</w:t>
      </w:r>
      <w:r w:rsidRPr="00DD003A">
        <w:rPr>
          <w:rFonts w:eastAsia="Times New Roman"/>
        </w:rPr>
        <w:noBreakHyphen/>
        <w:t xml:space="preserve">term recovery package is being implemented through Vanuatu Government systems and recovery projects are informed by the Vanuatu Government’s </w:t>
      </w:r>
      <w:r w:rsidRPr="00DD003A">
        <w:rPr>
          <w:rFonts w:eastAsia="Times New Roman"/>
          <w:i/>
        </w:rPr>
        <w:t>Strengthening ni-Vanuatu Resilience – National Recovery and Economic Strengthening Program Plan</w:t>
      </w:r>
      <w:r w:rsidRPr="00DD003A">
        <w:rPr>
          <w:rFonts w:eastAsia="Times New Roman"/>
        </w:rPr>
        <w:t xml:space="preserve">.  This innovative delivery mechanism </w:t>
      </w:r>
      <w:r w:rsidR="00FF4615">
        <w:rPr>
          <w:rFonts w:eastAsia="Times New Roman"/>
        </w:rPr>
        <w:t>will</w:t>
      </w:r>
      <w:r w:rsidRPr="00DD003A">
        <w:rPr>
          <w:rFonts w:eastAsia="Times New Roman"/>
        </w:rPr>
        <w:t xml:space="preserve"> provide an opportunity for ministries with limited capacity and experience to implement activities – with Australian</w:t>
      </w:r>
      <w:r w:rsidRPr="00DD003A">
        <w:rPr>
          <w:rFonts w:eastAsia="Times New Roman"/>
        </w:rPr>
        <w:noBreakHyphen/>
        <w:t xml:space="preserve">funded technical assistance – on a large scale.  While working through Vanuatu systems for </w:t>
      </w:r>
      <w:r w:rsidR="00FF4615">
        <w:rPr>
          <w:rFonts w:eastAsia="Times New Roman"/>
        </w:rPr>
        <w:t xml:space="preserve">cyclone </w:t>
      </w:r>
      <w:r w:rsidRPr="00DD003A">
        <w:rPr>
          <w:rFonts w:eastAsia="Times New Roman"/>
        </w:rPr>
        <w:t>recovery is challenging, in the long</w:t>
      </w:r>
      <w:r w:rsidRPr="00DD003A">
        <w:rPr>
          <w:rFonts w:eastAsia="Times New Roman"/>
        </w:rPr>
        <w:noBreakHyphen/>
        <w:t xml:space="preserve">term this </w:t>
      </w:r>
      <w:r w:rsidR="00FF4615">
        <w:rPr>
          <w:rFonts w:eastAsia="Times New Roman"/>
        </w:rPr>
        <w:t>should</w:t>
      </w:r>
      <w:r w:rsidR="00FF4615" w:rsidRPr="00DD003A">
        <w:rPr>
          <w:rFonts w:eastAsia="Times New Roman"/>
        </w:rPr>
        <w:t xml:space="preserve"> </w:t>
      </w:r>
      <w:r w:rsidRPr="00DD003A">
        <w:rPr>
          <w:rFonts w:eastAsia="Times New Roman"/>
        </w:rPr>
        <w:t xml:space="preserve">provide sustainable strengthening of Vanuatu’s capacity and systems.  The key challenge for the recovery program will be to find a balance between ensuring that DFAT’s aid quality and safeguard arrangements are applied in every activity, while building on the positive working relationship with the </w:t>
      </w:r>
      <w:r w:rsidR="0077105F">
        <w:rPr>
          <w:rFonts w:eastAsia="Times New Roman"/>
        </w:rPr>
        <w:t xml:space="preserve">Vanuatu </w:t>
      </w:r>
      <w:r w:rsidRPr="00DD003A">
        <w:rPr>
          <w:rFonts w:eastAsia="Times New Roman"/>
        </w:rPr>
        <w:t xml:space="preserve">Government.  This will mean taking informed risks to deliver outcomes and will require active engagement from the </w:t>
      </w:r>
      <w:r w:rsidR="00B31BC5">
        <w:rPr>
          <w:rFonts w:eastAsia="Times New Roman"/>
        </w:rPr>
        <w:t>Australian High Commission</w:t>
      </w:r>
      <w:r w:rsidR="00B31BC5" w:rsidRPr="00DD003A">
        <w:rPr>
          <w:rFonts w:eastAsia="Times New Roman"/>
        </w:rPr>
        <w:t xml:space="preserve"> </w:t>
      </w:r>
      <w:r w:rsidRPr="00DD003A">
        <w:rPr>
          <w:rFonts w:eastAsia="Times New Roman"/>
        </w:rPr>
        <w:t xml:space="preserve">recovery team in </w:t>
      </w:r>
      <w:r w:rsidR="008114F1">
        <w:rPr>
          <w:rFonts w:eastAsia="Times New Roman"/>
        </w:rPr>
        <w:t xml:space="preserve">Port Vila in </w:t>
      </w:r>
      <w:r w:rsidRPr="00DD003A">
        <w:rPr>
          <w:rFonts w:eastAsia="Times New Roman"/>
        </w:rPr>
        <w:t>project committees and oversight mechanisms.</w:t>
      </w:r>
    </w:p>
    <w:p w:rsidR="00EA744B" w:rsidRPr="00EA744B" w:rsidRDefault="00EA744B" w:rsidP="00EA744B">
      <w:pPr>
        <w:spacing w:after="120" w:line="280" w:lineRule="exact"/>
        <w:rPr>
          <w:rFonts w:eastAsia="Times New Roman"/>
          <w:lang w:val="en-AU"/>
        </w:rPr>
      </w:pPr>
      <w:r w:rsidRPr="00EA744B">
        <w:rPr>
          <w:rFonts w:eastAsia="Times New Roman"/>
          <w:lang w:val="en-AU"/>
        </w:rPr>
        <w:t xml:space="preserve">Progress on providing additional support for outreach focused on gender-based violence, child protection and improved access to disability services to meet cyclone-related needs has not progressed as much as we </w:t>
      </w:r>
      <w:r w:rsidR="00960C1B">
        <w:rPr>
          <w:rFonts w:eastAsia="Times New Roman"/>
          <w:lang w:val="en-AU"/>
        </w:rPr>
        <w:t>anticipated</w:t>
      </w:r>
      <w:r w:rsidRPr="00EA744B">
        <w:rPr>
          <w:rFonts w:eastAsia="Times New Roman"/>
          <w:lang w:val="en-AU"/>
        </w:rPr>
        <w:t>, but proposals have been drafted</w:t>
      </w:r>
      <w:r w:rsidR="00C4296D">
        <w:rPr>
          <w:rFonts w:eastAsia="Times New Roman"/>
          <w:lang w:val="en-AU"/>
        </w:rPr>
        <w:t xml:space="preserve"> for</w:t>
      </w:r>
      <w:r w:rsidRPr="00EA744B">
        <w:rPr>
          <w:rFonts w:eastAsia="Times New Roman"/>
          <w:lang w:val="en-AU"/>
        </w:rPr>
        <w:t xml:space="preserve"> </w:t>
      </w:r>
      <w:r w:rsidR="00C4296D">
        <w:rPr>
          <w:rFonts w:eastAsia="Times New Roman"/>
          <w:lang w:val="en-AU"/>
        </w:rPr>
        <w:t xml:space="preserve">Vanuatu Government consideration </w:t>
      </w:r>
      <w:r w:rsidRPr="00EA744B">
        <w:rPr>
          <w:rFonts w:eastAsia="Times New Roman"/>
          <w:lang w:val="en-AU"/>
        </w:rPr>
        <w:t xml:space="preserve">to address these areas. Finalisation and approval of proposals to meet the needs of women, children and people with a disability </w:t>
      </w:r>
      <w:r>
        <w:rPr>
          <w:rFonts w:eastAsia="Times New Roman"/>
          <w:lang w:val="en-AU"/>
        </w:rPr>
        <w:t>will be a high priority in 2016</w:t>
      </w:r>
      <w:r>
        <w:rPr>
          <w:rFonts w:eastAsia="Times New Roman"/>
          <w:lang w:val="en-AU"/>
        </w:rPr>
        <w:noBreakHyphen/>
      </w:r>
      <w:r w:rsidRPr="00EA744B">
        <w:rPr>
          <w:rFonts w:eastAsia="Times New Roman"/>
          <w:lang w:val="en-AU"/>
        </w:rPr>
        <w:t>17.</w:t>
      </w:r>
    </w:p>
    <w:p w:rsidR="00505FD5" w:rsidRPr="009B71EC" w:rsidRDefault="00505FD5" w:rsidP="002A51CA">
      <w:pPr>
        <w:spacing w:after="120" w:line="280" w:lineRule="exact"/>
        <w:rPr>
          <w:rFonts w:eastAsia="Times New Roman"/>
        </w:rPr>
      </w:pPr>
    </w:p>
    <w:p w:rsidR="002A51CA" w:rsidRPr="002A51CA" w:rsidRDefault="002A51CA" w:rsidP="002A51CA">
      <w:pPr>
        <w:pStyle w:val="ListBullet"/>
        <w:tabs>
          <w:tab w:val="clear" w:pos="284"/>
        </w:tabs>
        <w:spacing w:before="360"/>
        <w:rPr>
          <w:rFonts w:asciiTheme="majorHAnsi" w:eastAsiaTheme="majorEastAsia" w:hAnsiTheme="majorHAnsi" w:cstheme="majorBidi"/>
          <w:caps/>
          <w:color w:val="495965" w:themeColor="text2"/>
          <w:sz w:val="38"/>
          <w:szCs w:val="26"/>
          <w:lang w:val="en-GB" w:eastAsia="en-US"/>
        </w:rPr>
      </w:pPr>
      <w:r w:rsidRPr="002A51CA">
        <w:rPr>
          <w:rFonts w:asciiTheme="majorHAnsi" w:eastAsiaTheme="majorEastAsia" w:hAnsiTheme="majorHAnsi" w:cstheme="majorBidi"/>
          <w:caps/>
          <w:color w:val="495965" w:themeColor="text2"/>
          <w:sz w:val="38"/>
          <w:szCs w:val="26"/>
          <w:lang w:val="en-GB" w:eastAsia="en-US"/>
        </w:rPr>
        <w:t>Performance Benchmarks</w:t>
      </w:r>
      <w:r w:rsidRPr="002A51CA">
        <w:rPr>
          <w:rFonts w:asciiTheme="majorHAnsi" w:eastAsiaTheme="majorEastAsia" w:hAnsiTheme="majorHAnsi" w:cstheme="majorBidi"/>
          <w:caps/>
          <w:color w:val="495965" w:themeColor="text2"/>
          <w:sz w:val="38"/>
          <w:szCs w:val="26"/>
          <w:lang w:val="en-GB" w:eastAsia="en-US"/>
        </w:rPr>
        <w:tab/>
      </w:r>
    </w:p>
    <w:p w:rsidR="003E3C65" w:rsidRPr="009B71EC" w:rsidRDefault="008B32B6" w:rsidP="003E3C65">
      <w:pPr>
        <w:spacing w:after="120" w:line="280" w:lineRule="exact"/>
        <w:rPr>
          <w:rFonts w:eastAsia="Times New Roman"/>
          <w:lang w:val="en-AU"/>
        </w:rPr>
      </w:pPr>
      <w:r>
        <w:rPr>
          <w:rFonts w:eastAsia="Times New Roman"/>
          <w:lang w:val="en-AU"/>
        </w:rPr>
        <w:t>Six</w:t>
      </w:r>
      <w:r w:rsidR="003E3C65" w:rsidRPr="009B71EC">
        <w:rPr>
          <w:rFonts w:eastAsia="Times New Roman"/>
          <w:lang w:val="en-AU"/>
        </w:rPr>
        <w:t xml:space="preserve"> out of the </w:t>
      </w:r>
      <w:r w:rsidR="0080105E" w:rsidRPr="009B71EC">
        <w:rPr>
          <w:rFonts w:eastAsia="Times New Roman"/>
          <w:lang w:val="en-AU"/>
        </w:rPr>
        <w:t xml:space="preserve">seven performance </w:t>
      </w:r>
      <w:r w:rsidR="003E3C65" w:rsidRPr="009B71EC">
        <w:rPr>
          <w:rFonts w:eastAsia="Times New Roman"/>
          <w:lang w:val="en-AU"/>
        </w:rPr>
        <w:t>ben</w:t>
      </w:r>
      <w:r w:rsidR="0080105E" w:rsidRPr="009B71EC">
        <w:rPr>
          <w:rFonts w:eastAsia="Times New Roman"/>
          <w:lang w:val="en-AU"/>
        </w:rPr>
        <w:t>chmarks set for 20</w:t>
      </w:r>
      <w:r w:rsidR="003E3C65" w:rsidRPr="009B71EC">
        <w:rPr>
          <w:rFonts w:eastAsia="Times New Roman"/>
          <w:lang w:val="en-AU"/>
        </w:rPr>
        <w:t>15</w:t>
      </w:r>
      <w:r w:rsidR="0080105E" w:rsidRPr="009B71EC">
        <w:rPr>
          <w:rFonts w:eastAsia="Times New Roman"/>
          <w:lang w:val="en-AU"/>
        </w:rPr>
        <w:noBreakHyphen/>
        <w:t xml:space="preserve">16 in the </w:t>
      </w:r>
      <w:r w:rsidR="0080105E" w:rsidRPr="0077105F">
        <w:rPr>
          <w:rFonts w:eastAsia="Times New Roman"/>
          <w:lang w:val="en-AU"/>
        </w:rPr>
        <w:t>Aid Investment Plan</w:t>
      </w:r>
      <w:r w:rsidR="0077105F">
        <w:rPr>
          <w:rFonts w:eastAsia="Times New Roman"/>
          <w:lang w:val="en-AU"/>
        </w:rPr>
        <w:t xml:space="preserve"> </w:t>
      </w:r>
      <w:r w:rsidR="0080105E" w:rsidRPr="009B71EC">
        <w:rPr>
          <w:rFonts w:eastAsia="Times New Roman"/>
          <w:lang w:val="en-AU"/>
        </w:rPr>
        <w:t xml:space="preserve">were </w:t>
      </w:r>
      <w:r w:rsidR="003E3C65" w:rsidRPr="009B71EC">
        <w:rPr>
          <w:rFonts w:eastAsia="Times New Roman"/>
          <w:lang w:val="en-AU"/>
        </w:rPr>
        <w:t>fully met (see</w:t>
      </w:r>
      <w:r w:rsidR="00BE0BBD">
        <w:rPr>
          <w:rFonts w:eastAsia="Times New Roman"/>
          <w:lang w:val="en-AU"/>
        </w:rPr>
        <w:t> </w:t>
      </w:r>
      <w:r w:rsidR="003E3C65" w:rsidRPr="009B71EC">
        <w:rPr>
          <w:rFonts w:eastAsia="Times New Roman"/>
          <w:b/>
          <w:lang w:val="en-AU"/>
        </w:rPr>
        <w:t>Annex B</w:t>
      </w:r>
      <w:r w:rsidR="003E3C65" w:rsidRPr="009B71EC">
        <w:rPr>
          <w:rFonts w:eastAsia="Times New Roman"/>
          <w:lang w:val="en-AU"/>
        </w:rPr>
        <w:t xml:space="preserve"> for detail).</w:t>
      </w:r>
    </w:p>
    <w:p w:rsidR="002A51CA" w:rsidRPr="009B71EC" w:rsidRDefault="003E3C65" w:rsidP="002A51CA">
      <w:pPr>
        <w:spacing w:after="120" w:line="280" w:lineRule="exact"/>
        <w:rPr>
          <w:rFonts w:eastAsia="Times New Roman"/>
        </w:rPr>
      </w:pPr>
      <w:r w:rsidRPr="009B71EC">
        <w:rPr>
          <w:rFonts w:eastAsia="Times New Roman"/>
          <w:lang w:val="en-AU"/>
        </w:rPr>
        <w:t xml:space="preserve">Proposed performance benchmarks for future years </w:t>
      </w:r>
      <w:r w:rsidR="00902761">
        <w:rPr>
          <w:rFonts w:eastAsia="Times New Roman"/>
          <w:lang w:val="en-AU"/>
        </w:rPr>
        <w:t>have been included in th</w:t>
      </w:r>
      <w:r w:rsidR="008E43E4">
        <w:rPr>
          <w:rFonts w:eastAsia="Times New Roman"/>
          <w:lang w:val="en-AU"/>
        </w:rPr>
        <w:t xml:space="preserve">is report </w:t>
      </w:r>
      <w:r w:rsidR="00902761">
        <w:rPr>
          <w:rFonts w:eastAsia="Times New Roman"/>
          <w:lang w:val="en-AU"/>
        </w:rPr>
        <w:t xml:space="preserve">and are </w:t>
      </w:r>
      <w:r w:rsidR="0080105E" w:rsidRPr="009B71EC">
        <w:rPr>
          <w:rFonts w:eastAsia="Times New Roman"/>
          <w:lang w:val="en-AU"/>
        </w:rPr>
        <w:t xml:space="preserve">in line with the four strategic objectives </w:t>
      </w:r>
      <w:r w:rsidRPr="009B71EC">
        <w:rPr>
          <w:rFonts w:eastAsia="Times New Roman"/>
          <w:lang w:val="en-AU"/>
        </w:rPr>
        <w:t xml:space="preserve">outlined in the Aid Investment Plan drafted during the reporting period. </w:t>
      </w:r>
      <w:r w:rsidR="0080105E" w:rsidRPr="009B71EC">
        <w:rPr>
          <w:rFonts w:eastAsia="Times New Roman"/>
          <w:lang w:val="en-AU"/>
        </w:rPr>
        <w:t xml:space="preserve"> </w:t>
      </w:r>
      <w:r w:rsidRPr="009B71EC">
        <w:rPr>
          <w:rFonts w:eastAsia="Times New Roman"/>
          <w:lang w:val="en-AU"/>
        </w:rPr>
        <w:t>These will be confirmed through Aid Partnership discussions with Vanuatu during 201</w:t>
      </w:r>
      <w:r w:rsidR="0080105E" w:rsidRPr="009B71EC">
        <w:rPr>
          <w:rFonts w:eastAsia="Times New Roman"/>
          <w:lang w:val="en-AU"/>
        </w:rPr>
        <w:t>6</w:t>
      </w:r>
      <w:r w:rsidRPr="009B71EC">
        <w:rPr>
          <w:rFonts w:eastAsia="Times New Roman"/>
          <w:lang w:val="en-AU"/>
        </w:rPr>
        <w:t>-1</w:t>
      </w:r>
      <w:r w:rsidR="0080105E" w:rsidRPr="009B71EC">
        <w:rPr>
          <w:rFonts w:eastAsia="Times New Roman"/>
          <w:lang w:val="en-AU"/>
        </w:rPr>
        <w:t>7</w:t>
      </w:r>
      <w:r w:rsidRPr="009B71EC">
        <w:rPr>
          <w:rFonts w:eastAsia="Times New Roman"/>
          <w:lang w:val="en-AU"/>
        </w:rPr>
        <w:t xml:space="preserve">. </w:t>
      </w:r>
      <w:r w:rsidR="009D3349">
        <w:rPr>
          <w:rFonts w:eastAsia="Times New Roman"/>
        </w:rPr>
        <w:t xml:space="preserve"> </w:t>
      </w:r>
      <w:r w:rsidR="009D3349" w:rsidRPr="009D3349">
        <w:rPr>
          <w:rFonts w:eastAsia="Times New Roman"/>
        </w:rPr>
        <w:t xml:space="preserve">All investments identified as requiring safeguards (child protection and environmental protection) implemented the relevant policies. </w:t>
      </w:r>
    </w:p>
    <w:p w:rsidR="002A51CA" w:rsidRPr="009B71EC" w:rsidRDefault="002A51CA" w:rsidP="002A51CA">
      <w:pPr>
        <w:spacing w:after="120" w:line="280" w:lineRule="exact"/>
        <w:rPr>
          <w:rFonts w:eastAsia="Times New Roman"/>
        </w:rPr>
      </w:pPr>
    </w:p>
    <w:p w:rsidR="002A51CA" w:rsidRPr="008C2F58" w:rsidRDefault="002A51CA" w:rsidP="009B4E87">
      <w:pPr>
        <w:pStyle w:val="Caption"/>
        <w:keepNext/>
        <w:rPr>
          <w:sz w:val="24"/>
        </w:rPr>
      </w:pPr>
      <w:r w:rsidRPr="008C2F58">
        <w:rPr>
          <w:sz w:val="24"/>
        </w:rPr>
        <w:t xml:space="preserve">Performance Benchmarks 2016-17 to 2018-19 </w:t>
      </w:r>
    </w:p>
    <w:tbl>
      <w:tblPr>
        <w:tblStyle w:val="DFATTable"/>
        <w:tblW w:w="4874" w:type="pct"/>
        <w:tblLook w:val="04A0" w:firstRow="1" w:lastRow="0" w:firstColumn="1" w:lastColumn="0" w:noHBand="0" w:noVBand="1"/>
      </w:tblPr>
      <w:tblGrid>
        <w:gridCol w:w="1527"/>
        <w:gridCol w:w="2357"/>
        <w:gridCol w:w="1910"/>
        <w:gridCol w:w="2123"/>
        <w:gridCol w:w="1689"/>
      </w:tblGrid>
      <w:tr w:rsidR="003B0793" w:rsidTr="003B0793">
        <w:trPr>
          <w:trHeight w:val="331"/>
        </w:trPr>
        <w:tc>
          <w:tcPr>
            <w:tcW w:w="795" w:type="pct"/>
            <w:tcBorders>
              <w:top w:val="single" w:sz="12" w:space="0" w:color="auto"/>
              <w:left w:val="nil"/>
              <w:bottom w:val="nil"/>
              <w:right w:val="nil"/>
            </w:tcBorders>
          </w:tcPr>
          <w:p w:rsidR="003B0793" w:rsidRPr="003B0793" w:rsidRDefault="003B0793" w:rsidP="009B4E87">
            <w:pPr>
              <w:pStyle w:val="TableHeading1"/>
              <w:keepNext/>
              <w:rPr>
                <w:rFonts w:asciiTheme="minorHAnsi" w:hAnsiTheme="minorHAnsi"/>
              </w:rPr>
            </w:pPr>
          </w:p>
        </w:tc>
        <w:tc>
          <w:tcPr>
            <w:tcW w:w="1227" w:type="pct"/>
            <w:tcBorders>
              <w:top w:val="single" w:sz="12" w:space="0" w:color="auto"/>
              <w:left w:val="nil"/>
              <w:bottom w:val="nil"/>
              <w:right w:val="nil"/>
            </w:tcBorders>
          </w:tcPr>
          <w:p w:rsidR="003B0793" w:rsidRPr="003B0793" w:rsidRDefault="003B0793" w:rsidP="009B4E87">
            <w:pPr>
              <w:pStyle w:val="TableHeading1"/>
              <w:keepNext/>
              <w:rPr>
                <w:rFonts w:asciiTheme="minorHAnsi" w:hAnsiTheme="minorHAnsi"/>
              </w:rPr>
            </w:pPr>
          </w:p>
        </w:tc>
        <w:tc>
          <w:tcPr>
            <w:tcW w:w="994" w:type="pct"/>
            <w:tcBorders>
              <w:top w:val="single" w:sz="12" w:space="0" w:color="auto"/>
              <w:left w:val="nil"/>
              <w:bottom w:val="nil"/>
              <w:right w:val="nil"/>
            </w:tcBorders>
            <w:hideMark/>
          </w:tcPr>
          <w:p w:rsidR="003B0793" w:rsidRPr="003B0793" w:rsidRDefault="003B0793" w:rsidP="009B4E87">
            <w:pPr>
              <w:pStyle w:val="TableHeading1"/>
              <w:keepNext/>
              <w:jc w:val="center"/>
              <w:rPr>
                <w:rFonts w:asciiTheme="minorHAnsi" w:hAnsiTheme="minorHAnsi"/>
              </w:rPr>
            </w:pPr>
            <w:r w:rsidRPr="003B0793">
              <w:rPr>
                <w:rFonts w:asciiTheme="minorHAnsi" w:hAnsiTheme="minorHAnsi"/>
              </w:rPr>
              <w:t>2016-17</w:t>
            </w:r>
          </w:p>
        </w:tc>
        <w:tc>
          <w:tcPr>
            <w:tcW w:w="1105" w:type="pct"/>
            <w:tcBorders>
              <w:top w:val="single" w:sz="12" w:space="0" w:color="auto"/>
              <w:left w:val="nil"/>
              <w:bottom w:val="nil"/>
              <w:right w:val="nil"/>
            </w:tcBorders>
            <w:hideMark/>
          </w:tcPr>
          <w:p w:rsidR="003B0793" w:rsidRPr="003B0793" w:rsidRDefault="003B0793" w:rsidP="009B4E87">
            <w:pPr>
              <w:pStyle w:val="TableHeading1"/>
              <w:keepNext/>
              <w:jc w:val="center"/>
              <w:rPr>
                <w:rFonts w:asciiTheme="minorHAnsi" w:hAnsiTheme="minorHAnsi"/>
              </w:rPr>
            </w:pPr>
            <w:r w:rsidRPr="003B0793">
              <w:rPr>
                <w:rFonts w:asciiTheme="minorHAnsi" w:hAnsiTheme="minorHAnsi"/>
              </w:rPr>
              <w:t>2017-18</w:t>
            </w:r>
          </w:p>
        </w:tc>
        <w:tc>
          <w:tcPr>
            <w:tcW w:w="879" w:type="pct"/>
            <w:tcBorders>
              <w:top w:val="single" w:sz="12" w:space="0" w:color="auto"/>
              <w:left w:val="nil"/>
              <w:bottom w:val="nil"/>
              <w:right w:val="nil"/>
            </w:tcBorders>
            <w:hideMark/>
          </w:tcPr>
          <w:p w:rsidR="003B0793" w:rsidRPr="003B0793" w:rsidRDefault="003B0793" w:rsidP="009B4E87">
            <w:pPr>
              <w:pStyle w:val="TableHeading1"/>
              <w:keepNext/>
              <w:ind w:firstLine="32"/>
              <w:jc w:val="center"/>
              <w:rPr>
                <w:rFonts w:asciiTheme="minorHAnsi" w:hAnsiTheme="minorHAnsi"/>
              </w:rPr>
            </w:pPr>
            <w:r w:rsidRPr="003B0793">
              <w:rPr>
                <w:rFonts w:asciiTheme="minorHAnsi" w:hAnsiTheme="minorHAnsi"/>
              </w:rPr>
              <w:t>2018-19</w:t>
            </w:r>
          </w:p>
        </w:tc>
      </w:tr>
    </w:tbl>
    <w:tbl>
      <w:tblPr>
        <w:tblStyle w:val="DFATTable2"/>
        <w:tblW w:w="4875" w:type="pct"/>
        <w:tblLook w:val="04A0" w:firstRow="1" w:lastRow="0" w:firstColumn="1" w:lastColumn="0" w:noHBand="0" w:noVBand="1"/>
      </w:tblPr>
      <w:tblGrid>
        <w:gridCol w:w="1528"/>
        <w:gridCol w:w="2358"/>
        <w:gridCol w:w="1910"/>
        <w:gridCol w:w="2123"/>
        <w:gridCol w:w="1689"/>
      </w:tblGrid>
      <w:tr w:rsidR="00BE0BBD" w:rsidTr="00FC2790">
        <w:trPr>
          <w:gridAfter w:val="3"/>
          <w:wAfter w:w="2978" w:type="pct"/>
          <w:trHeight w:val="425"/>
        </w:trPr>
        <w:tc>
          <w:tcPr>
            <w:tcW w:w="795" w:type="pct"/>
            <w:hideMark/>
          </w:tcPr>
          <w:p w:rsidR="00BE0BBD" w:rsidRPr="003B0793" w:rsidRDefault="00BE0BBD" w:rsidP="00FC2790">
            <w:pPr>
              <w:pStyle w:val="TableHeading1"/>
              <w:rPr>
                <w:rFonts w:asciiTheme="minorHAnsi" w:hAnsiTheme="minorHAnsi"/>
                <w:i/>
                <w:color w:val="808080" w:themeColor="background1" w:themeShade="80"/>
              </w:rPr>
            </w:pPr>
            <w:r w:rsidRPr="003B0793">
              <w:rPr>
                <w:rFonts w:asciiTheme="minorHAnsi" w:hAnsiTheme="minorHAnsi"/>
              </w:rPr>
              <w:t>Aid objective</w:t>
            </w:r>
          </w:p>
        </w:tc>
        <w:tc>
          <w:tcPr>
            <w:tcW w:w="1227" w:type="pct"/>
            <w:hideMark/>
          </w:tcPr>
          <w:p w:rsidR="00BE0BBD" w:rsidRPr="003B0793" w:rsidRDefault="00BE0BBD" w:rsidP="00FC2790">
            <w:pPr>
              <w:pStyle w:val="TableHeading1"/>
              <w:rPr>
                <w:rFonts w:asciiTheme="minorHAnsi" w:hAnsiTheme="minorHAnsi"/>
                <w:i/>
                <w:color w:val="808080" w:themeColor="background1" w:themeShade="80"/>
              </w:rPr>
            </w:pPr>
            <w:r w:rsidRPr="007B7225">
              <w:rPr>
                <w:rFonts w:asciiTheme="minorHAnsi" w:hAnsiTheme="minorHAnsi"/>
              </w:rPr>
              <w:t>Build better infrastructure and an environment for economic opportunity</w:t>
            </w:r>
          </w:p>
        </w:tc>
      </w:tr>
      <w:tr w:rsidR="00BE0BBD" w:rsidRPr="007B7225" w:rsidTr="00FC2790">
        <w:trPr>
          <w:trHeight w:val="510"/>
        </w:trPr>
        <w:tc>
          <w:tcPr>
            <w:tcW w:w="795" w:type="pct"/>
            <w:hideMark/>
          </w:tcPr>
          <w:p w:rsidR="00BE0BBD" w:rsidRPr="007B7225" w:rsidRDefault="00BE0BBD" w:rsidP="00FC2790">
            <w:pPr>
              <w:pStyle w:val="Default"/>
              <w:rPr>
                <w:rFonts w:asciiTheme="minorHAnsi" w:hAnsiTheme="minorHAnsi"/>
                <w:sz w:val="17"/>
                <w:szCs w:val="17"/>
              </w:rPr>
            </w:pPr>
            <w:r w:rsidRPr="007B7225">
              <w:rPr>
                <w:rFonts w:asciiTheme="minorHAnsi" w:hAnsiTheme="minorHAnsi"/>
                <w:sz w:val="17"/>
                <w:szCs w:val="17"/>
              </w:rPr>
              <w:t xml:space="preserve">1.1 </w:t>
            </w:r>
          </w:p>
        </w:tc>
        <w:tc>
          <w:tcPr>
            <w:tcW w:w="1227" w:type="pct"/>
            <w:hideMark/>
          </w:tcPr>
          <w:p w:rsidR="00BE0BBD" w:rsidRPr="007B7225" w:rsidRDefault="00BE0BBD" w:rsidP="00FC2790">
            <w:pPr>
              <w:pStyle w:val="Default"/>
              <w:rPr>
                <w:rFonts w:asciiTheme="minorHAnsi" w:hAnsiTheme="minorHAnsi"/>
                <w:sz w:val="17"/>
                <w:szCs w:val="17"/>
              </w:rPr>
            </w:pPr>
            <w:r>
              <w:rPr>
                <w:rFonts w:asciiTheme="minorHAnsi" w:hAnsiTheme="minorHAnsi"/>
                <w:sz w:val="17"/>
                <w:szCs w:val="17"/>
              </w:rPr>
              <w:t>Kilometres of urban roads resealed / asphalt concreted</w:t>
            </w:r>
            <w:r>
              <w:rPr>
                <w:rStyle w:val="EndnoteReference"/>
                <w:szCs w:val="17"/>
              </w:rPr>
              <w:endnoteReference w:id="9"/>
            </w:r>
          </w:p>
        </w:tc>
        <w:tc>
          <w:tcPr>
            <w:tcW w:w="994" w:type="pct"/>
          </w:tcPr>
          <w:p w:rsidR="00BE0BBD" w:rsidRPr="007B7225" w:rsidRDefault="00BE0BBD" w:rsidP="00FC2790">
            <w:pPr>
              <w:pStyle w:val="Default"/>
              <w:jc w:val="right"/>
              <w:rPr>
                <w:rFonts w:asciiTheme="minorHAnsi" w:hAnsiTheme="minorHAnsi"/>
                <w:sz w:val="17"/>
                <w:szCs w:val="17"/>
              </w:rPr>
            </w:pPr>
            <w:r>
              <w:rPr>
                <w:rFonts w:asciiTheme="minorHAnsi" w:hAnsiTheme="minorHAnsi"/>
                <w:sz w:val="17"/>
                <w:szCs w:val="17"/>
              </w:rPr>
              <w:t>13</w:t>
            </w:r>
          </w:p>
        </w:tc>
        <w:tc>
          <w:tcPr>
            <w:tcW w:w="1105" w:type="pct"/>
          </w:tcPr>
          <w:p w:rsidR="00BE0BBD" w:rsidRPr="007B7225" w:rsidRDefault="00BE0BBD" w:rsidP="00FC2790">
            <w:pPr>
              <w:pStyle w:val="Default"/>
              <w:jc w:val="right"/>
              <w:rPr>
                <w:rFonts w:asciiTheme="minorHAnsi" w:hAnsiTheme="minorHAnsi"/>
                <w:sz w:val="17"/>
                <w:szCs w:val="17"/>
              </w:rPr>
            </w:pPr>
            <w:r>
              <w:rPr>
                <w:rFonts w:asciiTheme="minorHAnsi" w:hAnsiTheme="minorHAnsi"/>
                <w:sz w:val="17"/>
                <w:szCs w:val="17"/>
              </w:rPr>
              <w:t>8</w:t>
            </w:r>
          </w:p>
        </w:tc>
        <w:tc>
          <w:tcPr>
            <w:tcW w:w="879" w:type="pct"/>
          </w:tcPr>
          <w:p w:rsidR="00BE0BBD" w:rsidRPr="007B7225" w:rsidRDefault="00BE0BBD" w:rsidP="00FC2790">
            <w:pPr>
              <w:pStyle w:val="Default"/>
              <w:jc w:val="right"/>
              <w:rPr>
                <w:rFonts w:asciiTheme="minorHAnsi" w:hAnsiTheme="minorHAnsi"/>
                <w:sz w:val="17"/>
                <w:szCs w:val="17"/>
              </w:rPr>
            </w:pPr>
            <w:r>
              <w:rPr>
                <w:rFonts w:asciiTheme="minorHAnsi" w:hAnsiTheme="minorHAnsi"/>
                <w:sz w:val="17"/>
                <w:szCs w:val="17"/>
              </w:rPr>
              <w:t>n/a</w:t>
            </w:r>
          </w:p>
        </w:tc>
      </w:tr>
      <w:tr w:rsidR="00BE0BBD" w:rsidRPr="007B7225" w:rsidTr="00FC2790">
        <w:trPr>
          <w:trHeight w:val="614"/>
        </w:trPr>
        <w:tc>
          <w:tcPr>
            <w:tcW w:w="795" w:type="pct"/>
            <w:hideMark/>
          </w:tcPr>
          <w:p w:rsidR="00BE0BBD" w:rsidRPr="007B7225" w:rsidRDefault="00BE0BBD" w:rsidP="00FC2790">
            <w:pPr>
              <w:pStyle w:val="Default"/>
              <w:rPr>
                <w:rFonts w:asciiTheme="minorHAnsi" w:hAnsiTheme="minorHAnsi"/>
                <w:sz w:val="17"/>
                <w:szCs w:val="17"/>
              </w:rPr>
            </w:pPr>
            <w:r w:rsidRPr="007B7225">
              <w:rPr>
                <w:rFonts w:asciiTheme="minorHAnsi" w:hAnsiTheme="minorHAnsi"/>
                <w:sz w:val="17"/>
                <w:szCs w:val="17"/>
              </w:rPr>
              <w:t xml:space="preserve">1.2 </w:t>
            </w:r>
          </w:p>
        </w:tc>
        <w:tc>
          <w:tcPr>
            <w:tcW w:w="1227" w:type="pct"/>
          </w:tcPr>
          <w:p w:rsidR="00BE0BBD" w:rsidRPr="007B7225" w:rsidRDefault="00BE0BBD" w:rsidP="00FC2790">
            <w:pPr>
              <w:pStyle w:val="Default"/>
              <w:rPr>
                <w:rFonts w:asciiTheme="minorHAnsi" w:hAnsiTheme="minorHAnsi"/>
                <w:sz w:val="17"/>
                <w:szCs w:val="17"/>
              </w:rPr>
            </w:pPr>
            <w:r w:rsidRPr="007B7225">
              <w:rPr>
                <w:rFonts w:asciiTheme="minorHAnsi" w:hAnsiTheme="minorHAnsi"/>
                <w:sz w:val="17"/>
                <w:szCs w:val="17"/>
              </w:rPr>
              <w:t xml:space="preserve">Increase in bank accounts opened in rural areas </w:t>
            </w:r>
          </w:p>
        </w:tc>
        <w:tc>
          <w:tcPr>
            <w:tcW w:w="994" w:type="pct"/>
          </w:tcPr>
          <w:p w:rsidR="00BE0BBD" w:rsidRPr="007B7225" w:rsidRDefault="00BE0BBD" w:rsidP="00FC2790">
            <w:pPr>
              <w:pStyle w:val="Default"/>
              <w:jc w:val="right"/>
              <w:rPr>
                <w:rFonts w:asciiTheme="minorHAnsi" w:hAnsiTheme="minorHAnsi"/>
                <w:sz w:val="17"/>
                <w:szCs w:val="17"/>
              </w:rPr>
            </w:pPr>
            <w:r>
              <w:rPr>
                <w:rFonts w:asciiTheme="minorHAnsi" w:hAnsiTheme="minorHAnsi"/>
                <w:sz w:val="17"/>
                <w:szCs w:val="17"/>
              </w:rPr>
              <w:t>3,000</w:t>
            </w:r>
          </w:p>
        </w:tc>
        <w:tc>
          <w:tcPr>
            <w:tcW w:w="1105" w:type="pct"/>
          </w:tcPr>
          <w:p w:rsidR="00BE0BBD" w:rsidRPr="007B7225" w:rsidRDefault="00BE0BBD" w:rsidP="00FC2790">
            <w:pPr>
              <w:pStyle w:val="Default"/>
              <w:jc w:val="right"/>
              <w:rPr>
                <w:rFonts w:asciiTheme="minorHAnsi" w:hAnsiTheme="minorHAnsi"/>
                <w:sz w:val="17"/>
                <w:szCs w:val="17"/>
              </w:rPr>
            </w:pPr>
            <w:r>
              <w:rPr>
                <w:rFonts w:asciiTheme="minorHAnsi" w:hAnsiTheme="minorHAnsi"/>
                <w:sz w:val="17"/>
                <w:szCs w:val="17"/>
              </w:rPr>
              <w:t>3,000</w:t>
            </w:r>
          </w:p>
        </w:tc>
        <w:tc>
          <w:tcPr>
            <w:tcW w:w="879" w:type="pct"/>
          </w:tcPr>
          <w:p w:rsidR="00BE0BBD" w:rsidRPr="007B7225" w:rsidRDefault="00BE0BBD" w:rsidP="00FC2790">
            <w:pPr>
              <w:pStyle w:val="Default"/>
              <w:jc w:val="right"/>
              <w:rPr>
                <w:rFonts w:asciiTheme="minorHAnsi" w:hAnsiTheme="minorHAnsi"/>
                <w:sz w:val="17"/>
                <w:szCs w:val="17"/>
              </w:rPr>
            </w:pPr>
            <w:r>
              <w:rPr>
                <w:rFonts w:asciiTheme="minorHAnsi" w:hAnsiTheme="minorHAnsi"/>
                <w:sz w:val="17"/>
                <w:szCs w:val="17"/>
              </w:rPr>
              <w:t>3,000</w:t>
            </w:r>
          </w:p>
        </w:tc>
      </w:tr>
      <w:tr w:rsidR="00BE0BBD" w:rsidRPr="007B7225" w:rsidTr="00FC2790">
        <w:trPr>
          <w:trHeight w:val="614"/>
        </w:trPr>
        <w:tc>
          <w:tcPr>
            <w:tcW w:w="795" w:type="pct"/>
          </w:tcPr>
          <w:p w:rsidR="00BE0BBD" w:rsidRPr="007B7225" w:rsidRDefault="00BE0BBD" w:rsidP="00FC2790">
            <w:pPr>
              <w:pStyle w:val="Default"/>
              <w:rPr>
                <w:rFonts w:asciiTheme="minorHAnsi" w:hAnsiTheme="minorHAnsi"/>
                <w:sz w:val="17"/>
                <w:szCs w:val="17"/>
              </w:rPr>
            </w:pPr>
            <w:r w:rsidRPr="007B7225">
              <w:rPr>
                <w:rFonts w:asciiTheme="minorHAnsi" w:hAnsiTheme="minorHAnsi"/>
                <w:sz w:val="17"/>
                <w:szCs w:val="17"/>
              </w:rPr>
              <w:t xml:space="preserve">1.3 </w:t>
            </w:r>
          </w:p>
        </w:tc>
        <w:tc>
          <w:tcPr>
            <w:tcW w:w="1227" w:type="pct"/>
          </w:tcPr>
          <w:p w:rsidR="00BE0BBD" w:rsidRPr="007B7225" w:rsidRDefault="00BE0BBD" w:rsidP="00FC2790">
            <w:pPr>
              <w:pStyle w:val="Default"/>
              <w:rPr>
                <w:rFonts w:asciiTheme="minorHAnsi" w:hAnsiTheme="minorHAnsi"/>
                <w:sz w:val="17"/>
                <w:szCs w:val="17"/>
              </w:rPr>
            </w:pPr>
            <w:r w:rsidRPr="007B7225">
              <w:rPr>
                <w:rFonts w:asciiTheme="minorHAnsi" w:hAnsiTheme="minorHAnsi"/>
                <w:sz w:val="17"/>
                <w:szCs w:val="17"/>
              </w:rPr>
              <w:t xml:space="preserve">Self-employed TVET trainees report higher incomes following training </w:t>
            </w:r>
          </w:p>
        </w:tc>
        <w:tc>
          <w:tcPr>
            <w:tcW w:w="994" w:type="pct"/>
          </w:tcPr>
          <w:p w:rsidR="00BE0BBD" w:rsidRPr="007B7225" w:rsidRDefault="00BE0BBD" w:rsidP="00FC2790">
            <w:pPr>
              <w:pStyle w:val="Default"/>
              <w:jc w:val="right"/>
              <w:rPr>
                <w:rFonts w:asciiTheme="minorHAnsi" w:hAnsiTheme="minorHAnsi"/>
                <w:sz w:val="17"/>
                <w:szCs w:val="17"/>
              </w:rPr>
            </w:pPr>
            <w:r>
              <w:rPr>
                <w:rFonts w:asciiTheme="minorHAnsi" w:hAnsiTheme="minorHAnsi"/>
                <w:sz w:val="17"/>
                <w:szCs w:val="17"/>
              </w:rPr>
              <w:t>80%</w:t>
            </w:r>
          </w:p>
        </w:tc>
        <w:tc>
          <w:tcPr>
            <w:tcW w:w="1105" w:type="pct"/>
          </w:tcPr>
          <w:p w:rsidR="00BE0BBD" w:rsidRPr="007B7225" w:rsidRDefault="00BE0BBD" w:rsidP="00FC2790">
            <w:pPr>
              <w:pStyle w:val="Default"/>
              <w:jc w:val="right"/>
              <w:rPr>
                <w:rFonts w:asciiTheme="minorHAnsi" w:hAnsiTheme="minorHAnsi"/>
                <w:sz w:val="17"/>
                <w:szCs w:val="17"/>
              </w:rPr>
            </w:pPr>
            <w:r>
              <w:rPr>
                <w:rFonts w:asciiTheme="minorHAnsi" w:hAnsiTheme="minorHAnsi"/>
                <w:sz w:val="17"/>
                <w:szCs w:val="17"/>
              </w:rPr>
              <w:t>80%</w:t>
            </w:r>
          </w:p>
        </w:tc>
        <w:tc>
          <w:tcPr>
            <w:tcW w:w="879" w:type="pct"/>
          </w:tcPr>
          <w:p w:rsidR="00BE0BBD" w:rsidRPr="007B7225" w:rsidRDefault="00BE0BBD" w:rsidP="00FC2790">
            <w:pPr>
              <w:pStyle w:val="Default"/>
              <w:jc w:val="right"/>
              <w:rPr>
                <w:rFonts w:asciiTheme="minorHAnsi" w:hAnsiTheme="minorHAnsi"/>
                <w:sz w:val="17"/>
                <w:szCs w:val="17"/>
              </w:rPr>
            </w:pPr>
            <w:r>
              <w:rPr>
                <w:rFonts w:asciiTheme="minorHAnsi" w:hAnsiTheme="minorHAnsi"/>
                <w:sz w:val="17"/>
                <w:szCs w:val="17"/>
              </w:rPr>
              <w:t>80%</w:t>
            </w:r>
          </w:p>
        </w:tc>
      </w:tr>
      <w:tr w:rsidR="00BE0BBD" w:rsidTr="00FC2790">
        <w:trPr>
          <w:gridAfter w:val="3"/>
          <w:wAfter w:w="2978" w:type="pct"/>
          <w:trHeight w:val="425"/>
        </w:trPr>
        <w:tc>
          <w:tcPr>
            <w:tcW w:w="795" w:type="pct"/>
            <w:hideMark/>
          </w:tcPr>
          <w:p w:rsidR="00BE0BBD" w:rsidRPr="003B0793" w:rsidRDefault="00BE0BBD" w:rsidP="00FC2790">
            <w:pPr>
              <w:pStyle w:val="TableHeading1"/>
              <w:rPr>
                <w:rFonts w:asciiTheme="minorHAnsi" w:hAnsiTheme="minorHAnsi"/>
                <w:i/>
                <w:color w:val="808080" w:themeColor="background1" w:themeShade="80"/>
              </w:rPr>
            </w:pPr>
            <w:r w:rsidRPr="003B0793">
              <w:rPr>
                <w:rFonts w:asciiTheme="minorHAnsi" w:hAnsiTheme="minorHAnsi"/>
              </w:rPr>
              <w:t>Aid objective</w:t>
            </w:r>
          </w:p>
        </w:tc>
        <w:tc>
          <w:tcPr>
            <w:tcW w:w="1227" w:type="pct"/>
            <w:hideMark/>
          </w:tcPr>
          <w:p w:rsidR="00BE0BBD" w:rsidRPr="003B0793" w:rsidRDefault="00BE0BBD" w:rsidP="00FC2790">
            <w:pPr>
              <w:pStyle w:val="TableHeading1"/>
              <w:rPr>
                <w:rFonts w:asciiTheme="minorHAnsi" w:hAnsiTheme="minorHAnsi"/>
                <w:i/>
                <w:color w:val="808080" w:themeColor="background1" w:themeShade="80"/>
              </w:rPr>
            </w:pPr>
            <w:r w:rsidRPr="00CA5344">
              <w:rPr>
                <w:rFonts w:asciiTheme="minorHAnsi" w:hAnsiTheme="minorHAnsi"/>
              </w:rPr>
              <w:t>Improve early education and essential health services</w:t>
            </w:r>
          </w:p>
        </w:tc>
      </w:tr>
      <w:tr w:rsidR="00BE0BBD" w:rsidRPr="007B7225" w:rsidTr="00FC2790">
        <w:trPr>
          <w:trHeight w:val="614"/>
        </w:trPr>
        <w:tc>
          <w:tcPr>
            <w:tcW w:w="795" w:type="pct"/>
          </w:tcPr>
          <w:p w:rsidR="00BE0BBD" w:rsidRPr="007B7225" w:rsidRDefault="00BE0BBD" w:rsidP="00FC2790">
            <w:pPr>
              <w:pStyle w:val="Default"/>
              <w:rPr>
                <w:rFonts w:asciiTheme="minorHAnsi" w:hAnsiTheme="minorHAnsi"/>
                <w:sz w:val="17"/>
                <w:szCs w:val="17"/>
              </w:rPr>
            </w:pPr>
            <w:r w:rsidRPr="007B7225">
              <w:rPr>
                <w:rFonts w:asciiTheme="minorHAnsi" w:hAnsiTheme="minorHAnsi"/>
                <w:sz w:val="17"/>
                <w:szCs w:val="17"/>
              </w:rPr>
              <w:t xml:space="preserve">2.1 </w:t>
            </w:r>
          </w:p>
        </w:tc>
        <w:tc>
          <w:tcPr>
            <w:tcW w:w="1227" w:type="pct"/>
          </w:tcPr>
          <w:p w:rsidR="00BE0BBD" w:rsidRPr="007B7225" w:rsidRDefault="00BE0BBD" w:rsidP="00FC2790">
            <w:pPr>
              <w:pStyle w:val="Default"/>
              <w:rPr>
                <w:rFonts w:asciiTheme="minorHAnsi" w:hAnsiTheme="minorHAnsi"/>
                <w:sz w:val="17"/>
                <w:szCs w:val="17"/>
              </w:rPr>
            </w:pPr>
            <w:r w:rsidRPr="007B7225">
              <w:rPr>
                <w:rFonts w:asciiTheme="minorHAnsi" w:hAnsiTheme="minorHAnsi"/>
                <w:sz w:val="17"/>
                <w:szCs w:val="17"/>
              </w:rPr>
              <w:t xml:space="preserve">Increase in literacy and numeracy rates in Year 4 students </w:t>
            </w:r>
          </w:p>
        </w:tc>
        <w:tc>
          <w:tcPr>
            <w:tcW w:w="994" w:type="pct"/>
          </w:tcPr>
          <w:p w:rsidR="00BE0BBD" w:rsidRPr="007B7225" w:rsidRDefault="00CC5FD4" w:rsidP="00FC2790">
            <w:pPr>
              <w:pStyle w:val="Default"/>
              <w:jc w:val="right"/>
              <w:rPr>
                <w:rFonts w:asciiTheme="minorHAnsi" w:hAnsiTheme="minorHAnsi"/>
                <w:sz w:val="17"/>
                <w:szCs w:val="17"/>
              </w:rPr>
            </w:pPr>
            <w:r>
              <w:rPr>
                <w:rFonts w:asciiTheme="minorHAnsi" w:hAnsiTheme="minorHAnsi"/>
                <w:sz w:val="17"/>
                <w:szCs w:val="17"/>
              </w:rPr>
              <w:t>51%</w:t>
            </w:r>
          </w:p>
        </w:tc>
        <w:tc>
          <w:tcPr>
            <w:tcW w:w="1105" w:type="pct"/>
          </w:tcPr>
          <w:p w:rsidR="00BE0BBD" w:rsidRPr="007B7225" w:rsidRDefault="00CC5FD4" w:rsidP="00FC2790">
            <w:pPr>
              <w:pStyle w:val="Default"/>
              <w:jc w:val="right"/>
              <w:rPr>
                <w:rFonts w:asciiTheme="minorHAnsi" w:hAnsiTheme="minorHAnsi"/>
                <w:sz w:val="17"/>
                <w:szCs w:val="17"/>
              </w:rPr>
            </w:pPr>
            <w:r>
              <w:rPr>
                <w:rFonts w:asciiTheme="minorHAnsi" w:hAnsiTheme="minorHAnsi"/>
                <w:sz w:val="17"/>
                <w:szCs w:val="17"/>
              </w:rPr>
              <w:t>51%</w:t>
            </w:r>
          </w:p>
        </w:tc>
        <w:tc>
          <w:tcPr>
            <w:tcW w:w="879" w:type="pct"/>
          </w:tcPr>
          <w:p w:rsidR="00BE0BBD" w:rsidRPr="007B7225" w:rsidRDefault="00CC5FD4" w:rsidP="00FC2790">
            <w:pPr>
              <w:pStyle w:val="Default"/>
              <w:jc w:val="right"/>
              <w:rPr>
                <w:rFonts w:asciiTheme="minorHAnsi" w:hAnsiTheme="minorHAnsi"/>
                <w:sz w:val="17"/>
                <w:szCs w:val="17"/>
              </w:rPr>
            </w:pPr>
            <w:r>
              <w:rPr>
                <w:rFonts w:asciiTheme="minorHAnsi" w:hAnsiTheme="minorHAnsi"/>
                <w:sz w:val="17"/>
                <w:szCs w:val="17"/>
              </w:rPr>
              <w:t>70%</w:t>
            </w:r>
          </w:p>
        </w:tc>
      </w:tr>
      <w:tr w:rsidR="00BE0BBD" w:rsidRPr="007B7225" w:rsidTr="00FC2790">
        <w:trPr>
          <w:trHeight w:val="614"/>
        </w:trPr>
        <w:tc>
          <w:tcPr>
            <w:tcW w:w="795" w:type="pct"/>
          </w:tcPr>
          <w:p w:rsidR="00BE0BBD" w:rsidRPr="007B7225" w:rsidRDefault="00BE0BBD" w:rsidP="00FC2790">
            <w:pPr>
              <w:pStyle w:val="Default"/>
              <w:rPr>
                <w:rFonts w:asciiTheme="minorHAnsi" w:hAnsiTheme="minorHAnsi"/>
                <w:sz w:val="17"/>
                <w:szCs w:val="17"/>
              </w:rPr>
            </w:pPr>
            <w:r w:rsidRPr="007B7225">
              <w:rPr>
                <w:rFonts w:asciiTheme="minorHAnsi" w:hAnsiTheme="minorHAnsi"/>
                <w:sz w:val="17"/>
                <w:szCs w:val="17"/>
              </w:rPr>
              <w:t xml:space="preserve">2.2 </w:t>
            </w:r>
          </w:p>
        </w:tc>
        <w:tc>
          <w:tcPr>
            <w:tcW w:w="1227" w:type="pct"/>
          </w:tcPr>
          <w:p w:rsidR="00BE0BBD" w:rsidRPr="007B7225" w:rsidRDefault="00BE0BBD" w:rsidP="00FC2790">
            <w:pPr>
              <w:pStyle w:val="Default"/>
              <w:rPr>
                <w:rFonts w:asciiTheme="minorHAnsi" w:hAnsiTheme="minorHAnsi"/>
                <w:sz w:val="17"/>
                <w:szCs w:val="17"/>
              </w:rPr>
            </w:pPr>
            <w:r w:rsidRPr="007B7225">
              <w:rPr>
                <w:rFonts w:asciiTheme="minorHAnsi" w:hAnsiTheme="minorHAnsi"/>
                <w:sz w:val="17"/>
                <w:szCs w:val="17"/>
              </w:rPr>
              <w:t xml:space="preserve">Increase in number of fully-immunized children, using routine immunisation systems </w:t>
            </w:r>
          </w:p>
        </w:tc>
        <w:tc>
          <w:tcPr>
            <w:tcW w:w="994" w:type="pct"/>
          </w:tcPr>
          <w:p w:rsidR="00BE0BBD" w:rsidRPr="007B7225" w:rsidRDefault="00BE0BBD" w:rsidP="00FC2790">
            <w:pPr>
              <w:pStyle w:val="Default"/>
              <w:jc w:val="right"/>
              <w:rPr>
                <w:rFonts w:asciiTheme="minorHAnsi" w:hAnsiTheme="minorHAnsi"/>
                <w:sz w:val="17"/>
                <w:szCs w:val="17"/>
              </w:rPr>
            </w:pPr>
            <w:r>
              <w:rPr>
                <w:rFonts w:asciiTheme="minorHAnsi" w:hAnsiTheme="minorHAnsi"/>
                <w:sz w:val="17"/>
                <w:szCs w:val="17"/>
              </w:rPr>
              <w:t>70%</w:t>
            </w:r>
          </w:p>
        </w:tc>
        <w:tc>
          <w:tcPr>
            <w:tcW w:w="1105" w:type="pct"/>
          </w:tcPr>
          <w:p w:rsidR="00BE0BBD" w:rsidRPr="007B7225" w:rsidRDefault="00BE0BBD" w:rsidP="00FC2790">
            <w:pPr>
              <w:pStyle w:val="Default"/>
              <w:jc w:val="right"/>
              <w:rPr>
                <w:rFonts w:asciiTheme="minorHAnsi" w:hAnsiTheme="minorHAnsi"/>
                <w:sz w:val="17"/>
                <w:szCs w:val="17"/>
              </w:rPr>
            </w:pPr>
            <w:r>
              <w:rPr>
                <w:rFonts w:asciiTheme="minorHAnsi" w:hAnsiTheme="minorHAnsi"/>
                <w:sz w:val="17"/>
                <w:szCs w:val="17"/>
              </w:rPr>
              <w:t>75%</w:t>
            </w:r>
          </w:p>
        </w:tc>
        <w:tc>
          <w:tcPr>
            <w:tcW w:w="879" w:type="pct"/>
          </w:tcPr>
          <w:p w:rsidR="00BE0BBD" w:rsidRPr="007B7225" w:rsidRDefault="00BE0BBD" w:rsidP="00FC2790">
            <w:pPr>
              <w:pStyle w:val="Default"/>
              <w:jc w:val="right"/>
              <w:rPr>
                <w:rFonts w:asciiTheme="minorHAnsi" w:hAnsiTheme="minorHAnsi"/>
                <w:sz w:val="17"/>
                <w:szCs w:val="17"/>
              </w:rPr>
            </w:pPr>
            <w:r>
              <w:rPr>
                <w:rFonts w:asciiTheme="minorHAnsi" w:hAnsiTheme="minorHAnsi"/>
                <w:sz w:val="17"/>
                <w:szCs w:val="17"/>
              </w:rPr>
              <w:t>80%</w:t>
            </w:r>
          </w:p>
        </w:tc>
      </w:tr>
      <w:tr w:rsidR="00BE0BBD" w:rsidTr="00FC2790">
        <w:trPr>
          <w:gridAfter w:val="3"/>
          <w:wAfter w:w="2978" w:type="pct"/>
          <w:trHeight w:val="425"/>
        </w:trPr>
        <w:tc>
          <w:tcPr>
            <w:tcW w:w="795" w:type="pct"/>
            <w:hideMark/>
          </w:tcPr>
          <w:p w:rsidR="00BE0BBD" w:rsidRPr="003B0793" w:rsidRDefault="00BE0BBD" w:rsidP="00FC2790">
            <w:pPr>
              <w:pStyle w:val="TableHeading1"/>
              <w:rPr>
                <w:rFonts w:asciiTheme="minorHAnsi" w:hAnsiTheme="minorHAnsi"/>
                <w:i/>
                <w:color w:val="808080" w:themeColor="background1" w:themeShade="80"/>
              </w:rPr>
            </w:pPr>
            <w:r w:rsidRPr="003B0793">
              <w:rPr>
                <w:rFonts w:asciiTheme="minorHAnsi" w:hAnsiTheme="minorHAnsi"/>
              </w:rPr>
              <w:t>Aid objective</w:t>
            </w:r>
          </w:p>
        </w:tc>
        <w:tc>
          <w:tcPr>
            <w:tcW w:w="1227" w:type="pct"/>
            <w:hideMark/>
          </w:tcPr>
          <w:p w:rsidR="00BE0BBD" w:rsidRPr="007B7225" w:rsidRDefault="00BE0BBD" w:rsidP="00FC2790">
            <w:pPr>
              <w:pStyle w:val="TableHeading1"/>
              <w:rPr>
                <w:rFonts w:asciiTheme="minorHAnsi" w:hAnsiTheme="minorHAnsi"/>
              </w:rPr>
            </w:pPr>
            <w:r w:rsidRPr="007B7225">
              <w:rPr>
                <w:rFonts w:asciiTheme="minorHAnsi" w:hAnsiTheme="minorHAnsi"/>
              </w:rPr>
              <w:t xml:space="preserve">Improve community safety and resilience </w:t>
            </w:r>
          </w:p>
        </w:tc>
      </w:tr>
      <w:tr w:rsidR="00BE0BBD" w:rsidRPr="007B7225" w:rsidTr="00FC2790">
        <w:trPr>
          <w:trHeight w:val="614"/>
        </w:trPr>
        <w:tc>
          <w:tcPr>
            <w:tcW w:w="795" w:type="pct"/>
          </w:tcPr>
          <w:p w:rsidR="00BE0BBD" w:rsidRPr="00DA456A" w:rsidRDefault="00BE0BBD" w:rsidP="00FC2790">
            <w:pPr>
              <w:pStyle w:val="Default"/>
              <w:rPr>
                <w:rFonts w:asciiTheme="minorHAnsi" w:hAnsiTheme="minorHAnsi"/>
                <w:sz w:val="17"/>
                <w:szCs w:val="17"/>
              </w:rPr>
            </w:pPr>
            <w:r w:rsidRPr="00DA456A">
              <w:rPr>
                <w:rFonts w:asciiTheme="minorHAnsi" w:hAnsiTheme="minorHAnsi"/>
                <w:sz w:val="17"/>
                <w:szCs w:val="17"/>
              </w:rPr>
              <w:t xml:space="preserve">3.1 </w:t>
            </w:r>
          </w:p>
        </w:tc>
        <w:tc>
          <w:tcPr>
            <w:tcW w:w="1227" w:type="pct"/>
          </w:tcPr>
          <w:p w:rsidR="00BE0BBD" w:rsidRPr="00DA456A" w:rsidRDefault="00BE0BBD" w:rsidP="00FC2790">
            <w:pPr>
              <w:pStyle w:val="Default"/>
              <w:rPr>
                <w:rFonts w:asciiTheme="minorHAnsi" w:hAnsiTheme="minorHAnsi"/>
                <w:sz w:val="17"/>
                <w:szCs w:val="17"/>
              </w:rPr>
            </w:pPr>
            <w:r w:rsidRPr="00DA456A">
              <w:rPr>
                <w:rFonts w:asciiTheme="minorHAnsi" w:hAnsiTheme="minorHAnsi"/>
                <w:sz w:val="17"/>
                <w:szCs w:val="17"/>
              </w:rPr>
              <w:t xml:space="preserve">Increase in number of women survivors of violence provided counselling, support and legal services </w:t>
            </w:r>
          </w:p>
        </w:tc>
        <w:tc>
          <w:tcPr>
            <w:tcW w:w="994" w:type="pct"/>
          </w:tcPr>
          <w:p w:rsidR="00BE0BBD" w:rsidRPr="00DA456A" w:rsidRDefault="00BE0BBD" w:rsidP="00FC2790">
            <w:pPr>
              <w:pStyle w:val="Default"/>
              <w:jc w:val="right"/>
              <w:rPr>
                <w:rFonts w:asciiTheme="minorHAnsi" w:hAnsiTheme="minorHAnsi"/>
                <w:sz w:val="17"/>
                <w:szCs w:val="17"/>
              </w:rPr>
            </w:pPr>
            <w:r w:rsidRPr="00DA456A">
              <w:rPr>
                <w:rFonts w:asciiTheme="minorHAnsi" w:hAnsiTheme="minorHAnsi"/>
                <w:sz w:val="17"/>
                <w:szCs w:val="17"/>
              </w:rPr>
              <w:t>3,</w:t>
            </w:r>
            <w:r>
              <w:rPr>
                <w:rFonts w:asciiTheme="minorHAnsi" w:hAnsiTheme="minorHAnsi"/>
                <w:sz w:val="17"/>
                <w:szCs w:val="17"/>
              </w:rPr>
              <w:t>5</w:t>
            </w:r>
            <w:r w:rsidRPr="00DA456A">
              <w:rPr>
                <w:rFonts w:asciiTheme="minorHAnsi" w:hAnsiTheme="minorHAnsi"/>
                <w:sz w:val="17"/>
                <w:szCs w:val="17"/>
              </w:rPr>
              <w:t xml:space="preserve">00 </w:t>
            </w:r>
          </w:p>
        </w:tc>
        <w:tc>
          <w:tcPr>
            <w:tcW w:w="1105" w:type="pct"/>
          </w:tcPr>
          <w:p w:rsidR="00BE0BBD" w:rsidRPr="007B7225" w:rsidRDefault="00BE0BBD" w:rsidP="00FC2790">
            <w:pPr>
              <w:pStyle w:val="Default"/>
              <w:jc w:val="right"/>
              <w:rPr>
                <w:rFonts w:asciiTheme="minorHAnsi" w:hAnsiTheme="minorHAnsi"/>
                <w:sz w:val="17"/>
                <w:szCs w:val="17"/>
              </w:rPr>
            </w:pPr>
            <w:r>
              <w:rPr>
                <w:rFonts w:asciiTheme="minorHAnsi" w:hAnsiTheme="minorHAnsi"/>
                <w:sz w:val="17"/>
                <w:szCs w:val="17"/>
              </w:rPr>
              <w:t>4,000</w:t>
            </w:r>
          </w:p>
        </w:tc>
        <w:tc>
          <w:tcPr>
            <w:tcW w:w="879" w:type="pct"/>
          </w:tcPr>
          <w:p w:rsidR="00BE0BBD" w:rsidRPr="007B7225" w:rsidRDefault="00BE0BBD" w:rsidP="00FC2790">
            <w:pPr>
              <w:pStyle w:val="Default"/>
              <w:jc w:val="right"/>
              <w:rPr>
                <w:rFonts w:asciiTheme="minorHAnsi" w:hAnsiTheme="minorHAnsi"/>
                <w:sz w:val="17"/>
                <w:szCs w:val="17"/>
              </w:rPr>
            </w:pPr>
            <w:r>
              <w:rPr>
                <w:rFonts w:asciiTheme="minorHAnsi" w:hAnsiTheme="minorHAnsi"/>
                <w:sz w:val="17"/>
                <w:szCs w:val="17"/>
              </w:rPr>
              <w:t>4,000</w:t>
            </w:r>
          </w:p>
        </w:tc>
      </w:tr>
      <w:tr w:rsidR="00BE0BBD" w:rsidTr="00FC2790">
        <w:trPr>
          <w:gridAfter w:val="3"/>
          <w:wAfter w:w="2978" w:type="pct"/>
          <w:trHeight w:val="425"/>
        </w:trPr>
        <w:tc>
          <w:tcPr>
            <w:tcW w:w="795" w:type="pct"/>
            <w:hideMark/>
          </w:tcPr>
          <w:p w:rsidR="00BE0BBD" w:rsidRPr="003B0793" w:rsidRDefault="00BE0BBD" w:rsidP="00FC2790">
            <w:pPr>
              <w:pStyle w:val="TableHeading1"/>
              <w:rPr>
                <w:rFonts w:asciiTheme="minorHAnsi" w:hAnsiTheme="minorHAnsi"/>
                <w:i/>
                <w:color w:val="808080" w:themeColor="background1" w:themeShade="80"/>
              </w:rPr>
            </w:pPr>
            <w:r w:rsidRPr="003B0793">
              <w:rPr>
                <w:rFonts w:asciiTheme="minorHAnsi" w:hAnsiTheme="minorHAnsi"/>
              </w:rPr>
              <w:t>Aid objective</w:t>
            </w:r>
          </w:p>
        </w:tc>
        <w:tc>
          <w:tcPr>
            <w:tcW w:w="1227" w:type="pct"/>
            <w:hideMark/>
          </w:tcPr>
          <w:p w:rsidR="00BE0BBD" w:rsidRPr="007B7225" w:rsidRDefault="00BE0BBD" w:rsidP="00FC2790">
            <w:pPr>
              <w:pStyle w:val="TableHeading1"/>
              <w:rPr>
                <w:rFonts w:asciiTheme="minorHAnsi" w:hAnsiTheme="minorHAnsi"/>
              </w:rPr>
            </w:pPr>
            <w:r w:rsidRPr="00DA456A">
              <w:rPr>
                <w:rFonts w:asciiTheme="minorHAnsi" w:hAnsiTheme="minorHAnsi"/>
              </w:rPr>
              <w:t xml:space="preserve">Support cyclone recovery and reconstruction </w:t>
            </w:r>
          </w:p>
        </w:tc>
      </w:tr>
      <w:tr w:rsidR="00BE0BBD" w:rsidRPr="007B7225" w:rsidTr="00FC2790">
        <w:trPr>
          <w:trHeight w:val="614"/>
        </w:trPr>
        <w:tc>
          <w:tcPr>
            <w:tcW w:w="795" w:type="pct"/>
          </w:tcPr>
          <w:p w:rsidR="00BE0BBD" w:rsidRPr="00DA456A" w:rsidRDefault="00BE0BBD" w:rsidP="00FC2790">
            <w:pPr>
              <w:pStyle w:val="Default"/>
              <w:rPr>
                <w:rFonts w:asciiTheme="minorHAnsi" w:hAnsiTheme="minorHAnsi"/>
                <w:sz w:val="17"/>
                <w:szCs w:val="17"/>
              </w:rPr>
            </w:pPr>
            <w:r w:rsidRPr="00DA456A">
              <w:rPr>
                <w:rFonts w:asciiTheme="minorHAnsi" w:hAnsiTheme="minorHAnsi"/>
                <w:sz w:val="17"/>
                <w:szCs w:val="17"/>
              </w:rPr>
              <w:t xml:space="preserve">4.1 </w:t>
            </w:r>
          </w:p>
        </w:tc>
        <w:tc>
          <w:tcPr>
            <w:tcW w:w="1227" w:type="pct"/>
          </w:tcPr>
          <w:p w:rsidR="00BE0BBD" w:rsidRPr="00DA456A" w:rsidRDefault="00BE0BBD" w:rsidP="00FC2790">
            <w:pPr>
              <w:pStyle w:val="Default"/>
              <w:rPr>
                <w:rFonts w:asciiTheme="minorHAnsi" w:hAnsiTheme="minorHAnsi"/>
                <w:sz w:val="17"/>
                <w:szCs w:val="17"/>
              </w:rPr>
            </w:pPr>
            <w:r w:rsidRPr="00DA456A">
              <w:rPr>
                <w:rFonts w:asciiTheme="minorHAnsi" w:hAnsiTheme="minorHAnsi"/>
                <w:sz w:val="17"/>
                <w:szCs w:val="17"/>
              </w:rPr>
              <w:t xml:space="preserve">Australia’s $35m long-term recovery support is allocated to recovery projects </w:t>
            </w:r>
          </w:p>
        </w:tc>
        <w:tc>
          <w:tcPr>
            <w:tcW w:w="994" w:type="pct"/>
          </w:tcPr>
          <w:p w:rsidR="00BE0BBD" w:rsidRPr="00DA456A" w:rsidRDefault="00BE0BBD" w:rsidP="00FC2790">
            <w:pPr>
              <w:pStyle w:val="Default"/>
              <w:jc w:val="right"/>
              <w:rPr>
                <w:rFonts w:asciiTheme="minorHAnsi" w:hAnsiTheme="minorHAnsi"/>
                <w:sz w:val="17"/>
                <w:szCs w:val="17"/>
              </w:rPr>
            </w:pPr>
            <w:r>
              <w:rPr>
                <w:rFonts w:asciiTheme="minorHAnsi" w:hAnsiTheme="minorHAnsi"/>
                <w:sz w:val="17"/>
                <w:szCs w:val="17"/>
              </w:rPr>
              <w:t>85%</w:t>
            </w:r>
          </w:p>
        </w:tc>
        <w:tc>
          <w:tcPr>
            <w:tcW w:w="1105" w:type="pct"/>
          </w:tcPr>
          <w:p w:rsidR="00BE0BBD" w:rsidRPr="007B7225" w:rsidRDefault="00BE0BBD" w:rsidP="00FC2790">
            <w:pPr>
              <w:pStyle w:val="Default"/>
              <w:jc w:val="right"/>
              <w:rPr>
                <w:rFonts w:asciiTheme="minorHAnsi" w:hAnsiTheme="minorHAnsi"/>
                <w:sz w:val="17"/>
                <w:szCs w:val="17"/>
              </w:rPr>
            </w:pPr>
            <w:r>
              <w:rPr>
                <w:rFonts w:asciiTheme="minorHAnsi" w:hAnsiTheme="minorHAnsi"/>
                <w:sz w:val="17"/>
                <w:szCs w:val="17"/>
              </w:rPr>
              <w:t>100%</w:t>
            </w:r>
          </w:p>
        </w:tc>
        <w:tc>
          <w:tcPr>
            <w:tcW w:w="879" w:type="pct"/>
          </w:tcPr>
          <w:p w:rsidR="00BE0BBD" w:rsidRPr="007B7225" w:rsidRDefault="00BE0BBD" w:rsidP="00FC2790">
            <w:pPr>
              <w:pStyle w:val="Default"/>
              <w:jc w:val="right"/>
              <w:rPr>
                <w:rFonts w:asciiTheme="minorHAnsi" w:hAnsiTheme="minorHAnsi"/>
                <w:sz w:val="17"/>
                <w:szCs w:val="17"/>
              </w:rPr>
            </w:pPr>
            <w:r>
              <w:rPr>
                <w:rFonts w:asciiTheme="minorHAnsi" w:hAnsiTheme="minorHAnsi"/>
                <w:sz w:val="17"/>
                <w:szCs w:val="17"/>
              </w:rPr>
              <w:t>n/a</w:t>
            </w:r>
          </w:p>
        </w:tc>
      </w:tr>
    </w:tbl>
    <w:p w:rsidR="002A51CA" w:rsidRDefault="002A51CA" w:rsidP="002A51CA">
      <w:pPr>
        <w:pStyle w:val="Heading2"/>
      </w:pPr>
      <w:r>
        <w:t>Mutual obligations</w:t>
      </w:r>
    </w:p>
    <w:p w:rsidR="009B4E87" w:rsidRDefault="00CE0F29" w:rsidP="00CE0F29">
      <w:pPr>
        <w:spacing w:after="120" w:line="280" w:lineRule="exact"/>
        <w:rPr>
          <w:rFonts w:eastAsia="Times New Roman"/>
        </w:rPr>
      </w:pPr>
      <w:r w:rsidRPr="00CE0F29">
        <w:rPr>
          <w:rFonts w:eastAsia="Times New Roman"/>
        </w:rPr>
        <w:t>The AIP developed in September 2015 identified a number of suggested mutual obligations for further discussion with the Vanuatu Government, focussing on gender</w:t>
      </w:r>
      <w:r w:rsidR="000C0A56">
        <w:rPr>
          <w:rFonts w:eastAsia="Times New Roman"/>
        </w:rPr>
        <w:t xml:space="preserve"> equality</w:t>
      </w:r>
      <w:r w:rsidRPr="00CE0F29">
        <w:rPr>
          <w:rFonts w:eastAsia="Times New Roman"/>
        </w:rPr>
        <w:t xml:space="preserve">, rural road accessibility, school rationalisation, human resources and cyclone recovery. </w:t>
      </w:r>
      <w:r w:rsidR="008E43E4">
        <w:rPr>
          <w:rFonts w:eastAsia="Times New Roman"/>
        </w:rPr>
        <w:t xml:space="preserve"> </w:t>
      </w:r>
      <w:r w:rsidRPr="00CE0F29">
        <w:rPr>
          <w:rFonts w:eastAsia="Times New Roman"/>
        </w:rPr>
        <w:t>These issues, along with public financial management, infrastructure maintenance and other Vanuatu Government priorities, will inform a discussion to finalise mutual obligations as part of the new Aid Partnership in late 2016.</w:t>
      </w:r>
      <w:r w:rsidR="008E43E4">
        <w:rPr>
          <w:rFonts w:eastAsia="Times New Roman"/>
        </w:rPr>
        <w:t xml:space="preserve">  </w:t>
      </w:r>
    </w:p>
    <w:p w:rsidR="00B053EA" w:rsidRDefault="00B053EA" w:rsidP="00CE0F29">
      <w:pPr>
        <w:spacing w:after="120" w:line="280" w:lineRule="exact"/>
        <w:rPr>
          <w:rFonts w:eastAsia="Times New Roman"/>
        </w:rPr>
      </w:pPr>
      <w:r>
        <w:rPr>
          <w:rFonts w:eastAsia="Times New Roman"/>
        </w:rPr>
        <w:t>DFAT has been in regular contact with Vanuatu Government counterparts on the aid partnership and mutual obligations, but the distractions of the first half of the reporting period have delayed progress by at least six months.  At the time of writing, discussions had commenced.</w:t>
      </w:r>
    </w:p>
    <w:p w:rsidR="00CE0F29" w:rsidRPr="003B0793" w:rsidRDefault="00CE0F29" w:rsidP="002A51CA">
      <w:pPr>
        <w:spacing w:after="120" w:line="280" w:lineRule="exact"/>
        <w:rPr>
          <w:rFonts w:eastAsia="Times New Roman"/>
        </w:rPr>
      </w:pPr>
    </w:p>
    <w:p w:rsidR="002A51CA" w:rsidRPr="002A51CA" w:rsidRDefault="002A51CA" w:rsidP="002A51CA">
      <w:pPr>
        <w:pStyle w:val="Heading2"/>
      </w:pPr>
      <w:r w:rsidRPr="002A51CA">
        <w:t xml:space="preserve">Program Quality and Partner Performance </w:t>
      </w:r>
    </w:p>
    <w:p w:rsidR="00A51081" w:rsidRPr="00A932DE" w:rsidRDefault="00A51081" w:rsidP="00A51081">
      <w:pPr>
        <w:spacing w:after="120" w:line="280" w:lineRule="exact"/>
        <w:rPr>
          <w:rFonts w:eastAsia="Times New Roman"/>
        </w:rPr>
      </w:pPr>
      <w:r w:rsidRPr="00A932DE">
        <w:rPr>
          <w:rFonts w:eastAsia="Times New Roman"/>
        </w:rPr>
        <w:t>The Vanuatu program continues to make effective use of performance information.  Post coordinates regular monitoring that inform program management</w:t>
      </w:r>
      <w:r w:rsidR="00EF4191" w:rsidRPr="00A932DE">
        <w:rPr>
          <w:rFonts w:eastAsia="Times New Roman"/>
        </w:rPr>
        <w:t>, including regular discussions and monitoring of program</w:t>
      </w:r>
      <w:r w:rsidR="00EF4191" w:rsidRPr="00A932DE">
        <w:rPr>
          <w:rFonts w:eastAsia="Times New Roman"/>
        </w:rPr>
        <w:noBreakHyphen/>
        <w:t>level risk registers</w:t>
      </w:r>
      <w:r w:rsidRPr="00A932DE">
        <w:rPr>
          <w:rFonts w:eastAsia="Times New Roman"/>
        </w:rPr>
        <w:t>.  Evaluations and reviews are also being used to improve performance</w:t>
      </w:r>
      <w:r w:rsidR="00B47586">
        <w:rPr>
          <w:rFonts w:eastAsia="Times New Roman"/>
        </w:rPr>
        <w:t xml:space="preserve"> and inform future program planning and re</w:t>
      </w:r>
      <w:r w:rsidR="00B47586">
        <w:rPr>
          <w:rFonts w:eastAsia="Times New Roman"/>
        </w:rPr>
        <w:noBreakHyphen/>
        <w:t>design</w:t>
      </w:r>
      <w:r w:rsidRPr="00A932DE">
        <w:rPr>
          <w:rFonts w:eastAsia="Times New Roman"/>
        </w:rPr>
        <w:t xml:space="preserve">.  </w:t>
      </w:r>
      <w:r w:rsidR="00B47586" w:rsidRPr="00B47586">
        <w:rPr>
          <w:rFonts w:eastAsia="Times New Roman"/>
        </w:rPr>
        <w:t xml:space="preserve">A review of the TVET program considered impact and value for money and findings </w:t>
      </w:r>
      <w:r w:rsidR="00B47586">
        <w:rPr>
          <w:rFonts w:eastAsia="Times New Roman"/>
        </w:rPr>
        <w:t xml:space="preserve">were </w:t>
      </w:r>
      <w:r w:rsidR="00B47586" w:rsidRPr="00B47586">
        <w:rPr>
          <w:rFonts w:eastAsia="Times New Roman"/>
        </w:rPr>
        <w:t>used to inform the upcoming design</w:t>
      </w:r>
      <w:r w:rsidR="00B47586">
        <w:rPr>
          <w:rFonts w:eastAsia="Times New Roman"/>
        </w:rPr>
        <w:t xml:space="preserve"> and </w:t>
      </w:r>
      <w:r w:rsidR="00B47586" w:rsidRPr="00B47586">
        <w:rPr>
          <w:rFonts w:eastAsia="Times New Roman"/>
        </w:rPr>
        <w:t>implement</w:t>
      </w:r>
      <w:r w:rsidR="00B47586">
        <w:rPr>
          <w:rFonts w:eastAsia="Times New Roman"/>
        </w:rPr>
        <w:t>ation</w:t>
      </w:r>
      <w:r w:rsidR="00B47586" w:rsidRPr="00B47586">
        <w:rPr>
          <w:rFonts w:eastAsia="Times New Roman"/>
        </w:rPr>
        <w:t xml:space="preserve"> for TVET Phase 4. </w:t>
      </w:r>
      <w:r w:rsidR="00B47586">
        <w:rPr>
          <w:rFonts w:eastAsia="Times New Roman"/>
        </w:rPr>
        <w:t xml:space="preserve"> </w:t>
      </w:r>
      <w:r w:rsidR="00B47586" w:rsidRPr="00B47586">
        <w:rPr>
          <w:rFonts w:eastAsia="Times New Roman"/>
        </w:rPr>
        <w:t xml:space="preserve">A review </w:t>
      </w:r>
      <w:r w:rsidR="00B47586">
        <w:rPr>
          <w:rFonts w:eastAsia="Times New Roman"/>
        </w:rPr>
        <w:t>of PJSPV</w:t>
      </w:r>
      <w:r w:rsidR="00B47586" w:rsidRPr="00B47586">
        <w:rPr>
          <w:rFonts w:eastAsia="Times New Roman"/>
        </w:rPr>
        <w:t xml:space="preserve"> highlighted that the innovative design was highly relevant and resulted in a design refinement exercise for Australia’s future assistance to policing and justice in Vanuatu. </w:t>
      </w:r>
      <w:r w:rsidR="00B47586">
        <w:rPr>
          <w:rFonts w:eastAsia="Times New Roman"/>
        </w:rPr>
        <w:t xml:space="preserve"> </w:t>
      </w:r>
      <w:r w:rsidR="00B47586" w:rsidRPr="00B47586">
        <w:rPr>
          <w:rFonts w:eastAsia="Times New Roman"/>
        </w:rPr>
        <w:t xml:space="preserve">Reviews for </w:t>
      </w:r>
      <w:r w:rsidR="00B47586">
        <w:rPr>
          <w:rFonts w:eastAsia="Times New Roman"/>
        </w:rPr>
        <w:t>VESP</w:t>
      </w:r>
      <w:r w:rsidR="00B47586" w:rsidRPr="00B47586">
        <w:rPr>
          <w:rFonts w:eastAsia="Times New Roman"/>
        </w:rPr>
        <w:t xml:space="preserve"> and </w:t>
      </w:r>
      <w:r w:rsidR="00B47586">
        <w:rPr>
          <w:rFonts w:eastAsia="Times New Roman"/>
        </w:rPr>
        <w:t>R4D</w:t>
      </w:r>
      <w:r w:rsidR="00B47586" w:rsidRPr="00B47586">
        <w:rPr>
          <w:rFonts w:eastAsia="Times New Roman"/>
        </w:rPr>
        <w:t>, planned for this reporting period, will be carried out in 2016-17</w:t>
      </w:r>
      <w:r w:rsidR="00B47586">
        <w:rPr>
          <w:rFonts w:eastAsia="Times New Roman"/>
        </w:rPr>
        <w:t xml:space="preserve">.  </w:t>
      </w:r>
      <w:r w:rsidRPr="00A932DE">
        <w:rPr>
          <w:rFonts w:eastAsia="Times New Roman"/>
          <w:b/>
        </w:rPr>
        <w:t>Annex C</w:t>
      </w:r>
      <w:r w:rsidRPr="00A932DE">
        <w:rPr>
          <w:rFonts w:eastAsia="Times New Roman"/>
        </w:rPr>
        <w:t xml:space="preserve"> lists evaluations completed during the reporting period and planned</w:t>
      </w:r>
      <w:r w:rsidR="00960C1B">
        <w:rPr>
          <w:rFonts w:eastAsia="Times New Roman"/>
        </w:rPr>
        <w:t xml:space="preserve"> for the next 12</w:t>
      </w:r>
      <w:r w:rsidR="00960C1B">
        <w:rPr>
          <w:rFonts w:eastAsia="Times New Roman"/>
        </w:rPr>
        <w:noBreakHyphen/>
        <w:t>months</w:t>
      </w:r>
      <w:r w:rsidRPr="00A932DE">
        <w:rPr>
          <w:rFonts w:eastAsia="Times New Roman"/>
        </w:rPr>
        <w:t>.</w:t>
      </w:r>
    </w:p>
    <w:p w:rsidR="00A51081" w:rsidRPr="00A932DE" w:rsidRDefault="00F87AE9" w:rsidP="00A51081">
      <w:pPr>
        <w:spacing w:after="120" w:line="280" w:lineRule="exact"/>
        <w:rPr>
          <w:rFonts w:eastAsia="Times New Roman"/>
        </w:rPr>
      </w:pPr>
      <w:r w:rsidRPr="00A932DE">
        <w:rPr>
          <w:rFonts w:eastAsia="Times New Roman"/>
        </w:rPr>
        <w:t>The</w:t>
      </w:r>
      <w:r w:rsidR="00A51081" w:rsidRPr="00A932DE">
        <w:rPr>
          <w:rFonts w:eastAsia="Times New Roman"/>
        </w:rPr>
        <w:t xml:space="preserve"> ANAO performance audit of the Australian aid program in Vanuatu during 2014-15</w:t>
      </w:r>
      <w:r w:rsidR="00CD5FEF">
        <w:rPr>
          <w:rFonts w:eastAsia="Times New Roman"/>
        </w:rPr>
        <w:t xml:space="preserve">, </w:t>
      </w:r>
      <w:r w:rsidR="00A51081" w:rsidRPr="00A932DE">
        <w:rPr>
          <w:rFonts w:eastAsia="Times New Roman"/>
        </w:rPr>
        <w:t>tabled in Parliament on 5 June 2015</w:t>
      </w:r>
      <w:r w:rsidR="00CD5FEF">
        <w:rPr>
          <w:rFonts w:eastAsia="Times New Roman"/>
        </w:rPr>
        <w:t xml:space="preserve">, </w:t>
      </w:r>
      <w:r w:rsidR="00A51081" w:rsidRPr="00A932DE">
        <w:rPr>
          <w:rFonts w:eastAsia="Times New Roman"/>
        </w:rPr>
        <w:t xml:space="preserve">found that the program was generally effective and met Australian and Vanuatu Government priorities. The ANAO made two recommendations on documenting risk and monitoring and evaluation planning. </w:t>
      </w:r>
      <w:r w:rsidR="00CD5FEF">
        <w:rPr>
          <w:rFonts w:eastAsia="Times New Roman"/>
        </w:rPr>
        <w:t xml:space="preserve"> </w:t>
      </w:r>
      <w:r w:rsidR="00A51081" w:rsidRPr="00A932DE">
        <w:rPr>
          <w:rFonts w:eastAsia="Times New Roman"/>
        </w:rPr>
        <w:t xml:space="preserve">DFAT agreed to </w:t>
      </w:r>
      <w:r w:rsidR="00C4296D">
        <w:rPr>
          <w:rFonts w:eastAsia="Times New Roman"/>
        </w:rPr>
        <w:t xml:space="preserve">and implemented </w:t>
      </w:r>
      <w:r w:rsidR="00A51081" w:rsidRPr="00A932DE">
        <w:rPr>
          <w:rFonts w:eastAsia="Times New Roman"/>
        </w:rPr>
        <w:t>both recommendations.</w:t>
      </w:r>
    </w:p>
    <w:p w:rsidR="00A51081" w:rsidRPr="00A932DE" w:rsidRDefault="00A51081" w:rsidP="00A51081">
      <w:pPr>
        <w:spacing w:after="120" w:line="280" w:lineRule="exact"/>
        <w:rPr>
          <w:rFonts w:eastAsia="Times New Roman"/>
        </w:rPr>
      </w:pPr>
      <w:r w:rsidRPr="00A932DE">
        <w:rPr>
          <w:rFonts w:eastAsia="Times New Roman"/>
        </w:rPr>
        <w:t xml:space="preserve">The AIP and </w:t>
      </w:r>
      <w:r w:rsidR="00B11B2E" w:rsidRPr="00A932DE">
        <w:rPr>
          <w:rFonts w:eastAsia="Times New Roman"/>
        </w:rPr>
        <w:t xml:space="preserve">a new </w:t>
      </w:r>
      <w:r w:rsidRPr="00A932DE">
        <w:rPr>
          <w:rFonts w:eastAsia="Times New Roman"/>
        </w:rPr>
        <w:t xml:space="preserve">Aid Partnership will support further consolidation of the program. </w:t>
      </w:r>
      <w:r w:rsidR="00960C1B">
        <w:rPr>
          <w:rFonts w:eastAsia="Times New Roman"/>
        </w:rPr>
        <w:t xml:space="preserve"> </w:t>
      </w:r>
      <w:r w:rsidRPr="00A932DE">
        <w:rPr>
          <w:rFonts w:eastAsia="Times New Roman"/>
        </w:rPr>
        <w:t>The AIP consolidate</w:t>
      </w:r>
      <w:r w:rsidR="00960C1B">
        <w:rPr>
          <w:rFonts w:eastAsia="Times New Roman"/>
        </w:rPr>
        <w:t>s</w:t>
      </w:r>
      <w:r w:rsidRPr="00A932DE">
        <w:rPr>
          <w:rFonts w:eastAsia="Times New Roman"/>
        </w:rPr>
        <w:t xml:space="preserve"> the program within four weighted strategic pillars to ensure that Australian assistance is best meeting development objectives agreed with the Vanuatu Government.</w:t>
      </w:r>
    </w:p>
    <w:p w:rsidR="00A932DE" w:rsidRPr="00A932DE" w:rsidRDefault="00A932DE" w:rsidP="00A51081">
      <w:pPr>
        <w:spacing w:after="120" w:line="280" w:lineRule="exact"/>
        <w:rPr>
          <w:rFonts w:eastAsia="Times New Roman"/>
        </w:rPr>
      </w:pPr>
    </w:p>
    <w:p w:rsidR="00973EF2" w:rsidRPr="00973EF2" w:rsidRDefault="002A51CA" w:rsidP="00973EF2">
      <w:pPr>
        <w:pStyle w:val="Heading2"/>
      </w:pPr>
      <w:r w:rsidRPr="002A51CA">
        <w:t>Analysis of Aid Quality Checks (AQCs)</w:t>
      </w:r>
    </w:p>
    <w:p w:rsidR="00EA744B" w:rsidRPr="00EA744B" w:rsidRDefault="00EA744B" w:rsidP="00EA744B">
      <w:pPr>
        <w:spacing w:after="120" w:line="280" w:lineRule="exact"/>
        <w:rPr>
          <w:rFonts w:eastAsia="Times New Roman"/>
          <w:lang w:val="en-AU"/>
        </w:rPr>
      </w:pPr>
      <w:r w:rsidRPr="00EA744B">
        <w:rPr>
          <w:rFonts w:eastAsia="Times New Roman"/>
          <w:lang w:val="en-AU"/>
        </w:rPr>
        <w:t xml:space="preserve">Most programs continue to have high </w:t>
      </w:r>
      <w:r w:rsidRPr="00EA744B">
        <w:rPr>
          <w:rFonts w:eastAsia="Times New Roman"/>
          <w:b/>
          <w:lang w:val="en-AU"/>
        </w:rPr>
        <w:t>relevance</w:t>
      </w:r>
      <w:r w:rsidRPr="00EA744B">
        <w:rPr>
          <w:rFonts w:eastAsia="Times New Roman"/>
          <w:lang w:val="en-AU"/>
        </w:rPr>
        <w:t xml:space="preserve"> scores.  The only exception to this is the Vanuatu Land Program, which concluded in 2015.  Infrastructure programs (PVUDP and </w:t>
      </w:r>
      <w:r w:rsidR="008114F1">
        <w:rPr>
          <w:rFonts w:eastAsia="Times New Roman"/>
          <w:lang w:val="en-AU"/>
        </w:rPr>
        <w:t>R4D</w:t>
      </w:r>
      <w:r w:rsidRPr="00EA744B">
        <w:rPr>
          <w:rFonts w:eastAsia="Times New Roman"/>
          <w:lang w:val="en-AU"/>
        </w:rPr>
        <w:t xml:space="preserve">) implemented management responses in 2015 to improve </w:t>
      </w:r>
      <w:r w:rsidRPr="00EA744B">
        <w:rPr>
          <w:rFonts w:eastAsia="Times New Roman"/>
          <w:b/>
          <w:lang w:val="en-AU"/>
        </w:rPr>
        <w:t>effectiveness</w:t>
      </w:r>
      <w:r w:rsidRPr="00EA744B">
        <w:rPr>
          <w:rFonts w:eastAsia="Times New Roman"/>
          <w:lang w:val="en-AU"/>
        </w:rPr>
        <w:t xml:space="preserve"> and 92 per cent of all programs were rated as satisfactory or above for this criterion, exceeding DFAT’s target of 85 per cent (only the Vanuatu Land Program, which has now concluded, was rated as unsatisfactory). </w:t>
      </w:r>
      <w:r w:rsidR="001C3C0A">
        <w:rPr>
          <w:rFonts w:eastAsia="Times New Roman"/>
          <w:lang w:val="en-AU"/>
        </w:rPr>
        <w:t xml:space="preserve"> </w:t>
      </w:r>
      <w:r w:rsidRPr="00EA744B">
        <w:rPr>
          <w:rFonts w:eastAsia="Times New Roman"/>
          <w:lang w:val="en-AU"/>
        </w:rPr>
        <w:t xml:space="preserve">DFAT’s target of 85 per cent for </w:t>
      </w:r>
      <w:r w:rsidRPr="00EA744B">
        <w:rPr>
          <w:rFonts w:eastAsia="Times New Roman"/>
          <w:b/>
          <w:lang w:val="en-AU"/>
        </w:rPr>
        <w:t>efficiency</w:t>
      </w:r>
      <w:r w:rsidRPr="00EA744B">
        <w:rPr>
          <w:rFonts w:eastAsia="Times New Roman"/>
          <w:lang w:val="en-AU"/>
        </w:rPr>
        <w:t xml:space="preserve"> was almost met (83</w:t>
      </w:r>
      <w:r w:rsidR="009D605C">
        <w:rPr>
          <w:rFonts w:eastAsia="Times New Roman"/>
          <w:lang w:val="en-AU"/>
        </w:rPr>
        <w:t> </w:t>
      </w:r>
      <w:r w:rsidRPr="00EA744B">
        <w:rPr>
          <w:rFonts w:eastAsia="Times New Roman"/>
          <w:lang w:val="en-AU"/>
        </w:rPr>
        <w:t xml:space="preserve">per cent), with significantly improved processes for Australia Awards Scholarships bringing this program to a satisfactory rating, </w:t>
      </w:r>
      <w:r w:rsidR="001C3C0A">
        <w:rPr>
          <w:rFonts w:eastAsia="Times New Roman"/>
          <w:lang w:val="en-AU"/>
        </w:rPr>
        <w:t>while</w:t>
      </w:r>
      <w:r w:rsidRPr="00EA744B">
        <w:rPr>
          <w:rFonts w:eastAsia="Times New Roman"/>
          <w:lang w:val="en-AU"/>
        </w:rPr>
        <w:t xml:space="preserve"> the Vanuatu Land Program (now concluded) and PVUDP were rated as unsatisfactory for this criterion. With ongoing close monitoring and management oversight to ensure that improvements continue for PVUDP, we expect that the target for efficiency will be met next year.</w:t>
      </w:r>
    </w:p>
    <w:p w:rsidR="003F35F4" w:rsidRPr="003F35F4" w:rsidRDefault="003F35F4" w:rsidP="003F35F4">
      <w:pPr>
        <w:spacing w:after="120" w:line="280" w:lineRule="exact"/>
        <w:rPr>
          <w:rFonts w:eastAsia="Times New Roman"/>
          <w:lang w:val="en-AU"/>
        </w:rPr>
      </w:pPr>
      <w:r w:rsidRPr="003F35F4">
        <w:rPr>
          <w:rFonts w:eastAsia="Times New Roman"/>
          <w:lang w:val="en-AU"/>
        </w:rPr>
        <w:t xml:space="preserve">Programs generally have accurate data on activities, inputs and outputs and </w:t>
      </w:r>
      <w:r w:rsidRPr="003F35F4">
        <w:rPr>
          <w:rFonts w:eastAsia="Times New Roman"/>
          <w:b/>
          <w:lang w:val="en-AU"/>
        </w:rPr>
        <w:t>monitoring and evaluation</w:t>
      </w:r>
      <w:r w:rsidRPr="003F35F4">
        <w:rPr>
          <w:rFonts w:eastAsia="Times New Roman"/>
          <w:lang w:val="en-AU"/>
        </w:rPr>
        <w:t xml:space="preserve"> scores improved slightly, however the </w:t>
      </w:r>
      <w:r w:rsidRPr="00AD1670">
        <w:rPr>
          <w:rFonts w:eastAsia="Times New Roman"/>
          <w:i/>
          <w:lang w:val="en-AU"/>
        </w:rPr>
        <w:t>Vanuatu Land Program</w:t>
      </w:r>
      <w:r w:rsidRPr="003F35F4">
        <w:rPr>
          <w:rFonts w:eastAsia="Times New Roman"/>
          <w:lang w:val="en-AU"/>
        </w:rPr>
        <w:t xml:space="preserve">, </w:t>
      </w:r>
      <w:r w:rsidRPr="00AD1670">
        <w:rPr>
          <w:rFonts w:eastAsia="Times New Roman"/>
          <w:i/>
          <w:lang w:val="en-AU"/>
        </w:rPr>
        <w:t>Health Program</w:t>
      </w:r>
      <w:r w:rsidRPr="003F35F4">
        <w:rPr>
          <w:rFonts w:eastAsia="Times New Roman"/>
          <w:lang w:val="en-AU"/>
        </w:rPr>
        <w:t xml:space="preserve"> and </w:t>
      </w:r>
      <w:r w:rsidRPr="00AD1670">
        <w:rPr>
          <w:rFonts w:eastAsia="Times New Roman"/>
          <w:i/>
          <w:lang w:val="en-AU"/>
        </w:rPr>
        <w:t xml:space="preserve">Australia Awards Scholarships Programs </w:t>
      </w:r>
      <w:r w:rsidRPr="003F35F4">
        <w:rPr>
          <w:rFonts w:eastAsia="Times New Roman"/>
          <w:lang w:val="en-AU"/>
        </w:rPr>
        <w:t>maintained unsatisfactory ratings for monitoring and evaluation.</w:t>
      </w:r>
    </w:p>
    <w:p w:rsidR="003F35F4" w:rsidRPr="003F35F4" w:rsidRDefault="003F35F4" w:rsidP="003F35F4">
      <w:pPr>
        <w:spacing w:after="120" w:line="280" w:lineRule="exact"/>
        <w:rPr>
          <w:rFonts w:eastAsia="Times New Roman"/>
          <w:lang w:val="en-AU"/>
        </w:rPr>
      </w:pPr>
      <w:r w:rsidRPr="003F35F4">
        <w:rPr>
          <w:rFonts w:eastAsia="Times New Roman"/>
          <w:lang w:val="en-AU"/>
        </w:rPr>
        <w:t xml:space="preserve">There were notable improvements to </w:t>
      </w:r>
      <w:r w:rsidRPr="003F35F4">
        <w:rPr>
          <w:rFonts w:eastAsia="Times New Roman"/>
          <w:b/>
          <w:lang w:val="en-AU"/>
        </w:rPr>
        <w:t>sustainability</w:t>
      </w:r>
      <w:r w:rsidRPr="003F35F4">
        <w:rPr>
          <w:rFonts w:eastAsia="Times New Roman"/>
          <w:lang w:val="en-AU"/>
        </w:rPr>
        <w:t xml:space="preserve"> scores for </w:t>
      </w:r>
      <w:r w:rsidRPr="00960C1B">
        <w:rPr>
          <w:rFonts w:eastAsia="Times New Roman"/>
          <w:i/>
          <w:lang w:val="en-AU"/>
        </w:rPr>
        <w:t>R4D, VESP</w:t>
      </w:r>
      <w:r w:rsidRPr="003F35F4">
        <w:rPr>
          <w:rFonts w:eastAsia="Times New Roman"/>
          <w:lang w:val="en-AU"/>
        </w:rPr>
        <w:t xml:space="preserve"> and </w:t>
      </w:r>
      <w:r w:rsidRPr="00960C1B">
        <w:rPr>
          <w:rFonts w:eastAsia="Times New Roman"/>
          <w:i/>
          <w:lang w:val="en-AU"/>
        </w:rPr>
        <w:t>Pacific Women</w:t>
      </w:r>
      <w:r w:rsidRPr="003F35F4">
        <w:rPr>
          <w:rFonts w:eastAsia="Times New Roman"/>
          <w:lang w:val="en-AU"/>
        </w:rPr>
        <w:t>, due to program refinements, trialling new practices and increased Vanuatu Government ownership and engagement in some areas.</w:t>
      </w:r>
    </w:p>
    <w:p w:rsidR="003F35F4" w:rsidRPr="003F35F4" w:rsidRDefault="003F35F4" w:rsidP="003F35F4">
      <w:pPr>
        <w:spacing w:after="120" w:line="280" w:lineRule="exact"/>
        <w:rPr>
          <w:rFonts w:eastAsia="Times New Roman"/>
          <w:lang w:val="en-AU"/>
        </w:rPr>
      </w:pPr>
      <w:r w:rsidRPr="003F35F4">
        <w:rPr>
          <w:rFonts w:eastAsia="Times New Roman"/>
          <w:lang w:val="en-AU"/>
        </w:rPr>
        <w:t xml:space="preserve">Although 83 per cent of programs were rated as performing satisfactory or above on </w:t>
      </w:r>
      <w:r w:rsidRPr="003F35F4">
        <w:rPr>
          <w:rFonts w:eastAsia="Times New Roman"/>
          <w:b/>
          <w:lang w:val="en-AU"/>
        </w:rPr>
        <w:t>gender equality</w:t>
      </w:r>
      <w:r w:rsidRPr="003F35F4">
        <w:rPr>
          <w:rFonts w:eastAsia="Times New Roman"/>
          <w:lang w:val="en-AU"/>
        </w:rPr>
        <w:t xml:space="preserve"> (exceeding DFAT’s target of 80 per cent, and an improvement from 73 per cent of programs in the previous year), a number of management responses are being implemented to continue to improve gender equality outcomes including gender analysis, new tactics to improve women’s participation rates in activities, close monitoring and improved reporting on gender equality and improved stakeholder engagement.</w:t>
      </w:r>
    </w:p>
    <w:p w:rsidR="003F35F4" w:rsidRPr="003F35F4" w:rsidRDefault="003F35F4" w:rsidP="003F35F4">
      <w:pPr>
        <w:spacing w:after="120" w:line="280" w:lineRule="exact"/>
        <w:rPr>
          <w:rFonts w:eastAsia="Times New Roman"/>
          <w:lang w:val="en-AU"/>
        </w:rPr>
      </w:pPr>
      <w:r w:rsidRPr="003F35F4">
        <w:rPr>
          <w:rFonts w:eastAsia="Times New Roman"/>
          <w:b/>
          <w:lang w:val="en-AU"/>
        </w:rPr>
        <w:t>Risk</w:t>
      </w:r>
      <w:r w:rsidRPr="003F35F4">
        <w:rPr>
          <w:rFonts w:eastAsia="Times New Roman"/>
          <w:lang w:val="en-AU"/>
        </w:rPr>
        <w:t xml:space="preserve"> is managed well, and documentation of risk management has improved in response to the ANAO’s findings, with a discussion of risk a standing agenda item at fortnightly Aid Team Meetings.</w:t>
      </w:r>
    </w:p>
    <w:p w:rsidR="00E62D18" w:rsidRDefault="00E62D18" w:rsidP="00A51081">
      <w:pPr>
        <w:spacing w:after="120" w:line="280" w:lineRule="exact"/>
        <w:rPr>
          <w:rFonts w:eastAsia="Times New Roman"/>
        </w:rPr>
      </w:pPr>
      <w:r>
        <w:rPr>
          <w:rFonts w:eastAsia="Times New Roman"/>
        </w:rPr>
        <w:t>The AQC for Tropical Cyclone Pam Recovery was rated as adequate across all indicators, despite program delays and the challenging delivery modality for long</w:t>
      </w:r>
      <w:r>
        <w:rPr>
          <w:rFonts w:eastAsia="Times New Roman"/>
        </w:rPr>
        <w:noBreakHyphen/>
        <w:t xml:space="preserve">term recovery programming that </w:t>
      </w:r>
      <w:r w:rsidR="006759A7">
        <w:rPr>
          <w:rFonts w:eastAsia="Times New Roman"/>
        </w:rPr>
        <w:t>has</w:t>
      </w:r>
      <w:r>
        <w:rPr>
          <w:rFonts w:eastAsia="Times New Roman"/>
        </w:rPr>
        <w:t xml:space="preserve"> undermine</w:t>
      </w:r>
      <w:r w:rsidR="006759A7">
        <w:rPr>
          <w:rFonts w:eastAsia="Times New Roman"/>
        </w:rPr>
        <w:t>d</w:t>
      </w:r>
      <w:r>
        <w:rPr>
          <w:rFonts w:eastAsia="Times New Roman"/>
        </w:rPr>
        <w:t xml:space="preserve"> program efficiency and effectiveness.  Overall program ratings have been </w:t>
      </w:r>
      <w:r w:rsidR="006759A7">
        <w:rPr>
          <w:rFonts w:eastAsia="Times New Roman"/>
        </w:rPr>
        <w:t>balanced by</w:t>
      </w:r>
      <w:r>
        <w:rPr>
          <w:rFonts w:eastAsia="Times New Roman"/>
        </w:rPr>
        <w:t xml:space="preserve"> good early recovery performance</w:t>
      </w:r>
      <w:r w:rsidR="006759A7">
        <w:rPr>
          <w:rFonts w:eastAsia="Times New Roman"/>
        </w:rPr>
        <w:t>, highlighting the difficulties of applying standard AQC template ratings to this program.</w:t>
      </w:r>
    </w:p>
    <w:p w:rsidR="002A51CA" w:rsidRPr="003B0793" w:rsidRDefault="002A51CA" w:rsidP="002A51CA">
      <w:pPr>
        <w:spacing w:after="120" w:line="280" w:lineRule="exact"/>
        <w:rPr>
          <w:rFonts w:eastAsia="Times New Roman"/>
        </w:rPr>
      </w:pPr>
      <w:r w:rsidRPr="009B5BF2">
        <w:rPr>
          <w:rFonts w:eastAsia="Times New Roman"/>
        </w:rPr>
        <w:t xml:space="preserve">A table of AQC ratings </w:t>
      </w:r>
      <w:r w:rsidR="00960C1B">
        <w:rPr>
          <w:rFonts w:eastAsia="Times New Roman"/>
        </w:rPr>
        <w:t>is</w:t>
      </w:r>
      <w:r w:rsidRPr="009B5BF2">
        <w:rPr>
          <w:rFonts w:eastAsia="Times New Roman"/>
        </w:rPr>
        <w:t xml:space="preserve"> included in </w:t>
      </w:r>
      <w:r w:rsidRPr="009B5BF2">
        <w:rPr>
          <w:rFonts w:eastAsia="Times New Roman"/>
          <w:b/>
        </w:rPr>
        <w:t>Annex D</w:t>
      </w:r>
      <w:r w:rsidRPr="009B5BF2">
        <w:rPr>
          <w:rFonts w:eastAsia="Times New Roman"/>
        </w:rPr>
        <w:t>.</w:t>
      </w:r>
    </w:p>
    <w:p w:rsidR="002A51CA" w:rsidRDefault="002A51CA" w:rsidP="002A51CA">
      <w:pPr>
        <w:pStyle w:val="Heading2"/>
      </w:pPr>
    </w:p>
    <w:p w:rsidR="002A51CA" w:rsidRPr="002A51CA" w:rsidRDefault="002A51CA" w:rsidP="002A51CA">
      <w:pPr>
        <w:pStyle w:val="Heading2"/>
      </w:pPr>
      <w:r w:rsidRPr="002A51CA">
        <w:t>Performance of key delivery partners</w:t>
      </w:r>
    </w:p>
    <w:p w:rsidR="00726AAE" w:rsidRDefault="00726AAE" w:rsidP="00726AAE">
      <w:r>
        <w:t>The Vanuatu program works through</w:t>
      </w:r>
      <w:r w:rsidR="00960C1B">
        <w:t xml:space="preserve"> many modalities, including</w:t>
      </w:r>
      <w:r>
        <w:t xml:space="preserve"> government systems (e.g. in health and education), through managing contractors (e.g. in law and justice, TVET, education and infrastructure) and through civil society partners (e.g. in health and governance).  </w:t>
      </w:r>
      <w:r w:rsidR="00C308CF">
        <w:t>Ten</w:t>
      </w:r>
      <w:r>
        <w:t xml:space="preserve"> partner performance assessments were completed during the reporting period.</w:t>
      </w:r>
    </w:p>
    <w:p w:rsidR="00726AAE" w:rsidRDefault="00726AAE" w:rsidP="00726AAE">
      <w:r>
        <w:t xml:space="preserve">In terms of program size, the ADB, which is delivering PVUDP, is our major implementing partner. </w:t>
      </w:r>
      <w:r w:rsidR="008114F1">
        <w:t xml:space="preserve"> </w:t>
      </w:r>
      <w:r>
        <w:t xml:space="preserve">PVUDP </w:t>
      </w:r>
      <w:r w:rsidR="005F351B">
        <w:t xml:space="preserve">has overcome some </w:t>
      </w:r>
      <w:r>
        <w:t>performance shortfalls</w:t>
      </w:r>
      <w:r w:rsidR="005F351B">
        <w:t xml:space="preserve"> that were </w:t>
      </w:r>
      <w:r>
        <w:t xml:space="preserve">highlighted in </w:t>
      </w:r>
      <w:r w:rsidR="005F351B">
        <w:t>a</w:t>
      </w:r>
      <w:r>
        <w:t xml:space="preserve"> </w:t>
      </w:r>
      <w:r w:rsidR="005F351B">
        <w:t xml:space="preserve">recent </w:t>
      </w:r>
      <w:r>
        <w:t xml:space="preserve">ANAO audit. </w:t>
      </w:r>
      <w:r w:rsidR="008114F1">
        <w:t xml:space="preserve"> </w:t>
      </w:r>
      <w:r>
        <w:t>DFAT will continue to work closely with the ADB and Vanuatu Government</w:t>
      </w:r>
      <w:r w:rsidR="005F351B">
        <w:t xml:space="preserve"> to ensure </w:t>
      </w:r>
      <w:r w:rsidR="008114F1">
        <w:t xml:space="preserve">that </w:t>
      </w:r>
      <w:r w:rsidR="005F351B">
        <w:t>performance continues to improve</w:t>
      </w:r>
      <w:r>
        <w:t>.</w:t>
      </w:r>
      <w:r w:rsidR="008114F1">
        <w:t xml:space="preserve"> </w:t>
      </w:r>
      <w:r>
        <w:t xml:space="preserve"> The ADB has also committed to take a number of steps to address performance issues.</w:t>
      </w:r>
    </w:p>
    <w:p w:rsidR="002A51CA" w:rsidRDefault="002A51CA" w:rsidP="002A51CA">
      <w:pPr>
        <w:spacing w:after="120" w:line="280" w:lineRule="exact"/>
        <w:rPr>
          <w:rFonts w:ascii="Franklin Gothic Book" w:eastAsia="Times New Roman" w:hAnsi="Franklin Gothic Book"/>
          <w:sz w:val="21"/>
        </w:rPr>
      </w:pPr>
    </w:p>
    <w:p w:rsidR="002A51CA" w:rsidRPr="002A51CA" w:rsidRDefault="002A51CA" w:rsidP="002A51CA">
      <w:pPr>
        <w:pStyle w:val="Heading2"/>
      </w:pPr>
      <w:r w:rsidRPr="002A51CA">
        <w:t>Risks</w:t>
      </w:r>
    </w:p>
    <w:p w:rsidR="002A51CA" w:rsidRPr="008C2F58" w:rsidRDefault="002A51CA" w:rsidP="002A51CA">
      <w:pPr>
        <w:rPr>
          <w:b/>
          <w:sz w:val="24"/>
        </w:rPr>
      </w:pPr>
      <w:r w:rsidRPr="008C2F58">
        <w:rPr>
          <w:b/>
          <w:sz w:val="24"/>
        </w:rPr>
        <w:t>Table 3 Management of Key Risks to Achieving Objectives</w:t>
      </w:r>
    </w:p>
    <w:tbl>
      <w:tblPr>
        <w:tblStyle w:val="APPR"/>
        <w:tblW w:w="5000" w:type="pct"/>
        <w:tblLook w:val="0600" w:firstRow="0" w:lastRow="0" w:firstColumn="0" w:lastColumn="0" w:noHBand="1" w:noVBand="1"/>
      </w:tblPr>
      <w:tblGrid>
        <w:gridCol w:w="2312"/>
        <w:gridCol w:w="2572"/>
        <w:gridCol w:w="2632"/>
        <w:gridCol w:w="2394"/>
      </w:tblGrid>
      <w:tr w:rsidR="002A51CA" w:rsidRPr="00C61187" w:rsidTr="002A51CA">
        <w:tc>
          <w:tcPr>
            <w:tcW w:w="2270" w:type="dxa"/>
            <w:hideMark/>
          </w:tcPr>
          <w:p w:rsidR="002A51CA" w:rsidRPr="003B0793" w:rsidRDefault="002A51CA"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Key risks</w:t>
            </w:r>
          </w:p>
        </w:tc>
        <w:tc>
          <w:tcPr>
            <w:tcW w:w="2544" w:type="dxa"/>
          </w:tcPr>
          <w:p w:rsidR="002A51CA" w:rsidRPr="003B0793" w:rsidRDefault="002A51CA"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What actions were taken to manage the risks over the past year?</w:t>
            </w:r>
          </w:p>
        </w:tc>
        <w:tc>
          <w:tcPr>
            <w:tcW w:w="2604" w:type="dxa"/>
          </w:tcPr>
          <w:p w:rsidR="002A51CA" w:rsidRPr="003B0793" w:rsidRDefault="002A51CA"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What further actions will be taken to manage the risks in the coming year?</w:t>
            </w:r>
          </w:p>
        </w:tc>
        <w:tc>
          <w:tcPr>
            <w:tcW w:w="2352" w:type="dxa"/>
          </w:tcPr>
          <w:p w:rsidR="002A51CA" w:rsidRPr="003B0793" w:rsidRDefault="002A51CA"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For emerging/ongoing risks provide a Risk Rating (low, medium, high, very high)</w:t>
            </w:r>
          </w:p>
        </w:tc>
      </w:tr>
      <w:tr w:rsidR="000C0A56" w:rsidRPr="003B0793" w:rsidTr="007D17E7">
        <w:tc>
          <w:tcPr>
            <w:tcW w:w="2270" w:type="dxa"/>
          </w:tcPr>
          <w:p w:rsidR="000C0A56" w:rsidRPr="00076D25" w:rsidRDefault="000C0A56" w:rsidP="000C0A56">
            <w:pPr>
              <w:tabs>
                <w:tab w:val="left" w:pos="0"/>
                <w:tab w:val="left" w:pos="284"/>
              </w:tabs>
              <w:rPr>
                <w:rFonts w:asciiTheme="minorHAnsi" w:eastAsia="Times New Roman" w:hAnsiTheme="minorHAnsi"/>
                <w:sz w:val="16"/>
                <w:szCs w:val="16"/>
              </w:rPr>
            </w:pPr>
            <w:r>
              <w:rPr>
                <w:rFonts w:asciiTheme="minorHAnsi" w:eastAsia="Times New Roman" w:hAnsiTheme="minorHAnsi"/>
                <w:sz w:val="16"/>
                <w:szCs w:val="16"/>
              </w:rPr>
              <w:t>Political instability leads to changes in policy direction and key stakeholders, resulting in diminished understanding and sustainability of the Australian aid program.</w:t>
            </w:r>
          </w:p>
        </w:tc>
        <w:tc>
          <w:tcPr>
            <w:tcW w:w="2544" w:type="dxa"/>
          </w:tcPr>
          <w:p w:rsidR="000C0A56" w:rsidRPr="000C0A56" w:rsidRDefault="000C0A56" w:rsidP="000C0A56">
            <w:pPr>
              <w:keepLines/>
              <w:rPr>
                <w:rFonts w:asciiTheme="minorHAnsi" w:eastAsia="Times New Roman" w:hAnsiTheme="minorHAnsi"/>
                <w:sz w:val="16"/>
                <w:szCs w:val="16"/>
              </w:rPr>
            </w:pPr>
            <w:r w:rsidRPr="000C0A56">
              <w:rPr>
                <w:rFonts w:asciiTheme="minorHAnsi" w:eastAsia="Times New Roman" w:hAnsiTheme="minorHAnsi"/>
                <w:sz w:val="16"/>
                <w:szCs w:val="16"/>
              </w:rPr>
              <w:t>• Strong engagement with central agencies for oversight of policies and expenditure</w:t>
            </w:r>
            <w:r w:rsidR="00960C1B">
              <w:rPr>
                <w:rFonts w:asciiTheme="minorHAnsi" w:eastAsia="Times New Roman" w:hAnsiTheme="minorHAnsi"/>
                <w:sz w:val="16"/>
                <w:szCs w:val="16"/>
              </w:rPr>
              <w:t>.</w:t>
            </w:r>
          </w:p>
          <w:p w:rsidR="000C0A56" w:rsidRPr="000C0A56" w:rsidRDefault="000C0A56" w:rsidP="000C0A56">
            <w:pPr>
              <w:keepLines/>
              <w:rPr>
                <w:rFonts w:asciiTheme="minorHAnsi" w:eastAsia="Times New Roman" w:hAnsiTheme="minorHAnsi"/>
                <w:sz w:val="16"/>
                <w:szCs w:val="16"/>
              </w:rPr>
            </w:pPr>
            <w:r w:rsidRPr="000C0A56">
              <w:rPr>
                <w:rFonts w:asciiTheme="minorHAnsi" w:eastAsia="Times New Roman" w:hAnsiTheme="minorHAnsi"/>
                <w:sz w:val="16"/>
                <w:szCs w:val="16"/>
              </w:rPr>
              <w:t>• Regular dialogue with relevant senior officials</w:t>
            </w:r>
            <w:r w:rsidR="00960C1B">
              <w:rPr>
                <w:rFonts w:asciiTheme="minorHAnsi" w:eastAsia="Times New Roman" w:hAnsiTheme="minorHAnsi"/>
                <w:sz w:val="16"/>
                <w:szCs w:val="16"/>
              </w:rPr>
              <w:t>.</w:t>
            </w:r>
          </w:p>
          <w:p w:rsidR="000C0A56" w:rsidRPr="000C0A56" w:rsidRDefault="000C0A56" w:rsidP="000C0A56">
            <w:pPr>
              <w:keepLines/>
              <w:rPr>
                <w:rFonts w:asciiTheme="minorHAnsi" w:eastAsia="Times New Roman" w:hAnsiTheme="minorHAnsi"/>
                <w:sz w:val="16"/>
                <w:szCs w:val="16"/>
              </w:rPr>
            </w:pPr>
            <w:r w:rsidRPr="000C0A56">
              <w:rPr>
                <w:rFonts w:asciiTheme="minorHAnsi" w:eastAsia="Times New Roman" w:hAnsiTheme="minorHAnsi"/>
                <w:sz w:val="16"/>
                <w:szCs w:val="16"/>
              </w:rPr>
              <w:t>• Work to agreed priorities and work plans.</w:t>
            </w:r>
          </w:p>
        </w:tc>
        <w:tc>
          <w:tcPr>
            <w:tcW w:w="2604" w:type="dxa"/>
          </w:tcPr>
          <w:p w:rsidR="000C0A56" w:rsidRPr="000C0A56" w:rsidRDefault="000C0A56" w:rsidP="009B4E87">
            <w:pPr>
              <w:keepLines/>
              <w:rPr>
                <w:rFonts w:asciiTheme="minorHAnsi" w:eastAsia="Times New Roman" w:hAnsiTheme="minorHAnsi"/>
                <w:sz w:val="16"/>
                <w:szCs w:val="16"/>
              </w:rPr>
            </w:pPr>
            <w:r w:rsidRPr="000C0A56">
              <w:rPr>
                <w:rFonts w:asciiTheme="minorHAnsi" w:eastAsia="Times New Roman" w:hAnsiTheme="minorHAnsi"/>
                <w:sz w:val="16"/>
                <w:szCs w:val="16"/>
              </w:rPr>
              <w:t>Ongoing open dialogue with the Vanuatu</w:t>
            </w:r>
            <w:r w:rsidR="009B4E87">
              <w:rPr>
                <w:rFonts w:asciiTheme="minorHAnsi" w:eastAsia="Times New Roman" w:hAnsiTheme="minorHAnsi"/>
                <w:sz w:val="16"/>
                <w:szCs w:val="16"/>
              </w:rPr>
              <w:t xml:space="preserve"> Government</w:t>
            </w:r>
            <w:r w:rsidRPr="000C0A56">
              <w:rPr>
                <w:rFonts w:asciiTheme="minorHAnsi" w:eastAsia="Times New Roman" w:hAnsiTheme="minorHAnsi"/>
                <w:sz w:val="16"/>
                <w:szCs w:val="16"/>
              </w:rPr>
              <w:t>.</w:t>
            </w:r>
          </w:p>
        </w:tc>
        <w:tc>
          <w:tcPr>
            <w:tcW w:w="2352" w:type="dxa"/>
          </w:tcPr>
          <w:p w:rsidR="000C0A56" w:rsidRPr="000C0A56" w:rsidRDefault="000C0A56" w:rsidP="000C0A56">
            <w:pPr>
              <w:keepLines/>
              <w:rPr>
                <w:rFonts w:asciiTheme="minorHAnsi" w:eastAsia="Times New Roman" w:hAnsiTheme="minorHAnsi"/>
                <w:b/>
                <w:sz w:val="16"/>
                <w:szCs w:val="16"/>
              </w:rPr>
            </w:pPr>
            <w:r w:rsidRPr="000C0A56">
              <w:rPr>
                <w:rFonts w:asciiTheme="minorHAnsi" w:eastAsia="Times New Roman" w:hAnsiTheme="minorHAnsi"/>
                <w:b/>
                <w:sz w:val="16"/>
                <w:szCs w:val="16"/>
              </w:rPr>
              <w:t>High</w:t>
            </w:r>
          </w:p>
        </w:tc>
      </w:tr>
      <w:tr w:rsidR="000C0A56" w:rsidRPr="003B0793" w:rsidTr="007D17E7">
        <w:tc>
          <w:tcPr>
            <w:tcW w:w="2270" w:type="dxa"/>
          </w:tcPr>
          <w:p w:rsidR="000C0A56" w:rsidRPr="00076D25" w:rsidRDefault="000C0A56" w:rsidP="000C0A56">
            <w:pPr>
              <w:tabs>
                <w:tab w:val="left" w:pos="0"/>
                <w:tab w:val="left" w:pos="284"/>
              </w:tabs>
              <w:rPr>
                <w:rFonts w:asciiTheme="minorHAnsi" w:eastAsia="Times New Roman" w:hAnsiTheme="minorHAnsi"/>
                <w:sz w:val="16"/>
                <w:szCs w:val="16"/>
              </w:rPr>
            </w:pPr>
            <w:r>
              <w:rPr>
                <w:rFonts w:asciiTheme="minorHAnsi" w:eastAsia="Times New Roman" w:hAnsiTheme="minorHAnsi"/>
                <w:sz w:val="16"/>
                <w:szCs w:val="16"/>
              </w:rPr>
              <w:t>Poor planning and human resource management impacts negatively on effectiveness, efficiency and sustainability of programs.</w:t>
            </w:r>
          </w:p>
        </w:tc>
        <w:tc>
          <w:tcPr>
            <w:tcW w:w="2544" w:type="dxa"/>
          </w:tcPr>
          <w:p w:rsidR="000C0A56" w:rsidRPr="000C0A56" w:rsidRDefault="000C0A56" w:rsidP="000C0A56">
            <w:pPr>
              <w:keepLines/>
              <w:rPr>
                <w:rFonts w:asciiTheme="minorHAnsi" w:eastAsia="Times New Roman" w:hAnsiTheme="minorHAnsi"/>
                <w:sz w:val="16"/>
                <w:szCs w:val="16"/>
              </w:rPr>
            </w:pPr>
            <w:r w:rsidRPr="000C0A56">
              <w:rPr>
                <w:rFonts w:asciiTheme="minorHAnsi" w:eastAsia="Times New Roman" w:hAnsiTheme="minorHAnsi"/>
                <w:sz w:val="16"/>
                <w:szCs w:val="16"/>
              </w:rPr>
              <w:t>• Recruit HR and Capacity Development advisers where appropriate</w:t>
            </w:r>
            <w:r w:rsidR="00960C1B">
              <w:rPr>
                <w:rFonts w:asciiTheme="minorHAnsi" w:eastAsia="Times New Roman" w:hAnsiTheme="minorHAnsi"/>
                <w:sz w:val="16"/>
                <w:szCs w:val="16"/>
              </w:rPr>
              <w:t>.</w:t>
            </w:r>
          </w:p>
          <w:p w:rsidR="000C0A56" w:rsidRPr="000C0A56" w:rsidRDefault="000C0A56" w:rsidP="000C0A56">
            <w:pPr>
              <w:keepLines/>
              <w:rPr>
                <w:rFonts w:asciiTheme="minorHAnsi" w:eastAsia="Times New Roman" w:hAnsiTheme="minorHAnsi"/>
                <w:sz w:val="16"/>
                <w:szCs w:val="16"/>
              </w:rPr>
            </w:pPr>
            <w:r w:rsidRPr="000C0A56">
              <w:rPr>
                <w:rFonts w:asciiTheme="minorHAnsi" w:eastAsia="Times New Roman" w:hAnsiTheme="minorHAnsi"/>
                <w:sz w:val="16"/>
                <w:szCs w:val="16"/>
              </w:rPr>
              <w:t>• Strong engagement and policy dialogue with relevant officials</w:t>
            </w:r>
            <w:r w:rsidR="00960C1B">
              <w:rPr>
                <w:rFonts w:asciiTheme="minorHAnsi" w:eastAsia="Times New Roman" w:hAnsiTheme="minorHAnsi"/>
                <w:sz w:val="16"/>
                <w:szCs w:val="16"/>
              </w:rPr>
              <w:t>.</w:t>
            </w:r>
          </w:p>
          <w:p w:rsidR="000C0A56" w:rsidRPr="000C0A56" w:rsidRDefault="000C0A56" w:rsidP="000C0A56">
            <w:pPr>
              <w:keepLines/>
              <w:rPr>
                <w:rFonts w:asciiTheme="minorHAnsi" w:eastAsia="Times New Roman" w:hAnsiTheme="minorHAnsi"/>
                <w:sz w:val="16"/>
                <w:szCs w:val="16"/>
              </w:rPr>
            </w:pPr>
            <w:r w:rsidRPr="000C0A56">
              <w:rPr>
                <w:rFonts w:asciiTheme="minorHAnsi" w:eastAsia="Times New Roman" w:hAnsiTheme="minorHAnsi"/>
                <w:sz w:val="16"/>
                <w:szCs w:val="16"/>
              </w:rPr>
              <w:t>• Dialogue with development partners</w:t>
            </w:r>
            <w:r w:rsidR="00960C1B">
              <w:rPr>
                <w:rFonts w:asciiTheme="minorHAnsi" w:eastAsia="Times New Roman" w:hAnsiTheme="minorHAnsi"/>
                <w:sz w:val="16"/>
                <w:szCs w:val="16"/>
              </w:rPr>
              <w:t>.</w:t>
            </w:r>
          </w:p>
          <w:p w:rsidR="000C0A56" w:rsidRPr="000C0A56" w:rsidRDefault="000C0A56" w:rsidP="000C0A56">
            <w:pPr>
              <w:keepLines/>
              <w:rPr>
                <w:rFonts w:asciiTheme="minorHAnsi" w:eastAsia="Times New Roman" w:hAnsiTheme="minorHAnsi"/>
                <w:sz w:val="16"/>
                <w:szCs w:val="16"/>
              </w:rPr>
            </w:pPr>
            <w:r w:rsidRPr="000C0A56">
              <w:rPr>
                <w:rFonts w:asciiTheme="minorHAnsi" w:eastAsia="Times New Roman" w:hAnsiTheme="minorHAnsi"/>
                <w:sz w:val="16"/>
                <w:szCs w:val="16"/>
              </w:rPr>
              <w:t>• Coordinate efforts and messaging with GfG</w:t>
            </w:r>
            <w:r w:rsidR="00960C1B">
              <w:rPr>
                <w:rFonts w:asciiTheme="minorHAnsi" w:eastAsia="Times New Roman" w:hAnsiTheme="minorHAnsi"/>
                <w:sz w:val="16"/>
                <w:szCs w:val="16"/>
              </w:rPr>
              <w:t>.</w:t>
            </w:r>
          </w:p>
          <w:p w:rsidR="000C0A56" w:rsidRPr="000C0A56" w:rsidRDefault="000C0A56" w:rsidP="000C0A56">
            <w:pPr>
              <w:keepLines/>
              <w:rPr>
                <w:rFonts w:asciiTheme="minorHAnsi" w:eastAsia="Times New Roman" w:hAnsiTheme="minorHAnsi"/>
                <w:sz w:val="16"/>
                <w:szCs w:val="16"/>
              </w:rPr>
            </w:pPr>
            <w:r w:rsidRPr="000C0A56">
              <w:rPr>
                <w:rFonts w:asciiTheme="minorHAnsi" w:eastAsia="Times New Roman" w:hAnsiTheme="minorHAnsi"/>
                <w:sz w:val="16"/>
                <w:szCs w:val="16"/>
              </w:rPr>
              <w:t>• Ongoing dialogue with PMO / MFEM / PSC on HR management.</w:t>
            </w:r>
          </w:p>
        </w:tc>
        <w:tc>
          <w:tcPr>
            <w:tcW w:w="2604" w:type="dxa"/>
          </w:tcPr>
          <w:p w:rsidR="000C0A56" w:rsidRPr="000C0A56" w:rsidRDefault="000C0A56" w:rsidP="000C0A56">
            <w:pPr>
              <w:keepLines/>
              <w:rPr>
                <w:rFonts w:asciiTheme="minorHAnsi" w:eastAsia="Times New Roman" w:hAnsiTheme="minorHAnsi"/>
                <w:sz w:val="16"/>
                <w:szCs w:val="16"/>
              </w:rPr>
            </w:pPr>
            <w:r w:rsidRPr="000C0A56">
              <w:rPr>
                <w:rFonts w:asciiTheme="minorHAnsi" w:eastAsia="Times New Roman" w:hAnsiTheme="minorHAnsi"/>
                <w:sz w:val="16"/>
                <w:szCs w:val="16"/>
              </w:rPr>
              <w:t>Ongoing engagement with key stakeholders, such as PMO / MFEM / PSC on human resource management</w:t>
            </w:r>
            <w:r w:rsidR="00960C1B">
              <w:rPr>
                <w:rFonts w:asciiTheme="minorHAnsi" w:eastAsia="Times New Roman" w:hAnsiTheme="minorHAnsi"/>
                <w:sz w:val="16"/>
                <w:szCs w:val="16"/>
              </w:rPr>
              <w:t>.</w:t>
            </w:r>
          </w:p>
        </w:tc>
        <w:tc>
          <w:tcPr>
            <w:tcW w:w="2352" w:type="dxa"/>
          </w:tcPr>
          <w:p w:rsidR="000C0A56" w:rsidRPr="000C0A56" w:rsidRDefault="000C0A56" w:rsidP="000C0A56">
            <w:pPr>
              <w:keepLines/>
              <w:rPr>
                <w:rFonts w:asciiTheme="minorHAnsi" w:eastAsia="Times New Roman" w:hAnsiTheme="minorHAnsi"/>
                <w:b/>
                <w:sz w:val="16"/>
                <w:szCs w:val="16"/>
              </w:rPr>
            </w:pPr>
            <w:r w:rsidRPr="000C0A56">
              <w:rPr>
                <w:rFonts w:asciiTheme="minorHAnsi" w:eastAsia="Times New Roman" w:hAnsiTheme="minorHAnsi"/>
                <w:b/>
                <w:sz w:val="16"/>
                <w:szCs w:val="16"/>
              </w:rPr>
              <w:t>High</w:t>
            </w:r>
          </w:p>
        </w:tc>
      </w:tr>
      <w:tr w:rsidR="000C0A56" w:rsidRPr="003B0793" w:rsidTr="007D17E7">
        <w:tc>
          <w:tcPr>
            <w:tcW w:w="2270" w:type="dxa"/>
          </w:tcPr>
          <w:p w:rsidR="000C0A56" w:rsidRPr="00076D25" w:rsidRDefault="000C0A56" w:rsidP="000C0A56">
            <w:pPr>
              <w:tabs>
                <w:tab w:val="left" w:pos="0"/>
                <w:tab w:val="left" w:pos="284"/>
              </w:tabs>
              <w:rPr>
                <w:rFonts w:asciiTheme="minorHAnsi" w:eastAsia="Times New Roman" w:hAnsiTheme="minorHAnsi"/>
                <w:sz w:val="16"/>
                <w:szCs w:val="16"/>
              </w:rPr>
            </w:pPr>
            <w:r>
              <w:rPr>
                <w:rFonts w:asciiTheme="minorHAnsi" w:eastAsia="Times New Roman" w:hAnsiTheme="minorHAnsi"/>
                <w:sz w:val="16"/>
                <w:szCs w:val="16"/>
              </w:rPr>
              <w:t>Weak partner government financial systems and fraudulent use of program resources.</w:t>
            </w:r>
          </w:p>
        </w:tc>
        <w:tc>
          <w:tcPr>
            <w:tcW w:w="2544" w:type="dxa"/>
          </w:tcPr>
          <w:p w:rsidR="000C0A56" w:rsidRPr="000C0A56" w:rsidRDefault="000C0A56" w:rsidP="000C0A56">
            <w:pPr>
              <w:keepLines/>
              <w:rPr>
                <w:rFonts w:asciiTheme="minorHAnsi" w:eastAsia="Times New Roman" w:hAnsiTheme="minorHAnsi"/>
                <w:sz w:val="16"/>
                <w:szCs w:val="16"/>
              </w:rPr>
            </w:pPr>
            <w:r w:rsidRPr="000C0A56">
              <w:rPr>
                <w:rFonts w:asciiTheme="minorHAnsi" w:eastAsia="Times New Roman" w:hAnsiTheme="minorHAnsi"/>
                <w:sz w:val="16"/>
                <w:szCs w:val="16"/>
              </w:rPr>
              <w:t>• Work through managing contractors and advisers where appropriate to manage and monitor funds and processes</w:t>
            </w:r>
          </w:p>
          <w:p w:rsidR="000C0A56" w:rsidRPr="000C0A56" w:rsidRDefault="000C0A56" w:rsidP="000C0A56">
            <w:pPr>
              <w:keepLines/>
              <w:rPr>
                <w:rFonts w:asciiTheme="minorHAnsi" w:eastAsia="Times New Roman" w:hAnsiTheme="minorHAnsi"/>
                <w:sz w:val="16"/>
                <w:szCs w:val="16"/>
              </w:rPr>
            </w:pPr>
            <w:r w:rsidRPr="000C0A56">
              <w:rPr>
                <w:rFonts w:asciiTheme="minorHAnsi" w:eastAsia="Times New Roman" w:hAnsiTheme="minorHAnsi"/>
                <w:sz w:val="16"/>
                <w:szCs w:val="16"/>
              </w:rPr>
              <w:t>• Funds delivered in tranches as appropriate</w:t>
            </w:r>
            <w:r w:rsidR="00960C1B">
              <w:rPr>
                <w:rFonts w:asciiTheme="minorHAnsi" w:eastAsia="Times New Roman" w:hAnsiTheme="minorHAnsi"/>
                <w:sz w:val="16"/>
                <w:szCs w:val="16"/>
              </w:rPr>
              <w:t>.</w:t>
            </w:r>
          </w:p>
          <w:p w:rsidR="000C0A56" w:rsidRPr="000C0A56" w:rsidRDefault="000C0A56" w:rsidP="000C0A56">
            <w:pPr>
              <w:keepLines/>
              <w:rPr>
                <w:rFonts w:asciiTheme="minorHAnsi" w:eastAsia="Times New Roman" w:hAnsiTheme="minorHAnsi"/>
                <w:sz w:val="16"/>
                <w:szCs w:val="16"/>
              </w:rPr>
            </w:pPr>
            <w:r w:rsidRPr="000C0A56">
              <w:rPr>
                <w:rFonts w:asciiTheme="minorHAnsi" w:eastAsia="Times New Roman" w:hAnsiTheme="minorHAnsi"/>
                <w:sz w:val="16"/>
                <w:szCs w:val="16"/>
              </w:rPr>
              <w:t>• Regular reporting, acquittals and audits required.</w:t>
            </w:r>
          </w:p>
        </w:tc>
        <w:tc>
          <w:tcPr>
            <w:tcW w:w="2604" w:type="dxa"/>
          </w:tcPr>
          <w:p w:rsidR="000C0A56" w:rsidRPr="000C0A56" w:rsidRDefault="000C0A56" w:rsidP="000C0A56">
            <w:pPr>
              <w:keepLines/>
              <w:rPr>
                <w:rFonts w:asciiTheme="minorHAnsi" w:eastAsia="Times New Roman" w:hAnsiTheme="minorHAnsi"/>
                <w:sz w:val="16"/>
                <w:szCs w:val="16"/>
              </w:rPr>
            </w:pPr>
            <w:r w:rsidRPr="000C0A56">
              <w:rPr>
                <w:rFonts w:asciiTheme="minorHAnsi" w:eastAsia="Times New Roman" w:hAnsiTheme="minorHAnsi"/>
                <w:sz w:val="16"/>
                <w:szCs w:val="16"/>
              </w:rPr>
              <w:t>Ongoing reporting, monitoring and audits to ensure funds are spent appropriately and used to strengthen local financial systems.</w:t>
            </w:r>
          </w:p>
        </w:tc>
        <w:tc>
          <w:tcPr>
            <w:tcW w:w="2352" w:type="dxa"/>
          </w:tcPr>
          <w:p w:rsidR="000C0A56" w:rsidRPr="000C0A56" w:rsidRDefault="000C0A56" w:rsidP="000C0A56">
            <w:pPr>
              <w:keepLines/>
              <w:rPr>
                <w:rFonts w:asciiTheme="minorHAnsi" w:eastAsia="Times New Roman" w:hAnsiTheme="minorHAnsi"/>
                <w:b/>
                <w:sz w:val="16"/>
                <w:szCs w:val="16"/>
              </w:rPr>
            </w:pPr>
            <w:r w:rsidRPr="000C0A56">
              <w:rPr>
                <w:rFonts w:asciiTheme="minorHAnsi" w:eastAsia="Times New Roman" w:hAnsiTheme="minorHAnsi"/>
                <w:b/>
                <w:sz w:val="16"/>
                <w:szCs w:val="16"/>
              </w:rPr>
              <w:t>High</w:t>
            </w:r>
          </w:p>
        </w:tc>
      </w:tr>
      <w:tr w:rsidR="000C0A56" w:rsidRPr="003B0793" w:rsidTr="007D17E7">
        <w:tc>
          <w:tcPr>
            <w:tcW w:w="2270" w:type="dxa"/>
          </w:tcPr>
          <w:p w:rsidR="000C0A56" w:rsidRPr="00076D25" w:rsidRDefault="000C0A56" w:rsidP="000C0A56">
            <w:pPr>
              <w:tabs>
                <w:tab w:val="left" w:pos="0"/>
                <w:tab w:val="left" w:pos="284"/>
              </w:tabs>
              <w:rPr>
                <w:rFonts w:asciiTheme="minorHAnsi" w:eastAsia="Times New Roman" w:hAnsiTheme="minorHAnsi"/>
                <w:sz w:val="16"/>
                <w:szCs w:val="16"/>
              </w:rPr>
            </w:pPr>
            <w:r>
              <w:rPr>
                <w:rFonts w:asciiTheme="minorHAnsi" w:eastAsia="Times New Roman" w:hAnsiTheme="minorHAnsi"/>
                <w:sz w:val="16"/>
                <w:szCs w:val="16"/>
              </w:rPr>
              <w:t>Significant natural disaster disrupts implementation and/or relevance of programs. May also have an impact on economic growth, which in turn could lead to reduced ministry budgets and capacity to implement reforms / programs.</w:t>
            </w:r>
          </w:p>
        </w:tc>
        <w:tc>
          <w:tcPr>
            <w:tcW w:w="2544" w:type="dxa"/>
          </w:tcPr>
          <w:p w:rsidR="000C0A56" w:rsidRPr="000C0A56" w:rsidRDefault="000C0A56" w:rsidP="000C0A56">
            <w:pPr>
              <w:keepLines/>
              <w:rPr>
                <w:rFonts w:asciiTheme="minorHAnsi" w:eastAsia="Times New Roman" w:hAnsiTheme="minorHAnsi"/>
                <w:sz w:val="16"/>
                <w:szCs w:val="16"/>
              </w:rPr>
            </w:pPr>
            <w:r w:rsidRPr="000C0A56">
              <w:rPr>
                <w:rFonts w:asciiTheme="minorHAnsi" w:eastAsia="Times New Roman" w:hAnsiTheme="minorHAnsi"/>
                <w:sz w:val="16"/>
                <w:szCs w:val="16"/>
              </w:rPr>
              <w:t>• Climate change and disaster resilience built into aid programs.</w:t>
            </w:r>
          </w:p>
          <w:p w:rsidR="000C0A56" w:rsidRPr="000C0A56" w:rsidRDefault="000C0A56" w:rsidP="000C0A56">
            <w:pPr>
              <w:keepLines/>
              <w:rPr>
                <w:rFonts w:asciiTheme="minorHAnsi" w:eastAsia="Times New Roman" w:hAnsiTheme="minorHAnsi"/>
                <w:sz w:val="16"/>
                <w:szCs w:val="16"/>
              </w:rPr>
            </w:pPr>
            <w:r w:rsidRPr="000C0A56">
              <w:rPr>
                <w:rFonts w:asciiTheme="minorHAnsi" w:eastAsia="Times New Roman" w:hAnsiTheme="minorHAnsi"/>
                <w:sz w:val="16"/>
                <w:szCs w:val="16"/>
              </w:rPr>
              <w:t>• Crisis Action Plan updated.</w:t>
            </w:r>
          </w:p>
          <w:p w:rsidR="000C0A56" w:rsidRPr="000C0A56" w:rsidRDefault="000C0A56" w:rsidP="000C0A56">
            <w:pPr>
              <w:keepLines/>
              <w:rPr>
                <w:rFonts w:asciiTheme="minorHAnsi" w:eastAsia="Times New Roman" w:hAnsiTheme="minorHAnsi"/>
                <w:sz w:val="16"/>
                <w:szCs w:val="16"/>
              </w:rPr>
            </w:pPr>
            <w:r w:rsidRPr="000C0A56">
              <w:rPr>
                <w:rFonts w:asciiTheme="minorHAnsi" w:eastAsia="Times New Roman" w:hAnsiTheme="minorHAnsi"/>
                <w:sz w:val="16"/>
                <w:szCs w:val="16"/>
              </w:rPr>
              <w:t>• Programs amended as appropriate following disasters to ensure continued relevance</w:t>
            </w:r>
            <w:r w:rsidR="00960C1B">
              <w:rPr>
                <w:rFonts w:asciiTheme="minorHAnsi" w:eastAsia="Times New Roman" w:hAnsiTheme="minorHAnsi"/>
                <w:sz w:val="16"/>
                <w:szCs w:val="16"/>
              </w:rPr>
              <w:t>.</w:t>
            </w:r>
            <w:r w:rsidRPr="000C0A56">
              <w:rPr>
                <w:rFonts w:asciiTheme="minorHAnsi" w:eastAsia="Times New Roman" w:hAnsiTheme="minorHAnsi"/>
                <w:sz w:val="16"/>
                <w:szCs w:val="16"/>
              </w:rPr>
              <w:t xml:space="preserve"> </w:t>
            </w:r>
          </w:p>
        </w:tc>
        <w:tc>
          <w:tcPr>
            <w:tcW w:w="2604" w:type="dxa"/>
          </w:tcPr>
          <w:p w:rsidR="000C0A56" w:rsidRPr="000C0A56" w:rsidRDefault="000C0A56" w:rsidP="000C0A56">
            <w:pPr>
              <w:keepLines/>
              <w:rPr>
                <w:rFonts w:asciiTheme="minorHAnsi" w:eastAsia="Times New Roman" w:hAnsiTheme="minorHAnsi"/>
                <w:sz w:val="16"/>
                <w:szCs w:val="16"/>
              </w:rPr>
            </w:pPr>
            <w:r w:rsidRPr="000C0A56">
              <w:rPr>
                <w:rFonts w:asciiTheme="minorHAnsi" w:eastAsia="Times New Roman" w:hAnsiTheme="minorHAnsi"/>
                <w:sz w:val="16"/>
                <w:szCs w:val="16"/>
              </w:rPr>
              <w:t>Ongoing dialogue with partner government</w:t>
            </w:r>
            <w:r w:rsidR="00960C1B">
              <w:rPr>
                <w:rFonts w:asciiTheme="minorHAnsi" w:eastAsia="Times New Roman" w:hAnsiTheme="minorHAnsi"/>
                <w:sz w:val="16"/>
                <w:szCs w:val="16"/>
              </w:rPr>
              <w:t>.</w:t>
            </w:r>
          </w:p>
        </w:tc>
        <w:tc>
          <w:tcPr>
            <w:tcW w:w="2352" w:type="dxa"/>
          </w:tcPr>
          <w:p w:rsidR="000C0A56" w:rsidRPr="000C0A56" w:rsidRDefault="000C0A56" w:rsidP="00897E42">
            <w:pPr>
              <w:keepLines/>
              <w:rPr>
                <w:rFonts w:asciiTheme="minorHAnsi" w:eastAsia="Times New Roman" w:hAnsiTheme="minorHAnsi"/>
                <w:b/>
                <w:sz w:val="16"/>
                <w:szCs w:val="16"/>
              </w:rPr>
            </w:pPr>
            <w:r w:rsidRPr="000C0A56">
              <w:rPr>
                <w:rFonts w:asciiTheme="minorHAnsi" w:eastAsia="Times New Roman" w:hAnsiTheme="minorHAnsi"/>
                <w:b/>
                <w:sz w:val="16"/>
                <w:szCs w:val="16"/>
              </w:rPr>
              <w:t>High</w:t>
            </w:r>
          </w:p>
        </w:tc>
      </w:tr>
      <w:tr w:rsidR="002A51CA" w:rsidRPr="00C61187" w:rsidTr="002A51CA">
        <w:tc>
          <w:tcPr>
            <w:tcW w:w="2270" w:type="dxa"/>
            <w:hideMark/>
          </w:tcPr>
          <w:p w:rsidR="002A51CA" w:rsidRPr="003B0793" w:rsidRDefault="002A51CA" w:rsidP="00D15A00">
            <w:pPr>
              <w:tabs>
                <w:tab w:val="left" w:pos="0"/>
                <w:tab w:val="left" w:pos="284"/>
              </w:tabs>
              <w:rPr>
                <w:rFonts w:asciiTheme="minorHAnsi" w:eastAsia="Times New Roman" w:hAnsiTheme="minorHAnsi"/>
                <w:sz w:val="16"/>
                <w:szCs w:val="16"/>
              </w:rPr>
            </w:pPr>
          </w:p>
        </w:tc>
        <w:tc>
          <w:tcPr>
            <w:tcW w:w="2544" w:type="dxa"/>
          </w:tcPr>
          <w:p w:rsidR="002A51CA" w:rsidRPr="003B0793" w:rsidRDefault="002A51CA" w:rsidP="00D15A00">
            <w:pPr>
              <w:keepLines/>
              <w:spacing w:before="40" w:after="40" w:line="200" w:lineRule="atLeast"/>
              <w:rPr>
                <w:rFonts w:asciiTheme="minorHAnsi" w:eastAsia="Times New Roman" w:hAnsiTheme="minorHAnsi"/>
                <w:iCs/>
                <w:szCs w:val="17"/>
                <w:lang w:eastAsia="en-US"/>
              </w:rPr>
            </w:pPr>
          </w:p>
        </w:tc>
        <w:tc>
          <w:tcPr>
            <w:tcW w:w="2604" w:type="dxa"/>
          </w:tcPr>
          <w:p w:rsidR="002A51CA" w:rsidRPr="003B0793" w:rsidRDefault="002A51CA" w:rsidP="00D15A00">
            <w:pPr>
              <w:keepLines/>
              <w:spacing w:before="40" w:after="40" w:line="200" w:lineRule="atLeast"/>
              <w:rPr>
                <w:rFonts w:asciiTheme="minorHAnsi" w:eastAsia="Times New Roman" w:hAnsiTheme="minorHAnsi"/>
                <w:iCs/>
                <w:szCs w:val="17"/>
                <w:lang w:eastAsia="en-US"/>
              </w:rPr>
            </w:pPr>
          </w:p>
        </w:tc>
        <w:tc>
          <w:tcPr>
            <w:tcW w:w="2352" w:type="dxa"/>
          </w:tcPr>
          <w:p w:rsidR="002A51CA" w:rsidRPr="003B0793" w:rsidRDefault="002A51CA" w:rsidP="00D15A00">
            <w:pPr>
              <w:keepLines/>
              <w:spacing w:before="40" w:after="40" w:line="200" w:lineRule="atLeast"/>
              <w:rPr>
                <w:rFonts w:asciiTheme="minorHAnsi" w:eastAsia="Times New Roman" w:hAnsiTheme="minorHAnsi"/>
                <w:iCs/>
                <w:szCs w:val="17"/>
                <w:lang w:eastAsia="en-US"/>
              </w:rPr>
            </w:pPr>
          </w:p>
        </w:tc>
      </w:tr>
      <w:tr w:rsidR="002A51CA" w:rsidRPr="00C61187" w:rsidTr="002A51CA">
        <w:tc>
          <w:tcPr>
            <w:tcW w:w="2270" w:type="dxa"/>
            <w:hideMark/>
          </w:tcPr>
          <w:p w:rsidR="002A51CA" w:rsidRPr="00C61187" w:rsidRDefault="002A51CA" w:rsidP="00D15A00">
            <w:pPr>
              <w:keepLines/>
              <w:spacing w:before="40" w:after="40" w:line="200" w:lineRule="atLeast"/>
              <w:rPr>
                <w:rFonts w:eastAsia="Times New Roman"/>
                <w:iCs/>
                <w:szCs w:val="17"/>
                <w:lang w:eastAsia="en-US"/>
              </w:rPr>
            </w:pPr>
            <w:r w:rsidRPr="00C61187">
              <w:rPr>
                <w:rFonts w:eastAsia="Times New Roman"/>
                <w:iCs/>
                <w:szCs w:val="17"/>
                <w:lang w:eastAsia="en-US"/>
              </w:rPr>
              <w:t xml:space="preserve"> </w:t>
            </w:r>
          </w:p>
        </w:tc>
        <w:tc>
          <w:tcPr>
            <w:tcW w:w="2544" w:type="dxa"/>
          </w:tcPr>
          <w:p w:rsidR="002A51CA" w:rsidRPr="00C61187" w:rsidRDefault="002A51CA" w:rsidP="00D15A00">
            <w:pPr>
              <w:keepLines/>
              <w:spacing w:before="40" w:after="40" w:line="200" w:lineRule="atLeast"/>
              <w:rPr>
                <w:rFonts w:eastAsia="Times New Roman"/>
                <w:iCs/>
                <w:szCs w:val="17"/>
                <w:lang w:eastAsia="en-US"/>
              </w:rPr>
            </w:pPr>
          </w:p>
        </w:tc>
        <w:tc>
          <w:tcPr>
            <w:tcW w:w="2604" w:type="dxa"/>
          </w:tcPr>
          <w:p w:rsidR="002A51CA" w:rsidRPr="00C61187" w:rsidRDefault="002A51CA" w:rsidP="00D15A00">
            <w:pPr>
              <w:keepLines/>
              <w:spacing w:before="40" w:after="40" w:line="200" w:lineRule="atLeast"/>
              <w:rPr>
                <w:rFonts w:eastAsia="Times New Roman"/>
                <w:iCs/>
                <w:szCs w:val="17"/>
                <w:lang w:eastAsia="en-US"/>
              </w:rPr>
            </w:pPr>
          </w:p>
        </w:tc>
        <w:tc>
          <w:tcPr>
            <w:tcW w:w="2352" w:type="dxa"/>
          </w:tcPr>
          <w:p w:rsidR="002A51CA" w:rsidRPr="00C61187" w:rsidRDefault="002A51CA" w:rsidP="00D15A00">
            <w:pPr>
              <w:keepLines/>
              <w:spacing w:before="40" w:after="40" w:line="200" w:lineRule="atLeast"/>
              <w:rPr>
                <w:rFonts w:eastAsia="Times New Roman"/>
                <w:iCs/>
                <w:szCs w:val="17"/>
                <w:lang w:eastAsia="en-US"/>
              </w:rPr>
            </w:pPr>
          </w:p>
        </w:tc>
      </w:tr>
      <w:tr w:rsidR="002A51CA" w:rsidRPr="00C61187" w:rsidTr="002A51CA">
        <w:trPr>
          <w:trHeight w:val="56"/>
        </w:trPr>
        <w:tc>
          <w:tcPr>
            <w:tcW w:w="2270" w:type="dxa"/>
          </w:tcPr>
          <w:p w:rsidR="002A51CA" w:rsidRPr="00C61187" w:rsidRDefault="002A51CA" w:rsidP="00D15A00">
            <w:pPr>
              <w:keepLines/>
              <w:spacing w:before="40" w:after="40" w:line="200" w:lineRule="atLeast"/>
              <w:rPr>
                <w:rFonts w:eastAsia="Times New Roman"/>
                <w:iCs/>
                <w:szCs w:val="17"/>
                <w:lang w:eastAsia="en-US"/>
              </w:rPr>
            </w:pPr>
          </w:p>
        </w:tc>
        <w:tc>
          <w:tcPr>
            <w:tcW w:w="2544" w:type="dxa"/>
          </w:tcPr>
          <w:p w:rsidR="002A51CA" w:rsidRPr="00C61187" w:rsidRDefault="002A51CA" w:rsidP="00D15A00">
            <w:pPr>
              <w:keepLines/>
              <w:spacing w:before="40" w:after="40" w:line="200" w:lineRule="atLeast"/>
              <w:rPr>
                <w:rFonts w:eastAsia="Times New Roman"/>
                <w:iCs/>
                <w:szCs w:val="17"/>
                <w:lang w:eastAsia="en-US"/>
              </w:rPr>
            </w:pPr>
          </w:p>
        </w:tc>
        <w:tc>
          <w:tcPr>
            <w:tcW w:w="2604" w:type="dxa"/>
          </w:tcPr>
          <w:p w:rsidR="002A51CA" w:rsidRPr="00C61187" w:rsidRDefault="002A51CA" w:rsidP="00D15A00">
            <w:pPr>
              <w:keepLines/>
              <w:spacing w:before="40" w:after="40" w:line="200" w:lineRule="atLeast"/>
              <w:rPr>
                <w:rFonts w:eastAsia="Times New Roman"/>
                <w:iCs/>
                <w:szCs w:val="17"/>
                <w:lang w:eastAsia="en-US"/>
              </w:rPr>
            </w:pPr>
          </w:p>
        </w:tc>
        <w:tc>
          <w:tcPr>
            <w:tcW w:w="2352" w:type="dxa"/>
          </w:tcPr>
          <w:p w:rsidR="002A51CA" w:rsidRPr="00C61187" w:rsidRDefault="002A51CA" w:rsidP="00D15A00">
            <w:pPr>
              <w:keepLines/>
              <w:spacing w:before="40" w:after="40" w:line="200" w:lineRule="atLeast"/>
              <w:rPr>
                <w:rFonts w:eastAsia="Times New Roman"/>
                <w:iCs/>
                <w:szCs w:val="17"/>
                <w:lang w:eastAsia="en-US"/>
              </w:rPr>
            </w:pPr>
          </w:p>
        </w:tc>
      </w:tr>
    </w:tbl>
    <w:p w:rsidR="002A51CA" w:rsidRPr="00C61187" w:rsidRDefault="002A51CA" w:rsidP="002A51CA">
      <w:pPr>
        <w:spacing w:before="20" w:after="20" w:line="180" w:lineRule="atLeast"/>
        <w:jc w:val="both"/>
        <w:rPr>
          <w:rFonts w:ascii="Franklin Gothic Book" w:eastAsia="Times New Roman" w:hAnsi="Franklin Gothic Book"/>
          <w:b/>
          <w:sz w:val="14"/>
          <w:szCs w:val="14"/>
        </w:rPr>
      </w:pPr>
    </w:p>
    <w:p w:rsidR="002A51CA" w:rsidRPr="002A51CA" w:rsidRDefault="002A51CA" w:rsidP="002A51CA">
      <w:pPr>
        <w:pStyle w:val="Heading2"/>
      </w:pPr>
      <w:r w:rsidRPr="002A51CA">
        <w:t>Management Responses</w:t>
      </w:r>
      <w:r w:rsidRPr="002A51CA">
        <w:tab/>
      </w:r>
      <w:r w:rsidRPr="002A51CA">
        <w:tab/>
      </w:r>
    </w:p>
    <w:p w:rsidR="00415C72" w:rsidRDefault="00564CAD" w:rsidP="00564CAD">
      <w:pPr>
        <w:rPr>
          <w:lang w:val="en-AU"/>
        </w:rPr>
      </w:pPr>
      <w:r w:rsidRPr="00564CAD">
        <w:rPr>
          <w:lang w:val="en-AU"/>
        </w:rPr>
        <w:t xml:space="preserve">Progress addressing last year’s management responses was mixed. </w:t>
      </w:r>
      <w:r w:rsidRPr="00564CAD">
        <w:rPr>
          <w:b/>
          <w:lang w:val="en-AU"/>
        </w:rPr>
        <w:t xml:space="preserve">Annex A </w:t>
      </w:r>
      <w:r w:rsidRPr="00564CAD">
        <w:rPr>
          <w:lang w:val="en-AU"/>
        </w:rPr>
        <w:t xml:space="preserve">provides detail. </w:t>
      </w:r>
    </w:p>
    <w:p w:rsidR="00564CAD" w:rsidRDefault="00415C72" w:rsidP="00564CAD">
      <w:pPr>
        <w:rPr>
          <w:lang w:val="en-AU"/>
        </w:rPr>
      </w:pPr>
      <w:r>
        <w:rPr>
          <w:lang w:val="en-AU"/>
        </w:rPr>
        <w:t>Proposed management responses for 2016-17 are as follows.</w:t>
      </w:r>
    </w:p>
    <w:p w:rsidR="009A2B95" w:rsidRDefault="009A2B95" w:rsidP="009A2B95">
      <w:pPr>
        <w:pStyle w:val="ListParagraph"/>
        <w:numPr>
          <w:ilvl w:val="0"/>
          <w:numId w:val="39"/>
        </w:numPr>
        <w:rPr>
          <w:lang w:val="en-AU"/>
        </w:rPr>
      </w:pPr>
      <w:r>
        <w:rPr>
          <w:lang w:val="en-AU"/>
        </w:rPr>
        <w:t xml:space="preserve">Finalise a </w:t>
      </w:r>
      <w:r w:rsidRPr="009A2B95">
        <w:rPr>
          <w:b/>
          <w:lang w:val="en-AU"/>
        </w:rPr>
        <w:t>new aid partnership</w:t>
      </w:r>
      <w:r>
        <w:rPr>
          <w:lang w:val="en-AU"/>
        </w:rPr>
        <w:t xml:space="preserve"> between Vanuatu and Australia, which sets objectives for the program, provides greater</w:t>
      </w:r>
      <w:r w:rsidRPr="00564CAD">
        <w:rPr>
          <w:lang w:val="en-AU"/>
        </w:rPr>
        <w:t xml:space="preserve"> strategic coherence and outline</w:t>
      </w:r>
      <w:r>
        <w:rPr>
          <w:lang w:val="en-AU"/>
        </w:rPr>
        <w:t>s</w:t>
      </w:r>
      <w:r w:rsidRPr="00564CAD">
        <w:rPr>
          <w:lang w:val="en-AU"/>
        </w:rPr>
        <w:t xml:space="preserve"> clear performance benchmarks and mutual obligations</w:t>
      </w:r>
      <w:r>
        <w:rPr>
          <w:lang w:val="en-AU"/>
        </w:rPr>
        <w:t>.</w:t>
      </w:r>
    </w:p>
    <w:p w:rsidR="009D5444" w:rsidRDefault="001226DE" w:rsidP="009A2B95">
      <w:pPr>
        <w:pStyle w:val="ListParagraph"/>
        <w:numPr>
          <w:ilvl w:val="0"/>
          <w:numId w:val="39"/>
        </w:numPr>
        <w:rPr>
          <w:lang w:val="en-AU"/>
        </w:rPr>
      </w:pPr>
      <w:r>
        <w:rPr>
          <w:lang w:val="en-AU"/>
        </w:rPr>
        <w:t>Provide c</w:t>
      </w:r>
      <w:r w:rsidR="009D5444">
        <w:rPr>
          <w:lang w:val="en-AU"/>
        </w:rPr>
        <w:t xml:space="preserve">lose management of </w:t>
      </w:r>
      <w:r w:rsidR="003772DE" w:rsidRPr="001C4FC6">
        <w:rPr>
          <w:b/>
          <w:lang w:val="en-AU"/>
        </w:rPr>
        <w:t>PVUDP</w:t>
      </w:r>
      <w:r w:rsidR="003772DE">
        <w:rPr>
          <w:lang w:val="en-AU"/>
        </w:rPr>
        <w:t xml:space="preserve"> to en</w:t>
      </w:r>
      <w:r w:rsidR="00162E3F">
        <w:rPr>
          <w:lang w:val="en-AU"/>
        </w:rPr>
        <w:t>sure that improvements continue.</w:t>
      </w:r>
    </w:p>
    <w:p w:rsidR="009A2B95" w:rsidRDefault="009A2B95" w:rsidP="009A2B95">
      <w:pPr>
        <w:pStyle w:val="ListParagraph"/>
        <w:numPr>
          <w:ilvl w:val="0"/>
          <w:numId w:val="39"/>
        </w:numPr>
        <w:rPr>
          <w:lang w:val="en-AU"/>
        </w:rPr>
      </w:pPr>
      <w:r>
        <w:rPr>
          <w:lang w:val="en-AU"/>
        </w:rPr>
        <w:t xml:space="preserve">Provide strong oversight of the </w:t>
      </w:r>
      <w:r w:rsidRPr="00B63359">
        <w:rPr>
          <w:b/>
          <w:lang w:val="en-AU"/>
        </w:rPr>
        <w:t>cyclone recovery package</w:t>
      </w:r>
      <w:r>
        <w:rPr>
          <w:lang w:val="en-AU"/>
        </w:rPr>
        <w:t xml:space="preserve"> to ensure</w:t>
      </w:r>
      <w:r w:rsidR="001226DE">
        <w:rPr>
          <w:lang w:val="en-AU"/>
        </w:rPr>
        <w:t xml:space="preserve"> its effective implementation, including </w:t>
      </w:r>
      <w:r w:rsidR="002A4218">
        <w:rPr>
          <w:lang w:val="en-AU"/>
        </w:rPr>
        <w:t xml:space="preserve">early </w:t>
      </w:r>
      <w:r>
        <w:rPr>
          <w:lang w:val="en-AU"/>
        </w:rPr>
        <w:t>recognition of emerging risks.</w:t>
      </w:r>
    </w:p>
    <w:p w:rsidR="009A2B95" w:rsidRPr="009A2B95" w:rsidRDefault="009A2B95" w:rsidP="009A2B95">
      <w:pPr>
        <w:pStyle w:val="ListParagraph"/>
        <w:keepNext/>
        <w:numPr>
          <w:ilvl w:val="0"/>
          <w:numId w:val="39"/>
        </w:numPr>
        <w:rPr>
          <w:lang w:val="en-AU"/>
        </w:rPr>
      </w:pPr>
      <w:r w:rsidRPr="009A2B95">
        <w:rPr>
          <w:lang w:val="en-AU"/>
        </w:rPr>
        <w:t xml:space="preserve">Monitor </w:t>
      </w:r>
      <w:r>
        <w:rPr>
          <w:lang w:val="en-AU"/>
        </w:rPr>
        <w:t>the</w:t>
      </w:r>
      <w:r w:rsidRPr="00B63359">
        <w:rPr>
          <w:b/>
          <w:lang w:val="en-AU"/>
        </w:rPr>
        <w:t xml:space="preserve"> program budget and pipeline </w:t>
      </w:r>
      <w:r w:rsidRPr="009A2B95">
        <w:rPr>
          <w:lang w:val="en-AU"/>
        </w:rPr>
        <w:t>closely to ensure any contingencies can be effectively managed</w:t>
      </w:r>
      <w:r w:rsidR="009B5B3B">
        <w:rPr>
          <w:lang w:val="en-AU"/>
        </w:rPr>
        <w:t>.</w:t>
      </w:r>
      <w:r w:rsidRPr="009A2B95">
        <w:rPr>
          <w:lang w:val="en-AU"/>
        </w:rPr>
        <w:t xml:space="preserve"> </w:t>
      </w:r>
    </w:p>
    <w:p w:rsidR="009A2B95" w:rsidRDefault="00B63359" w:rsidP="009A2B95">
      <w:pPr>
        <w:pStyle w:val="ListParagraph"/>
        <w:numPr>
          <w:ilvl w:val="0"/>
          <w:numId w:val="39"/>
        </w:numPr>
        <w:rPr>
          <w:lang w:val="en-AU"/>
        </w:rPr>
      </w:pPr>
      <w:r>
        <w:rPr>
          <w:lang w:val="en-AU"/>
        </w:rPr>
        <w:t xml:space="preserve">Continue work to promote </w:t>
      </w:r>
      <w:r w:rsidRPr="00B63359">
        <w:rPr>
          <w:b/>
          <w:lang w:val="en-AU"/>
        </w:rPr>
        <w:t>gender equality and disability inclusion</w:t>
      </w:r>
      <w:r>
        <w:rPr>
          <w:lang w:val="en-AU"/>
        </w:rPr>
        <w:t xml:space="preserve"> throughout the program, with a focus on programs which </w:t>
      </w:r>
      <w:r w:rsidRPr="00564CAD">
        <w:rPr>
          <w:lang w:val="en-AU"/>
        </w:rPr>
        <w:t xml:space="preserve">received less than </w:t>
      </w:r>
      <w:r>
        <w:rPr>
          <w:lang w:val="en-AU"/>
        </w:rPr>
        <w:t>satisfactory ratings</w:t>
      </w:r>
      <w:r w:rsidR="00162E3F">
        <w:rPr>
          <w:lang w:val="en-AU"/>
        </w:rPr>
        <w:t>.</w:t>
      </w:r>
    </w:p>
    <w:p w:rsidR="00B63359" w:rsidRDefault="00B63359" w:rsidP="00B63359">
      <w:pPr>
        <w:pStyle w:val="ListParagraph"/>
        <w:numPr>
          <w:ilvl w:val="0"/>
          <w:numId w:val="39"/>
        </w:numPr>
      </w:pPr>
      <w:r>
        <w:t xml:space="preserve">Analyse current programming pipeline to assess its contribution to </w:t>
      </w:r>
      <w:r w:rsidRPr="00B63359">
        <w:rPr>
          <w:b/>
        </w:rPr>
        <w:t>climate change programming</w:t>
      </w:r>
      <w:r>
        <w:t xml:space="preserve"> </w:t>
      </w:r>
      <w:r w:rsidRPr="00B63359">
        <w:rPr>
          <w:b/>
        </w:rPr>
        <w:t>targets</w:t>
      </w:r>
      <w:r>
        <w:t xml:space="preserve"> from existing programs, including R4D, PVUDP and the </w:t>
      </w:r>
      <w:r w:rsidRPr="00B63359">
        <w:rPr>
          <w:i/>
        </w:rPr>
        <w:t>Australian NGO Cooperation Program</w:t>
      </w:r>
      <w:r>
        <w:t xml:space="preserve"> (ANCP).  Future programming may need to incorporate greater climate change expenditure.</w:t>
      </w:r>
    </w:p>
    <w:p w:rsidR="00D918C7" w:rsidRDefault="00D918C7" w:rsidP="00B63359">
      <w:pPr>
        <w:pStyle w:val="ListParagraph"/>
        <w:numPr>
          <w:ilvl w:val="0"/>
          <w:numId w:val="39"/>
        </w:numPr>
      </w:pPr>
      <w:r>
        <w:t xml:space="preserve">Consider tailored </w:t>
      </w:r>
      <w:r w:rsidRPr="00A611A9">
        <w:rPr>
          <w:b/>
        </w:rPr>
        <w:t>communications strategies</w:t>
      </w:r>
      <w:r>
        <w:t xml:space="preserve"> alongside program designs to support program implementation.</w:t>
      </w:r>
    </w:p>
    <w:p w:rsidR="00B63359" w:rsidRDefault="00B63359" w:rsidP="00B63359">
      <w:pPr>
        <w:pStyle w:val="ListParagraph"/>
        <w:rPr>
          <w:lang w:val="en-AU"/>
        </w:rPr>
      </w:pPr>
    </w:p>
    <w:p w:rsidR="009A2B95" w:rsidRPr="009D5444" w:rsidRDefault="009A2B95" w:rsidP="009D5444">
      <w:pPr>
        <w:pStyle w:val="ListParagraph"/>
        <w:rPr>
          <w:lang w:val="en-AU"/>
        </w:rPr>
      </w:pPr>
    </w:p>
    <w:p w:rsidR="00DA56EA" w:rsidRPr="00DA56EA" w:rsidRDefault="00DA56EA"/>
    <w:p w:rsidR="00DA56EA" w:rsidRDefault="00DA56EA" w:rsidP="00431132">
      <w:pPr>
        <w:sectPr w:rsidR="00DA56EA" w:rsidSect="00C6626C">
          <w:pgSz w:w="11906" w:h="16838" w:code="9"/>
          <w:pgMar w:top="1527" w:right="1134" w:bottom="851" w:left="1134" w:header="1418" w:footer="567" w:gutter="0"/>
          <w:cols w:space="397"/>
          <w:docGrid w:linePitch="360"/>
        </w:sectPr>
      </w:pPr>
    </w:p>
    <w:p w:rsidR="00400B0F" w:rsidRPr="00400B0F" w:rsidRDefault="00400B0F" w:rsidP="00400B0F">
      <w:pPr>
        <w:pStyle w:val="Subtitle"/>
        <w:numPr>
          <w:ilvl w:val="0"/>
          <w:numId w:val="0"/>
        </w:numPr>
      </w:pPr>
      <w:r w:rsidRPr="00400B0F">
        <w:t>Annex A - Progress in Addressing Management Responses</w:t>
      </w:r>
    </w:p>
    <w:p w:rsidR="00400B0F" w:rsidRPr="00C61187" w:rsidRDefault="00400B0F" w:rsidP="008C2F58">
      <w:r w:rsidRPr="00C61187">
        <w:t>Describe progress made against management responses in 2014-15 report</w:t>
      </w:r>
    </w:p>
    <w:tbl>
      <w:tblPr>
        <w:tblStyle w:val="APPR"/>
        <w:tblpPr w:leftFromText="180" w:rightFromText="180" w:vertAnchor="text" w:tblpY="1"/>
        <w:tblW w:w="5000" w:type="pct"/>
        <w:tblLayout w:type="fixed"/>
        <w:tblLook w:val="0000" w:firstRow="0" w:lastRow="0" w:firstColumn="0" w:lastColumn="0" w:noHBand="0" w:noVBand="0"/>
      </w:tblPr>
      <w:tblGrid>
        <w:gridCol w:w="6645"/>
        <w:gridCol w:w="1301"/>
        <w:gridCol w:w="6786"/>
      </w:tblGrid>
      <w:tr w:rsidR="00400B0F" w:rsidRPr="00A427C6" w:rsidTr="00A427C6">
        <w:trPr>
          <w:cnfStyle w:val="000000010000" w:firstRow="0" w:lastRow="0" w:firstColumn="0" w:lastColumn="0" w:oddVBand="0" w:evenVBand="0" w:oddHBand="0" w:evenHBand="1" w:firstRowFirstColumn="0" w:firstRowLastColumn="0" w:lastRowFirstColumn="0" w:lastRowLastColumn="0"/>
        </w:trPr>
        <w:tc>
          <w:tcPr>
            <w:tcW w:w="6473" w:type="dxa"/>
          </w:tcPr>
          <w:p w:rsidR="00400B0F" w:rsidRPr="00A427C6" w:rsidRDefault="00400B0F" w:rsidP="006F27B1">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Management responses identified in 2014-15 APPR</w:t>
            </w:r>
            <w:r w:rsidRPr="00A427C6">
              <w:rPr>
                <w:rFonts w:asciiTheme="minorHAnsi" w:eastAsia="Times New Roman" w:hAnsiTheme="minorHAnsi"/>
                <w:b/>
                <w:iCs/>
                <w:szCs w:val="17"/>
                <w:lang w:eastAsia="en-US"/>
              </w:rPr>
              <w:tab/>
            </w:r>
          </w:p>
        </w:tc>
        <w:tc>
          <w:tcPr>
            <w:tcW w:w="1248" w:type="dxa"/>
          </w:tcPr>
          <w:p w:rsidR="00400B0F" w:rsidRPr="00A427C6" w:rsidRDefault="00400B0F" w:rsidP="00A427C6">
            <w:pPr>
              <w:keepLines/>
              <w:spacing w:before="80" w:after="80" w:line="200" w:lineRule="atLeast"/>
              <w:jc w:val="center"/>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Rating</w:t>
            </w:r>
          </w:p>
        </w:tc>
        <w:tc>
          <w:tcPr>
            <w:tcW w:w="6612" w:type="dxa"/>
          </w:tcPr>
          <w:p w:rsidR="00400B0F" w:rsidRPr="00A427C6" w:rsidRDefault="00400B0F" w:rsidP="00A427C6">
            <w:pPr>
              <w:keepLines/>
              <w:spacing w:before="80" w:after="80" w:line="200" w:lineRule="atLeast"/>
              <w:jc w:val="center"/>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Progress made  in 2015-16</w:t>
            </w:r>
          </w:p>
        </w:tc>
      </w:tr>
      <w:tr w:rsidR="00400B0F" w:rsidRPr="00A427C6" w:rsidTr="009D603C">
        <w:trPr>
          <w:cnfStyle w:val="000000010000" w:firstRow="0" w:lastRow="0" w:firstColumn="0" w:lastColumn="0" w:oddVBand="0" w:evenVBand="0" w:oddHBand="0" w:evenHBand="1" w:firstRowFirstColumn="0" w:firstRowLastColumn="0" w:lastRowFirstColumn="0" w:lastRowLastColumn="0"/>
        </w:trPr>
        <w:tc>
          <w:tcPr>
            <w:tcW w:w="6473" w:type="dxa"/>
          </w:tcPr>
          <w:p w:rsidR="00400B0F" w:rsidRPr="00A427C6" w:rsidRDefault="00A06440" w:rsidP="009A0599">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Develop a new aid partnership</w:t>
            </w:r>
            <w:r w:rsidR="005543BF">
              <w:rPr>
                <w:rFonts w:asciiTheme="minorHAnsi" w:eastAsia="Times New Roman" w:hAnsiTheme="minorHAnsi"/>
                <w:iCs/>
                <w:szCs w:val="17"/>
                <w:lang w:eastAsia="en-US"/>
              </w:rPr>
              <w:t>.</w:t>
            </w:r>
          </w:p>
        </w:tc>
        <w:tc>
          <w:tcPr>
            <w:tcW w:w="1248" w:type="dxa"/>
            <w:shd w:val="clear" w:color="auto" w:fill="FF6600"/>
          </w:tcPr>
          <w:p w:rsidR="00400B0F" w:rsidRPr="00A427C6" w:rsidRDefault="002261A1" w:rsidP="006F27B1">
            <w:pPr>
              <w:keepLines/>
              <w:spacing w:before="40" w:after="40" w:line="200" w:lineRule="atLeast"/>
              <w:jc w:val="center"/>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lang w:eastAsia="en-US"/>
              </w:rPr>
              <w:t>Partly a</w:t>
            </w:r>
            <w:r w:rsidR="00400B0F" w:rsidRPr="00A427C6">
              <w:rPr>
                <w:rFonts w:asciiTheme="minorHAnsi" w:eastAsia="Times New Roman" w:hAnsiTheme="minorHAnsi"/>
                <w:iCs/>
                <w:color w:val="FFFFFF" w:themeColor="background1"/>
                <w:szCs w:val="17"/>
                <w:lang w:eastAsia="en-US"/>
              </w:rPr>
              <w:t>chieved</w:t>
            </w:r>
          </w:p>
        </w:tc>
        <w:tc>
          <w:tcPr>
            <w:tcW w:w="6612" w:type="dxa"/>
          </w:tcPr>
          <w:p w:rsidR="00400B0F" w:rsidRPr="00A427C6" w:rsidRDefault="009140AA" w:rsidP="00C4296D">
            <w:pPr>
              <w:keepLines/>
              <w:tabs>
                <w:tab w:val="left" w:pos="2707"/>
              </w:tabs>
              <w:spacing w:before="40" w:after="40" w:line="200" w:lineRule="atLeast"/>
              <w:rPr>
                <w:rFonts w:asciiTheme="minorHAnsi" w:eastAsia="Times New Roman" w:hAnsiTheme="minorHAnsi"/>
                <w:iCs/>
                <w:color w:val="92D050"/>
                <w:szCs w:val="17"/>
                <w:lang w:eastAsia="en-US"/>
              </w:rPr>
            </w:pPr>
            <w:r w:rsidRPr="009140AA">
              <w:rPr>
                <w:rFonts w:asciiTheme="minorHAnsi" w:eastAsia="Times New Roman" w:hAnsiTheme="minorHAnsi"/>
                <w:iCs/>
                <w:szCs w:val="17"/>
                <w:lang w:eastAsia="en-US"/>
              </w:rPr>
              <w:t xml:space="preserve">A draft Aid Partnership agreement is with </w:t>
            </w:r>
            <w:r w:rsidR="00C4296D">
              <w:rPr>
                <w:rFonts w:asciiTheme="minorHAnsi" w:eastAsia="Times New Roman" w:hAnsiTheme="minorHAnsi"/>
                <w:iCs/>
                <w:szCs w:val="17"/>
                <w:lang w:eastAsia="en-US"/>
              </w:rPr>
              <w:t xml:space="preserve">Vanuatu </w:t>
            </w:r>
            <w:r w:rsidRPr="009140AA">
              <w:rPr>
                <w:rFonts w:asciiTheme="minorHAnsi" w:eastAsia="Times New Roman" w:hAnsiTheme="minorHAnsi"/>
                <w:iCs/>
                <w:szCs w:val="17"/>
                <w:lang w:eastAsia="en-US"/>
              </w:rPr>
              <w:t xml:space="preserve">Government for consideration.  </w:t>
            </w:r>
            <w:r w:rsidR="00C4296D">
              <w:rPr>
                <w:rFonts w:asciiTheme="minorHAnsi" w:eastAsia="Times New Roman" w:hAnsiTheme="minorHAnsi"/>
                <w:iCs/>
                <w:szCs w:val="17"/>
                <w:lang w:eastAsia="en-US"/>
              </w:rPr>
              <w:t>Initial discussions to finalise the partnership have been held</w:t>
            </w:r>
            <w:r w:rsidRPr="009140AA">
              <w:rPr>
                <w:rFonts w:asciiTheme="minorHAnsi" w:eastAsia="Times New Roman" w:hAnsiTheme="minorHAnsi"/>
                <w:iCs/>
                <w:szCs w:val="17"/>
                <w:lang w:eastAsia="en-US"/>
              </w:rPr>
              <w:t>.</w:t>
            </w:r>
            <w:r w:rsidR="00363739" w:rsidRPr="009140AA">
              <w:rPr>
                <w:rFonts w:asciiTheme="minorHAnsi" w:eastAsia="Times New Roman" w:hAnsiTheme="minorHAnsi"/>
                <w:iCs/>
                <w:szCs w:val="17"/>
                <w:lang w:eastAsia="en-US"/>
              </w:rPr>
              <w:tab/>
            </w:r>
          </w:p>
        </w:tc>
      </w:tr>
      <w:tr w:rsidR="00400B0F" w:rsidRPr="00A427C6" w:rsidTr="009D603C">
        <w:trPr>
          <w:cnfStyle w:val="000000010000" w:firstRow="0" w:lastRow="0" w:firstColumn="0" w:lastColumn="0" w:oddVBand="0" w:evenVBand="0" w:oddHBand="0" w:evenHBand="1" w:firstRowFirstColumn="0" w:firstRowLastColumn="0" w:lastRowFirstColumn="0" w:lastRowLastColumn="0"/>
        </w:trPr>
        <w:tc>
          <w:tcPr>
            <w:tcW w:w="6473" w:type="dxa"/>
          </w:tcPr>
          <w:p w:rsidR="00400B0F" w:rsidRPr="00A427C6" w:rsidRDefault="00A06440" w:rsidP="00A0644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Ensure PVUDP remediation plan to address performance issues is implemented effectively</w:t>
            </w:r>
            <w:r w:rsidR="009F2419">
              <w:rPr>
                <w:rFonts w:asciiTheme="minorHAnsi" w:eastAsia="Times New Roman" w:hAnsiTheme="minorHAnsi"/>
                <w:iCs/>
                <w:szCs w:val="17"/>
                <w:lang w:eastAsia="en-US"/>
              </w:rPr>
              <w:t>.</w:t>
            </w:r>
          </w:p>
        </w:tc>
        <w:tc>
          <w:tcPr>
            <w:tcW w:w="1248" w:type="dxa"/>
            <w:shd w:val="clear" w:color="auto" w:fill="FF6600"/>
          </w:tcPr>
          <w:p w:rsidR="00400B0F" w:rsidRPr="00A427C6" w:rsidRDefault="002261A1" w:rsidP="002261A1">
            <w:pPr>
              <w:keepLines/>
              <w:spacing w:before="40" w:after="40" w:line="200" w:lineRule="atLeast"/>
              <w:jc w:val="center"/>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lang w:eastAsia="en-US"/>
              </w:rPr>
              <w:t>Partly a</w:t>
            </w:r>
            <w:r w:rsidR="00400B0F" w:rsidRPr="00A427C6">
              <w:rPr>
                <w:rFonts w:asciiTheme="minorHAnsi" w:eastAsia="Times New Roman" w:hAnsiTheme="minorHAnsi"/>
                <w:iCs/>
                <w:color w:val="FFFFFF" w:themeColor="background1"/>
                <w:szCs w:val="17"/>
                <w:lang w:eastAsia="en-US"/>
              </w:rPr>
              <w:t>chieved</w:t>
            </w:r>
            <w:r w:rsidR="00400B0F" w:rsidRPr="00A427C6">
              <w:rPr>
                <w:rFonts w:eastAsia="Times New Roman"/>
                <w:iCs/>
                <w:color w:val="FFFFFF" w:themeColor="background1"/>
                <w:szCs w:val="17"/>
              </w:rPr>
              <w:fldChar w:fldCharType="begin"/>
            </w:r>
            <w:r w:rsidR="00400B0F" w:rsidRPr="00A427C6">
              <w:rPr>
                <w:rFonts w:asciiTheme="minorHAnsi" w:eastAsia="Times New Roman" w:hAnsiTheme="minorHAnsi"/>
                <w:iCs/>
                <w:color w:val="FFFFFF" w:themeColor="background1"/>
                <w:szCs w:val="17"/>
                <w:lang w:eastAsia="en-US"/>
              </w:rPr>
              <w:instrText xml:space="preserve"> AUTOTEXTLIST  \s "Rating bullet"\t "Right click to choose a rating" \* MERGEFORMAT </w:instrText>
            </w:r>
            <w:r w:rsidR="00400B0F" w:rsidRPr="00A427C6">
              <w:rPr>
                <w:rFonts w:eastAsia="Times New Roman"/>
                <w:iCs/>
                <w:color w:val="FFFFFF" w:themeColor="background1"/>
                <w:szCs w:val="17"/>
              </w:rPr>
              <w:fldChar w:fldCharType="end"/>
            </w:r>
          </w:p>
        </w:tc>
        <w:tc>
          <w:tcPr>
            <w:tcW w:w="6612" w:type="dxa"/>
          </w:tcPr>
          <w:p w:rsidR="00400B0F" w:rsidRPr="00A427C6" w:rsidRDefault="00FD0FA2" w:rsidP="005543BF">
            <w:pPr>
              <w:keepLines/>
              <w:spacing w:before="40" w:after="40" w:line="200" w:lineRule="atLeast"/>
              <w:rPr>
                <w:rFonts w:asciiTheme="minorHAnsi" w:eastAsia="Times New Roman" w:hAnsiTheme="minorHAnsi"/>
                <w:iCs/>
                <w:color w:val="92D050"/>
                <w:szCs w:val="17"/>
                <w:lang w:eastAsia="en-US"/>
              </w:rPr>
            </w:pPr>
            <w:r>
              <w:rPr>
                <w:rFonts w:asciiTheme="minorHAnsi" w:eastAsia="Times New Roman" w:hAnsiTheme="minorHAnsi"/>
                <w:iCs/>
                <w:szCs w:val="17"/>
                <w:lang w:eastAsia="en-US"/>
              </w:rPr>
              <w:t xml:space="preserve">DFAT </w:t>
            </w:r>
            <w:r w:rsidR="00C9647B" w:rsidRPr="00FD0FA2">
              <w:rPr>
                <w:rFonts w:asciiTheme="minorHAnsi" w:eastAsia="Times New Roman" w:hAnsiTheme="minorHAnsi"/>
                <w:iCs/>
                <w:szCs w:val="17"/>
                <w:lang w:eastAsia="en-US"/>
              </w:rPr>
              <w:t>worked with ADB on the remediation plan to</w:t>
            </w:r>
            <w:r>
              <w:rPr>
                <w:rFonts w:asciiTheme="minorHAnsi" w:eastAsia="Times New Roman" w:hAnsiTheme="minorHAnsi"/>
                <w:iCs/>
                <w:szCs w:val="17"/>
                <w:lang w:eastAsia="en-US"/>
              </w:rPr>
              <w:t xml:space="preserve"> ensure</w:t>
            </w:r>
            <w:r w:rsidR="00C9647B" w:rsidRPr="00FD0FA2">
              <w:rPr>
                <w:rFonts w:asciiTheme="minorHAnsi" w:eastAsia="Times New Roman" w:hAnsiTheme="minorHAnsi"/>
                <w:iCs/>
                <w:szCs w:val="17"/>
                <w:lang w:eastAsia="en-US"/>
              </w:rPr>
              <w:t xml:space="preserve"> increase</w:t>
            </w:r>
            <w:r>
              <w:rPr>
                <w:rFonts w:asciiTheme="minorHAnsi" w:eastAsia="Times New Roman" w:hAnsiTheme="minorHAnsi"/>
                <w:iCs/>
                <w:szCs w:val="17"/>
                <w:lang w:eastAsia="en-US"/>
              </w:rPr>
              <w:t>d</w:t>
            </w:r>
            <w:r w:rsidR="00C9647B" w:rsidRPr="00FD0FA2">
              <w:rPr>
                <w:rFonts w:asciiTheme="minorHAnsi" w:eastAsia="Times New Roman" w:hAnsiTheme="minorHAnsi"/>
                <w:iCs/>
                <w:szCs w:val="17"/>
                <w:lang w:eastAsia="en-US"/>
              </w:rPr>
              <w:t xml:space="preserve"> in</w:t>
            </w:r>
            <w:r w:rsidR="00C9647B" w:rsidRPr="00FD0FA2">
              <w:rPr>
                <w:rFonts w:asciiTheme="minorHAnsi" w:eastAsia="Times New Roman" w:hAnsiTheme="minorHAnsi"/>
                <w:iCs/>
                <w:szCs w:val="17"/>
                <w:lang w:eastAsia="en-US"/>
              </w:rPr>
              <w:noBreakHyphen/>
              <w:t>country supervision</w:t>
            </w:r>
            <w:r>
              <w:rPr>
                <w:rFonts w:asciiTheme="minorHAnsi" w:eastAsia="Times New Roman" w:hAnsiTheme="minorHAnsi"/>
                <w:iCs/>
                <w:szCs w:val="17"/>
                <w:lang w:eastAsia="en-US"/>
              </w:rPr>
              <w:t xml:space="preserve">, </w:t>
            </w:r>
            <w:r w:rsidR="00C9647B" w:rsidRPr="00FD0FA2">
              <w:rPr>
                <w:rFonts w:asciiTheme="minorHAnsi" w:eastAsia="Times New Roman" w:hAnsiTheme="minorHAnsi"/>
                <w:iCs/>
                <w:szCs w:val="17"/>
                <w:lang w:eastAsia="en-US"/>
              </w:rPr>
              <w:t>refined project designs</w:t>
            </w:r>
            <w:r>
              <w:rPr>
                <w:rFonts w:asciiTheme="minorHAnsi" w:eastAsia="Times New Roman" w:hAnsiTheme="minorHAnsi"/>
                <w:iCs/>
                <w:szCs w:val="17"/>
                <w:lang w:eastAsia="en-US"/>
              </w:rPr>
              <w:t xml:space="preserve"> that were fit for purpose and </w:t>
            </w:r>
            <w:r w:rsidR="00C9647B" w:rsidRPr="00FD0FA2">
              <w:rPr>
                <w:rFonts w:asciiTheme="minorHAnsi" w:eastAsia="Times New Roman" w:hAnsiTheme="minorHAnsi"/>
                <w:iCs/>
                <w:szCs w:val="17"/>
                <w:lang w:eastAsia="en-US"/>
              </w:rPr>
              <w:t>budget</w:t>
            </w:r>
            <w:r w:rsidR="005543BF">
              <w:rPr>
                <w:rFonts w:asciiTheme="minorHAnsi" w:eastAsia="Times New Roman" w:hAnsiTheme="minorHAnsi"/>
                <w:iCs/>
                <w:szCs w:val="17"/>
                <w:lang w:eastAsia="en-US"/>
              </w:rPr>
              <w:t xml:space="preserve">ing that </w:t>
            </w:r>
            <w:r w:rsidR="00C9647B" w:rsidRPr="00FD0FA2">
              <w:rPr>
                <w:rFonts w:asciiTheme="minorHAnsi" w:eastAsia="Times New Roman" w:hAnsiTheme="minorHAnsi"/>
                <w:iCs/>
                <w:szCs w:val="17"/>
                <w:lang w:eastAsia="en-US"/>
              </w:rPr>
              <w:t>ensure</w:t>
            </w:r>
            <w:r w:rsidR="005543BF">
              <w:rPr>
                <w:rFonts w:asciiTheme="minorHAnsi" w:eastAsia="Times New Roman" w:hAnsiTheme="minorHAnsi"/>
                <w:iCs/>
                <w:szCs w:val="17"/>
                <w:lang w:eastAsia="en-US"/>
              </w:rPr>
              <w:t>s</w:t>
            </w:r>
            <w:r w:rsidR="00C9647B" w:rsidRPr="00FD0FA2">
              <w:rPr>
                <w:rFonts w:asciiTheme="minorHAnsi" w:eastAsia="Times New Roman" w:hAnsiTheme="minorHAnsi"/>
                <w:iCs/>
                <w:szCs w:val="17"/>
                <w:lang w:eastAsia="en-US"/>
              </w:rPr>
              <w:t xml:space="preserve"> value f</w:t>
            </w:r>
            <w:r>
              <w:rPr>
                <w:rFonts w:asciiTheme="minorHAnsi" w:eastAsia="Times New Roman" w:hAnsiTheme="minorHAnsi"/>
                <w:iCs/>
                <w:szCs w:val="17"/>
                <w:lang w:eastAsia="en-US"/>
              </w:rPr>
              <w:t>or money</w:t>
            </w:r>
            <w:r w:rsidR="00C9647B" w:rsidRPr="00FD0FA2">
              <w:rPr>
                <w:rFonts w:asciiTheme="minorHAnsi" w:eastAsia="Times New Roman" w:hAnsiTheme="minorHAnsi"/>
                <w:iCs/>
                <w:szCs w:val="17"/>
                <w:lang w:eastAsia="en-US"/>
              </w:rPr>
              <w:t>.</w:t>
            </w:r>
          </w:p>
        </w:tc>
      </w:tr>
      <w:tr w:rsidR="00400B0F" w:rsidRPr="00A427C6" w:rsidTr="009D603C">
        <w:trPr>
          <w:cnfStyle w:val="000000010000" w:firstRow="0" w:lastRow="0" w:firstColumn="0" w:lastColumn="0" w:oddVBand="0" w:evenVBand="0" w:oddHBand="0" w:evenHBand="1" w:firstRowFirstColumn="0" w:firstRowLastColumn="0" w:lastRowFirstColumn="0" w:lastRowLastColumn="0"/>
        </w:trPr>
        <w:tc>
          <w:tcPr>
            <w:tcW w:w="6473" w:type="dxa"/>
          </w:tcPr>
          <w:p w:rsidR="00A06440" w:rsidRPr="00A427C6" w:rsidRDefault="00A06440" w:rsidP="006F27B1">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ANAO performance audit recommendations fully addressed</w:t>
            </w:r>
            <w:r w:rsidR="005543BF">
              <w:rPr>
                <w:rFonts w:asciiTheme="minorHAnsi" w:eastAsia="Times New Roman" w:hAnsiTheme="minorHAnsi"/>
                <w:iCs/>
                <w:szCs w:val="17"/>
                <w:lang w:eastAsia="en-US"/>
              </w:rPr>
              <w:t>.</w:t>
            </w:r>
          </w:p>
        </w:tc>
        <w:tc>
          <w:tcPr>
            <w:tcW w:w="1248" w:type="dxa"/>
            <w:shd w:val="clear" w:color="auto" w:fill="009900"/>
          </w:tcPr>
          <w:p w:rsidR="00400B0F" w:rsidRPr="00A427C6" w:rsidRDefault="00400B0F" w:rsidP="006F27B1">
            <w:pPr>
              <w:keepLines/>
              <w:spacing w:before="40" w:after="40" w:line="200" w:lineRule="atLeast"/>
              <w:jc w:val="center"/>
              <w:rPr>
                <w:rFonts w:asciiTheme="minorHAnsi" w:eastAsia="Times New Roman" w:hAnsiTheme="minorHAnsi"/>
                <w:iCs/>
                <w:color w:val="FFFFFF" w:themeColor="background1"/>
                <w:szCs w:val="17"/>
                <w:lang w:eastAsia="en-US"/>
              </w:rPr>
            </w:pPr>
            <w:r w:rsidRPr="00A427C6">
              <w:rPr>
                <w:rFonts w:asciiTheme="minorHAnsi" w:eastAsia="Times New Roman" w:hAnsiTheme="minorHAnsi"/>
                <w:iCs/>
                <w:color w:val="FFFFFF" w:themeColor="background1"/>
                <w:szCs w:val="17"/>
                <w:lang w:eastAsia="en-US"/>
              </w:rPr>
              <w:t>Achieved</w:t>
            </w:r>
          </w:p>
        </w:tc>
        <w:tc>
          <w:tcPr>
            <w:tcW w:w="6612" w:type="dxa"/>
          </w:tcPr>
          <w:p w:rsidR="00400B0F" w:rsidRPr="00A427C6" w:rsidRDefault="005543BF" w:rsidP="006F27B1">
            <w:pPr>
              <w:keepLines/>
              <w:spacing w:before="40" w:after="40" w:line="200" w:lineRule="atLeast"/>
              <w:rPr>
                <w:rFonts w:asciiTheme="minorHAnsi" w:eastAsia="Times New Roman" w:hAnsiTheme="minorHAnsi"/>
                <w:iCs/>
                <w:color w:val="92D050"/>
                <w:szCs w:val="17"/>
                <w:lang w:eastAsia="en-US"/>
              </w:rPr>
            </w:pPr>
            <w:r w:rsidRPr="005543BF">
              <w:rPr>
                <w:rFonts w:asciiTheme="minorHAnsi" w:eastAsia="Times New Roman" w:hAnsiTheme="minorHAnsi"/>
                <w:iCs/>
                <w:szCs w:val="17"/>
                <w:lang w:eastAsia="en-US"/>
              </w:rPr>
              <w:t>DFAT has implemented the two recommendations of the ANAO performance audit on documenting risk and monitoring and evaluation planning.</w:t>
            </w:r>
          </w:p>
        </w:tc>
      </w:tr>
      <w:tr w:rsidR="00400B0F" w:rsidRPr="00A427C6" w:rsidTr="009D603C">
        <w:trPr>
          <w:cnfStyle w:val="000000010000" w:firstRow="0" w:lastRow="0" w:firstColumn="0" w:lastColumn="0" w:oddVBand="0" w:evenVBand="0" w:oddHBand="0" w:evenHBand="1" w:firstRowFirstColumn="0" w:firstRowLastColumn="0" w:lastRowFirstColumn="0" w:lastRowLastColumn="0"/>
        </w:trPr>
        <w:tc>
          <w:tcPr>
            <w:tcW w:w="6473" w:type="dxa"/>
          </w:tcPr>
          <w:p w:rsidR="00400B0F" w:rsidRPr="00A427C6" w:rsidRDefault="00084CBC" w:rsidP="001F3506">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Tropical Cyclone Pam</w:t>
            </w:r>
            <w:r w:rsidR="001F3506">
              <w:rPr>
                <w:rFonts w:asciiTheme="minorHAnsi" w:eastAsia="Times New Roman" w:hAnsiTheme="minorHAnsi"/>
                <w:iCs/>
                <w:szCs w:val="17"/>
                <w:lang w:eastAsia="en-US"/>
              </w:rPr>
              <w:t xml:space="preserve"> recover</w:t>
            </w:r>
            <w:r w:rsidR="009A0599">
              <w:rPr>
                <w:rFonts w:asciiTheme="minorHAnsi" w:eastAsia="Times New Roman" w:hAnsiTheme="minorHAnsi"/>
                <w:iCs/>
                <w:szCs w:val="17"/>
                <w:lang w:eastAsia="en-US"/>
              </w:rPr>
              <w:t>y</w:t>
            </w:r>
            <w:r w:rsidR="001F3506">
              <w:rPr>
                <w:rFonts w:asciiTheme="minorHAnsi" w:eastAsia="Times New Roman" w:hAnsiTheme="minorHAnsi"/>
                <w:iCs/>
                <w:szCs w:val="17"/>
                <w:lang w:eastAsia="en-US"/>
              </w:rPr>
              <w:t xml:space="preserve"> package receives strong management oversight to ensure that it is implemented effectively, </w:t>
            </w:r>
            <w:r w:rsidR="009A0599">
              <w:rPr>
                <w:rFonts w:asciiTheme="minorHAnsi" w:eastAsia="Times New Roman" w:hAnsiTheme="minorHAnsi"/>
                <w:iCs/>
                <w:szCs w:val="17"/>
                <w:lang w:eastAsia="en-US"/>
              </w:rPr>
              <w:t xml:space="preserve">that </w:t>
            </w:r>
            <w:r w:rsidR="001F3506">
              <w:rPr>
                <w:rFonts w:asciiTheme="minorHAnsi" w:eastAsia="Times New Roman" w:hAnsiTheme="minorHAnsi"/>
                <w:iCs/>
                <w:szCs w:val="17"/>
                <w:lang w:eastAsia="en-US"/>
              </w:rPr>
              <w:t>staff are supported and emerging risks are identified early.</w:t>
            </w:r>
          </w:p>
        </w:tc>
        <w:tc>
          <w:tcPr>
            <w:tcW w:w="1248" w:type="dxa"/>
            <w:shd w:val="clear" w:color="auto" w:fill="FF6600"/>
          </w:tcPr>
          <w:p w:rsidR="00400B0F" w:rsidRPr="00A427C6" w:rsidRDefault="00400B0F" w:rsidP="006F27B1">
            <w:pPr>
              <w:keepLines/>
              <w:spacing w:before="40" w:after="40" w:line="200" w:lineRule="atLeast"/>
              <w:jc w:val="center"/>
              <w:rPr>
                <w:rFonts w:asciiTheme="minorHAnsi" w:eastAsia="Times New Roman" w:hAnsiTheme="minorHAnsi"/>
                <w:iCs/>
                <w:color w:val="FFFFFF" w:themeColor="background1"/>
                <w:szCs w:val="17"/>
                <w:lang w:eastAsia="en-US"/>
              </w:rPr>
            </w:pPr>
            <w:r w:rsidRPr="00A427C6">
              <w:rPr>
                <w:rFonts w:asciiTheme="minorHAnsi" w:eastAsia="Times New Roman" w:hAnsiTheme="minorHAnsi"/>
                <w:iCs/>
                <w:color w:val="FFFFFF" w:themeColor="background1"/>
                <w:szCs w:val="17"/>
                <w:lang w:eastAsia="en-US"/>
              </w:rPr>
              <w:t>Partly achieved</w:t>
            </w:r>
          </w:p>
        </w:tc>
        <w:tc>
          <w:tcPr>
            <w:tcW w:w="6612" w:type="dxa"/>
          </w:tcPr>
          <w:p w:rsidR="00400B0F" w:rsidRPr="00A427C6" w:rsidRDefault="00ED5B2E" w:rsidP="00ED5B2E">
            <w:pPr>
              <w:keepLines/>
              <w:spacing w:before="40" w:after="40" w:line="200" w:lineRule="atLeast"/>
              <w:rPr>
                <w:rFonts w:asciiTheme="minorHAnsi" w:eastAsia="Times New Roman" w:hAnsiTheme="minorHAnsi"/>
                <w:iCs/>
                <w:color w:val="409F68" w:themeColor="accent6"/>
                <w:szCs w:val="17"/>
                <w:lang w:eastAsia="en-US"/>
              </w:rPr>
            </w:pPr>
            <w:r w:rsidRPr="00ED5B2E">
              <w:rPr>
                <w:rFonts w:asciiTheme="minorHAnsi" w:eastAsia="Times New Roman" w:hAnsiTheme="minorHAnsi"/>
                <w:iCs/>
                <w:szCs w:val="17"/>
                <w:lang w:eastAsia="en-US"/>
              </w:rPr>
              <w:t xml:space="preserve">Post is working closely with Vanuatu Government agencies to ensure that </w:t>
            </w:r>
            <w:r w:rsidR="00084CBC">
              <w:rPr>
                <w:rFonts w:asciiTheme="minorHAnsi" w:eastAsia="Times New Roman" w:hAnsiTheme="minorHAnsi"/>
                <w:iCs/>
                <w:szCs w:val="17"/>
                <w:lang w:eastAsia="en-US"/>
              </w:rPr>
              <w:t>Tropical Cyclone Pam</w:t>
            </w:r>
            <w:r w:rsidRPr="00ED5B2E">
              <w:rPr>
                <w:rFonts w:asciiTheme="minorHAnsi" w:eastAsia="Times New Roman" w:hAnsiTheme="minorHAnsi"/>
                <w:iCs/>
                <w:szCs w:val="17"/>
                <w:lang w:eastAsia="en-US"/>
              </w:rPr>
              <w:t xml:space="preserve"> recovery funds are programmed effectively, in line with DFAT quality standards.  However, a monitoring and evaluation framework is not yet in place.  A program</w:t>
            </w:r>
            <w:r w:rsidRPr="00ED5B2E">
              <w:rPr>
                <w:rFonts w:asciiTheme="minorHAnsi" w:eastAsia="Times New Roman" w:hAnsiTheme="minorHAnsi"/>
                <w:iCs/>
                <w:szCs w:val="17"/>
                <w:lang w:eastAsia="en-US"/>
              </w:rPr>
              <w:noBreakHyphen/>
              <w:t>level risk register is monitored by Post through regular fortnightly meetings to ensure that emerging risks are identified early.</w:t>
            </w:r>
          </w:p>
        </w:tc>
      </w:tr>
      <w:tr w:rsidR="00400B0F" w:rsidRPr="00A427C6" w:rsidTr="009D603C">
        <w:trPr>
          <w:cnfStyle w:val="000000010000" w:firstRow="0" w:lastRow="0" w:firstColumn="0" w:lastColumn="0" w:oddVBand="0" w:evenVBand="0" w:oddHBand="0" w:evenHBand="1" w:firstRowFirstColumn="0" w:firstRowLastColumn="0" w:lastRowFirstColumn="0" w:lastRowLastColumn="0"/>
        </w:trPr>
        <w:tc>
          <w:tcPr>
            <w:tcW w:w="6473" w:type="dxa"/>
          </w:tcPr>
          <w:p w:rsidR="001F3506" w:rsidRPr="00A427C6" w:rsidRDefault="009A0599" w:rsidP="006F27B1">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Program design processes are adequately resourced, achieve efficiency and consolidation objectives, and transition plans are in place.</w:t>
            </w:r>
          </w:p>
        </w:tc>
        <w:tc>
          <w:tcPr>
            <w:tcW w:w="1248" w:type="dxa"/>
            <w:shd w:val="clear" w:color="auto" w:fill="009900"/>
          </w:tcPr>
          <w:p w:rsidR="00400B0F" w:rsidRPr="00A427C6" w:rsidRDefault="002261A1" w:rsidP="006F27B1">
            <w:pPr>
              <w:keepLines/>
              <w:spacing w:before="40" w:after="40" w:line="200" w:lineRule="atLeast"/>
              <w:jc w:val="center"/>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lang w:eastAsia="en-US"/>
              </w:rPr>
              <w:t>A</w:t>
            </w:r>
            <w:r w:rsidR="00400B0F" w:rsidRPr="00A427C6">
              <w:rPr>
                <w:rFonts w:asciiTheme="minorHAnsi" w:eastAsia="Times New Roman" w:hAnsiTheme="minorHAnsi"/>
                <w:iCs/>
                <w:color w:val="FFFFFF" w:themeColor="background1"/>
                <w:szCs w:val="17"/>
                <w:lang w:eastAsia="en-US"/>
              </w:rPr>
              <w:t>chieved</w:t>
            </w:r>
          </w:p>
        </w:tc>
        <w:tc>
          <w:tcPr>
            <w:tcW w:w="6612" w:type="dxa"/>
          </w:tcPr>
          <w:p w:rsidR="00400B0F" w:rsidRPr="00A427C6" w:rsidRDefault="00584FE1" w:rsidP="006F27B1">
            <w:pPr>
              <w:keepLines/>
              <w:spacing w:before="40" w:after="40" w:line="200" w:lineRule="atLeast"/>
              <w:rPr>
                <w:rFonts w:asciiTheme="minorHAnsi" w:eastAsia="Times New Roman" w:hAnsiTheme="minorHAnsi"/>
                <w:iCs/>
                <w:color w:val="409F68" w:themeColor="accent6"/>
                <w:szCs w:val="17"/>
                <w:lang w:eastAsia="en-US"/>
              </w:rPr>
            </w:pPr>
            <w:r w:rsidRPr="00584FE1">
              <w:rPr>
                <w:rFonts w:asciiTheme="minorHAnsi" w:eastAsia="Times New Roman" w:hAnsiTheme="minorHAnsi"/>
                <w:iCs/>
                <w:szCs w:val="17"/>
                <w:lang w:eastAsia="en-US"/>
              </w:rPr>
              <w:t>Design and implementation of next phases of TVET and PJSPV programs have been adequately resourced at post, and supplemented by specialist personnel as required.   Program redesigns and refinements have been informed by previous AQCs and independent evaluations.  Planning for the independent evaluation of R4D occurred during the reporting period, and has been mindful of having appropriate specialist expertise on the evaluation team.</w:t>
            </w:r>
          </w:p>
        </w:tc>
      </w:tr>
      <w:tr w:rsidR="001F3506" w:rsidRPr="00A427C6" w:rsidTr="009D603C">
        <w:trPr>
          <w:cnfStyle w:val="000000010000" w:firstRow="0" w:lastRow="0" w:firstColumn="0" w:lastColumn="0" w:oddVBand="0" w:evenVBand="0" w:oddHBand="0" w:evenHBand="1" w:firstRowFirstColumn="0" w:firstRowLastColumn="0" w:lastRowFirstColumn="0" w:lastRowLastColumn="0"/>
        </w:trPr>
        <w:tc>
          <w:tcPr>
            <w:tcW w:w="6473" w:type="dxa"/>
          </w:tcPr>
          <w:p w:rsidR="001F3506" w:rsidRDefault="009A0599" w:rsidP="006F27B1">
            <w:pPr>
              <w:keepLines/>
              <w:spacing w:before="40" w:after="40" w:line="200" w:lineRule="atLeast"/>
              <w:rPr>
                <w:rFonts w:eastAsia="Times New Roman"/>
                <w:iCs/>
                <w:szCs w:val="17"/>
              </w:rPr>
            </w:pPr>
            <w:r w:rsidRPr="00ED5B2E">
              <w:rPr>
                <w:rFonts w:asciiTheme="minorHAnsi" w:eastAsia="Times New Roman" w:hAnsiTheme="minorHAnsi"/>
                <w:iCs/>
                <w:szCs w:val="17"/>
                <w:lang w:eastAsia="en-US"/>
              </w:rPr>
              <w:t>Budget Management</w:t>
            </w:r>
          </w:p>
        </w:tc>
        <w:tc>
          <w:tcPr>
            <w:tcW w:w="1248" w:type="dxa"/>
            <w:shd w:val="clear" w:color="auto" w:fill="FF6600"/>
          </w:tcPr>
          <w:p w:rsidR="001F3506" w:rsidRPr="002261A1" w:rsidRDefault="002261A1" w:rsidP="006F27B1">
            <w:pPr>
              <w:keepLines/>
              <w:spacing w:before="40" w:after="40" w:line="200" w:lineRule="atLeast"/>
              <w:jc w:val="center"/>
              <w:rPr>
                <w:rFonts w:asciiTheme="minorHAnsi" w:eastAsia="Times New Roman" w:hAnsiTheme="minorHAnsi"/>
                <w:iCs/>
                <w:color w:val="FFFFFF" w:themeColor="background1"/>
                <w:szCs w:val="17"/>
                <w:lang w:eastAsia="en-US"/>
              </w:rPr>
            </w:pPr>
            <w:r w:rsidRPr="002261A1">
              <w:rPr>
                <w:rFonts w:asciiTheme="minorHAnsi" w:eastAsia="Times New Roman" w:hAnsiTheme="minorHAnsi"/>
                <w:iCs/>
                <w:color w:val="FFFFFF" w:themeColor="background1"/>
                <w:szCs w:val="17"/>
                <w:lang w:eastAsia="en-US"/>
              </w:rPr>
              <w:t>Partly achieved</w:t>
            </w:r>
          </w:p>
        </w:tc>
        <w:tc>
          <w:tcPr>
            <w:tcW w:w="6612" w:type="dxa"/>
          </w:tcPr>
          <w:p w:rsidR="001F3506" w:rsidRPr="00A427C6" w:rsidRDefault="00FD1CCD" w:rsidP="006F27B1">
            <w:pPr>
              <w:keepLines/>
              <w:spacing w:before="40" w:after="40" w:line="200" w:lineRule="atLeast"/>
              <w:rPr>
                <w:rFonts w:eastAsia="Times New Roman"/>
                <w:iCs/>
                <w:color w:val="409F68" w:themeColor="accent6"/>
                <w:szCs w:val="17"/>
              </w:rPr>
            </w:pPr>
            <w:r w:rsidRPr="00FD1CCD">
              <w:rPr>
                <w:rFonts w:asciiTheme="minorHAnsi" w:eastAsia="Times New Roman" w:hAnsiTheme="minorHAnsi"/>
                <w:iCs/>
                <w:szCs w:val="17"/>
                <w:lang w:eastAsia="en-US"/>
              </w:rPr>
              <w:t>Ongoing close monitoring and management of the budget, mindful of high program funding commitment levels, ensured that contingencies were effectively managed during the reporting period.</w:t>
            </w:r>
          </w:p>
        </w:tc>
      </w:tr>
      <w:tr w:rsidR="001F3506" w:rsidRPr="00A427C6" w:rsidTr="009D603C">
        <w:trPr>
          <w:cnfStyle w:val="000000010000" w:firstRow="0" w:lastRow="0" w:firstColumn="0" w:lastColumn="0" w:oddVBand="0" w:evenVBand="0" w:oddHBand="0" w:evenHBand="1" w:firstRowFirstColumn="0" w:firstRowLastColumn="0" w:lastRowFirstColumn="0" w:lastRowLastColumn="0"/>
        </w:trPr>
        <w:tc>
          <w:tcPr>
            <w:tcW w:w="6473" w:type="dxa"/>
          </w:tcPr>
          <w:p w:rsidR="001F3506" w:rsidRDefault="009A0599" w:rsidP="006F27B1">
            <w:pPr>
              <w:keepLines/>
              <w:spacing w:before="40" w:after="40" w:line="200" w:lineRule="atLeast"/>
              <w:rPr>
                <w:rFonts w:eastAsia="Times New Roman"/>
                <w:iCs/>
                <w:szCs w:val="17"/>
              </w:rPr>
            </w:pPr>
            <w:r w:rsidRPr="00ED5B2E">
              <w:rPr>
                <w:rFonts w:asciiTheme="minorHAnsi" w:eastAsia="Times New Roman" w:hAnsiTheme="minorHAnsi"/>
                <w:iCs/>
                <w:szCs w:val="17"/>
                <w:lang w:eastAsia="en-US"/>
              </w:rPr>
              <w:t>Gender and disability</w:t>
            </w:r>
          </w:p>
        </w:tc>
        <w:tc>
          <w:tcPr>
            <w:tcW w:w="1248" w:type="dxa"/>
            <w:tcBorders>
              <w:bottom w:val="single" w:sz="12" w:space="0" w:color="000000" w:themeColor="text1"/>
            </w:tcBorders>
            <w:shd w:val="clear" w:color="auto" w:fill="FF6600"/>
          </w:tcPr>
          <w:p w:rsidR="001F3506" w:rsidRPr="00A427C6" w:rsidRDefault="002261A1" w:rsidP="006F27B1">
            <w:pPr>
              <w:keepLines/>
              <w:spacing w:before="40" w:after="40" w:line="200" w:lineRule="atLeast"/>
              <w:jc w:val="center"/>
              <w:rPr>
                <w:rFonts w:eastAsia="Times New Roman"/>
                <w:iCs/>
                <w:color w:val="FFFFFF" w:themeColor="background1"/>
                <w:szCs w:val="17"/>
              </w:rPr>
            </w:pPr>
            <w:r>
              <w:rPr>
                <w:rFonts w:eastAsia="Times New Roman"/>
                <w:iCs/>
                <w:color w:val="FFFFFF" w:themeColor="background1"/>
                <w:szCs w:val="17"/>
              </w:rPr>
              <w:t>Partly achieved</w:t>
            </w:r>
          </w:p>
        </w:tc>
        <w:tc>
          <w:tcPr>
            <w:tcW w:w="6612" w:type="dxa"/>
          </w:tcPr>
          <w:p w:rsidR="001F3506" w:rsidRPr="00A427C6" w:rsidRDefault="00FD1CCD" w:rsidP="00FD1CCD">
            <w:pPr>
              <w:keepLines/>
              <w:spacing w:before="40" w:after="40" w:line="200" w:lineRule="atLeast"/>
              <w:rPr>
                <w:rFonts w:eastAsia="Times New Roman"/>
                <w:iCs/>
                <w:color w:val="409F68" w:themeColor="accent6"/>
                <w:szCs w:val="17"/>
              </w:rPr>
            </w:pPr>
            <w:r w:rsidRPr="003933DE">
              <w:rPr>
                <w:rFonts w:asciiTheme="minorHAnsi" w:eastAsia="Times New Roman" w:hAnsiTheme="minorHAnsi"/>
                <w:iCs/>
                <w:szCs w:val="17"/>
                <w:lang w:eastAsia="en-US"/>
              </w:rPr>
              <w:t>Gender equality and disability inclusion challenges are being constructively addressed across the program.  This includes: targeted stakeholder engagement (scholarship alumni activities), monitoring and evaluation (women’s participation rates in TVET programs, program design objectives/outcomes, gender analysis of health sector to identify entry points, improved reporting on gender equality and disability inclusion in R4D)</w:t>
            </w:r>
            <w:r w:rsidR="003933DE" w:rsidRPr="003933DE">
              <w:rPr>
                <w:rFonts w:asciiTheme="minorHAnsi" w:eastAsia="Times New Roman" w:hAnsiTheme="minorHAnsi"/>
                <w:iCs/>
                <w:szCs w:val="17"/>
                <w:lang w:eastAsia="en-US"/>
              </w:rPr>
              <w:t>, and other (employing tactics to restore women’s participation to a higher level (TVET/Pacific Women, consider funding support for advocacy on gender</w:t>
            </w:r>
            <w:r w:rsidR="003933DE" w:rsidRPr="003933DE">
              <w:rPr>
                <w:rFonts w:asciiTheme="minorHAnsi" w:eastAsia="Times New Roman" w:hAnsiTheme="minorHAnsi"/>
                <w:iCs/>
                <w:szCs w:val="17"/>
                <w:lang w:eastAsia="en-US"/>
              </w:rPr>
              <w:noBreakHyphen/>
              <w:t>based violence through WSB)</w:t>
            </w:r>
            <w:r w:rsidRPr="003933DE">
              <w:rPr>
                <w:rFonts w:asciiTheme="minorHAnsi" w:eastAsia="Times New Roman" w:hAnsiTheme="minorHAnsi"/>
                <w:iCs/>
                <w:szCs w:val="17"/>
                <w:lang w:eastAsia="en-US"/>
              </w:rPr>
              <w:t>.</w:t>
            </w:r>
          </w:p>
        </w:tc>
      </w:tr>
    </w:tbl>
    <w:p w:rsidR="00400B0F" w:rsidRPr="00A427C6" w:rsidRDefault="00400B0F" w:rsidP="00400B0F">
      <w:pPr>
        <w:spacing w:before="20" w:after="20" w:line="180" w:lineRule="atLeast"/>
        <w:jc w:val="both"/>
        <w:rPr>
          <w:rFonts w:eastAsia="Times New Roman"/>
          <w:b/>
          <w:sz w:val="16"/>
          <w:szCs w:val="14"/>
        </w:rPr>
      </w:pPr>
      <w:r w:rsidRPr="00A427C6">
        <w:rPr>
          <w:rFonts w:eastAsia="Times New Roman"/>
          <w:b/>
          <w:sz w:val="16"/>
          <w:szCs w:val="14"/>
        </w:rPr>
        <w:t xml:space="preserve">Note: </w:t>
      </w:r>
    </w:p>
    <w:p w:rsidR="00400B0F" w:rsidRPr="00A427C6" w:rsidRDefault="00400B0F" w:rsidP="00400B0F">
      <w:pPr>
        <w:spacing w:before="20" w:after="20" w:line="180" w:lineRule="atLeast"/>
        <w:jc w:val="both"/>
        <w:rPr>
          <w:rFonts w:eastAsia="Times New Roman"/>
          <w:b/>
          <w:sz w:val="16"/>
          <w:szCs w:val="14"/>
        </w:rPr>
      </w:pPr>
      <w:r w:rsidRPr="00A427C6">
        <w:rPr>
          <w:rFonts w:eastAsia="Times New Roman"/>
          <w:b/>
          <w:color w:val="72AF2F"/>
          <w:sz w:val="16"/>
          <w:szCs w:val="14"/>
        </w:rPr>
        <w:sym w:font="Webdings" w:char="F067"/>
      </w:r>
      <w:r w:rsidRPr="00A427C6">
        <w:rPr>
          <w:rFonts w:eastAsia="Times New Roman"/>
          <w:b/>
          <w:sz w:val="16"/>
          <w:szCs w:val="14"/>
        </w:rPr>
        <w:t> </w:t>
      </w:r>
      <w:r w:rsidRPr="00A427C6">
        <w:rPr>
          <w:rFonts w:eastAsia="Times New Roman"/>
          <w:b/>
          <w:sz w:val="16"/>
          <w:szCs w:val="14"/>
        </w:rPr>
        <w:t xml:space="preserve"> Achieved.  Significant progress has been made in addressing the issue </w:t>
      </w:r>
    </w:p>
    <w:p w:rsidR="00400B0F" w:rsidRPr="00A427C6" w:rsidRDefault="00400B0F" w:rsidP="00400B0F">
      <w:pPr>
        <w:spacing w:before="20" w:after="20" w:line="180" w:lineRule="atLeast"/>
        <w:jc w:val="both"/>
        <w:rPr>
          <w:rFonts w:eastAsia="Times New Roman"/>
          <w:b/>
          <w:sz w:val="16"/>
          <w:szCs w:val="14"/>
        </w:rPr>
      </w:pPr>
      <w:r w:rsidRPr="00A427C6">
        <w:rPr>
          <w:rFonts w:eastAsia="Times New Roman"/>
          <w:b/>
          <w:color w:val="E36C0A"/>
          <w:sz w:val="16"/>
          <w:szCs w:val="14"/>
        </w:rPr>
        <w:sym w:font="Webdings" w:char="F067"/>
      </w:r>
      <w:r w:rsidRPr="00A427C6">
        <w:rPr>
          <w:rFonts w:eastAsia="Times New Roman"/>
          <w:b/>
          <w:sz w:val="16"/>
          <w:szCs w:val="14"/>
        </w:rPr>
        <w:t> </w:t>
      </w:r>
      <w:r w:rsidRPr="00A427C6">
        <w:rPr>
          <w:rFonts w:eastAsia="Times New Roman"/>
          <w:b/>
          <w:sz w:val="16"/>
          <w:szCs w:val="14"/>
        </w:rPr>
        <w:t xml:space="preserve"> Partly achieved.  Some progress has been made in addressing the issue, but the issue has not been resolved </w:t>
      </w:r>
    </w:p>
    <w:p w:rsidR="00400B0F" w:rsidRPr="00A427C6" w:rsidRDefault="00400B0F" w:rsidP="00400B0F">
      <w:pPr>
        <w:spacing w:before="20" w:after="20" w:line="180" w:lineRule="atLeast"/>
        <w:jc w:val="both"/>
        <w:rPr>
          <w:rFonts w:eastAsia="Times New Roman"/>
          <w:b/>
          <w:sz w:val="16"/>
          <w:szCs w:val="14"/>
        </w:rPr>
      </w:pPr>
      <w:r w:rsidRPr="00A427C6">
        <w:rPr>
          <w:rFonts w:eastAsia="Times New Roman"/>
          <w:b/>
          <w:color w:val="FF0000"/>
          <w:sz w:val="16"/>
          <w:szCs w:val="14"/>
        </w:rPr>
        <w:sym w:font="Webdings" w:char="F067"/>
      </w:r>
      <w:r w:rsidRPr="00A427C6">
        <w:rPr>
          <w:rFonts w:eastAsia="Times New Roman"/>
          <w:b/>
          <w:sz w:val="16"/>
          <w:szCs w:val="14"/>
        </w:rPr>
        <w:t> </w:t>
      </w:r>
      <w:r w:rsidRPr="00A427C6">
        <w:rPr>
          <w:rFonts w:eastAsia="Times New Roman"/>
          <w:b/>
          <w:sz w:val="16"/>
          <w:szCs w:val="14"/>
        </w:rPr>
        <w:t xml:space="preserve"> Not achieved. Progress in addressing the issue has been significantly below expectations</w:t>
      </w:r>
    </w:p>
    <w:p w:rsidR="00400B0F" w:rsidRPr="00A427C6" w:rsidRDefault="00400B0F" w:rsidP="00400B0F">
      <w:pPr>
        <w:spacing w:after="160" w:line="280" w:lineRule="exact"/>
        <w:rPr>
          <w:rFonts w:eastAsia="Times New Roman"/>
          <w:sz w:val="21"/>
        </w:rPr>
      </w:pPr>
    </w:p>
    <w:p w:rsidR="00400B0F" w:rsidRPr="00400B0F" w:rsidRDefault="00400B0F" w:rsidP="00400B0F">
      <w:pPr>
        <w:pStyle w:val="Subtitle"/>
        <w:numPr>
          <w:ilvl w:val="0"/>
          <w:numId w:val="0"/>
        </w:numPr>
      </w:pPr>
      <w:r w:rsidRPr="00400B0F">
        <w:t>Annex B - Progress towards Performance Benchmarks in 2015-16</w:t>
      </w:r>
    </w:p>
    <w:tbl>
      <w:tblPr>
        <w:tblStyle w:val="DFATTable"/>
        <w:tblW w:w="5000" w:type="pct"/>
        <w:tblLook w:val="04A0" w:firstRow="1" w:lastRow="0" w:firstColumn="1" w:lastColumn="0" w:noHBand="0" w:noVBand="1"/>
      </w:tblPr>
      <w:tblGrid>
        <w:gridCol w:w="2289"/>
        <w:gridCol w:w="2289"/>
        <w:gridCol w:w="1380"/>
        <w:gridCol w:w="8718"/>
      </w:tblGrid>
      <w:tr w:rsidR="00400B0F" w:rsidRPr="00A427C6" w:rsidTr="006F27B1">
        <w:trPr>
          <w:tblHeader/>
        </w:trPr>
        <w:tc>
          <w:tcPr>
            <w:tcW w:w="780" w:type="pct"/>
            <w:tcMar>
              <w:top w:w="57" w:type="dxa"/>
              <w:bottom w:w="57" w:type="dxa"/>
            </w:tcMar>
          </w:tcPr>
          <w:p w:rsidR="00400B0F" w:rsidRPr="00A427C6" w:rsidRDefault="00400B0F" w:rsidP="006F27B1">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Aid objective</w:t>
            </w:r>
          </w:p>
        </w:tc>
        <w:tc>
          <w:tcPr>
            <w:tcW w:w="780" w:type="pct"/>
          </w:tcPr>
          <w:p w:rsidR="00400B0F" w:rsidRPr="00A427C6" w:rsidRDefault="00400B0F" w:rsidP="00700C6F">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201</w:t>
            </w:r>
            <w:r w:rsidR="00700C6F">
              <w:rPr>
                <w:rFonts w:asciiTheme="minorHAnsi" w:eastAsia="Times New Roman" w:hAnsiTheme="minorHAnsi"/>
                <w:b/>
                <w:iCs/>
                <w:szCs w:val="17"/>
                <w:lang w:eastAsia="en-US"/>
              </w:rPr>
              <w:t>5-16</w:t>
            </w:r>
            <w:r w:rsidRPr="00A427C6">
              <w:rPr>
                <w:rFonts w:asciiTheme="minorHAnsi" w:eastAsia="Times New Roman" w:hAnsiTheme="minorHAnsi"/>
                <w:b/>
                <w:iCs/>
                <w:szCs w:val="17"/>
                <w:lang w:eastAsia="en-US"/>
              </w:rPr>
              <w:t xml:space="preserve"> benchmark </w:t>
            </w:r>
          </w:p>
        </w:tc>
        <w:tc>
          <w:tcPr>
            <w:tcW w:w="470" w:type="pct"/>
          </w:tcPr>
          <w:p w:rsidR="00400B0F" w:rsidRPr="00A427C6" w:rsidRDefault="00400B0F" w:rsidP="006F27B1">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Rating</w:t>
            </w:r>
          </w:p>
        </w:tc>
        <w:tc>
          <w:tcPr>
            <w:tcW w:w="2970" w:type="pct"/>
          </w:tcPr>
          <w:p w:rsidR="00400B0F" w:rsidRPr="00A427C6" w:rsidRDefault="00400B0F" w:rsidP="006F27B1">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Progress in 2015-16</w:t>
            </w:r>
          </w:p>
        </w:tc>
      </w:tr>
    </w:tbl>
    <w:tbl>
      <w:tblPr>
        <w:tblStyle w:val="DFATTable10"/>
        <w:tblW w:w="5000" w:type="pct"/>
        <w:tblLook w:val="04A0" w:firstRow="1" w:lastRow="0" w:firstColumn="1" w:lastColumn="0" w:noHBand="0" w:noVBand="1"/>
      </w:tblPr>
      <w:tblGrid>
        <w:gridCol w:w="2289"/>
        <w:gridCol w:w="2289"/>
        <w:gridCol w:w="1380"/>
        <w:gridCol w:w="8718"/>
      </w:tblGrid>
      <w:tr w:rsidR="00581230" w:rsidRPr="00A427C6" w:rsidTr="00FC2790">
        <w:tc>
          <w:tcPr>
            <w:tcW w:w="5000" w:type="pct"/>
            <w:gridSpan w:val="4"/>
            <w:tcMar>
              <w:top w:w="57" w:type="dxa"/>
              <w:bottom w:w="57" w:type="dxa"/>
            </w:tcMar>
          </w:tcPr>
          <w:p w:rsidR="00581230" w:rsidRDefault="00581230" w:rsidP="00FC2790">
            <w:pPr>
              <w:keepLines/>
              <w:spacing w:before="40" w:after="40" w:line="200" w:lineRule="atLeast"/>
              <w:rPr>
                <w:rFonts w:eastAsia="Times New Roman"/>
                <w:iCs/>
                <w:szCs w:val="17"/>
              </w:rPr>
            </w:pPr>
            <w:r w:rsidRPr="003A5E6D">
              <w:rPr>
                <w:rFonts w:asciiTheme="minorHAnsi" w:eastAsia="Times New Roman" w:hAnsiTheme="minorHAnsi"/>
                <w:b/>
                <w:iCs/>
                <w:szCs w:val="17"/>
                <w:lang w:eastAsia="en-US"/>
              </w:rPr>
              <w:t>Objective 1: Build better infrastructure and an environment for economic opportunity</w:t>
            </w:r>
          </w:p>
        </w:tc>
      </w:tr>
      <w:tr w:rsidR="00581230" w:rsidRPr="00A427C6" w:rsidTr="00AE12F8">
        <w:tc>
          <w:tcPr>
            <w:tcW w:w="780" w:type="pct"/>
            <w:tcMar>
              <w:top w:w="57" w:type="dxa"/>
              <w:bottom w:w="57" w:type="dxa"/>
            </w:tcMar>
          </w:tcPr>
          <w:p w:rsidR="00581230" w:rsidRPr="003A5E6D" w:rsidRDefault="00581230" w:rsidP="00FC2790">
            <w:pPr>
              <w:keepLines/>
              <w:spacing w:before="40" w:after="40" w:line="200" w:lineRule="atLeast"/>
              <w:rPr>
                <w:rFonts w:eastAsia="Times New Roman"/>
                <w:b/>
                <w:iCs/>
                <w:szCs w:val="17"/>
              </w:rPr>
            </w:pPr>
            <w:r>
              <w:rPr>
                <w:rFonts w:asciiTheme="minorHAnsi" w:eastAsia="Times New Roman" w:hAnsiTheme="minorHAnsi"/>
                <w:iCs/>
                <w:szCs w:val="17"/>
                <w:lang w:eastAsia="en-US"/>
              </w:rPr>
              <w:t>1.1  Increase in Vanuatu’s rural access index (RAI)</w:t>
            </w:r>
          </w:p>
        </w:tc>
        <w:tc>
          <w:tcPr>
            <w:tcW w:w="780" w:type="pct"/>
          </w:tcPr>
          <w:p w:rsidR="00581230" w:rsidRPr="00A73A44" w:rsidRDefault="00581230" w:rsidP="00FC2790">
            <w:pPr>
              <w:keepLines/>
              <w:spacing w:before="40" w:after="40" w:line="200" w:lineRule="atLeast"/>
              <w:jc w:val="center"/>
              <w:rPr>
                <w:rFonts w:asciiTheme="minorHAnsi" w:hAnsiTheme="minorHAnsi"/>
                <w:szCs w:val="17"/>
              </w:rPr>
            </w:pPr>
            <w:r w:rsidRPr="006D5780">
              <w:rPr>
                <w:rFonts w:asciiTheme="minorHAnsi" w:hAnsiTheme="minorHAnsi"/>
                <w:szCs w:val="17"/>
              </w:rPr>
              <w:t>77% (baseline)</w:t>
            </w:r>
          </w:p>
        </w:tc>
        <w:tc>
          <w:tcPr>
            <w:tcW w:w="470" w:type="pct"/>
            <w:tcBorders>
              <w:bottom w:val="nil"/>
            </w:tcBorders>
            <w:shd w:val="clear" w:color="auto" w:fill="FF0000"/>
          </w:tcPr>
          <w:p w:rsidR="00581230" w:rsidRPr="00A73A44" w:rsidRDefault="00581230" w:rsidP="00FC2790">
            <w:pPr>
              <w:keepLines/>
              <w:spacing w:before="40" w:after="40" w:line="200" w:lineRule="atLeast"/>
              <w:jc w:val="center"/>
              <w:rPr>
                <w:rFonts w:asciiTheme="minorHAnsi" w:eastAsia="Times New Roman" w:hAnsiTheme="minorHAnsi"/>
                <w:iCs/>
                <w:color w:val="FFFFFF" w:themeColor="background1"/>
                <w:szCs w:val="17"/>
                <w:lang w:eastAsia="en-US"/>
              </w:rPr>
            </w:pPr>
            <w:r w:rsidRPr="00A73A44">
              <w:rPr>
                <w:rFonts w:asciiTheme="minorHAnsi" w:eastAsia="Times New Roman" w:hAnsiTheme="minorHAnsi"/>
                <w:iCs/>
                <w:color w:val="FFFFFF" w:themeColor="background1"/>
                <w:szCs w:val="17"/>
                <w:lang w:eastAsia="en-US"/>
              </w:rPr>
              <w:t>Not Achieved</w:t>
            </w:r>
          </w:p>
        </w:tc>
        <w:tc>
          <w:tcPr>
            <w:tcW w:w="2970" w:type="pct"/>
          </w:tcPr>
          <w:p w:rsidR="00581230" w:rsidRDefault="00581230" w:rsidP="00FC2790">
            <w:pPr>
              <w:keepLines/>
              <w:spacing w:before="40" w:after="40" w:line="200" w:lineRule="atLeast"/>
              <w:rPr>
                <w:rFonts w:eastAsia="Times New Roman"/>
                <w:iCs/>
                <w:szCs w:val="17"/>
              </w:rPr>
            </w:pPr>
            <w:r w:rsidRPr="002C09BA">
              <w:rPr>
                <w:rFonts w:asciiTheme="minorHAnsi" w:hAnsiTheme="minorHAnsi"/>
                <w:szCs w:val="17"/>
              </w:rPr>
              <w:t>This was</w:t>
            </w:r>
            <w:r>
              <w:rPr>
                <w:rFonts w:asciiTheme="minorHAnsi" w:hAnsiTheme="minorHAnsi"/>
                <w:szCs w:val="17"/>
              </w:rPr>
              <w:t xml:space="preserve"> </w:t>
            </w:r>
            <w:r w:rsidRPr="002C09BA">
              <w:rPr>
                <w:rFonts w:asciiTheme="minorHAnsi" w:hAnsiTheme="minorHAnsi"/>
                <w:szCs w:val="17"/>
              </w:rPr>
              <w:t>n</w:t>
            </w:r>
            <w:r>
              <w:rPr>
                <w:rFonts w:asciiTheme="minorHAnsi" w:hAnsiTheme="minorHAnsi"/>
                <w:szCs w:val="17"/>
              </w:rPr>
              <w:t>o</w:t>
            </w:r>
            <w:r w:rsidRPr="002C09BA">
              <w:rPr>
                <w:rFonts w:asciiTheme="minorHAnsi" w:hAnsiTheme="minorHAnsi"/>
                <w:szCs w:val="17"/>
              </w:rPr>
              <w:t>t measur</w:t>
            </w:r>
            <w:r>
              <w:rPr>
                <w:rFonts w:asciiTheme="minorHAnsi" w:hAnsiTheme="minorHAnsi"/>
                <w:szCs w:val="17"/>
              </w:rPr>
              <w:t>ed</w:t>
            </w:r>
            <w:r w:rsidRPr="002C09BA">
              <w:rPr>
                <w:rFonts w:asciiTheme="minorHAnsi" w:hAnsiTheme="minorHAnsi"/>
                <w:szCs w:val="17"/>
              </w:rPr>
              <w:t xml:space="preserve"> </w:t>
            </w:r>
            <w:r>
              <w:rPr>
                <w:rFonts w:asciiTheme="minorHAnsi" w:hAnsiTheme="minorHAnsi"/>
                <w:szCs w:val="17"/>
              </w:rPr>
              <w:t xml:space="preserve">in </w:t>
            </w:r>
            <w:r w:rsidRPr="002C09BA">
              <w:rPr>
                <w:rFonts w:asciiTheme="minorHAnsi" w:hAnsiTheme="minorHAnsi"/>
                <w:szCs w:val="17"/>
              </w:rPr>
              <w:t>2015</w:t>
            </w:r>
            <w:r w:rsidR="004D7709">
              <w:rPr>
                <w:rFonts w:asciiTheme="minorHAnsi" w:hAnsiTheme="minorHAnsi"/>
                <w:szCs w:val="17"/>
              </w:rPr>
              <w:noBreakHyphen/>
            </w:r>
            <w:r w:rsidRPr="002C09BA">
              <w:rPr>
                <w:rFonts w:asciiTheme="minorHAnsi" w:hAnsiTheme="minorHAnsi"/>
                <w:szCs w:val="17"/>
              </w:rPr>
              <w:t>16.</w:t>
            </w:r>
            <w:r>
              <w:rPr>
                <w:rFonts w:asciiTheme="minorHAnsi" w:hAnsiTheme="minorHAnsi"/>
                <w:szCs w:val="17"/>
              </w:rPr>
              <w:t xml:space="preserve"> The </w:t>
            </w:r>
            <w:r w:rsidR="00C4296D">
              <w:rPr>
                <w:rFonts w:asciiTheme="minorHAnsi" w:hAnsiTheme="minorHAnsi"/>
                <w:szCs w:val="17"/>
              </w:rPr>
              <w:t xml:space="preserve">Vanuatu </w:t>
            </w:r>
            <w:r>
              <w:rPr>
                <w:rFonts w:asciiTheme="minorHAnsi" w:hAnsiTheme="minorHAnsi"/>
                <w:szCs w:val="17"/>
              </w:rPr>
              <w:t>Government</w:t>
            </w:r>
            <w:r w:rsidR="00C4296D">
              <w:rPr>
                <w:rFonts w:asciiTheme="minorHAnsi" w:hAnsiTheme="minorHAnsi"/>
                <w:szCs w:val="17"/>
              </w:rPr>
              <w:t>’s</w:t>
            </w:r>
            <w:r>
              <w:rPr>
                <w:rFonts w:asciiTheme="minorHAnsi" w:hAnsiTheme="minorHAnsi"/>
                <w:szCs w:val="17"/>
              </w:rPr>
              <w:t xml:space="preserve"> Public Works Department with assistance from </w:t>
            </w:r>
            <w:r w:rsidRPr="002C09BA">
              <w:rPr>
                <w:rFonts w:asciiTheme="minorHAnsi" w:hAnsiTheme="minorHAnsi"/>
                <w:szCs w:val="17"/>
              </w:rPr>
              <w:t xml:space="preserve">Roads for Development is still finalising the </w:t>
            </w:r>
            <w:r w:rsidRPr="009B4E87">
              <w:rPr>
                <w:rFonts w:asciiTheme="minorHAnsi" w:hAnsiTheme="minorHAnsi"/>
                <w:i/>
                <w:szCs w:val="17"/>
              </w:rPr>
              <w:t xml:space="preserve">Rural Road Access </w:t>
            </w:r>
            <w:r w:rsidR="00FC2790" w:rsidRPr="009B4E87">
              <w:rPr>
                <w:rFonts w:asciiTheme="minorHAnsi" w:hAnsiTheme="minorHAnsi"/>
                <w:i/>
                <w:szCs w:val="17"/>
              </w:rPr>
              <w:t>Policy</w:t>
            </w:r>
            <w:r w:rsidR="009B4E87">
              <w:rPr>
                <w:rFonts w:asciiTheme="minorHAnsi" w:hAnsiTheme="minorHAnsi"/>
                <w:szCs w:val="17"/>
              </w:rPr>
              <w:t xml:space="preserve"> (RRAP)</w:t>
            </w:r>
            <w:r>
              <w:rPr>
                <w:rFonts w:asciiTheme="minorHAnsi" w:hAnsiTheme="minorHAnsi"/>
                <w:szCs w:val="17"/>
              </w:rPr>
              <w:t>.</w:t>
            </w:r>
          </w:p>
        </w:tc>
      </w:tr>
      <w:tr w:rsidR="00581230" w:rsidRPr="00A427C6" w:rsidTr="00AE12F8">
        <w:tc>
          <w:tcPr>
            <w:tcW w:w="780" w:type="pct"/>
            <w:tcMar>
              <w:top w:w="57" w:type="dxa"/>
              <w:bottom w:w="57" w:type="dxa"/>
            </w:tcMar>
          </w:tcPr>
          <w:p w:rsidR="00581230" w:rsidRPr="00A427C6" w:rsidRDefault="00AE12F8" w:rsidP="00FC2790">
            <w:pPr>
              <w:keepLines/>
              <w:spacing w:before="40" w:after="40" w:line="200" w:lineRule="atLeast"/>
              <w:rPr>
                <w:rFonts w:asciiTheme="minorHAnsi" w:eastAsia="Times New Roman" w:hAnsiTheme="minorHAnsi"/>
                <w:iCs/>
                <w:szCs w:val="17"/>
                <w:lang w:eastAsia="en-US"/>
              </w:rPr>
            </w:pPr>
            <w:r>
              <w:rPr>
                <w:rFonts w:asciiTheme="minorHAnsi" w:hAnsiTheme="minorHAnsi"/>
                <w:szCs w:val="17"/>
              </w:rPr>
              <w:t xml:space="preserve">1.2  </w:t>
            </w:r>
            <w:r w:rsidR="00581230" w:rsidRPr="007B7225">
              <w:rPr>
                <w:rFonts w:asciiTheme="minorHAnsi" w:hAnsiTheme="minorHAnsi"/>
                <w:szCs w:val="17"/>
              </w:rPr>
              <w:t>Increase in bank accounts opened in rural areas</w:t>
            </w:r>
          </w:p>
        </w:tc>
        <w:tc>
          <w:tcPr>
            <w:tcW w:w="780" w:type="pct"/>
          </w:tcPr>
          <w:p w:rsidR="00581230" w:rsidRPr="006D5780" w:rsidRDefault="00581230" w:rsidP="00FC2790">
            <w:pPr>
              <w:keepLines/>
              <w:spacing w:before="40" w:after="40" w:line="200" w:lineRule="atLeast"/>
              <w:jc w:val="center"/>
              <w:rPr>
                <w:rFonts w:asciiTheme="minorHAnsi" w:hAnsiTheme="minorHAnsi"/>
                <w:szCs w:val="17"/>
              </w:rPr>
            </w:pPr>
            <w:r w:rsidRPr="006D5780">
              <w:rPr>
                <w:rFonts w:asciiTheme="minorHAnsi" w:hAnsiTheme="minorHAnsi"/>
                <w:szCs w:val="17"/>
              </w:rPr>
              <w:t>3,000</w:t>
            </w:r>
          </w:p>
        </w:tc>
        <w:tc>
          <w:tcPr>
            <w:tcW w:w="470" w:type="pct"/>
            <w:tcBorders>
              <w:top w:val="nil"/>
              <w:bottom w:val="nil"/>
            </w:tcBorders>
            <w:shd w:val="clear" w:color="auto" w:fill="009900"/>
          </w:tcPr>
          <w:p w:rsidR="00581230" w:rsidRPr="00A73A44" w:rsidRDefault="00581230" w:rsidP="00FC2790">
            <w:pPr>
              <w:keepLines/>
              <w:spacing w:before="40" w:after="40" w:line="200" w:lineRule="atLeast"/>
              <w:jc w:val="center"/>
              <w:rPr>
                <w:rFonts w:eastAsia="Times New Roman"/>
                <w:iCs/>
                <w:color w:val="FFFFFF" w:themeColor="background1"/>
                <w:szCs w:val="17"/>
              </w:rPr>
            </w:pPr>
            <w:r w:rsidRPr="00A73A44">
              <w:rPr>
                <w:rFonts w:asciiTheme="minorHAnsi" w:eastAsia="Times New Roman" w:hAnsiTheme="minorHAnsi"/>
                <w:iCs/>
                <w:color w:val="FFFFFF" w:themeColor="background1"/>
                <w:szCs w:val="17"/>
                <w:lang w:eastAsia="en-US"/>
              </w:rPr>
              <w:t>Achieved</w:t>
            </w:r>
          </w:p>
        </w:tc>
        <w:tc>
          <w:tcPr>
            <w:tcW w:w="2970" w:type="pct"/>
          </w:tcPr>
          <w:p w:rsidR="00581230" w:rsidRPr="002C09BA" w:rsidRDefault="00581230" w:rsidP="00FC2790">
            <w:pPr>
              <w:keepLines/>
              <w:spacing w:before="40" w:after="40" w:line="200" w:lineRule="atLeast"/>
              <w:rPr>
                <w:szCs w:val="17"/>
              </w:rPr>
            </w:pPr>
            <w:r>
              <w:rPr>
                <w:rFonts w:asciiTheme="minorHAnsi" w:eastAsia="Times New Roman" w:hAnsiTheme="minorHAnsi"/>
                <w:iCs/>
                <w:szCs w:val="17"/>
                <w:lang w:val="en-AU" w:eastAsia="en-US"/>
              </w:rPr>
              <w:t>R</w:t>
            </w:r>
            <w:r w:rsidRPr="00912826">
              <w:rPr>
                <w:rFonts w:asciiTheme="minorHAnsi" w:eastAsia="Times New Roman" w:hAnsiTheme="minorHAnsi"/>
                <w:iCs/>
                <w:szCs w:val="17"/>
                <w:lang w:val="en-AU" w:eastAsia="en-US"/>
              </w:rPr>
              <w:t>oll out of a National Bank of Vanuatu (NBV) mobile banking program, designed with a focus on financial inclusion of women, resulted in over 3,000 women opening new bank accounts, and 382 women receiving micro</w:t>
            </w:r>
            <w:r w:rsidRPr="00912826">
              <w:rPr>
                <w:rFonts w:asciiTheme="minorHAnsi" w:eastAsia="Times New Roman" w:hAnsiTheme="minorHAnsi"/>
                <w:iCs/>
                <w:szCs w:val="17"/>
                <w:lang w:val="en-AU" w:eastAsia="en-US"/>
              </w:rPr>
              <w:noBreakHyphen/>
              <w:t>loans to the value of $1.2 million.</w:t>
            </w:r>
          </w:p>
        </w:tc>
      </w:tr>
      <w:tr w:rsidR="00581230" w:rsidRPr="00A427C6" w:rsidTr="00AE12F8">
        <w:tc>
          <w:tcPr>
            <w:tcW w:w="780" w:type="pct"/>
            <w:tcMar>
              <w:top w:w="57" w:type="dxa"/>
              <w:bottom w:w="57" w:type="dxa"/>
            </w:tcMar>
          </w:tcPr>
          <w:p w:rsidR="00581230" w:rsidRPr="00A427C6" w:rsidRDefault="00AE12F8" w:rsidP="00FC2790">
            <w:pPr>
              <w:keepLines/>
              <w:spacing w:before="40" w:after="40" w:line="200" w:lineRule="atLeast"/>
              <w:rPr>
                <w:rFonts w:asciiTheme="minorHAnsi" w:eastAsia="Times New Roman" w:hAnsiTheme="minorHAnsi"/>
                <w:iCs/>
                <w:szCs w:val="17"/>
                <w:lang w:eastAsia="en-US"/>
              </w:rPr>
            </w:pPr>
            <w:r>
              <w:rPr>
                <w:rFonts w:asciiTheme="minorHAnsi" w:hAnsiTheme="minorHAnsi"/>
                <w:szCs w:val="17"/>
              </w:rPr>
              <w:t xml:space="preserve">1.3  </w:t>
            </w:r>
            <w:r w:rsidR="00581230" w:rsidRPr="007B7225">
              <w:rPr>
                <w:rFonts w:asciiTheme="minorHAnsi" w:hAnsiTheme="minorHAnsi"/>
                <w:szCs w:val="17"/>
              </w:rPr>
              <w:t>Self-employed TVET trainees report higher incomes following training</w:t>
            </w:r>
          </w:p>
        </w:tc>
        <w:tc>
          <w:tcPr>
            <w:tcW w:w="780" w:type="pct"/>
          </w:tcPr>
          <w:p w:rsidR="00581230" w:rsidRPr="006D5780" w:rsidRDefault="00581230" w:rsidP="00FC2790">
            <w:pPr>
              <w:keepLines/>
              <w:spacing w:before="40" w:after="40" w:line="200" w:lineRule="atLeast"/>
              <w:jc w:val="center"/>
              <w:rPr>
                <w:rFonts w:asciiTheme="minorHAnsi" w:hAnsiTheme="minorHAnsi"/>
                <w:szCs w:val="17"/>
              </w:rPr>
            </w:pPr>
            <w:r w:rsidRPr="006D5780">
              <w:rPr>
                <w:rFonts w:asciiTheme="minorHAnsi" w:hAnsiTheme="minorHAnsi"/>
                <w:szCs w:val="17"/>
              </w:rPr>
              <w:t>80% (of 800 participants)</w:t>
            </w:r>
          </w:p>
        </w:tc>
        <w:tc>
          <w:tcPr>
            <w:tcW w:w="470" w:type="pct"/>
            <w:tcBorders>
              <w:top w:val="nil"/>
              <w:bottom w:val="nil"/>
            </w:tcBorders>
            <w:shd w:val="clear" w:color="auto" w:fill="009900"/>
          </w:tcPr>
          <w:p w:rsidR="00581230" w:rsidRPr="00A73A44" w:rsidRDefault="00581230" w:rsidP="00FC2790">
            <w:pPr>
              <w:keepLines/>
              <w:spacing w:before="40" w:after="40" w:line="200" w:lineRule="atLeast"/>
              <w:jc w:val="center"/>
              <w:rPr>
                <w:rFonts w:eastAsia="Times New Roman"/>
                <w:iCs/>
                <w:color w:val="FFFFFF" w:themeColor="background1"/>
                <w:szCs w:val="17"/>
              </w:rPr>
            </w:pPr>
            <w:r w:rsidRPr="00A73A44">
              <w:rPr>
                <w:rFonts w:asciiTheme="minorHAnsi" w:eastAsia="Times New Roman" w:hAnsiTheme="minorHAnsi"/>
                <w:iCs/>
                <w:color w:val="FFFFFF" w:themeColor="background1"/>
                <w:szCs w:val="17"/>
                <w:lang w:eastAsia="en-US"/>
              </w:rPr>
              <w:t>Achieved</w:t>
            </w:r>
          </w:p>
        </w:tc>
        <w:tc>
          <w:tcPr>
            <w:tcW w:w="2970" w:type="pct"/>
          </w:tcPr>
          <w:p w:rsidR="00581230" w:rsidRDefault="00581230" w:rsidP="00FC2790">
            <w:pPr>
              <w:keepLines/>
              <w:spacing w:before="40" w:after="40" w:line="200" w:lineRule="atLeast"/>
              <w:rPr>
                <w:rFonts w:eastAsia="Times New Roman"/>
                <w:iCs/>
                <w:szCs w:val="17"/>
                <w:lang w:val="en-AU"/>
              </w:rPr>
            </w:pPr>
            <w:r>
              <w:rPr>
                <w:rFonts w:asciiTheme="minorHAnsi" w:eastAsia="Times New Roman" w:hAnsiTheme="minorHAnsi"/>
                <w:iCs/>
                <w:szCs w:val="17"/>
                <w:lang w:eastAsia="en-US"/>
              </w:rPr>
              <w:t xml:space="preserve">89 </w:t>
            </w:r>
            <w:r w:rsidRPr="00912826">
              <w:rPr>
                <w:rFonts w:asciiTheme="minorHAnsi" w:eastAsia="Times New Roman" w:hAnsiTheme="minorHAnsi"/>
                <w:iCs/>
                <w:szCs w:val="17"/>
                <w:lang w:eastAsia="en-US"/>
              </w:rPr>
              <w:t>per cent of self</w:t>
            </w:r>
            <w:r w:rsidRPr="00912826">
              <w:rPr>
                <w:rFonts w:asciiTheme="minorHAnsi" w:eastAsia="Times New Roman" w:hAnsiTheme="minorHAnsi"/>
                <w:iCs/>
                <w:szCs w:val="17"/>
                <w:lang w:eastAsia="en-US"/>
              </w:rPr>
              <w:noBreakHyphen/>
              <w:t xml:space="preserve">employed participants reporting increase in income attributable to skills acquired during </w:t>
            </w:r>
            <w:r>
              <w:rPr>
                <w:rFonts w:asciiTheme="minorHAnsi" w:eastAsia="Times New Roman" w:hAnsiTheme="minorHAnsi"/>
                <w:iCs/>
                <w:szCs w:val="17"/>
                <w:lang w:eastAsia="en-US"/>
              </w:rPr>
              <w:t xml:space="preserve">TVET </w:t>
            </w:r>
            <w:r w:rsidRPr="00912826">
              <w:rPr>
                <w:rFonts w:asciiTheme="minorHAnsi" w:eastAsia="Times New Roman" w:hAnsiTheme="minorHAnsi"/>
                <w:iCs/>
                <w:szCs w:val="17"/>
                <w:lang w:eastAsia="en-US"/>
              </w:rPr>
              <w:t>training activities.</w:t>
            </w:r>
          </w:p>
        </w:tc>
      </w:tr>
      <w:tr w:rsidR="00581230" w:rsidRPr="00A427C6" w:rsidTr="00FC2790">
        <w:tc>
          <w:tcPr>
            <w:tcW w:w="5000" w:type="pct"/>
            <w:gridSpan w:val="4"/>
            <w:tcMar>
              <w:top w:w="57" w:type="dxa"/>
              <w:bottom w:w="57" w:type="dxa"/>
            </w:tcMar>
          </w:tcPr>
          <w:p w:rsidR="00581230" w:rsidRDefault="00581230" w:rsidP="00FC2790">
            <w:pPr>
              <w:keepLines/>
              <w:spacing w:before="40" w:after="40" w:line="200" w:lineRule="atLeast"/>
              <w:rPr>
                <w:rFonts w:eastAsia="Times New Roman"/>
                <w:iCs/>
                <w:szCs w:val="17"/>
              </w:rPr>
            </w:pPr>
            <w:r w:rsidRPr="003A5E6D">
              <w:rPr>
                <w:rFonts w:asciiTheme="minorHAnsi" w:eastAsia="Times New Roman" w:hAnsiTheme="minorHAnsi"/>
                <w:b/>
                <w:iCs/>
                <w:szCs w:val="17"/>
                <w:lang w:eastAsia="en-US"/>
              </w:rPr>
              <w:t>Objective 2: Improve early education and essential health service</w:t>
            </w:r>
            <w:r>
              <w:rPr>
                <w:rFonts w:asciiTheme="minorHAnsi" w:eastAsia="Times New Roman" w:hAnsiTheme="minorHAnsi"/>
                <w:b/>
                <w:iCs/>
                <w:szCs w:val="17"/>
                <w:lang w:eastAsia="en-US"/>
              </w:rPr>
              <w:t>s</w:t>
            </w:r>
          </w:p>
        </w:tc>
      </w:tr>
      <w:tr w:rsidR="00581230" w:rsidRPr="00A427C6" w:rsidTr="00AE12F8">
        <w:tc>
          <w:tcPr>
            <w:tcW w:w="780" w:type="pct"/>
            <w:tcMar>
              <w:top w:w="57" w:type="dxa"/>
              <w:bottom w:w="57" w:type="dxa"/>
            </w:tcMar>
          </w:tcPr>
          <w:p w:rsidR="00581230" w:rsidRPr="003A5E6D" w:rsidRDefault="00581230" w:rsidP="00FC2790">
            <w:pPr>
              <w:keepLines/>
              <w:spacing w:before="40" w:after="40" w:line="200" w:lineRule="atLeast"/>
              <w:rPr>
                <w:rFonts w:eastAsia="Times New Roman"/>
                <w:b/>
                <w:iCs/>
                <w:szCs w:val="17"/>
              </w:rPr>
            </w:pPr>
            <w:r>
              <w:rPr>
                <w:rFonts w:asciiTheme="minorHAnsi" w:eastAsia="Times New Roman" w:hAnsiTheme="minorHAnsi"/>
                <w:iCs/>
                <w:szCs w:val="17"/>
                <w:lang w:eastAsia="en-US"/>
              </w:rPr>
              <w:t>2.1  Increase in literacy and numeracy rates in Year 4 students</w:t>
            </w:r>
          </w:p>
        </w:tc>
        <w:tc>
          <w:tcPr>
            <w:tcW w:w="780" w:type="pct"/>
          </w:tcPr>
          <w:p w:rsidR="00581230" w:rsidRPr="00A73A44" w:rsidRDefault="00581230" w:rsidP="00FC2790">
            <w:pPr>
              <w:keepLines/>
              <w:spacing w:before="40" w:after="40" w:line="200" w:lineRule="atLeast"/>
              <w:jc w:val="center"/>
              <w:rPr>
                <w:rFonts w:asciiTheme="minorHAnsi" w:hAnsiTheme="minorHAnsi"/>
                <w:szCs w:val="17"/>
              </w:rPr>
            </w:pPr>
            <w:r w:rsidRPr="006D5780">
              <w:rPr>
                <w:rFonts w:asciiTheme="minorHAnsi" w:hAnsiTheme="minorHAnsi"/>
                <w:szCs w:val="17"/>
              </w:rPr>
              <w:t>Baseline conducted by Vanuatu Education Support Program</w:t>
            </w:r>
          </w:p>
        </w:tc>
        <w:tc>
          <w:tcPr>
            <w:tcW w:w="470" w:type="pct"/>
            <w:tcBorders>
              <w:top w:val="nil"/>
              <w:bottom w:val="nil"/>
            </w:tcBorders>
            <w:shd w:val="clear" w:color="auto" w:fill="009900"/>
          </w:tcPr>
          <w:p w:rsidR="00581230" w:rsidRPr="00A73A44" w:rsidRDefault="00581230" w:rsidP="00FC2790">
            <w:pPr>
              <w:keepLines/>
              <w:spacing w:before="40" w:after="40" w:line="200" w:lineRule="atLeast"/>
              <w:jc w:val="center"/>
              <w:rPr>
                <w:rFonts w:eastAsia="Times New Roman"/>
                <w:iCs/>
                <w:color w:val="FFFFFF" w:themeColor="background1"/>
                <w:szCs w:val="17"/>
              </w:rPr>
            </w:pPr>
            <w:r w:rsidRPr="00A73A44">
              <w:rPr>
                <w:rFonts w:asciiTheme="minorHAnsi" w:eastAsia="Times New Roman" w:hAnsiTheme="minorHAnsi"/>
                <w:iCs/>
                <w:color w:val="FFFFFF" w:themeColor="background1"/>
                <w:szCs w:val="17"/>
                <w:lang w:eastAsia="en-US"/>
              </w:rPr>
              <w:t>Achieved</w:t>
            </w:r>
          </w:p>
        </w:tc>
        <w:tc>
          <w:tcPr>
            <w:tcW w:w="2970" w:type="pct"/>
          </w:tcPr>
          <w:p w:rsidR="00581230" w:rsidRPr="00A73A44" w:rsidRDefault="00581230" w:rsidP="00FC279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B</w:t>
            </w:r>
            <w:r w:rsidRPr="00A73A44">
              <w:rPr>
                <w:rFonts w:asciiTheme="minorHAnsi" w:eastAsia="Times New Roman" w:hAnsiTheme="minorHAnsi"/>
                <w:iCs/>
                <w:szCs w:val="17"/>
                <w:lang w:eastAsia="en-US"/>
              </w:rPr>
              <w:t xml:space="preserve">aseline </w:t>
            </w:r>
            <w:r>
              <w:rPr>
                <w:rFonts w:asciiTheme="minorHAnsi" w:eastAsia="Times New Roman" w:hAnsiTheme="minorHAnsi"/>
                <w:iCs/>
                <w:szCs w:val="17"/>
                <w:lang w:eastAsia="en-US"/>
              </w:rPr>
              <w:t xml:space="preserve">completed in </w:t>
            </w:r>
            <w:r w:rsidRPr="00A73A44">
              <w:rPr>
                <w:rFonts w:asciiTheme="minorHAnsi" w:eastAsia="Times New Roman" w:hAnsiTheme="minorHAnsi"/>
                <w:iCs/>
                <w:szCs w:val="17"/>
                <w:lang w:eastAsia="en-US"/>
              </w:rPr>
              <w:t>2015</w:t>
            </w:r>
            <w:r>
              <w:rPr>
                <w:rFonts w:asciiTheme="minorHAnsi" w:eastAsia="Times New Roman" w:hAnsiTheme="minorHAnsi"/>
                <w:iCs/>
                <w:szCs w:val="17"/>
                <w:lang w:eastAsia="en-US"/>
              </w:rPr>
              <w:t xml:space="preserve">. The next testing will be done </w:t>
            </w:r>
            <w:r w:rsidRPr="00A73A44">
              <w:rPr>
                <w:rFonts w:asciiTheme="minorHAnsi" w:eastAsia="Times New Roman" w:hAnsiTheme="minorHAnsi"/>
                <w:iCs/>
                <w:szCs w:val="17"/>
                <w:lang w:eastAsia="en-US"/>
              </w:rPr>
              <w:t>in 2018</w:t>
            </w:r>
            <w:r>
              <w:rPr>
                <w:rFonts w:asciiTheme="minorHAnsi" w:eastAsia="Times New Roman" w:hAnsiTheme="minorHAnsi"/>
                <w:iCs/>
                <w:szCs w:val="17"/>
                <w:lang w:eastAsia="en-US"/>
              </w:rPr>
              <w:t>.</w:t>
            </w:r>
          </w:p>
        </w:tc>
      </w:tr>
      <w:tr w:rsidR="00581230" w:rsidRPr="00A427C6" w:rsidTr="00AE12F8">
        <w:tc>
          <w:tcPr>
            <w:tcW w:w="780" w:type="pct"/>
            <w:tcMar>
              <w:top w:w="57" w:type="dxa"/>
              <w:bottom w:w="57" w:type="dxa"/>
            </w:tcMar>
          </w:tcPr>
          <w:p w:rsidR="00581230" w:rsidRDefault="00581230" w:rsidP="00FC2790">
            <w:pPr>
              <w:keepLines/>
              <w:spacing w:before="40" w:after="40" w:line="200" w:lineRule="atLeast"/>
              <w:rPr>
                <w:rFonts w:eastAsia="Times New Roman"/>
                <w:iCs/>
                <w:szCs w:val="17"/>
              </w:rPr>
            </w:pPr>
            <w:r>
              <w:rPr>
                <w:rFonts w:asciiTheme="minorHAnsi" w:eastAsia="Times New Roman" w:hAnsiTheme="minorHAnsi"/>
                <w:iCs/>
                <w:szCs w:val="17"/>
                <w:lang w:eastAsia="en-US"/>
              </w:rPr>
              <w:t>2.2  Increase in number of fully</w:t>
            </w:r>
            <w:r>
              <w:rPr>
                <w:rFonts w:asciiTheme="minorHAnsi" w:eastAsia="Times New Roman" w:hAnsiTheme="minorHAnsi"/>
                <w:iCs/>
                <w:szCs w:val="17"/>
                <w:lang w:eastAsia="en-US"/>
              </w:rPr>
              <w:noBreakHyphen/>
              <w:t>immunised children, using routine immunisation systems</w:t>
            </w:r>
          </w:p>
        </w:tc>
        <w:tc>
          <w:tcPr>
            <w:tcW w:w="780" w:type="pct"/>
          </w:tcPr>
          <w:p w:rsidR="00581230" w:rsidRPr="00A73A44" w:rsidRDefault="00581230" w:rsidP="00FC2790">
            <w:pPr>
              <w:keepLines/>
              <w:spacing w:before="40" w:after="40" w:line="200" w:lineRule="atLeast"/>
              <w:jc w:val="center"/>
              <w:rPr>
                <w:rFonts w:asciiTheme="minorHAnsi" w:hAnsiTheme="minorHAnsi"/>
                <w:szCs w:val="17"/>
              </w:rPr>
            </w:pPr>
            <w:r w:rsidRPr="006D5780">
              <w:rPr>
                <w:rFonts w:asciiTheme="minorHAnsi" w:hAnsiTheme="minorHAnsi"/>
                <w:szCs w:val="17"/>
              </w:rPr>
              <w:t>33% (baseline)</w:t>
            </w:r>
          </w:p>
        </w:tc>
        <w:tc>
          <w:tcPr>
            <w:tcW w:w="470" w:type="pct"/>
            <w:tcBorders>
              <w:top w:val="nil"/>
              <w:bottom w:val="nil"/>
            </w:tcBorders>
            <w:shd w:val="clear" w:color="auto" w:fill="009900"/>
          </w:tcPr>
          <w:p w:rsidR="00581230" w:rsidRPr="00A73A44" w:rsidRDefault="00581230" w:rsidP="00FC2790">
            <w:pPr>
              <w:keepLines/>
              <w:spacing w:before="40" w:after="40" w:line="200" w:lineRule="atLeast"/>
              <w:jc w:val="center"/>
              <w:rPr>
                <w:rFonts w:eastAsia="Times New Roman"/>
                <w:iCs/>
                <w:color w:val="FFFFFF" w:themeColor="background1"/>
                <w:szCs w:val="17"/>
              </w:rPr>
            </w:pPr>
            <w:r w:rsidRPr="00A73A44">
              <w:rPr>
                <w:rFonts w:asciiTheme="minorHAnsi" w:eastAsia="Times New Roman" w:hAnsiTheme="minorHAnsi"/>
                <w:iCs/>
                <w:color w:val="FFFFFF" w:themeColor="background1"/>
                <w:szCs w:val="17"/>
                <w:lang w:eastAsia="en-US"/>
              </w:rPr>
              <w:t>Achieved</w:t>
            </w:r>
          </w:p>
        </w:tc>
        <w:tc>
          <w:tcPr>
            <w:tcW w:w="2970" w:type="pct"/>
          </w:tcPr>
          <w:p w:rsidR="00581230" w:rsidRDefault="00581230" w:rsidP="00FC2790">
            <w:pPr>
              <w:keepLines/>
              <w:spacing w:before="40" w:after="40" w:line="200" w:lineRule="atLeast"/>
              <w:rPr>
                <w:rFonts w:eastAsia="Times New Roman"/>
                <w:iCs/>
                <w:szCs w:val="17"/>
              </w:rPr>
            </w:pPr>
            <w:r>
              <w:rPr>
                <w:rFonts w:asciiTheme="minorHAnsi" w:eastAsia="Times New Roman" w:hAnsiTheme="minorHAnsi"/>
                <w:iCs/>
                <w:szCs w:val="17"/>
                <w:lang w:val="en-AU" w:eastAsia="en-US"/>
              </w:rPr>
              <w:t>68.5% of children aged 23-59 months were fully-immunised nationwide</w:t>
            </w:r>
            <w:r w:rsidRPr="00097F43">
              <w:rPr>
                <w:rFonts w:asciiTheme="minorHAnsi" w:eastAsia="Times New Roman" w:hAnsiTheme="minorHAnsi"/>
                <w:iCs/>
                <w:szCs w:val="17"/>
                <w:lang w:val="en-AU" w:eastAsia="en-US"/>
              </w:rPr>
              <w:t>.</w:t>
            </w:r>
          </w:p>
        </w:tc>
      </w:tr>
      <w:tr w:rsidR="00581230" w:rsidRPr="00A427C6" w:rsidTr="00FC2790">
        <w:tc>
          <w:tcPr>
            <w:tcW w:w="5000" w:type="pct"/>
            <w:gridSpan w:val="4"/>
            <w:tcMar>
              <w:top w:w="57" w:type="dxa"/>
              <w:bottom w:w="57" w:type="dxa"/>
            </w:tcMar>
          </w:tcPr>
          <w:p w:rsidR="00581230" w:rsidRDefault="00581230" w:rsidP="00FC2790">
            <w:pPr>
              <w:keepLines/>
              <w:spacing w:before="40" w:after="40" w:line="200" w:lineRule="atLeast"/>
              <w:rPr>
                <w:rFonts w:eastAsia="Times New Roman"/>
                <w:iCs/>
                <w:szCs w:val="17"/>
              </w:rPr>
            </w:pPr>
            <w:r w:rsidRPr="003A5E6D">
              <w:rPr>
                <w:rFonts w:asciiTheme="minorHAnsi" w:eastAsia="Times New Roman" w:hAnsiTheme="minorHAnsi"/>
                <w:b/>
                <w:iCs/>
                <w:szCs w:val="17"/>
                <w:lang w:eastAsia="en-US"/>
              </w:rPr>
              <w:t>Objective 3: Improve community safety and resilience</w:t>
            </w:r>
          </w:p>
        </w:tc>
      </w:tr>
      <w:tr w:rsidR="00581230" w:rsidRPr="00A427C6" w:rsidTr="00AE12F8">
        <w:tc>
          <w:tcPr>
            <w:tcW w:w="780" w:type="pct"/>
            <w:tcMar>
              <w:top w:w="57" w:type="dxa"/>
              <w:bottom w:w="57" w:type="dxa"/>
            </w:tcMar>
          </w:tcPr>
          <w:p w:rsidR="00581230" w:rsidRPr="003A5E6D" w:rsidRDefault="00581230" w:rsidP="00FC2790">
            <w:pPr>
              <w:keepLines/>
              <w:spacing w:before="40" w:after="40" w:line="200" w:lineRule="atLeast"/>
              <w:rPr>
                <w:rFonts w:eastAsia="Times New Roman"/>
                <w:b/>
                <w:iCs/>
                <w:szCs w:val="17"/>
              </w:rPr>
            </w:pPr>
            <w:r>
              <w:rPr>
                <w:rFonts w:asciiTheme="minorHAnsi" w:eastAsia="Times New Roman" w:hAnsiTheme="minorHAnsi"/>
                <w:iCs/>
                <w:szCs w:val="17"/>
                <w:lang w:eastAsia="en-US"/>
              </w:rPr>
              <w:t>3.1  Increase in number of women survivors of violence provided counselling, support and legal services</w:t>
            </w:r>
          </w:p>
        </w:tc>
        <w:tc>
          <w:tcPr>
            <w:tcW w:w="780" w:type="pct"/>
          </w:tcPr>
          <w:p w:rsidR="00581230" w:rsidRPr="00A73A44" w:rsidRDefault="00581230" w:rsidP="00FC2790">
            <w:pPr>
              <w:keepLines/>
              <w:spacing w:before="40" w:after="40" w:line="200" w:lineRule="atLeast"/>
              <w:jc w:val="center"/>
              <w:rPr>
                <w:rFonts w:asciiTheme="minorHAnsi" w:hAnsiTheme="minorHAnsi"/>
                <w:szCs w:val="17"/>
              </w:rPr>
            </w:pPr>
            <w:r w:rsidRPr="00A73A44">
              <w:rPr>
                <w:rFonts w:asciiTheme="minorHAnsi" w:hAnsiTheme="minorHAnsi"/>
                <w:szCs w:val="17"/>
              </w:rPr>
              <w:t>3000</w:t>
            </w:r>
          </w:p>
        </w:tc>
        <w:tc>
          <w:tcPr>
            <w:tcW w:w="470" w:type="pct"/>
            <w:tcBorders>
              <w:top w:val="nil"/>
              <w:bottom w:val="nil"/>
            </w:tcBorders>
            <w:shd w:val="clear" w:color="auto" w:fill="009900"/>
          </w:tcPr>
          <w:p w:rsidR="00581230" w:rsidRPr="00A73A44" w:rsidRDefault="00581230" w:rsidP="00FC2790">
            <w:pPr>
              <w:keepLines/>
              <w:spacing w:before="40" w:after="40" w:line="200" w:lineRule="atLeast"/>
              <w:jc w:val="center"/>
              <w:rPr>
                <w:rFonts w:eastAsia="Times New Roman"/>
                <w:iCs/>
                <w:color w:val="FFFFFF" w:themeColor="background1"/>
                <w:szCs w:val="17"/>
              </w:rPr>
            </w:pPr>
            <w:r w:rsidRPr="00A73A44">
              <w:rPr>
                <w:rFonts w:asciiTheme="minorHAnsi" w:eastAsia="Times New Roman" w:hAnsiTheme="minorHAnsi"/>
                <w:iCs/>
                <w:color w:val="FFFFFF" w:themeColor="background1"/>
                <w:szCs w:val="17"/>
                <w:lang w:eastAsia="en-US"/>
              </w:rPr>
              <w:t>Achieved</w:t>
            </w:r>
          </w:p>
        </w:tc>
        <w:tc>
          <w:tcPr>
            <w:tcW w:w="2970" w:type="pct"/>
          </w:tcPr>
          <w:p w:rsidR="00581230" w:rsidRDefault="00581230" w:rsidP="00FC2790">
            <w:pPr>
              <w:keepLines/>
              <w:spacing w:before="40" w:after="40" w:line="200" w:lineRule="atLeast"/>
              <w:rPr>
                <w:rFonts w:eastAsia="Times New Roman"/>
                <w:iCs/>
                <w:szCs w:val="17"/>
              </w:rPr>
            </w:pPr>
            <w:r>
              <w:rPr>
                <w:rFonts w:asciiTheme="minorHAnsi" w:hAnsiTheme="minorHAnsi"/>
              </w:rPr>
              <w:t>6,858 women survivors of violence were provided counselling support and legal advice in this reporting period</w:t>
            </w:r>
          </w:p>
        </w:tc>
      </w:tr>
      <w:tr w:rsidR="00581230" w:rsidRPr="00A427C6" w:rsidTr="00FC2790">
        <w:tc>
          <w:tcPr>
            <w:tcW w:w="5000" w:type="pct"/>
            <w:gridSpan w:val="4"/>
            <w:tcMar>
              <w:top w:w="57" w:type="dxa"/>
              <w:bottom w:w="57" w:type="dxa"/>
            </w:tcMar>
          </w:tcPr>
          <w:p w:rsidR="00581230" w:rsidRDefault="00581230" w:rsidP="00FC2790">
            <w:pPr>
              <w:keepLines/>
              <w:spacing w:before="40" w:after="40" w:line="200" w:lineRule="atLeast"/>
              <w:rPr>
                <w:rFonts w:eastAsia="Times New Roman"/>
                <w:iCs/>
                <w:szCs w:val="17"/>
              </w:rPr>
            </w:pPr>
            <w:r w:rsidRPr="003A5E6D">
              <w:rPr>
                <w:rFonts w:asciiTheme="minorHAnsi" w:eastAsia="Times New Roman" w:hAnsiTheme="minorHAnsi"/>
                <w:b/>
                <w:iCs/>
                <w:szCs w:val="17"/>
                <w:lang w:eastAsia="en-US"/>
              </w:rPr>
              <w:t>Objective 4: Support cyclone recovery and reconstruction</w:t>
            </w:r>
          </w:p>
        </w:tc>
      </w:tr>
      <w:tr w:rsidR="00581230" w:rsidRPr="00A427C6" w:rsidTr="00AE12F8">
        <w:tc>
          <w:tcPr>
            <w:tcW w:w="780" w:type="pct"/>
            <w:tcMar>
              <w:top w:w="57" w:type="dxa"/>
              <w:bottom w:w="57" w:type="dxa"/>
            </w:tcMar>
          </w:tcPr>
          <w:p w:rsidR="00581230" w:rsidRPr="003A5E6D" w:rsidRDefault="00581230" w:rsidP="00FC2790">
            <w:pPr>
              <w:keepLines/>
              <w:spacing w:before="40" w:after="40" w:line="200" w:lineRule="atLeast"/>
              <w:rPr>
                <w:rFonts w:eastAsia="Times New Roman"/>
                <w:b/>
                <w:iCs/>
                <w:szCs w:val="17"/>
              </w:rPr>
            </w:pPr>
            <w:r>
              <w:rPr>
                <w:rFonts w:asciiTheme="minorHAnsi" w:eastAsia="Times New Roman" w:hAnsiTheme="minorHAnsi"/>
                <w:iCs/>
                <w:szCs w:val="17"/>
                <w:lang w:eastAsia="en-US"/>
              </w:rPr>
              <w:t>4.1  Australia’s $35 million long</w:t>
            </w:r>
            <w:r>
              <w:rPr>
                <w:rFonts w:asciiTheme="minorHAnsi" w:eastAsia="Times New Roman" w:hAnsiTheme="minorHAnsi"/>
                <w:iCs/>
                <w:szCs w:val="17"/>
                <w:lang w:eastAsia="en-US"/>
              </w:rPr>
              <w:noBreakHyphen/>
              <w:t>term recovery support is allocated to recovery projects</w:t>
            </w:r>
          </w:p>
        </w:tc>
        <w:tc>
          <w:tcPr>
            <w:tcW w:w="780" w:type="pct"/>
          </w:tcPr>
          <w:p w:rsidR="00581230" w:rsidRPr="00A73A44" w:rsidRDefault="00581230" w:rsidP="00FC2790">
            <w:pPr>
              <w:keepLines/>
              <w:spacing w:before="40" w:after="40" w:line="200" w:lineRule="atLeast"/>
              <w:jc w:val="center"/>
              <w:rPr>
                <w:rFonts w:asciiTheme="minorHAnsi" w:hAnsiTheme="minorHAnsi"/>
                <w:szCs w:val="17"/>
              </w:rPr>
            </w:pPr>
            <w:r>
              <w:rPr>
                <w:rFonts w:asciiTheme="minorHAnsi" w:hAnsiTheme="minorHAnsi"/>
                <w:szCs w:val="17"/>
              </w:rPr>
              <w:t>50% allocated</w:t>
            </w:r>
          </w:p>
        </w:tc>
        <w:tc>
          <w:tcPr>
            <w:tcW w:w="470" w:type="pct"/>
            <w:shd w:val="clear" w:color="auto" w:fill="009900"/>
          </w:tcPr>
          <w:p w:rsidR="00581230" w:rsidRPr="00A73A44" w:rsidRDefault="00581230" w:rsidP="00FC2790">
            <w:pPr>
              <w:keepLines/>
              <w:spacing w:before="40" w:after="40" w:line="200" w:lineRule="atLeast"/>
              <w:jc w:val="center"/>
              <w:rPr>
                <w:rFonts w:eastAsia="Times New Roman"/>
                <w:iCs/>
                <w:color w:val="FFFFFF" w:themeColor="background1"/>
                <w:szCs w:val="17"/>
              </w:rPr>
            </w:pPr>
            <w:r w:rsidRPr="00A73A44">
              <w:rPr>
                <w:rFonts w:asciiTheme="minorHAnsi" w:eastAsia="Times New Roman" w:hAnsiTheme="minorHAnsi"/>
                <w:iCs/>
                <w:color w:val="FFFFFF" w:themeColor="background1"/>
                <w:szCs w:val="17"/>
                <w:lang w:eastAsia="en-US"/>
              </w:rPr>
              <w:t>Achieved</w:t>
            </w:r>
          </w:p>
        </w:tc>
        <w:tc>
          <w:tcPr>
            <w:tcW w:w="2970" w:type="pct"/>
          </w:tcPr>
          <w:p w:rsidR="00581230" w:rsidRDefault="00581230" w:rsidP="00C4296D">
            <w:pPr>
              <w:keepLines/>
              <w:spacing w:before="40" w:after="40" w:line="200" w:lineRule="atLeast"/>
              <w:rPr>
                <w:rFonts w:eastAsia="Times New Roman"/>
                <w:iCs/>
                <w:szCs w:val="17"/>
              </w:rPr>
            </w:pPr>
            <w:r>
              <w:rPr>
                <w:rFonts w:asciiTheme="minorHAnsi" w:hAnsiTheme="minorHAnsi"/>
              </w:rPr>
              <w:t>6</w:t>
            </w:r>
            <w:r w:rsidR="00AE12F8">
              <w:rPr>
                <w:rFonts w:asciiTheme="minorHAnsi" w:hAnsiTheme="minorHAnsi"/>
              </w:rPr>
              <w:t>5</w:t>
            </w:r>
            <w:r>
              <w:rPr>
                <w:rFonts w:asciiTheme="minorHAnsi" w:hAnsiTheme="minorHAnsi"/>
              </w:rPr>
              <w:t xml:space="preserve">% of the long term recovery fund was </w:t>
            </w:r>
            <w:r>
              <w:rPr>
                <w:rFonts w:asciiTheme="minorHAnsi" w:eastAsia="Times New Roman" w:hAnsiTheme="minorHAnsi"/>
                <w:iCs/>
                <w:szCs w:val="17"/>
                <w:lang w:eastAsia="en-US"/>
              </w:rPr>
              <w:t xml:space="preserve">allocated. This included </w:t>
            </w:r>
            <w:r w:rsidRPr="00A47D9E">
              <w:rPr>
                <w:rFonts w:asciiTheme="minorHAnsi" w:eastAsia="Times New Roman" w:hAnsiTheme="minorHAnsi"/>
                <w:iCs/>
                <w:szCs w:val="17"/>
                <w:lang w:eastAsia="en-US"/>
              </w:rPr>
              <w:t>health infrastructure ($7.</w:t>
            </w:r>
            <w:r w:rsidR="00C4296D">
              <w:rPr>
                <w:rFonts w:asciiTheme="minorHAnsi" w:eastAsia="Times New Roman" w:hAnsiTheme="minorHAnsi"/>
                <w:iCs/>
                <w:szCs w:val="17"/>
                <w:lang w:eastAsia="en-US"/>
              </w:rPr>
              <w:t>1</w:t>
            </w:r>
            <w:r w:rsidRPr="00A47D9E">
              <w:rPr>
                <w:rFonts w:asciiTheme="minorHAnsi" w:eastAsia="Times New Roman" w:hAnsiTheme="minorHAnsi"/>
                <w:iCs/>
                <w:szCs w:val="17"/>
                <w:lang w:eastAsia="en-US"/>
              </w:rPr>
              <w:t xml:space="preserve"> million)</w:t>
            </w:r>
            <w:r>
              <w:rPr>
                <w:rFonts w:asciiTheme="minorHAnsi" w:eastAsia="Times New Roman" w:hAnsiTheme="minorHAnsi"/>
                <w:iCs/>
                <w:szCs w:val="17"/>
                <w:lang w:eastAsia="en-US"/>
              </w:rPr>
              <w:t>,</w:t>
            </w:r>
            <w:r w:rsidRPr="00A47D9E">
              <w:rPr>
                <w:rFonts w:asciiTheme="minorHAnsi" w:eastAsia="Times New Roman" w:hAnsiTheme="minorHAnsi"/>
                <w:iCs/>
                <w:szCs w:val="17"/>
                <w:lang w:eastAsia="en-US"/>
              </w:rPr>
              <w:t xml:space="preserve"> water management systems ($3.3 million)</w:t>
            </w:r>
            <w:r>
              <w:rPr>
                <w:rFonts w:asciiTheme="minorHAnsi" w:eastAsia="Times New Roman" w:hAnsiTheme="minorHAnsi"/>
                <w:iCs/>
                <w:szCs w:val="17"/>
                <w:lang w:eastAsia="en-US"/>
              </w:rPr>
              <w:t>,</w:t>
            </w:r>
            <w:r w:rsidRPr="00A47D9E">
              <w:rPr>
                <w:rFonts w:asciiTheme="minorHAnsi" w:eastAsia="Times New Roman" w:hAnsiTheme="minorHAnsi"/>
                <w:iCs/>
                <w:szCs w:val="17"/>
                <w:lang w:eastAsia="en-US"/>
              </w:rPr>
              <w:t xml:space="preserve"> tourism ($</w:t>
            </w:r>
            <w:r w:rsidR="00C4296D">
              <w:rPr>
                <w:rFonts w:asciiTheme="minorHAnsi" w:eastAsia="Times New Roman" w:hAnsiTheme="minorHAnsi"/>
                <w:iCs/>
                <w:szCs w:val="17"/>
                <w:lang w:eastAsia="en-US"/>
              </w:rPr>
              <w:t>600</w:t>
            </w:r>
            <w:r w:rsidRPr="00A47D9E">
              <w:rPr>
                <w:rFonts w:asciiTheme="minorHAnsi" w:eastAsia="Times New Roman" w:hAnsiTheme="minorHAnsi"/>
                <w:iCs/>
                <w:szCs w:val="17"/>
                <w:lang w:eastAsia="en-US"/>
              </w:rPr>
              <w:t>,000)</w:t>
            </w:r>
            <w:r>
              <w:rPr>
                <w:rFonts w:asciiTheme="minorHAnsi" w:eastAsia="Times New Roman" w:hAnsiTheme="minorHAnsi"/>
                <w:iCs/>
                <w:szCs w:val="17"/>
                <w:lang w:eastAsia="en-US"/>
              </w:rPr>
              <w:t>,</w:t>
            </w:r>
            <w:r w:rsidRPr="00A47D9E">
              <w:rPr>
                <w:rFonts w:asciiTheme="minorHAnsi" w:eastAsia="Times New Roman" w:hAnsiTheme="minorHAnsi"/>
                <w:iCs/>
                <w:szCs w:val="17"/>
                <w:lang w:eastAsia="en-US"/>
              </w:rPr>
              <w:t xml:space="preserve"> agriculture ($2.5 million) and education (9.3 million)</w:t>
            </w:r>
            <w:r>
              <w:rPr>
                <w:rFonts w:asciiTheme="minorHAnsi" w:eastAsia="Times New Roman" w:hAnsiTheme="minorHAnsi"/>
                <w:iCs/>
                <w:szCs w:val="17"/>
                <w:lang w:eastAsia="en-US"/>
              </w:rPr>
              <w:t xml:space="preserve"> projects</w:t>
            </w:r>
            <w:r w:rsidRPr="00A47D9E">
              <w:rPr>
                <w:rFonts w:asciiTheme="minorHAnsi" w:eastAsia="Times New Roman" w:hAnsiTheme="minorHAnsi"/>
                <w:iCs/>
                <w:szCs w:val="17"/>
                <w:lang w:eastAsia="en-US"/>
              </w:rPr>
              <w:t>.</w:t>
            </w:r>
          </w:p>
        </w:tc>
      </w:tr>
    </w:tbl>
    <w:p w:rsidR="00400B0F" w:rsidRPr="00A427C6" w:rsidRDefault="00400B0F" w:rsidP="00400B0F">
      <w:pPr>
        <w:spacing w:before="20" w:after="20" w:line="180" w:lineRule="atLeast"/>
        <w:jc w:val="both"/>
        <w:rPr>
          <w:rFonts w:eastAsia="Times New Roman"/>
          <w:b/>
          <w:sz w:val="16"/>
          <w:szCs w:val="14"/>
        </w:rPr>
      </w:pPr>
      <w:r w:rsidRPr="00A427C6">
        <w:rPr>
          <w:rFonts w:eastAsia="Times New Roman"/>
          <w:b/>
          <w:sz w:val="16"/>
          <w:szCs w:val="14"/>
        </w:rPr>
        <w:t xml:space="preserve">Note: </w:t>
      </w:r>
    </w:p>
    <w:p w:rsidR="00400B0F" w:rsidRPr="00A427C6" w:rsidRDefault="00400B0F" w:rsidP="00400B0F">
      <w:pPr>
        <w:spacing w:before="20" w:after="20" w:line="180" w:lineRule="atLeast"/>
        <w:jc w:val="both"/>
        <w:rPr>
          <w:rFonts w:eastAsia="Times New Roman"/>
          <w:b/>
          <w:sz w:val="16"/>
          <w:szCs w:val="14"/>
        </w:rPr>
      </w:pPr>
      <w:r w:rsidRPr="00A427C6">
        <w:rPr>
          <w:rFonts w:eastAsia="Times New Roman"/>
          <w:b/>
          <w:color w:val="72AF2F"/>
          <w:sz w:val="16"/>
          <w:szCs w:val="14"/>
        </w:rPr>
        <w:sym w:font="Webdings" w:char="F067"/>
      </w:r>
      <w:r w:rsidRPr="00A427C6">
        <w:rPr>
          <w:rFonts w:eastAsia="Times New Roman"/>
          <w:b/>
          <w:sz w:val="16"/>
          <w:szCs w:val="14"/>
        </w:rPr>
        <w:t> </w:t>
      </w:r>
      <w:r w:rsidRPr="00A427C6">
        <w:rPr>
          <w:rFonts w:eastAsia="Times New Roman"/>
          <w:b/>
          <w:sz w:val="16"/>
          <w:szCs w:val="14"/>
        </w:rPr>
        <w:t xml:space="preserve"> Achieved.  Significant progress has been made and the performance benchmark was achieved </w:t>
      </w:r>
    </w:p>
    <w:p w:rsidR="00400B0F" w:rsidRPr="00A427C6" w:rsidRDefault="00400B0F" w:rsidP="00400B0F">
      <w:pPr>
        <w:spacing w:before="20" w:after="20" w:line="180" w:lineRule="atLeast"/>
        <w:jc w:val="both"/>
        <w:rPr>
          <w:rFonts w:eastAsia="Times New Roman"/>
          <w:b/>
          <w:sz w:val="16"/>
          <w:szCs w:val="14"/>
        </w:rPr>
      </w:pPr>
      <w:r w:rsidRPr="00A427C6">
        <w:rPr>
          <w:rFonts w:eastAsia="Times New Roman"/>
          <w:b/>
          <w:color w:val="E36C0A"/>
          <w:sz w:val="16"/>
          <w:szCs w:val="14"/>
        </w:rPr>
        <w:sym w:font="Webdings" w:char="F067"/>
      </w:r>
      <w:r w:rsidRPr="00A427C6">
        <w:rPr>
          <w:rFonts w:eastAsia="Times New Roman"/>
          <w:b/>
          <w:sz w:val="16"/>
          <w:szCs w:val="14"/>
        </w:rPr>
        <w:t> </w:t>
      </w:r>
      <w:r w:rsidRPr="00A427C6">
        <w:rPr>
          <w:rFonts w:eastAsia="Times New Roman"/>
          <w:b/>
          <w:sz w:val="16"/>
          <w:szCs w:val="14"/>
        </w:rPr>
        <w:t xml:space="preserve"> Partly achieved.  Some progress has been made towards achieving the performance benchmark, but progress was less than anticipated. </w:t>
      </w:r>
    </w:p>
    <w:p w:rsidR="00400B0F" w:rsidRPr="00A427C6" w:rsidRDefault="00400B0F" w:rsidP="00400B0F">
      <w:pPr>
        <w:spacing w:before="20" w:after="20" w:line="180" w:lineRule="atLeast"/>
        <w:jc w:val="both"/>
        <w:rPr>
          <w:rFonts w:eastAsia="Times New Roman"/>
          <w:b/>
          <w:sz w:val="16"/>
          <w:szCs w:val="14"/>
        </w:rPr>
      </w:pPr>
      <w:r w:rsidRPr="00A427C6">
        <w:rPr>
          <w:rFonts w:eastAsia="Times New Roman"/>
          <w:b/>
          <w:color w:val="FF0000"/>
          <w:sz w:val="16"/>
          <w:szCs w:val="14"/>
        </w:rPr>
        <w:sym w:font="Webdings" w:char="F067"/>
      </w:r>
      <w:r w:rsidRPr="00A427C6">
        <w:rPr>
          <w:rFonts w:eastAsia="Times New Roman"/>
          <w:b/>
          <w:sz w:val="16"/>
          <w:szCs w:val="14"/>
        </w:rPr>
        <w:t> </w:t>
      </w:r>
      <w:r w:rsidRPr="00A427C6">
        <w:rPr>
          <w:rFonts w:eastAsia="Times New Roman"/>
          <w:b/>
          <w:sz w:val="16"/>
          <w:szCs w:val="14"/>
        </w:rPr>
        <w:t xml:space="preserve"> Not achieved. Progress towards the performance benchmark has been significantly below expectations</w:t>
      </w:r>
    </w:p>
    <w:p w:rsidR="00400B0F" w:rsidRPr="00A427C6" w:rsidRDefault="00400B0F" w:rsidP="00400B0F">
      <w:pPr>
        <w:spacing w:after="160" w:line="280" w:lineRule="exact"/>
        <w:rPr>
          <w:rFonts w:eastAsia="Times New Roman"/>
          <w:sz w:val="21"/>
        </w:rPr>
      </w:pPr>
    </w:p>
    <w:p w:rsidR="002A51CA" w:rsidRPr="00C61187" w:rsidRDefault="002A51CA" w:rsidP="002A51CA">
      <w:pPr>
        <w:spacing w:after="120" w:line="280" w:lineRule="exact"/>
        <w:rPr>
          <w:rFonts w:ascii="Franklin Gothic Book" w:eastAsia="Times New Roman" w:hAnsi="Franklin Gothic Book"/>
          <w:sz w:val="21"/>
        </w:rPr>
      </w:pPr>
    </w:p>
    <w:p w:rsidR="002A51CA" w:rsidRDefault="002A51CA" w:rsidP="002A51CA">
      <w:pPr>
        <w:spacing w:after="120" w:line="280" w:lineRule="exact"/>
        <w:rPr>
          <w:rFonts w:ascii="Franklin Gothic Book" w:eastAsia="Times New Roman" w:hAnsi="Franklin Gothic Book"/>
          <w:sz w:val="21"/>
        </w:rPr>
      </w:pPr>
    </w:p>
    <w:p w:rsidR="00400B0F" w:rsidRDefault="00400B0F" w:rsidP="002A51CA">
      <w:pPr>
        <w:spacing w:after="120" w:line="280" w:lineRule="exact"/>
        <w:rPr>
          <w:rFonts w:ascii="Franklin Gothic Book" w:eastAsia="Times New Roman" w:hAnsi="Franklin Gothic Book"/>
          <w:sz w:val="21"/>
        </w:rPr>
      </w:pPr>
    </w:p>
    <w:p w:rsidR="00400B0F" w:rsidRDefault="00400B0F" w:rsidP="002A51CA">
      <w:pPr>
        <w:spacing w:after="120" w:line="280" w:lineRule="exact"/>
        <w:rPr>
          <w:rFonts w:ascii="Franklin Gothic Book" w:eastAsia="Times New Roman" w:hAnsi="Franklin Gothic Book"/>
          <w:sz w:val="21"/>
        </w:rPr>
      </w:pPr>
    </w:p>
    <w:p w:rsidR="00400B0F" w:rsidRDefault="00400B0F" w:rsidP="002A51CA">
      <w:pPr>
        <w:spacing w:after="120" w:line="280" w:lineRule="exact"/>
        <w:rPr>
          <w:rFonts w:ascii="Franklin Gothic Book" w:eastAsia="Times New Roman" w:hAnsi="Franklin Gothic Book"/>
          <w:sz w:val="21"/>
        </w:rPr>
      </w:pPr>
    </w:p>
    <w:p w:rsidR="00400B0F" w:rsidRDefault="00400B0F" w:rsidP="002A51CA">
      <w:pPr>
        <w:spacing w:after="120" w:line="280" w:lineRule="exact"/>
        <w:rPr>
          <w:rFonts w:ascii="Franklin Gothic Book" w:eastAsia="Times New Roman" w:hAnsi="Franklin Gothic Book"/>
          <w:sz w:val="21"/>
        </w:rPr>
      </w:pPr>
    </w:p>
    <w:p w:rsidR="00400B0F" w:rsidRDefault="00400B0F" w:rsidP="002A51CA">
      <w:pPr>
        <w:spacing w:after="120" w:line="280" w:lineRule="exact"/>
        <w:rPr>
          <w:rFonts w:ascii="Franklin Gothic Book" w:eastAsia="Times New Roman" w:hAnsi="Franklin Gothic Book"/>
          <w:sz w:val="21"/>
        </w:rPr>
      </w:pPr>
    </w:p>
    <w:p w:rsidR="00400B0F" w:rsidRDefault="00400B0F" w:rsidP="002A51CA">
      <w:pPr>
        <w:spacing w:after="120" w:line="280" w:lineRule="exact"/>
        <w:rPr>
          <w:rFonts w:ascii="Franklin Gothic Book" w:eastAsia="Times New Roman" w:hAnsi="Franklin Gothic Book"/>
          <w:sz w:val="21"/>
        </w:rPr>
      </w:pPr>
    </w:p>
    <w:p w:rsidR="00400B0F" w:rsidRDefault="00400B0F">
      <w:pPr>
        <w:suppressAutoHyphens w:val="0"/>
        <w:spacing w:before="0" w:after="120" w:line="440" w:lineRule="atLeast"/>
        <w:rPr>
          <w:rFonts w:ascii="Franklin Gothic Book" w:eastAsia="Times New Roman" w:hAnsi="Franklin Gothic Book"/>
          <w:sz w:val="21"/>
        </w:rPr>
      </w:pPr>
      <w:r>
        <w:rPr>
          <w:rFonts w:ascii="Franklin Gothic Book" w:eastAsia="Times New Roman" w:hAnsi="Franklin Gothic Book"/>
          <w:sz w:val="21"/>
        </w:rPr>
        <w:br w:type="page"/>
      </w:r>
    </w:p>
    <w:p w:rsidR="00400B0F" w:rsidRPr="00784031" w:rsidRDefault="00400B0F" w:rsidP="00784031">
      <w:pPr>
        <w:pStyle w:val="Subtitle"/>
        <w:numPr>
          <w:ilvl w:val="0"/>
          <w:numId w:val="0"/>
        </w:numPr>
      </w:pPr>
      <w:r w:rsidRPr="00784031">
        <w:t>Annex C - Evaluation Planning</w:t>
      </w:r>
    </w:p>
    <w:p w:rsidR="00400B0F" w:rsidRPr="008C2F58" w:rsidRDefault="00400B0F" w:rsidP="008C2F58">
      <w:pPr>
        <w:rPr>
          <w:b/>
          <w:sz w:val="24"/>
        </w:rPr>
      </w:pPr>
      <w:r w:rsidRPr="008C2F58">
        <w:rPr>
          <w:b/>
          <w:sz w:val="24"/>
        </w:rPr>
        <w:t xml:space="preserve">List of evaluations completed in the reporting period </w:t>
      </w:r>
    </w:p>
    <w:tbl>
      <w:tblPr>
        <w:tblStyle w:val="APPR"/>
        <w:tblW w:w="14453" w:type="dxa"/>
        <w:tblLayout w:type="fixed"/>
        <w:tblLook w:val="04A0" w:firstRow="1" w:lastRow="0" w:firstColumn="1" w:lastColumn="0" w:noHBand="0" w:noVBand="1"/>
      </w:tblPr>
      <w:tblGrid>
        <w:gridCol w:w="3106"/>
        <w:gridCol w:w="4685"/>
        <w:gridCol w:w="1425"/>
        <w:gridCol w:w="1981"/>
        <w:gridCol w:w="1699"/>
        <w:gridCol w:w="1557"/>
      </w:tblGrid>
      <w:tr w:rsidR="00400B0F" w:rsidRPr="00C61187" w:rsidTr="006F27B1">
        <w:trPr>
          <w:cnfStyle w:val="100000000000" w:firstRow="1" w:lastRow="0" w:firstColumn="0" w:lastColumn="0" w:oddVBand="0" w:evenVBand="0" w:oddHBand="0" w:evenHBand="0" w:firstRowFirstColumn="0" w:firstRowLastColumn="0" w:lastRowFirstColumn="0" w:lastRowLastColumn="0"/>
        </w:trPr>
        <w:tc>
          <w:tcPr>
            <w:tcW w:w="3064" w:type="dxa"/>
          </w:tcPr>
          <w:p w:rsidR="00400B0F" w:rsidRPr="00A427C6" w:rsidRDefault="00400B0F" w:rsidP="006F27B1">
            <w:pPr>
              <w:keepLines/>
              <w:spacing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 xml:space="preserve">Investment number and name </w:t>
            </w:r>
          </w:p>
          <w:p w:rsidR="00400B0F" w:rsidRPr="00A427C6" w:rsidRDefault="00400B0F" w:rsidP="006F27B1">
            <w:pPr>
              <w:keepLines/>
              <w:spacing w:line="200" w:lineRule="atLeast"/>
              <w:rPr>
                <w:rFonts w:asciiTheme="minorHAnsi" w:eastAsia="Times New Roman" w:hAnsiTheme="minorHAnsi"/>
                <w:b w:val="0"/>
                <w:iCs/>
                <w:szCs w:val="17"/>
                <w:lang w:eastAsia="en-US"/>
              </w:rPr>
            </w:pPr>
            <w:r w:rsidRPr="00A427C6">
              <w:rPr>
                <w:rFonts w:asciiTheme="minorHAnsi" w:eastAsia="Times New Roman" w:hAnsiTheme="minorHAnsi"/>
                <w:iCs/>
                <w:szCs w:val="17"/>
                <w:lang w:eastAsia="en-US"/>
              </w:rPr>
              <w:t xml:space="preserve">(if applicable) </w:t>
            </w:r>
          </w:p>
        </w:tc>
        <w:tc>
          <w:tcPr>
            <w:tcW w:w="4657" w:type="dxa"/>
          </w:tcPr>
          <w:p w:rsidR="00400B0F" w:rsidRPr="00A427C6" w:rsidRDefault="00400B0F" w:rsidP="006F27B1">
            <w:pPr>
              <w:keepLines/>
              <w:spacing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Name of evaluation</w:t>
            </w:r>
          </w:p>
        </w:tc>
        <w:tc>
          <w:tcPr>
            <w:tcW w:w="1397" w:type="dxa"/>
          </w:tcPr>
          <w:p w:rsidR="00400B0F" w:rsidRPr="00A427C6" w:rsidRDefault="00400B0F" w:rsidP="006F27B1">
            <w:pPr>
              <w:keepLines/>
              <w:spacing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Date completed</w:t>
            </w:r>
          </w:p>
        </w:tc>
        <w:tc>
          <w:tcPr>
            <w:tcW w:w="1953" w:type="dxa"/>
          </w:tcPr>
          <w:p w:rsidR="00400B0F" w:rsidRPr="00A427C6" w:rsidRDefault="00400B0F" w:rsidP="006F27B1">
            <w:pPr>
              <w:keepLines/>
              <w:spacing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Date Evaluation report Uploaded into AidWorks</w:t>
            </w:r>
          </w:p>
        </w:tc>
        <w:tc>
          <w:tcPr>
            <w:tcW w:w="1671" w:type="dxa"/>
          </w:tcPr>
          <w:p w:rsidR="00400B0F" w:rsidRPr="00A427C6" w:rsidRDefault="00400B0F" w:rsidP="006F27B1">
            <w:pPr>
              <w:keepLines/>
              <w:spacing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Date Management response uploaded into AidWorks</w:t>
            </w:r>
          </w:p>
        </w:tc>
        <w:tc>
          <w:tcPr>
            <w:tcW w:w="1515" w:type="dxa"/>
          </w:tcPr>
          <w:p w:rsidR="00400B0F" w:rsidRPr="00A427C6" w:rsidRDefault="00400B0F" w:rsidP="006F27B1">
            <w:pPr>
              <w:keepLines/>
              <w:spacing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Published on website</w:t>
            </w:r>
          </w:p>
        </w:tc>
      </w:tr>
      <w:tr w:rsidR="00AE12F8" w:rsidRPr="003B5EE5" w:rsidTr="00AE12F8">
        <w:trPr>
          <w:cnfStyle w:val="100000000000" w:firstRow="1" w:lastRow="0" w:firstColumn="0" w:lastColumn="0" w:oddVBand="0" w:evenVBand="0" w:oddHBand="0" w:evenHBand="0" w:firstRowFirstColumn="0" w:firstRowLastColumn="0" w:lastRowFirstColumn="0" w:lastRowLastColumn="0"/>
        </w:trPr>
        <w:tc>
          <w:tcPr>
            <w:tcW w:w="3064" w:type="dxa"/>
          </w:tcPr>
          <w:p w:rsidR="00AE12F8" w:rsidRPr="00A427C6" w:rsidRDefault="00AE12F8" w:rsidP="00FC2790">
            <w:pPr>
              <w:keepLines/>
              <w:spacing w:before="40" w:after="40" w:line="200" w:lineRule="atLeast"/>
              <w:rPr>
                <w:rFonts w:eastAsia="Times New Roman"/>
                <w:b w:val="0"/>
                <w:iCs/>
                <w:szCs w:val="17"/>
              </w:rPr>
            </w:pPr>
            <w:r w:rsidRPr="00E41F9E">
              <w:rPr>
                <w:rFonts w:asciiTheme="minorHAnsi" w:hAnsiTheme="minorHAnsi"/>
                <w:b w:val="0"/>
                <w:szCs w:val="17"/>
              </w:rPr>
              <w:t>INK210 - TVET Sector Strengthening Program (phase 3)</w:t>
            </w:r>
          </w:p>
        </w:tc>
        <w:tc>
          <w:tcPr>
            <w:tcW w:w="4657" w:type="dxa"/>
          </w:tcPr>
          <w:p w:rsidR="00AE12F8" w:rsidRPr="00A427C6" w:rsidRDefault="00AE12F8" w:rsidP="00FC2790">
            <w:pPr>
              <w:keepLines/>
              <w:spacing w:before="40" w:after="40" w:line="200" w:lineRule="atLeast"/>
              <w:rPr>
                <w:rFonts w:eastAsia="Times New Roman"/>
                <w:b w:val="0"/>
                <w:iCs/>
                <w:szCs w:val="17"/>
              </w:rPr>
            </w:pPr>
            <w:r w:rsidRPr="00A73A44">
              <w:rPr>
                <w:rFonts w:asciiTheme="minorHAnsi" w:hAnsiTheme="minorHAnsi"/>
                <w:b w:val="0"/>
                <w:szCs w:val="17"/>
              </w:rPr>
              <w:t>Review of the</w:t>
            </w:r>
            <w:r w:rsidRPr="00E41F9E">
              <w:rPr>
                <w:rFonts w:asciiTheme="minorHAnsi" w:hAnsiTheme="minorHAnsi"/>
                <w:b w:val="0"/>
                <w:szCs w:val="17"/>
              </w:rPr>
              <w:t xml:space="preserve"> TVET Sector Strengthening Program (phase 3)</w:t>
            </w:r>
          </w:p>
        </w:tc>
        <w:tc>
          <w:tcPr>
            <w:tcW w:w="1397" w:type="dxa"/>
          </w:tcPr>
          <w:p w:rsidR="00AE12F8" w:rsidRPr="009B6965" w:rsidRDefault="00AE12F8" w:rsidP="00FC2790">
            <w:pPr>
              <w:keepLines/>
              <w:spacing w:before="40" w:after="40" w:line="200" w:lineRule="atLeast"/>
              <w:rPr>
                <w:rFonts w:asciiTheme="minorHAnsi" w:hAnsiTheme="minorHAnsi"/>
                <w:b w:val="0"/>
                <w:szCs w:val="17"/>
              </w:rPr>
            </w:pPr>
            <w:r w:rsidRPr="009B6965">
              <w:rPr>
                <w:rFonts w:asciiTheme="minorHAnsi" w:hAnsiTheme="minorHAnsi"/>
                <w:b w:val="0"/>
                <w:szCs w:val="17"/>
              </w:rPr>
              <w:t>June 2015</w:t>
            </w:r>
          </w:p>
        </w:tc>
        <w:tc>
          <w:tcPr>
            <w:tcW w:w="1953" w:type="dxa"/>
          </w:tcPr>
          <w:p w:rsidR="00AE12F8" w:rsidRPr="009B6965" w:rsidRDefault="00AE12F8" w:rsidP="00FC2790">
            <w:pPr>
              <w:keepLines/>
              <w:spacing w:before="40" w:after="40" w:line="200" w:lineRule="atLeast"/>
              <w:rPr>
                <w:rFonts w:asciiTheme="minorHAnsi" w:hAnsiTheme="minorHAnsi"/>
                <w:b w:val="0"/>
                <w:szCs w:val="17"/>
              </w:rPr>
            </w:pPr>
            <w:r w:rsidRPr="009B6965">
              <w:rPr>
                <w:rFonts w:asciiTheme="minorHAnsi" w:hAnsiTheme="minorHAnsi"/>
                <w:b w:val="0"/>
                <w:szCs w:val="17"/>
              </w:rPr>
              <w:t>February 2016</w:t>
            </w:r>
          </w:p>
        </w:tc>
        <w:tc>
          <w:tcPr>
            <w:tcW w:w="1671" w:type="dxa"/>
          </w:tcPr>
          <w:p w:rsidR="00AE12F8" w:rsidRPr="009B6965" w:rsidRDefault="00AE12F8" w:rsidP="00FC2790">
            <w:pPr>
              <w:keepLines/>
              <w:spacing w:before="40" w:after="40" w:line="200" w:lineRule="atLeast"/>
              <w:rPr>
                <w:rFonts w:asciiTheme="minorHAnsi" w:hAnsiTheme="minorHAnsi"/>
                <w:b w:val="0"/>
                <w:szCs w:val="17"/>
              </w:rPr>
            </w:pPr>
            <w:r w:rsidRPr="009B6965">
              <w:rPr>
                <w:rFonts w:asciiTheme="minorHAnsi" w:hAnsiTheme="minorHAnsi"/>
                <w:b w:val="0"/>
                <w:szCs w:val="17"/>
              </w:rPr>
              <w:t>February 2016</w:t>
            </w:r>
          </w:p>
        </w:tc>
        <w:tc>
          <w:tcPr>
            <w:tcW w:w="1515" w:type="dxa"/>
          </w:tcPr>
          <w:p w:rsidR="00AE12F8" w:rsidRPr="009B6965" w:rsidRDefault="00AE12F8" w:rsidP="00FC2790">
            <w:pPr>
              <w:keepLines/>
              <w:spacing w:before="40" w:after="40" w:line="200" w:lineRule="atLeast"/>
              <w:rPr>
                <w:rFonts w:asciiTheme="minorHAnsi" w:hAnsiTheme="minorHAnsi"/>
                <w:b w:val="0"/>
                <w:szCs w:val="17"/>
              </w:rPr>
            </w:pPr>
            <w:r w:rsidRPr="00805B09">
              <w:rPr>
                <w:rFonts w:asciiTheme="minorHAnsi" w:hAnsiTheme="minorHAnsi"/>
                <w:b w:val="0"/>
                <w:szCs w:val="17"/>
              </w:rPr>
              <w:t>Planned for September 2016</w:t>
            </w:r>
          </w:p>
        </w:tc>
      </w:tr>
      <w:tr w:rsidR="00AE12F8" w:rsidRPr="00A73A44" w:rsidTr="00AE12F8">
        <w:trPr>
          <w:cnfStyle w:val="100000000000" w:firstRow="1" w:lastRow="0" w:firstColumn="0" w:lastColumn="0" w:oddVBand="0" w:evenVBand="0" w:oddHBand="0" w:evenHBand="0" w:firstRowFirstColumn="0" w:firstRowLastColumn="0" w:lastRowFirstColumn="0" w:lastRowLastColumn="0"/>
        </w:trPr>
        <w:tc>
          <w:tcPr>
            <w:tcW w:w="3064" w:type="dxa"/>
          </w:tcPr>
          <w:p w:rsidR="00AE12F8" w:rsidRPr="00A73A44" w:rsidRDefault="00AE12F8" w:rsidP="00FC2790">
            <w:pPr>
              <w:keepLines/>
              <w:spacing w:before="40" w:after="40" w:line="200" w:lineRule="atLeast"/>
              <w:rPr>
                <w:b w:val="0"/>
                <w:szCs w:val="17"/>
              </w:rPr>
            </w:pPr>
            <w:r w:rsidRPr="00A73A44">
              <w:rPr>
                <w:rFonts w:asciiTheme="minorHAnsi" w:hAnsiTheme="minorHAnsi"/>
                <w:b w:val="0"/>
                <w:szCs w:val="17"/>
              </w:rPr>
              <w:t>INJ603 - Policing and Justice Support Program-Vanuatu</w:t>
            </w:r>
          </w:p>
        </w:tc>
        <w:tc>
          <w:tcPr>
            <w:tcW w:w="4657" w:type="dxa"/>
          </w:tcPr>
          <w:p w:rsidR="00AE12F8" w:rsidRPr="00A73A44" w:rsidRDefault="00AE12F8" w:rsidP="00FC2790">
            <w:pPr>
              <w:keepLines/>
              <w:spacing w:before="40" w:after="40" w:line="200" w:lineRule="atLeast"/>
              <w:rPr>
                <w:rFonts w:eastAsia="Times New Roman"/>
                <w:b w:val="0"/>
                <w:iCs/>
                <w:szCs w:val="17"/>
              </w:rPr>
            </w:pPr>
            <w:r w:rsidRPr="00A73A44">
              <w:rPr>
                <w:rFonts w:asciiTheme="minorHAnsi" w:hAnsiTheme="minorHAnsi"/>
                <w:b w:val="0"/>
                <w:szCs w:val="17"/>
              </w:rPr>
              <w:t>Review of the Policing and Justice Support Program</w:t>
            </w:r>
          </w:p>
        </w:tc>
        <w:tc>
          <w:tcPr>
            <w:tcW w:w="1397" w:type="dxa"/>
          </w:tcPr>
          <w:p w:rsidR="00AE12F8" w:rsidRPr="00805B09" w:rsidRDefault="00AE12F8" w:rsidP="00FC2790">
            <w:pPr>
              <w:keepLines/>
              <w:spacing w:before="40" w:after="40" w:line="200" w:lineRule="atLeast"/>
              <w:rPr>
                <w:rFonts w:asciiTheme="minorHAnsi" w:hAnsiTheme="minorHAnsi"/>
                <w:b w:val="0"/>
                <w:szCs w:val="17"/>
              </w:rPr>
            </w:pPr>
            <w:r w:rsidRPr="00805B09">
              <w:rPr>
                <w:rFonts w:asciiTheme="minorHAnsi" w:hAnsiTheme="minorHAnsi"/>
                <w:b w:val="0"/>
                <w:szCs w:val="17"/>
              </w:rPr>
              <w:t>June 2016</w:t>
            </w:r>
          </w:p>
        </w:tc>
        <w:tc>
          <w:tcPr>
            <w:tcW w:w="1953" w:type="dxa"/>
          </w:tcPr>
          <w:p w:rsidR="00AE12F8" w:rsidRPr="00805B09" w:rsidRDefault="00AE12F8" w:rsidP="00FC2790">
            <w:pPr>
              <w:keepLines/>
              <w:spacing w:before="40" w:after="40" w:line="200" w:lineRule="atLeast"/>
              <w:rPr>
                <w:rFonts w:asciiTheme="minorHAnsi" w:hAnsiTheme="minorHAnsi"/>
                <w:b w:val="0"/>
                <w:szCs w:val="17"/>
              </w:rPr>
            </w:pPr>
            <w:r w:rsidRPr="00805B09">
              <w:rPr>
                <w:rFonts w:asciiTheme="minorHAnsi" w:hAnsiTheme="minorHAnsi"/>
                <w:b w:val="0"/>
                <w:szCs w:val="17"/>
              </w:rPr>
              <w:t>tbc</w:t>
            </w:r>
          </w:p>
        </w:tc>
        <w:tc>
          <w:tcPr>
            <w:tcW w:w="1671" w:type="dxa"/>
          </w:tcPr>
          <w:p w:rsidR="00AE12F8" w:rsidRPr="00805B09" w:rsidRDefault="00AE12F8" w:rsidP="00FC2790">
            <w:pPr>
              <w:keepLines/>
              <w:spacing w:before="40" w:after="40" w:line="200" w:lineRule="atLeast"/>
              <w:rPr>
                <w:rFonts w:asciiTheme="minorHAnsi" w:hAnsiTheme="minorHAnsi"/>
                <w:b w:val="0"/>
                <w:szCs w:val="17"/>
              </w:rPr>
            </w:pPr>
            <w:r w:rsidRPr="00805B09">
              <w:rPr>
                <w:rFonts w:asciiTheme="minorHAnsi" w:hAnsiTheme="minorHAnsi"/>
                <w:b w:val="0"/>
                <w:szCs w:val="17"/>
              </w:rPr>
              <w:t>Planned for August 2016</w:t>
            </w:r>
          </w:p>
        </w:tc>
        <w:tc>
          <w:tcPr>
            <w:tcW w:w="1515" w:type="dxa"/>
          </w:tcPr>
          <w:p w:rsidR="00AE12F8" w:rsidRPr="00805B09" w:rsidRDefault="00AE12F8" w:rsidP="00FC2790">
            <w:pPr>
              <w:keepLines/>
              <w:spacing w:before="40" w:after="40" w:line="200" w:lineRule="atLeast"/>
              <w:rPr>
                <w:rFonts w:asciiTheme="minorHAnsi" w:hAnsiTheme="minorHAnsi"/>
                <w:b w:val="0"/>
                <w:szCs w:val="17"/>
              </w:rPr>
            </w:pPr>
            <w:r w:rsidRPr="00805B09">
              <w:rPr>
                <w:rFonts w:asciiTheme="minorHAnsi" w:hAnsiTheme="minorHAnsi"/>
                <w:b w:val="0"/>
                <w:szCs w:val="17"/>
              </w:rPr>
              <w:t>Planned for September 2016</w:t>
            </w:r>
          </w:p>
        </w:tc>
      </w:tr>
      <w:tr w:rsidR="00AE12F8" w:rsidRPr="00A73A44" w:rsidTr="00AE12F8">
        <w:trPr>
          <w:cnfStyle w:val="100000000000" w:firstRow="1" w:lastRow="0" w:firstColumn="0" w:lastColumn="0" w:oddVBand="0" w:evenVBand="0" w:oddHBand="0" w:evenHBand="0" w:firstRowFirstColumn="0" w:firstRowLastColumn="0" w:lastRowFirstColumn="0" w:lastRowLastColumn="0"/>
        </w:trPr>
        <w:tc>
          <w:tcPr>
            <w:tcW w:w="3064" w:type="dxa"/>
          </w:tcPr>
          <w:p w:rsidR="00AE12F8" w:rsidRPr="00A73A44" w:rsidRDefault="00AE12F8" w:rsidP="00FC2790">
            <w:pPr>
              <w:keepLines/>
              <w:spacing w:before="40" w:after="40" w:line="200" w:lineRule="atLeast"/>
              <w:rPr>
                <w:b w:val="0"/>
                <w:szCs w:val="17"/>
              </w:rPr>
            </w:pPr>
            <w:r w:rsidRPr="00A73A44">
              <w:rPr>
                <w:rFonts w:asciiTheme="minorHAnsi" w:hAnsiTheme="minorHAnsi"/>
                <w:b w:val="0"/>
                <w:szCs w:val="17"/>
              </w:rPr>
              <w:t>INK586 – Pacific Women (Vanuatu)</w:t>
            </w:r>
          </w:p>
        </w:tc>
        <w:tc>
          <w:tcPr>
            <w:tcW w:w="4657" w:type="dxa"/>
          </w:tcPr>
          <w:p w:rsidR="00AE12F8" w:rsidRPr="00A73A44" w:rsidRDefault="00AE12F8" w:rsidP="00FC2790">
            <w:pPr>
              <w:keepLines/>
              <w:spacing w:before="40" w:after="40" w:line="200" w:lineRule="atLeast"/>
              <w:rPr>
                <w:b w:val="0"/>
                <w:szCs w:val="17"/>
              </w:rPr>
            </w:pPr>
            <w:r w:rsidRPr="00A73A44">
              <w:rPr>
                <w:rFonts w:asciiTheme="minorHAnsi" w:hAnsiTheme="minorHAnsi"/>
                <w:b w:val="0"/>
                <w:szCs w:val="17"/>
              </w:rPr>
              <w:t>Review of the Pacific Women Vanuatu Country Workplan</w:t>
            </w:r>
          </w:p>
        </w:tc>
        <w:tc>
          <w:tcPr>
            <w:tcW w:w="1397" w:type="dxa"/>
          </w:tcPr>
          <w:p w:rsidR="00AE12F8" w:rsidRPr="00805B09" w:rsidRDefault="00AE12F8" w:rsidP="00FC2790">
            <w:pPr>
              <w:keepLines/>
              <w:spacing w:before="40" w:after="40" w:line="200" w:lineRule="atLeast"/>
              <w:rPr>
                <w:rFonts w:asciiTheme="minorHAnsi" w:hAnsiTheme="minorHAnsi"/>
                <w:b w:val="0"/>
                <w:szCs w:val="17"/>
              </w:rPr>
            </w:pPr>
            <w:r w:rsidRPr="00805B09">
              <w:rPr>
                <w:rFonts w:asciiTheme="minorHAnsi" w:hAnsiTheme="minorHAnsi"/>
                <w:b w:val="0"/>
                <w:szCs w:val="17"/>
              </w:rPr>
              <w:t>June 2016</w:t>
            </w:r>
          </w:p>
        </w:tc>
        <w:tc>
          <w:tcPr>
            <w:tcW w:w="1953" w:type="dxa"/>
          </w:tcPr>
          <w:p w:rsidR="00AE12F8" w:rsidRPr="00805B09" w:rsidRDefault="00AE12F8" w:rsidP="00FC2790">
            <w:pPr>
              <w:keepLines/>
              <w:spacing w:before="40" w:after="40" w:line="200" w:lineRule="atLeast"/>
              <w:rPr>
                <w:rFonts w:asciiTheme="minorHAnsi" w:hAnsiTheme="minorHAnsi"/>
                <w:b w:val="0"/>
                <w:szCs w:val="17"/>
              </w:rPr>
            </w:pPr>
            <w:r w:rsidRPr="00805B09">
              <w:rPr>
                <w:rFonts w:asciiTheme="minorHAnsi" w:hAnsiTheme="minorHAnsi"/>
                <w:b w:val="0"/>
                <w:szCs w:val="17"/>
              </w:rPr>
              <w:t>tbc</w:t>
            </w:r>
          </w:p>
        </w:tc>
        <w:tc>
          <w:tcPr>
            <w:tcW w:w="1671" w:type="dxa"/>
          </w:tcPr>
          <w:p w:rsidR="00AE12F8" w:rsidRPr="00805B09" w:rsidRDefault="00AE12F8" w:rsidP="00FC2790">
            <w:pPr>
              <w:keepLines/>
              <w:spacing w:before="40" w:after="40" w:line="200" w:lineRule="atLeast"/>
              <w:rPr>
                <w:rFonts w:asciiTheme="minorHAnsi" w:hAnsiTheme="minorHAnsi"/>
                <w:b w:val="0"/>
                <w:szCs w:val="17"/>
              </w:rPr>
            </w:pPr>
            <w:r w:rsidRPr="00805B09">
              <w:rPr>
                <w:rFonts w:asciiTheme="minorHAnsi" w:hAnsiTheme="minorHAnsi"/>
                <w:b w:val="0"/>
                <w:szCs w:val="17"/>
              </w:rPr>
              <w:t>Planned for August 2016</w:t>
            </w:r>
          </w:p>
        </w:tc>
        <w:tc>
          <w:tcPr>
            <w:tcW w:w="1515" w:type="dxa"/>
          </w:tcPr>
          <w:p w:rsidR="00AE12F8" w:rsidRPr="00805B09" w:rsidRDefault="00AE12F8" w:rsidP="00FC2790">
            <w:pPr>
              <w:keepLines/>
              <w:spacing w:before="40" w:after="40" w:line="200" w:lineRule="atLeast"/>
              <w:rPr>
                <w:rFonts w:asciiTheme="minorHAnsi" w:hAnsiTheme="minorHAnsi"/>
                <w:b w:val="0"/>
                <w:szCs w:val="17"/>
              </w:rPr>
            </w:pPr>
            <w:r w:rsidRPr="00805B09">
              <w:rPr>
                <w:rFonts w:asciiTheme="minorHAnsi" w:hAnsiTheme="minorHAnsi"/>
                <w:b w:val="0"/>
                <w:szCs w:val="17"/>
              </w:rPr>
              <w:t>Planned for September 2016</w:t>
            </w:r>
          </w:p>
        </w:tc>
      </w:tr>
      <w:tr w:rsidR="00AE12F8" w:rsidRPr="003B5EE5" w:rsidTr="00AE12F8">
        <w:trPr>
          <w:cnfStyle w:val="100000000000" w:firstRow="1" w:lastRow="0" w:firstColumn="0" w:lastColumn="0" w:oddVBand="0" w:evenVBand="0" w:oddHBand="0" w:evenHBand="0" w:firstRowFirstColumn="0" w:firstRowLastColumn="0" w:lastRowFirstColumn="0" w:lastRowLastColumn="0"/>
        </w:trPr>
        <w:tc>
          <w:tcPr>
            <w:tcW w:w="3064" w:type="dxa"/>
          </w:tcPr>
          <w:p w:rsidR="00AE12F8" w:rsidRPr="00A427C6" w:rsidRDefault="00AE12F8" w:rsidP="00FC2790">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INK721 – Port Vila Urban Development Project</w:t>
            </w:r>
          </w:p>
        </w:tc>
        <w:tc>
          <w:tcPr>
            <w:tcW w:w="4657" w:type="dxa"/>
          </w:tcPr>
          <w:p w:rsidR="00AE12F8" w:rsidRPr="00A427C6" w:rsidRDefault="00AE12F8" w:rsidP="00FC2790">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Partner-led Review of the Port Vila Urban Development Project</w:t>
            </w:r>
          </w:p>
        </w:tc>
        <w:tc>
          <w:tcPr>
            <w:tcW w:w="1397" w:type="dxa"/>
          </w:tcPr>
          <w:p w:rsidR="00AE12F8" w:rsidRPr="00A427C6" w:rsidRDefault="00AE12F8" w:rsidP="00FC2790">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April 2016</w:t>
            </w:r>
          </w:p>
        </w:tc>
        <w:tc>
          <w:tcPr>
            <w:tcW w:w="1953" w:type="dxa"/>
          </w:tcPr>
          <w:p w:rsidR="00AE12F8" w:rsidRPr="00A427C6" w:rsidRDefault="00AE12F8" w:rsidP="00FC2790">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August 2016</w:t>
            </w:r>
          </w:p>
        </w:tc>
        <w:tc>
          <w:tcPr>
            <w:tcW w:w="1671" w:type="dxa"/>
          </w:tcPr>
          <w:p w:rsidR="00AE12F8" w:rsidRPr="00A427C6" w:rsidRDefault="00AE12F8" w:rsidP="00FC2790">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August 2016</w:t>
            </w:r>
          </w:p>
        </w:tc>
        <w:tc>
          <w:tcPr>
            <w:tcW w:w="1515" w:type="dxa"/>
          </w:tcPr>
          <w:p w:rsidR="00AE12F8" w:rsidRPr="00A427C6" w:rsidRDefault="00AE12F8" w:rsidP="00FC2790">
            <w:pPr>
              <w:keepLines/>
              <w:spacing w:before="40" w:after="40" w:line="200" w:lineRule="atLeast"/>
              <w:rPr>
                <w:rFonts w:asciiTheme="minorHAnsi" w:eastAsia="Times New Roman" w:hAnsiTheme="minorHAnsi"/>
                <w:b w:val="0"/>
                <w:iCs/>
                <w:szCs w:val="17"/>
                <w:lang w:eastAsia="en-US"/>
              </w:rPr>
            </w:pPr>
            <w:r w:rsidRPr="00805B09">
              <w:rPr>
                <w:rFonts w:asciiTheme="minorHAnsi" w:hAnsiTheme="minorHAnsi"/>
                <w:b w:val="0"/>
                <w:szCs w:val="17"/>
              </w:rPr>
              <w:t>Planned for September 2016</w:t>
            </w:r>
          </w:p>
        </w:tc>
      </w:tr>
      <w:tr w:rsidR="00400B0F" w:rsidRPr="003B5EE5" w:rsidTr="006F27B1">
        <w:trPr>
          <w:cnfStyle w:val="100000000000" w:firstRow="1" w:lastRow="0" w:firstColumn="0" w:lastColumn="0" w:oddVBand="0" w:evenVBand="0" w:oddHBand="0" w:evenHBand="0" w:firstRowFirstColumn="0" w:firstRowLastColumn="0" w:lastRowFirstColumn="0" w:lastRowLastColumn="0"/>
        </w:trPr>
        <w:tc>
          <w:tcPr>
            <w:tcW w:w="3064" w:type="dxa"/>
          </w:tcPr>
          <w:p w:rsidR="00400B0F" w:rsidRPr="00A427C6" w:rsidRDefault="00400B0F" w:rsidP="006F27B1">
            <w:pPr>
              <w:keepLines/>
              <w:spacing w:before="40" w:after="40" w:line="200" w:lineRule="atLeast"/>
              <w:rPr>
                <w:rFonts w:asciiTheme="minorHAnsi" w:eastAsia="Times New Roman" w:hAnsiTheme="minorHAnsi"/>
                <w:b w:val="0"/>
                <w:iCs/>
                <w:szCs w:val="17"/>
                <w:lang w:eastAsia="en-US"/>
              </w:rPr>
            </w:pPr>
          </w:p>
        </w:tc>
        <w:tc>
          <w:tcPr>
            <w:tcW w:w="4657" w:type="dxa"/>
          </w:tcPr>
          <w:p w:rsidR="00400B0F" w:rsidRPr="00A427C6" w:rsidRDefault="00400B0F" w:rsidP="006F27B1">
            <w:pPr>
              <w:keepLines/>
              <w:spacing w:before="40" w:after="40" w:line="200" w:lineRule="atLeast"/>
              <w:rPr>
                <w:rFonts w:asciiTheme="minorHAnsi" w:eastAsia="Times New Roman" w:hAnsiTheme="minorHAnsi"/>
                <w:b w:val="0"/>
                <w:iCs/>
                <w:szCs w:val="17"/>
                <w:lang w:eastAsia="en-US"/>
              </w:rPr>
            </w:pPr>
          </w:p>
        </w:tc>
        <w:tc>
          <w:tcPr>
            <w:tcW w:w="1397" w:type="dxa"/>
          </w:tcPr>
          <w:p w:rsidR="00400B0F" w:rsidRPr="00A427C6" w:rsidRDefault="00400B0F" w:rsidP="006F27B1">
            <w:pPr>
              <w:keepLines/>
              <w:spacing w:before="40" w:after="40" w:line="200" w:lineRule="atLeast"/>
              <w:rPr>
                <w:rFonts w:asciiTheme="minorHAnsi" w:eastAsia="Times New Roman" w:hAnsiTheme="minorHAnsi"/>
                <w:b w:val="0"/>
                <w:iCs/>
                <w:szCs w:val="17"/>
                <w:lang w:eastAsia="en-US"/>
              </w:rPr>
            </w:pPr>
          </w:p>
        </w:tc>
        <w:tc>
          <w:tcPr>
            <w:tcW w:w="1953" w:type="dxa"/>
          </w:tcPr>
          <w:p w:rsidR="00400B0F" w:rsidRPr="00A427C6" w:rsidRDefault="00400B0F" w:rsidP="006F27B1">
            <w:pPr>
              <w:keepLines/>
              <w:spacing w:before="40" w:after="40" w:line="200" w:lineRule="atLeast"/>
              <w:rPr>
                <w:rFonts w:asciiTheme="minorHAnsi" w:eastAsia="Times New Roman" w:hAnsiTheme="minorHAnsi"/>
                <w:b w:val="0"/>
                <w:iCs/>
                <w:szCs w:val="17"/>
                <w:lang w:eastAsia="en-US"/>
              </w:rPr>
            </w:pPr>
          </w:p>
        </w:tc>
        <w:tc>
          <w:tcPr>
            <w:tcW w:w="1671" w:type="dxa"/>
          </w:tcPr>
          <w:p w:rsidR="00400B0F" w:rsidRPr="00A427C6" w:rsidRDefault="00400B0F" w:rsidP="006F27B1">
            <w:pPr>
              <w:keepLines/>
              <w:spacing w:before="40" w:after="40" w:line="200" w:lineRule="atLeast"/>
              <w:rPr>
                <w:rFonts w:asciiTheme="minorHAnsi" w:eastAsia="Times New Roman" w:hAnsiTheme="minorHAnsi"/>
                <w:b w:val="0"/>
                <w:iCs/>
                <w:szCs w:val="17"/>
                <w:lang w:eastAsia="en-US"/>
              </w:rPr>
            </w:pPr>
          </w:p>
        </w:tc>
        <w:tc>
          <w:tcPr>
            <w:tcW w:w="1515" w:type="dxa"/>
          </w:tcPr>
          <w:p w:rsidR="00400B0F" w:rsidRPr="00A427C6" w:rsidRDefault="00400B0F" w:rsidP="006F27B1">
            <w:pPr>
              <w:keepLines/>
              <w:spacing w:before="40" w:after="40" w:line="200" w:lineRule="atLeast"/>
              <w:rPr>
                <w:rFonts w:asciiTheme="minorHAnsi" w:eastAsia="Times New Roman" w:hAnsiTheme="minorHAnsi"/>
                <w:b w:val="0"/>
                <w:iCs/>
                <w:szCs w:val="17"/>
                <w:lang w:eastAsia="en-US"/>
              </w:rPr>
            </w:pPr>
          </w:p>
        </w:tc>
      </w:tr>
    </w:tbl>
    <w:p w:rsidR="008C2F58" w:rsidRDefault="008C2F58" w:rsidP="008C2F58">
      <w:pPr>
        <w:rPr>
          <w:b/>
          <w:sz w:val="24"/>
        </w:rPr>
      </w:pPr>
    </w:p>
    <w:p w:rsidR="00400B0F" w:rsidRPr="008C2F58" w:rsidRDefault="00400B0F" w:rsidP="008C2F58">
      <w:pPr>
        <w:rPr>
          <w:b/>
          <w:sz w:val="24"/>
        </w:rPr>
      </w:pPr>
      <w:r w:rsidRPr="008C2F58">
        <w:rPr>
          <w:b/>
          <w:sz w:val="24"/>
        </w:rPr>
        <w:t xml:space="preserve">List of program prioritised evaluations planned for the next 12 months </w:t>
      </w:r>
    </w:p>
    <w:tbl>
      <w:tblPr>
        <w:tblStyle w:val="APPR"/>
        <w:tblW w:w="0" w:type="auto"/>
        <w:tblLook w:val="0600" w:firstRow="0" w:lastRow="0" w:firstColumn="0" w:lastColumn="0" w:noHBand="1" w:noVBand="1"/>
      </w:tblPr>
      <w:tblGrid>
        <w:gridCol w:w="2514"/>
        <w:gridCol w:w="2409"/>
        <w:gridCol w:w="2487"/>
        <w:gridCol w:w="2255"/>
        <w:gridCol w:w="2376"/>
        <w:gridCol w:w="2404"/>
      </w:tblGrid>
      <w:tr w:rsidR="00400B0F" w:rsidRPr="00C61187" w:rsidTr="006F27B1">
        <w:tc>
          <w:tcPr>
            <w:tcW w:w="2472" w:type="dxa"/>
          </w:tcPr>
          <w:p w:rsidR="00400B0F" w:rsidRPr="00A427C6" w:rsidRDefault="00400B0F" w:rsidP="006F27B1">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Evaluation title</w:t>
            </w:r>
          </w:p>
        </w:tc>
        <w:tc>
          <w:tcPr>
            <w:tcW w:w="2381" w:type="dxa"/>
          </w:tcPr>
          <w:p w:rsidR="00400B0F" w:rsidRPr="00A427C6" w:rsidRDefault="00400B0F" w:rsidP="006F27B1">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 xml:space="preserve">Investment number and name (if applicable) </w:t>
            </w:r>
          </w:p>
        </w:tc>
        <w:tc>
          <w:tcPr>
            <w:tcW w:w="2459" w:type="dxa"/>
          </w:tcPr>
          <w:p w:rsidR="00400B0F" w:rsidRPr="00A427C6" w:rsidRDefault="00400B0F" w:rsidP="006F27B1">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Date – planned commencement (month/year)</w:t>
            </w:r>
          </w:p>
        </w:tc>
        <w:tc>
          <w:tcPr>
            <w:tcW w:w="2227" w:type="dxa"/>
          </w:tcPr>
          <w:p w:rsidR="00400B0F" w:rsidRPr="00A427C6" w:rsidRDefault="00400B0F" w:rsidP="006F27B1">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Date – planned completion (month/year)</w:t>
            </w:r>
          </w:p>
        </w:tc>
        <w:tc>
          <w:tcPr>
            <w:tcW w:w="2348" w:type="dxa"/>
          </w:tcPr>
          <w:p w:rsidR="00400B0F" w:rsidRPr="00A427C6" w:rsidRDefault="00400B0F" w:rsidP="006F27B1">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Purpose of evaluation</w:t>
            </w:r>
          </w:p>
        </w:tc>
        <w:tc>
          <w:tcPr>
            <w:tcW w:w="2362" w:type="dxa"/>
          </w:tcPr>
          <w:p w:rsidR="00400B0F" w:rsidRPr="00A427C6" w:rsidRDefault="00400B0F" w:rsidP="006F27B1">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Evaluation type</w:t>
            </w:r>
          </w:p>
        </w:tc>
      </w:tr>
    </w:tbl>
    <w:tbl>
      <w:tblPr>
        <w:tblStyle w:val="APPR1"/>
        <w:tblW w:w="0" w:type="auto"/>
        <w:tblLook w:val="0600" w:firstRow="0" w:lastRow="0" w:firstColumn="0" w:lastColumn="0" w:noHBand="1" w:noVBand="1"/>
      </w:tblPr>
      <w:tblGrid>
        <w:gridCol w:w="2514"/>
        <w:gridCol w:w="2409"/>
        <w:gridCol w:w="2487"/>
        <w:gridCol w:w="2255"/>
        <w:gridCol w:w="2376"/>
        <w:gridCol w:w="2404"/>
      </w:tblGrid>
      <w:tr w:rsidR="00AE12F8" w:rsidRPr="00C61187" w:rsidTr="00FC2790">
        <w:tc>
          <w:tcPr>
            <w:tcW w:w="2472" w:type="dxa"/>
          </w:tcPr>
          <w:p w:rsidR="00AE12F8" w:rsidRPr="00E41F9E" w:rsidRDefault="00AE12F8" w:rsidP="00FC2790">
            <w:pPr>
              <w:keepLines/>
              <w:spacing w:before="40" w:after="40" w:line="200" w:lineRule="atLeast"/>
              <w:rPr>
                <w:rFonts w:asciiTheme="minorHAnsi" w:hAnsiTheme="minorHAnsi"/>
                <w:szCs w:val="17"/>
              </w:rPr>
            </w:pPr>
            <w:r w:rsidRPr="00E41F9E">
              <w:rPr>
                <w:rFonts w:asciiTheme="minorHAnsi" w:hAnsiTheme="minorHAnsi"/>
                <w:szCs w:val="17"/>
              </w:rPr>
              <w:t>Early Childhood Care and Education Evaluation</w:t>
            </w:r>
          </w:p>
        </w:tc>
        <w:tc>
          <w:tcPr>
            <w:tcW w:w="2381" w:type="dxa"/>
          </w:tcPr>
          <w:p w:rsidR="00AE12F8" w:rsidRPr="00E41F9E" w:rsidRDefault="00AE12F8" w:rsidP="00FC2790">
            <w:pPr>
              <w:keepLines/>
              <w:spacing w:before="40" w:after="40" w:line="200" w:lineRule="atLeast"/>
              <w:rPr>
                <w:rFonts w:asciiTheme="minorHAnsi" w:hAnsiTheme="minorHAnsi"/>
                <w:szCs w:val="17"/>
              </w:rPr>
            </w:pPr>
            <w:r w:rsidRPr="00E41F9E">
              <w:rPr>
                <w:rFonts w:asciiTheme="minorHAnsi" w:hAnsiTheme="minorHAnsi"/>
                <w:szCs w:val="17"/>
              </w:rPr>
              <w:t>INK372 - Vanuatu Education Support Program –</w:t>
            </w:r>
          </w:p>
        </w:tc>
        <w:tc>
          <w:tcPr>
            <w:tcW w:w="2459" w:type="dxa"/>
          </w:tcPr>
          <w:p w:rsidR="00AE12F8" w:rsidRPr="00E41F9E" w:rsidRDefault="00AE12F8" w:rsidP="00FC2790">
            <w:pPr>
              <w:keepLines/>
              <w:spacing w:before="40" w:after="40" w:line="200" w:lineRule="atLeast"/>
              <w:rPr>
                <w:rFonts w:asciiTheme="minorHAnsi" w:hAnsiTheme="minorHAnsi"/>
                <w:szCs w:val="17"/>
              </w:rPr>
            </w:pPr>
            <w:r w:rsidRPr="00E41F9E">
              <w:rPr>
                <w:rFonts w:asciiTheme="minorHAnsi" w:hAnsiTheme="minorHAnsi"/>
                <w:szCs w:val="17"/>
              </w:rPr>
              <w:t>August 2016</w:t>
            </w:r>
          </w:p>
        </w:tc>
        <w:tc>
          <w:tcPr>
            <w:tcW w:w="2227" w:type="dxa"/>
          </w:tcPr>
          <w:p w:rsidR="00AE12F8" w:rsidRPr="00E41F9E" w:rsidRDefault="00AE12F8" w:rsidP="00FC2790">
            <w:pPr>
              <w:keepLines/>
              <w:spacing w:before="40" w:after="40" w:line="200" w:lineRule="atLeast"/>
              <w:rPr>
                <w:rFonts w:asciiTheme="minorHAnsi" w:hAnsiTheme="minorHAnsi"/>
                <w:szCs w:val="17"/>
              </w:rPr>
            </w:pPr>
            <w:r w:rsidRPr="00E41F9E">
              <w:rPr>
                <w:rFonts w:asciiTheme="minorHAnsi" w:hAnsiTheme="minorHAnsi"/>
                <w:szCs w:val="17"/>
              </w:rPr>
              <w:t>October 2016</w:t>
            </w:r>
          </w:p>
        </w:tc>
        <w:tc>
          <w:tcPr>
            <w:tcW w:w="2348" w:type="dxa"/>
          </w:tcPr>
          <w:p w:rsidR="00AE12F8" w:rsidRPr="00E41F9E" w:rsidRDefault="00AE12F8" w:rsidP="00FC2790">
            <w:pPr>
              <w:keepLines/>
              <w:spacing w:before="40" w:after="40" w:line="200" w:lineRule="atLeast"/>
              <w:rPr>
                <w:rFonts w:asciiTheme="minorHAnsi" w:hAnsiTheme="minorHAnsi"/>
                <w:szCs w:val="17"/>
              </w:rPr>
            </w:pPr>
            <w:r w:rsidRPr="00E41F9E">
              <w:rPr>
                <w:rFonts w:asciiTheme="minorHAnsi" w:hAnsiTheme="minorHAnsi"/>
                <w:szCs w:val="17"/>
              </w:rPr>
              <w:t>To assess progress &amp; inform future program planning</w:t>
            </w:r>
          </w:p>
        </w:tc>
        <w:tc>
          <w:tcPr>
            <w:tcW w:w="2362" w:type="dxa"/>
          </w:tcPr>
          <w:p w:rsidR="00AE12F8" w:rsidRPr="00E41F9E" w:rsidRDefault="00AE12F8" w:rsidP="00FC2790">
            <w:pPr>
              <w:keepLines/>
              <w:spacing w:before="40" w:after="40" w:line="200" w:lineRule="atLeast"/>
              <w:rPr>
                <w:rFonts w:asciiTheme="minorHAnsi" w:hAnsiTheme="minorHAnsi"/>
                <w:szCs w:val="17"/>
              </w:rPr>
            </w:pPr>
            <w:r w:rsidRPr="00E41F9E">
              <w:rPr>
                <w:rFonts w:asciiTheme="minorHAnsi" w:hAnsiTheme="minorHAnsi"/>
                <w:szCs w:val="17"/>
              </w:rPr>
              <w:t>Partner and DFAT</w:t>
            </w:r>
          </w:p>
        </w:tc>
      </w:tr>
      <w:tr w:rsidR="00AE12F8" w:rsidRPr="00C61187" w:rsidTr="00FC2790">
        <w:tc>
          <w:tcPr>
            <w:tcW w:w="2472" w:type="dxa"/>
          </w:tcPr>
          <w:p w:rsidR="00AE12F8" w:rsidRPr="00EF7234" w:rsidRDefault="00AE12F8" w:rsidP="00FC2790">
            <w:pPr>
              <w:keepLines/>
              <w:spacing w:before="40" w:after="40" w:line="200" w:lineRule="atLeast"/>
              <w:rPr>
                <w:rFonts w:asciiTheme="minorHAnsi" w:hAnsiTheme="minorHAnsi"/>
                <w:szCs w:val="17"/>
              </w:rPr>
            </w:pPr>
            <w:r>
              <w:rPr>
                <w:rFonts w:asciiTheme="minorHAnsi" w:hAnsiTheme="minorHAnsi"/>
                <w:szCs w:val="17"/>
              </w:rPr>
              <w:t>Three evaluative pieces: Program Evaluative Review; Economics, and Public Financial Management Review; and Organisational Review</w:t>
            </w:r>
          </w:p>
        </w:tc>
        <w:tc>
          <w:tcPr>
            <w:tcW w:w="2381" w:type="dxa"/>
          </w:tcPr>
          <w:p w:rsidR="00AE12F8" w:rsidRPr="00EF7234" w:rsidRDefault="00AE12F8" w:rsidP="00FC2790">
            <w:pPr>
              <w:keepLines/>
              <w:spacing w:before="40" w:after="40" w:line="200" w:lineRule="atLeast"/>
              <w:rPr>
                <w:rFonts w:asciiTheme="minorHAnsi" w:hAnsiTheme="minorHAnsi"/>
                <w:szCs w:val="17"/>
              </w:rPr>
            </w:pPr>
            <w:r w:rsidRPr="00EF7234">
              <w:rPr>
                <w:rFonts w:asciiTheme="minorHAnsi" w:hAnsiTheme="minorHAnsi"/>
                <w:szCs w:val="17"/>
              </w:rPr>
              <w:t>Governance for Growth</w:t>
            </w:r>
          </w:p>
        </w:tc>
        <w:tc>
          <w:tcPr>
            <w:tcW w:w="2459" w:type="dxa"/>
          </w:tcPr>
          <w:p w:rsidR="00AE12F8" w:rsidRPr="00EF7234" w:rsidRDefault="00AE12F8" w:rsidP="00FC2790">
            <w:pPr>
              <w:keepLines/>
              <w:spacing w:before="40" w:after="40" w:line="200" w:lineRule="atLeast"/>
              <w:rPr>
                <w:rFonts w:asciiTheme="minorHAnsi" w:hAnsiTheme="minorHAnsi"/>
                <w:szCs w:val="17"/>
              </w:rPr>
            </w:pPr>
            <w:r w:rsidRPr="00E41F9E">
              <w:rPr>
                <w:rFonts w:asciiTheme="minorHAnsi" w:hAnsiTheme="minorHAnsi"/>
                <w:szCs w:val="17"/>
              </w:rPr>
              <w:t>August 2016</w:t>
            </w:r>
          </w:p>
        </w:tc>
        <w:tc>
          <w:tcPr>
            <w:tcW w:w="2227" w:type="dxa"/>
          </w:tcPr>
          <w:p w:rsidR="00AE12F8" w:rsidRPr="00EF7234" w:rsidRDefault="00AE12F8" w:rsidP="00FC2790">
            <w:pPr>
              <w:keepLines/>
              <w:spacing w:before="40" w:after="40" w:line="200" w:lineRule="atLeast"/>
              <w:rPr>
                <w:rFonts w:asciiTheme="minorHAnsi" w:hAnsiTheme="minorHAnsi"/>
                <w:szCs w:val="17"/>
              </w:rPr>
            </w:pPr>
            <w:r>
              <w:rPr>
                <w:rFonts w:asciiTheme="minorHAnsi" w:hAnsiTheme="minorHAnsi"/>
                <w:szCs w:val="17"/>
              </w:rPr>
              <w:t>December 2016</w:t>
            </w:r>
          </w:p>
        </w:tc>
        <w:tc>
          <w:tcPr>
            <w:tcW w:w="2348" w:type="dxa"/>
          </w:tcPr>
          <w:p w:rsidR="00AE12F8" w:rsidRPr="00EF7234" w:rsidRDefault="00AE12F8" w:rsidP="00FC2790">
            <w:pPr>
              <w:keepLines/>
              <w:spacing w:before="40" w:after="40" w:line="200" w:lineRule="atLeast"/>
              <w:rPr>
                <w:rFonts w:asciiTheme="minorHAnsi" w:hAnsiTheme="minorHAnsi"/>
                <w:szCs w:val="17"/>
              </w:rPr>
            </w:pPr>
            <w:r w:rsidRPr="00E41F9E">
              <w:rPr>
                <w:rFonts w:asciiTheme="minorHAnsi" w:hAnsiTheme="minorHAnsi"/>
                <w:szCs w:val="17"/>
              </w:rPr>
              <w:t>To assess progress &amp; inform future program planning</w:t>
            </w:r>
          </w:p>
        </w:tc>
        <w:tc>
          <w:tcPr>
            <w:tcW w:w="2362" w:type="dxa"/>
          </w:tcPr>
          <w:p w:rsidR="00AE12F8" w:rsidRPr="00EF7234" w:rsidRDefault="00AE12F8" w:rsidP="00FC2790">
            <w:pPr>
              <w:keepLines/>
              <w:spacing w:before="40" w:after="40" w:line="200" w:lineRule="atLeast"/>
              <w:rPr>
                <w:rFonts w:asciiTheme="minorHAnsi" w:hAnsiTheme="minorHAnsi"/>
                <w:szCs w:val="17"/>
              </w:rPr>
            </w:pPr>
            <w:r w:rsidRPr="00E41F9E">
              <w:rPr>
                <w:rFonts w:asciiTheme="minorHAnsi" w:hAnsiTheme="minorHAnsi"/>
                <w:szCs w:val="17"/>
              </w:rPr>
              <w:t>DFAT-led</w:t>
            </w:r>
          </w:p>
        </w:tc>
      </w:tr>
      <w:tr w:rsidR="00AE12F8" w:rsidRPr="00C61187" w:rsidTr="00FC2790">
        <w:tc>
          <w:tcPr>
            <w:tcW w:w="2472" w:type="dxa"/>
          </w:tcPr>
          <w:p w:rsidR="00AE12F8" w:rsidRPr="00E41F9E" w:rsidRDefault="00AE12F8" w:rsidP="00FC2790">
            <w:pPr>
              <w:keepLines/>
              <w:spacing w:before="40" w:after="40" w:line="200" w:lineRule="atLeast"/>
              <w:rPr>
                <w:rFonts w:asciiTheme="minorHAnsi" w:hAnsiTheme="minorHAnsi"/>
                <w:szCs w:val="17"/>
              </w:rPr>
            </w:pPr>
            <w:r w:rsidRPr="00E41F9E">
              <w:rPr>
                <w:rFonts w:asciiTheme="minorHAnsi" w:hAnsiTheme="minorHAnsi"/>
                <w:szCs w:val="17"/>
              </w:rPr>
              <w:t>Review of the Vanuatu Education Support Program</w:t>
            </w:r>
          </w:p>
        </w:tc>
        <w:tc>
          <w:tcPr>
            <w:tcW w:w="2381" w:type="dxa"/>
          </w:tcPr>
          <w:p w:rsidR="00AE12F8" w:rsidRPr="00E41F9E" w:rsidRDefault="00AE12F8" w:rsidP="00FC2790">
            <w:pPr>
              <w:keepLines/>
              <w:spacing w:before="40" w:after="40" w:line="200" w:lineRule="atLeast"/>
              <w:rPr>
                <w:rFonts w:asciiTheme="minorHAnsi" w:hAnsiTheme="minorHAnsi"/>
                <w:szCs w:val="17"/>
              </w:rPr>
            </w:pPr>
            <w:r w:rsidRPr="00E41F9E">
              <w:rPr>
                <w:rFonts w:asciiTheme="minorHAnsi" w:hAnsiTheme="minorHAnsi"/>
                <w:szCs w:val="17"/>
              </w:rPr>
              <w:t>INK372 - Vanuatu Education Support Program</w:t>
            </w:r>
          </w:p>
        </w:tc>
        <w:tc>
          <w:tcPr>
            <w:tcW w:w="2459" w:type="dxa"/>
          </w:tcPr>
          <w:p w:rsidR="00AE12F8" w:rsidRPr="00E41F9E" w:rsidRDefault="00AE12F8" w:rsidP="00FC2790">
            <w:pPr>
              <w:keepLines/>
              <w:spacing w:before="40" w:after="40" w:line="200" w:lineRule="atLeast"/>
              <w:rPr>
                <w:rFonts w:asciiTheme="minorHAnsi" w:hAnsiTheme="minorHAnsi"/>
                <w:szCs w:val="17"/>
              </w:rPr>
            </w:pPr>
            <w:r w:rsidRPr="00E41F9E">
              <w:rPr>
                <w:rFonts w:asciiTheme="minorHAnsi" w:hAnsiTheme="minorHAnsi"/>
                <w:szCs w:val="17"/>
              </w:rPr>
              <w:t>September 2016</w:t>
            </w:r>
          </w:p>
        </w:tc>
        <w:tc>
          <w:tcPr>
            <w:tcW w:w="2227" w:type="dxa"/>
          </w:tcPr>
          <w:p w:rsidR="00AE12F8" w:rsidRPr="00E41F9E" w:rsidRDefault="00AE12F8" w:rsidP="00FC2790">
            <w:pPr>
              <w:keepLines/>
              <w:spacing w:before="40" w:after="40" w:line="200" w:lineRule="atLeast"/>
              <w:rPr>
                <w:rFonts w:asciiTheme="minorHAnsi" w:hAnsiTheme="minorHAnsi"/>
                <w:szCs w:val="17"/>
              </w:rPr>
            </w:pPr>
            <w:r w:rsidRPr="00E41F9E">
              <w:rPr>
                <w:rFonts w:asciiTheme="minorHAnsi" w:hAnsiTheme="minorHAnsi"/>
                <w:szCs w:val="17"/>
              </w:rPr>
              <w:t>November 2016</w:t>
            </w:r>
          </w:p>
        </w:tc>
        <w:tc>
          <w:tcPr>
            <w:tcW w:w="2348" w:type="dxa"/>
          </w:tcPr>
          <w:p w:rsidR="00AE12F8" w:rsidRPr="00E41F9E" w:rsidRDefault="00AE12F8" w:rsidP="00FC2790">
            <w:pPr>
              <w:keepLines/>
              <w:spacing w:before="40" w:after="40" w:line="200" w:lineRule="atLeast"/>
              <w:rPr>
                <w:rFonts w:asciiTheme="minorHAnsi" w:hAnsiTheme="minorHAnsi"/>
                <w:szCs w:val="17"/>
              </w:rPr>
            </w:pPr>
            <w:r w:rsidRPr="00E41F9E">
              <w:rPr>
                <w:rFonts w:asciiTheme="minorHAnsi" w:hAnsiTheme="minorHAnsi"/>
                <w:szCs w:val="17"/>
              </w:rPr>
              <w:t>To assess progress</w:t>
            </w:r>
          </w:p>
        </w:tc>
        <w:tc>
          <w:tcPr>
            <w:tcW w:w="2362" w:type="dxa"/>
          </w:tcPr>
          <w:p w:rsidR="00AE12F8" w:rsidRPr="00E41F9E" w:rsidRDefault="00AE12F8" w:rsidP="00FC2790">
            <w:pPr>
              <w:keepLines/>
              <w:spacing w:before="40" w:after="40" w:line="200" w:lineRule="atLeast"/>
              <w:rPr>
                <w:rFonts w:asciiTheme="minorHAnsi" w:hAnsiTheme="minorHAnsi"/>
                <w:szCs w:val="17"/>
              </w:rPr>
            </w:pPr>
            <w:r w:rsidRPr="00E41F9E">
              <w:rPr>
                <w:rFonts w:asciiTheme="minorHAnsi" w:hAnsiTheme="minorHAnsi"/>
                <w:szCs w:val="17"/>
              </w:rPr>
              <w:t>DFAT-led</w:t>
            </w:r>
          </w:p>
        </w:tc>
      </w:tr>
      <w:tr w:rsidR="00AE12F8" w:rsidRPr="00C61187" w:rsidTr="00FC2790">
        <w:tc>
          <w:tcPr>
            <w:tcW w:w="2472" w:type="dxa"/>
          </w:tcPr>
          <w:p w:rsidR="00AE12F8" w:rsidRPr="00E41F9E" w:rsidRDefault="00AE12F8" w:rsidP="00FC2790">
            <w:pPr>
              <w:keepLines/>
              <w:spacing w:before="40" w:after="40" w:line="200" w:lineRule="atLeast"/>
              <w:rPr>
                <w:rFonts w:asciiTheme="minorHAnsi" w:hAnsiTheme="minorHAnsi"/>
                <w:szCs w:val="17"/>
              </w:rPr>
            </w:pPr>
            <w:r w:rsidRPr="00E41F9E">
              <w:rPr>
                <w:rFonts w:asciiTheme="minorHAnsi" w:hAnsiTheme="minorHAnsi"/>
                <w:szCs w:val="17"/>
              </w:rPr>
              <w:t>Review of the Roads for Development Program</w:t>
            </w:r>
          </w:p>
        </w:tc>
        <w:tc>
          <w:tcPr>
            <w:tcW w:w="2381" w:type="dxa"/>
          </w:tcPr>
          <w:p w:rsidR="00AE12F8" w:rsidRPr="00E41F9E" w:rsidRDefault="00AE12F8" w:rsidP="00FC2790">
            <w:pPr>
              <w:keepLines/>
              <w:spacing w:before="40" w:after="40" w:line="200" w:lineRule="atLeast"/>
              <w:rPr>
                <w:rFonts w:asciiTheme="minorHAnsi" w:hAnsiTheme="minorHAnsi"/>
                <w:szCs w:val="17"/>
              </w:rPr>
            </w:pPr>
            <w:r w:rsidRPr="00E41F9E">
              <w:rPr>
                <w:rFonts w:asciiTheme="minorHAnsi" w:hAnsiTheme="minorHAnsi"/>
                <w:szCs w:val="17"/>
              </w:rPr>
              <w:t>INK771 - Roads for Development</w:t>
            </w:r>
          </w:p>
        </w:tc>
        <w:tc>
          <w:tcPr>
            <w:tcW w:w="2459" w:type="dxa"/>
          </w:tcPr>
          <w:p w:rsidR="00AE12F8" w:rsidRPr="00E41F9E" w:rsidRDefault="00AE12F8" w:rsidP="00FC2790">
            <w:pPr>
              <w:keepLines/>
              <w:spacing w:before="40" w:after="40" w:line="200" w:lineRule="atLeast"/>
              <w:rPr>
                <w:rFonts w:asciiTheme="minorHAnsi" w:hAnsiTheme="minorHAnsi"/>
                <w:szCs w:val="17"/>
              </w:rPr>
            </w:pPr>
            <w:r w:rsidRPr="00E41F9E">
              <w:rPr>
                <w:rFonts w:asciiTheme="minorHAnsi" w:hAnsiTheme="minorHAnsi"/>
                <w:szCs w:val="17"/>
              </w:rPr>
              <w:t>September 2016</w:t>
            </w:r>
          </w:p>
        </w:tc>
        <w:tc>
          <w:tcPr>
            <w:tcW w:w="2227" w:type="dxa"/>
          </w:tcPr>
          <w:p w:rsidR="00AE12F8" w:rsidRPr="00E41F9E" w:rsidRDefault="00AE12F8" w:rsidP="00FC2790">
            <w:pPr>
              <w:keepLines/>
              <w:spacing w:before="40" w:after="40" w:line="200" w:lineRule="atLeast"/>
              <w:rPr>
                <w:rFonts w:asciiTheme="minorHAnsi" w:hAnsiTheme="minorHAnsi"/>
                <w:szCs w:val="17"/>
              </w:rPr>
            </w:pPr>
            <w:r w:rsidRPr="00E41F9E">
              <w:rPr>
                <w:rFonts w:asciiTheme="minorHAnsi" w:hAnsiTheme="minorHAnsi"/>
                <w:szCs w:val="17"/>
              </w:rPr>
              <w:t>November 2016</w:t>
            </w:r>
          </w:p>
        </w:tc>
        <w:tc>
          <w:tcPr>
            <w:tcW w:w="2348" w:type="dxa"/>
          </w:tcPr>
          <w:p w:rsidR="00AE12F8" w:rsidRPr="00E41F9E" w:rsidRDefault="00AE12F8" w:rsidP="00FC2790">
            <w:pPr>
              <w:keepLines/>
              <w:spacing w:before="40" w:after="40" w:line="200" w:lineRule="atLeast"/>
              <w:rPr>
                <w:rFonts w:asciiTheme="minorHAnsi" w:hAnsiTheme="minorHAnsi"/>
                <w:szCs w:val="17"/>
              </w:rPr>
            </w:pPr>
            <w:r w:rsidRPr="00E41F9E">
              <w:rPr>
                <w:rFonts w:asciiTheme="minorHAnsi" w:hAnsiTheme="minorHAnsi"/>
                <w:szCs w:val="17"/>
              </w:rPr>
              <w:t>To assess progress</w:t>
            </w:r>
          </w:p>
        </w:tc>
        <w:tc>
          <w:tcPr>
            <w:tcW w:w="2362" w:type="dxa"/>
          </w:tcPr>
          <w:p w:rsidR="00AE12F8" w:rsidRPr="00E41F9E" w:rsidRDefault="00AE12F8" w:rsidP="00FC2790">
            <w:pPr>
              <w:keepLines/>
              <w:spacing w:before="40" w:after="40" w:line="200" w:lineRule="atLeast"/>
              <w:rPr>
                <w:rFonts w:asciiTheme="minorHAnsi" w:hAnsiTheme="minorHAnsi"/>
                <w:szCs w:val="17"/>
              </w:rPr>
            </w:pPr>
            <w:r w:rsidRPr="00E41F9E">
              <w:rPr>
                <w:rFonts w:asciiTheme="minorHAnsi" w:hAnsiTheme="minorHAnsi"/>
                <w:szCs w:val="17"/>
              </w:rPr>
              <w:t>DFAT-led</w:t>
            </w:r>
          </w:p>
        </w:tc>
      </w:tr>
      <w:tr w:rsidR="00AE12F8" w:rsidRPr="00C61187" w:rsidTr="00FC2790">
        <w:tc>
          <w:tcPr>
            <w:tcW w:w="2472" w:type="dxa"/>
          </w:tcPr>
          <w:p w:rsidR="00AE12F8" w:rsidRPr="00E41F9E" w:rsidRDefault="00AE12F8" w:rsidP="00FC2790">
            <w:pPr>
              <w:keepLines/>
              <w:spacing w:before="40" w:after="40" w:line="200" w:lineRule="atLeast"/>
              <w:rPr>
                <w:rFonts w:asciiTheme="minorHAnsi" w:hAnsiTheme="minorHAnsi"/>
                <w:szCs w:val="17"/>
              </w:rPr>
            </w:pPr>
            <w:r w:rsidRPr="00E41F9E">
              <w:rPr>
                <w:rFonts w:asciiTheme="minorHAnsi" w:hAnsiTheme="minorHAnsi"/>
                <w:szCs w:val="17"/>
              </w:rPr>
              <w:t>Review of Wan Smolbag Theatre with a gender lens</w:t>
            </w:r>
          </w:p>
        </w:tc>
        <w:tc>
          <w:tcPr>
            <w:tcW w:w="2381" w:type="dxa"/>
          </w:tcPr>
          <w:p w:rsidR="00AE12F8" w:rsidRPr="00E41F9E" w:rsidRDefault="00AE12F8" w:rsidP="00FC2790">
            <w:pPr>
              <w:keepLines/>
              <w:spacing w:before="40" w:after="40" w:line="200" w:lineRule="atLeast"/>
              <w:rPr>
                <w:rFonts w:asciiTheme="minorHAnsi" w:hAnsiTheme="minorHAnsi"/>
                <w:szCs w:val="17"/>
              </w:rPr>
            </w:pPr>
            <w:r w:rsidRPr="00E41F9E">
              <w:rPr>
                <w:rFonts w:asciiTheme="minorHAnsi" w:hAnsiTheme="minorHAnsi"/>
                <w:szCs w:val="17"/>
              </w:rPr>
              <w:t>INI637 – Wan Smolbag Theatre</w:t>
            </w:r>
          </w:p>
        </w:tc>
        <w:tc>
          <w:tcPr>
            <w:tcW w:w="2459" w:type="dxa"/>
          </w:tcPr>
          <w:p w:rsidR="00AE12F8" w:rsidRPr="00E41F9E" w:rsidRDefault="00AE12F8" w:rsidP="00FC2790">
            <w:pPr>
              <w:keepLines/>
              <w:spacing w:before="40" w:after="40" w:line="200" w:lineRule="atLeast"/>
              <w:rPr>
                <w:rFonts w:asciiTheme="minorHAnsi" w:hAnsiTheme="minorHAnsi"/>
                <w:szCs w:val="17"/>
              </w:rPr>
            </w:pPr>
            <w:r w:rsidRPr="00E41F9E">
              <w:rPr>
                <w:rFonts w:asciiTheme="minorHAnsi" w:hAnsiTheme="minorHAnsi"/>
                <w:szCs w:val="17"/>
              </w:rPr>
              <w:t>February 2017</w:t>
            </w:r>
          </w:p>
        </w:tc>
        <w:tc>
          <w:tcPr>
            <w:tcW w:w="2227" w:type="dxa"/>
          </w:tcPr>
          <w:p w:rsidR="00AE12F8" w:rsidRPr="00E41F9E" w:rsidRDefault="00AE12F8" w:rsidP="00FC2790">
            <w:pPr>
              <w:keepLines/>
              <w:spacing w:before="40" w:after="40" w:line="200" w:lineRule="atLeast"/>
              <w:rPr>
                <w:rFonts w:asciiTheme="minorHAnsi" w:hAnsiTheme="minorHAnsi"/>
                <w:szCs w:val="17"/>
              </w:rPr>
            </w:pPr>
            <w:r w:rsidRPr="00E41F9E">
              <w:rPr>
                <w:rFonts w:asciiTheme="minorHAnsi" w:hAnsiTheme="minorHAnsi"/>
                <w:szCs w:val="17"/>
              </w:rPr>
              <w:t>May 2017</w:t>
            </w:r>
          </w:p>
        </w:tc>
        <w:tc>
          <w:tcPr>
            <w:tcW w:w="2348" w:type="dxa"/>
          </w:tcPr>
          <w:p w:rsidR="00AE12F8" w:rsidRPr="00E41F9E" w:rsidRDefault="00AE12F8" w:rsidP="00FC2790">
            <w:pPr>
              <w:keepLines/>
              <w:spacing w:before="40" w:after="40" w:line="200" w:lineRule="atLeast"/>
              <w:rPr>
                <w:rFonts w:asciiTheme="minorHAnsi" w:hAnsiTheme="minorHAnsi"/>
                <w:szCs w:val="17"/>
              </w:rPr>
            </w:pPr>
            <w:r w:rsidRPr="00E41F9E">
              <w:rPr>
                <w:rFonts w:asciiTheme="minorHAnsi" w:hAnsiTheme="minorHAnsi"/>
                <w:szCs w:val="17"/>
              </w:rPr>
              <w:t>To assess progress &amp; inform future program planning</w:t>
            </w:r>
          </w:p>
        </w:tc>
        <w:tc>
          <w:tcPr>
            <w:tcW w:w="2362" w:type="dxa"/>
          </w:tcPr>
          <w:p w:rsidR="00AE12F8" w:rsidRPr="00E41F9E" w:rsidRDefault="00AE12F8" w:rsidP="00FC2790">
            <w:pPr>
              <w:keepLines/>
              <w:spacing w:before="40" w:after="40" w:line="200" w:lineRule="atLeast"/>
              <w:rPr>
                <w:rFonts w:asciiTheme="minorHAnsi" w:hAnsiTheme="minorHAnsi"/>
                <w:szCs w:val="17"/>
              </w:rPr>
            </w:pPr>
            <w:r w:rsidRPr="00E41F9E">
              <w:rPr>
                <w:rFonts w:asciiTheme="minorHAnsi" w:hAnsiTheme="minorHAnsi"/>
                <w:szCs w:val="17"/>
              </w:rPr>
              <w:t>DFAT-led</w:t>
            </w:r>
          </w:p>
        </w:tc>
      </w:tr>
    </w:tbl>
    <w:tbl>
      <w:tblPr>
        <w:tblStyle w:val="APPR"/>
        <w:tblW w:w="0" w:type="auto"/>
        <w:tblLook w:val="0600" w:firstRow="0" w:lastRow="0" w:firstColumn="0" w:lastColumn="0" w:noHBand="1" w:noVBand="1"/>
      </w:tblPr>
      <w:tblGrid>
        <w:gridCol w:w="2514"/>
        <w:gridCol w:w="2409"/>
        <w:gridCol w:w="2487"/>
        <w:gridCol w:w="2255"/>
        <w:gridCol w:w="2376"/>
        <w:gridCol w:w="2404"/>
      </w:tblGrid>
      <w:tr w:rsidR="00400B0F" w:rsidRPr="00C61187" w:rsidTr="006F27B1">
        <w:tc>
          <w:tcPr>
            <w:tcW w:w="2472" w:type="dxa"/>
          </w:tcPr>
          <w:p w:rsidR="00400B0F" w:rsidRPr="00A427C6" w:rsidRDefault="00400B0F" w:rsidP="006F27B1">
            <w:pPr>
              <w:keepLines/>
              <w:spacing w:before="40" w:after="40" w:line="200" w:lineRule="atLeast"/>
              <w:rPr>
                <w:rFonts w:asciiTheme="minorHAnsi" w:eastAsia="Times New Roman" w:hAnsiTheme="minorHAnsi"/>
                <w:iCs/>
                <w:szCs w:val="17"/>
                <w:lang w:eastAsia="en-US"/>
              </w:rPr>
            </w:pPr>
          </w:p>
        </w:tc>
        <w:tc>
          <w:tcPr>
            <w:tcW w:w="2381" w:type="dxa"/>
          </w:tcPr>
          <w:p w:rsidR="00400B0F" w:rsidRPr="00A427C6" w:rsidRDefault="00400B0F" w:rsidP="006F27B1">
            <w:pPr>
              <w:keepLines/>
              <w:spacing w:before="40" w:after="40" w:line="200" w:lineRule="atLeast"/>
              <w:rPr>
                <w:rFonts w:asciiTheme="minorHAnsi" w:eastAsia="Times New Roman" w:hAnsiTheme="minorHAnsi"/>
                <w:iCs/>
                <w:szCs w:val="17"/>
                <w:lang w:eastAsia="en-US"/>
              </w:rPr>
            </w:pPr>
          </w:p>
        </w:tc>
        <w:tc>
          <w:tcPr>
            <w:tcW w:w="2459" w:type="dxa"/>
          </w:tcPr>
          <w:p w:rsidR="00400B0F" w:rsidRPr="00A427C6" w:rsidRDefault="00400B0F" w:rsidP="006F27B1">
            <w:pPr>
              <w:keepLines/>
              <w:spacing w:before="40" w:after="40" w:line="200" w:lineRule="atLeast"/>
              <w:rPr>
                <w:rFonts w:asciiTheme="minorHAnsi" w:eastAsia="Times New Roman" w:hAnsiTheme="minorHAnsi"/>
                <w:iCs/>
                <w:szCs w:val="17"/>
                <w:lang w:eastAsia="en-US"/>
              </w:rPr>
            </w:pPr>
          </w:p>
        </w:tc>
        <w:tc>
          <w:tcPr>
            <w:tcW w:w="2227" w:type="dxa"/>
          </w:tcPr>
          <w:p w:rsidR="00400B0F" w:rsidRPr="00A427C6" w:rsidRDefault="00400B0F" w:rsidP="006F27B1">
            <w:pPr>
              <w:keepLines/>
              <w:spacing w:before="40" w:after="40" w:line="200" w:lineRule="atLeast"/>
              <w:rPr>
                <w:rFonts w:asciiTheme="minorHAnsi" w:eastAsia="Times New Roman" w:hAnsiTheme="minorHAnsi"/>
                <w:iCs/>
                <w:szCs w:val="17"/>
                <w:lang w:eastAsia="en-US"/>
              </w:rPr>
            </w:pPr>
          </w:p>
        </w:tc>
        <w:tc>
          <w:tcPr>
            <w:tcW w:w="2348" w:type="dxa"/>
          </w:tcPr>
          <w:p w:rsidR="00400B0F" w:rsidRPr="00A427C6" w:rsidRDefault="00400B0F" w:rsidP="006F27B1">
            <w:pPr>
              <w:keepLines/>
              <w:spacing w:before="40" w:after="40" w:line="200" w:lineRule="atLeast"/>
              <w:rPr>
                <w:rFonts w:asciiTheme="minorHAnsi" w:eastAsia="Times New Roman" w:hAnsiTheme="minorHAnsi"/>
                <w:iCs/>
                <w:color w:val="000000" w:themeColor="text1" w:themeShade="BF"/>
                <w:szCs w:val="17"/>
                <w:lang w:eastAsia="en-US"/>
              </w:rPr>
            </w:pPr>
          </w:p>
        </w:tc>
        <w:tc>
          <w:tcPr>
            <w:tcW w:w="2362" w:type="dxa"/>
          </w:tcPr>
          <w:p w:rsidR="00400B0F" w:rsidRPr="00A427C6" w:rsidRDefault="00400B0F" w:rsidP="006F27B1">
            <w:pPr>
              <w:keepLines/>
              <w:spacing w:before="40" w:after="40" w:line="200" w:lineRule="atLeast"/>
              <w:rPr>
                <w:rFonts w:asciiTheme="minorHAnsi" w:eastAsia="Times New Roman" w:hAnsiTheme="minorHAnsi"/>
                <w:iCs/>
                <w:szCs w:val="17"/>
                <w:lang w:eastAsia="en-US"/>
              </w:rPr>
            </w:pPr>
          </w:p>
        </w:tc>
      </w:tr>
    </w:tbl>
    <w:p w:rsidR="00400B0F" w:rsidRPr="00784031" w:rsidRDefault="00400B0F" w:rsidP="00400B0F">
      <w:pPr>
        <w:keepNext/>
        <w:tabs>
          <w:tab w:val="left" w:pos="1560"/>
        </w:tabs>
        <w:spacing w:before="360" w:after="120"/>
        <w:outlineLvl w:val="1"/>
        <w:rPr>
          <w:rFonts w:eastAsiaTheme="majorEastAsia" w:cstheme="majorBidi"/>
          <w:bCs/>
          <w:iCs/>
          <w:caps/>
          <w:spacing w:val="-10"/>
          <w:kern w:val="28"/>
          <w:sz w:val="38"/>
          <w:szCs w:val="24"/>
        </w:rPr>
      </w:pPr>
      <w:r w:rsidRPr="00784031">
        <w:rPr>
          <w:rFonts w:eastAsiaTheme="majorEastAsia" w:cstheme="majorBidi"/>
          <w:bCs/>
          <w:iCs/>
          <w:caps/>
          <w:spacing w:val="-10"/>
          <w:kern w:val="28"/>
          <w:sz w:val="38"/>
          <w:szCs w:val="24"/>
        </w:rPr>
        <w:t>Annex D - Aid Quality Check ratings</w:t>
      </w:r>
    </w:p>
    <w:p w:rsidR="00400B0F" w:rsidRPr="00784031" w:rsidRDefault="00400B0F" w:rsidP="00400B0F">
      <w:pPr>
        <w:keepNext/>
        <w:numPr>
          <w:ilvl w:val="2"/>
          <w:numId w:val="0"/>
        </w:numPr>
        <w:spacing w:before="240" w:after="120"/>
        <w:outlineLvl w:val="2"/>
        <w:rPr>
          <w:rFonts w:asciiTheme="majorHAnsi" w:eastAsiaTheme="majorEastAsia" w:hAnsiTheme="majorHAnsi" w:cstheme="majorBidi"/>
          <w:caps/>
          <w:sz w:val="38"/>
          <w:szCs w:val="26"/>
        </w:rPr>
      </w:pPr>
      <w:r w:rsidRPr="00784031">
        <w:rPr>
          <w:rFonts w:asciiTheme="majorHAnsi" w:eastAsiaTheme="majorEastAsia" w:hAnsiTheme="majorHAnsi" w:cstheme="majorBidi"/>
          <w:caps/>
          <w:sz w:val="38"/>
          <w:szCs w:val="26"/>
        </w:rPr>
        <w:t>AQC ratings</w:t>
      </w:r>
    </w:p>
    <w:p w:rsidR="00400B0F" w:rsidRPr="00C61187" w:rsidRDefault="00400B0F" w:rsidP="004E0264">
      <w:r w:rsidRPr="00C61187">
        <w:t>AQC investment performance over the previous 12 months and where available last year’s AQC ratings are included.</w:t>
      </w:r>
    </w:p>
    <w:tbl>
      <w:tblPr>
        <w:tblStyle w:val="APPR"/>
        <w:tblW w:w="5000" w:type="pct"/>
        <w:tblLook w:val="0000" w:firstRow="0" w:lastRow="0" w:firstColumn="0" w:lastColumn="0" w:noHBand="0" w:noVBand="0"/>
      </w:tblPr>
      <w:tblGrid>
        <w:gridCol w:w="2719"/>
        <w:gridCol w:w="1969"/>
        <w:gridCol w:w="1254"/>
        <w:gridCol w:w="1260"/>
        <w:gridCol w:w="1251"/>
        <w:gridCol w:w="1260"/>
        <w:gridCol w:w="1251"/>
        <w:gridCol w:w="1260"/>
        <w:gridCol w:w="1251"/>
        <w:gridCol w:w="1257"/>
      </w:tblGrid>
      <w:tr w:rsidR="00400B0F" w:rsidRPr="00C61187" w:rsidTr="00C807A2">
        <w:trPr>
          <w:cnfStyle w:val="000000010000" w:firstRow="0" w:lastRow="0" w:firstColumn="0" w:lastColumn="0" w:oddVBand="0" w:evenVBand="0" w:oddHBand="0" w:evenHBand="1" w:firstRowFirstColumn="0" w:firstRowLastColumn="0" w:lastRowFirstColumn="0" w:lastRowLastColumn="0"/>
          <w:trHeight w:val="1413"/>
        </w:trPr>
        <w:tc>
          <w:tcPr>
            <w:tcW w:w="909" w:type="pct"/>
          </w:tcPr>
          <w:p w:rsidR="00400B0F" w:rsidRPr="00A427C6" w:rsidRDefault="00400B0F" w:rsidP="006F27B1">
            <w:pPr>
              <w:keepLines/>
              <w:spacing w:before="80" w:after="80" w:line="200" w:lineRule="atLeast"/>
              <w:rPr>
                <w:rFonts w:asciiTheme="minorHAnsi" w:eastAsia="Times New Roman" w:hAnsiTheme="minorHAnsi"/>
                <w:b/>
                <w:iCs/>
                <w:szCs w:val="17"/>
                <w:lang w:eastAsia="en-US"/>
              </w:rPr>
            </w:pPr>
            <w:r w:rsidRPr="00A427C6">
              <w:rPr>
                <w:rFonts w:eastAsia="Times New Roman"/>
                <w:b/>
                <w:iCs/>
                <w:noProof/>
                <w:szCs w:val="17"/>
                <w:lang w:val="en-AU"/>
              </w:rPr>
              <w:drawing>
                <wp:anchor distT="0" distB="0" distL="114300" distR="114300" simplePos="0" relativeHeight="251676672" behindDoc="0" locked="0" layoutInCell="1" allowOverlap="1" wp14:anchorId="437F5CEC" wp14:editId="081CAA78">
                  <wp:simplePos x="0" y="0"/>
                  <wp:positionH relativeFrom="column">
                    <wp:posOffset>0</wp:posOffset>
                  </wp:positionH>
                  <wp:positionV relativeFrom="paragraph">
                    <wp:posOffset>0</wp:posOffset>
                  </wp:positionV>
                  <wp:extent cx="1857375" cy="228600"/>
                  <wp:effectExtent l="0" t="0" r="9525" b="0"/>
                  <wp:wrapNone/>
                  <wp:docPr id="14" name="Picture 14"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27C6">
              <w:rPr>
                <w:rFonts w:asciiTheme="minorHAnsi" w:eastAsia="Times New Roman" w:hAnsiTheme="minorHAnsi"/>
                <w:b/>
                <w:iCs/>
                <w:szCs w:val="17"/>
                <w:lang w:eastAsia="en-US"/>
              </w:rPr>
              <w:t>Investment name</w:t>
            </w:r>
          </w:p>
        </w:tc>
        <w:tc>
          <w:tcPr>
            <w:tcW w:w="659" w:type="pct"/>
            <w:textDirection w:val="btLr"/>
          </w:tcPr>
          <w:p w:rsidR="00400B0F" w:rsidRPr="00A427C6" w:rsidRDefault="00400B0F" w:rsidP="006F27B1">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Approved budget and duration</w:t>
            </w:r>
          </w:p>
        </w:tc>
        <w:tc>
          <w:tcPr>
            <w:tcW w:w="416" w:type="pct"/>
            <w:textDirection w:val="btLr"/>
          </w:tcPr>
          <w:p w:rsidR="00400B0F" w:rsidRPr="00A427C6" w:rsidRDefault="00400B0F" w:rsidP="006F27B1">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year on year</w:t>
            </w:r>
          </w:p>
        </w:tc>
        <w:tc>
          <w:tcPr>
            <w:tcW w:w="418" w:type="pct"/>
            <w:textDirection w:val="btLr"/>
          </w:tcPr>
          <w:p w:rsidR="00400B0F" w:rsidRPr="00A427C6" w:rsidRDefault="00400B0F" w:rsidP="006F27B1">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Relevance</w:t>
            </w:r>
          </w:p>
        </w:tc>
        <w:tc>
          <w:tcPr>
            <w:tcW w:w="415" w:type="pct"/>
            <w:textDirection w:val="btLr"/>
          </w:tcPr>
          <w:p w:rsidR="00400B0F" w:rsidRPr="00A427C6" w:rsidRDefault="00400B0F" w:rsidP="006F27B1">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Effectiveness</w:t>
            </w:r>
          </w:p>
        </w:tc>
        <w:tc>
          <w:tcPr>
            <w:tcW w:w="418" w:type="pct"/>
            <w:textDirection w:val="btLr"/>
          </w:tcPr>
          <w:p w:rsidR="00400B0F" w:rsidRPr="00A427C6" w:rsidRDefault="00400B0F" w:rsidP="006F27B1">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Efficiency</w:t>
            </w:r>
          </w:p>
        </w:tc>
        <w:tc>
          <w:tcPr>
            <w:tcW w:w="415" w:type="pct"/>
            <w:textDirection w:val="btLr"/>
          </w:tcPr>
          <w:p w:rsidR="00400B0F" w:rsidRPr="00A427C6" w:rsidRDefault="00400B0F" w:rsidP="006F27B1">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Monitoring and Evaluation</w:t>
            </w:r>
          </w:p>
        </w:tc>
        <w:tc>
          <w:tcPr>
            <w:tcW w:w="418" w:type="pct"/>
            <w:textDirection w:val="btLr"/>
          </w:tcPr>
          <w:p w:rsidR="00400B0F" w:rsidRPr="00A427C6" w:rsidRDefault="00400B0F" w:rsidP="006F27B1">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Sustainability</w:t>
            </w:r>
          </w:p>
        </w:tc>
        <w:tc>
          <w:tcPr>
            <w:tcW w:w="415" w:type="pct"/>
            <w:textDirection w:val="btLr"/>
          </w:tcPr>
          <w:p w:rsidR="00400B0F" w:rsidRPr="00A427C6" w:rsidRDefault="00400B0F" w:rsidP="006F27B1">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Gender equality</w:t>
            </w:r>
          </w:p>
        </w:tc>
        <w:tc>
          <w:tcPr>
            <w:tcW w:w="412" w:type="pct"/>
            <w:textDirection w:val="btLr"/>
          </w:tcPr>
          <w:p w:rsidR="00400B0F" w:rsidRPr="00A427C6" w:rsidRDefault="00400B0F" w:rsidP="006F27B1">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Risks  and Safeguards</w:t>
            </w:r>
          </w:p>
        </w:tc>
      </w:tr>
      <w:tr w:rsidR="00400B0F" w:rsidRPr="00C61187" w:rsidTr="00DE0F3B">
        <w:trPr>
          <w:cnfStyle w:val="000000010000" w:firstRow="0" w:lastRow="0" w:firstColumn="0" w:lastColumn="0" w:oddVBand="0" w:evenVBand="0" w:oddHBand="0" w:evenHBand="1" w:firstRowFirstColumn="0" w:firstRowLastColumn="0" w:lastRowFirstColumn="0" w:lastRowLastColumn="0"/>
          <w:trHeight w:val="284"/>
        </w:trPr>
        <w:tc>
          <w:tcPr>
            <w:tcW w:w="909" w:type="pct"/>
            <w:vMerge w:val="restart"/>
          </w:tcPr>
          <w:p w:rsidR="00400B0F" w:rsidRPr="00A427C6" w:rsidRDefault="00C807A2" w:rsidP="006F27B1">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VESP</w:t>
            </w:r>
          </w:p>
        </w:tc>
        <w:tc>
          <w:tcPr>
            <w:tcW w:w="659" w:type="pct"/>
            <w:vMerge w:val="restart"/>
          </w:tcPr>
          <w:p w:rsidR="00400B0F" w:rsidRPr="00A427C6" w:rsidRDefault="00400B0F" w:rsidP="006F27B1">
            <w:pPr>
              <w:autoSpaceDE w:val="0"/>
              <w:autoSpaceDN w:val="0"/>
              <w:adjustRightInd w:val="0"/>
              <w:rPr>
                <w:rFonts w:asciiTheme="minorHAnsi" w:hAnsiTheme="minorHAnsi" w:cs="Franklin Gothic Book"/>
                <w:color w:val="000000"/>
                <w:szCs w:val="17"/>
              </w:rPr>
            </w:pPr>
            <w:r w:rsidRPr="00A427C6">
              <w:rPr>
                <w:rFonts w:asciiTheme="minorHAnsi" w:hAnsiTheme="minorHAnsi" w:cs="Franklin Gothic Book"/>
                <w:color w:val="000000"/>
                <w:szCs w:val="17"/>
              </w:rPr>
              <w:t>$</w:t>
            </w:r>
            <w:r w:rsidR="002071D2">
              <w:rPr>
                <w:rFonts w:asciiTheme="minorHAnsi" w:hAnsiTheme="minorHAnsi" w:cs="Franklin Gothic Book"/>
                <w:color w:val="000000"/>
                <w:szCs w:val="17"/>
              </w:rPr>
              <w:t>36.6</w:t>
            </w:r>
            <w:r w:rsidR="002071D2" w:rsidRPr="00A427C6">
              <w:rPr>
                <w:rFonts w:asciiTheme="minorHAnsi" w:hAnsiTheme="minorHAnsi" w:cs="Franklin Gothic Book"/>
                <w:color w:val="000000"/>
                <w:szCs w:val="17"/>
              </w:rPr>
              <w:t xml:space="preserve">m </w:t>
            </w:r>
          </w:p>
          <w:p w:rsidR="00400B0F" w:rsidRPr="00A427C6" w:rsidRDefault="00400B0F" w:rsidP="006F27B1">
            <w:pPr>
              <w:keepLines/>
              <w:spacing w:before="40" w:after="40"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 xml:space="preserve">2012-17 </w:t>
            </w:r>
          </w:p>
        </w:tc>
        <w:tc>
          <w:tcPr>
            <w:tcW w:w="416" w:type="pct"/>
          </w:tcPr>
          <w:p w:rsidR="00400B0F" w:rsidRPr="00A427C6" w:rsidRDefault="00400B0F" w:rsidP="006F27B1">
            <w:pPr>
              <w:keepLines/>
              <w:spacing w:before="40" w:after="40"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2016 AQC</w:t>
            </w:r>
          </w:p>
        </w:tc>
        <w:tc>
          <w:tcPr>
            <w:tcW w:w="418" w:type="pct"/>
            <w:shd w:val="clear" w:color="auto" w:fill="009900"/>
            <w:noWrap/>
          </w:tcPr>
          <w:p w:rsidR="00400B0F" w:rsidRPr="00053F63" w:rsidRDefault="00400B0F"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5</w:t>
            </w:r>
          </w:p>
        </w:tc>
        <w:tc>
          <w:tcPr>
            <w:tcW w:w="415" w:type="pct"/>
            <w:shd w:val="clear" w:color="auto" w:fill="009900"/>
            <w:noWrap/>
          </w:tcPr>
          <w:p w:rsidR="00400B0F" w:rsidRPr="00053F63" w:rsidRDefault="00942484"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5</w:t>
            </w:r>
          </w:p>
        </w:tc>
        <w:tc>
          <w:tcPr>
            <w:tcW w:w="418" w:type="pct"/>
            <w:shd w:val="clear" w:color="auto" w:fill="FFFF00"/>
            <w:noWrap/>
          </w:tcPr>
          <w:p w:rsidR="00400B0F" w:rsidRPr="00053F63" w:rsidRDefault="00400B0F"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4</w:t>
            </w:r>
          </w:p>
        </w:tc>
        <w:tc>
          <w:tcPr>
            <w:tcW w:w="415" w:type="pct"/>
            <w:shd w:val="clear" w:color="auto" w:fill="009900"/>
            <w:noWrap/>
          </w:tcPr>
          <w:p w:rsidR="00400B0F" w:rsidRPr="00053F63" w:rsidRDefault="00B20175"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5</w:t>
            </w:r>
          </w:p>
        </w:tc>
        <w:tc>
          <w:tcPr>
            <w:tcW w:w="418" w:type="pct"/>
            <w:shd w:val="clear" w:color="auto" w:fill="009900"/>
            <w:noWrap/>
          </w:tcPr>
          <w:p w:rsidR="00400B0F" w:rsidRPr="00053F63" w:rsidRDefault="00B5005D"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5</w:t>
            </w:r>
          </w:p>
        </w:tc>
        <w:tc>
          <w:tcPr>
            <w:tcW w:w="415" w:type="pct"/>
            <w:shd w:val="clear" w:color="auto" w:fill="009900"/>
            <w:noWrap/>
          </w:tcPr>
          <w:p w:rsidR="00400B0F" w:rsidRPr="00053F63" w:rsidRDefault="00C35D25"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5</w:t>
            </w:r>
          </w:p>
        </w:tc>
        <w:tc>
          <w:tcPr>
            <w:tcW w:w="412" w:type="pct"/>
            <w:shd w:val="clear" w:color="auto" w:fill="009900"/>
          </w:tcPr>
          <w:p w:rsidR="00400B0F" w:rsidRPr="00053F63" w:rsidRDefault="00AD39F0"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5</w:t>
            </w:r>
          </w:p>
        </w:tc>
      </w:tr>
      <w:tr w:rsidR="00400B0F" w:rsidRPr="00C61187" w:rsidTr="00DE0F3B">
        <w:trPr>
          <w:cnfStyle w:val="000000010000" w:firstRow="0" w:lastRow="0" w:firstColumn="0" w:lastColumn="0" w:oddVBand="0" w:evenVBand="0" w:oddHBand="0" w:evenHBand="1" w:firstRowFirstColumn="0" w:firstRowLastColumn="0" w:lastRowFirstColumn="0" w:lastRowLastColumn="0"/>
          <w:trHeight w:val="284"/>
        </w:trPr>
        <w:tc>
          <w:tcPr>
            <w:tcW w:w="909" w:type="pct"/>
            <w:vMerge/>
            <w:tcBorders>
              <w:bottom w:val="single" w:sz="4" w:space="0" w:color="auto"/>
            </w:tcBorders>
          </w:tcPr>
          <w:p w:rsidR="00400B0F" w:rsidRPr="00A427C6" w:rsidRDefault="00400B0F" w:rsidP="006F27B1">
            <w:pPr>
              <w:keepLines/>
              <w:spacing w:before="40" w:after="40" w:line="200" w:lineRule="atLeast"/>
              <w:rPr>
                <w:rFonts w:asciiTheme="minorHAnsi" w:eastAsia="Times New Roman" w:hAnsiTheme="minorHAnsi"/>
                <w:iCs/>
                <w:szCs w:val="17"/>
                <w:lang w:eastAsia="en-US"/>
              </w:rPr>
            </w:pPr>
          </w:p>
        </w:tc>
        <w:tc>
          <w:tcPr>
            <w:tcW w:w="659" w:type="pct"/>
            <w:vMerge/>
            <w:tcBorders>
              <w:bottom w:val="single" w:sz="4" w:space="0" w:color="auto"/>
            </w:tcBorders>
          </w:tcPr>
          <w:p w:rsidR="00400B0F" w:rsidRPr="00A427C6" w:rsidRDefault="00400B0F" w:rsidP="006F27B1">
            <w:pPr>
              <w:keepLines/>
              <w:spacing w:before="40" w:after="40" w:line="200" w:lineRule="atLeast"/>
              <w:rPr>
                <w:rFonts w:asciiTheme="minorHAnsi" w:eastAsia="Times New Roman" w:hAnsiTheme="minorHAnsi"/>
                <w:iCs/>
                <w:szCs w:val="17"/>
                <w:lang w:eastAsia="en-US"/>
              </w:rPr>
            </w:pPr>
          </w:p>
        </w:tc>
        <w:tc>
          <w:tcPr>
            <w:tcW w:w="416" w:type="pct"/>
            <w:tcBorders>
              <w:bottom w:val="single" w:sz="4" w:space="0" w:color="auto"/>
            </w:tcBorders>
          </w:tcPr>
          <w:p w:rsidR="00400B0F" w:rsidRPr="00A427C6" w:rsidRDefault="00400B0F" w:rsidP="006F27B1">
            <w:pPr>
              <w:keepLines/>
              <w:spacing w:before="40" w:after="40"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2015 AQC</w:t>
            </w:r>
          </w:p>
        </w:tc>
        <w:tc>
          <w:tcPr>
            <w:tcW w:w="418" w:type="pct"/>
            <w:tcBorders>
              <w:bottom w:val="single" w:sz="4" w:space="0" w:color="auto"/>
            </w:tcBorders>
            <w:shd w:val="clear" w:color="auto" w:fill="009900"/>
            <w:noWrap/>
          </w:tcPr>
          <w:p w:rsidR="00400B0F" w:rsidRPr="00053F63" w:rsidRDefault="00400B0F"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5</w:t>
            </w:r>
          </w:p>
        </w:tc>
        <w:tc>
          <w:tcPr>
            <w:tcW w:w="415" w:type="pct"/>
            <w:tcBorders>
              <w:bottom w:val="single" w:sz="4" w:space="0" w:color="auto"/>
            </w:tcBorders>
            <w:shd w:val="clear" w:color="auto" w:fill="009900"/>
            <w:noWrap/>
          </w:tcPr>
          <w:p w:rsidR="00400B0F" w:rsidRPr="00053F63" w:rsidRDefault="00942484"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5</w:t>
            </w:r>
          </w:p>
        </w:tc>
        <w:tc>
          <w:tcPr>
            <w:tcW w:w="418" w:type="pct"/>
            <w:tcBorders>
              <w:bottom w:val="single" w:sz="4" w:space="0" w:color="auto"/>
            </w:tcBorders>
            <w:shd w:val="clear" w:color="auto" w:fill="FFFF00"/>
            <w:noWrap/>
          </w:tcPr>
          <w:p w:rsidR="00400B0F" w:rsidRPr="00053F63" w:rsidRDefault="00400B0F"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4</w:t>
            </w:r>
          </w:p>
        </w:tc>
        <w:tc>
          <w:tcPr>
            <w:tcW w:w="415" w:type="pct"/>
            <w:tcBorders>
              <w:bottom w:val="single" w:sz="4" w:space="0" w:color="auto"/>
            </w:tcBorders>
            <w:shd w:val="clear" w:color="auto" w:fill="FFFF00"/>
            <w:noWrap/>
          </w:tcPr>
          <w:p w:rsidR="00400B0F" w:rsidRPr="00053F63" w:rsidRDefault="00B20175"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4</w:t>
            </w:r>
          </w:p>
        </w:tc>
        <w:tc>
          <w:tcPr>
            <w:tcW w:w="418" w:type="pct"/>
            <w:tcBorders>
              <w:bottom w:val="single" w:sz="4" w:space="0" w:color="auto"/>
            </w:tcBorders>
            <w:shd w:val="clear" w:color="auto" w:fill="FFFF00"/>
            <w:noWrap/>
          </w:tcPr>
          <w:p w:rsidR="00400B0F" w:rsidRPr="00053F63" w:rsidRDefault="00B5005D"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4</w:t>
            </w:r>
          </w:p>
        </w:tc>
        <w:tc>
          <w:tcPr>
            <w:tcW w:w="415" w:type="pct"/>
            <w:tcBorders>
              <w:bottom w:val="single" w:sz="4" w:space="0" w:color="auto"/>
            </w:tcBorders>
            <w:shd w:val="clear" w:color="auto" w:fill="FFFF00"/>
            <w:noWrap/>
          </w:tcPr>
          <w:p w:rsidR="00400B0F" w:rsidRPr="00053F63" w:rsidRDefault="00C35D25"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4</w:t>
            </w:r>
          </w:p>
        </w:tc>
        <w:tc>
          <w:tcPr>
            <w:tcW w:w="412" w:type="pct"/>
            <w:tcBorders>
              <w:bottom w:val="single" w:sz="4" w:space="0" w:color="auto"/>
            </w:tcBorders>
            <w:shd w:val="clear" w:color="auto" w:fill="FFFF00"/>
          </w:tcPr>
          <w:p w:rsidR="00400B0F" w:rsidRPr="00053F63" w:rsidRDefault="00400B0F"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4</w:t>
            </w:r>
          </w:p>
        </w:tc>
      </w:tr>
      <w:tr w:rsidR="00400B0F" w:rsidRPr="00C61187" w:rsidTr="00DE0F3B">
        <w:trPr>
          <w:cnfStyle w:val="000000010000" w:firstRow="0" w:lastRow="0" w:firstColumn="0" w:lastColumn="0" w:oddVBand="0" w:evenVBand="0" w:oddHBand="0" w:evenHBand="1" w:firstRowFirstColumn="0" w:firstRowLastColumn="0" w:lastRowFirstColumn="0" w:lastRowLastColumn="0"/>
          <w:trHeight w:val="284"/>
        </w:trPr>
        <w:tc>
          <w:tcPr>
            <w:tcW w:w="909" w:type="pct"/>
            <w:vMerge w:val="restart"/>
          </w:tcPr>
          <w:p w:rsidR="00400B0F" w:rsidRPr="00A427C6" w:rsidRDefault="00C807A2" w:rsidP="006F27B1">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TVET</w:t>
            </w:r>
            <w:r w:rsidR="009C6614">
              <w:rPr>
                <w:rFonts w:asciiTheme="minorHAnsi" w:eastAsia="Times New Roman" w:hAnsiTheme="minorHAnsi"/>
                <w:iCs/>
                <w:szCs w:val="17"/>
                <w:lang w:eastAsia="en-US"/>
              </w:rPr>
              <w:t xml:space="preserve"> Phase 3</w:t>
            </w:r>
          </w:p>
        </w:tc>
        <w:tc>
          <w:tcPr>
            <w:tcW w:w="659" w:type="pct"/>
            <w:vMerge w:val="restart"/>
          </w:tcPr>
          <w:p w:rsidR="00400B0F" w:rsidRPr="00A427C6" w:rsidRDefault="00400B0F" w:rsidP="006F27B1">
            <w:pPr>
              <w:autoSpaceDE w:val="0"/>
              <w:autoSpaceDN w:val="0"/>
              <w:adjustRightInd w:val="0"/>
              <w:rPr>
                <w:rFonts w:asciiTheme="minorHAnsi" w:hAnsiTheme="minorHAnsi" w:cs="Franklin Gothic Book"/>
                <w:color w:val="000000"/>
                <w:szCs w:val="17"/>
              </w:rPr>
            </w:pPr>
            <w:r w:rsidRPr="00A427C6">
              <w:rPr>
                <w:rFonts w:asciiTheme="minorHAnsi" w:hAnsiTheme="minorHAnsi" w:cs="Franklin Gothic Book"/>
                <w:color w:val="000000"/>
                <w:szCs w:val="17"/>
              </w:rPr>
              <w:t>$1</w:t>
            </w:r>
            <w:r w:rsidR="002071D2">
              <w:rPr>
                <w:rFonts w:asciiTheme="minorHAnsi" w:hAnsiTheme="minorHAnsi" w:cs="Franklin Gothic Book"/>
                <w:color w:val="000000"/>
                <w:szCs w:val="17"/>
              </w:rPr>
              <w:t>1</w:t>
            </w:r>
            <w:r w:rsidRPr="00A427C6">
              <w:rPr>
                <w:rFonts w:asciiTheme="minorHAnsi" w:hAnsiTheme="minorHAnsi" w:cs="Franklin Gothic Book"/>
                <w:color w:val="000000"/>
                <w:szCs w:val="17"/>
              </w:rPr>
              <w:t xml:space="preserve">m </w:t>
            </w:r>
          </w:p>
          <w:p w:rsidR="00400B0F" w:rsidRPr="00A427C6" w:rsidRDefault="00400B0F" w:rsidP="002071D2">
            <w:pPr>
              <w:keepLines/>
              <w:spacing w:before="40" w:after="40"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201</w:t>
            </w:r>
            <w:r w:rsidR="002071D2">
              <w:rPr>
                <w:rFonts w:asciiTheme="minorHAnsi" w:eastAsia="Times New Roman" w:hAnsiTheme="minorHAnsi"/>
                <w:iCs/>
                <w:szCs w:val="17"/>
                <w:lang w:eastAsia="en-US"/>
              </w:rPr>
              <w:t>1</w:t>
            </w:r>
            <w:r w:rsidRPr="00A427C6">
              <w:rPr>
                <w:rFonts w:asciiTheme="minorHAnsi" w:eastAsia="Times New Roman" w:hAnsiTheme="minorHAnsi"/>
                <w:iCs/>
                <w:szCs w:val="17"/>
                <w:lang w:eastAsia="en-US"/>
              </w:rPr>
              <w:t>-1</w:t>
            </w:r>
            <w:r w:rsidR="002071D2">
              <w:rPr>
                <w:rFonts w:asciiTheme="minorHAnsi" w:eastAsia="Times New Roman" w:hAnsiTheme="minorHAnsi"/>
                <w:iCs/>
                <w:szCs w:val="17"/>
                <w:lang w:eastAsia="en-US"/>
              </w:rPr>
              <w:t>6</w:t>
            </w:r>
            <w:r w:rsidRPr="00A427C6">
              <w:rPr>
                <w:rFonts w:asciiTheme="minorHAnsi" w:eastAsia="Times New Roman" w:hAnsiTheme="minorHAnsi"/>
                <w:iCs/>
                <w:szCs w:val="17"/>
                <w:lang w:eastAsia="en-US"/>
              </w:rPr>
              <w:t xml:space="preserve"> </w:t>
            </w:r>
          </w:p>
        </w:tc>
        <w:tc>
          <w:tcPr>
            <w:tcW w:w="416" w:type="pct"/>
          </w:tcPr>
          <w:p w:rsidR="00400B0F" w:rsidRPr="00A427C6" w:rsidRDefault="00400B0F" w:rsidP="006F27B1">
            <w:pPr>
              <w:keepLines/>
              <w:spacing w:before="40" w:after="40"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2016 AQC</w:t>
            </w:r>
          </w:p>
        </w:tc>
        <w:tc>
          <w:tcPr>
            <w:tcW w:w="418" w:type="pct"/>
            <w:shd w:val="clear" w:color="auto" w:fill="009900"/>
            <w:noWrap/>
          </w:tcPr>
          <w:p w:rsidR="00400B0F" w:rsidRPr="00053F63" w:rsidRDefault="00113887"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6</w:t>
            </w:r>
          </w:p>
        </w:tc>
        <w:tc>
          <w:tcPr>
            <w:tcW w:w="415" w:type="pct"/>
            <w:shd w:val="clear" w:color="auto" w:fill="009900"/>
            <w:noWrap/>
          </w:tcPr>
          <w:p w:rsidR="00400B0F" w:rsidRPr="00053F63" w:rsidRDefault="00942484"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6</w:t>
            </w:r>
          </w:p>
        </w:tc>
        <w:tc>
          <w:tcPr>
            <w:tcW w:w="418" w:type="pct"/>
            <w:tcBorders>
              <w:top w:val="single" w:sz="4" w:space="0" w:color="auto"/>
            </w:tcBorders>
            <w:shd w:val="clear" w:color="auto" w:fill="009900"/>
            <w:noWrap/>
          </w:tcPr>
          <w:p w:rsidR="00400B0F" w:rsidRPr="00053F63" w:rsidRDefault="00A46CC1"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5</w:t>
            </w:r>
          </w:p>
        </w:tc>
        <w:tc>
          <w:tcPr>
            <w:tcW w:w="415" w:type="pct"/>
            <w:tcBorders>
              <w:top w:val="single" w:sz="4" w:space="0" w:color="auto"/>
            </w:tcBorders>
            <w:shd w:val="clear" w:color="auto" w:fill="009900"/>
            <w:noWrap/>
          </w:tcPr>
          <w:p w:rsidR="00400B0F" w:rsidRPr="00053F63" w:rsidRDefault="00400B0F"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5</w:t>
            </w:r>
          </w:p>
        </w:tc>
        <w:tc>
          <w:tcPr>
            <w:tcW w:w="418" w:type="pct"/>
            <w:tcBorders>
              <w:top w:val="single" w:sz="4" w:space="0" w:color="auto"/>
            </w:tcBorders>
            <w:shd w:val="clear" w:color="auto" w:fill="009900"/>
            <w:noWrap/>
          </w:tcPr>
          <w:p w:rsidR="00400B0F" w:rsidRPr="00053F63" w:rsidRDefault="00B5005D"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5</w:t>
            </w:r>
          </w:p>
        </w:tc>
        <w:tc>
          <w:tcPr>
            <w:tcW w:w="415" w:type="pct"/>
            <w:tcBorders>
              <w:top w:val="single" w:sz="4" w:space="0" w:color="auto"/>
            </w:tcBorders>
            <w:shd w:val="clear" w:color="auto" w:fill="009900"/>
            <w:noWrap/>
          </w:tcPr>
          <w:p w:rsidR="00400B0F" w:rsidRPr="00053F63" w:rsidRDefault="00C35D25"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6</w:t>
            </w:r>
          </w:p>
        </w:tc>
        <w:tc>
          <w:tcPr>
            <w:tcW w:w="412" w:type="pct"/>
            <w:shd w:val="clear" w:color="auto" w:fill="009900"/>
          </w:tcPr>
          <w:p w:rsidR="00400B0F" w:rsidRPr="00053F63" w:rsidRDefault="00AD39F0"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5</w:t>
            </w:r>
          </w:p>
        </w:tc>
      </w:tr>
      <w:tr w:rsidR="00C2672F" w:rsidRPr="00C61187" w:rsidTr="00DE0F3B">
        <w:trPr>
          <w:cnfStyle w:val="000000010000" w:firstRow="0" w:lastRow="0" w:firstColumn="0" w:lastColumn="0" w:oddVBand="0" w:evenVBand="0" w:oddHBand="0" w:evenHBand="1" w:firstRowFirstColumn="0" w:firstRowLastColumn="0" w:lastRowFirstColumn="0" w:lastRowLastColumn="0"/>
          <w:trHeight w:val="284"/>
        </w:trPr>
        <w:tc>
          <w:tcPr>
            <w:tcW w:w="909" w:type="pct"/>
            <w:vMerge/>
            <w:tcBorders>
              <w:bottom w:val="single" w:sz="4" w:space="0" w:color="auto"/>
            </w:tcBorders>
          </w:tcPr>
          <w:p w:rsidR="00400B0F" w:rsidRPr="00A427C6" w:rsidRDefault="00400B0F" w:rsidP="006F27B1">
            <w:pPr>
              <w:keepLines/>
              <w:spacing w:before="40" w:after="40" w:line="200" w:lineRule="atLeast"/>
              <w:rPr>
                <w:rFonts w:asciiTheme="minorHAnsi" w:eastAsia="Times New Roman" w:hAnsiTheme="minorHAnsi"/>
                <w:iCs/>
                <w:szCs w:val="17"/>
                <w:lang w:eastAsia="en-US"/>
              </w:rPr>
            </w:pPr>
          </w:p>
        </w:tc>
        <w:tc>
          <w:tcPr>
            <w:tcW w:w="659" w:type="pct"/>
            <w:vMerge/>
            <w:tcBorders>
              <w:bottom w:val="single" w:sz="4" w:space="0" w:color="auto"/>
            </w:tcBorders>
          </w:tcPr>
          <w:p w:rsidR="00400B0F" w:rsidRPr="00A427C6" w:rsidRDefault="00400B0F" w:rsidP="006F27B1">
            <w:pPr>
              <w:keepLines/>
              <w:spacing w:before="40" w:after="40" w:line="200" w:lineRule="atLeast"/>
              <w:rPr>
                <w:rFonts w:asciiTheme="minorHAnsi" w:eastAsia="Times New Roman" w:hAnsiTheme="minorHAnsi"/>
                <w:iCs/>
                <w:szCs w:val="17"/>
                <w:lang w:eastAsia="en-US"/>
              </w:rPr>
            </w:pPr>
          </w:p>
        </w:tc>
        <w:tc>
          <w:tcPr>
            <w:tcW w:w="416" w:type="pct"/>
            <w:tcBorders>
              <w:bottom w:val="single" w:sz="4" w:space="0" w:color="auto"/>
            </w:tcBorders>
          </w:tcPr>
          <w:p w:rsidR="00400B0F" w:rsidRPr="00A427C6" w:rsidRDefault="00400B0F" w:rsidP="006F27B1">
            <w:pPr>
              <w:keepLines/>
              <w:spacing w:before="40" w:after="40"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2015 AQC</w:t>
            </w:r>
          </w:p>
        </w:tc>
        <w:tc>
          <w:tcPr>
            <w:tcW w:w="418" w:type="pct"/>
            <w:tcBorders>
              <w:bottom w:val="single" w:sz="4" w:space="0" w:color="auto"/>
            </w:tcBorders>
            <w:shd w:val="clear" w:color="auto" w:fill="009900"/>
            <w:noWrap/>
          </w:tcPr>
          <w:p w:rsidR="00400B0F" w:rsidRPr="00053F63" w:rsidRDefault="00113887"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6</w:t>
            </w:r>
          </w:p>
        </w:tc>
        <w:tc>
          <w:tcPr>
            <w:tcW w:w="415" w:type="pct"/>
            <w:tcBorders>
              <w:bottom w:val="single" w:sz="4" w:space="0" w:color="auto"/>
            </w:tcBorders>
            <w:shd w:val="clear" w:color="auto" w:fill="009900"/>
            <w:noWrap/>
          </w:tcPr>
          <w:p w:rsidR="00400B0F" w:rsidRPr="00053F63" w:rsidRDefault="00942484"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5</w:t>
            </w:r>
          </w:p>
        </w:tc>
        <w:tc>
          <w:tcPr>
            <w:tcW w:w="418" w:type="pct"/>
            <w:tcBorders>
              <w:bottom w:val="single" w:sz="4" w:space="0" w:color="auto"/>
            </w:tcBorders>
            <w:shd w:val="clear" w:color="auto" w:fill="009900"/>
            <w:noWrap/>
          </w:tcPr>
          <w:p w:rsidR="00400B0F" w:rsidRPr="00053F63" w:rsidRDefault="00A46CC1"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5</w:t>
            </w:r>
          </w:p>
        </w:tc>
        <w:tc>
          <w:tcPr>
            <w:tcW w:w="415" w:type="pct"/>
            <w:tcBorders>
              <w:bottom w:val="single" w:sz="4" w:space="0" w:color="auto"/>
            </w:tcBorders>
            <w:shd w:val="clear" w:color="auto" w:fill="009900"/>
            <w:noWrap/>
          </w:tcPr>
          <w:p w:rsidR="00400B0F" w:rsidRPr="00053F63" w:rsidRDefault="00B20175"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5</w:t>
            </w:r>
          </w:p>
        </w:tc>
        <w:tc>
          <w:tcPr>
            <w:tcW w:w="418" w:type="pct"/>
            <w:tcBorders>
              <w:bottom w:val="single" w:sz="4" w:space="0" w:color="auto"/>
            </w:tcBorders>
            <w:shd w:val="clear" w:color="auto" w:fill="009900"/>
            <w:noWrap/>
          </w:tcPr>
          <w:p w:rsidR="00400B0F" w:rsidRPr="00053F63" w:rsidRDefault="00B5005D"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5</w:t>
            </w:r>
          </w:p>
        </w:tc>
        <w:tc>
          <w:tcPr>
            <w:tcW w:w="415" w:type="pct"/>
            <w:tcBorders>
              <w:bottom w:val="single" w:sz="4" w:space="0" w:color="auto"/>
            </w:tcBorders>
            <w:shd w:val="clear" w:color="auto" w:fill="009900"/>
            <w:noWrap/>
          </w:tcPr>
          <w:p w:rsidR="00400B0F" w:rsidRPr="00053F63" w:rsidRDefault="00C35D25"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6</w:t>
            </w:r>
          </w:p>
        </w:tc>
        <w:tc>
          <w:tcPr>
            <w:tcW w:w="412" w:type="pct"/>
            <w:tcBorders>
              <w:bottom w:val="single" w:sz="4" w:space="0" w:color="auto"/>
            </w:tcBorders>
            <w:shd w:val="clear" w:color="auto" w:fill="FFFF00"/>
          </w:tcPr>
          <w:p w:rsidR="00400B0F" w:rsidRPr="00053F63" w:rsidRDefault="00AD39F0"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4</w:t>
            </w:r>
          </w:p>
        </w:tc>
      </w:tr>
      <w:tr w:rsidR="00AD39F0" w:rsidRPr="00C61187" w:rsidTr="008114F1">
        <w:trPr>
          <w:cnfStyle w:val="000000010000" w:firstRow="0" w:lastRow="0" w:firstColumn="0" w:lastColumn="0" w:oddVBand="0" w:evenVBand="0" w:oddHBand="0" w:evenHBand="1" w:firstRowFirstColumn="0" w:firstRowLastColumn="0" w:lastRowFirstColumn="0" w:lastRowLastColumn="0"/>
          <w:trHeight w:val="284"/>
        </w:trPr>
        <w:tc>
          <w:tcPr>
            <w:tcW w:w="909" w:type="pct"/>
            <w:vMerge w:val="restart"/>
          </w:tcPr>
          <w:p w:rsidR="00C807A2" w:rsidRPr="00A427C6" w:rsidRDefault="00113887" w:rsidP="007D17E7">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Scholarships</w:t>
            </w:r>
          </w:p>
        </w:tc>
        <w:tc>
          <w:tcPr>
            <w:tcW w:w="659" w:type="pct"/>
            <w:vMerge w:val="restart"/>
          </w:tcPr>
          <w:p w:rsidR="00C807A2" w:rsidRPr="00A427C6" w:rsidRDefault="00C807A2" w:rsidP="007D17E7">
            <w:pPr>
              <w:autoSpaceDE w:val="0"/>
              <w:autoSpaceDN w:val="0"/>
              <w:adjustRightInd w:val="0"/>
              <w:rPr>
                <w:rFonts w:asciiTheme="minorHAnsi" w:hAnsiTheme="minorHAnsi" w:cs="Franklin Gothic Book"/>
                <w:color w:val="000000"/>
                <w:szCs w:val="17"/>
              </w:rPr>
            </w:pPr>
            <w:r w:rsidRPr="00A427C6">
              <w:rPr>
                <w:rFonts w:asciiTheme="minorHAnsi" w:hAnsiTheme="minorHAnsi" w:cs="Franklin Gothic Book"/>
                <w:color w:val="000000"/>
                <w:szCs w:val="17"/>
              </w:rPr>
              <w:t>$</w:t>
            </w:r>
            <w:r w:rsidR="002071D2">
              <w:rPr>
                <w:rFonts w:asciiTheme="minorHAnsi" w:hAnsiTheme="minorHAnsi" w:cs="Franklin Gothic Book"/>
                <w:color w:val="000000"/>
                <w:szCs w:val="17"/>
              </w:rPr>
              <w:t>7.3</w:t>
            </w:r>
            <w:r w:rsidR="002071D2" w:rsidRPr="00A427C6">
              <w:rPr>
                <w:rFonts w:asciiTheme="minorHAnsi" w:hAnsiTheme="minorHAnsi" w:cs="Franklin Gothic Book"/>
                <w:color w:val="000000"/>
                <w:szCs w:val="17"/>
              </w:rPr>
              <w:t xml:space="preserve">m </w:t>
            </w:r>
          </w:p>
          <w:p w:rsidR="00C807A2" w:rsidRPr="00A427C6" w:rsidRDefault="002071D2" w:rsidP="002071D2">
            <w:pPr>
              <w:keepLines/>
              <w:spacing w:before="40" w:after="40"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20</w:t>
            </w:r>
            <w:r>
              <w:rPr>
                <w:rFonts w:asciiTheme="minorHAnsi" w:eastAsia="Times New Roman" w:hAnsiTheme="minorHAnsi"/>
                <w:iCs/>
                <w:szCs w:val="17"/>
                <w:lang w:eastAsia="en-US"/>
              </w:rPr>
              <w:t>07</w:t>
            </w:r>
            <w:r w:rsidR="00C807A2" w:rsidRPr="00A427C6">
              <w:rPr>
                <w:rFonts w:asciiTheme="minorHAnsi" w:eastAsia="Times New Roman" w:hAnsiTheme="minorHAnsi"/>
                <w:iCs/>
                <w:szCs w:val="17"/>
                <w:lang w:eastAsia="en-US"/>
              </w:rPr>
              <w:t xml:space="preserve">-17 </w:t>
            </w:r>
          </w:p>
        </w:tc>
        <w:tc>
          <w:tcPr>
            <w:tcW w:w="416" w:type="pct"/>
          </w:tcPr>
          <w:p w:rsidR="00C807A2" w:rsidRPr="00A427C6" w:rsidRDefault="00C807A2" w:rsidP="007D17E7">
            <w:pPr>
              <w:keepLines/>
              <w:spacing w:before="40" w:after="40"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2016 AQC</w:t>
            </w:r>
          </w:p>
        </w:tc>
        <w:tc>
          <w:tcPr>
            <w:tcW w:w="418" w:type="pct"/>
            <w:shd w:val="clear" w:color="auto" w:fill="009900"/>
            <w:noWrap/>
          </w:tcPr>
          <w:p w:rsidR="00C807A2" w:rsidRPr="00053F63" w:rsidRDefault="00C807A2"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5</w:t>
            </w:r>
          </w:p>
        </w:tc>
        <w:tc>
          <w:tcPr>
            <w:tcW w:w="415" w:type="pct"/>
            <w:shd w:val="clear" w:color="auto" w:fill="FFFF00"/>
            <w:noWrap/>
          </w:tcPr>
          <w:p w:rsidR="00C807A2" w:rsidRPr="00053F63" w:rsidRDefault="00C807A2"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4</w:t>
            </w:r>
          </w:p>
        </w:tc>
        <w:tc>
          <w:tcPr>
            <w:tcW w:w="418" w:type="pct"/>
            <w:shd w:val="clear" w:color="auto" w:fill="FFFF00"/>
            <w:noWrap/>
          </w:tcPr>
          <w:p w:rsidR="00C807A2" w:rsidRPr="00053F63" w:rsidRDefault="00C807A2"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4</w:t>
            </w:r>
          </w:p>
        </w:tc>
        <w:tc>
          <w:tcPr>
            <w:tcW w:w="415" w:type="pct"/>
            <w:tcBorders>
              <w:top w:val="single" w:sz="4" w:space="0" w:color="auto"/>
            </w:tcBorders>
            <w:shd w:val="clear" w:color="auto" w:fill="FF6600"/>
            <w:noWrap/>
          </w:tcPr>
          <w:p w:rsidR="00C807A2" w:rsidRPr="00053F63" w:rsidRDefault="00B20175"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3</w:t>
            </w:r>
          </w:p>
        </w:tc>
        <w:tc>
          <w:tcPr>
            <w:tcW w:w="418" w:type="pct"/>
            <w:tcBorders>
              <w:top w:val="single" w:sz="4" w:space="0" w:color="auto"/>
            </w:tcBorders>
            <w:shd w:val="clear" w:color="auto" w:fill="FFFF00"/>
            <w:noWrap/>
          </w:tcPr>
          <w:p w:rsidR="00C807A2" w:rsidRPr="00053F63" w:rsidRDefault="00B5005D"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4</w:t>
            </w:r>
          </w:p>
        </w:tc>
        <w:tc>
          <w:tcPr>
            <w:tcW w:w="415" w:type="pct"/>
            <w:shd w:val="clear" w:color="auto" w:fill="FFFF00"/>
            <w:noWrap/>
          </w:tcPr>
          <w:p w:rsidR="00C807A2" w:rsidRPr="00053F63" w:rsidRDefault="00C35D25"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4</w:t>
            </w:r>
          </w:p>
        </w:tc>
        <w:tc>
          <w:tcPr>
            <w:tcW w:w="412" w:type="pct"/>
            <w:shd w:val="clear" w:color="auto" w:fill="009900"/>
          </w:tcPr>
          <w:p w:rsidR="00C807A2" w:rsidRPr="00053F63" w:rsidRDefault="00AD39F0"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5</w:t>
            </w:r>
          </w:p>
        </w:tc>
      </w:tr>
      <w:tr w:rsidR="00C35D25" w:rsidRPr="00C61187" w:rsidTr="00053F63">
        <w:trPr>
          <w:cnfStyle w:val="000000010000" w:firstRow="0" w:lastRow="0" w:firstColumn="0" w:lastColumn="0" w:oddVBand="0" w:evenVBand="0" w:oddHBand="0" w:evenHBand="1" w:firstRowFirstColumn="0" w:firstRowLastColumn="0" w:lastRowFirstColumn="0" w:lastRowLastColumn="0"/>
          <w:trHeight w:val="284"/>
        </w:trPr>
        <w:tc>
          <w:tcPr>
            <w:tcW w:w="909" w:type="pct"/>
            <w:vMerge/>
            <w:tcBorders>
              <w:bottom w:val="single" w:sz="4" w:space="0" w:color="auto"/>
            </w:tcBorders>
          </w:tcPr>
          <w:p w:rsidR="00C807A2" w:rsidRPr="00A427C6" w:rsidRDefault="00C807A2" w:rsidP="007D17E7">
            <w:pPr>
              <w:keepLines/>
              <w:spacing w:before="40" w:after="40" w:line="200" w:lineRule="atLeast"/>
              <w:rPr>
                <w:rFonts w:asciiTheme="minorHAnsi" w:eastAsia="Times New Roman" w:hAnsiTheme="minorHAnsi"/>
                <w:iCs/>
                <w:szCs w:val="17"/>
                <w:lang w:eastAsia="en-US"/>
              </w:rPr>
            </w:pPr>
          </w:p>
        </w:tc>
        <w:tc>
          <w:tcPr>
            <w:tcW w:w="659" w:type="pct"/>
            <w:vMerge/>
            <w:tcBorders>
              <w:bottom w:val="single" w:sz="4" w:space="0" w:color="auto"/>
            </w:tcBorders>
          </w:tcPr>
          <w:p w:rsidR="00C807A2" w:rsidRPr="00A427C6" w:rsidRDefault="00C807A2" w:rsidP="007D17E7">
            <w:pPr>
              <w:keepLines/>
              <w:spacing w:before="40" w:after="40" w:line="200" w:lineRule="atLeast"/>
              <w:rPr>
                <w:rFonts w:asciiTheme="minorHAnsi" w:eastAsia="Times New Roman" w:hAnsiTheme="minorHAnsi"/>
                <w:iCs/>
                <w:szCs w:val="17"/>
                <w:lang w:eastAsia="en-US"/>
              </w:rPr>
            </w:pPr>
          </w:p>
        </w:tc>
        <w:tc>
          <w:tcPr>
            <w:tcW w:w="416" w:type="pct"/>
            <w:tcBorders>
              <w:bottom w:val="single" w:sz="4" w:space="0" w:color="auto"/>
            </w:tcBorders>
          </w:tcPr>
          <w:p w:rsidR="00C807A2" w:rsidRPr="00A427C6" w:rsidRDefault="00C807A2" w:rsidP="007D17E7">
            <w:pPr>
              <w:keepLines/>
              <w:spacing w:before="40" w:after="40"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2015 AQC</w:t>
            </w:r>
          </w:p>
        </w:tc>
        <w:tc>
          <w:tcPr>
            <w:tcW w:w="418" w:type="pct"/>
            <w:tcBorders>
              <w:bottom w:val="single" w:sz="4" w:space="0" w:color="auto"/>
            </w:tcBorders>
            <w:shd w:val="clear" w:color="auto" w:fill="009900"/>
            <w:noWrap/>
          </w:tcPr>
          <w:p w:rsidR="00C807A2" w:rsidRPr="00053F63" w:rsidRDefault="00C807A2"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5</w:t>
            </w:r>
          </w:p>
        </w:tc>
        <w:tc>
          <w:tcPr>
            <w:tcW w:w="415" w:type="pct"/>
            <w:tcBorders>
              <w:bottom w:val="single" w:sz="4" w:space="0" w:color="auto"/>
            </w:tcBorders>
            <w:shd w:val="clear" w:color="auto" w:fill="FFFF00"/>
            <w:noWrap/>
          </w:tcPr>
          <w:p w:rsidR="00C807A2" w:rsidRPr="00053F63" w:rsidRDefault="00942484"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4</w:t>
            </w:r>
          </w:p>
        </w:tc>
        <w:tc>
          <w:tcPr>
            <w:tcW w:w="418" w:type="pct"/>
            <w:tcBorders>
              <w:bottom w:val="single" w:sz="4" w:space="0" w:color="auto"/>
            </w:tcBorders>
            <w:shd w:val="clear" w:color="auto" w:fill="FF6600"/>
            <w:noWrap/>
          </w:tcPr>
          <w:p w:rsidR="00C807A2" w:rsidRPr="00053F63" w:rsidRDefault="00A46CC1"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3</w:t>
            </w:r>
          </w:p>
        </w:tc>
        <w:tc>
          <w:tcPr>
            <w:tcW w:w="415" w:type="pct"/>
            <w:tcBorders>
              <w:bottom w:val="single" w:sz="4" w:space="0" w:color="auto"/>
            </w:tcBorders>
            <w:shd w:val="clear" w:color="auto" w:fill="FF6600"/>
            <w:noWrap/>
          </w:tcPr>
          <w:p w:rsidR="00C807A2" w:rsidRPr="00053F63" w:rsidRDefault="00B20175"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3</w:t>
            </w:r>
          </w:p>
        </w:tc>
        <w:tc>
          <w:tcPr>
            <w:tcW w:w="418" w:type="pct"/>
            <w:tcBorders>
              <w:bottom w:val="single" w:sz="4" w:space="0" w:color="auto"/>
            </w:tcBorders>
            <w:shd w:val="clear" w:color="auto" w:fill="FFFF00"/>
            <w:noWrap/>
          </w:tcPr>
          <w:p w:rsidR="00C807A2" w:rsidRPr="00053F63" w:rsidRDefault="00B5005D"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4</w:t>
            </w:r>
          </w:p>
        </w:tc>
        <w:tc>
          <w:tcPr>
            <w:tcW w:w="415" w:type="pct"/>
            <w:tcBorders>
              <w:bottom w:val="single" w:sz="4" w:space="0" w:color="auto"/>
            </w:tcBorders>
            <w:shd w:val="clear" w:color="auto" w:fill="009900"/>
            <w:noWrap/>
          </w:tcPr>
          <w:p w:rsidR="00C807A2" w:rsidRPr="00053F63" w:rsidRDefault="00C35D25"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5</w:t>
            </w:r>
          </w:p>
        </w:tc>
        <w:tc>
          <w:tcPr>
            <w:tcW w:w="412" w:type="pct"/>
            <w:tcBorders>
              <w:bottom w:val="single" w:sz="4" w:space="0" w:color="auto"/>
            </w:tcBorders>
            <w:shd w:val="clear" w:color="auto" w:fill="FF6600"/>
          </w:tcPr>
          <w:p w:rsidR="00C807A2" w:rsidRPr="00053F63" w:rsidRDefault="00AD39F0"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3</w:t>
            </w:r>
          </w:p>
        </w:tc>
      </w:tr>
      <w:tr w:rsidR="00C35D25" w:rsidRPr="00C61187" w:rsidTr="00DE0F3B">
        <w:trPr>
          <w:cnfStyle w:val="000000010000" w:firstRow="0" w:lastRow="0" w:firstColumn="0" w:lastColumn="0" w:oddVBand="0" w:evenVBand="0" w:oddHBand="0" w:evenHBand="1" w:firstRowFirstColumn="0" w:firstRowLastColumn="0" w:lastRowFirstColumn="0" w:lastRowLastColumn="0"/>
          <w:trHeight w:val="284"/>
        </w:trPr>
        <w:tc>
          <w:tcPr>
            <w:tcW w:w="909" w:type="pct"/>
            <w:vMerge w:val="restart"/>
          </w:tcPr>
          <w:p w:rsidR="00C807A2" w:rsidRPr="00A427C6" w:rsidRDefault="00113887" w:rsidP="00A46CC1">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PJSP</w:t>
            </w:r>
          </w:p>
        </w:tc>
        <w:tc>
          <w:tcPr>
            <w:tcW w:w="659" w:type="pct"/>
            <w:vMerge w:val="restart"/>
          </w:tcPr>
          <w:p w:rsidR="00C807A2" w:rsidRPr="00A427C6" w:rsidRDefault="00C807A2" w:rsidP="007D17E7">
            <w:pPr>
              <w:autoSpaceDE w:val="0"/>
              <w:autoSpaceDN w:val="0"/>
              <w:adjustRightInd w:val="0"/>
              <w:rPr>
                <w:rFonts w:asciiTheme="minorHAnsi" w:hAnsiTheme="minorHAnsi" w:cs="Franklin Gothic Book"/>
                <w:color w:val="000000"/>
                <w:szCs w:val="17"/>
              </w:rPr>
            </w:pPr>
            <w:r w:rsidRPr="00A427C6">
              <w:rPr>
                <w:rFonts w:asciiTheme="minorHAnsi" w:hAnsiTheme="minorHAnsi" w:cs="Franklin Gothic Book"/>
                <w:color w:val="000000"/>
                <w:szCs w:val="17"/>
              </w:rPr>
              <w:t>$</w:t>
            </w:r>
            <w:r w:rsidR="002071D2">
              <w:rPr>
                <w:rFonts w:asciiTheme="minorHAnsi" w:hAnsiTheme="minorHAnsi" w:cs="Franklin Gothic Book"/>
                <w:color w:val="000000"/>
                <w:szCs w:val="17"/>
              </w:rPr>
              <w:t>31</w:t>
            </w:r>
            <w:r w:rsidR="002071D2" w:rsidRPr="00A427C6">
              <w:rPr>
                <w:rFonts w:asciiTheme="minorHAnsi" w:hAnsiTheme="minorHAnsi" w:cs="Franklin Gothic Book"/>
                <w:color w:val="000000"/>
                <w:szCs w:val="17"/>
              </w:rPr>
              <w:t xml:space="preserve">m </w:t>
            </w:r>
          </w:p>
          <w:p w:rsidR="00C807A2" w:rsidRPr="00A427C6" w:rsidRDefault="002071D2" w:rsidP="002071D2">
            <w:pPr>
              <w:keepLines/>
              <w:spacing w:before="40" w:after="40"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201</w:t>
            </w:r>
            <w:r>
              <w:rPr>
                <w:rFonts w:asciiTheme="minorHAnsi" w:eastAsia="Times New Roman" w:hAnsiTheme="minorHAnsi"/>
                <w:iCs/>
                <w:szCs w:val="17"/>
                <w:lang w:eastAsia="en-US"/>
              </w:rPr>
              <w:t>1</w:t>
            </w:r>
            <w:r w:rsidR="00C807A2" w:rsidRPr="00A427C6">
              <w:rPr>
                <w:rFonts w:asciiTheme="minorHAnsi" w:eastAsia="Times New Roman" w:hAnsiTheme="minorHAnsi"/>
                <w:iCs/>
                <w:szCs w:val="17"/>
                <w:lang w:eastAsia="en-US"/>
              </w:rPr>
              <w:t>-</w:t>
            </w:r>
            <w:r w:rsidRPr="00A427C6">
              <w:rPr>
                <w:rFonts w:asciiTheme="minorHAnsi" w:eastAsia="Times New Roman" w:hAnsiTheme="minorHAnsi"/>
                <w:iCs/>
                <w:szCs w:val="17"/>
                <w:lang w:eastAsia="en-US"/>
              </w:rPr>
              <w:t>1</w:t>
            </w:r>
            <w:r>
              <w:rPr>
                <w:rFonts w:asciiTheme="minorHAnsi" w:eastAsia="Times New Roman" w:hAnsiTheme="minorHAnsi"/>
                <w:iCs/>
                <w:szCs w:val="17"/>
                <w:lang w:eastAsia="en-US"/>
              </w:rPr>
              <w:t>8</w:t>
            </w:r>
            <w:r w:rsidRPr="00A427C6">
              <w:rPr>
                <w:rFonts w:asciiTheme="minorHAnsi" w:eastAsia="Times New Roman" w:hAnsiTheme="minorHAnsi"/>
                <w:iCs/>
                <w:szCs w:val="17"/>
                <w:lang w:eastAsia="en-US"/>
              </w:rPr>
              <w:t xml:space="preserve"> </w:t>
            </w:r>
          </w:p>
        </w:tc>
        <w:tc>
          <w:tcPr>
            <w:tcW w:w="416" w:type="pct"/>
          </w:tcPr>
          <w:p w:rsidR="00C807A2" w:rsidRPr="00A427C6" w:rsidRDefault="00C807A2" w:rsidP="007D17E7">
            <w:pPr>
              <w:keepLines/>
              <w:spacing w:before="40" w:after="40"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2016 AQC</w:t>
            </w:r>
          </w:p>
        </w:tc>
        <w:tc>
          <w:tcPr>
            <w:tcW w:w="418" w:type="pct"/>
            <w:shd w:val="clear" w:color="auto" w:fill="009900"/>
            <w:noWrap/>
          </w:tcPr>
          <w:p w:rsidR="00C807A2" w:rsidRPr="00053F63" w:rsidRDefault="00C807A2"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5</w:t>
            </w:r>
          </w:p>
        </w:tc>
        <w:tc>
          <w:tcPr>
            <w:tcW w:w="415" w:type="pct"/>
            <w:tcBorders>
              <w:top w:val="single" w:sz="4" w:space="0" w:color="auto"/>
            </w:tcBorders>
            <w:shd w:val="clear" w:color="auto" w:fill="009900"/>
            <w:noWrap/>
          </w:tcPr>
          <w:p w:rsidR="00C807A2" w:rsidRPr="00053F63" w:rsidRDefault="00942484"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5</w:t>
            </w:r>
          </w:p>
        </w:tc>
        <w:tc>
          <w:tcPr>
            <w:tcW w:w="418" w:type="pct"/>
            <w:tcBorders>
              <w:top w:val="single" w:sz="4" w:space="0" w:color="auto"/>
            </w:tcBorders>
            <w:shd w:val="clear" w:color="auto" w:fill="009900"/>
            <w:noWrap/>
          </w:tcPr>
          <w:p w:rsidR="00C807A2" w:rsidRPr="00053F63" w:rsidRDefault="00A46CC1"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5</w:t>
            </w:r>
          </w:p>
        </w:tc>
        <w:tc>
          <w:tcPr>
            <w:tcW w:w="415" w:type="pct"/>
            <w:shd w:val="clear" w:color="auto" w:fill="009900"/>
            <w:noWrap/>
          </w:tcPr>
          <w:p w:rsidR="00C807A2" w:rsidRPr="00053F63" w:rsidRDefault="00B20175"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5</w:t>
            </w:r>
          </w:p>
        </w:tc>
        <w:tc>
          <w:tcPr>
            <w:tcW w:w="418" w:type="pct"/>
            <w:shd w:val="clear" w:color="auto" w:fill="FFFF00"/>
            <w:noWrap/>
          </w:tcPr>
          <w:p w:rsidR="00C807A2" w:rsidRPr="00053F63" w:rsidRDefault="00B5005D"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4</w:t>
            </w:r>
          </w:p>
        </w:tc>
        <w:tc>
          <w:tcPr>
            <w:tcW w:w="415" w:type="pct"/>
            <w:tcBorders>
              <w:top w:val="single" w:sz="4" w:space="0" w:color="auto"/>
            </w:tcBorders>
            <w:shd w:val="clear" w:color="auto" w:fill="009900"/>
            <w:noWrap/>
          </w:tcPr>
          <w:p w:rsidR="00C807A2" w:rsidRPr="00053F63" w:rsidRDefault="00C35D25"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5</w:t>
            </w:r>
          </w:p>
        </w:tc>
        <w:tc>
          <w:tcPr>
            <w:tcW w:w="412" w:type="pct"/>
            <w:shd w:val="clear" w:color="auto" w:fill="009900"/>
          </w:tcPr>
          <w:p w:rsidR="00C807A2" w:rsidRPr="00053F63" w:rsidRDefault="00AD39F0"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5</w:t>
            </w:r>
          </w:p>
        </w:tc>
      </w:tr>
      <w:tr w:rsidR="00C35D25" w:rsidRPr="00C61187" w:rsidTr="00DE0F3B">
        <w:trPr>
          <w:cnfStyle w:val="000000010000" w:firstRow="0" w:lastRow="0" w:firstColumn="0" w:lastColumn="0" w:oddVBand="0" w:evenVBand="0" w:oddHBand="0" w:evenHBand="1" w:firstRowFirstColumn="0" w:firstRowLastColumn="0" w:lastRowFirstColumn="0" w:lastRowLastColumn="0"/>
          <w:trHeight w:val="284"/>
        </w:trPr>
        <w:tc>
          <w:tcPr>
            <w:tcW w:w="909" w:type="pct"/>
            <w:vMerge/>
            <w:tcBorders>
              <w:bottom w:val="single" w:sz="4" w:space="0" w:color="auto"/>
            </w:tcBorders>
          </w:tcPr>
          <w:p w:rsidR="00C807A2" w:rsidRPr="00A427C6" w:rsidRDefault="00C807A2" w:rsidP="007D17E7">
            <w:pPr>
              <w:keepLines/>
              <w:spacing w:before="40" w:after="40" w:line="200" w:lineRule="atLeast"/>
              <w:rPr>
                <w:rFonts w:asciiTheme="minorHAnsi" w:eastAsia="Times New Roman" w:hAnsiTheme="minorHAnsi"/>
                <w:iCs/>
                <w:szCs w:val="17"/>
                <w:lang w:eastAsia="en-US"/>
              </w:rPr>
            </w:pPr>
          </w:p>
        </w:tc>
        <w:tc>
          <w:tcPr>
            <w:tcW w:w="659" w:type="pct"/>
            <w:vMerge/>
            <w:tcBorders>
              <w:bottom w:val="single" w:sz="4" w:space="0" w:color="auto"/>
            </w:tcBorders>
          </w:tcPr>
          <w:p w:rsidR="00C807A2" w:rsidRPr="00A427C6" w:rsidRDefault="00C807A2" w:rsidP="007D17E7">
            <w:pPr>
              <w:keepLines/>
              <w:spacing w:before="40" w:after="40" w:line="200" w:lineRule="atLeast"/>
              <w:rPr>
                <w:rFonts w:asciiTheme="minorHAnsi" w:eastAsia="Times New Roman" w:hAnsiTheme="minorHAnsi"/>
                <w:iCs/>
                <w:szCs w:val="17"/>
                <w:lang w:eastAsia="en-US"/>
              </w:rPr>
            </w:pPr>
          </w:p>
        </w:tc>
        <w:tc>
          <w:tcPr>
            <w:tcW w:w="416" w:type="pct"/>
            <w:tcBorders>
              <w:bottom w:val="single" w:sz="4" w:space="0" w:color="auto"/>
            </w:tcBorders>
          </w:tcPr>
          <w:p w:rsidR="00C807A2" w:rsidRPr="00A427C6" w:rsidRDefault="00C807A2" w:rsidP="007D17E7">
            <w:pPr>
              <w:keepLines/>
              <w:spacing w:before="40" w:after="40"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2015 AQC</w:t>
            </w:r>
          </w:p>
        </w:tc>
        <w:tc>
          <w:tcPr>
            <w:tcW w:w="418" w:type="pct"/>
            <w:tcBorders>
              <w:bottom w:val="single" w:sz="4" w:space="0" w:color="auto"/>
            </w:tcBorders>
            <w:shd w:val="clear" w:color="auto" w:fill="009900"/>
            <w:noWrap/>
          </w:tcPr>
          <w:p w:rsidR="00C807A2" w:rsidRPr="00053F63" w:rsidRDefault="00C807A2"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5</w:t>
            </w:r>
          </w:p>
        </w:tc>
        <w:tc>
          <w:tcPr>
            <w:tcW w:w="415" w:type="pct"/>
            <w:tcBorders>
              <w:bottom w:val="single" w:sz="4" w:space="0" w:color="auto"/>
            </w:tcBorders>
            <w:shd w:val="clear" w:color="auto" w:fill="009900"/>
            <w:noWrap/>
          </w:tcPr>
          <w:p w:rsidR="00C807A2" w:rsidRPr="00053F63" w:rsidRDefault="00942484"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5</w:t>
            </w:r>
          </w:p>
        </w:tc>
        <w:tc>
          <w:tcPr>
            <w:tcW w:w="418" w:type="pct"/>
            <w:tcBorders>
              <w:bottom w:val="single" w:sz="4" w:space="0" w:color="auto"/>
            </w:tcBorders>
            <w:shd w:val="clear" w:color="auto" w:fill="009900"/>
            <w:noWrap/>
          </w:tcPr>
          <w:p w:rsidR="00C807A2" w:rsidRPr="00053F63" w:rsidRDefault="00A46CC1"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5</w:t>
            </w:r>
          </w:p>
        </w:tc>
        <w:tc>
          <w:tcPr>
            <w:tcW w:w="415" w:type="pct"/>
            <w:tcBorders>
              <w:bottom w:val="single" w:sz="4" w:space="0" w:color="auto"/>
            </w:tcBorders>
            <w:shd w:val="clear" w:color="auto" w:fill="FFFF00"/>
            <w:noWrap/>
          </w:tcPr>
          <w:p w:rsidR="00C807A2" w:rsidRPr="00053F63" w:rsidRDefault="00B20175"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4</w:t>
            </w:r>
          </w:p>
        </w:tc>
        <w:tc>
          <w:tcPr>
            <w:tcW w:w="418" w:type="pct"/>
            <w:tcBorders>
              <w:bottom w:val="single" w:sz="4" w:space="0" w:color="auto"/>
            </w:tcBorders>
            <w:shd w:val="clear" w:color="auto" w:fill="FFFF00"/>
            <w:noWrap/>
          </w:tcPr>
          <w:p w:rsidR="00C807A2" w:rsidRPr="00053F63" w:rsidRDefault="00B5005D"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4</w:t>
            </w:r>
          </w:p>
        </w:tc>
        <w:tc>
          <w:tcPr>
            <w:tcW w:w="415" w:type="pct"/>
            <w:tcBorders>
              <w:bottom w:val="single" w:sz="4" w:space="0" w:color="auto"/>
            </w:tcBorders>
            <w:shd w:val="clear" w:color="auto" w:fill="FFFF00"/>
            <w:noWrap/>
          </w:tcPr>
          <w:p w:rsidR="00C807A2" w:rsidRPr="00053F63" w:rsidRDefault="00C35D25"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4</w:t>
            </w:r>
          </w:p>
        </w:tc>
        <w:tc>
          <w:tcPr>
            <w:tcW w:w="412" w:type="pct"/>
            <w:tcBorders>
              <w:bottom w:val="single" w:sz="4" w:space="0" w:color="auto"/>
            </w:tcBorders>
            <w:shd w:val="clear" w:color="auto" w:fill="FFFF00"/>
          </w:tcPr>
          <w:p w:rsidR="00C807A2" w:rsidRPr="00053F63" w:rsidRDefault="00C807A2"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4</w:t>
            </w:r>
          </w:p>
        </w:tc>
      </w:tr>
      <w:tr w:rsidR="00C35D25" w:rsidRPr="00C61187" w:rsidTr="00DE0F3B">
        <w:trPr>
          <w:cnfStyle w:val="000000010000" w:firstRow="0" w:lastRow="0" w:firstColumn="0" w:lastColumn="0" w:oddVBand="0" w:evenVBand="0" w:oddHBand="0" w:evenHBand="1" w:firstRowFirstColumn="0" w:firstRowLastColumn="0" w:lastRowFirstColumn="0" w:lastRowLastColumn="0"/>
          <w:trHeight w:val="284"/>
        </w:trPr>
        <w:tc>
          <w:tcPr>
            <w:tcW w:w="909" w:type="pct"/>
            <w:vMerge w:val="restart"/>
          </w:tcPr>
          <w:p w:rsidR="00C807A2" w:rsidRPr="00A427C6" w:rsidRDefault="00113887" w:rsidP="007D17E7">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Pacific Women</w:t>
            </w:r>
          </w:p>
        </w:tc>
        <w:tc>
          <w:tcPr>
            <w:tcW w:w="659" w:type="pct"/>
            <w:vMerge w:val="restart"/>
          </w:tcPr>
          <w:p w:rsidR="00C807A2" w:rsidRPr="00A427C6" w:rsidRDefault="00C807A2" w:rsidP="007D17E7">
            <w:pPr>
              <w:autoSpaceDE w:val="0"/>
              <w:autoSpaceDN w:val="0"/>
              <w:adjustRightInd w:val="0"/>
              <w:rPr>
                <w:rFonts w:asciiTheme="minorHAnsi" w:hAnsiTheme="minorHAnsi" w:cs="Franklin Gothic Book"/>
                <w:color w:val="000000"/>
                <w:szCs w:val="17"/>
              </w:rPr>
            </w:pPr>
            <w:r w:rsidRPr="00A427C6">
              <w:rPr>
                <w:rFonts w:asciiTheme="minorHAnsi" w:hAnsiTheme="minorHAnsi" w:cs="Franklin Gothic Book"/>
                <w:color w:val="000000"/>
                <w:szCs w:val="17"/>
              </w:rPr>
              <w:t>$</w:t>
            </w:r>
            <w:r w:rsidR="002071D2">
              <w:rPr>
                <w:rFonts w:asciiTheme="minorHAnsi" w:hAnsiTheme="minorHAnsi" w:cs="Franklin Gothic Book"/>
                <w:color w:val="000000"/>
                <w:szCs w:val="17"/>
              </w:rPr>
              <w:t>12</w:t>
            </w:r>
            <w:r w:rsidR="002071D2" w:rsidRPr="00A427C6">
              <w:rPr>
                <w:rFonts w:asciiTheme="minorHAnsi" w:hAnsiTheme="minorHAnsi" w:cs="Franklin Gothic Book"/>
                <w:color w:val="000000"/>
                <w:szCs w:val="17"/>
              </w:rPr>
              <w:t xml:space="preserve">m </w:t>
            </w:r>
          </w:p>
          <w:p w:rsidR="00C807A2" w:rsidRPr="00A427C6" w:rsidRDefault="00C807A2" w:rsidP="002071D2">
            <w:pPr>
              <w:keepLines/>
              <w:spacing w:before="40" w:after="40"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2012-1</w:t>
            </w:r>
            <w:r w:rsidR="002071D2">
              <w:rPr>
                <w:rFonts w:asciiTheme="minorHAnsi" w:eastAsia="Times New Roman" w:hAnsiTheme="minorHAnsi"/>
                <w:iCs/>
                <w:szCs w:val="17"/>
                <w:lang w:eastAsia="en-US"/>
              </w:rPr>
              <w:t>8</w:t>
            </w:r>
            <w:r w:rsidRPr="00A427C6">
              <w:rPr>
                <w:rFonts w:asciiTheme="minorHAnsi" w:eastAsia="Times New Roman" w:hAnsiTheme="minorHAnsi"/>
                <w:iCs/>
                <w:szCs w:val="17"/>
                <w:lang w:eastAsia="en-US"/>
              </w:rPr>
              <w:t xml:space="preserve"> </w:t>
            </w:r>
          </w:p>
        </w:tc>
        <w:tc>
          <w:tcPr>
            <w:tcW w:w="416" w:type="pct"/>
          </w:tcPr>
          <w:p w:rsidR="00C807A2" w:rsidRPr="00A427C6" w:rsidRDefault="00C807A2" w:rsidP="007D17E7">
            <w:pPr>
              <w:keepLines/>
              <w:spacing w:before="40" w:after="40"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2016 AQC</w:t>
            </w:r>
          </w:p>
        </w:tc>
        <w:tc>
          <w:tcPr>
            <w:tcW w:w="418" w:type="pct"/>
            <w:shd w:val="clear" w:color="auto" w:fill="009900"/>
            <w:noWrap/>
          </w:tcPr>
          <w:p w:rsidR="00C807A2" w:rsidRPr="00053F63" w:rsidRDefault="00113887"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6</w:t>
            </w:r>
          </w:p>
        </w:tc>
        <w:tc>
          <w:tcPr>
            <w:tcW w:w="415" w:type="pct"/>
            <w:shd w:val="clear" w:color="auto" w:fill="009900"/>
            <w:noWrap/>
          </w:tcPr>
          <w:p w:rsidR="00C807A2" w:rsidRPr="00053F63" w:rsidRDefault="00942484"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5</w:t>
            </w:r>
          </w:p>
        </w:tc>
        <w:tc>
          <w:tcPr>
            <w:tcW w:w="418" w:type="pct"/>
            <w:shd w:val="clear" w:color="auto" w:fill="009900"/>
            <w:noWrap/>
          </w:tcPr>
          <w:p w:rsidR="00C807A2" w:rsidRPr="00053F63" w:rsidRDefault="00A46CC1"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5</w:t>
            </w:r>
          </w:p>
        </w:tc>
        <w:tc>
          <w:tcPr>
            <w:tcW w:w="415" w:type="pct"/>
            <w:tcBorders>
              <w:top w:val="single" w:sz="4" w:space="0" w:color="auto"/>
            </w:tcBorders>
            <w:shd w:val="clear" w:color="auto" w:fill="009900"/>
            <w:noWrap/>
          </w:tcPr>
          <w:p w:rsidR="00C807A2" w:rsidRPr="00053F63" w:rsidRDefault="00B20175"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5</w:t>
            </w:r>
          </w:p>
        </w:tc>
        <w:tc>
          <w:tcPr>
            <w:tcW w:w="418" w:type="pct"/>
            <w:shd w:val="clear" w:color="auto" w:fill="FFFF00"/>
            <w:noWrap/>
          </w:tcPr>
          <w:p w:rsidR="00C807A2" w:rsidRPr="00053F63" w:rsidRDefault="00B5005D"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4</w:t>
            </w:r>
          </w:p>
        </w:tc>
        <w:tc>
          <w:tcPr>
            <w:tcW w:w="415" w:type="pct"/>
            <w:tcBorders>
              <w:top w:val="single" w:sz="4" w:space="0" w:color="auto"/>
            </w:tcBorders>
            <w:shd w:val="clear" w:color="auto" w:fill="009900"/>
            <w:noWrap/>
          </w:tcPr>
          <w:p w:rsidR="00C807A2" w:rsidRPr="00053F63" w:rsidRDefault="00C35D25"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5</w:t>
            </w:r>
          </w:p>
        </w:tc>
        <w:tc>
          <w:tcPr>
            <w:tcW w:w="412" w:type="pct"/>
            <w:shd w:val="clear" w:color="auto" w:fill="009900"/>
          </w:tcPr>
          <w:p w:rsidR="00C807A2" w:rsidRPr="00053F63" w:rsidRDefault="00AD39F0"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5</w:t>
            </w:r>
          </w:p>
        </w:tc>
      </w:tr>
      <w:tr w:rsidR="00AD39F0" w:rsidRPr="00C61187" w:rsidTr="00053F63">
        <w:trPr>
          <w:cnfStyle w:val="000000010000" w:firstRow="0" w:lastRow="0" w:firstColumn="0" w:lastColumn="0" w:oddVBand="0" w:evenVBand="0" w:oddHBand="0" w:evenHBand="1" w:firstRowFirstColumn="0" w:firstRowLastColumn="0" w:lastRowFirstColumn="0" w:lastRowLastColumn="0"/>
          <w:trHeight w:val="284"/>
        </w:trPr>
        <w:tc>
          <w:tcPr>
            <w:tcW w:w="909" w:type="pct"/>
            <w:vMerge/>
            <w:tcBorders>
              <w:bottom w:val="single" w:sz="4" w:space="0" w:color="auto"/>
            </w:tcBorders>
          </w:tcPr>
          <w:p w:rsidR="00C807A2" w:rsidRPr="00A427C6" w:rsidRDefault="00C807A2" w:rsidP="007D17E7">
            <w:pPr>
              <w:keepLines/>
              <w:spacing w:before="40" w:after="40" w:line="200" w:lineRule="atLeast"/>
              <w:rPr>
                <w:rFonts w:asciiTheme="minorHAnsi" w:eastAsia="Times New Roman" w:hAnsiTheme="minorHAnsi"/>
                <w:iCs/>
                <w:szCs w:val="17"/>
                <w:lang w:eastAsia="en-US"/>
              </w:rPr>
            </w:pPr>
          </w:p>
        </w:tc>
        <w:tc>
          <w:tcPr>
            <w:tcW w:w="659" w:type="pct"/>
            <w:vMerge/>
            <w:tcBorders>
              <w:bottom w:val="single" w:sz="4" w:space="0" w:color="auto"/>
            </w:tcBorders>
          </w:tcPr>
          <w:p w:rsidR="00C807A2" w:rsidRPr="00A427C6" w:rsidRDefault="00C807A2" w:rsidP="007D17E7">
            <w:pPr>
              <w:keepLines/>
              <w:spacing w:before="40" w:after="40" w:line="200" w:lineRule="atLeast"/>
              <w:rPr>
                <w:rFonts w:asciiTheme="minorHAnsi" w:eastAsia="Times New Roman" w:hAnsiTheme="minorHAnsi"/>
                <w:iCs/>
                <w:szCs w:val="17"/>
                <w:lang w:eastAsia="en-US"/>
              </w:rPr>
            </w:pPr>
          </w:p>
        </w:tc>
        <w:tc>
          <w:tcPr>
            <w:tcW w:w="416" w:type="pct"/>
            <w:tcBorders>
              <w:bottom w:val="single" w:sz="4" w:space="0" w:color="auto"/>
            </w:tcBorders>
          </w:tcPr>
          <w:p w:rsidR="00C807A2" w:rsidRPr="00A427C6" w:rsidRDefault="00C807A2" w:rsidP="007D17E7">
            <w:pPr>
              <w:keepLines/>
              <w:spacing w:before="40" w:after="40"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2015 AQC</w:t>
            </w:r>
          </w:p>
        </w:tc>
        <w:tc>
          <w:tcPr>
            <w:tcW w:w="418" w:type="pct"/>
            <w:tcBorders>
              <w:bottom w:val="single" w:sz="4" w:space="0" w:color="auto"/>
            </w:tcBorders>
            <w:shd w:val="clear" w:color="auto" w:fill="009900"/>
            <w:noWrap/>
          </w:tcPr>
          <w:p w:rsidR="00C807A2" w:rsidRPr="00053F63" w:rsidRDefault="00C807A2"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5</w:t>
            </w:r>
          </w:p>
        </w:tc>
        <w:tc>
          <w:tcPr>
            <w:tcW w:w="415" w:type="pct"/>
            <w:tcBorders>
              <w:bottom w:val="single" w:sz="4" w:space="0" w:color="auto"/>
            </w:tcBorders>
            <w:shd w:val="clear" w:color="auto" w:fill="009900"/>
            <w:noWrap/>
          </w:tcPr>
          <w:p w:rsidR="00C807A2" w:rsidRPr="00053F63" w:rsidRDefault="00942484"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5</w:t>
            </w:r>
          </w:p>
        </w:tc>
        <w:tc>
          <w:tcPr>
            <w:tcW w:w="418" w:type="pct"/>
            <w:tcBorders>
              <w:bottom w:val="single" w:sz="4" w:space="0" w:color="auto"/>
            </w:tcBorders>
            <w:shd w:val="clear" w:color="auto" w:fill="009900"/>
            <w:noWrap/>
          </w:tcPr>
          <w:p w:rsidR="00C807A2" w:rsidRPr="00053F63" w:rsidRDefault="00A46CC1"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5</w:t>
            </w:r>
          </w:p>
        </w:tc>
        <w:tc>
          <w:tcPr>
            <w:tcW w:w="415" w:type="pct"/>
            <w:tcBorders>
              <w:bottom w:val="single" w:sz="4" w:space="0" w:color="auto"/>
            </w:tcBorders>
            <w:shd w:val="clear" w:color="auto" w:fill="009900"/>
            <w:noWrap/>
          </w:tcPr>
          <w:p w:rsidR="00C807A2" w:rsidRPr="00053F63" w:rsidRDefault="00B20175"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5</w:t>
            </w:r>
          </w:p>
        </w:tc>
        <w:tc>
          <w:tcPr>
            <w:tcW w:w="418" w:type="pct"/>
            <w:tcBorders>
              <w:bottom w:val="single" w:sz="4" w:space="0" w:color="auto"/>
            </w:tcBorders>
            <w:shd w:val="clear" w:color="auto" w:fill="FF6600"/>
            <w:noWrap/>
          </w:tcPr>
          <w:p w:rsidR="00C807A2" w:rsidRPr="00053F63" w:rsidRDefault="00B5005D"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3</w:t>
            </w:r>
          </w:p>
        </w:tc>
        <w:tc>
          <w:tcPr>
            <w:tcW w:w="415" w:type="pct"/>
            <w:tcBorders>
              <w:bottom w:val="single" w:sz="4" w:space="0" w:color="auto"/>
            </w:tcBorders>
            <w:shd w:val="clear" w:color="auto" w:fill="009900"/>
            <w:noWrap/>
          </w:tcPr>
          <w:p w:rsidR="00C807A2" w:rsidRPr="00053F63" w:rsidRDefault="00C35D25"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6</w:t>
            </w:r>
          </w:p>
        </w:tc>
        <w:tc>
          <w:tcPr>
            <w:tcW w:w="412" w:type="pct"/>
            <w:tcBorders>
              <w:bottom w:val="single" w:sz="4" w:space="0" w:color="auto"/>
            </w:tcBorders>
            <w:shd w:val="clear" w:color="auto" w:fill="FFFF00"/>
          </w:tcPr>
          <w:p w:rsidR="00C807A2" w:rsidRPr="00053F63" w:rsidRDefault="00C807A2"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4</w:t>
            </w:r>
          </w:p>
        </w:tc>
      </w:tr>
      <w:tr w:rsidR="00AD39F0" w:rsidRPr="00C61187" w:rsidTr="00DE0F3B">
        <w:trPr>
          <w:cnfStyle w:val="000000010000" w:firstRow="0" w:lastRow="0" w:firstColumn="0" w:lastColumn="0" w:oddVBand="0" w:evenVBand="0" w:oddHBand="0" w:evenHBand="1" w:firstRowFirstColumn="0" w:firstRowLastColumn="0" w:lastRowFirstColumn="0" w:lastRowLastColumn="0"/>
          <w:trHeight w:val="284"/>
        </w:trPr>
        <w:tc>
          <w:tcPr>
            <w:tcW w:w="909" w:type="pct"/>
            <w:vMerge w:val="restart"/>
          </w:tcPr>
          <w:p w:rsidR="00C807A2" w:rsidRPr="00A427C6" w:rsidRDefault="00113887" w:rsidP="007D17E7">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WSB</w:t>
            </w:r>
          </w:p>
        </w:tc>
        <w:tc>
          <w:tcPr>
            <w:tcW w:w="659" w:type="pct"/>
            <w:vMerge w:val="restart"/>
          </w:tcPr>
          <w:p w:rsidR="00C807A2" w:rsidRPr="00A427C6" w:rsidRDefault="00C807A2" w:rsidP="007D17E7">
            <w:pPr>
              <w:autoSpaceDE w:val="0"/>
              <w:autoSpaceDN w:val="0"/>
              <w:adjustRightInd w:val="0"/>
              <w:rPr>
                <w:rFonts w:asciiTheme="minorHAnsi" w:hAnsiTheme="minorHAnsi" w:cs="Franklin Gothic Book"/>
                <w:color w:val="000000"/>
                <w:szCs w:val="17"/>
              </w:rPr>
            </w:pPr>
            <w:r w:rsidRPr="00A427C6">
              <w:rPr>
                <w:rFonts w:asciiTheme="minorHAnsi" w:hAnsiTheme="minorHAnsi" w:cs="Franklin Gothic Book"/>
                <w:color w:val="000000"/>
                <w:szCs w:val="17"/>
              </w:rPr>
              <w:t>$</w:t>
            </w:r>
            <w:r w:rsidR="002071D2">
              <w:rPr>
                <w:rFonts w:asciiTheme="minorHAnsi" w:hAnsiTheme="minorHAnsi" w:cs="Franklin Gothic Book"/>
                <w:color w:val="000000"/>
                <w:szCs w:val="17"/>
              </w:rPr>
              <w:t>11.8</w:t>
            </w:r>
            <w:r w:rsidR="002071D2" w:rsidRPr="00A427C6">
              <w:rPr>
                <w:rFonts w:asciiTheme="minorHAnsi" w:hAnsiTheme="minorHAnsi" w:cs="Franklin Gothic Book"/>
                <w:color w:val="000000"/>
                <w:szCs w:val="17"/>
              </w:rPr>
              <w:t xml:space="preserve">m </w:t>
            </w:r>
          </w:p>
          <w:p w:rsidR="00C807A2" w:rsidRPr="00A427C6" w:rsidRDefault="002071D2" w:rsidP="002071D2">
            <w:pPr>
              <w:keepLines/>
              <w:spacing w:before="40" w:after="40"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201</w:t>
            </w:r>
            <w:r>
              <w:rPr>
                <w:rFonts w:asciiTheme="minorHAnsi" w:eastAsia="Times New Roman" w:hAnsiTheme="minorHAnsi"/>
                <w:iCs/>
                <w:szCs w:val="17"/>
                <w:lang w:eastAsia="en-US"/>
              </w:rPr>
              <w:t>0</w:t>
            </w:r>
            <w:r w:rsidR="00C807A2" w:rsidRPr="00A427C6">
              <w:rPr>
                <w:rFonts w:asciiTheme="minorHAnsi" w:eastAsia="Times New Roman" w:hAnsiTheme="minorHAnsi"/>
                <w:iCs/>
                <w:szCs w:val="17"/>
                <w:lang w:eastAsia="en-US"/>
              </w:rPr>
              <w:t xml:space="preserve">-17 </w:t>
            </w:r>
          </w:p>
        </w:tc>
        <w:tc>
          <w:tcPr>
            <w:tcW w:w="416" w:type="pct"/>
          </w:tcPr>
          <w:p w:rsidR="00C807A2" w:rsidRPr="00A427C6" w:rsidRDefault="00C807A2" w:rsidP="007D17E7">
            <w:pPr>
              <w:keepLines/>
              <w:spacing w:before="40" w:after="40"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2016 AQC</w:t>
            </w:r>
          </w:p>
        </w:tc>
        <w:tc>
          <w:tcPr>
            <w:tcW w:w="418" w:type="pct"/>
            <w:shd w:val="clear" w:color="auto" w:fill="009900"/>
            <w:noWrap/>
          </w:tcPr>
          <w:p w:rsidR="00C807A2" w:rsidRPr="00053F63" w:rsidRDefault="00C807A2"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5</w:t>
            </w:r>
          </w:p>
        </w:tc>
        <w:tc>
          <w:tcPr>
            <w:tcW w:w="415" w:type="pct"/>
            <w:shd w:val="clear" w:color="auto" w:fill="009900"/>
            <w:noWrap/>
          </w:tcPr>
          <w:p w:rsidR="00C807A2" w:rsidRPr="00053F63" w:rsidRDefault="00942484"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5</w:t>
            </w:r>
          </w:p>
        </w:tc>
        <w:tc>
          <w:tcPr>
            <w:tcW w:w="418" w:type="pct"/>
            <w:shd w:val="clear" w:color="auto" w:fill="009900"/>
            <w:noWrap/>
          </w:tcPr>
          <w:p w:rsidR="00C807A2" w:rsidRPr="00053F63" w:rsidRDefault="00A46CC1"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5</w:t>
            </w:r>
          </w:p>
        </w:tc>
        <w:tc>
          <w:tcPr>
            <w:tcW w:w="415" w:type="pct"/>
            <w:shd w:val="clear" w:color="auto" w:fill="FFFF00"/>
            <w:noWrap/>
          </w:tcPr>
          <w:p w:rsidR="00C807A2" w:rsidRPr="00053F63" w:rsidRDefault="00B20175"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4</w:t>
            </w:r>
          </w:p>
        </w:tc>
        <w:tc>
          <w:tcPr>
            <w:tcW w:w="418" w:type="pct"/>
            <w:tcBorders>
              <w:top w:val="single" w:sz="4" w:space="0" w:color="auto"/>
            </w:tcBorders>
            <w:shd w:val="clear" w:color="auto" w:fill="FFFF00"/>
            <w:noWrap/>
          </w:tcPr>
          <w:p w:rsidR="00C807A2" w:rsidRPr="00053F63" w:rsidRDefault="00C2672F"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4</w:t>
            </w:r>
          </w:p>
        </w:tc>
        <w:tc>
          <w:tcPr>
            <w:tcW w:w="415" w:type="pct"/>
            <w:shd w:val="clear" w:color="auto" w:fill="009900"/>
            <w:noWrap/>
          </w:tcPr>
          <w:p w:rsidR="00C807A2" w:rsidRPr="00053F63" w:rsidRDefault="00C35D25"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5</w:t>
            </w:r>
          </w:p>
        </w:tc>
        <w:tc>
          <w:tcPr>
            <w:tcW w:w="412" w:type="pct"/>
            <w:tcBorders>
              <w:top w:val="single" w:sz="4" w:space="0" w:color="auto"/>
            </w:tcBorders>
            <w:shd w:val="clear" w:color="auto" w:fill="009900"/>
          </w:tcPr>
          <w:p w:rsidR="00C807A2" w:rsidRPr="00053F63" w:rsidRDefault="00AD39F0"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5</w:t>
            </w:r>
          </w:p>
        </w:tc>
      </w:tr>
      <w:tr w:rsidR="00C2672F" w:rsidRPr="00C61187" w:rsidTr="00DE0F3B">
        <w:trPr>
          <w:cnfStyle w:val="000000010000" w:firstRow="0" w:lastRow="0" w:firstColumn="0" w:lastColumn="0" w:oddVBand="0" w:evenVBand="0" w:oddHBand="0" w:evenHBand="1" w:firstRowFirstColumn="0" w:firstRowLastColumn="0" w:lastRowFirstColumn="0" w:lastRowLastColumn="0"/>
          <w:trHeight w:val="284"/>
        </w:trPr>
        <w:tc>
          <w:tcPr>
            <w:tcW w:w="909" w:type="pct"/>
            <w:vMerge/>
            <w:tcBorders>
              <w:bottom w:val="single" w:sz="4" w:space="0" w:color="auto"/>
            </w:tcBorders>
          </w:tcPr>
          <w:p w:rsidR="00C807A2" w:rsidRPr="00A427C6" w:rsidRDefault="00C807A2" w:rsidP="007D17E7">
            <w:pPr>
              <w:keepLines/>
              <w:spacing w:before="40" w:after="40" w:line="200" w:lineRule="atLeast"/>
              <w:rPr>
                <w:rFonts w:asciiTheme="minorHAnsi" w:eastAsia="Times New Roman" w:hAnsiTheme="minorHAnsi"/>
                <w:iCs/>
                <w:szCs w:val="17"/>
                <w:lang w:eastAsia="en-US"/>
              </w:rPr>
            </w:pPr>
          </w:p>
        </w:tc>
        <w:tc>
          <w:tcPr>
            <w:tcW w:w="659" w:type="pct"/>
            <w:vMerge/>
            <w:tcBorders>
              <w:bottom w:val="single" w:sz="4" w:space="0" w:color="auto"/>
            </w:tcBorders>
          </w:tcPr>
          <w:p w:rsidR="00C807A2" w:rsidRPr="00A427C6" w:rsidRDefault="00C807A2" w:rsidP="007D17E7">
            <w:pPr>
              <w:keepLines/>
              <w:spacing w:before="40" w:after="40" w:line="200" w:lineRule="atLeast"/>
              <w:rPr>
                <w:rFonts w:asciiTheme="minorHAnsi" w:eastAsia="Times New Roman" w:hAnsiTheme="minorHAnsi"/>
                <w:iCs/>
                <w:szCs w:val="17"/>
                <w:lang w:eastAsia="en-US"/>
              </w:rPr>
            </w:pPr>
          </w:p>
        </w:tc>
        <w:tc>
          <w:tcPr>
            <w:tcW w:w="416" w:type="pct"/>
            <w:tcBorders>
              <w:bottom w:val="single" w:sz="4" w:space="0" w:color="auto"/>
            </w:tcBorders>
          </w:tcPr>
          <w:p w:rsidR="00C807A2" w:rsidRPr="00A427C6" w:rsidRDefault="00C807A2" w:rsidP="007D17E7">
            <w:pPr>
              <w:keepLines/>
              <w:spacing w:before="40" w:after="40"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2015 AQC</w:t>
            </w:r>
          </w:p>
        </w:tc>
        <w:tc>
          <w:tcPr>
            <w:tcW w:w="418" w:type="pct"/>
            <w:tcBorders>
              <w:bottom w:val="single" w:sz="4" w:space="0" w:color="auto"/>
            </w:tcBorders>
            <w:shd w:val="clear" w:color="auto" w:fill="009900"/>
            <w:noWrap/>
          </w:tcPr>
          <w:p w:rsidR="00C807A2" w:rsidRPr="00053F63" w:rsidRDefault="00C807A2"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5</w:t>
            </w:r>
          </w:p>
        </w:tc>
        <w:tc>
          <w:tcPr>
            <w:tcW w:w="415" w:type="pct"/>
            <w:tcBorders>
              <w:bottom w:val="single" w:sz="4" w:space="0" w:color="auto"/>
            </w:tcBorders>
            <w:shd w:val="clear" w:color="auto" w:fill="009900"/>
            <w:noWrap/>
          </w:tcPr>
          <w:p w:rsidR="00C807A2" w:rsidRPr="00053F63" w:rsidRDefault="00942484"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5</w:t>
            </w:r>
          </w:p>
        </w:tc>
        <w:tc>
          <w:tcPr>
            <w:tcW w:w="418" w:type="pct"/>
            <w:tcBorders>
              <w:bottom w:val="single" w:sz="4" w:space="0" w:color="auto"/>
            </w:tcBorders>
            <w:shd w:val="clear" w:color="auto" w:fill="009900"/>
            <w:noWrap/>
          </w:tcPr>
          <w:p w:rsidR="00C807A2" w:rsidRPr="00053F63" w:rsidRDefault="00A46CC1"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5</w:t>
            </w:r>
          </w:p>
        </w:tc>
        <w:tc>
          <w:tcPr>
            <w:tcW w:w="415" w:type="pct"/>
            <w:tcBorders>
              <w:bottom w:val="single" w:sz="4" w:space="0" w:color="auto"/>
            </w:tcBorders>
            <w:shd w:val="clear" w:color="auto" w:fill="009900"/>
            <w:noWrap/>
          </w:tcPr>
          <w:p w:rsidR="00C807A2" w:rsidRPr="00053F63" w:rsidRDefault="00B20175"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5</w:t>
            </w:r>
          </w:p>
        </w:tc>
        <w:tc>
          <w:tcPr>
            <w:tcW w:w="418" w:type="pct"/>
            <w:tcBorders>
              <w:bottom w:val="single" w:sz="4" w:space="0" w:color="auto"/>
            </w:tcBorders>
            <w:shd w:val="clear" w:color="auto" w:fill="FFFF00"/>
            <w:noWrap/>
          </w:tcPr>
          <w:p w:rsidR="00C807A2" w:rsidRPr="00053F63" w:rsidRDefault="00C2672F"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4</w:t>
            </w:r>
          </w:p>
        </w:tc>
        <w:tc>
          <w:tcPr>
            <w:tcW w:w="415" w:type="pct"/>
            <w:tcBorders>
              <w:bottom w:val="single" w:sz="4" w:space="0" w:color="auto"/>
            </w:tcBorders>
            <w:shd w:val="clear" w:color="auto" w:fill="009900"/>
            <w:noWrap/>
          </w:tcPr>
          <w:p w:rsidR="00C807A2" w:rsidRPr="00053F63" w:rsidRDefault="00C35D25"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5</w:t>
            </w:r>
          </w:p>
        </w:tc>
        <w:tc>
          <w:tcPr>
            <w:tcW w:w="412" w:type="pct"/>
            <w:tcBorders>
              <w:bottom w:val="single" w:sz="4" w:space="0" w:color="auto"/>
            </w:tcBorders>
            <w:shd w:val="clear" w:color="auto" w:fill="009900"/>
          </w:tcPr>
          <w:p w:rsidR="00C807A2" w:rsidRPr="00053F63" w:rsidRDefault="00AD39F0"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5</w:t>
            </w:r>
          </w:p>
        </w:tc>
      </w:tr>
      <w:tr w:rsidR="00B20175" w:rsidRPr="00C61187" w:rsidTr="00053F63">
        <w:trPr>
          <w:cnfStyle w:val="000000010000" w:firstRow="0" w:lastRow="0" w:firstColumn="0" w:lastColumn="0" w:oddVBand="0" w:evenVBand="0" w:oddHBand="0" w:evenHBand="1" w:firstRowFirstColumn="0" w:firstRowLastColumn="0" w:lastRowFirstColumn="0" w:lastRowLastColumn="0"/>
          <w:trHeight w:val="284"/>
        </w:trPr>
        <w:tc>
          <w:tcPr>
            <w:tcW w:w="909" w:type="pct"/>
            <w:vMerge w:val="restart"/>
          </w:tcPr>
          <w:p w:rsidR="00C807A2" w:rsidRPr="00A427C6" w:rsidRDefault="00113887" w:rsidP="007D17E7">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Land</w:t>
            </w:r>
          </w:p>
        </w:tc>
        <w:tc>
          <w:tcPr>
            <w:tcW w:w="659" w:type="pct"/>
            <w:vMerge w:val="restart"/>
          </w:tcPr>
          <w:p w:rsidR="00C807A2" w:rsidRPr="00A427C6" w:rsidRDefault="00C807A2" w:rsidP="007D17E7">
            <w:pPr>
              <w:autoSpaceDE w:val="0"/>
              <w:autoSpaceDN w:val="0"/>
              <w:adjustRightInd w:val="0"/>
              <w:rPr>
                <w:rFonts w:asciiTheme="minorHAnsi" w:hAnsiTheme="minorHAnsi" w:cs="Franklin Gothic Book"/>
                <w:color w:val="000000"/>
                <w:szCs w:val="17"/>
              </w:rPr>
            </w:pPr>
            <w:r w:rsidRPr="00A427C6">
              <w:rPr>
                <w:rFonts w:asciiTheme="minorHAnsi" w:hAnsiTheme="minorHAnsi" w:cs="Franklin Gothic Book"/>
                <w:color w:val="000000"/>
                <w:szCs w:val="17"/>
              </w:rPr>
              <w:t>$</w:t>
            </w:r>
            <w:r w:rsidR="002071D2">
              <w:rPr>
                <w:rFonts w:asciiTheme="minorHAnsi" w:hAnsiTheme="minorHAnsi" w:cs="Franklin Gothic Book"/>
                <w:color w:val="000000"/>
                <w:szCs w:val="17"/>
              </w:rPr>
              <w:t>11.8</w:t>
            </w:r>
            <w:r w:rsidR="002071D2" w:rsidRPr="00A427C6">
              <w:rPr>
                <w:rFonts w:asciiTheme="minorHAnsi" w:hAnsiTheme="minorHAnsi" w:cs="Franklin Gothic Book"/>
                <w:color w:val="000000"/>
                <w:szCs w:val="17"/>
              </w:rPr>
              <w:t xml:space="preserve">m </w:t>
            </w:r>
          </w:p>
          <w:p w:rsidR="00C807A2" w:rsidRPr="00A427C6" w:rsidRDefault="002071D2" w:rsidP="002071D2">
            <w:pPr>
              <w:keepLines/>
              <w:spacing w:before="40" w:after="40"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20</w:t>
            </w:r>
            <w:r>
              <w:rPr>
                <w:rFonts w:asciiTheme="minorHAnsi" w:eastAsia="Times New Roman" w:hAnsiTheme="minorHAnsi"/>
                <w:iCs/>
                <w:szCs w:val="17"/>
                <w:lang w:eastAsia="en-US"/>
              </w:rPr>
              <w:t>09</w:t>
            </w:r>
            <w:r w:rsidR="00C807A2" w:rsidRPr="00A427C6">
              <w:rPr>
                <w:rFonts w:asciiTheme="minorHAnsi" w:eastAsia="Times New Roman" w:hAnsiTheme="minorHAnsi"/>
                <w:iCs/>
                <w:szCs w:val="17"/>
                <w:lang w:eastAsia="en-US"/>
              </w:rPr>
              <w:t>-</w:t>
            </w:r>
            <w:r w:rsidRPr="00A427C6">
              <w:rPr>
                <w:rFonts w:asciiTheme="minorHAnsi" w:eastAsia="Times New Roman" w:hAnsiTheme="minorHAnsi"/>
                <w:iCs/>
                <w:szCs w:val="17"/>
                <w:lang w:eastAsia="en-US"/>
              </w:rPr>
              <w:t>1</w:t>
            </w:r>
            <w:r>
              <w:rPr>
                <w:rFonts w:asciiTheme="minorHAnsi" w:eastAsia="Times New Roman" w:hAnsiTheme="minorHAnsi"/>
                <w:iCs/>
                <w:szCs w:val="17"/>
                <w:lang w:eastAsia="en-US"/>
              </w:rPr>
              <w:t>5</w:t>
            </w:r>
            <w:r w:rsidRPr="00A427C6">
              <w:rPr>
                <w:rFonts w:asciiTheme="minorHAnsi" w:eastAsia="Times New Roman" w:hAnsiTheme="minorHAnsi"/>
                <w:iCs/>
                <w:szCs w:val="17"/>
                <w:lang w:eastAsia="en-US"/>
              </w:rPr>
              <w:t xml:space="preserve"> </w:t>
            </w:r>
          </w:p>
        </w:tc>
        <w:tc>
          <w:tcPr>
            <w:tcW w:w="416" w:type="pct"/>
          </w:tcPr>
          <w:p w:rsidR="00C807A2" w:rsidRPr="00A427C6" w:rsidRDefault="00C807A2" w:rsidP="007D17E7">
            <w:pPr>
              <w:keepLines/>
              <w:spacing w:before="40" w:after="40"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2016 AQC</w:t>
            </w:r>
          </w:p>
        </w:tc>
        <w:tc>
          <w:tcPr>
            <w:tcW w:w="418" w:type="pct"/>
            <w:tcBorders>
              <w:top w:val="single" w:sz="4" w:space="0" w:color="auto"/>
            </w:tcBorders>
            <w:shd w:val="clear" w:color="auto" w:fill="FF6600"/>
            <w:noWrap/>
          </w:tcPr>
          <w:p w:rsidR="00C807A2" w:rsidRPr="00053F63" w:rsidRDefault="00113887"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3</w:t>
            </w:r>
          </w:p>
        </w:tc>
        <w:tc>
          <w:tcPr>
            <w:tcW w:w="415" w:type="pct"/>
            <w:tcBorders>
              <w:top w:val="single" w:sz="4" w:space="0" w:color="auto"/>
            </w:tcBorders>
            <w:shd w:val="clear" w:color="auto" w:fill="FF6600"/>
            <w:noWrap/>
          </w:tcPr>
          <w:p w:rsidR="00C807A2" w:rsidRPr="00053F63" w:rsidRDefault="00942484"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3</w:t>
            </w:r>
          </w:p>
        </w:tc>
        <w:tc>
          <w:tcPr>
            <w:tcW w:w="418" w:type="pct"/>
            <w:shd w:val="clear" w:color="auto" w:fill="FF6600"/>
            <w:noWrap/>
          </w:tcPr>
          <w:p w:rsidR="00C807A2" w:rsidRPr="00053F63" w:rsidRDefault="00A46CC1"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3</w:t>
            </w:r>
          </w:p>
        </w:tc>
        <w:tc>
          <w:tcPr>
            <w:tcW w:w="415" w:type="pct"/>
            <w:tcBorders>
              <w:top w:val="single" w:sz="4" w:space="0" w:color="auto"/>
            </w:tcBorders>
            <w:shd w:val="clear" w:color="auto" w:fill="FF6600"/>
            <w:noWrap/>
          </w:tcPr>
          <w:p w:rsidR="00C807A2" w:rsidRPr="00053F63" w:rsidRDefault="00B20175"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3</w:t>
            </w:r>
          </w:p>
        </w:tc>
        <w:tc>
          <w:tcPr>
            <w:tcW w:w="418" w:type="pct"/>
            <w:tcBorders>
              <w:top w:val="single" w:sz="4" w:space="0" w:color="auto"/>
            </w:tcBorders>
            <w:shd w:val="clear" w:color="auto" w:fill="FF0000"/>
            <w:noWrap/>
          </w:tcPr>
          <w:p w:rsidR="00C807A2" w:rsidRPr="00053F63" w:rsidRDefault="00C2672F"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2</w:t>
            </w:r>
          </w:p>
        </w:tc>
        <w:tc>
          <w:tcPr>
            <w:tcW w:w="415" w:type="pct"/>
            <w:shd w:val="clear" w:color="auto" w:fill="FF0000"/>
            <w:noWrap/>
          </w:tcPr>
          <w:p w:rsidR="00C807A2" w:rsidRPr="00053F63" w:rsidRDefault="00C35D25"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2</w:t>
            </w:r>
          </w:p>
        </w:tc>
        <w:tc>
          <w:tcPr>
            <w:tcW w:w="412" w:type="pct"/>
            <w:shd w:val="clear" w:color="auto" w:fill="009900"/>
          </w:tcPr>
          <w:p w:rsidR="00C807A2" w:rsidRPr="00053F63" w:rsidRDefault="00AD39F0"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5</w:t>
            </w:r>
          </w:p>
        </w:tc>
      </w:tr>
      <w:tr w:rsidR="00C2672F" w:rsidRPr="00C61187" w:rsidTr="00053F63">
        <w:trPr>
          <w:cnfStyle w:val="000000010000" w:firstRow="0" w:lastRow="0" w:firstColumn="0" w:lastColumn="0" w:oddVBand="0" w:evenVBand="0" w:oddHBand="0" w:evenHBand="1" w:firstRowFirstColumn="0" w:firstRowLastColumn="0" w:lastRowFirstColumn="0" w:lastRowLastColumn="0"/>
          <w:trHeight w:val="284"/>
        </w:trPr>
        <w:tc>
          <w:tcPr>
            <w:tcW w:w="909" w:type="pct"/>
            <w:vMerge/>
            <w:tcBorders>
              <w:bottom w:val="single" w:sz="4" w:space="0" w:color="auto"/>
            </w:tcBorders>
          </w:tcPr>
          <w:p w:rsidR="00C807A2" w:rsidRPr="00A427C6" w:rsidRDefault="00C807A2" w:rsidP="007D17E7">
            <w:pPr>
              <w:keepLines/>
              <w:spacing w:before="40" w:after="40" w:line="200" w:lineRule="atLeast"/>
              <w:rPr>
                <w:rFonts w:asciiTheme="minorHAnsi" w:eastAsia="Times New Roman" w:hAnsiTheme="minorHAnsi"/>
                <w:iCs/>
                <w:szCs w:val="17"/>
                <w:lang w:eastAsia="en-US"/>
              </w:rPr>
            </w:pPr>
          </w:p>
        </w:tc>
        <w:tc>
          <w:tcPr>
            <w:tcW w:w="659" w:type="pct"/>
            <w:vMerge/>
            <w:tcBorders>
              <w:bottom w:val="single" w:sz="4" w:space="0" w:color="auto"/>
            </w:tcBorders>
          </w:tcPr>
          <w:p w:rsidR="00C807A2" w:rsidRPr="00A427C6" w:rsidRDefault="00C807A2" w:rsidP="007D17E7">
            <w:pPr>
              <w:keepLines/>
              <w:spacing w:before="40" w:after="40" w:line="200" w:lineRule="atLeast"/>
              <w:rPr>
                <w:rFonts w:asciiTheme="minorHAnsi" w:eastAsia="Times New Roman" w:hAnsiTheme="minorHAnsi"/>
                <w:iCs/>
                <w:szCs w:val="17"/>
                <w:lang w:eastAsia="en-US"/>
              </w:rPr>
            </w:pPr>
          </w:p>
        </w:tc>
        <w:tc>
          <w:tcPr>
            <w:tcW w:w="416" w:type="pct"/>
            <w:tcBorders>
              <w:bottom w:val="single" w:sz="4" w:space="0" w:color="auto"/>
            </w:tcBorders>
          </w:tcPr>
          <w:p w:rsidR="00C807A2" w:rsidRPr="00A427C6" w:rsidRDefault="00C807A2" w:rsidP="007D17E7">
            <w:pPr>
              <w:keepLines/>
              <w:spacing w:before="40" w:after="40"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2015 AQC</w:t>
            </w:r>
          </w:p>
        </w:tc>
        <w:tc>
          <w:tcPr>
            <w:tcW w:w="418" w:type="pct"/>
            <w:tcBorders>
              <w:bottom w:val="single" w:sz="4" w:space="0" w:color="auto"/>
            </w:tcBorders>
            <w:shd w:val="clear" w:color="auto" w:fill="FF6600"/>
            <w:noWrap/>
          </w:tcPr>
          <w:p w:rsidR="00C807A2" w:rsidRPr="00053F63" w:rsidRDefault="00113887"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3</w:t>
            </w:r>
          </w:p>
        </w:tc>
        <w:tc>
          <w:tcPr>
            <w:tcW w:w="415" w:type="pct"/>
            <w:tcBorders>
              <w:bottom w:val="single" w:sz="4" w:space="0" w:color="auto"/>
            </w:tcBorders>
            <w:shd w:val="clear" w:color="auto" w:fill="FF6600"/>
            <w:noWrap/>
          </w:tcPr>
          <w:p w:rsidR="00C807A2" w:rsidRPr="00053F63" w:rsidRDefault="00C807A2"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3</w:t>
            </w:r>
          </w:p>
        </w:tc>
        <w:tc>
          <w:tcPr>
            <w:tcW w:w="418" w:type="pct"/>
            <w:tcBorders>
              <w:bottom w:val="single" w:sz="4" w:space="0" w:color="auto"/>
            </w:tcBorders>
            <w:shd w:val="clear" w:color="auto" w:fill="FFFF00"/>
            <w:noWrap/>
          </w:tcPr>
          <w:p w:rsidR="00C807A2" w:rsidRPr="00053F63" w:rsidRDefault="00C807A2"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4</w:t>
            </w:r>
          </w:p>
        </w:tc>
        <w:tc>
          <w:tcPr>
            <w:tcW w:w="415" w:type="pct"/>
            <w:tcBorders>
              <w:bottom w:val="single" w:sz="4" w:space="0" w:color="auto"/>
            </w:tcBorders>
            <w:shd w:val="clear" w:color="auto" w:fill="FF6600"/>
            <w:noWrap/>
          </w:tcPr>
          <w:p w:rsidR="00C807A2" w:rsidRPr="00053F63" w:rsidRDefault="00B20175"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3</w:t>
            </w:r>
          </w:p>
        </w:tc>
        <w:tc>
          <w:tcPr>
            <w:tcW w:w="418" w:type="pct"/>
            <w:tcBorders>
              <w:bottom w:val="single" w:sz="4" w:space="0" w:color="auto"/>
            </w:tcBorders>
            <w:shd w:val="clear" w:color="auto" w:fill="FF0000"/>
            <w:noWrap/>
          </w:tcPr>
          <w:p w:rsidR="00C807A2" w:rsidRPr="00053F63" w:rsidRDefault="00C2672F"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2</w:t>
            </w:r>
          </w:p>
        </w:tc>
        <w:tc>
          <w:tcPr>
            <w:tcW w:w="415" w:type="pct"/>
            <w:tcBorders>
              <w:bottom w:val="single" w:sz="4" w:space="0" w:color="auto"/>
            </w:tcBorders>
            <w:shd w:val="clear" w:color="auto" w:fill="FF6600"/>
            <w:noWrap/>
          </w:tcPr>
          <w:p w:rsidR="00C807A2" w:rsidRPr="00053F63" w:rsidRDefault="00C35D25"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3</w:t>
            </w:r>
          </w:p>
        </w:tc>
        <w:tc>
          <w:tcPr>
            <w:tcW w:w="412" w:type="pct"/>
            <w:tcBorders>
              <w:bottom w:val="single" w:sz="4" w:space="0" w:color="auto"/>
            </w:tcBorders>
            <w:shd w:val="clear" w:color="auto" w:fill="FFFF00"/>
          </w:tcPr>
          <w:p w:rsidR="00C807A2" w:rsidRPr="00053F63" w:rsidRDefault="00C807A2"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4</w:t>
            </w:r>
          </w:p>
        </w:tc>
      </w:tr>
      <w:tr w:rsidR="006E1A9B" w:rsidRPr="00C61187" w:rsidTr="00053F63">
        <w:trPr>
          <w:cnfStyle w:val="000000010000" w:firstRow="0" w:lastRow="0" w:firstColumn="0" w:lastColumn="0" w:oddVBand="0" w:evenVBand="0" w:oddHBand="0" w:evenHBand="1" w:firstRowFirstColumn="0" w:firstRowLastColumn="0" w:lastRowFirstColumn="0" w:lastRowLastColumn="0"/>
          <w:trHeight w:val="284"/>
        </w:trPr>
        <w:tc>
          <w:tcPr>
            <w:tcW w:w="909" w:type="pct"/>
          </w:tcPr>
          <w:p w:rsidR="006E1A9B" w:rsidRPr="00A427C6" w:rsidRDefault="00113887" w:rsidP="006F27B1">
            <w:pPr>
              <w:keepLines/>
              <w:spacing w:before="40" w:after="40" w:line="200" w:lineRule="atLeast"/>
              <w:rPr>
                <w:rFonts w:eastAsia="Times New Roman"/>
                <w:iCs/>
                <w:szCs w:val="17"/>
              </w:rPr>
            </w:pPr>
            <w:r>
              <w:t>Health</w:t>
            </w:r>
          </w:p>
        </w:tc>
        <w:tc>
          <w:tcPr>
            <w:tcW w:w="659" w:type="pct"/>
          </w:tcPr>
          <w:p w:rsidR="006E1A9B" w:rsidRPr="00271C64" w:rsidRDefault="002071D2" w:rsidP="006F27B1">
            <w:pPr>
              <w:keepLines/>
              <w:spacing w:before="40" w:after="40" w:line="200" w:lineRule="atLeast"/>
              <w:rPr>
                <w:rFonts w:asciiTheme="minorHAnsi" w:eastAsia="Times New Roman" w:hAnsiTheme="minorHAnsi"/>
                <w:iCs/>
                <w:szCs w:val="17"/>
                <w:lang w:eastAsia="en-US"/>
              </w:rPr>
            </w:pPr>
            <w:r w:rsidRPr="00271C64">
              <w:rPr>
                <w:rFonts w:asciiTheme="minorHAnsi" w:eastAsia="Times New Roman" w:hAnsiTheme="minorHAnsi"/>
                <w:iCs/>
                <w:szCs w:val="17"/>
                <w:lang w:eastAsia="en-US"/>
              </w:rPr>
              <w:t>$50.8m</w:t>
            </w:r>
          </w:p>
          <w:p w:rsidR="002071D2" w:rsidRPr="00A427C6" w:rsidRDefault="002071D2" w:rsidP="006F27B1">
            <w:pPr>
              <w:keepLines/>
              <w:spacing w:before="40" w:after="40" w:line="200" w:lineRule="atLeast"/>
              <w:rPr>
                <w:rFonts w:eastAsia="Times New Roman"/>
                <w:iCs/>
                <w:szCs w:val="17"/>
              </w:rPr>
            </w:pPr>
            <w:r w:rsidRPr="00271C64">
              <w:rPr>
                <w:rFonts w:asciiTheme="minorHAnsi" w:eastAsia="Times New Roman" w:hAnsiTheme="minorHAnsi"/>
                <w:iCs/>
                <w:szCs w:val="17"/>
                <w:lang w:eastAsia="en-US"/>
              </w:rPr>
              <w:t>2010-2019</w:t>
            </w:r>
          </w:p>
        </w:tc>
        <w:tc>
          <w:tcPr>
            <w:tcW w:w="416" w:type="pct"/>
          </w:tcPr>
          <w:p w:rsidR="006E1A9B" w:rsidRPr="00A427C6" w:rsidRDefault="006E1A9B" w:rsidP="006F27B1">
            <w:pPr>
              <w:keepLines/>
              <w:spacing w:before="40" w:after="40" w:line="200" w:lineRule="atLeast"/>
              <w:rPr>
                <w:rFonts w:eastAsia="Times New Roman"/>
                <w:iCs/>
                <w:szCs w:val="17"/>
              </w:rPr>
            </w:pPr>
            <w:r w:rsidRPr="004954A4">
              <w:t>2016 AQC</w:t>
            </w:r>
          </w:p>
        </w:tc>
        <w:tc>
          <w:tcPr>
            <w:tcW w:w="418" w:type="pct"/>
            <w:tcBorders>
              <w:top w:val="single" w:sz="4" w:space="0" w:color="auto"/>
            </w:tcBorders>
            <w:shd w:val="clear" w:color="auto" w:fill="009900"/>
            <w:noWrap/>
          </w:tcPr>
          <w:p w:rsidR="006E1A9B" w:rsidRPr="00053F63" w:rsidRDefault="00113887"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5</w:t>
            </w:r>
          </w:p>
        </w:tc>
        <w:tc>
          <w:tcPr>
            <w:tcW w:w="415" w:type="pct"/>
            <w:tcBorders>
              <w:top w:val="single" w:sz="4" w:space="0" w:color="auto"/>
            </w:tcBorders>
            <w:shd w:val="clear" w:color="auto" w:fill="FFFF00"/>
            <w:noWrap/>
          </w:tcPr>
          <w:p w:rsidR="006E1A9B" w:rsidRPr="00053F63" w:rsidRDefault="00942484"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4</w:t>
            </w:r>
          </w:p>
        </w:tc>
        <w:tc>
          <w:tcPr>
            <w:tcW w:w="418" w:type="pct"/>
            <w:shd w:val="clear" w:color="auto" w:fill="FFFF00"/>
            <w:noWrap/>
          </w:tcPr>
          <w:p w:rsidR="006E1A9B" w:rsidRPr="00053F63" w:rsidRDefault="00A46CC1"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4</w:t>
            </w:r>
          </w:p>
        </w:tc>
        <w:tc>
          <w:tcPr>
            <w:tcW w:w="415" w:type="pct"/>
            <w:shd w:val="clear" w:color="auto" w:fill="FF6600"/>
            <w:noWrap/>
          </w:tcPr>
          <w:p w:rsidR="006E1A9B" w:rsidRPr="00053F63" w:rsidRDefault="00B20175"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3</w:t>
            </w:r>
          </w:p>
        </w:tc>
        <w:tc>
          <w:tcPr>
            <w:tcW w:w="418" w:type="pct"/>
            <w:tcBorders>
              <w:top w:val="single" w:sz="4" w:space="0" w:color="auto"/>
            </w:tcBorders>
            <w:shd w:val="clear" w:color="auto" w:fill="FFFF00"/>
            <w:noWrap/>
          </w:tcPr>
          <w:p w:rsidR="006E1A9B" w:rsidRPr="00053F63" w:rsidRDefault="00C2672F"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4</w:t>
            </w:r>
          </w:p>
        </w:tc>
        <w:tc>
          <w:tcPr>
            <w:tcW w:w="415" w:type="pct"/>
            <w:tcBorders>
              <w:top w:val="single" w:sz="4" w:space="0" w:color="auto"/>
            </w:tcBorders>
            <w:shd w:val="clear" w:color="auto" w:fill="FF6600"/>
            <w:noWrap/>
          </w:tcPr>
          <w:p w:rsidR="006E1A9B" w:rsidRPr="00053F63" w:rsidRDefault="00C35D25"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3</w:t>
            </w:r>
          </w:p>
        </w:tc>
        <w:tc>
          <w:tcPr>
            <w:tcW w:w="412" w:type="pct"/>
            <w:shd w:val="clear" w:color="auto" w:fill="009900"/>
          </w:tcPr>
          <w:p w:rsidR="006E1A9B" w:rsidRPr="00053F63" w:rsidRDefault="00AD39F0"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5</w:t>
            </w:r>
          </w:p>
        </w:tc>
      </w:tr>
      <w:tr w:rsidR="006E1A9B" w:rsidRPr="00C61187" w:rsidTr="00053F63">
        <w:trPr>
          <w:cnfStyle w:val="000000010000" w:firstRow="0" w:lastRow="0" w:firstColumn="0" w:lastColumn="0" w:oddVBand="0" w:evenVBand="0" w:oddHBand="0" w:evenHBand="1" w:firstRowFirstColumn="0" w:firstRowLastColumn="0" w:lastRowFirstColumn="0" w:lastRowLastColumn="0"/>
          <w:trHeight w:val="284"/>
        </w:trPr>
        <w:tc>
          <w:tcPr>
            <w:tcW w:w="909" w:type="pct"/>
          </w:tcPr>
          <w:p w:rsidR="006E1A9B" w:rsidRPr="00A427C6" w:rsidRDefault="006E1A9B" w:rsidP="006F27B1">
            <w:pPr>
              <w:keepLines/>
              <w:spacing w:before="40" w:after="40" w:line="200" w:lineRule="atLeast"/>
              <w:rPr>
                <w:rFonts w:eastAsia="Times New Roman"/>
                <w:iCs/>
                <w:szCs w:val="17"/>
              </w:rPr>
            </w:pPr>
          </w:p>
        </w:tc>
        <w:tc>
          <w:tcPr>
            <w:tcW w:w="659" w:type="pct"/>
          </w:tcPr>
          <w:p w:rsidR="006E1A9B" w:rsidRPr="00A427C6" w:rsidRDefault="006E1A9B" w:rsidP="006F27B1">
            <w:pPr>
              <w:keepLines/>
              <w:spacing w:before="40" w:after="40" w:line="200" w:lineRule="atLeast"/>
              <w:rPr>
                <w:rFonts w:eastAsia="Times New Roman"/>
                <w:iCs/>
                <w:szCs w:val="17"/>
              </w:rPr>
            </w:pPr>
          </w:p>
        </w:tc>
        <w:tc>
          <w:tcPr>
            <w:tcW w:w="416" w:type="pct"/>
          </w:tcPr>
          <w:p w:rsidR="006E1A9B" w:rsidRPr="00A427C6" w:rsidRDefault="006E1A9B" w:rsidP="006F27B1">
            <w:pPr>
              <w:keepLines/>
              <w:spacing w:before="40" w:after="40" w:line="200" w:lineRule="atLeast"/>
              <w:rPr>
                <w:rFonts w:eastAsia="Times New Roman"/>
                <w:iCs/>
                <w:szCs w:val="17"/>
              </w:rPr>
            </w:pPr>
            <w:r w:rsidRPr="004954A4">
              <w:t>2015 AQC</w:t>
            </w:r>
          </w:p>
        </w:tc>
        <w:tc>
          <w:tcPr>
            <w:tcW w:w="418" w:type="pct"/>
            <w:shd w:val="clear" w:color="auto" w:fill="FFFF00"/>
            <w:noWrap/>
          </w:tcPr>
          <w:p w:rsidR="006E1A9B" w:rsidRPr="00053F63" w:rsidRDefault="00113887"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4</w:t>
            </w:r>
          </w:p>
        </w:tc>
        <w:tc>
          <w:tcPr>
            <w:tcW w:w="415" w:type="pct"/>
            <w:shd w:val="clear" w:color="auto" w:fill="FFFF00"/>
            <w:noWrap/>
          </w:tcPr>
          <w:p w:rsidR="006E1A9B" w:rsidRPr="00053F63" w:rsidRDefault="00942484"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4</w:t>
            </w:r>
          </w:p>
        </w:tc>
        <w:tc>
          <w:tcPr>
            <w:tcW w:w="418" w:type="pct"/>
            <w:shd w:val="clear" w:color="auto" w:fill="009900"/>
            <w:noWrap/>
          </w:tcPr>
          <w:p w:rsidR="006E1A9B" w:rsidRPr="00053F63" w:rsidRDefault="00A46CC1"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5</w:t>
            </w:r>
          </w:p>
        </w:tc>
        <w:tc>
          <w:tcPr>
            <w:tcW w:w="415" w:type="pct"/>
            <w:shd w:val="clear" w:color="auto" w:fill="FF6600"/>
            <w:noWrap/>
          </w:tcPr>
          <w:p w:rsidR="006E1A9B" w:rsidRPr="00053F63" w:rsidRDefault="00B20175"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3</w:t>
            </w:r>
          </w:p>
        </w:tc>
        <w:tc>
          <w:tcPr>
            <w:tcW w:w="418" w:type="pct"/>
            <w:shd w:val="clear" w:color="auto" w:fill="FFFF00"/>
            <w:noWrap/>
          </w:tcPr>
          <w:p w:rsidR="006E1A9B" w:rsidRPr="00053F63" w:rsidRDefault="00C2672F"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4</w:t>
            </w:r>
          </w:p>
        </w:tc>
        <w:tc>
          <w:tcPr>
            <w:tcW w:w="415" w:type="pct"/>
            <w:shd w:val="clear" w:color="auto" w:fill="FFFF00"/>
            <w:noWrap/>
          </w:tcPr>
          <w:p w:rsidR="006E1A9B" w:rsidRPr="00053F63" w:rsidRDefault="00C35D25"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4</w:t>
            </w:r>
          </w:p>
        </w:tc>
        <w:tc>
          <w:tcPr>
            <w:tcW w:w="412" w:type="pct"/>
            <w:shd w:val="clear" w:color="auto" w:fill="FFFF00"/>
          </w:tcPr>
          <w:p w:rsidR="006E1A9B" w:rsidRPr="00053F63" w:rsidRDefault="00AD39F0"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4</w:t>
            </w:r>
          </w:p>
        </w:tc>
      </w:tr>
      <w:tr w:rsidR="00B314BB" w:rsidRPr="00C61187" w:rsidTr="00053F63">
        <w:trPr>
          <w:cnfStyle w:val="000000010000" w:firstRow="0" w:lastRow="0" w:firstColumn="0" w:lastColumn="0" w:oddVBand="0" w:evenVBand="0" w:oddHBand="0" w:evenHBand="1" w:firstRowFirstColumn="0" w:firstRowLastColumn="0" w:lastRowFirstColumn="0" w:lastRowLastColumn="0"/>
          <w:trHeight w:val="284"/>
        </w:trPr>
        <w:tc>
          <w:tcPr>
            <w:tcW w:w="909" w:type="pct"/>
            <w:vMerge w:val="restart"/>
          </w:tcPr>
          <w:p w:rsidR="00C807A2" w:rsidRPr="00A427C6" w:rsidRDefault="00113887" w:rsidP="007D17E7">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PVUDP</w:t>
            </w:r>
          </w:p>
        </w:tc>
        <w:tc>
          <w:tcPr>
            <w:tcW w:w="659" w:type="pct"/>
            <w:vMerge w:val="restart"/>
          </w:tcPr>
          <w:p w:rsidR="00C807A2" w:rsidRPr="00A427C6" w:rsidRDefault="00C807A2" w:rsidP="007D17E7">
            <w:pPr>
              <w:autoSpaceDE w:val="0"/>
              <w:autoSpaceDN w:val="0"/>
              <w:adjustRightInd w:val="0"/>
              <w:rPr>
                <w:rFonts w:asciiTheme="minorHAnsi" w:hAnsiTheme="minorHAnsi" w:cs="Franklin Gothic Book"/>
                <w:color w:val="000000"/>
                <w:szCs w:val="17"/>
              </w:rPr>
            </w:pPr>
            <w:r w:rsidRPr="00A427C6">
              <w:rPr>
                <w:rFonts w:asciiTheme="minorHAnsi" w:hAnsiTheme="minorHAnsi" w:cs="Franklin Gothic Book"/>
                <w:color w:val="000000"/>
                <w:szCs w:val="17"/>
              </w:rPr>
              <w:t>$</w:t>
            </w:r>
            <w:r w:rsidR="002071D2">
              <w:rPr>
                <w:rFonts w:asciiTheme="minorHAnsi" w:hAnsiTheme="minorHAnsi" w:cs="Franklin Gothic Book"/>
                <w:color w:val="000000"/>
                <w:szCs w:val="17"/>
              </w:rPr>
              <w:t>26.5</w:t>
            </w:r>
            <w:r w:rsidR="002071D2" w:rsidRPr="00A427C6">
              <w:rPr>
                <w:rFonts w:asciiTheme="minorHAnsi" w:hAnsiTheme="minorHAnsi" w:cs="Franklin Gothic Book"/>
                <w:color w:val="000000"/>
                <w:szCs w:val="17"/>
              </w:rPr>
              <w:t xml:space="preserve">m </w:t>
            </w:r>
          </w:p>
          <w:p w:rsidR="00C807A2" w:rsidRPr="00A427C6" w:rsidRDefault="00C807A2" w:rsidP="007D17E7">
            <w:pPr>
              <w:keepLines/>
              <w:spacing w:before="40" w:after="40"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 xml:space="preserve">2012-17 </w:t>
            </w:r>
          </w:p>
        </w:tc>
        <w:tc>
          <w:tcPr>
            <w:tcW w:w="416" w:type="pct"/>
          </w:tcPr>
          <w:p w:rsidR="00C807A2" w:rsidRPr="00A427C6" w:rsidRDefault="00C807A2" w:rsidP="007D17E7">
            <w:pPr>
              <w:keepLines/>
              <w:spacing w:before="40" w:after="40"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2016 AQC</w:t>
            </w:r>
          </w:p>
        </w:tc>
        <w:tc>
          <w:tcPr>
            <w:tcW w:w="418" w:type="pct"/>
            <w:shd w:val="clear" w:color="auto" w:fill="FFFF00"/>
            <w:noWrap/>
          </w:tcPr>
          <w:p w:rsidR="00C807A2" w:rsidRPr="00053F63" w:rsidRDefault="00113887"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4</w:t>
            </w:r>
          </w:p>
        </w:tc>
        <w:tc>
          <w:tcPr>
            <w:tcW w:w="415" w:type="pct"/>
            <w:shd w:val="clear" w:color="auto" w:fill="FFFF00"/>
            <w:noWrap/>
          </w:tcPr>
          <w:p w:rsidR="00C807A2" w:rsidRPr="00053F63" w:rsidRDefault="00942484"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4</w:t>
            </w:r>
          </w:p>
        </w:tc>
        <w:tc>
          <w:tcPr>
            <w:tcW w:w="418" w:type="pct"/>
            <w:shd w:val="clear" w:color="auto" w:fill="FF6600"/>
            <w:noWrap/>
          </w:tcPr>
          <w:p w:rsidR="00C807A2" w:rsidRPr="00053F63" w:rsidRDefault="00A46CC1"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3</w:t>
            </w:r>
          </w:p>
        </w:tc>
        <w:tc>
          <w:tcPr>
            <w:tcW w:w="415" w:type="pct"/>
            <w:shd w:val="clear" w:color="auto" w:fill="FFFF00"/>
            <w:noWrap/>
          </w:tcPr>
          <w:p w:rsidR="00C807A2" w:rsidRPr="00053F63" w:rsidRDefault="00B20175"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4</w:t>
            </w:r>
          </w:p>
        </w:tc>
        <w:tc>
          <w:tcPr>
            <w:tcW w:w="418" w:type="pct"/>
            <w:shd w:val="clear" w:color="auto" w:fill="FFFF00"/>
            <w:noWrap/>
          </w:tcPr>
          <w:p w:rsidR="00C807A2" w:rsidRPr="00053F63" w:rsidRDefault="00C2672F"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4</w:t>
            </w:r>
          </w:p>
        </w:tc>
        <w:tc>
          <w:tcPr>
            <w:tcW w:w="415" w:type="pct"/>
            <w:shd w:val="clear" w:color="auto" w:fill="FFFF00"/>
            <w:noWrap/>
          </w:tcPr>
          <w:p w:rsidR="00C807A2" w:rsidRPr="00053F63" w:rsidRDefault="00C35D25"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4</w:t>
            </w:r>
          </w:p>
        </w:tc>
        <w:tc>
          <w:tcPr>
            <w:tcW w:w="412" w:type="pct"/>
            <w:shd w:val="clear" w:color="auto" w:fill="009900"/>
          </w:tcPr>
          <w:p w:rsidR="00C807A2" w:rsidRPr="00053F63" w:rsidRDefault="00AD39F0"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5</w:t>
            </w:r>
          </w:p>
        </w:tc>
      </w:tr>
      <w:tr w:rsidR="00C35D25" w:rsidRPr="00C61187" w:rsidTr="00053F63">
        <w:trPr>
          <w:cnfStyle w:val="000000010000" w:firstRow="0" w:lastRow="0" w:firstColumn="0" w:lastColumn="0" w:oddVBand="0" w:evenVBand="0" w:oddHBand="0" w:evenHBand="1" w:firstRowFirstColumn="0" w:firstRowLastColumn="0" w:lastRowFirstColumn="0" w:lastRowLastColumn="0"/>
          <w:trHeight w:val="284"/>
        </w:trPr>
        <w:tc>
          <w:tcPr>
            <w:tcW w:w="909" w:type="pct"/>
            <w:vMerge/>
            <w:tcBorders>
              <w:bottom w:val="single" w:sz="4" w:space="0" w:color="auto"/>
            </w:tcBorders>
          </w:tcPr>
          <w:p w:rsidR="00C807A2" w:rsidRPr="00A427C6" w:rsidRDefault="00C807A2" w:rsidP="007D17E7">
            <w:pPr>
              <w:keepLines/>
              <w:spacing w:before="40" w:after="40" w:line="200" w:lineRule="atLeast"/>
              <w:rPr>
                <w:rFonts w:asciiTheme="minorHAnsi" w:eastAsia="Times New Roman" w:hAnsiTheme="minorHAnsi"/>
                <w:iCs/>
                <w:szCs w:val="17"/>
                <w:lang w:eastAsia="en-US"/>
              </w:rPr>
            </w:pPr>
          </w:p>
        </w:tc>
        <w:tc>
          <w:tcPr>
            <w:tcW w:w="659" w:type="pct"/>
            <w:vMerge/>
            <w:tcBorders>
              <w:bottom w:val="single" w:sz="4" w:space="0" w:color="auto"/>
            </w:tcBorders>
          </w:tcPr>
          <w:p w:rsidR="00C807A2" w:rsidRPr="00A427C6" w:rsidRDefault="00C807A2" w:rsidP="007D17E7">
            <w:pPr>
              <w:keepLines/>
              <w:spacing w:before="40" w:after="40" w:line="200" w:lineRule="atLeast"/>
              <w:rPr>
                <w:rFonts w:asciiTheme="minorHAnsi" w:eastAsia="Times New Roman" w:hAnsiTheme="minorHAnsi"/>
                <w:iCs/>
                <w:szCs w:val="17"/>
                <w:lang w:eastAsia="en-US"/>
              </w:rPr>
            </w:pPr>
          </w:p>
        </w:tc>
        <w:tc>
          <w:tcPr>
            <w:tcW w:w="416" w:type="pct"/>
            <w:tcBorders>
              <w:bottom w:val="single" w:sz="4" w:space="0" w:color="auto"/>
            </w:tcBorders>
          </w:tcPr>
          <w:p w:rsidR="00C807A2" w:rsidRPr="00A427C6" w:rsidRDefault="00C807A2" w:rsidP="007D17E7">
            <w:pPr>
              <w:keepLines/>
              <w:spacing w:before="40" w:after="40"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2015 AQC</w:t>
            </w:r>
          </w:p>
        </w:tc>
        <w:tc>
          <w:tcPr>
            <w:tcW w:w="418" w:type="pct"/>
            <w:tcBorders>
              <w:bottom w:val="single" w:sz="4" w:space="0" w:color="auto"/>
            </w:tcBorders>
            <w:shd w:val="clear" w:color="auto" w:fill="FFFF00"/>
            <w:noWrap/>
          </w:tcPr>
          <w:p w:rsidR="00C807A2" w:rsidRPr="00053F63" w:rsidRDefault="00113887"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4</w:t>
            </w:r>
          </w:p>
        </w:tc>
        <w:tc>
          <w:tcPr>
            <w:tcW w:w="415" w:type="pct"/>
            <w:tcBorders>
              <w:bottom w:val="single" w:sz="4" w:space="0" w:color="auto"/>
            </w:tcBorders>
            <w:shd w:val="clear" w:color="auto" w:fill="FF6600"/>
            <w:noWrap/>
          </w:tcPr>
          <w:p w:rsidR="00C807A2" w:rsidRPr="00053F63" w:rsidRDefault="00C807A2"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3</w:t>
            </w:r>
          </w:p>
        </w:tc>
        <w:tc>
          <w:tcPr>
            <w:tcW w:w="418" w:type="pct"/>
            <w:tcBorders>
              <w:bottom w:val="single" w:sz="4" w:space="0" w:color="auto"/>
            </w:tcBorders>
            <w:shd w:val="clear" w:color="auto" w:fill="FF6600"/>
            <w:noWrap/>
          </w:tcPr>
          <w:p w:rsidR="00C807A2" w:rsidRPr="00053F63" w:rsidRDefault="00A46CC1"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3</w:t>
            </w:r>
          </w:p>
        </w:tc>
        <w:tc>
          <w:tcPr>
            <w:tcW w:w="415" w:type="pct"/>
            <w:tcBorders>
              <w:bottom w:val="single" w:sz="4" w:space="0" w:color="auto"/>
            </w:tcBorders>
            <w:shd w:val="clear" w:color="auto" w:fill="FFFF00"/>
            <w:noWrap/>
          </w:tcPr>
          <w:p w:rsidR="00C807A2" w:rsidRPr="00053F63" w:rsidRDefault="00B20175"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4</w:t>
            </w:r>
          </w:p>
        </w:tc>
        <w:tc>
          <w:tcPr>
            <w:tcW w:w="418" w:type="pct"/>
            <w:tcBorders>
              <w:bottom w:val="single" w:sz="4" w:space="0" w:color="auto"/>
            </w:tcBorders>
            <w:shd w:val="clear" w:color="auto" w:fill="FFFF00"/>
            <w:noWrap/>
          </w:tcPr>
          <w:p w:rsidR="00C807A2" w:rsidRPr="00053F63" w:rsidRDefault="00C2672F"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4</w:t>
            </w:r>
          </w:p>
        </w:tc>
        <w:tc>
          <w:tcPr>
            <w:tcW w:w="415" w:type="pct"/>
            <w:tcBorders>
              <w:bottom w:val="single" w:sz="4" w:space="0" w:color="auto"/>
            </w:tcBorders>
            <w:shd w:val="clear" w:color="auto" w:fill="FFFF00"/>
            <w:noWrap/>
          </w:tcPr>
          <w:p w:rsidR="00C807A2" w:rsidRPr="00053F63" w:rsidRDefault="00C35D25"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4</w:t>
            </w:r>
          </w:p>
        </w:tc>
        <w:tc>
          <w:tcPr>
            <w:tcW w:w="412" w:type="pct"/>
            <w:tcBorders>
              <w:bottom w:val="single" w:sz="4" w:space="0" w:color="auto"/>
            </w:tcBorders>
            <w:shd w:val="clear" w:color="auto" w:fill="FFFF00"/>
          </w:tcPr>
          <w:p w:rsidR="00C807A2" w:rsidRPr="00053F63" w:rsidRDefault="00C807A2"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4</w:t>
            </w:r>
          </w:p>
        </w:tc>
      </w:tr>
      <w:tr w:rsidR="00B16FF8" w:rsidRPr="00C61187" w:rsidTr="00DE0F3B">
        <w:trPr>
          <w:cnfStyle w:val="000000010000" w:firstRow="0" w:lastRow="0" w:firstColumn="0" w:lastColumn="0" w:oddVBand="0" w:evenVBand="0" w:oddHBand="0" w:evenHBand="1" w:firstRowFirstColumn="0" w:firstRowLastColumn="0" w:lastRowFirstColumn="0" w:lastRowLastColumn="0"/>
          <w:trHeight w:val="284"/>
        </w:trPr>
        <w:tc>
          <w:tcPr>
            <w:tcW w:w="909" w:type="pct"/>
            <w:vMerge w:val="restart"/>
          </w:tcPr>
          <w:p w:rsidR="00C807A2" w:rsidRPr="00A427C6" w:rsidRDefault="00113887" w:rsidP="007D17E7">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R4D</w:t>
            </w:r>
          </w:p>
        </w:tc>
        <w:tc>
          <w:tcPr>
            <w:tcW w:w="659" w:type="pct"/>
            <w:vMerge w:val="restart"/>
          </w:tcPr>
          <w:p w:rsidR="00C807A2" w:rsidRPr="00A427C6" w:rsidRDefault="00C807A2" w:rsidP="007D17E7">
            <w:pPr>
              <w:autoSpaceDE w:val="0"/>
              <w:autoSpaceDN w:val="0"/>
              <w:adjustRightInd w:val="0"/>
              <w:rPr>
                <w:rFonts w:asciiTheme="minorHAnsi" w:hAnsiTheme="minorHAnsi" w:cs="Franklin Gothic Book"/>
                <w:color w:val="000000"/>
                <w:szCs w:val="17"/>
              </w:rPr>
            </w:pPr>
            <w:r w:rsidRPr="00A427C6">
              <w:rPr>
                <w:rFonts w:asciiTheme="minorHAnsi" w:hAnsiTheme="minorHAnsi" w:cs="Franklin Gothic Book"/>
                <w:color w:val="000000"/>
                <w:szCs w:val="17"/>
              </w:rPr>
              <w:t>$</w:t>
            </w:r>
            <w:r w:rsidR="002071D2">
              <w:rPr>
                <w:rFonts w:asciiTheme="minorHAnsi" w:hAnsiTheme="minorHAnsi" w:cs="Franklin Gothic Book"/>
                <w:color w:val="000000"/>
                <w:szCs w:val="17"/>
              </w:rPr>
              <w:t>24.2</w:t>
            </w:r>
            <w:r w:rsidR="002071D2" w:rsidRPr="00A427C6">
              <w:rPr>
                <w:rFonts w:asciiTheme="minorHAnsi" w:hAnsiTheme="minorHAnsi" w:cs="Franklin Gothic Book"/>
                <w:color w:val="000000"/>
                <w:szCs w:val="17"/>
              </w:rPr>
              <w:t xml:space="preserve">m </w:t>
            </w:r>
          </w:p>
          <w:p w:rsidR="00C807A2" w:rsidRPr="00A427C6" w:rsidRDefault="002071D2" w:rsidP="002071D2">
            <w:pPr>
              <w:keepLines/>
              <w:spacing w:before="40" w:after="40"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201</w:t>
            </w:r>
            <w:r>
              <w:rPr>
                <w:rFonts w:asciiTheme="minorHAnsi" w:eastAsia="Times New Roman" w:hAnsiTheme="minorHAnsi"/>
                <w:iCs/>
                <w:szCs w:val="17"/>
                <w:lang w:eastAsia="en-US"/>
              </w:rPr>
              <w:t>2</w:t>
            </w:r>
            <w:r w:rsidR="00C807A2" w:rsidRPr="00A427C6">
              <w:rPr>
                <w:rFonts w:asciiTheme="minorHAnsi" w:eastAsia="Times New Roman" w:hAnsiTheme="minorHAnsi"/>
                <w:iCs/>
                <w:szCs w:val="17"/>
                <w:lang w:eastAsia="en-US"/>
              </w:rPr>
              <w:t>-</w:t>
            </w:r>
            <w:r w:rsidRPr="00A427C6">
              <w:rPr>
                <w:rFonts w:asciiTheme="minorHAnsi" w:eastAsia="Times New Roman" w:hAnsiTheme="minorHAnsi"/>
                <w:iCs/>
                <w:szCs w:val="17"/>
                <w:lang w:eastAsia="en-US"/>
              </w:rPr>
              <w:t>1</w:t>
            </w:r>
            <w:r>
              <w:rPr>
                <w:rFonts w:asciiTheme="minorHAnsi" w:eastAsia="Times New Roman" w:hAnsiTheme="minorHAnsi"/>
                <w:iCs/>
                <w:szCs w:val="17"/>
                <w:lang w:eastAsia="en-US"/>
              </w:rPr>
              <w:t>7</w:t>
            </w:r>
            <w:r w:rsidRPr="00A427C6">
              <w:rPr>
                <w:rFonts w:asciiTheme="minorHAnsi" w:eastAsia="Times New Roman" w:hAnsiTheme="minorHAnsi"/>
                <w:iCs/>
                <w:szCs w:val="17"/>
                <w:lang w:eastAsia="en-US"/>
              </w:rPr>
              <w:t xml:space="preserve"> </w:t>
            </w:r>
          </w:p>
        </w:tc>
        <w:tc>
          <w:tcPr>
            <w:tcW w:w="416" w:type="pct"/>
          </w:tcPr>
          <w:p w:rsidR="00C807A2" w:rsidRPr="00A427C6" w:rsidRDefault="00C807A2" w:rsidP="007D17E7">
            <w:pPr>
              <w:keepLines/>
              <w:spacing w:before="40" w:after="40"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2016 AQC</w:t>
            </w:r>
          </w:p>
        </w:tc>
        <w:tc>
          <w:tcPr>
            <w:tcW w:w="418" w:type="pct"/>
            <w:shd w:val="clear" w:color="auto" w:fill="009900"/>
            <w:noWrap/>
          </w:tcPr>
          <w:p w:rsidR="00C807A2" w:rsidRPr="00053F63" w:rsidRDefault="00C807A2"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5</w:t>
            </w:r>
          </w:p>
        </w:tc>
        <w:tc>
          <w:tcPr>
            <w:tcW w:w="415" w:type="pct"/>
            <w:shd w:val="clear" w:color="auto" w:fill="FFFF00"/>
            <w:noWrap/>
          </w:tcPr>
          <w:p w:rsidR="00C807A2" w:rsidRPr="00053F63" w:rsidRDefault="00942484"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4</w:t>
            </w:r>
          </w:p>
        </w:tc>
        <w:tc>
          <w:tcPr>
            <w:tcW w:w="418" w:type="pct"/>
            <w:shd w:val="clear" w:color="auto" w:fill="FFFF00"/>
            <w:noWrap/>
          </w:tcPr>
          <w:p w:rsidR="00C807A2" w:rsidRPr="00053F63" w:rsidRDefault="00C807A2"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4</w:t>
            </w:r>
          </w:p>
        </w:tc>
        <w:tc>
          <w:tcPr>
            <w:tcW w:w="415" w:type="pct"/>
            <w:tcBorders>
              <w:top w:val="single" w:sz="4" w:space="0" w:color="auto"/>
            </w:tcBorders>
            <w:shd w:val="clear" w:color="auto" w:fill="009900"/>
            <w:noWrap/>
          </w:tcPr>
          <w:p w:rsidR="00C807A2" w:rsidRPr="00053F63" w:rsidRDefault="00C807A2"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5</w:t>
            </w:r>
          </w:p>
        </w:tc>
        <w:tc>
          <w:tcPr>
            <w:tcW w:w="418" w:type="pct"/>
            <w:shd w:val="clear" w:color="auto" w:fill="FFFF00"/>
            <w:noWrap/>
          </w:tcPr>
          <w:p w:rsidR="00C807A2" w:rsidRPr="00053F63" w:rsidRDefault="00C2672F"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4</w:t>
            </w:r>
          </w:p>
        </w:tc>
        <w:tc>
          <w:tcPr>
            <w:tcW w:w="415" w:type="pct"/>
            <w:tcBorders>
              <w:top w:val="single" w:sz="4" w:space="0" w:color="auto"/>
            </w:tcBorders>
            <w:shd w:val="clear" w:color="auto" w:fill="FFFF00"/>
            <w:noWrap/>
          </w:tcPr>
          <w:p w:rsidR="00C807A2" w:rsidRPr="00053F63" w:rsidRDefault="00C35D25"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4</w:t>
            </w:r>
          </w:p>
        </w:tc>
        <w:tc>
          <w:tcPr>
            <w:tcW w:w="412" w:type="pct"/>
            <w:tcBorders>
              <w:top w:val="single" w:sz="4" w:space="0" w:color="auto"/>
            </w:tcBorders>
            <w:shd w:val="clear" w:color="auto" w:fill="009900"/>
          </w:tcPr>
          <w:p w:rsidR="00C807A2" w:rsidRPr="00053F63" w:rsidRDefault="00AD39F0"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5</w:t>
            </w:r>
          </w:p>
        </w:tc>
      </w:tr>
      <w:tr w:rsidR="00C35D25" w:rsidRPr="00C61187" w:rsidTr="00053F63">
        <w:trPr>
          <w:cnfStyle w:val="000000010000" w:firstRow="0" w:lastRow="0" w:firstColumn="0" w:lastColumn="0" w:oddVBand="0" w:evenVBand="0" w:oddHBand="0" w:evenHBand="1" w:firstRowFirstColumn="0" w:firstRowLastColumn="0" w:lastRowFirstColumn="0" w:lastRowLastColumn="0"/>
          <w:trHeight w:val="284"/>
        </w:trPr>
        <w:tc>
          <w:tcPr>
            <w:tcW w:w="909" w:type="pct"/>
            <w:vMerge/>
            <w:tcBorders>
              <w:bottom w:val="single" w:sz="4" w:space="0" w:color="auto"/>
            </w:tcBorders>
          </w:tcPr>
          <w:p w:rsidR="00C807A2" w:rsidRPr="00A427C6" w:rsidRDefault="00C807A2" w:rsidP="007D17E7">
            <w:pPr>
              <w:keepLines/>
              <w:spacing w:before="40" w:after="40" w:line="200" w:lineRule="atLeast"/>
              <w:rPr>
                <w:rFonts w:asciiTheme="minorHAnsi" w:eastAsia="Times New Roman" w:hAnsiTheme="minorHAnsi"/>
                <w:iCs/>
                <w:szCs w:val="17"/>
                <w:lang w:eastAsia="en-US"/>
              </w:rPr>
            </w:pPr>
          </w:p>
        </w:tc>
        <w:tc>
          <w:tcPr>
            <w:tcW w:w="659" w:type="pct"/>
            <w:vMerge/>
            <w:tcBorders>
              <w:bottom w:val="single" w:sz="4" w:space="0" w:color="auto"/>
            </w:tcBorders>
          </w:tcPr>
          <w:p w:rsidR="00C807A2" w:rsidRPr="00A427C6" w:rsidRDefault="00C807A2" w:rsidP="007D17E7">
            <w:pPr>
              <w:keepLines/>
              <w:spacing w:before="40" w:after="40" w:line="200" w:lineRule="atLeast"/>
              <w:rPr>
                <w:rFonts w:asciiTheme="minorHAnsi" w:eastAsia="Times New Roman" w:hAnsiTheme="minorHAnsi"/>
                <w:iCs/>
                <w:szCs w:val="17"/>
                <w:lang w:eastAsia="en-US"/>
              </w:rPr>
            </w:pPr>
          </w:p>
        </w:tc>
        <w:tc>
          <w:tcPr>
            <w:tcW w:w="416" w:type="pct"/>
            <w:tcBorders>
              <w:bottom w:val="single" w:sz="4" w:space="0" w:color="auto"/>
            </w:tcBorders>
          </w:tcPr>
          <w:p w:rsidR="00C807A2" w:rsidRPr="00A427C6" w:rsidRDefault="00C807A2" w:rsidP="007D17E7">
            <w:pPr>
              <w:keepLines/>
              <w:spacing w:before="40" w:after="40"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2015 AQC</w:t>
            </w:r>
          </w:p>
        </w:tc>
        <w:tc>
          <w:tcPr>
            <w:tcW w:w="418" w:type="pct"/>
            <w:tcBorders>
              <w:bottom w:val="single" w:sz="4" w:space="0" w:color="auto"/>
            </w:tcBorders>
            <w:shd w:val="clear" w:color="auto" w:fill="FFFF00"/>
            <w:noWrap/>
          </w:tcPr>
          <w:p w:rsidR="00C807A2" w:rsidRPr="00053F63" w:rsidRDefault="00113887"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4</w:t>
            </w:r>
          </w:p>
        </w:tc>
        <w:tc>
          <w:tcPr>
            <w:tcW w:w="415" w:type="pct"/>
            <w:tcBorders>
              <w:bottom w:val="single" w:sz="4" w:space="0" w:color="auto"/>
            </w:tcBorders>
            <w:shd w:val="clear" w:color="auto" w:fill="FF6600"/>
            <w:noWrap/>
          </w:tcPr>
          <w:p w:rsidR="00C807A2" w:rsidRPr="00053F63" w:rsidRDefault="00942484"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3</w:t>
            </w:r>
          </w:p>
        </w:tc>
        <w:tc>
          <w:tcPr>
            <w:tcW w:w="418" w:type="pct"/>
            <w:tcBorders>
              <w:bottom w:val="single" w:sz="4" w:space="0" w:color="auto"/>
            </w:tcBorders>
            <w:shd w:val="clear" w:color="auto" w:fill="FFFF00"/>
            <w:noWrap/>
          </w:tcPr>
          <w:p w:rsidR="00C807A2" w:rsidRPr="00053F63" w:rsidRDefault="00A46CC1"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4</w:t>
            </w:r>
          </w:p>
        </w:tc>
        <w:tc>
          <w:tcPr>
            <w:tcW w:w="415" w:type="pct"/>
            <w:tcBorders>
              <w:bottom w:val="single" w:sz="4" w:space="0" w:color="auto"/>
            </w:tcBorders>
            <w:shd w:val="clear" w:color="auto" w:fill="009900"/>
            <w:noWrap/>
          </w:tcPr>
          <w:p w:rsidR="00C807A2" w:rsidRPr="00053F63" w:rsidRDefault="00B20175"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5</w:t>
            </w:r>
          </w:p>
        </w:tc>
        <w:tc>
          <w:tcPr>
            <w:tcW w:w="418" w:type="pct"/>
            <w:tcBorders>
              <w:bottom w:val="single" w:sz="4" w:space="0" w:color="auto"/>
            </w:tcBorders>
            <w:shd w:val="clear" w:color="auto" w:fill="FF6600"/>
            <w:noWrap/>
          </w:tcPr>
          <w:p w:rsidR="00C807A2" w:rsidRPr="00053F63" w:rsidRDefault="00C2672F"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3</w:t>
            </w:r>
          </w:p>
        </w:tc>
        <w:tc>
          <w:tcPr>
            <w:tcW w:w="415" w:type="pct"/>
            <w:tcBorders>
              <w:bottom w:val="single" w:sz="4" w:space="0" w:color="auto"/>
            </w:tcBorders>
            <w:shd w:val="clear" w:color="auto" w:fill="FF6600"/>
            <w:noWrap/>
          </w:tcPr>
          <w:p w:rsidR="00C807A2" w:rsidRPr="00053F63" w:rsidRDefault="00C35D25"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3</w:t>
            </w:r>
          </w:p>
        </w:tc>
        <w:tc>
          <w:tcPr>
            <w:tcW w:w="412" w:type="pct"/>
            <w:tcBorders>
              <w:bottom w:val="single" w:sz="4" w:space="0" w:color="auto"/>
            </w:tcBorders>
            <w:shd w:val="clear" w:color="auto" w:fill="009900"/>
          </w:tcPr>
          <w:p w:rsidR="00C807A2" w:rsidRPr="00053F63" w:rsidRDefault="00AD39F0"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5</w:t>
            </w:r>
          </w:p>
        </w:tc>
      </w:tr>
      <w:tr w:rsidR="00B16FF8" w:rsidRPr="00C61187" w:rsidTr="00DE0F3B">
        <w:trPr>
          <w:cnfStyle w:val="000000010000" w:firstRow="0" w:lastRow="0" w:firstColumn="0" w:lastColumn="0" w:oddVBand="0" w:evenVBand="0" w:oddHBand="0" w:evenHBand="1" w:firstRowFirstColumn="0" w:firstRowLastColumn="0" w:lastRowFirstColumn="0" w:lastRowLastColumn="0"/>
          <w:trHeight w:val="284"/>
        </w:trPr>
        <w:tc>
          <w:tcPr>
            <w:tcW w:w="909" w:type="pct"/>
            <w:vMerge w:val="restart"/>
          </w:tcPr>
          <w:p w:rsidR="00C807A2" w:rsidRPr="00A427C6" w:rsidRDefault="00113887" w:rsidP="007D17E7">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GfG</w:t>
            </w:r>
          </w:p>
        </w:tc>
        <w:tc>
          <w:tcPr>
            <w:tcW w:w="659" w:type="pct"/>
            <w:vMerge w:val="restart"/>
          </w:tcPr>
          <w:p w:rsidR="00C807A2" w:rsidRPr="00A427C6" w:rsidRDefault="00C807A2" w:rsidP="007D17E7">
            <w:pPr>
              <w:autoSpaceDE w:val="0"/>
              <w:autoSpaceDN w:val="0"/>
              <w:adjustRightInd w:val="0"/>
              <w:rPr>
                <w:rFonts w:asciiTheme="minorHAnsi" w:hAnsiTheme="minorHAnsi" w:cs="Franklin Gothic Book"/>
                <w:color w:val="000000"/>
                <w:szCs w:val="17"/>
              </w:rPr>
            </w:pPr>
            <w:r w:rsidRPr="00A427C6">
              <w:rPr>
                <w:rFonts w:asciiTheme="minorHAnsi" w:hAnsiTheme="minorHAnsi" w:cs="Franklin Gothic Book"/>
                <w:color w:val="000000"/>
                <w:szCs w:val="17"/>
              </w:rPr>
              <w:t>$</w:t>
            </w:r>
            <w:r w:rsidR="002071D2">
              <w:rPr>
                <w:rFonts w:asciiTheme="minorHAnsi" w:hAnsiTheme="minorHAnsi" w:cs="Franklin Gothic Book"/>
                <w:color w:val="000000"/>
                <w:szCs w:val="17"/>
              </w:rPr>
              <w:t>30.7</w:t>
            </w:r>
            <w:r w:rsidR="002071D2" w:rsidRPr="00A427C6">
              <w:rPr>
                <w:rFonts w:asciiTheme="minorHAnsi" w:hAnsiTheme="minorHAnsi" w:cs="Franklin Gothic Book"/>
                <w:color w:val="000000"/>
                <w:szCs w:val="17"/>
              </w:rPr>
              <w:t xml:space="preserve">m </w:t>
            </w:r>
          </w:p>
          <w:p w:rsidR="00C807A2" w:rsidRPr="00A427C6" w:rsidRDefault="00C807A2" w:rsidP="002071D2">
            <w:pPr>
              <w:keepLines/>
              <w:spacing w:before="40" w:after="40"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2012-</w:t>
            </w:r>
            <w:r w:rsidR="002071D2" w:rsidRPr="00A427C6">
              <w:rPr>
                <w:rFonts w:asciiTheme="minorHAnsi" w:eastAsia="Times New Roman" w:hAnsiTheme="minorHAnsi"/>
                <w:iCs/>
                <w:szCs w:val="17"/>
                <w:lang w:eastAsia="en-US"/>
              </w:rPr>
              <w:t>1</w:t>
            </w:r>
            <w:r w:rsidR="002071D2">
              <w:rPr>
                <w:rFonts w:asciiTheme="minorHAnsi" w:eastAsia="Times New Roman" w:hAnsiTheme="minorHAnsi"/>
                <w:iCs/>
                <w:szCs w:val="17"/>
                <w:lang w:eastAsia="en-US"/>
              </w:rPr>
              <w:t>8</w:t>
            </w:r>
            <w:r w:rsidR="002071D2" w:rsidRPr="00A427C6">
              <w:rPr>
                <w:rFonts w:asciiTheme="minorHAnsi" w:eastAsia="Times New Roman" w:hAnsiTheme="minorHAnsi"/>
                <w:iCs/>
                <w:szCs w:val="17"/>
                <w:lang w:eastAsia="en-US"/>
              </w:rPr>
              <w:t xml:space="preserve"> </w:t>
            </w:r>
          </w:p>
        </w:tc>
        <w:tc>
          <w:tcPr>
            <w:tcW w:w="416" w:type="pct"/>
          </w:tcPr>
          <w:p w:rsidR="00C807A2" w:rsidRPr="00A427C6" w:rsidRDefault="00C807A2" w:rsidP="007D17E7">
            <w:pPr>
              <w:keepLines/>
              <w:spacing w:before="40" w:after="40"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2016 AQC</w:t>
            </w:r>
          </w:p>
        </w:tc>
        <w:tc>
          <w:tcPr>
            <w:tcW w:w="418" w:type="pct"/>
            <w:tcBorders>
              <w:top w:val="single" w:sz="4" w:space="0" w:color="auto"/>
            </w:tcBorders>
            <w:shd w:val="clear" w:color="auto" w:fill="009900"/>
            <w:noWrap/>
          </w:tcPr>
          <w:p w:rsidR="00C807A2" w:rsidRPr="00053F63" w:rsidRDefault="00113887"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6</w:t>
            </w:r>
          </w:p>
        </w:tc>
        <w:tc>
          <w:tcPr>
            <w:tcW w:w="415" w:type="pct"/>
            <w:tcBorders>
              <w:top w:val="single" w:sz="4" w:space="0" w:color="auto"/>
            </w:tcBorders>
            <w:shd w:val="clear" w:color="auto" w:fill="009900"/>
            <w:noWrap/>
          </w:tcPr>
          <w:p w:rsidR="00C807A2" w:rsidRPr="00053F63" w:rsidRDefault="00942484"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5</w:t>
            </w:r>
          </w:p>
        </w:tc>
        <w:tc>
          <w:tcPr>
            <w:tcW w:w="418" w:type="pct"/>
            <w:shd w:val="clear" w:color="auto" w:fill="FFFF00"/>
            <w:noWrap/>
          </w:tcPr>
          <w:p w:rsidR="00C807A2" w:rsidRPr="00053F63" w:rsidRDefault="00C807A2"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4</w:t>
            </w:r>
          </w:p>
        </w:tc>
        <w:tc>
          <w:tcPr>
            <w:tcW w:w="415" w:type="pct"/>
            <w:tcBorders>
              <w:top w:val="single" w:sz="4" w:space="0" w:color="auto"/>
            </w:tcBorders>
            <w:shd w:val="clear" w:color="auto" w:fill="009900"/>
            <w:noWrap/>
          </w:tcPr>
          <w:p w:rsidR="00C807A2" w:rsidRPr="00053F63" w:rsidRDefault="00B20175"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5</w:t>
            </w:r>
          </w:p>
        </w:tc>
        <w:tc>
          <w:tcPr>
            <w:tcW w:w="418" w:type="pct"/>
            <w:tcBorders>
              <w:top w:val="single" w:sz="4" w:space="0" w:color="auto"/>
            </w:tcBorders>
            <w:shd w:val="clear" w:color="auto" w:fill="FFFF00"/>
            <w:noWrap/>
          </w:tcPr>
          <w:p w:rsidR="00C807A2" w:rsidRPr="00053F63" w:rsidRDefault="00C2672F"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4</w:t>
            </w:r>
          </w:p>
        </w:tc>
        <w:tc>
          <w:tcPr>
            <w:tcW w:w="415" w:type="pct"/>
            <w:shd w:val="clear" w:color="auto" w:fill="FFC000"/>
            <w:noWrap/>
          </w:tcPr>
          <w:p w:rsidR="00C807A2" w:rsidRPr="00053F63" w:rsidRDefault="00C35D25"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4</w:t>
            </w:r>
          </w:p>
        </w:tc>
        <w:tc>
          <w:tcPr>
            <w:tcW w:w="412" w:type="pct"/>
            <w:shd w:val="clear" w:color="auto" w:fill="009900"/>
          </w:tcPr>
          <w:p w:rsidR="00C807A2" w:rsidRPr="00053F63" w:rsidRDefault="00AD39F0"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5</w:t>
            </w:r>
          </w:p>
        </w:tc>
      </w:tr>
      <w:tr w:rsidR="00120F01" w:rsidRPr="00C61187" w:rsidTr="00053F63">
        <w:trPr>
          <w:cnfStyle w:val="000000010000" w:firstRow="0" w:lastRow="0" w:firstColumn="0" w:lastColumn="0" w:oddVBand="0" w:evenVBand="0" w:oddHBand="0" w:evenHBand="1" w:firstRowFirstColumn="0" w:firstRowLastColumn="0" w:lastRowFirstColumn="0" w:lastRowLastColumn="0"/>
          <w:trHeight w:val="284"/>
        </w:trPr>
        <w:tc>
          <w:tcPr>
            <w:tcW w:w="909" w:type="pct"/>
            <w:vMerge/>
            <w:tcBorders>
              <w:bottom w:val="single" w:sz="4" w:space="0" w:color="auto"/>
            </w:tcBorders>
          </w:tcPr>
          <w:p w:rsidR="00C807A2" w:rsidRPr="00A427C6" w:rsidRDefault="00C807A2" w:rsidP="007D17E7">
            <w:pPr>
              <w:keepLines/>
              <w:spacing w:before="40" w:after="40" w:line="200" w:lineRule="atLeast"/>
              <w:rPr>
                <w:rFonts w:asciiTheme="minorHAnsi" w:eastAsia="Times New Roman" w:hAnsiTheme="minorHAnsi"/>
                <w:iCs/>
                <w:szCs w:val="17"/>
                <w:lang w:eastAsia="en-US"/>
              </w:rPr>
            </w:pPr>
          </w:p>
        </w:tc>
        <w:tc>
          <w:tcPr>
            <w:tcW w:w="659" w:type="pct"/>
            <w:vMerge/>
            <w:tcBorders>
              <w:bottom w:val="single" w:sz="4" w:space="0" w:color="auto"/>
            </w:tcBorders>
          </w:tcPr>
          <w:p w:rsidR="00C807A2" w:rsidRPr="00A427C6" w:rsidRDefault="00C807A2" w:rsidP="007D17E7">
            <w:pPr>
              <w:keepLines/>
              <w:spacing w:before="40" w:after="40" w:line="200" w:lineRule="atLeast"/>
              <w:rPr>
                <w:rFonts w:asciiTheme="minorHAnsi" w:eastAsia="Times New Roman" w:hAnsiTheme="minorHAnsi"/>
                <w:iCs/>
                <w:szCs w:val="17"/>
                <w:lang w:eastAsia="en-US"/>
              </w:rPr>
            </w:pPr>
          </w:p>
        </w:tc>
        <w:tc>
          <w:tcPr>
            <w:tcW w:w="416" w:type="pct"/>
            <w:tcBorders>
              <w:bottom w:val="single" w:sz="4" w:space="0" w:color="auto"/>
            </w:tcBorders>
          </w:tcPr>
          <w:p w:rsidR="00C807A2" w:rsidRPr="00A427C6" w:rsidRDefault="00C807A2" w:rsidP="007D17E7">
            <w:pPr>
              <w:keepLines/>
              <w:spacing w:before="40" w:after="40"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2015 AQC</w:t>
            </w:r>
          </w:p>
        </w:tc>
        <w:tc>
          <w:tcPr>
            <w:tcW w:w="418" w:type="pct"/>
            <w:tcBorders>
              <w:bottom w:val="single" w:sz="4" w:space="0" w:color="auto"/>
            </w:tcBorders>
            <w:shd w:val="clear" w:color="auto" w:fill="009900"/>
            <w:noWrap/>
          </w:tcPr>
          <w:p w:rsidR="00C807A2" w:rsidRPr="00053F63" w:rsidRDefault="00113887"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6</w:t>
            </w:r>
          </w:p>
        </w:tc>
        <w:tc>
          <w:tcPr>
            <w:tcW w:w="415" w:type="pct"/>
            <w:tcBorders>
              <w:bottom w:val="single" w:sz="4" w:space="0" w:color="auto"/>
            </w:tcBorders>
            <w:shd w:val="clear" w:color="auto" w:fill="009900"/>
            <w:noWrap/>
          </w:tcPr>
          <w:p w:rsidR="00C807A2" w:rsidRPr="00053F63" w:rsidRDefault="00942484"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5</w:t>
            </w:r>
          </w:p>
        </w:tc>
        <w:tc>
          <w:tcPr>
            <w:tcW w:w="418" w:type="pct"/>
            <w:tcBorders>
              <w:bottom w:val="single" w:sz="4" w:space="0" w:color="auto"/>
            </w:tcBorders>
            <w:shd w:val="clear" w:color="auto" w:fill="FFFF00"/>
            <w:noWrap/>
          </w:tcPr>
          <w:p w:rsidR="00C807A2" w:rsidRPr="00053F63" w:rsidRDefault="00C807A2"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4</w:t>
            </w:r>
          </w:p>
        </w:tc>
        <w:tc>
          <w:tcPr>
            <w:tcW w:w="415" w:type="pct"/>
            <w:tcBorders>
              <w:bottom w:val="single" w:sz="4" w:space="0" w:color="auto"/>
            </w:tcBorders>
            <w:shd w:val="clear" w:color="auto" w:fill="FFFF00"/>
            <w:noWrap/>
          </w:tcPr>
          <w:p w:rsidR="00C807A2" w:rsidRPr="00053F63" w:rsidRDefault="00B20175"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4</w:t>
            </w:r>
          </w:p>
        </w:tc>
        <w:tc>
          <w:tcPr>
            <w:tcW w:w="418" w:type="pct"/>
            <w:tcBorders>
              <w:bottom w:val="single" w:sz="4" w:space="0" w:color="auto"/>
            </w:tcBorders>
            <w:shd w:val="clear" w:color="auto" w:fill="FFFF00"/>
            <w:noWrap/>
          </w:tcPr>
          <w:p w:rsidR="00C807A2" w:rsidRPr="00053F63" w:rsidRDefault="00C2672F"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4</w:t>
            </w:r>
          </w:p>
        </w:tc>
        <w:tc>
          <w:tcPr>
            <w:tcW w:w="415" w:type="pct"/>
            <w:tcBorders>
              <w:bottom w:val="single" w:sz="4" w:space="0" w:color="auto"/>
            </w:tcBorders>
            <w:shd w:val="clear" w:color="auto" w:fill="FF6600"/>
            <w:noWrap/>
          </w:tcPr>
          <w:p w:rsidR="00C807A2" w:rsidRPr="00053F63" w:rsidRDefault="00C35D25"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3</w:t>
            </w:r>
          </w:p>
        </w:tc>
        <w:tc>
          <w:tcPr>
            <w:tcW w:w="412" w:type="pct"/>
            <w:tcBorders>
              <w:bottom w:val="single" w:sz="4" w:space="0" w:color="auto"/>
            </w:tcBorders>
            <w:shd w:val="clear" w:color="auto" w:fill="009900"/>
          </w:tcPr>
          <w:p w:rsidR="00C807A2" w:rsidRPr="00053F63" w:rsidRDefault="00AD39F0"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5</w:t>
            </w:r>
          </w:p>
        </w:tc>
      </w:tr>
      <w:tr w:rsidR="00C807A2" w:rsidRPr="00C61187" w:rsidTr="00053F63">
        <w:trPr>
          <w:cnfStyle w:val="000000010000" w:firstRow="0" w:lastRow="0" w:firstColumn="0" w:lastColumn="0" w:oddVBand="0" w:evenVBand="0" w:oddHBand="0" w:evenHBand="1" w:firstRowFirstColumn="0" w:firstRowLastColumn="0" w:lastRowFirstColumn="0" w:lastRowLastColumn="0"/>
          <w:trHeight w:val="284"/>
        </w:trPr>
        <w:tc>
          <w:tcPr>
            <w:tcW w:w="909" w:type="pct"/>
            <w:vMerge w:val="restart"/>
          </w:tcPr>
          <w:p w:rsidR="00C807A2" w:rsidRPr="00A427C6" w:rsidRDefault="00113887" w:rsidP="007D17E7">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Recovery</w:t>
            </w:r>
          </w:p>
        </w:tc>
        <w:tc>
          <w:tcPr>
            <w:tcW w:w="659" w:type="pct"/>
            <w:vMerge w:val="restart"/>
          </w:tcPr>
          <w:p w:rsidR="00C807A2" w:rsidRPr="00A427C6" w:rsidRDefault="00C807A2" w:rsidP="007D17E7">
            <w:pPr>
              <w:autoSpaceDE w:val="0"/>
              <w:autoSpaceDN w:val="0"/>
              <w:adjustRightInd w:val="0"/>
              <w:rPr>
                <w:rFonts w:asciiTheme="minorHAnsi" w:hAnsiTheme="minorHAnsi" w:cs="Franklin Gothic Book"/>
                <w:color w:val="000000"/>
                <w:szCs w:val="17"/>
              </w:rPr>
            </w:pPr>
            <w:r w:rsidRPr="00A427C6">
              <w:rPr>
                <w:rFonts w:asciiTheme="minorHAnsi" w:hAnsiTheme="minorHAnsi" w:cs="Franklin Gothic Book"/>
                <w:color w:val="000000"/>
                <w:szCs w:val="17"/>
              </w:rPr>
              <w:t>$</w:t>
            </w:r>
            <w:r w:rsidR="002071D2">
              <w:rPr>
                <w:rFonts w:asciiTheme="minorHAnsi" w:hAnsiTheme="minorHAnsi" w:cs="Franklin Gothic Book"/>
                <w:color w:val="000000"/>
                <w:szCs w:val="17"/>
              </w:rPr>
              <w:t>41</w:t>
            </w:r>
            <w:r w:rsidR="002071D2" w:rsidRPr="00A427C6">
              <w:rPr>
                <w:rFonts w:asciiTheme="minorHAnsi" w:hAnsiTheme="minorHAnsi" w:cs="Franklin Gothic Book"/>
                <w:color w:val="000000"/>
                <w:szCs w:val="17"/>
              </w:rPr>
              <w:t xml:space="preserve">m </w:t>
            </w:r>
          </w:p>
          <w:p w:rsidR="00C807A2" w:rsidRPr="00A427C6" w:rsidRDefault="002071D2" w:rsidP="002071D2">
            <w:pPr>
              <w:keepLines/>
              <w:spacing w:before="40" w:after="40"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201</w:t>
            </w:r>
            <w:r>
              <w:rPr>
                <w:rFonts w:asciiTheme="minorHAnsi" w:eastAsia="Times New Roman" w:hAnsiTheme="minorHAnsi"/>
                <w:iCs/>
                <w:szCs w:val="17"/>
                <w:lang w:eastAsia="en-US"/>
              </w:rPr>
              <w:t>5</w:t>
            </w:r>
            <w:r w:rsidR="00C807A2" w:rsidRPr="00A427C6">
              <w:rPr>
                <w:rFonts w:asciiTheme="minorHAnsi" w:eastAsia="Times New Roman" w:hAnsiTheme="minorHAnsi"/>
                <w:iCs/>
                <w:szCs w:val="17"/>
                <w:lang w:eastAsia="en-US"/>
              </w:rPr>
              <w:t>-</w:t>
            </w:r>
            <w:r w:rsidRPr="00A427C6">
              <w:rPr>
                <w:rFonts w:asciiTheme="minorHAnsi" w:eastAsia="Times New Roman" w:hAnsiTheme="minorHAnsi"/>
                <w:iCs/>
                <w:szCs w:val="17"/>
                <w:lang w:eastAsia="en-US"/>
              </w:rPr>
              <w:t>1</w:t>
            </w:r>
            <w:r>
              <w:rPr>
                <w:rFonts w:asciiTheme="minorHAnsi" w:eastAsia="Times New Roman" w:hAnsiTheme="minorHAnsi"/>
                <w:iCs/>
                <w:szCs w:val="17"/>
                <w:lang w:eastAsia="en-US"/>
              </w:rPr>
              <w:t>8</w:t>
            </w:r>
            <w:r w:rsidRPr="00A427C6">
              <w:rPr>
                <w:rFonts w:asciiTheme="minorHAnsi" w:eastAsia="Times New Roman" w:hAnsiTheme="minorHAnsi"/>
                <w:iCs/>
                <w:szCs w:val="17"/>
                <w:lang w:eastAsia="en-US"/>
              </w:rPr>
              <w:t xml:space="preserve"> </w:t>
            </w:r>
          </w:p>
        </w:tc>
        <w:tc>
          <w:tcPr>
            <w:tcW w:w="416" w:type="pct"/>
          </w:tcPr>
          <w:p w:rsidR="00C807A2" w:rsidRPr="00A427C6" w:rsidRDefault="00C807A2" w:rsidP="007D17E7">
            <w:pPr>
              <w:keepLines/>
              <w:spacing w:before="40" w:after="40"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2016 AQC</w:t>
            </w:r>
          </w:p>
        </w:tc>
        <w:tc>
          <w:tcPr>
            <w:tcW w:w="418" w:type="pct"/>
            <w:shd w:val="clear" w:color="auto" w:fill="FFFF00"/>
            <w:noWrap/>
          </w:tcPr>
          <w:p w:rsidR="00C807A2" w:rsidRPr="00053F63" w:rsidRDefault="00113887"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4</w:t>
            </w:r>
          </w:p>
        </w:tc>
        <w:tc>
          <w:tcPr>
            <w:tcW w:w="415" w:type="pct"/>
            <w:shd w:val="clear" w:color="auto" w:fill="FFFF00"/>
            <w:noWrap/>
          </w:tcPr>
          <w:p w:rsidR="00C807A2" w:rsidRPr="00053F63" w:rsidRDefault="00C807A2"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4</w:t>
            </w:r>
          </w:p>
        </w:tc>
        <w:tc>
          <w:tcPr>
            <w:tcW w:w="418" w:type="pct"/>
            <w:shd w:val="clear" w:color="auto" w:fill="FFFF00"/>
            <w:noWrap/>
          </w:tcPr>
          <w:p w:rsidR="00C807A2" w:rsidRPr="00053F63" w:rsidRDefault="00C807A2"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4</w:t>
            </w:r>
          </w:p>
        </w:tc>
        <w:tc>
          <w:tcPr>
            <w:tcW w:w="415" w:type="pct"/>
            <w:tcBorders>
              <w:top w:val="single" w:sz="4" w:space="0" w:color="auto"/>
            </w:tcBorders>
            <w:shd w:val="clear" w:color="auto" w:fill="FFFF00"/>
            <w:noWrap/>
          </w:tcPr>
          <w:p w:rsidR="00C807A2" w:rsidRPr="00053F63" w:rsidRDefault="00B20175"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4</w:t>
            </w:r>
          </w:p>
        </w:tc>
        <w:tc>
          <w:tcPr>
            <w:tcW w:w="418" w:type="pct"/>
            <w:shd w:val="clear" w:color="auto" w:fill="FFFF00"/>
            <w:noWrap/>
          </w:tcPr>
          <w:p w:rsidR="00C807A2" w:rsidRPr="00053F63" w:rsidRDefault="00C2672F"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4</w:t>
            </w:r>
          </w:p>
        </w:tc>
        <w:tc>
          <w:tcPr>
            <w:tcW w:w="415" w:type="pct"/>
            <w:tcBorders>
              <w:top w:val="single" w:sz="4" w:space="0" w:color="auto"/>
            </w:tcBorders>
            <w:shd w:val="clear" w:color="auto" w:fill="FF6600"/>
            <w:noWrap/>
          </w:tcPr>
          <w:p w:rsidR="00C807A2" w:rsidRPr="00053F63" w:rsidRDefault="00C807A2"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3</w:t>
            </w:r>
          </w:p>
        </w:tc>
        <w:tc>
          <w:tcPr>
            <w:tcW w:w="412" w:type="pct"/>
            <w:shd w:val="clear" w:color="auto" w:fill="FFFF00"/>
          </w:tcPr>
          <w:p w:rsidR="00C807A2" w:rsidRPr="00053F63" w:rsidRDefault="00C807A2" w:rsidP="00053F63">
            <w:pPr>
              <w:keepLines/>
              <w:spacing w:before="40" w:after="40" w:line="200" w:lineRule="atLeast"/>
              <w:jc w:val="center"/>
              <w:rPr>
                <w:rFonts w:asciiTheme="minorHAnsi" w:eastAsia="Times New Roman" w:hAnsiTheme="minorHAnsi"/>
                <w:iCs/>
                <w:szCs w:val="17"/>
                <w:lang w:eastAsia="en-US"/>
              </w:rPr>
            </w:pPr>
            <w:r w:rsidRPr="00053F63">
              <w:rPr>
                <w:rFonts w:asciiTheme="minorHAnsi" w:eastAsia="Times New Roman" w:hAnsiTheme="minorHAnsi"/>
                <w:iCs/>
                <w:szCs w:val="17"/>
                <w:lang w:eastAsia="en-US"/>
              </w:rPr>
              <w:t>4</w:t>
            </w:r>
          </w:p>
        </w:tc>
      </w:tr>
      <w:tr w:rsidR="00E90D5F" w:rsidRPr="00C61187" w:rsidTr="00E90D5F">
        <w:trPr>
          <w:cnfStyle w:val="000000010000" w:firstRow="0" w:lastRow="0" w:firstColumn="0" w:lastColumn="0" w:oddVBand="0" w:evenVBand="0" w:oddHBand="0" w:evenHBand="1" w:firstRowFirstColumn="0" w:firstRowLastColumn="0" w:lastRowFirstColumn="0" w:lastRowLastColumn="0"/>
          <w:trHeight w:val="284"/>
        </w:trPr>
        <w:tc>
          <w:tcPr>
            <w:tcW w:w="909" w:type="pct"/>
            <w:vMerge/>
            <w:tcBorders>
              <w:bottom w:val="single" w:sz="4" w:space="0" w:color="auto"/>
            </w:tcBorders>
          </w:tcPr>
          <w:p w:rsidR="00C807A2" w:rsidRPr="00A427C6" w:rsidRDefault="00C807A2" w:rsidP="007D17E7">
            <w:pPr>
              <w:keepLines/>
              <w:spacing w:before="40" w:after="40" w:line="200" w:lineRule="atLeast"/>
              <w:rPr>
                <w:rFonts w:asciiTheme="minorHAnsi" w:eastAsia="Times New Roman" w:hAnsiTheme="minorHAnsi"/>
                <w:iCs/>
                <w:szCs w:val="17"/>
                <w:lang w:eastAsia="en-US"/>
              </w:rPr>
            </w:pPr>
          </w:p>
        </w:tc>
        <w:tc>
          <w:tcPr>
            <w:tcW w:w="659" w:type="pct"/>
            <w:vMerge/>
            <w:tcBorders>
              <w:bottom w:val="single" w:sz="4" w:space="0" w:color="auto"/>
            </w:tcBorders>
          </w:tcPr>
          <w:p w:rsidR="00C807A2" w:rsidRPr="00A427C6" w:rsidRDefault="00C807A2" w:rsidP="007D17E7">
            <w:pPr>
              <w:keepLines/>
              <w:spacing w:before="40" w:after="40" w:line="200" w:lineRule="atLeast"/>
              <w:rPr>
                <w:rFonts w:asciiTheme="minorHAnsi" w:eastAsia="Times New Roman" w:hAnsiTheme="minorHAnsi"/>
                <w:iCs/>
                <w:szCs w:val="17"/>
                <w:lang w:eastAsia="en-US"/>
              </w:rPr>
            </w:pPr>
          </w:p>
        </w:tc>
        <w:tc>
          <w:tcPr>
            <w:tcW w:w="416" w:type="pct"/>
            <w:tcBorders>
              <w:bottom w:val="single" w:sz="4" w:space="0" w:color="auto"/>
            </w:tcBorders>
          </w:tcPr>
          <w:p w:rsidR="00C807A2" w:rsidRPr="00A427C6" w:rsidRDefault="00C807A2" w:rsidP="007D17E7">
            <w:pPr>
              <w:keepLines/>
              <w:spacing w:before="40" w:after="40"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2015 AQC</w:t>
            </w:r>
          </w:p>
        </w:tc>
        <w:tc>
          <w:tcPr>
            <w:tcW w:w="418" w:type="pct"/>
            <w:tcBorders>
              <w:bottom w:val="single" w:sz="4" w:space="0" w:color="auto"/>
            </w:tcBorders>
            <w:shd w:val="clear" w:color="auto" w:fill="auto"/>
            <w:noWrap/>
          </w:tcPr>
          <w:p w:rsidR="00C807A2" w:rsidRPr="00053F63" w:rsidRDefault="00942484" w:rsidP="007D17E7">
            <w:pPr>
              <w:keepLines/>
              <w:spacing w:before="40" w:after="40" w:line="200" w:lineRule="atLeast"/>
              <w:jc w:val="center"/>
              <w:rPr>
                <w:rFonts w:asciiTheme="minorHAnsi" w:eastAsia="Times New Roman" w:hAnsiTheme="minorHAnsi"/>
                <w:iCs/>
                <w:color w:val="FFFFFF" w:themeColor="background1"/>
                <w:szCs w:val="17"/>
                <w:lang w:eastAsia="en-US"/>
              </w:rPr>
            </w:pPr>
            <w:r w:rsidRPr="00053F63">
              <w:rPr>
                <w:rFonts w:asciiTheme="minorHAnsi" w:eastAsia="Times New Roman" w:hAnsiTheme="minorHAnsi"/>
                <w:iCs/>
                <w:color w:val="FFFFFF" w:themeColor="background1"/>
                <w:szCs w:val="17"/>
                <w:lang w:eastAsia="en-US"/>
              </w:rPr>
              <w:t>n/a</w:t>
            </w:r>
          </w:p>
        </w:tc>
        <w:tc>
          <w:tcPr>
            <w:tcW w:w="415" w:type="pct"/>
            <w:tcBorders>
              <w:bottom w:val="single" w:sz="4" w:space="0" w:color="auto"/>
            </w:tcBorders>
            <w:shd w:val="clear" w:color="auto" w:fill="auto"/>
            <w:noWrap/>
          </w:tcPr>
          <w:p w:rsidR="00C807A2" w:rsidRPr="00053F63" w:rsidRDefault="00942484" w:rsidP="007D17E7">
            <w:pPr>
              <w:keepLines/>
              <w:spacing w:before="40" w:after="40" w:line="200" w:lineRule="atLeast"/>
              <w:jc w:val="center"/>
              <w:rPr>
                <w:rFonts w:asciiTheme="minorHAnsi" w:eastAsia="Times New Roman" w:hAnsiTheme="minorHAnsi"/>
                <w:iCs/>
                <w:color w:val="FFFFFF" w:themeColor="background1"/>
                <w:szCs w:val="17"/>
                <w:lang w:eastAsia="en-US"/>
              </w:rPr>
            </w:pPr>
            <w:r w:rsidRPr="00053F63">
              <w:rPr>
                <w:rFonts w:asciiTheme="minorHAnsi" w:eastAsia="Times New Roman" w:hAnsiTheme="minorHAnsi"/>
                <w:iCs/>
                <w:color w:val="FFFFFF" w:themeColor="background1"/>
                <w:szCs w:val="17"/>
                <w:lang w:eastAsia="en-US"/>
              </w:rPr>
              <w:t>n/a</w:t>
            </w:r>
          </w:p>
        </w:tc>
        <w:tc>
          <w:tcPr>
            <w:tcW w:w="418" w:type="pct"/>
            <w:tcBorders>
              <w:bottom w:val="single" w:sz="4" w:space="0" w:color="auto"/>
            </w:tcBorders>
            <w:shd w:val="clear" w:color="auto" w:fill="auto"/>
            <w:noWrap/>
          </w:tcPr>
          <w:p w:rsidR="00C807A2" w:rsidRPr="00053F63" w:rsidRDefault="00E90D5F" w:rsidP="007D17E7">
            <w:pPr>
              <w:keepLines/>
              <w:spacing w:before="40" w:after="40" w:line="200" w:lineRule="atLeast"/>
              <w:jc w:val="center"/>
              <w:rPr>
                <w:rFonts w:asciiTheme="minorHAnsi" w:eastAsia="Times New Roman" w:hAnsiTheme="minorHAnsi"/>
                <w:iCs/>
                <w:color w:val="FFFFFF" w:themeColor="background1"/>
                <w:szCs w:val="17"/>
                <w:lang w:eastAsia="en-US"/>
              </w:rPr>
            </w:pPr>
            <w:r w:rsidRPr="00053F63">
              <w:rPr>
                <w:rFonts w:asciiTheme="minorHAnsi" w:eastAsia="Times New Roman" w:hAnsiTheme="minorHAnsi"/>
                <w:iCs/>
                <w:color w:val="FFFFFF" w:themeColor="background1"/>
                <w:szCs w:val="17"/>
                <w:lang w:eastAsia="en-US"/>
              </w:rPr>
              <w:t>n/a</w:t>
            </w:r>
          </w:p>
        </w:tc>
        <w:tc>
          <w:tcPr>
            <w:tcW w:w="415" w:type="pct"/>
            <w:tcBorders>
              <w:bottom w:val="single" w:sz="4" w:space="0" w:color="auto"/>
            </w:tcBorders>
            <w:shd w:val="clear" w:color="auto" w:fill="auto"/>
            <w:noWrap/>
          </w:tcPr>
          <w:p w:rsidR="00C807A2" w:rsidRPr="00053F63" w:rsidRDefault="00E90D5F" w:rsidP="007D17E7">
            <w:pPr>
              <w:keepLines/>
              <w:spacing w:before="40" w:after="40" w:line="200" w:lineRule="atLeast"/>
              <w:jc w:val="center"/>
              <w:rPr>
                <w:rFonts w:asciiTheme="minorHAnsi" w:eastAsia="Times New Roman" w:hAnsiTheme="minorHAnsi"/>
                <w:iCs/>
                <w:color w:val="FFFFFF" w:themeColor="background1"/>
                <w:szCs w:val="17"/>
                <w:lang w:eastAsia="en-US"/>
              </w:rPr>
            </w:pPr>
            <w:r w:rsidRPr="00053F63">
              <w:rPr>
                <w:rFonts w:asciiTheme="minorHAnsi" w:eastAsia="Times New Roman" w:hAnsiTheme="minorHAnsi"/>
                <w:iCs/>
                <w:color w:val="FFFFFF" w:themeColor="background1"/>
                <w:szCs w:val="17"/>
                <w:lang w:eastAsia="en-US"/>
              </w:rPr>
              <w:t>n/a</w:t>
            </w:r>
          </w:p>
        </w:tc>
        <w:tc>
          <w:tcPr>
            <w:tcW w:w="418" w:type="pct"/>
            <w:tcBorders>
              <w:bottom w:val="single" w:sz="4" w:space="0" w:color="auto"/>
            </w:tcBorders>
            <w:shd w:val="clear" w:color="auto" w:fill="auto"/>
            <w:noWrap/>
          </w:tcPr>
          <w:p w:rsidR="00C807A2" w:rsidRPr="00053F63" w:rsidRDefault="00E90D5F" w:rsidP="007D17E7">
            <w:pPr>
              <w:keepLines/>
              <w:spacing w:before="40" w:after="40" w:line="200" w:lineRule="atLeast"/>
              <w:jc w:val="center"/>
              <w:rPr>
                <w:rFonts w:asciiTheme="minorHAnsi" w:eastAsia="Times New Roman" w:hAnsiTheme="minorHAnsi"/>
                <w:iCs/>
                <w:color w:val="FFFFFF" w:themeColor="background1"/>
                <w:szCs w:val="17"/>
                <w:lang w:eastAsia="en-US"/>
              </w:rPr>
            </w:pPr>
            <w:r w:rsidRPr="00053F63">
              <w:rPr>
                <w:rFonts w:asciiTheme="minorHAnsi" w:eastAsia="Times New Roman" w:hAnsiTheme="minorHAnsi"/>
                <w:iCs/>
                <w:color w:val="FFFFFF" w:themeColor="background1"/>
                <w:szCs w:val="17"/>
                <w:lang w:eastAsia="en-US"/>
              </w:rPr>
              <w:t>n/a</w:t>
            </w:r>
          </w:p>
        </w:tc>
        <w:tc>
          <w:tcPr>
            <w:tcW w:w="415" w:type="pct"/>
            <w:tcBorders>
              <w:bottom w:val="single" w:sz="4" w:space="0" w:color="auto"/>
            </w:tcBorders>
            <w:shd w:val="clear" w:color="auto" w:fill="auto"/>
            <w:noWrap/>
          </w:tcPr>
          <w:p w:rsidR="00C807A2" w:rsidRPr="00053F63" w:rsidRDefault="00E90D5F" w:rsidP="007D17E7">
            <w:pPr>
              <w:keepLines/>
              <w:spacing w:before="40" w:after="40" w:line="200" w:lineRule="atLeast"/>
              <w:jc w:val="center"/>
              <w:rPr>
                <w:rFonts w:asciiTheme="minorHAnsi" w:eastAsia="Times New Roman" w:hAnsiTheme="minorHAnsi"/>
                <w:iCs/>
                <w:color w:val="FFFFFF" w:themeColor="background1"/>
                <w:szCs w:val="17"/>
                <w:lang w:eastAsia="en-US"/>
              </w:rPr>
            </w:pPr>
            <w:r w:rsidRPr="00053F63">
              <w:rPr>
                <w:rFonts w:asciiTheme="minorHAnsi" w:eastAsia="Times New Roman" w:hAnsiTheme="minorHAnsi"/>
                <w:iCs/>
                <w:color w:val="FFFFFF" w:themeColor="background1"/>
                <w:szCs w:val="17"/>
                <w:lang w:eastAsia="en-US"/>
              </w:rPr>
              <w:t>n/a</w:t>
            </w:r>
          </w:p>
        </w:tc>
        <w:tc>
          <w:tcPr>
            <w:tcW w:w="412" w:type="pct"/>
            <w:tcBorders>
              <w:bottom w:val="single" w:sz="4" w:space="0" w:color="auto"/>
            </w:tcBorders>
            <w:shd w:val="clear" w:color="auto" w:fill="auto"/>
          </w:tcPr>
          <w:p w:rsidR="00C807A2" w:rsidRPr="00053F63" w:rsidRDefault="00E90D5F" w:rsidP="007D17E7">
            <w:pPr>
              <w:keepLines/>
              <w:spacing w:before="40" w:after="40" w:line="200" w:lineRule="atLeast"/>
              <w:jc w:val="center"/>
              <w:rPr>
                <w:rFonts w:asciiTheme="minorHAnsi" w:eastAsia="Times New Roman" w:hAnsiTheme="minorHAnsi"/>
                <w:iCs/>
                <w:color w:val="FFFFFF" w:themeColor="background1"/>
                <w:szCs w:val="17"/>
                <w:lang w:eastAsia="en-US"/>
              </w:rPr>
            </w:pPr>
            <w:r w:rsidRPr="00053F63">
              <w:rPr>
                <w:rFonts w:asciiTheme="minorHAnsi" w:eastAsia="Times New Roman" w:hAnsiTheme="minorHAnsi"/>
                <w:iCs/>
                <w:color w:val="FFFFFF" w:themeColor="background1"/>
                <w:szCs w:val="17"/>
                <w:lang w:eastAsia="en-US"/>
              </w:rPr>
              <w:t>n/a</w:t>
            </w:r>
          </w:p>
        </w:tc>
      </w:tr>
      <w:tr w:rsidR="00C807A2" w:rsidRPr="00C61187" w:rsidTr="008F0CCA">
        <w:trPr>
          <w:cnfStyle w:val="000000010000" w:firstRow="0" w:lastRow="0" w:firstColumn="0" w:lastColumn="0" w:oddVBand="0" w:evenVBand="0" w:oddHBand="0" w:evenHBand="1" w:firstRowFirstColumn="0" w:firstRowLastColumn="0" w:lastRowFirstColumn="0" w:lastRowLastColumn="0"/>
          <w:trHeight w:val="284"/>
        </w:trPr>
        <w:tc>
          <w:tcPr>
            <w:tcW w:w="909" w:type="pct"/>
            <w:vMerge/>
            <w:tcBorders>
              <w:bottom w:val="single" w:sz="4" w:space="0" w:color="auto"/>
            </w:tcBorders>
          </w:tcPr>
          <w:p w:rsidR="00C807A2" w:rsidRPr="00A427C6" w:rsidRDefault="00C807A2" w:rsidP="007D17E7">
            <w:pPr>
              <w:keepLines/>
              <w:spacing w:before="40" w:after="40" w:line="200" w:lineRule="atLeast"/>
              <w:rPr>
                <w:rFonts w:asciiTheme="minorHAnsi" w:eastAsia="Times New Roman" w:hAnsiTheme="minorHAnsi"/>
                <w:iCs/>
                <w:szCs w:val="17"/>
                <w:lang w:eastAsia="en-US"/>
              </w:rPr>
            </w:pPr>
          </w:p>
        </w:tc>
        <w:tc>
          <w:tcPr>
            <w:tcW w:w="659" w:type="pct"/>
            <w:vMerge/>
            <w:tcBorders>
              <w:bottom w:val="single" w:sz="4" w:space="0" w:color="auto"/>
            </w:tcBorders>
          </w:tcPr>
          <w:p w:rsidR="00C807A2" w:rsidRPr="00A427C6" w:rsidRDefault="00C807A2" w:rsidP="007D17E7">
            <w:pPr>
              <w:keepLines/>
              <w:spacing w:before="40" w:after="40" w:line="200" w:lineRule="atLeast"/>
              <w:rPr>
                <w:rFonts w:asciiTheme="minorHAnsi" w:eastAsia="Times New Roman" w:hAnsiTheme="minorHAnsi"/>
                <w:iCs/>
                <w:szCs w:val="17"/>
                <w:lang w:eastAsia="en-US"/>
              </w:rPr>
            </w:pPr>
          </w:p>
        </w:tc>
        <w:tc>
          <w:tcPr>
            <w:tcW w:w="416" w:type="pct"/>
            <w:tcBorders>
              <w:bottom w:val="single" w:sz="4" w:space="0" w:color="auto"/>
            </w:tcBorders>
          </w:tcPr>
          <w:p w:rsidR="00C807A2" w:rsidRPr="00A427C6" w:rsidRDefault="00C807A2" w:rsidP="007D17E7">
            <w:pPr>
              <w:keepLines/>
              <w:spacing w:before="40" w:after="40" w:line="200" w:lineRule="atLeast"/>
              <w:rPr>
                <w:rFonts w:asciiTheme="minorHAnsi" w:eastAsia="Times New Roman" w:hAnsiTheme="minorHAnsi"/>
                <w:iCs/>
                <w:szCs w:val="17"/>
                <w:lang w:eastAsia="en-US"/>
              </w:rPr>
            </w:pPr>
          </w:p>
        </w:tc>
        <w:tc>
          <w:tcPr>
            <w:tcW w:w="418" w:type="pct"/>
            <w:tcBorders>
              <w:top w:val="single" w:sz="4" w:space="0" w:color="auto"/>
              <w:bottom w:val="single" w:sz="4" w:space="0" w:color="auto"/>
            </w:tcBorders>
            <w:shd w:val="clear" w:color="auto" w:fill="auto"/>
            <w:noWrap/>
          </w:tcPr>
          <w:p w:rsidR="00C807A2" w:rsidRPr="00A427C6" w:rsidRDefault="00C807A2" w:rsidP="007D17E7">
            <w:pPr>
              <w:keepLines/>
              <w:spacing w:before="40" w:after="40" w:line="200" w:lineRule="atLeast"/>
              <w:jc w:val="center"/>
              <w:rPr>
                <w:rFonts w:asciiTheme="minorHAnsi" w:eastAsia="Times New Roman" w:hAnsiTheme="minorHAnsi"/>
                <w:iCs/>
                <w:szCs w:val="17"/>
                <w:lang w:eastAsia="en-US"/>
              </w:rPr>
            </w:pPr>
          </w:p>
        </w:tc>
        <w:tc>
          <w:tcPr>
            <w:tcW w:w="415" w:type="pct"/>
            <w:tcBorders>
              <w:top w:val="single" w:sz="4" w:space="0" w:color="auto"/>
              <w:bottom w:val="single" w:sz="4" w:space="0" w:color="auto"/>
            </w:tcBorders>
            <w:shd w:val="clear" w:color="auto" w:fill="auto"/>
            <w:noWrap/>
          </w:tcPr>
          <w:p w:rsidR="00C807A2" w:rsidRPr="00A427C6" w:rsidRDefault="00C807A2" w:rsidP="007D17E7">
            <w:pPr>
              <w:keepLines/>
              <w:spacing w:before="40" w:after="40" w:line="200" w:lineRule="atLeast"/>
              <w:jc w:val="center"/>
              <w:rPr>
                <w:rFonts w:asciiTheme="minorHAnsi" w:eastAsia="Times New Roman" w:hAnsiTheme="minorHAnsi"/>
                <w:iCs/>
                <w:szCs w:val="17"/>
                <w:lang w:eastAsia="en-US"/>
              </w:rPr>
            </w:pPr>
          </w:p>
        </w:tc>
        <w:tc>
          <w:tcPr>
            <w:tcW w:w="418" w:type="pct"/>
            <w:tcBorders>
              <w:top w:val="single" w:sz="4" w:space="0" w:color="auto"/>
              <w:bottom w:val="single" w:sz="4" w:space="0" w:color="auto"/>
            </w:tcBorders>
            <w:shd w:val="clear" w:color="auto" w:fill="auto"/>
            <w:noWrap/>
          </w:tcPr>
          <w:p w:rsidR="00C807A2" w:rsidRPr="00A427C6" w:rsidRDefault="00C807A2" w:rsidP="007D17E7">
            <w:pPr>
              <w:keepLines/>
              <w:spacing w:before="40" w:after="40" w:line="200" w:lineRule="atLeast"/>
              <w:jc w:val="center"/>
              <w:rPr>
                <w:rFonts w:asciiTheme="minorHAnsi" w:eastAsia="Times New Roman" w:hAnsiTheme="minorHAnsi"/>
                <w:iCs/>
                <w:szCs w:val="17"/>
                <w:lang w:eastAsia="en-US"/>
              </w:rPr>
            </w:pPr>
          </w:p>
        </w:tc>
        <w:tc>
          <w:tcPr>
            <w:tcW w:w="415" w:type="pct"/>
            <w:tcBorders>
              <w:top w:val="single" w:sz="4" w:space="0" w:color="auto"/>
              <w:bottom w:val="single" w:sz="4" w:space="0" w:color="auto"/>
            </w:tcBorders>
            <w:shd w:val="clear" w:color="auto" w:fill="auto"/>
            <w:noWrap/>
          </w:tcPr>
          <w:p w:rsidR="00C807A2" w:rsidRPr="00A427C6" w:rsidRDefault="00C807A2" w:rsidP="007D17E7">
            <w:pPr>
              <w:keepLines/>
              <w:spacing w:before="40" w:after="40" w:line="200" w:lineRule="atLeast"/>
              <w:jc w:val="center"/>
              <w:rPr>
                <w:rFonts w:asciiTheme="minorHAnsi" w:eastAsia="Times New Roman" w:hAnsiTheme="minorHAnsi"/>
                <w:iCs/>
                <w:szCs w:val="17"/>
                <w:lang w:eastAsia="en-US"/>
              </w:rPr>
            </w:pPr>
          </w:p>
        </w:tc>
        <w:tc>
          <w:tcPr>
            <w:tcW w:w="418" w:type="pct"/>
            <w:tcBorders>
              <w:top w:val="single" w:sz="4" w:space="0" w:color="auto"/>
              <w:bottom w:val="single" w:sz="4" w:space="0" w:color="auto"/>
            </w:tcBorders>
            <w:shd w:val="clear" w:color="auto" w:fill="auto"/>
            <w:noWrap/>
          </w:tcPr>
          <w:p w:rsidR="00C807A2" w:rsidRPr="00A427C6" w:rsidRDefault="00C807A2" w:rsidP="007D17E7">
            <w:pPr>
              <w:keepLines/>
              <w:spacing w:before="40" w:after="40" w:line="200" w:lineRule="atLeast"/>
              <w:jc w:val="center"/>
              <w:rPr>
                <w:rFonts w:asciiTheme="minorHAnsi" w:eastAsia="Times New Roman" w:hAnsiTheme="minorHAnsi"/>
                <w:iCs/>
                <w:szCs w:val="17"/>
                <w:lang w:eastAsia="en-US"/>
              </w:rPr>
            </w:pPr>
          </w:p>
        </w:tc>
        <w:tc>
          <w:tcPr>
            <w:tcW w:w="415" w:type="pct"/>
            <w:tcBorders>
              <w:top w:val="single" w:sz="4" w:space="0" w:color="auto"/>
              <w:bottom w:val="single" w:sz="4" w:space="0" w:color="auto"/>
            </w:tcBorders>
            <w:shd w:val="clear" w:color="auto" w:fill="auto"/>
            <w:noWrap/>
          </w:tcPr>
          <w:p w:rsidR="00C807A2" w:rsidRPr="00A427C6" w:rsidRDefault="00C807A2" w:rsidP="007D17E7">
            <w:pPr>
              <w:keepLines/>
              <w:spacing w:before="40" w:after="40" w:line="200" w:lineRule="atLeast"/>
              <w:jc w:val="center"/>
              <w:rPr>
                <w:rFonts w:asciiTheme="minorHAnsi" w:eastAsia="Times New Roman" w:hAnsiTheme="minorHAnsi"/>
                <w:iCs/>
                <w:szCs w:val="17"/>
                <w:lang w:eastAsia="en-US"/>
              </w:rPr>
            </w:pPr>
          </w:p>
        </w:tc>
        <w:tc>
          <w:tcPr>
            <w:tcW w:w="412" w:type="pct"/>
            <w:tcBorders>
              <w:top w:val="single" w:sz="4" w:space="0" w:color="auto"/>
              <w:bottom w:val="single" w:sz="4" w:space="0" w:color="auto"/>
            </w:tcBorders>
            <w:shd w:val="clear" w:color="auto" w:fill="auto"/>
          </w:tcPr>
          <w:p w:rsidR="00C807A2" w:rsidRPr="00A427C6" w:rsidRDefault="00C807A2" w:rsidP="007D17E7">
            <w:pPr>
              <w:keepLines/>
              <w:spacing w:before="40" w:after="40" w:line="200" w:lineRule="atLeast"/>
              <w:jc w:val="center"/>
              <w:rPr>
                <w:rFonts w:asciiTheme="minorHAnsi" w:eastAsia="Times New Roman" w:hAnsiTheme="minorHAnsi"/>
                <w:iCs/>
                <w:szCs w:val="17"/>
                <w:lang w:eastAsia="en-US"/>
              </w:rPr>
            </w:pPr>
          </w:p>
        </w:tc>
      </w:tr>
      <w:tr w:rsidR="00C807A2" w:rsidRPr="00C61187" w:rsidTr="00113887">
        <w:trPr>
          <w:cnfStyle w:val="000000010000" w:firstRow="0" w:lastRow="0" w:firstColumn="0" w:lastColumn="0" w:oddVBand="0" w:evenVBand="0" w:oddHBand="0" w:evenHBand="1" w:firstRowFirstColumn="0" w:firstRowLastColumn="0" w:lastRowFirstColumn="0" w:lastRowLastColumn="0"/>
          <w:trHeight w:val="284"/>
        </w:trPr>
        <w:tc>
          <w:tcPr>
            <w:tcW w:w="909" w:type="pct"/>
            <w:tcBorders>
              <w:bottom w:val="single" w:sz="12" w:space="0" w:color="000000" w:themeColor="text1"/>
            </w:tcBorders>
          </w:tcPr>
          <w:p w:rsidR="00C807A2" w:rsidRPr="00A427C6" w:rsidRDefault="00C807A2" w:rsidP="006F27B1">
            <w:pPr>
              <w:keepLines/>
              <w:spacing w:before="40" w:after="40" w:line="200" w:lineRule="atLeast"/>
              <w:rPr>
                <w:rFonts w:eastAsia="Times New Roman"/>
                <w:iCs/>
                <w:szCs w:val="17"/>
              </w:rPr>
            </w:pPr>
          </w:p>
        </w:tc>
        <w:tc>
          <w:tcPr>
            <w:tcW w:w="659" w:type="pct"/>
            <w:tcBorders>
              <w:bottom w:val="single" w:sz="12" w:space="0" w:color="000000" w:themeColor="text1"/>
            </w:tcBorders>
          </w:tcPr>
          <w:p w:rsidR="00C807A2" w:rsidRPr="00A427C6" w:rsidRDefault="00C807A2" w:rsidP="006F27B1">
            <w:pPr>
              <w:keepLines/>
              <w:spacing w:before="40" w:after="40" w:line="200" w:lineRule="atLeast"/>
              <w:rPr>
                <w:rFonts w:eastAsia="Times New Roman"/>
                <w:iCs/>
                <w:szCs w:val="17"/>
              </w:rPr>
            </w:pPr>
          </w:p>
        </w:tc>
        <w:tc>
          <w:tcPr>
            <w:tcW w:w="416" w:type="pct"/>
            <w:tcBorders>
              <w:bottom w:val="single" w:sz="12" w:space="0" w:color="000000" w:themeColor="text1"/>
            </w:tcBorders>
          </w:tcPr>
          <w:p w:rsidR="00C807A2" w:rsidRPr="004954A4" w:rsidRDefault="00C807A2" w:rsidP="006F27B1">
            <w:pPr>
              <w:keepLines/>
              <w:spacing w:before="40" w:after="40" w:line="200" w:lineRule="atLeast"/>
            </w:pPr>
          </w:p>
        </w:tc>
        <w:tc>
          <w:tcPr>
            <w:tcW w:w="418" w:type="pct"/>
            <w:tcBorders>
              <w:bottom w:val="single" w:sz="12" w:space="0" w:color="000000" w:themeColor="text1"/>
            </w:tcBorders>
            <w:noWrap/>
          </w:tcPr>
          <w:p w:rsidR="00C807A2" w:rsidRPr="00A427C6" w:rsidRDefault="00C807A2" w:rsidP="006F27B1">
            <w:pPr>
              <w:keepLines/>
              <w:spacing w:before="40" w:after="40" w:line="200" w:lineRule="atLeast"/>
              <w:jc w:val="center"/>
              <w:rPr>
                <w:rFonts w:eastAsia="Times New Roman"/>
                <w:iCs/>
                <w:szCs w:val="17"/>
              </w:rPr>
            </w:pPr>
          </w:p>
        </w:tc>
        <w:tc>
          <w:tcPr>
            <w:tcW w:w="415" w:type="pct"/>
            <w:tcBorders>
              <w:bottom w:val="single" w:sz="12" w:space="0" w:color="000000" w:themeColor="text1"/>
            </w:tcBorders>
            <w:noWrap/>
          </w:tcPr>
          <w:p w:rsidR="00C807A2" w:rsidRPr="00A427C6" w:rsidRDefault="00C807A2" w:rsidP="006F27B1">
            <w:pPr>
              <w:keepLines/>
              <w:spacing w:before="40" w:after="40" w:line="200" w:lineRule="atLeast"/>
              <w:jc w:val="center"/>
              <w:rPr>
                <w:rFonts w:eastAsia="Times New Roman"/>
                <w:iCs/>
                <w:szCs w:val="17"/>
              </w:rPr>
            </w:pPr>
          </w:p>
        </w:tc>
        <w:tc>
          <w:tcPr>
            <w:tcW w:w="418" w:type="pct"/>
            <w:tcBorders>
              <w:bottom w:val="single" w:sz="12" w:space="0" w:color="000000" w:themeColor="text1"/>
            </w:tcBorders>
            <w:noWrap/>
          </w:tcPr>
          <w:p w:rsidR="00C807A2" w:rsidRPr="00A427C6" w:rsidRDefault="00C807A2" w:rsidP="006F27B1">
            <w:pPr>
              <w:keepLines/>
              <w:spacing w:before="40" w:after="40" w:line="200" w:lineRule="atLeast"/>
              <w:jc w:val="center"/>
              <w:rPr>
                <w:rFonts w:eastAsia="Times New Roman"/>
                <w:iCs/>
                <w:szCs w:val="17"/>
              </w:rPr>
            </w:pPr>
          </w:p>
        </w:tc>
        <w:tc>
          <w:tcPr>
            <w:tcW w:w="415" w:type="pct"/>
            <w:tcBorders>
              <w:bottom w:val="single" w:sz="12" w:space="0" w:color="000000" w:themeColor="text1"/>
            </w:tcBorders>
            <w:noWrap/>
          </w:tcPr>
          <w:p w:rsidR="00C807A2" w:rsidRPr="00A427C6" w:rsidRDefault="00C807A2" w:rsidP="006F27B1">
            <w:pPr>
              <w:keepLines/>
              <w:spacing w:before="40" w:after="40" w:line="200" w:lineRule="atLeast"/>
              <w:jc w:val="center"/>
              <w:rPr>
                <w:rFonts w:eastAsia="Times New Roman"/>
                <w:iCs/>
                <w:szCs w:val="17"/>
              </w:rPr>
            </w:pPr>
          </w:p>
        </w:tc>
        <w:tc>
          <w:tcPr>
            <w:tcW w:w="418" w:type="pct"/>
            <w:tcBorders>
              <w:bottom w:val="single" w:sz="12" w:space="0" w:color="000000" w:themeColor="text1"/>
            </w:tcBorders>
            <w:noWrap/>
          </w:tcPr>
          <w:p w:rsidR="00C807A2" w:rsidRPr="00A427C6" w:rsidRDefault="00C807A2" w:rsidP="006F27B1">
            <w:pPr>
              <w:keepLines/>
              <w:spacing w:before="40" w:after="40" w:line="200" w:lineRule="atLeast"/>
              <w:jc w:val="center"/>
              <w:rPr>
                <w:rFonts w:eastAsia="Times New Roman"/>
                <w:iCs/>
                <w:szCs w:val="17"/>
              </w:rPr>
            </w:pPr>
          </w:p>
        </w:tc>
        <w:tc>
          <w:tcPr>
            <w:tcW w:w="415" w:type="pct"/>
            <w:tcBorders>
              <w:bottom w:val="single" w:sz="12" w:space="0" w:color="000000" w:themeColor="text1"/>
            </w:tcBorders>
            <w:noWrap/>
          </w:tcPr>
          <w:p w:rsidR="00C807A2" w:rsidRPr="00A427C6" w:rsidRDefault="00C807A2" w:rsidP="006F27B1">
            <w:pPr>
              <w:keepLines/>
              <w:spacing w:before="40" w:after="40" w:line="200" w:lineRule="atLeast"/>
              <w:jc w:val="center"/>
              <w:rPr>
                <w:rFonts w:eastAsia="Times New Roman"/>
                <w:iCs/>
                <w:szCs w:val="17"/>
              </w:rPr>
            </w:pPr>
          </w:p>
        </w:tc>
        <w:tc>
          <w:tcPr>
            <w:tcW w:w="412" w:type="pct"/>
            <w:tcBorders>
              <w:bottom w:val="single" w:sz="12" w:space="0" w:color="000000" w:themeColor="text1"/>
            </w:tcBorders>
          </w:tcPr>
          <w:p w:rsidR="00C807A2" w:rsidRPr="00A427C6" w:rsidRDefault="00C807A2" w:rsidP="006F27B1">
            <w:pPr>
              <w:keepLines/>
              <w:spacing w:before="40" w:after="40" w:line="200" w:lineRule="atLeast"/>
              <w:jc w:val="center"/>
              <w:rPr>
                <w:rFonts w:eastAsia="Times New Roman"/>
                <w:iCs/>
                <w:szCs w:val="17"/>
              </w:rPr>
            </w:pPr>
          </w:p>
        </w:tc>
      </w:tr>
    </w:tbl>
    <w:p w:rsidR="00400B0F" w:rsidRPr="00C61187" w:rsidRDefault="00400B0F" w:rsidP="00400B0F">
      <w:pPr>
        <w:rPr>
          <w:iCs/>
        </w:rPr>
      </w:pPr>
    </w:p>
    <w:p w:rsidR="00A56F14" w:rsidRDefault="00A56F14" w:rsidP="00400B0F">
      <w:pPr>
        <w:keepNext/>
        <w:numPr>
          <w:ilvl w:val="2"/>
          <w:numId w:val="0"/>
        </w:numPr>
        <w:spacing w:before="240" w:after="120"/>
        <w:outlineLvl w:val="2"/>
        <w:rPr>
          <w:rFonts w:ascii="Helvetica" w:eastAsia="Times New Roman" w:hAnsi="Helvetica" w:cs="Arial"/>
          <w:b/>
          <w:color w:val="124486"/>
          <w:kern w:val="28"/>
          <w:lang w:eastAsia="zh-CN"/>
        </w:rPr>
      </w:pPr>
    </w:p>
    <w:p w:rsidR="00400B0F" w:rsidRDefault="00400B0F" w:rsidP="00400B0F">
      <w:pPr>
        <w:keepNext/>
        <w:numPr>
          <w:ilvl w:val="2"/>
          <w:numId w:val="0"/>
        </w:numPr>
        <w:spacing w:before="240" w:after="120"/>
        <w:outlineLvl w:val="2"/>
        <w:rPr>
          <w:rFonts w:ascii="Helvetica" w:eastAsia="Times New Roman" w:hAnsi="Helvetica" w:cs="Arial"/>
          <w:b/>
          <w:color w:val="124486"/>
          <w:kern w:val="28"/>
          <w:lang w:eastAsia="zh-CN"/>
        </w:rPr>
      </w:pPr>
    </w:p>
    <w:p w:rsidR="00400B0F" w:rsidRDefault="00400B0F" w:rsidP="00400B0F">
      <w:pPr>
        <w:keepNext/>
        <w:numPr>
          <w:ilvl w:val="2"/>
          <w:numId w:val="0"/>
        </w:numPr>
        <w:spacing w:before="240" w:after="120"/>
        <w:outlineLvl w:val="2"/>
        <w:rPr>
          <w:rFonts w:ascii="Helvetica" w:eastAsia="Times New Roman" w:hAnsi="Helvetica" w:cs="Arial"/>
          <w:b/>
          <w:color w:val="124486"/>
          <w:kern w:val="28"/>
          <w:lang w:eastAsia="zh-CN"/>
        </w:rPr>
      </w:pPr>
    </w:p>
    <w:p w:rsidR="00A56F14" w:rsidRDefault="00A56F14" w:rsidP="00A56F14"/>
    <w:p w:rsidR="00400B0F" w:rsidRDefault="00400B0F">
      <w:pPr>
        <w:suppressAutoHyphens w:val="0"/>
        <w:spacing w:before="0" w:after="120" w:line="440" w:lineRule="atLeast"/>
      </w:pPr>
      <w:r>
        <w:br w:type="page"/>
      </w:r>
    </w:p>
    <w:p w:rsidR="00400B0F" w:rsidRPr="00C61187" w:rsidRDefault="00400B0F" w:rsidP="00400B0F">
      <w:pPr>
        <w:keepNext/>
        <w:numPr>
          <w:ilvl w:val="2"/>
          <w:numId w:val="0"/>
        </w:numPr>
        <w:spacing w:before="240" w:after="120"/>
        <w:outlineLvl w:val="2"/>
        <w:rPr>
          <w:rFonts w:ascii="Helvetica" w:eastAsia="Times New Roman" w:hAnsi="Helvetica" w:cs="Arial"/>
          <w:b/>
          <w:color w:val="124486"/>
          <w:kern w:val="28"/>
          <w:lang w:eastAsia="zh-CN"/>
        </w:rPr>
      </w:pPr>
      <w:r w:rsidRPr="00784031">
        <w:rPr>
          <w:rFonts w:asciiTheme="majorHAnsi" w:eastAsiaTheme="majorEastAsia" w:hAnsiTheme="majorHAnsi" w:cstheme="majorBidi"/>
          <w:caps/>
          <w:sz w:val="38"/>
          <w:szCs w:val="26"/>
        </w:rPr>
        <w:t>FAQC ratings</w:t>
      </w:r>
      <w:r w:rsidRPr="00C61187">
        <w:rPr>
          <w:rFonts w:ascii="Helvetica" w:eastAsia="Times New Roman" w:hAnsi="Helvetica" w:cs="Arial"/>
          <w:b/>
          <w:color w:val="124486"/>
          <w:kern w:val="28"/>
          <w:lang w:eastAsia="zh-CN"/>
        </w:rPr>
        <w:t xml:space="preserve"> </w:t>
      </w:r>
      <w:r w:rsidRPr="004E0264">
        <w:t>(include if relevant)</w:t>
      </w:r>
    </w:p>
    <w:p w:rsidR="00400B0F" w:rsidRPr="00C61187" w:rsidRDefault="00400B0F" w:rsidP="00784031">
      <w:r w:rsidRPr="00C61187">
        <w:t>Final AQCs assess performance over the lifetime of the investment (ratings are not compared to previous years).</w:t>
      </w:r>
    </w:p>
    <w:tbl>
      <w:tblPr>
        <w:tblStyle w:val="APPR"/>
        <w:tblW w:w="5000" w:type="pct"/>
        <w:tblLook w:val="0000" w:firstRow="0" w:lastRow="0" w:firstColumn="0" w:lastColumn="0" w:noHBand="0" w:noVBand="0"/>
      </w:tblPr>
      <w:tblGrid>
        <w:gridCol w:w="2711"/>
        <w:gridCol w:w="1970"/>
        <w:gridCol w:w="1258"/>
        <w:gridCol w:w="1255"/>
        <w:gridCol w:w="1258"/>
        <w:gridCol w:w="1255"/>
        <w:gridCol w:w="1257"/>
        <w:gridCol w:w="1254"/>
        <w:gridCol w:w="1257"/>
        <w:gridCol w:w="1257"/>
      </w:tblGrid>
      <w:tr w:rsidR="00400B0F" w:rsidRPr="00C61187" w:rsidTr="006F27B1">
        <w:trPr>
          <w:cnfStyle w:val="000000010000" w:firstRow="0" w:lastRow="0" w:firstColumn="0" w:lastColumn="0" w:oddVBand="0" w:evenVBand="0" w:oddHBand="0" w:evenHBand="1" w:firstRowFirstColumn="0" w:firstRowLastColumn="0" w:lastRowFirstColumn="0" w:lastRowLastColumn="0"/>
          <w:trHeight w:val="1505"/>
        </w:trPr>
        <w:tc>
          <w:tcPr>
            <w:tcW w:w="905" w:type="pct"/>
          </w:tcPr>
          <w:p w:rsidR="00400B0F" w:rsidRPr="00A427C6" w:rsidRDefault="00400B0F" w:rsidP="006F27B1">
            <w:pPr>
              <w:keepLines/>
              <w:spacing w:before="80" w:after="80" w:line="200" w:lineRule="atLeast"/>
              <w:rPr>
                <w:rFonts w:asciiTheme="minorHAnsi" w:eastAsia="Times New Roman" w:hAnsiTheme="minorHAnsi"/>
                <w:b/>
                <w:iCs/>
                <w:szCs w:val="17"/>
                <w:lang w:eastAsia="en-US"/>
              </w:rPr>
            </w:pPr>
            <w:r w:rsidRPr="00A427C6">
              <w:rPr>
                <w:rFonts w:eastAsia="Times New Roman"/>
                <w:b/>
                <w:iCs/>
                <w:noProof/>
                <w:szCs w:val="17"/>
                <w:lang w:val="en-AU"/>
              </w:rPr>
              <w:drawing>
                <wp:anchor distT="0" distB="0" distL="114300" distR="114300" simplePos="0" relativeHeight="251679744" behindDoc="0" locked="0" layoutInCell="1" allowOverlap="1" wp14:anchorId="4EC4842D" wp14:editId="640F903B">
                  <wp:simplePos x="0" y="0"/>
                  <wp:positionH relativeFrom="column">
                    <wp:posOffset>0</wp:posOffset>
                  </wp:positionH>
                  <wp:positionV relativeFrom="paragraph">
                    <wp:posOffset>0</wp:posOffset>
                  </wp:positionV>
                  <wp:extent cx="1857375" cy="228600"/>
                  <wp:effectExtent l="0" t="0" r="9525" b="0"/>
                  <wp:wrapNone/>
                  <wp:docPr id="5" name="Picture 5"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27C6">
              <w:rPr>
                <w:rFonts w:asciiTheme="minorHAnsi" w:eastAsia="Times New Roman" w:hAnsiTheme="minorHAnsi"/>
                <w:b/>
                <w:iCs/>
                <w:szCs w:val="17"/>
                <w:lang w:eastAsia="en-US"/>
              </w:rPr>
              <w:t>Investment name</w:t>
            </w:r>
          </w:p>
        </w:tc>
        <w:tc>
          <w:tcPr>
            <w:tcW w:w="658" w:type="pct"/>
            <w:textDirection w:val="btLr"/>
          </w:tcPr>
          <w:p w:rsidR="00400B0F" w:rsidRPr="00A427C6" w:rsidRDefault="00400B0F" w:rsidP="006F27B1">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Approved budget and duration</w:t>
            </w:r>
          </w:p>
        </w:tc>
        <w:tc>
          <w:tcPr>
            <w:tcW w:w="417" w:type="pct"/>
            <w:noWrap/>
            <w:textDirection w:val="btLr"/>
          </w:tcPr>
          <w:p w:rsidR="00400B0F" w:rsidRPr="00A427C6" w:rsidRDefault="00400B0F" w:rsidP="006F27B1">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Overall rating</w:t>
            </w:r>
          </w:p>
        </w:tc>
        <w:tc>
          <w:tcPr>
            <w:tcW w:w="416" w:type="pct"/>
            <w:noWrap/>
            <w:textDirection w:val="btLr"/>
          </w:tcPr>
          <w:p w:rsidR="00400B0F" w:rsidRPr="00A427C6" w:rsidRDefault="00400B0F" w:rsidP="006F27B1">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Relevance</w:t>
            </w:r>
          </w:p>
        </w:tc>
        <w:tc>
          <w:tcPr>
            <w:tcW w:w="417" w:type="pct"/>
            <w:noWrap/>
            <w:textDirection w:val="btLr"/>
          </w:tcPr>
          <w:p w:rsidR="00400B0F" w:rsidRPr="00A427C6" w:rsidRDefault="00400B0F" w:rsidP="006F27B1">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Effectiveness</w:t>
            </w:r>
          </w:p>
        </w:tc>
        <w:tc>
          <w:tcPr>
            <w:tcW w:w="416" w:type="pct"/>
            <w:noWrap/>
            <w:textDirection w:val="btLr"/>
          </w:tcPr>
          <w:p w:rsidR="00400B0F" w:rsidRPr="00A427C6" w:rsidRDefault="00400B0F" w:rsidP="006F27B1">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Efficiency</w:t>
            </w:r>
          </w:p>
        </w:tc>
        <w:tc>
          <w:tcPr>
            <w:tcW w:w="417" w:type="pct"/>
            <w:noWrap/>
            <w:textDirection w:val="btLr"/>
          </w:tcPr>
          <w:p w:rsidR="00400B0F" w:rsidRPr="00A427C6" w:rsidRDefault="00400B0F" w:rsidP="006F27B1">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Monitoring and Evaluation</w:t>
            </w:r>
          </w:p>
        </w:tc>
        <w:tc>
          <w:tcPr>
            <w:tcW w:w="416" w:type="pct"/>
            <w:noWrap/>
            <w:textDirection w:val="btLr"/>
          </w:tcPr>
          <w:p w:rsidR="00400B0F" w:rsidRPr="00A427C6" w:rsidRDefault="00400B0F" w:rsidP="006F27B1">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Sustainability</w:t>
            </w:r>
          </w:p>
        </w:tc>
        <w:tc>
          <w:tcPr>
            <w:tcW w:w="417" w:type="pct"/>
            <w:textDirection w:val="btLr"/>
          </w:tcPr>
          <w:p w:rsidR="00400B0F" w:rsidRPr="00A427C6" w:rsidRDefault="00400B0F" w:rsidP="006F27B1">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Gender equality</w:t>
            </w:r>
          </w:p>
        </w:tc>
        <w:tc>
          <w:tcPr>
            <w:tcW w:w="412" w:type="pct"/>
            <w:textDirection w:val="btLr"/>
          </w:tcPr>
          <w:p w:rsidR="00400B0F" w:rsidRPr="00A427C6" w:rsidRDefault="00400B0F" w:rsidP="006F27B1">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Risks  and Safeguards</w:t>
            </w:r>
          </w:p>
        </w:tc>
      </w:tr>
      <w:tr w:rsidR="00400B0F" w:rsidRPr="00C61187" w:rsidTr="00053F63">
        <w:trPr>
          <w:cnfStyle w:val="000000010000" w:firstRow="0" w:lastRow="0" w:firstColumn="0" w:lastColumn="0" w:oddVBand="0" w:evenVBand="0" w:oddHBand="0" w:evenHBand="1" w:firstRowFirstColumn="0" w:firstRowLastColumn="0" w:lastRowFirstColumn="0" w:lastRowLastColumn="0"/>
          <w:trHeight w:val="284"/>
        </w:trPr>
        <w:tc>
          <w:tcPr>
            <w:tcW w:w="905" w:type="pct"/>
          </w:tcPr>
          <w:p w:rsidR="00400B0F" w:rsidRPr="00A427C6" w:rsidRDefault="009C6614" w:rsidP="006F27B1">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TVET Phase 3</w:t>
            </w:r>
          </w:p>
        </w:tc>
        <w:tc>
          <w:tcPr>
            <w:tcW w:w="658" w:type="pct"/>
          </w:tcPr>
          <w:p w:rsidR="00400B0F" w:rsidRPr="00A427C6" w:rsidRDefault="00400B0F" w:rsidP="006F27B1">
            <w:pPr>
              <w:autoSpaceDE w:val="0"/>
              <w:autoSpaceDN w:val="0"/>
              <w:adjustRightInd w:val="0"/>
              <w:rPr>
                <w:rFonts w:asciiTheme="minorHAnsi" w:hAnsiTheme="minorHAnsi" w:cs="Franklin Gothic Book"/>
                <w:color w:val="000000"/>
                <w:szCs w:val="17"/>
              </w:rPr>
            </w:pPr>
            <w:r w:rsidRPr="00A427C6">
              <w:rPr>
                <w:rFonts w:asciiTheme="minorHAnsi" w:hAnsiTheme="minorHAnsi" w:cs="Franklin Gothic Book"/>
                <w:color w:val="000000"/>
                <w:szCs w:val="17"/>
              </w:rPr>
              <w:t>$</w:t>
            </w:r>
            <w:r w:rsidR="009C6614">
              <w:rPr>
                <w:rFonts w:asciiTheme="minorHAnsi" w:hAnsiTheme="minorHAnsi" w:cs="Franklin Gothic Book"/>
                <w:color w:val="000000"/>
                <w:szCs w:val="17"/>
              </w:rPr>
              <w:t>11</w:t>
            </w:r>
            <w:r w:rsidRPr="00A427C6">
              <w:rPr>
                <w:rFonts w:asciiTheme="minorHAnsi" w:hAnsiTheme="minorHAnsi" w:cs="Franklin Gothic Book"/>
                <w:color w:val="000000"/>
                <w:szCs w:val="17"/>
              </w:rPr>
              <w:t xml:space="preserve">m </w:t>
            </w:r>
          </w:p>
          <w:p w:rsidR="00400B0F" w:rsidRPr="00A427C6" w:rsidRDefault="00400B0F" w:rsidP="009C6614">
            <w:pPr>
              <w:keepLines/>
              <w:spacing w:before="40" w:after="40"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2011-</w:t>
            </w:r>
            <w:r w:rsidR="009C6614" w:rsidRPr="00A427C6">
              <w:rPr>
                <w:rFonts w:asciiTheme="minorHAnsi" w:eastAsia="Times New Roman" w:hAnsiTheme="minorHAnsi"/>
                <w:iCs/>
                <w:szCs w:val="17"/>
                <w:lang w:eastAsia="en-US"/>
              </w:rPr>
              <w:t>1</w:t>
            </w:r>
            <w:r w:rsidR="009C6614">
              <w:rPr>
                <w:rFonts w:asciiTheme="minorHAnsi" w:eastAsia="Times New Roman" w:hAnsiTheme="minorHAnsi"/>
                <w:iCs/>
                <w:szCs w:val="17"/>
                <w:lang w:eastAsia="en-US"/>
              </w:rPr>
              <w:t>6</w:t>
            </w:r>
            <w:r w:rsidR="009C6614" w:rsidRPr="00A427C6">
              <w:rPr>
                <w:rFonts w:asciiTheme="minorHAnsi" w:eastAsia="Times New Roman" w:hAnsiTheme="minorHAnsi"/>
                <w:iCs/>
                <w:szCs w:val="17"/>
                <w:lang w:eastAsia="en-US"/>
              </w:rPr>
              <w:t xml:space="preserve"> </w:t>
            </w:r>
          </w:p>
        </w:tc>
        <w:tc>
          <w:tcPr>
            <w:tcW w:w="417" w:type="pct"/>
            <w:shd w:val="clear" w:color="auto" w:fill="009900"/>
            <w:noWrap/>
          </w:tcPr>
          <w:p w:rsidR="00400B0F" w:rsidRPr="00A427C6" w:rsidRDefault="009C6614" w:rsidP="006F27B1">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6</w:t>
            </w:r>
          </w:p>
        </w:tc>
        <w:tc>
          <w:tcPr>
            <w:tcW w:w="416" w:type="pct"/>
            <w:shd w:val="clear" w:color="auto" w:fill="009900"/>
            <w:noWrap/>
          </w:tcPr>
          <w:p w:rsidR="00400B0F" w:rsidRPr="00A427C6" w:rsidRDefault="009C6614" w:rsidP="006F27B1">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6</w:t>
            </w:r>
          </w:p>
        </w:tc>
        <w:tc>
          <w:tcPr>
            <w:tcW w:w="417" w:type="pct"/>
            <w:shd w:val="clear" w:color="auto" w:fill="009900"/>
            <w:noWrap/>
          </w:tcPr>
          <w:p w:rsidR="00400B0F" w:rsidRPr="00A427C6" w:rsidRDefault="009C6614" w:rsidP="006F27B1">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6</w:t>
            </w:r>
          </w:p>
        </w:tc>
        <w:tc>
          <w:tcPr>
            <w:tcW w:w="416" w:type="pct"/>
            <w:shd w:val="clear" w:color="auto" w:fill="009900"/>
            <w:noWrap/>
          </w:tcPr>
          <w:p w:rsidR="00400B0F" w:rsidRPr="00A427C6" w:rsidRDefault="009C6614" w:rsidP="006F27B1">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7" w:type="pct"/>
            <w:shd w:val="clear" w:color="auto" w:fill="009900"/>
            <w:noWrap/>
          </w:tcPr>
          <w:p w:rsidR="00400B0F" w:rsidRPr="00A427C6" w:rsidRDefault="009C6614" w:rsidP="006F27B1">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6" w:type="pct"/>
            <w:shd w:val="clear" w:color="auto" w:fill="009900"/>
            <w:noWrap/>
          </w:tcPr>
          <w:p w:rsidR="00400B0F" w:rsidRPr="00A427C6" w:rsidRDefault="009C6614" w:rsidP="006F27B1">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7" w:type="pct"/>
            <w:shd w:val="clear" w:color="auto" w:fill="009900"/>
          </w:tcPr>
          <w:p w:rsidR="00400B0F" w:rsidRPr="00A427C6" w:rsidRDefault="009C6614" w:rsidP="006F27B1">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6</w:t>
            </w:r>
          </w:p>
        </w:tc>
        <w:tc>
          <w:tcPr>
            <w:tcW w:w="412" w:type="pct"/>
            <w:shd w:val="clear" w:color="auto" w:fill="009900"/>
          </w:tcPr>
          <w:p w:rsidR="00400B0F" w:rsidRPr="00A427C6" w:rsidRDefault="009C6614" w:rsidP="006F27B1">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r>
      <w:tr w:rsidR="009C6614" w:rsidRPr="00C61187" w:rsidTr="00053F63">
        <w:trPr>
          <w:cnfStyle w:val="000000010000" w:firstRow="0" w:lastRow="0" w:firstColumn="0" w:lastColumn="0" w:oddVBand="0" w:evenVBand="0" w:oddHBand="0" w:evenHBand="1" w:firstRowFirstColumn="0" w:firstRowLastColumn="0" w:lastRowFirstColumn="0" w:lastRowLastColumn="0"/>
          <w:trHeight w:val="284"/>
        </w:trPr>
        <w:tc>
          <w:tcPr>
            <w:tcW w:w="905" w:type="pct"/>
          </w:tcPr>
          <w:p w:rsidR="009C6614" w:rsidRPr="00A427C6" w:rsidRDefault="009C6614" w:rsidP="006F27B1">
            <w:pPr>
              <w:keepLines/>
              <w:spacing w:before="40" w:after="40" w:line="200" w:lineRule="atLeast"/>
              <w:rPr>
                <w:rFonts w:eastAsia="Times New Roman"/>
                <w:iCs/>
                <w:szCs w:val="17"/>
              </w:rPr>
            </w:pPr>
            <w:r w:rsidRPr="00307A9A">
              <w:rPr>
                <w:rFonts w:asciiTheme="minorHAnsi" w:eastAsia="Times New Roman" w:hAnsiTheme="minorHAnsi"/>
                <w:iCs/>
                <w:szCs w:val="17"/>
                <w:lang w:eastAsia="en-US"/>
              </w:rPr>
              <w:t>Land</w:t>
            </w:r>
          </w:p>
        </w:tc>
        <w:tc>
          <w:tcPr>
            <w:tcW w:w="658" w:type="pct"/>
          </w:tcPr>
          <w:p w:rsidR="009C6614" w:rsidRPr="00307A9A" w:rsidRDefault="00307A9A" w:rsidP="006F27B1">
            <w:pPr>
              <w:autoSpaceDE w:val="0"/>
              <w:autoSpaceDN w:val="0"/>
              <w:adjustRightInd w:val="0"/>
              <w:rPr>
                <w:rFonts w:asciiTheme="minorHAnsi" w:hAnsiTheme="minorHAnsi" w:cs="Franklin Gothic Book"/>
                <w:color w:val="000000"/>
                <w:szCs w:val="17"/>
              </w:rPr>
            </w:pPr>
            <w:r w:rsidRPr="00307A9A">
              <w:rPr>
                <w:rFonts w:asciiTheme="minorHAnsi" w:hAnsiTheme="minorHAnsi" w:cs="Franklin Gothic Book"/>
                <w:color w:val="000000"/>
                <w:szCs w:val="17"/>
              </w:rPr>
              <w:t>$11.8m</w:t>
            </w:r>
          </w:p>
          <w:p w:rsidR="00307A9A" w:rsidRPr="00A427C6" w:rsidRDefault="00307A9A" w:rsidP="00307A9A">
            <w:pPr>
              <w:keepLines/>
              <w:spacing w:before="40" w:after="40" w:line="200" w:lineRule="atLeast"/>
              <w:rPr>
                <w:rFonts w:cs="Franklin Gothic Book"/>
                <w:color w:val="000000"/>
                <w:szCs w:val="17"/>
              </w:rPr>
            </w:pPr>
            <w:r w:rsidRPr="00307A9A">
              <w:rPr>
                <w:rFonts w:asciiTheme="minorHAnsi" w:eastAsia="Times New Roman" w:hAnsiTheme="minorHAnsi"/>
                <w:iCs/>
                <w:szCs w:val="17"/>
                <w:lang w:eastAsia="en-US"/>
              </w:rPr>
              <w:t>2009-15</w:t>
            </w:r>
          </w:p>
        </w:tc>
        <w:tc>
          <w:tcPr>
            <w:tcW w:w="417" w:type="pct"/>
            <w:tcBorders>
              <w:bottom w:val="single" w:sz="12" w:space="0" w:color="000000" w:themeColor="text1"/>
            </w:tcBorders>
            <w:shd w:val="clear" w:color="auto" w:fill="FF6600"/>
            <w:noWrap/>
          </w:tcPr>
          <w:p w:rsidR="009C6614" w:rsidRPr="00A427C6" w:rsidRDefault="00307A9A" w:rsidP="006F27B1">
            <w:pPr>
              <w:keepLines/>
              <w:spacing w:before="40" w:after="40" w:line="200" w:lineRule="atLeast"/>
              <w:jc w:val="center"/>
              <w:rPr>
                <w:rFonts w:eastAsia="Times New Roman"/>
                <w:iCs/>
                <w:szCs w:val="17"/>
              </w:rPr>
            </w:pPr>
            <w:r w:rsidRPr="00307A9A">
              <w:rPr>
                <w:rFonts w:asciiTheme="minorHAnsi" w:eastAsia="Times New Roman" w:hAnsiTheme="minorHAnsi"/>
                <w:iCs/>
                <w:szCs w:val="17"/>
                <w:lang w:eastAsia="en-US"/>
              </w:rPr>
              <w:t>3</w:t>
            </w:r>
          </w:p>
        </w:tc>
        <w:tc>
          <w:tcPr>
            <w:tcW w:w="416" w:type="pct"/>
            <w:tcBorders>
              <w:bottom w:val="single" w:sz="12" w:space="0" w:color="000000" w:themeColor="text1"/>
            </w:tcBorders>
            <w:shd w:val="clear" w:color="auto" w:fill="FF6600"/>
            <w:noWrap/>
          </w:tcPr>
          <w:p w:rsidR="009C6614" w:rsidRPr="00307A9A" w:rsidRDefault="00307A9A" w:rsidP="006F27B1">
            <w:pPr>
              <w:keepLines/>
              <w:spacing w:before="40" w:after="40" w:line="200" w:lineRule="atLeast"/>
              <w:jc w:val="center"/>
              <w:rPr>
                <w:rFonts w:asciiTheme="minorHAnsi" w:eastAsia="Times New Roman" w:hAnsiTheme="minorHAnsi"/>
                <w:iCs/>
                <w:szCs w:val="17"/>
                <w:lang w:eastAsia="en-US"/>
              </w:rPr>
            </w:pPr>
            <w:r w:rsidRPr="00307A9A">
              <w:rPr>
                <w:rFonts w:asciiTheme="minorHAnsi" w:eastAsia="Times New Roman" w:hAnsiTheme="minorHAnsi"/>
                <w:iCs/>
                <w:szCs w:val="17"/>
                <w:lang w:eastAsia="en-US"/>
              </w:rPr>
              <w:t>3</w:t>
            </w:r>
          </w:p>
        </w:tc>
        <w:tc>
          <w:tcPr>
            <w:tcW w:w="417" w:type="pct"/>
            <w:tcBorders>
              <w:bottom w:val="single" w:sz="12" w:space="0" w:color="000000" w:themeColor="text1"/>
            </w:tcBorders>
            <w:shd w:val="clear" w:color="auto" w:fill="FF6600"/>
            <w:noWrap/>
          </w:tcPr>
          <w:p w:rsidR="009C6614" w:rsidRPr="00307A9A" w:rsidRDefault="00307A9A" w:rsidP="006F27B1">
            <w:pPr>
              <w:keepLines/>
              <w:spacing w:before="40" w:after="40" w:line="200" w:lineRule="atLeast"/>
              <w:jc w:val="center"/>
              <w:rPr>
                <w:rFonts w:asciiTheme="minorHAnsi" w:eastAsia="Times New Roman" w:hAnsiTheme="minorHAnsi"/>
                <w:iCs/>
                <w:szCs w:val="17"/>
                <w:lang w:eastAsia="en-US"/>
              </w:rPr>
            </w:pPr>
            <w:r w:rsidRPr="00307A9A">
              <w:rPr>
                <w:rFonts w:asciiTheme="minorHAnsi" w:eastAsia="Times New Roman" w:hAnsiTheme="minorHAnsi"/>
                <w:iCs/>
                <w:szCs w:val="17"/>
                <w:lang w:eastAsia="en-US"/>
              </w:rPr>
              <w:t>3</w:t>
            </w:r>
          </w:p>
        </w:tc>
        <w:tc>
          <w:tcPr>
            <w:tcW w:w="416" w:type="pct"/>
            <w:tcBorders>
              <w:bottom w:val="single" w:sz="12" w:space="0" w:color="000000" w:themeColor="text1"/>
            </w:tcBorders>
            <w:shd w:val="clear" w:color="auto" w:fill="FF6600"/>
            <w:noWrap/>
          </w:tcPr>
          <w:p w:rsidR="009C6614" w:rsidRPr="00307A9A" w:rsidRDefault="00307A9A" w:rsidP="006F27B1">
            <w:pPr>
              <w:keepLines/>
              <w:spacing w:before="40" w:after="40" w:line="200" w:lineRule="atLeast"/>
              <w:jc w:val="center"/>
              <w:rPr>
                <w:rFonts w:asciiTheme="minorHAnsi" w:eastAsia="Times New Roman" w:hAnsiTheme="minorHAnsi"/>
                <w:iCs/>
                <w:szCs w:val="17"/>
                <w:lang w:eastAsia="en-US"/>
              </w:rPr>
            </w:pPr>
            <w:r w:rsidRPr="00307A9A">
              <w:rPr>
                <w:rFonts w:asciiTheme="minorHAnsi" w:eastAsia="Times New Roman" w:hAnsiTheme="minorHAnsi"/>
                <w:iCs/>
                <w:szCs w:val="17"/>
                <w:lang w:eastAsia="en-US"/>
              </w:rPr>
              <w:t>3</w:t>
            </w:r>
          </w:p>
        </w:tc>
        <w:tc>
          <w:tcPr>
            <w:tcW w:w="417" w:type="pct"/>
            <w:tcBorders>
              <w:bottom w:val="single" w:sz="12" w:space="0" w:color="000000" w:themeColor="text1"/>
            </w:tcBorders>
            <w:shd w:val="clear" w:color="auto" w:fill="FF6600"/>
            <w:noWrap/>
          </w:tcPr>
          <w:p w:rsidR="009C6614" w:rsidRPr="00307A9A" w:rsidRDefault="00307A9A" w:rsidP="006F27B1">
            <w:pPr>
              <w:keepLines/>
              <w:spacing w:before="40" w:after="40" w:line="200" w:lineRule="atLeast"/>
              <w:jc w:val="center"/>
              <w:rPr>
                <w:rFonts w:asciiTheme="minorHAnsi" w:eastAsia="Times New Roman" w:hAnsiTheme="minorHAnsi"/>
                <w:iCs/>
                <w:szCs w:val="17"/>
                <w:lang w:eastAsia="en-US"/>
              </w:rPr>
            </w:pPr>
            <w:r w:rsidRPr="00307A9A">
              <w:rPr>
                <w:rFonts w:asciiTheme="minorHAnsi" w:eastAsia="Times New Roman" w:hAnsiTheme="minorHAnsi"/>
                <w:iCs/>
                <w:szCs w:val="17"/>
                <w:lang w:eastAsia="en-US"/>
              </w:rPr>
              <w:t>3</w:t>
            </w:r>
          </w:p>
        </w:tc>
        <w:tc>
          <w:tcPr>
            <w:tcW w:w="416" w:type="pct"/>
            <w:shd w:val="clear" w:color="auto" w:fill="FF0000"/>
            <w:noWrap/>
          </w:tcPr>
          <w:p w:rsidR="009C6614" w:rsidRPr="00307A9A" w:rsidRDefault="00307A9A" w:rsidP="006F27B1">
            <w:pPr>
              <w:keepLines/>
              <w:spacing w:before="40" w:after="40" w:line="200" w:lineRule="atLeast"/>
              <w:jc w:val="center"/>
              <w:rPr>
                <w:rFonts w:asciiTheme="minorHAnsi" w:eastAsia="Times New Roman" w:hAnsiTheme="minorHAnsi"/>
                <w:iCs/>
                <w:szCs w:val="17"/>
                <w:lang w:eastAsia="en-US"/>
              </w:rPr>
            </w:pPr>
            <w:r w:rsidRPr="00307A9A">
              <w:rPr>
                <w:rFonts w:asciiTheme="minorHAnsi" w:eastAsia="Times New Roman" w:hAnsiTheme="minorHAnsi"/>
                <w:iCs/>
                <w:szCs w:val="17"/>
                <w:lang w:eastAsia="en-US"/>
              </w:rPr>
              <w:t>2</w:t>
            </w:r>
          </w:p>
        </w:tc>
        <w:tc>
          <w:tcPr>
            <w:tcW w:w="417" w:type="pct"/>
            <w:shd w:val="clear" w:color="auto" w:fill="FF0000"/>
          </w:tcPr>
          <w:p w:rsidR="009C6614" w:rsidRPr="00307A9A" w:rsidRDefault="00307A9A" w:rsidP="006F27B1">
            <w:pPr>
              <w:keepLines/>
              <w:spacing w:before="40" w:after="40" w:line="200" w:lineRule="atLeast"/>
              <w:jc w:val="center"/>
              <w:rPr>
                <w:rFonts w:asciiTheme="minorHAnsi" w:eastAsia="Times New Roman" w:hAnsiTheme="minorHAnsi"/>
                <w:iCs/>
                <w:szCs w:val="17"/>
                <w:lang w:eastAsia="en-US"/>
              </w:rPr>
            </w:pPr>
            <w:r w:rsidRPr="00307A9A">
              <w:rPr>
                <w:rFonts w:asciiTheme="minorHAnsi" w:eastAsia="Times New Roman" w:hAnsiTheme="minorHAnsi"/>
                <w:iCs/>
                <w:szCs w:val="17"/>
                <w:lang w:eastAsia="en-US"/>
              </w:rPr>
              <w:t>2</w:t>
            </w:r>
          </w:p>
        </w:tc>
        <w:tc>
          <w:tcPr>
            <w:tcW w:w="412" w:type="pct"/>
            <w:shd w:val="clear" w:color="auto" w:fill="009900"/>
          </w:tcPr>
          <w:p w:rsidR="009C6614" w:rsidRPr="00307A9A" w:rsidRDefault="00307A9A" w:rsidP="006F27B1">
            <w:pPr>
              <w:keepLines/>
              <w:spacing w:before="40" w:after="40" w:line="200" w:lineRule="atLeast"/>
              <w:jc w:val="center"/>
              <w:rPr>
                <w:rFonts w:asciiTheme="minorHAnsi" w:eastAsia="Times New Roman" w:hAnsiTheme="minorHAnsi"/>
                <w:iCs/>
                <w:szCs w:val="17"/>
                <w:lang w:eastAsia="en-US"/>
              </w:rPr>
            </w:pPr>
            <w:r w:rsidRPr="00307A9A">
              <w:rPr>
                <w:rFonts w:asciiTheme="minorHAnsi" w:eastAsia="Times New Roman" w:hAnsiTheme="minorHAnsi"/>
                <w:iCs/>
                <w:szCs w:val="17"/>
                <w:lang w:eastAsia="en-US"/>
              </w:rPr>
              <w:t>5</w:t>
            </w:r>
          </w:p>
        </w:tc>
      </w:tr>
    </w:tbl>
    <w:p w:rsidR="00400B0F" w:rsidRPr="00C61187" w:rsidRDefault="00400B0F" w:rsidP="00400B0F">
      <w:pPr>
        <w:spacing w:before="20" w:after="20" w:line="180" w:lineRule="atLeast"/>
        <w:jc w:val="both"/>
        <w:rPr>
          <w:rFonts w:ascii="Franklin Gothic Book" w:eastAsia="Times New Roman" w:hAnsi="Franklin Gothic Book"/>
          <w:b/>
          <w:sz w:val="14"/>
          <w:szCs w:val="14"/>
        </w:rPr>
      </w:pPr>
    </w:p>
    <w:p w:rsidR="00400B0F" w:rsidRPr="00A427C6" w:rsidRDefault="00400B0F" w:rsidP="00400B0F">
      <w:pPr>
        <w:spacing w:before="20" w:after="20" w:line="180" w:lineRule="atLeast"/>
        <w:jc w:val="both"/>
        <w:rPr>
          <w:rFonts w:eastAsia="Times New Roman"/>
          <w:b/>
          <w:sz w:val="16"/>
          <w:szCs w:val="14"/>
        </w:rPr>
      </w:pPr>
      <w:r w:rsidRPr="00A427C6">
        <w:rPr>
          <w:rFonts w:eastAsia="Times New Roman"/>
          <w:b/>
          <w:sz w:val="16"/>
          <w:szCs w:val="14"/>
        </w:rPr>
        <w:t>Definitions of rating scale:</w:t>
      </w:r>
      <w:r w:rsidRPr="00A427C6">
        <w:rPr>
          <w:rFonts w:eastAsia="Times New Roman"/>
          <w:b/>
          <w:sz w:val="16"/>
          <w:szCs w:val="14"/>
        </w:rPr>
        <w:tab/>
      </w:r>
    </w:p>
    <w:p w:rsidR="00400B0F" w:rsidRPr="00A427C6" w:rsidRDefault="00400B0F" w:rsidP="00400B0F">
      <w:pPr>
        <w:spacing w:before="20" w:after="20" w:line="180" w:lineRule="atLeast"/>
        <w:jc w:val="both"/>
        <w:rPr>
          <w:rFonts w:eastAsia="Times New Roman"/>
          <w:b/>
          <w:sz w:val="16"/>
          <w:szCs w:val="14"/>
        </w:rPr>
      </w:pPr>
      <w:r w:rsidRPr="00A427C6">
        <w:rPr>
          <w:rFonts w:eastAsia="Times New Roman"/>
          <w:b/>
          <w:sz w:val="16"/>
          <w:szCs w:val="14"/>
        </w:rPr>
        <w:t>Satisfactory (4, 5 and 6)</w:t>
      </w:r>
    </w:p>
    <w:p w:rsidR="00400B0F" w:rsidRPr="00A427C6" w:rsidRDefault="00400B0F" w:rsidP="00400B0F">
      <w:pPr>
        <w:spacing w:before="20" w:after="20" w:line="180" w:lineRule="atLeast"/>
        <w:jc w:val="both"/>
        <w:rPr>
          <w:rFonts w:eastAsia="Times New Roman"/>
          <w:b/>
          <w:sz w:val="16"/>
          <w:szCs w:val="14"/>
        </w:rPr>
      </w:pPr>
      <w:r w:rsidRPr="00A427C6">
        <w:rPr>
          <w:rFonts w:eastAsia="Times New Roman"/>
          <w:b/>
          <w:color w:val="72AF2F"/>
          <w:sz w:val="16"/>
          <w:szCs w:val="14"/>
        </w:rPr>
        <w:sym w:font="Webdings" w:char="F067"/>
      </w:r>
      <w:r w:rsidRPr="00A427C6">
        <w:rPr>
          <w:rFonts w:eastAsia="Times New Roman"/>
          <w:b/>
          <w:sz w:val="16"/>
          <w:szCs w:val="14"/>
        </w:rPr>
        <w:t xml:space="preserve"> 6 = Very good; satisfies criteria in all areas.  </w:t>
      </w:r>
      <w:r w:rsidRPr="00A427C6">
        <w:rPr>
          <w:rFonts w:eastAsia="Times New Roman"/>
          <w:b/>
          <w:color w:val="72AF2F"/>
          <w:sz w:val="16"/>
          <w:szCs w:val="14"/>
        </w:rPr>
        <w:sym w:font="Webdings" w:char="F067"/>
      </w:r>
      <w:r w:rsidRPr="00A427C6">
        <w:rPr>
          <w:rFonts w:eastAsia="Times New Roman"/>
          <w:b/>
          <w:sz w:val="16"/>
          <w:szCs w:val="14"/>
        </w:rPr>
        <w:t xml:space="preserve"> 5 = Good; satisfies criteria in almost all areas.</w:t>
      </w:r>
    </w:p>
    <w:p w:rsidR="00400B0F" w:rsidRPr="00A427C6" w:rsidRDefault="00400B0F" w:rsidP="00400B0F">
      <w:pPr>
        <w:spacing w:before="20" w:after="20" w:line="180" w:lineRule="atLeast"/>
        <w:jc w:val="both"/>
        <w:rPr>
          <w:rFonts w:eastAsia="Times New Roman"/>
          <w:b/>
          <w:sz w:val="16"/>
          <w:szCs w:val="14"/>
        </w:rPr>
      </w:pPr>
      <w:r w:rsidRPr="00A427C6">
        <w:rPr>
          <w:rFonts w:eastAsia="Times New Roman"/>
          <w:b/>
          <w:color w:val="FFFF00"/>
          <w:sz w:val="16"/>
          <w:szCs w:val="14"/>
        </w:rPr>
        <w:sym w:font="Webdings" w:char="F067"/>
      </w:r>
      <w:r w:rsidRPr="00A427C6">
        <w:rPr>
          <w:rFonts w:eastAsia="Times New Roman"/>
          <w:b/>
          <w:sz w:val="16"/>
          <w:szCs w:val="14"/>
        </w:rPr>
        <w:t xml:space="preserve"> 4 = Adequate; on balance, satisfies criteria; does not fail in any major area.</w:t>
      </w:r>
    </w:p>
    <w:p w:rsidR="00400B0F" w:rsidRPr="00A427C6" w:rsidRDefault="00400B0F" w:rsidP="00400B0F">
      <w:pPr>
        <w:spacing w:before="20" w:after="20" w:line="180" w:lineRule="atLeast"/>
        <w:jc w:val="both"/>
        <w:rPr>
          <w:rFonts w:eastAsia="Times New Roman"/>
          <w:b/>
          <w:sz w:val="16"/>
          <w:szCs w:val="14"/>
        </w:rPr>
      </w:pPr>
      <w:r w:rsidRPr="00A427C6">
        <w:rPr>
          <w:rFonts w:eastAsia="Times New Roman"/>
          <w:b/>
          <w:sz w:val="16"/>
          <w:szCs w:val="14"/>
        </w:rPr>
        <w:t>Less than satisfactory (1, 2 and 3)</w:t>
      </w:r>
    </w:p>
    <w:p w:rsidR="00400B0F" w:rsidRPr="00A427C6" w:rsidRDefault="00400B0F" w:rsidP="00400B0F">
      <w:pPr>
        <w:spacing w:before="20" w:after="20" w:line="180" w:lineRule="atLeast"/>
        <w:jc w:val="both"/>
        <w:rPr>
          <w:rFonts w:eastAsia="Times New Roman"/>
          <w:b/>
          <w:sz w:val="16"/>
          <w:szCs w:val="14"/>
        </w:rPr>
      </w:pPr>
      <w:r w:rsidRPr="00A427C6">
        <w:rPr>
          <w:rFonts w:eastAsia="Times New Roman"/>
          <w:b/>
          <w:color w:val="E36C0A"/>
          <w:sz w:val="16"/>
          <w:szCs w:val="14"/>
        </w:rPr>
        <w:sym w:font="Webdings" w:char="F067"/>
      </w:r>
      <w:r w:rsidRPr="00A427C6">
        <w:rPr>
          <w:rFonts w:eastAsia="Times New Roman"/>
          <w:b/>
          <w:color w:val="E36C0A"/>
          <w:sz w:val="16"/>
          <w:szCs w:val="14"/>
        </w:rPr>
        <w:t xml:space="preserve"> </w:t>
      </w:r>
      <w:r w:rsidRPr="00A427C6">
        <w:rPr>
          <w:rFonts w:eastAsia="Times New Roman"/>
          <w:b/>
          <w:sz w:val="16"/>
          <w:szCs w:val="14"/>
        </w:rPr>
        <w:t>3 = Less than adequate; on balance does not satisfy criteria and/or fails in at least one major area.</w:t>
      </w:r>
    </w:p>
    <w:p w:rsidR="004E0264" w:rsidRPr="00A427C6" w:rsidRDefault="00400B0F" w:rsidP="00784031">
      <w:pPr>
        <w:spacing w:before="20" w:after="20" w:line="180" w:lineRule="atLeast"/>
        <w:rPr>
          <w:rFonts w:eastAsia="Times New Roman"/>
          <w:b/>
          <w:sz w:val="16"/>
          <w:szCs w:val="14"/>
        </w:rPr>
      </w:pPr>
      <w:r w:rsidRPr="00A427C6">
        <w:rPr>
          <w:rFonts w:eastAsia="Times New Roman"/>
          <w:b/>
          <w:color w:val="FF0000"/>
          <w:sz w:val="16"/>
          <w:szCs w:val="14"/>
        </w:rPr>
        <w:sym w:font="Webdings" w:char="F067"/>
      </w:r>
      <w:r w:rsidRPr="00A427C6">
        <w:rPr>
          <w:rFonts w:eastAsia="Times New Roman"/>
          <w:b/>
          <w:sz w:val="16"/>
          <w:szCs w:val="14"/>
        </w:rPr>
        <w:t xml:space="preserve"> 2 = Poor; does not satisfy criteria in major areas.  </w:t>
      </w:r>
      <w:r w:rsidRPr="00A427C6">
        <w:rPr>
          <w:rFonts w:eastAsia="Times New Roman"/>
          <w:b/>
          <w:color w:val="FF0000"/>
          <w:sz w:val="16"/>
          <w:szCs w:val="14"/>
        </w:rPr>
        <w:sym w:font="Webdings" w:char="F067"/>
      </w:r>
      <w:r w:rsidRPr="00A427C6">
        <w:rPr>
          <w:rFonts w:eastAsia="Times New Roman"/>
          <w:b/>
          <w:sz w:val="16"/>
          <w:szCs w:val="14"/>
        </w:rPr>
        <w:t xml:space="preserve"> 1 = Very poor; does not satisfy criteria in many major area.</w:t>
      </w:r>
    </w:p>
    <w:p w:rsidR="004E0264" w:rsidRDefault="004E0264" w:rsidP="004E0264">
      <w:r>
        <w:br w:type="page"/>
      </w:r>
    </w:p>
    <w:p w:rsidR="00400B0F" w:rsidRPr="00E644AE" w:rsidRDefault="00400B0F" w:rsidP="00784031"/>
    <w:sectPr w:rsidR="00400B0F" w:rsidRPr="00E644AE" w:rsidSect="00784031">
      <w:headerReference w:type="default" r:id="rId18"/>
      <w:pgSz w:w="16838" w:h="11906" w:orient="landscape" w:code="9"/>
      <w:pgMar w:top="1134" w:right="1527" w:bottom="1134" w:left="851" w:header="1418" w:footer="267" w:gutter="0"/>
      <w:cols w:space="39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8C7" w:rsidRDefault="00D918C7" w:rsidP="00EF4574">
      <w:pPr>
        <w:spacing w:before="0" w:after="0" w:line="240" w:lineRule="auto"/>
      </w:pPr>
      <w:r>
        <w:separator/>
      </w:r>
    </w:p>
  </w:endnote>
  <w:endnote w:type="continuationSeparator" w:id="0">
    <w:p w:rsidR="00D918C7" w:rsidRDefault="00D918C7" w:rsidP="00EF4574">
      <w:pPr>
        <w:spacing w:before="0" w:after="0" w:line="240" w:lineRule="auto"/>
      </w:pPr>
      <w:r>
        <w:continuationSeparator/>
      </w:r>
    </w:p>
  </w:endnote>
  <w:endnote w:id="1">
    <w:p w:rsidR="00D918C7" w:rsidRPr="00DD16AD" w:rsidRDefault="00D918C7" w:rsidP="00F6456E">
      <w:pPr>
        <w:pStyle w:val="EndnoteText"/>
        <w:rPr>
          <w:lang w:val="en-AU"/>
        </w:rPr>
      </w:pPr>
      <w:r w:rsidRPr="00DD16AD">
        <w:rPr>
          <w:rStyle w:val="EndnoteReference"/>
          <w:rFonts w:asciiTheme="minorHAnsi" w:hAnsiTheme="minorHAnsi"/>
          <w:sz w:val="20"/>
        </w:rPr>
        <w:endnoteRef/>
      </w:r>
      <w:r w:rsidRPr="00DD16AD">
        <w:t xml:space="preserve"> </w:t>
      </w:r>
      <w:r w:rsidRPr="00DD16AD">
        <w:rPr>
          <w:lang w:val="en-AU"/>
        </w:rPr>
        <w:t>2015 Pacific Regional MDGs Tracking Report, Pacific Islands Forum Secretariat</w:t>
      </w:r>
      <w:r>
        <w:rPr>
          <w:lang w:val="en-AU"/>
        </w:rPr>
        <w:t xml:space="preserve"> (pp. 98-101), September 2015.  Although this report was published in September 2015, the most recent MDG data for Vanuatu appears to be from 2013 (aside from a progress update on the Pacific Leaders’ Gender Equality Declaration). </w:t>
      </w:r>
    </w:p>
  </w:endnote>
  <w:endnote w:id="2">
    <w:p w:rsidR="00D918C7" w:rsidRPr="00DD16AD" w:rsidRDefault="00D918C7" w:rsidP="00F6456E">
      <w:pPr>
        <w:rPr>
          <w:sz w:val="20"/>
          <w:szCs w:val="20"/>
        </w:rPr>
      </w:pPr>
      <w:r w:rsidRPr="00DD16AD">
        <w:rPr>
          <w:rStyle w:val="EndnoteReference"/>
          <w:rFonts w:asciiTheme="minorHAnsi" w:hAnsiTheme="minorHAnsi"/>
          <w:sz w:val="20"/>
          <w:szCs w:val="20"/>
        </w:rPr>
        <w:endnoteRef/>
      </w:r>
      <w:r w:rsidRPr="00DD16AD">
        <w:rPr>
          <w:sz w:val="20"/>
          <w:szCs w:val="20"/>
        </w:rPr>
        <w:t xml:space="preserve"> A recent global risk analysis study found that Port Vila is the world’s most exposed city to natural disasters (The Natural Hazards Risk Atlas 2015). Similarly, Vanuatu has been ranked as the world’s most vulnerable country to an extreme natural event (World Risk Report 2014, United Nations University). </w:t>
      </w:r>
    </w:p>
  </w:endnote>
  <w:endnote w:id="3">
    <w:p w:rsidR="00D918C7" w:rsidRPr="00DD16AD" w:rsidRDefault="00D918C7" w:rsidP="00F6456E">
      <w:pPr>
        <w:pStyle w:val="EndnoteText"/>
        <w:rPr>
          <w:lang w:val="en-AU"/>
        </w:rPr>
      </w:pPr>
      <w:r w:rsidRPr="00DD16AD">
        <w:rPr>
          <w:rStyle w:val="EndnoteReference"/>
          <w:rFonts w:asciiTheme="minorHAnsi" w:hAnsiTheme="minorHAnsi"/>
          <w:sz w:val="20"/>
        </w:rPr>
        <w:endnoteRef/>
      </w:r>
      <w:r w:rsidRPr="00DD16AD">
        <w:t xml:space="preserve"> </w:t>
      </w:r>
      <w:r w:rsidRPr="00DD16AD">
        <w:rPr>
          <w:lang w:val="en-AU"/>
        </w:rPr>
        <w:t>IMF Press release on 26 July 2016 (URL: http://www.imf.org/en/News/Articles/2016/07/26/16/14/PR16362-Vanuatu-IMF-Staff-Concludes-2016-Article-IV-Mission )</w:t>
      </w:r>
    </w:p>
  </w:endnote>
  <w:endnote w:id="4">
    <w:p w:rsidR="00D918C7" w:rsidRPr="00AA0D4B" w:rsidRDefault="00D918C7" w:rsidP="00AF0752">
      <w:pPr>
        <w:pStyle w:val="EndnoteText"/>
        <w:rPr>
          <w:lang w:val="en-AU"/>
        </w:rPr>
      </w:pPr>
      <w:r>
        <w:rPr>
          <w:rStyle w:val="EndnoteReference"/>
        </w:rPr>
        <w:endnoteRef/>
      </w:r>
      <w:r>
        <w:t xml:space="preserve"> Includes </w:t>
      </w:r>
      <w:r w:rsidRPr="001C47A5">
        <w:t>El Niño</w:t>
      </w:r>
      <w:r>
        <w:rPr>
          <w:lang w:val="en-AU"/>
        </w:rPr>
        <w:t xml:space="preserve"> Humanitarian Partnership Agreement funding.</w:t>
      </w:r>
    </w:p>
  </w:endnote>
  <w:endnote w:id="5">
    <w:p w:rsidR="00D918C7" w:rsidRPr="001976AA" w:rsidRDefault="00D918C7" w:rsidP="002A72EC">
      <w:pPr>
        <w:pStyle w:val="EndnoteText"/>
        <w:rPr>
          <w:lang w:val="en-AU"/>
        </w:rPr>
      </w:pPr>
      <w:r>
        <w:rPr>
          <w:rStyle w:val="EndnoteReference"/>
        </w:rPr>
        <w:endnoteRef/>
      </w:r>
      <w:r>
        <w:t xml:space="preserve"> </w:t>
      </w:r>
      <w:r>
        <w:rPr>
          <w:lang w:val="en-AU"/>
        </w:rPr>
        <w:t>See endnote i.</w:t>
      </w:r>
    </w:p>
  </w:endnote>
  <w:endnote w:id="6">
    <w:p w:rsidR="00D918C7" w:rsidRPr="00DD16AD" w:rsidRDefault="00D918C7" w:rsidP="002A72EC">
      <w:pPr>
        <w:pStyle w:val="EndnoteText"/>
      </w:pPr>
      <w:r w:rsidRPr="00DD16AD">
        <w:rPr>
          <w:rStyle w:val="EndnoteReference"/>
          <w:rFonts w:asciiTheme="minorHAnsi" w:hAnsiTheme="minorHAnsi"/>
          <w:sz w:val="20"/>
        </w:rPr>
        <w:endnoteRef/>
      </w:r>
      <w:r w:rsidRPr="00DD16AD">
        <w:t xml:space="preserve"> For detail see Government of Vanuatu, Vanuatu Demographic and Health Survey – MICS 2013.</w:t>
      </w:r>
    </w:p>
  </w:endnote>
  <w:endnote w:id="7">
    <w:p w:rsidR="00D918C7" w:rsidRPr="00DE0F3B" w:rsidRDefault="00D918C7">
      <w:pPr>
        <w:pStyle w:val="EndnoteText"/>
        <w:rPr>
          <w:lang w:val="en-AU"/>
        </w:rPr>
      </w:pPr>
      <w:r>
        <w:rPr>
          <w:rStyle w:val="EndnoteReference"/>
        </w:rPr>
        <w:endnoteRef/>
      </w:r>
      <w:r>
        <w:t xml:space="preserve"> </w:t>
      </w:r>
      <w:r>
        <w:rPr>
          <w:lang w:val="en-AU"/>
        </w:rPr>
        <w:t>Vanuatu Ministry of Health Annual Report 2015</w:t>
      </w:r>
    </w:p>
  </w:endnote>
  <w:endnote w:id="8">
    <w:p w:rsidR="00D918C7" w:rsidRPr="00DD16AD" w:rsidRDefault="00D918C7" w:rsidP="00890D15">
      <w:pPr>
        <w:pStyle w:val="EndnoteText"/>
      </w:pPr>
      <w:r w:rsidRPr="00DD16AD">
        <w:rPr>
          <w:rStyle w:val="EndnoteReference"/>
          <w:rFonts w:asciiTheme="minorHAnsi" w:hAnsiTheme="minorHAnsi"/>
          <w:sz w:val="20"/>
        </w:rPr>
        <w:endnoteRef/>
      </w:r>
      <w:r w:rsidRPr="00DD16AD">
        <w:t xml:space="preserve"> See W</w:t>
      </w:r>
      <w:r>
        <w:t>a</w:t>
      </w:r>
      <w:r w:rsidRPr="00DD16AD">
        <w:t>n Smolbag, Annual Report 2014.</w:t>
      </w:r>
    </w:p>
  </w:endnote>
  <w:endnote w:id="9">
    <w:p w:rsidR="00D918C7" w:rsidRPr="009D605C" w:rsidRDefault="00D918C7">
      <w:pPr>
        <w:pStyle w:val="EndnoteText"/>
        <w:rPr>
          <w:lang w:val="en-AU"/>
        </w:rPr>
      </w:pPr>
      <w:r>
        <w:rPr>
          <w:rStyle w:val="EndnoteReference"/>
        </w:rPr>
        <w:endnoteRef/>
      </w:r>
      <w:r>
        <w:t xml:space="preserve"> </w:t>
      </w:r>
      <w:r>
        <w:rPr>
          <w:lang w:val="en-AU"/>
        </w:rPr>
        <w:t>The previous AIP benchmark (</w:t>
      </w:r>
      <w:r w:rsidRPr="00762A6D">
        <w:rPr>
          <w:i/>
          <w:lang w:val="en-AU"/>
        </w:rPr>
        <w:t>Increase in Vanuatu’s rural access index (RAI)</w:t>
      </w:r>
      <w:r>
        <w:rPr>
          <w:lang w:val="en-AU"/>
        </w:rPr>
        <w:t>) has been changed for the period 2016</w:t>
      </w:r>
      <w:r>
        <w:rPr>
          <w:lang w:val="en-AU"/>
        </w:rPr>
        <w:noBreakHyphen/>
        <w:t>17 to 2017</w:t>
      </w:r>
      <w:r>
        <w:rPr>
          <w:lang w:val="en-AU"/>
        </w:rPr>
        <w:noBreakHyphen/>
        <w:t xml:space="preserve">18.  Progress will now be measured against </w:t>
      </w:r>
      <w:r w:rsidRPr="00762A6D">
        <w:rPr>
          <w:i/>
          <w:lang w:val="en-AU"/>
        </w:rPr>
        <w:t>Kilometres of urban roads resealed / asphalt concreted</w:t>
      </w:r>
      <w:r>
        <w:rPr>
          <w:lang w:val="en-AU"/>
        </w:rPr>
        <w:t xml:space="preserve">.  RAI targets for islands, provinces and the entire country will be set out in the Vanuatu Government’s Rural Road Access Policy, </w:t>
      </w:r>
      <w:r w:rsidRPr="00444622">
        <w:rPr>
          <w:lang w:val="en-AU"/>
        </w:rPr>
        <w:t xml:space="preserve">which is in </w:t>
      </w:r>
      <w:r>
        <w:rPr>
          <w:lang w:val="en-AU"/>
        </w:rPr>
        <w:t>the final stages of preparation.  But at the time of writing, these targets had not been finalised.  The revised AIP benchmark also reflects the enhanced focus on PVUDP over the next two years.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45A" w:rsidRDefault="007F14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5426016"/>
      <w:docPartObj>
        <w:docPartGallery w:val="Page Numbers (Bottom of Page)"/>
        <w:docPartUnique/>
      </w:docPartObj>
    </w:sdtPr>
    <w:sdtEndPr>
      <w:rPr>
        <w:noProof/>
      </w:rPr>
    </w:sdtEndPr>
    <w:sdtContent>
      <w:p w:rsidR="00D918C7" w:rsidRDefault="00D918C7">
        <w:pPr>
          <w:pStyle w:val="Footer"/>
        </w:pPr>
        <w:r>
          <w:fldChar w:fldCharType="begin"/>
        </w:r>
        <w:r>
          <w:instrText xml:space="preserve"> PAGE   \* MERGEFORMAT </w:instrText>
        </w:r>
        <w:r>
          <w:fldChar w:fldCharType="separate"/>
        </w:r>
        <w:r w:rsidR="007F145A">
          <w:rPr>
            <w:noProof/>
          </w:rPr>
          <w:t>1</w:t>
        </w:r>
        <w:r>
          <w:rPr>
            <w:noProof/>
          </w:rPr>
          <w:fldChar w:fldCharType="end"/>
        </w:r>
      </w:p>
    </w:sdtContent>
  </w:sdt>
  <w:p w:rsidR="00D918C7" w:rsidRDefault="00D918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45A" w:rsidRDefault="007F14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8C7" w:rsidRPr="008C5A0E" w:rsidRDefault="00D918C7" w:rsidP="001D663E">
      <w:pPr>
        <w:pStyle w:val="Footer"/>
        <w:pBdr>
          <w:top w:val="single" w:sz="4" w:space="1" w:color="495965" w:themeColor="text2"/>
        </w:pBdr>
      </w:pPr>
    </w:p>
  </w:footnote>
  <w:footnote w:type="continuationSeparator" w:id="0">
    <w:p w:rsidR="00D918C7" w:rsidRDefault="00D918C7" w:rsidP="00EF4574">
      <w:pPr>
        <w:spacing w:before="0" w:after="0" w:line="240" w:lineRule="auto"/>
      </w:pPr>
      <w:r>
        <w:continuationSeparator/>
      </w:r>
    </w:p>
  </w:footnote>
  <w:footnote w:id="1">
    <w:p w:rsidR="00D918C7" w:rsidRPr="00130DA8" w:rsidRDefault="00D918C7">
      <w:pPr>
        <w:pStyle w:val="FootnoteText"/>
        <w:rPr>
          <w:lang w:val="en-AU"/>
        </w:rPr>
      </w:pPr>
      <w:r>
        <w:rPr>
          <w:rStyle w:val="FootnoteReference"/>
        </w:rPr>
        <w:footnoteRef/>
      </w:r>
      <w:r>
        <w:t xml:space="preserve"> </w:t>
      </w:r>
      <w:r w:rsidRPr="00130DA8">
        <w:t xml:space="preserve">RAI is </w:t>
      </w:r>
      <w:r>
        <w:t>expressed as a percentage (%) – the %</w:t>
      </w:r>
      <w:r w:rsidRPr="00130DA8">
        <w:t xml:space="preserve"> of an a</w:t>
      </w:r>
      <w:r>
        <w:t>rea’s population living within two</w:t>
      </w:r>
      <w:r w:rsidRPr="00130DA8">
        <w:t xml:space="preserve"> kilometres of an all season road connecting to the nearest trade and services hub</w:t>
      </w:r>
      <w:r>
        <w:t>.  RAIs are still being calculated by the R4D program team.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45A" w:rsidRDefault="007F14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8C7" w:rsidRPr="00333501" w:rsidRDefault="00D918C7" w:rsidP="008F56A8">
    <w:pPr>
      <w:pStyle w:val="Header"/>
      <w:jc w:val="left"/>
    </w:pPr>
    <w:r>
      <w:rPr>
        <w:noProof/>
        <w:lang w:val="en-AU" w:eastAsia="en-AU"/>
      </w:rPr>
      <w:drawing>
        <wp:anchor distT="0" distB="0" distL="114300" distR="114300" simplePos="0" relativeHeight="251681792" behindDoc="1" locked="1" layoutInCell="1" allowOverlap="1" wp14:anchorId="2AAFD160" wp14:editId="3600224C">
          <wp:simplePos x="0" y="0"/>
          <wp:positionH relativeFrom="page">
            <wp:posOffset>7620</wp:posOffset>
          </wp:positionH>
          <wp:positionV relativeFrom="page">
            <wp:posOffset>55880</wp:posOffset>
          </wp:positionV>
          <wp:extent cx="7545705" cy="1070229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45705" cy="1070229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45A" w:rsidRDefault="007F145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8C7" w:rsidRPr="00333501" w:rsidRDefault="00D918C7" w:rsidP="008F56A8">
    <w:pPr>
      <w:pStyle w:val="Header"/>
      <w:jc w:val="left"/>
    </w:pPr>
    <w:r>
      <w:rPr>
        <w:noProof/>
        <w:lang w:val="en-AU" w:eastAsia="en-AU"/>
      </w:rPr>
      <w:drawing>
        <wp:anchor distT="0" distB="0" distL="114300" distR="114300" simplePos="0" relativeHeight="251683840" behindDoc="1" locked="1" layoutInCell="1" allowOverlap="1" wp14:anchorId="69678C31" wp14:editId="447A1A4E">
          <wp:simplePos x="0" y="0"/>
          <wp:positionH relativeFrom="page">
            <wp:posOffset>7620</wp:posOffset>
          </wp:positionH>
          <wp:positionV relativeFrom="page">
            <wp:posOffset>57785</wp:posOffset>
          </wp:positionV>
          <wp:extent cx="10800000" cy="7560000"/>
          <wp:effectExtent l="0" t="0" r="1905" b="3175"/>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800000" cy="75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74A5EA"/>
    <w:lvl w:ilvl="0">
      <w:start w:val="1"/>
      <w:numFmt w:val="decimal"/>
      <w:lvlText w:val="%1."/>
      <w:lvlJc w:val="left"/>
      <w:pPr>
        <w:tabs>
          <w:tab w:val="num" w:pos="1492"/>
        </w:tabs>
        <w:ind w:left="1492" w:hanging="360"/>
      </w:pPr>
    </w:lvl>
  </w:abstractNum>
  <w:abstractNum w:abstractNumId="1">
    <w:nsid w:val="FFFFFF7D"/>
    <w:multiLevelType w:val="singleLevel"/>
    <w:tmpl w:val="B3DEED16"/>
    <w:lvl w:ilvl="0">
      <w:start w:val="1"/>
      <w:numFmt w:val="decimal"/>
      <w:lvlText w:val="%1."/>
      <w:lvlJc w:val="left"/>
      <w:pPr>
        <w:tabs>
          <w:tab w:val="num" w:pos="1209"/>
        </w:tabs>
        <w:ind w:left="1209" w:hanging="360"/>
      </w:pPr>
    </w:lvl>
  </w:abstractNum>
  <w:abstractNum w:abstractNumId="2">
    <w:nsid w:val="FFFFFF7E"/>
    <w:multiLevelType w:val="singleLevel"/>
    <w:tmpl w:val="991E89AE"/>
    <w:lvl w:ilvl="0">
      <w:start w:val="1"/>
      <w:numFmt w:val="decimal"/>
      <w:lvlText w:val="%1."/>
      <w:lvlJc w:val="left"/>
      <w:pPr>
        <w:tabs>
          <w:tab w:val="num" w:pos="926"/>
        </w:tabs>
        <w:ind w:left="926" w:hanging="360"/>
      </w:pPr>
    </w:lvl>
  </w:abstractNum>
  <w:abstractNum w:abstractNumId="3">
    <w:nsid w:val="FFFFFF7F"/>
    <w:multiLevelType w:val="singleLevel"/>
    <w:tmpl w:val="1EC4BCD0"/>
    <w:lvl w:ilvl="0">
      <w:start w:val="1"/>
      <w:numFmt w:val="decimal"/>
      <w:lvlText w:val="%1."/>
      <w:lvlJc w:val="left"/>
      <w:pPr>
        <w:tabs>
          <w:tab w:val="num" w:pos="643"/>
        </w:tabs>
        <w:ind w:left="643" w:hanging="360"/>
      </w:pPr>
    </w:lvl>
  </w:abstractNum>
  <w:abstractNum w:abstractNumId="4">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7EA9308"/>
    <w:lvl w:ilvl="0">
      <w:start w:val="1"/>
      <w:numFmt w:val="decimal"/>
      <w:lvlText w:val="%1."/>
      <w:lvlJc w:val="left"/>
      <w:pPr>
        <w:tabs>
          <w:tab w:val="num" w:pos="360"/>
        </w:tabs>
        <w:ind w:left="360" w:hanging="360"/>
      </w:pPr>
    </w:lvl>
  </w:abstractNum>
  <w:abstractNum w:abstractNumId="9">
    <w:nsid w:val="FFFFFF89"/>
    <w:multiLevelType w:val="singleLevel"/>
    <w:tmpl w:val="50F654C8"/>
    <w:lvl w:ilvl="0">
      <w:start w:val="1"/>
      <w:numFmt w:val="bullet"/>
      <w:lvlText w:val=""/>
      <w:lvlJc w:val="left"/>
      <w:pPr>
        <w:tabs>
          <w:tab w:val="num" w:pos="360"/>
        </w:tabs>
        <w:ind w:left="360" w:hanging="360"/>
      </w:pPr>
      <w:rPr>
        <w:rFonts w:ascii="Symbol" w:hAnsi="Symbol" w:hint="default"/>
      </w:rPr>
    </w:lvl>
  </w:abstractNum>
  <w:abstractNum w:abstractNumId="1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5952EEF"/>
    <w:multiLevelType w:val="hybridMultilevel"/>
    <w:tmpl w:val="6D000C6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5">
    <w:nsid w:val="327B4CBA"/>
    <w:multiLevelType w:val="hybridMultilevel"/>
    <w:tmpl w:val="7E74897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52C727E"/>
    <w:multiLevelType w:val="hybridMultilevel"/>
    <w:tmpl w:val="5BC4E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525A1F4B"/>
    <w:multiLevelType w:val="hybridMultilevel"/>
    <w:tmpl w:val="7056187E"/>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0">
    <w:nsid w:val="5D3C1EA7"/>
    <w:multiLevelType w:val="multilevel"/>
    <w:tmpl w:val="43428892"/>
    <w:numStyleLink w:val="BulletsList"/>
  </w:abstractNum>
  <w:abstractNum w:abstractNumId="21">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2">
    <w:nsid w:val="5F5D3E54"/>
    <w:multiLevelType w:val="multilevel"/>
    <w:tmpl w:val="B6D46E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98F672F"/>
    <w:multiLevelType w:val="hybridMultilevel"/>
    <w:tmpl w:val="11FEB8CA"/>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5">
    <w:nsid w:val="73E603FA"/>
    <w:multiLevelType w:val="hybridMultilevel"/>
    <w:tmpl w:val="82F44E32"/>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9"/>
  </w:num>
  <w:num w:numId="10">
    <w:abstractNumId w:val="2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0"/>
  </w:num>
  <w:num w:numId="22">
    <w:abstractNumId w:val="14"/>
  </w:num>
  <w:num w:numId="23">
    <w:abstractNumId w:val="14"/>
  </w:num>
  <w:num w:numId="24">
    <w:abstractNumId w:val="20"/>
  </w:num>
  <w:num w:numId="25">
    <w:abstractNumId w:val="20"/>
  </w:num>
  <w:num w:numId="26">
    <w:abstractNumId w:val="20"/>
  </w:num>
  <w:num w:numId="27">
    <w:abstractNumId w:val="19"/>
  </w:num>
  <w:num w:numId="28">
    <w:abstractNumId w:val="10"/>
  </w:num>
  <w:num w:numId="29">
    <w:abstractNumId w:val="10"/>
  </w:num>
  <w:num w:numId="30">
    <w:abstractNumId w:val="10"/>
  </w:num>
  <w:num w:numId="31">
    <w:abstractNumId w:val="15"/>
  </w:num>
  <w:num w:numId="32">
    <w:abstractNumId w:val="18"/>
  </w:num>
  <w:num w:numId="33">
    <w:abstractNumId w:val="25"/>
  </w:num>
  <w:num w:numId="34">
    <w:abstractNumId w:val="17"/>
  </w:num>
  <w:num w:numId="35">
    <w:abstractNumId w:val="13"/>
  </w:num>
  <w:num w:numId="36">
    <w:abstractNumId w:val="23"/>
  </w:num>
  <w:num w:numId="37">
    <w:abstractNumId w:val="22"/>
  </w:num>
  <w:num w:numId="38">
    <w:abstractNumId w:val="16"/>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96C"/>
    <w:rsid w:val="00001DA8"/>
    <w:rsid w:val="0000611F"/>
    <w:rsid w:val="00013A6F"/>
    <w:rsid w:val="00014534"/>
    <w:rsid w:val="00015316"/>
    <w:rsid w:val="00017514"/>
    <w:rsid w:val="0002080A"/>
    <w:rsid w:val="00023444"/>
    <w:rsid w:val="0002776A"/>
    <w:rsid w:val="0002782F"/>
    <w:rsid w:val="00031512"/>
    <w:rsid w:val="00031FF4"/>
    <w:rsid w:val="000334F8"/>
    <w:rsid w:val="00041418"/>
    <w:rsid w:val="00041DCC"/>
    <w:rsid w:val="000437D9"/>
    <w:rsid w:val="00044651"/>
    <w:rsid w:val="00051FB1"/>
    <w:rsid w:val="00053F63"/>
    <w:rsid w:val="00054E4D"/>
    <w:rsid w:val="00055845"/>
    <w:rsid w:val="00055DBA"/>
    <w:rsid w:val="000574F2"/>
    <w:rsid w:val="00060073"/>
    <w:rsid w:val="00060268"/>
    <w:rsid w:val="0006055E"/>
    <w:rsid w:val="0006699A"/>
    <w:rsid w:val="000723C6"/>
    <w:rsid w:val="0007257B"/>
    <w:rsid w:val="0008100C"/>
    <w:rsid w:val="00084483"/>
    <w:rsid w:val="00084CBC"/>
    <w:rsid w:val="0008715A"/>
    <w:rsid w:val="00093E18"/>
    <w:rsid w:val="00095D79"/>
    <w:rsid w:val="00096B72"/>
    <w:rsid w:val="00097F43"/>
    <w:rsid w:val="000A0D5F"/>
    <w:rsid w:val="000A1F43"/>
    <w:rsid w:val="000A371B"/>
    <w:rsid w:val="000A7514"/>
    <w:rsid w:val="000B052D"/>
    <w:rsid w:val="000B0F92"/>
    <w:rsid w:val="000B3F06"/>
    <w:rsid w:val="000B44F3"/>
    <w:rsid w:val="000C0A56"/>
    <w:rsid w:val="000C5CA4"/>
    <w:rsid w:val="000D4888"/>
    <w:rsid w:val="000D66D6"/>
    <w:rsid w:val="000E126F"/>
    <w:rsid w:val="000E314A"/>
    <w:rsid w:val="000F4311"/>
    <w:rsid w:val="000F7CDB"/>
    <w:rsid w:val="0010593F"/>
    <w:rsid w:val="00106006"/>
    <w:rsid w:val="00107C4E"/>
    <w:rsid w:val="00111A71"/>
    <w:rsid w:val="00113887"/>
    <w:rsid w:val="00114775"/>
    <w:rsid w:val="00120F01"/>
    <w:rsid w:val="001226DE"/>
    <w:rsid w:val="0012763E"/>
    <w:rsid w:val="001303BC"/>
    <w:rsid w:val="00130DA8"/>
    <w:rsid w:val="00135398"/>
    <w:rsid w:val="00150399"/>
    <w:rsid w:val="001541DA"/>
    <w:rsid w:val="001541EA"/>
    <w:rsid w:val="00162E3F"/>
    <w:rsid w:val="00163AEE"/>
    <w:rsid w:val="00164B31"/>
    <w:rsid w:val="00164DFC"/>
    <w:rsid w:val="0017087E"/>
    <w:rsid w:val="00171E03"/>
    <w:rsid w:val="00173B88"/>
    <w:rsid w:val="00177784"/>
    <w:rsid w:val="001828B7"/>
    <w:rsid w:val="001834D9"/>
    <w:rsid w:val="00184F38"/>
    <w:rsid w:val="00185C2A"/>
    <w:rsid w:val="00186FA4"/>
    <w:rsid w:val="0018700C"/>
    <w:rsid w:val="00192802"/>
    <w:rsid w:val="001968BD"/>
    <w:rsid w:val="00196C05"/>
    <w:rsid w:val="001976AA"/>
    <w:rsid w:val="001B0F24"/>
    <w:rsid w:val="001C1F70"/>
    <w:rsid w:val="001C3C0A"/>
    <w:rsid w:val="001C47A5"/>
    <w:rsid w:val="001C4FC6"/>
    <w:rsid w:val="001C719B"/>
    <w:rsid w:val="001D663E"/>
    <w:rsid w:val="001D7BDA"/>
    <w:rsid w:val="001E1DC0"/>
    <w:rsid w:val="001E4CC2"/>
    <w:rsid w:val="001E7564"/>
    <w:rsid w:val="001F3506"/>
    <w:rsid w:val="002071D2"/>
    <w:rsid w:val="002079D2"/>
    <w:rsid w:val="0021628D"/>
    <w:rsid w:val="00220328"/>
    <w:rsid w:val="002261A1"/>
    <w:rsid w:val="00230094"/>
    <w:rsid w:val="00234423"/>
    <w:rsid w:val="00236076"/>
    <w:rsid w:val="00236A53"/>
    <w:rsid w:val="00247216"/>
    <w:rsid w:val="00251552"/>
    <w:rsid w:val="00253942"/>
    <w:rsid w:val="0025411B"/>
    <w:rsid w:val="00254B90"/>
    <w:rsid w:val="00254D2C"/>
    <w:rsid w:val="0025740F"/>
    <w:rsid w:val="0026105C"/>
    <w:rsid w:val="00261153"/>
    <w:rsid w:val="00265068"/>
    <w:rsid w:val="002662FF"/>
    <w:rsid w:val="00271C64"/>
    <w:rsid w:val="00273EDA"/>
    <w:rsid w:val="00275DB7"/>
    <w:rsid w:val="00283E03"/>
    <w:rsid w:val="00284957"/>
    <w:rsid w:val="0028602A"/>
    <w:rsid w:val="00291E54"/>
    <w:rsid w:val="00296A20"/>
    <w:rsid w:val="002A4218"/>
    <w:rsid w:val="002A493F"/>
    <w:rsid w:val="002A51CA"/>
    <w:rsid w:val="002A72EC"/>
    <w:rsid w:val="002A7357"/>
    <w:rsid w:val="002B3E95"/>
    <w:rsid w:val="002B5E10"/>
    <w:rsid w:val="002C2827"/>
    <w:rsid w:val="002C4F38"/>
    <w:rsid w:val="002C65AC"/>
    <w:rsid w:val="002C7146"/>
    <w:rsid w:val="002D0658"/>
    <w:rsid w:val="002D2B11"/>
    <w:rsid w:val="002D48D0"/>
    <w:rsid w:val="002E1BBF"/>
    <w:rsid w:val="002E1C46"/>
    <w:rsid w:val="002E4844"/>
    <w:rsid w:val="002E5A80"/>
    <w:rsid w:val="002E6A55"/>
    <w:rsid w:val="002F085B"/>
    <w:rsid w:val="002F22EE"/>
    <w:rsid w:val="002F43C8"/>
    <w:rsid w:val="002F688E"/>
    <w:rsid w:val="003002C0"/>
    <w:rsid w:val="00300A42"/>
    <w:rsid w:val="00301144"/>
    <w:rsid w:val="00304710"/>
    <w:rsid w:val="003055AA"/>
    <w:rsid w:val="00305A59"/>
    <w:rsid w:val="00306589"/>
    <w:rsid w:val="00307A9A"/>
    <w:rsid w:val="00307AF8"/>
    <w:rsid w:val="00307E8D"/>
    <w:rsid w:val="00310D64"/>
    <w:rsid w:val="003148B7"/>
    <w:rsid w:val="003158C3"/>
    <w:rsid w:val="003162A6"/>
    <w:rsid w:val="00323233"/>
    <w:rsid w:val="00325CA7"/>
    <w:rsid w:val="00326DDC"/>
    <w:rsid w:val="00326E83"/>
    <w:rsid w:val="00327201"/>
    <w:rsid w:val="003274CD"/>
    <w:rsid w:val="003319E8"/>
    <w:rsid w:val="00333501"/>
    <w:rsid w:val="00334101"/>
    <w:rsid w:val="00336C73"/>
    <w:rsid w:val="0033726D"/>
    <w:rsid w:val="003405F4"/>
    <w:rsid w:val="00341CED"/>
    <w:rsid w:val="003440CF"/>
    <w:rsid w:val="003457C4"/>
    <w:rsid w:val="00350368"/>
    <w:rsid w:val="0035119D"/>
    <w:rsid w:val="003543B3"/>
    <w:rsid w:val="00354DF4"/>
    <w:rsid w:val="00363739"/>
    <w:rsid w:val="003639F1"/>
    <w:rsid w:val="003771D8"/>
    <w:rsid w:val="003772DE"/>
    <w:rsid w:val="00383318"/>
    <w:rsid w:val="00383C45"/>
    <w:rsid w:val="003905AD"/>
    <w:rsid w:val="003933DE"/>
    <w:rsid w:val="003947A2"/>
    <w:rsid w:val="00394BFD"/>
    <w:rsid w:val="003A5E6D"/>
    <w:rsid w:val="003B0793"/>
    <w:rsid w:val="003B1E9F"/>
    <w:rsid w:val="003B4F12"/>
    <w:rsid w:val="003B7749"/>
    <w:rsid w:val="003C0308"/>
    <w:rsid w:val="003C242F"/>
    <w:rsid w:val="003C2D93"/>
    <w:rsid w:val="003C428A"/>
    <w:rsid w:val="003C557C"/>
    <w:rsid w:val="003D01AD"/>
    <w:rsid w:val="003D0D17"/>
    <w:rsid w:val="003D352D"/>
    <w:rsid w:val="003D46BC"/>
    <w:rsid w:val="003D7FB1"/>
    <w:rsid w:val="003E3C65"/>
    <w:rsid w:val="003F03EA"/>
    <w:rsid w:val="003F35F4"/>
    <w:rsid w:val="003F4AAF"/>
    <w:rsid w:val="00400B0F"/>
    <w:rsid w:val="00402ACC"/>
    <w:rsid w:val="00406A0D"/>
    <w:rsid w:val="004120EC"/>
    <w:rsid w:val="00412608"/>
    <w:rsid w:val="00413A01"/>
    <w:rsid w:val="00415C72"/>
    <w:rsid w:val="0041706D"/>
    <w:rsid w:val="00420589"/>
    <w:rsid w:val="00421BF3"/>
    <w:rsid w:val="004220DD"/>
    <w:rsid w:val="00423F31"/>
    <w:rsid w:val="00425AD7"/>
    <w:rsid w:val="00430B47"/>
    <w:rsid w:val="00431132"/>
    <w:rsid w:val="00431899"/>
    <w:rsid w:val="004352B4"/>
    <w:rsid w:val="004444F6"/>
    <w:rsid w:val="004445D9"/>
    <w:rsid w:val="00444622"/>
    <w:rsid w:val="0044464C"/>
    <w:rsid w:val="00454326"/>
    <w:rsid w:val="0045474F"/>
    <w:rsid w:val="00455464"/>
    <w:rsid w:val="0046392C"/>
    <w:rsid w:val="00480804"/>
    <w:rsid w:val="004828D3"/>
    <w:rsid w:val="00486804"/>
    <w:rsid w:val="00487354"/>
    <w:rsid w:val="00490B72"/>
    <w:rsid w:val="004911D7"/>
    <w:rsid w:val="00492E58"/>
    <w:rsid w:val="004977A1"/>
    <w:rsid w:val="004A14C8"/>
    <w:rsid w:val="004A2C33"/>
    <w:rsid w:val="004B2BC2"/>
    <w:rsid w:val="004B2D6E"/>
    <w:rsid w:val="004B311D"/>
    <w:rsid w:val="004B3775"/>
    <w:rsid w:val="004B553C"/>
    <w:rsid w:val="004C4DA6"/>
    <w:rsid w:val="004C5665"/>
    <w:rsid w:val="004C783A"/>
    <w:rsid w:val="004D0BA0"/>
    <w:rsid w:val="004D57D1"/>
    <w:rsid w:val="004D6DEB"/>
    <w:rsid w:val="004D7709"/>
    <w:rsid w:val="004D7919"/>
    <w:rsid w:val="004E0264"/>
    <w:rsid w:val="004E058F"/>
    <w:rsid w:val="004E3B87"/>
    <w:rsid w:val="004E46A7"/>
    <w:rsid w:val="004E5DAB"/>
    <w:rsid w:val="004E6270"/>
    <w:rsid w:val="004F2B00"/>
    <w:rsid w:val="004F6518"/>
    <w:rsid w:val="004F7B34"/>
    <w:rsid w:val="00505021"/>
    <w:rsid w:val="00505FD5"/>
    <w:rsid w:val="0051053F"/>
    <w:rsid w:val="00510921"/>
    <w:rsid w:val="00510AD3"/>
    <w:rsid w:val="00513348"/>
    <w:rsid w:val="00515A50"/>
    <w:rsid w:val="005164B2"/>
    <w:rsid w:val="00525A36"/>
    <w:rsid w:val="00526305"/>
    <w:rsid w:val="00526BE0"/>
    <w:rsid w:val="00531096"/>
    <w:rsid w:val="00533B5D"/>
    <w:rsid w:val="005405CF"/>
    <w:rsid w:val="00542180"/>
    <w:rsid w:val="00545D4B"/>
    <w:rsid w:val="005511BF"/>
    <w:rsid w:val="005511C6"/>
    <w:rsid w:val="005516DB"/>
    <w:rsid w:val="005522D9"/>
    <w:rsid w:val="00552890"/>
    <w:rsid w:val="00553F82"/>
    <w:rsid w:val="005543BF"/>
    <w:rsid w:val="00556D62"/>
    <w:rsid w:val="00557DC3"/>
    <w:rsid w:val="005608BD"/>
    <w:rsid w:val="00564CAD"/>
    <w:rsid w:val="00565D3B"/>
    <w:rsid w:val="0056672D"/>
    <w:rsid w:val="00574B88"/>
    <w:rsid w:val="005773E0"/>
    <w:rsid w:val="00581230"/>
    <w:rsid w:val="00583803"/>
    <w:rsid w:val="00584DD9"/>
    <w:rsid w:val="00584FE1"/>
    <w:rsid w:val="00585E4C"/>
    <w:rsid w:val="0059146A"/>
    <w:rsid w:val="005A20A4"/>
    <w:rsid w:val="005A2524"/>
    <w:rsid w:val="005B5769"/>
    <w:rsid w:val="005C2EA2"/>
    <w:rsid w:val="005C422D"/>
    <w:rsid w:val="005C5E03"/>
    <w:rsid w:val="005C699A"/>
    <w:rsid w:val="005D3655"/>
    <w:rsid w:val="005D64E4"/>
    <w:rsid w:val="005D6E4B"/>
    <w:rsid w:val="005E08FE"/>
    <w:rsid w:val="005E182A"/>
    <w:rsid w:val="005E4478"/>
    <w:rsid w:val="005E606B"/>
    <w:rsid w:val="005E67A2"/>
    <w:rsid w:val="005E73A5"/>
    <w:rsid w:val="005E791E"/>
    <w:rsid w:val="005F0D78"/>
    <w:rsid w:val="005F351B"/>
    <w:rsid w:val="00600716"/>
    <w:rsid w:val="00604254"/>
    <w:rsid w:val="00604765"/>
    <w:rsid w:val="00605E22"/>
    <w:rsid w:val="0061461A"/>
    <w:rsid w:val="00623BA1"/>
    <w:rsid w:val="006304CC"/>
    <w:rsid w:val="00630E93"/>
    <w:rsid w:val="006322EA"/>
    <w:rsid w:val="0063393F"/>
    <w:rsid w:val="006346BC"/>
    <w:rsid w:val="006371A9"/>
    <w:rsid w:val="00637B5D"/>
    <w:rsid w:val="00657D2D"/>
    <w:rsid w:val="00661402"/>
    <w:rsid w:val="00661F9A"/>
    <w:rsid w:val="0066484F"/>
    <w:rsid w:val="0066652A"/>
    <w:rsid w:val="006709C4"/>
    <w:rsid w:val="006759A7"/>
    <w:rsid w:val="00676ADA"/>
    <w:rsid w:val="00680522"/>
    <w:rsid w:val="0068120D"/>
    <w:rsid w:val="00681F08"/>
    <w:rsid w:val="00682167"/>
    <w:rsid w:val="0068607D"/>
    <w:rsid w:val="00686536"/>
    <w:rsid w:val="00693FA1"/>
    <w:rsid w:val="0069539D"/>
    <w:rsid w:val="006A415C"/>
    <w:rsid w:val="006B07BB"/>
    <w:rsid w:val="006C06B9"/>
    <w:rsid w:val="006C1D1B"/>
    <w:rsid w:val="006C2C37"/>
    <w:rsid w:val="006C42AF"/>
    <w:rsid w:val="006C5880"/>
    <w:rsid w:val="006C636D"/>
    <w:rsid w:val="006C706D"/>
    <w:rsid w:val="006D143B"/>
    <w:rsid w:val="006D669B"/>
    <w:rsid w:val="006E1A9B"/>
    <w:rsid w:val="006E3C29"/>
    <w:rsid w:val="006E41AC"/>
    <w:rsid w:val="006E4EEA"/>
    <w:rsid w:val="006F27B1"/>
    <w:rsid w:val="006F5794"/>
    <w:rsid w:val="00700C6F"/>
    <w:rsid w:val="00710085"/>
    <w:rsid w:val="0071016B"/>
    <w:rsid w:val="00711D8E"/>
    <w:rsid w:val="00712672"/>
    <w:rsid w:val="00721053"/>
    <w:rsid w:val="007227D4"/>
    <w:rsid w:val="00726AAE"/>
    <w:rsid w:val="007326F9"/>
    <w:rsid w:val="00734E3F"/>
    <w:rsid w:val="00736985"/>
    <w:rsid w:val="00740D01"/>
    <w:rsid w:val="007424BD"/>
    <w:rsid w:val="00745DF5"/>
    <w:rsid w:val="007465FD"/>
    <w:rsid w:val="0075052C"/>
    <w:rsid w:val="0075121D"/>
    <w:rsid w:val="0076250F"/>
    <w:rsid w:val="00762A6D"/>
    <w:rsid w:val="00764625"/>
    <w:rsid w:val="00764B83"/>
    <w:rsid w:val="00770047"/>
    <w:rsid w:val="0077105F"/>
    <w:rsid w:val="00771B53"/>
    <w:rsid w:val="0078217F"/>
    <w:rsid w:val="00784031"/>
    <w:rsid w:val="007852BB"/>
    <w:rsid w:val="00785DC5"/>
    <w:rsid w:val="00787495"/>
    <w:rsid w:val="00790218"/>
    <w:rsid w:val="007906FC"/>
    <w:rsid w:val="007A3625"/>
    <w:rsid w:val="007A3959"/>
    <w:rsid w:val="007B6200"/>
    <w:rsid w:val="007C31E8"/>
    <w:rsid w:val="007C7C20"/>
    <w:rsid w:val="007D17E7"/>
    <w:rsid w:val="007D3BD0"/>
    <w:rsid w:val="007D43D4"/>
    <w:rsid w:val="007E7058"/>
    <w:rsid w:val="007F145A"/>
    <w:rsid w:val="007F301D"/>
    <w:rsid w:val="007F3395"/>
    <w:rsid w:val="007F375F"/>
    <w:rsid w:val="007F40BB"/>
    <w:rsid w:val="0080105E"/>
    <w:rsid w:val="008012C3"/>
    <w:rsid w:val="00801B9F"/>
    <w:rsid w:val="008057FD"/>
    <w:rsid w:val="008068F5"/>
    <w:rsid w:val="008114F1"/>
    <w:rsid w:val="00813B5E"/>
    <w:rsid w:val="008233BE"/>
    <w:rsid w:val="0082595D"/>
    <w:rsid w:val="008320E7"/>
    <w:rsid w:val="00844408"/>
    <w:rsid w:val="00844E54"/>
    <w:rsid w:val="008475F0"/>
    <w:rsid w:val="008529EF"/>
    <w:rsid w:val="00860DDC"/>
    <w:rsid w:val="008621EC"/>
    <w:rsid w:val="00863F9C"/>
    <w:rsid w:val="00864210"/>
    <w:rsid w:val="00873968"/>
    <w:rsid w:val="00874CAB"/>
    <w:rsid w:val="00875754"/>
    <w:rsid w:val="008807FE"/>
    <w:rsid w:val="0088320D"/>
    <w:rsid w:val="00884405"/>
    <w:rsid w:val="00885E51"/>
    <w:rsid w:val="00890464"/>
    <w:rsid w:val="00890D15"/>
    <w:rsid w:val="008931DE"/>
    <w:rsid w:val="00893736"/>
    <w:rsid w:val="00897E42"/>
    <w:rsid w:val="008A04D3"/>
    <w:rsid w:val="008A4BF0"/>
    <w:rsid w:val="008A5AFE"/>
    <w:rsid w:val="008B32B6"/>
    <w:rsid w:val="008B53C0"/>
    <w:rsid w:val="008B68D7"/>
    <w:rsid w:val="008C0AD4"/>
    <w:rsid w:val="008C2F58"/>
    <w:rsid w:val="008C5A0E"/>
    <w:rsid w:val="008C5F6A"/>
    <w:rsid w:val="008C643E"/>
    <w:rsid w:val="008C7113"/>
    <w:rsid w:val="008C777D"/>
    <w:rsid w:val="008D28E9"/>
    <w:rsid w:val="008D3659"/>
    <w:rsid w:val="008E43E4"/>
    <w:rsid w:val="008E46B1"/>
    <w:rsid w:val="008F0CCA"/>
    <w:rsid w:val="008F0DAB"/>
    <w:rsid w:val="008F52E2"/>
    <w:rsid w:val="008F56A8"/>
    <w:rsid w:val="008F61FD"/>
    <w:rsid w:val="008F7403"/>
    <w:rsid w:val="008F7BC8"/>
    <w:rsid w:val="008F7BCE"/>
    <w:rsid w:val="00902761"/>
    <w:rsid w:val="0090399F"/>
    <w:rsid w:val="00903B5F"/>
    <w:rsid w:val="0090513D"/>
    <w:rsid w:val="009068CF"/>
    <w:rsid w:val="0091174C"/>
    <w:rsid w:val="009120DA"/>
    <w:rsid w:val="00912826"/>
    <w:rsid w:val="009140AA"/>
    <w:rsid w:val="00914903"/>
    <w:rsid w:val="00917C3E"/>
    <w:rsid w:val="00917D68"/>
    <w:rsid w:val="00924189"/>
    <w:rsid w:val="0093285A"/>
    <w:rsid w:val="00932F52"/>
    <w:rsid w:val="00934B78"/>
    <w:rsid w:val="0093642F"/>
    <w:rsid w:val="00940874"/>
    <w:rsid w:val="00940FF2"/>
    <w:rsid w:val="00941481"/>
    <w:rsid w:val="00942484"/>
    <w:rsid w:val="00942620"/>
    <w:rsid w:val="00943517"/>
    <w:rsid w:val="0094565E"/>
    <w:rsid w:val="00947AB7"/>
    <w:rsid w:val="009530B0"/>
    <w:rsid w:val="00956197"/>
    <w:rsid w:val="00957781"/>
    <w:rsid w:val="009605F2"/>
    <w:rsid w:val="00960C1B"/>
    <w:rsid w:val="009656E6"/>
    <w:rsid w:val="009727DA"/>
    <w:rsid w:val="00973EF2"/>
    <w:rsid w:val="0098080B"/>
    <w:rsid w:val="00980D10"/>
    <w:rsid w:val="009845B7"/>
    <w:rsid w:val="009903F3"/>
    <w:rsid w:val="00990BD4"/>
    <w:rsid w:val="00992C76"/>
    <w:rsid w:val="00992D3D"/>
    <w:rsid w:val="00992E50"/>
    <w:rsid w:val="009A0599"/>
    <w:rsid w:val="009A2B95"/>
    <w:rsid w:val="009A6270"/>
    <w:rsid w:val="009A70B9"/>
    <w:rsid w:val="009B4199"/>
    <w:rsid w:val="009B4D3B"/>
    <w:rsid w:val="009B4E87"/>
    <w:rsid w:val="009B5B3B"/>
    <w:rsid w:val="009B5BF2"/>
    <w:rsid w:val="009B71EC"/>
    <w:rsid w:val="009C1BB8"/>
    <w:rsid w:val="009C6614"/>
    <w:rsid w:val="009C6911"/>
    <w:rsid w:val="009C7413"/>
    <w:rsid w:val="009C7C37"/>
    <w:rsid w:val="009D0884"/>
    <w:rsid w:val="009D3349"/>
    <w:rsid w:val="009D3480"/>
    <w:rsid w:val="009D5444"/>
    <w:rsid w:val="009D54D4"/>
    <w:rsid w:val="009D603C"/>
    <w:rsid w:val="009D605C"/>
    <w:rsid w:val="009D7407"/>
    <w:rsid w:val="009E0866"/>
    <w:rsid w:val="009F1D69"/>
    <w:rsid w:val="009F2419"/>
    <w:rsid w:val="009F24AA"/>
    <w:rsid w:val="009F5488"/>
    <w:rsid w:val="009F6423"/>
    <w:rsid w:val="009F6814"/>
    <w:rsid w:val="00A009C5"/>
    <w:rsid w:val="00A04625"/>
    <w:rsid w:val="00A06141"/>
    <w:rsid w:val="00A06440"/>
    <w:rsid w:val="00A07C84"/>
    <w:rsid w:val="00A1142A"/>
    <w:rsid w:val="00A161C6"/>
    <w:rsid w:val="00A211C7"/>
    <w:rsid w:val="00A22691"/>
    <w:rsid w:val="00A229FB"/>
    <w:rsid w:val="00A2327C"/>
    <w:rsid w:val="00A23EC7"/>
    <w:rsid w:val="00A24A62"/>
    <w:rsid w:val="00A27FE2"/>
    <w:rsid w:val="00A31C9F"/>
    <w:rsid w:val="00A31FAA"/>
    <w:rsid w:val="00A4144F"/>
    <w:rsid w:val="00A427C6"/>
    <w:rsid w:val="00A469F4"/>
    <w:rsid w:val="00A46CC1"/>
    <w:rsid w:val="00A47D9E"/>
    <w:rsid w:val="00A51081"/>
    <w:rsid w:val="00A53243"/>
    <w:rsid w:val="00A56F14"/>
    <w:rsid w:val="00A611A9"/>
    <w:rsid w:val="00A80F95"/>
    <w:rsid w:val="00A8197B"/>
    <w:rsid w:val="00A81D2F"/>
    <w:rsid w:val="00A81DBD"/>
    <w:rsid w:val="00A8226A"/>
    <w:rsid w:val="00A8361B"/>
    <w:rsid w:val="00A85174"/>
    <w:rsid w:val="00A878A1"/>
    <w:rsid w:val="00A90944"/>
    <w:rsid w:val="00A9309C"/>
    <w:rsid w:val="00A932DE"/>
    <w:rsid w:val="00AA0D4B"/>
    <w:rsid w:val="00AA1852"/>
    <w:rsid w:val="00AA257D"/>
    <w:rsid w:val="00AA35DF"/>
    <w:rsid w:val="00AA4749"/>
    <w:rsid w:val="00AA7BE3"/>
    <w:rsid w:val="00AC164A"/>
    <w:rsid w:val="00AD1670"/>
    <w:rsid w:val="00AD39F0"/>
    <w:rsid w:val="00AD5821"/>
    <w:rsid w:val="00AD5C0E"/>
    <w:rsid w:val="00AD5E7E"/>
    <w:rsid w:val="00AD72E0"/>
    <w:rsid w:val="00AE12F8"/>
    <w:rsid w:val="00AE5E90"/>
    <w:rsid w:val="00AF0752"/>
    <w:rsid w:val="00AF0BEA"/>
    <w:rsid w:val="00AF186A"/>
    <w:rsid w:val="00AF1B85"/>
    <w:rsid w:val="00AF2050"/>
    <w:rsid w:val="00AF31B9"/>
    <w:rsid w:val="00AF7BC5"/>
    <w:rsid w:val="00B02CF4"/>
    <w:rsid w:val="00B03CA8"/>
    <w:rsid w:val="00B053EA"/>
    <w:rsid w:val="00B056B3"/>
    <w:rsid w:val="00B11B2E"/>
    <w:rsid w:val="00B12C9E"/>
    <w:rsid w:val="00B14D2A"/>
    <w:rsid w:val="00B16808"/>
    <w:rsid w:val="00B16FF8"/>
    <w:rsid w:val="00B20175"/>
    <w:rsid w:val="00B22263"/>
    <w:rsid w:val="00B25B49"/>
    <w:rsid w:val="00B306F9"/>
    <w:rsid w:val="00B30879"/>
    <w:rsid w:val="00B314BB"/>
    <w:rsid w:val="00B31BC5"/>
    <w:rsid w:val="00B331DC"/>
    <w:rsid w:val="00B33ADC"/>
    <w:rsid w:val="00B34D11"/>
    <w:rsid w:val="00B438D3"/>
    <w:rsid w:val="00B45B4E"/>
    <w:rsid w:val="00B4678C"/>
    <w:rsid w:val="00B47586"/>
    <w:rsid w:val="00B5005D"/>
    <w:rsid w:val="00B50D1F"/>
    <w:rsid w:val="00B55E19"/>
    <w:rsid w:val="00B63359"/>
    <w:rsid w:val="00B6378B"/>
    <w:rsid w:val="00B71514"/>
    <w:rsid w:val="00B73929"/>
    <w:rsid w:val="00B866A3"/>
    <w:rsid w:val="00B918FC"/>
    <w:rsid w:val="00B94FA1"/>
    <w:rsid w:val="00B94FA9"/>
    <w:rsid w:val="00BA42FE"/>
    <w:rsid w:val="00BA45C9"/>
    <w:rsid w:val="00BA4B6D"/>
    <w:rsid w:val="00BA5BCD"/>
    <w:rsid w:val="00BA5E62"/>
    <w:rsid w:val="00BB26C5"/>
    <w:rsid w:val="00BB39D1"/>
    <w:rsid w:val="00BB566C"/>
    <w:rsid w:val="00BC57DF"/>
    <w:rsid w:val="00BC7A08"/>
    <w:rsid w:val="00BD23D7"/>
    <w:rsid w:val="00BD4DAF"/>
    <w:rsid w:val="00BD587A"/>
    <w:rsid w:val="00BD6348"/>
    <w:rsid w:val="00BE0BBD"/>
    <w:rsid w:val="00BE7DD4"/>
    <w:rsid w:val="00BF4DE6"/>
    <w:rsid w:val="00BF76B6"/>
    <w:rsid w:val="00BF7D52"/>
    <w:rsid w:val="00C04FC8"/>
    <w:rsid w:val="00C14D06"/>
    <w:rsid w:val="00C16C11"/>
    <w:rsid w:val="00C1718A"/>
    <w:rsid w:val="00C203C9"/>
    <w:rsid w:val="00C25CF3"/>
    <w:rsid w:val="00C2672F"/>
    <w:rsid w:val="00C308CF"/>
    <w:rsid w:val="00C33D7F"/>
    <w:rsid w:val="00C35D25"/>
    <w:rsid w:val="00C37546"/>
    <w:rsid w:val="00C4296D"/>
    <w:rsid w:val="00C42CDE"/>
    <w:rsid w:val="00C44F0B"/>
    <w:rsid w:val="00C450F2"/>
    <w:rsid w:val="00C47ABC"/>
    <w:rsid w:val="00C5182A"/>
    <w:rsid w:val="00C542AD"/>
    <w:rsid w:val="00C54522"/>
    <w:rsid w:val="00C579FD"/>
    <w:rsid w:val="00C6013C"/>
    <w:rsid w:val="00C61E21"/>
    <w:rsid w:val="00C634DA"/>
    <w:rsid w:val="00C63EE9"/>
    <w:rsid w:val="00C6626C"/>
    <w:rsid w:val="00C6681B"/>
    <w:rsid w:val="00C709DE"/>
    <w:rsid w:val="00C715E2"/>
    <w:rsid w:val="00C7491A"/>
    <w:rsid w:val="00C77EBB"/>
    <w:rsid w:val="00C802E0"/>
    <w:rsid w:val="00C807A2"/>
    <w:rsid w:val="00C82F74"/>
    <w:rsid w:val="00C843C5"/>
    <w:rsid w:val="00C862FD"/>
    <w:rsid w:val="00C9647B"/>
    <w:rsid w:val="00CA37B1"/>
    <w:rsid w:val="00CB1959"/>
    <w:rsid w:val="00CB35DB"/>
    <w:rsid w:val="00CB7903"/>
    <w:rsid w:val="00CC35FB"/>
    <w:rsid w:val="00CC4739"/>
    <w:rsid w:val="00CC4A04"/>
    <w:rsid w:val="00CC5CF5"/>
    <w:rsid w:val="00CC5EFD"/>
    <w:rsid w:val="00CC5FD4"/>
    <w:rsid w:val="00CD0D13"/>
    <w:rsid w:val="00CD0E4B"/>
    <w:rsid w:val="00CD5FEF"/>
    <w:rsid w:val="00CE0155"/>
    <w:rsid w:val="00CE0F29"/>
    <w:rsid w:val="00CE1CD0"/>
    <w:rsid w:val="00CF12E1"/>
    <w:rsid w:val="00CF635B"/>
    <w:rsid w:val="00CF796A"/>
    <w:rsid w:val="00D00802"/>
    <w:rsid w:val="00D010AC"/>
    <w:rsid w:val="00D0296C"/>
    <w:rsid w:val="00D050DD"/>
    <w:rsid w:val="00D146A2"/>
    <w:rsid w:val="00D15A00"/>
    <w:rsid w:val="00D204B5"/>
    <w:rsid w:val="00D27032"/>
    <w:rsid w:val="00D32D0B"/>
    <w:rsid w:val="00D36D00"/>
    <w:rsid w:val="00D500D0"/>
    <w:rsid w:val="00D50E91"/>
    <w:rsid w:val="00D52660"/>
    <w:rsid w:val="00D63757"/>
    <w:rsid w:val="00D63A83"/>
    <w:rsid w:val="00D64BD1"/>
    <w:rsid w:val="00D72760"/>
    <w:rsid w:val="00D7671D"/>
    <w:rsid w:val="00D801A5"/>
    <w:rsid w:val="00D801F9"/>
    <w:rsid w:val="00D8138F"/>
    <w:rsid w:val="00D903DC"/>
    <w:rsid w:val="00D918C7"/>
    <w:rsid w:val="00D96391"/>
    <w:rsid w:val="00D968A7"/>
    <w:rsid w:val="00D97C76"/>
    <w:rsid w:val="00DA0051"/>
    <w:rsid w:val="00DA56EA"/>
    <w:rsid w:val="00DB5EC6"/>
    <w:rsid w:val="00DC1406"/>
    <w:rsid w:val="00DC5B6F"/>
    <w:rsid w:val="00DD003A"/>
    <w:rsid w:val="00DD16AD"/>
    <w:rsid w:val="00DD1986"/>
    <w:rsid w:val="00DD5B95"/>
    <w:rsid w:val="00DD75DE"/>
    <w:rsid w:val="00DE084C"/>
    <w:rsid w:val="00DE0F3B"/>
    <w:rsid w:val="00E00207"/>
    <w:rsid w:val="00E06019"/>
    <w:rsid w:val="00E068E6"/>
    <w:rsid w:val="00E07C3F"/>
    <w:rsid w:val="00E155F2"/>
    <w:rsid w:val="00E16DA0"/>
    <w:rsid w:val="00E20D97"/>
    <w:rsid w:val="00E332D2"/>
    <w:rsid w:val="00E34C4E"/>
    <w:rsid w:val="00E357B7"/>
    <w:rsid w:val="00E402A3"/>
    <w:rsid w:val="00E40E4E"/>
    <w:rsid w:val="00E53800"/>
    <w:rsid w:val="00E60214"/>
    <w:rsid w:val="00E6081F"/>
    <w:rsid w:val="00E60D06"/>
    <w:rsid w:val="00E62D18"/>
    <w:rsid w:val="00E80D30"/>
    <w:rsid w:val="00E815B1"/>
    <w:rsid w:val="00E865F3"/>
    <w:rsid w:val="00E86633"/>
    <w:rsid w:val="00E86697"/>
    <w:rsid w:val="00E90376"/>
    <w:rsid w:val="00E90720"/>
    <w:rsid w:val="00E90D5F"/>
    <w:rsid w:val="00E97080"/>
    <w:rsid w:val="00E97551"/>
    <w:rsid w:val="00EA04B2"/>
    <w:rsid w:val="00EA09B1"/>
    <w:rsid w:val="00EA0CAE"/>
    <w:rsid w:val="00EA20F3"/>
    <w:rsid w:val="00EA2777"/>
    <w:rsid w:val="00EA744B"/>
    <w:rsid w:val="00EB7E61"/>
    <w:rsid w:val="00EC16AF"/>
    <w:rsid w:val="00EC60E7"/>
    <w:rsid w:val="00ED2831"/>
    <w:rsid w:val="00ED43D1"/>
    <w:rsid w:val="00ED5B2E"/>
    <w:rsid w:val="00EE426C"/>
    <w:rsid w:val="00EE4EE1"/>
    <w:rsid w:val="00EF1626"/>
    <w:rsid w:val="00EF234E"/>
    <w:rsid w:val="00EF2E06"/>
    <w:rsid w:val="00EF3F42"/>
    <w:rsid w:val="00EF4191"/>
    <w:rsid w:val="00EF4574"/>
    <w:rsid w:val="00EF66EC"/>
    <w:rsid w:val="00EF751F"/>
    <w:rsid w:val="00F00D04"/>
    <w:rsid w:val="00F0781E"/>
    <w:rsid w:val="00F07AAD"/>
    <w:rsid w:val="00F13DE8"/>
    <w:rsid w:val="00F207BD"/>
    <w:rsid w:val="00F2684E"/>
    <w:rsid w:val="00F3206D"/>
    <w:rsid w:val="00F453C8"/>
    <w:rsid w:val="00F5404C"/>
    <w:rsid w:val="00F54513"/>
    <w:rsid w:val="00F55F17"/>
    <w:rsid w:val="00F56070"/>
    <w:rsid w:val="00F6456E"/>
    <w:rsid w:val="00F671E0"/>
    <w:rsid w:val="00F672A3"/>
    <w:rsid w:val="00F67A14"/>
    <w:rsid w:val="00F70D0C"/>
    <w:rsid w:val="00F729EF"/>
    <w:rsid w:val="00F75A5C"/>
    <w:rsid w:val="00F77CAE"/>
    <w:rsid w:val="00F80428"/>
    <w:rsid w:val="00F82271"/>
    <w:rsid w:val="00F83428"/>
    <w:rsid w:val="00F851E6"/>
    <w:rsid w:val="00F877E8"/>
    <w:rsid w:val="00F87AE9"/>
    <w:rsid w:val="00F91538"/>
    <w:rsid w:val="00F95FCE"/>
    <w:rsid w:val="00F96BB9"/>
    <w:rsid w:val="00FB0966"/>
    <w:rsid w:val="00FB0F7D"/>
    <w:rsid w:val="00FB6781"/>
    <w:rsid w:val="00FC2790"/>
    <w:rsid w:val="00FD0FA2"/>
    <w:rsid w:val="00FD1CCD"/>
    <w:rsid w:val="00FD1EB3"/>
    <w:rsid w:val="00FD296E"/>
    <w:rsid w:val="00FD3E1C"/>
    <w:rsid w:val="00FE2597"/>
    <w:rsid w:val="00FE6D51"/>
    <w:rsid w:val="00FF00F9"/>
    <w:rsid w:val="00FF024D"/>
    <w:rsid w:val="00FF09F3"/>
    <w:rsid w:val="00FF1E22"/>
    <w:rsid w:val="00FF46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endnote reference" w:uiPriority="0"/>
    <w:lsdException w:name="List Bullet" w:uiPriority="0" w:qFormat="1"/>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71D"/>
    <w:pPr>
      <w:suppressAutoHyphens/>
      <w:spacing w:before="120" w:after="60" w:line="23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rsid w:val="00486804"/>
    <w:pPr>
      <w:outlineLvl w:val="6"/>
    </w:pPr>
    <w:rPr>
      <w:i/>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26"/>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before="480"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
    <w:name w:val="Plain Table 2"/>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992C76"/>
    <w:pPr>
      <w:tabs>
        <w:tab w:val="center" w:pos="4513"/>
        <w:tab w:val="right" w:pos="9026"/>
      </w:tabs>
      <w:spacing w:before="0" w:after="0"/>
      <w:jc w:val="right"/>
    </w:pPr>
    <w:rPr>
      <w:b/>
      <w:caps/>
      <w:sz w:val="20"/>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D2831"/>
    <w:pPr>
      <w:spacing w:before="400" w:after="400" w:line="280" w:lineRule="exact"/>
    </w:pPr>
    <w:rPr>
      <w:b/>
      <w:caps/>
      <w:color w:val="ACD08C" w:themeColor="accent3"/>
      <w:sz w:val="28"/>
    </w:rPr>
  </w:style>
  <w:style w:type="table" w:styleId="TableGrid">
    <w:name w:val="Table Grid"/>
    <w:basedOn w:val="TableNormal"/>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92C76"/>
    <w:rPr>
      <w:b/>
      <w:caps/>
      <w:color w:val="495965" w:themeColor="text2"/>
      <w:sz w:val="20"/>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link w:val="CaptionChar"/>
    <w:uiPriority w:val="99"/>
    <w:unhideWhenUsed/>
    <w:qFormat/>
    <w:rsid w:val="00ED2831"/>
    <w:pPr>
      <w:spacing w:before="240" w:after="180" w:line="240" w:lineRule="atLeast"/>
      <w:contextualSpacing/>
    </w:pPr>
    <w:rPr>
      <w:b/>
      <w:iCs/>
      <w:color w:val="000000" w:themeColor="text1"/>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F83428"/>
    <w:rPr>
      <w:color w:val="ACD08C" w:themeColor="accent3"/>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F82271"/>
    <w:pPr>
      <w:spacing w:after="200" w:line="140" w:lineRule="atLeast"/>
      <w:jc w:val="right"/>
    </w:pPr>
    <w:rPr>
      <w:sz w:val="12"/>
    </w:rPr>
  </w:style>
  <w:style w:type="table" w:customStyle="1" w:styleId="DFATTable1">
    <w:name w:val="DFAT Table 1"/>
    <w:basedOn w:val="TableNormal"/>
    <w:uiPriority w:val="99"/>
    <w:rsid w:val="00ED2831"/>
    <w:pPr>
      <w:spacing w:before="60" w:after="60" w:line="220" w:lineRule="atLeast"/>
    </w:pPr>
    <w:rPr>
      <w:rFonts w:ascii="Calibri" w:hAnsi="Calibri"/>
      <w:sz w:val="18"/>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ED2831"/>
    <w:pPr>
      <w:pageBreakBefore w:val="0"/>
      <w:spacing w:after="60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ED2831"/>
    <w:pPr>
      <w:spacing w:before="60" w:line="220" w:lineRule="atLeast"/>
    </w:pPr>
    <w:rPr>
      <w:rFonts w:ascii="Calibri" w:hAnsi="Calibri"/>
      <w:b/>
      <w:sz w:val="18"/>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ED2831"/>
    <w:pPr>
      <w:spacing w:before="60" w:line="220" w:lineRule="atLeast"/>
    </w:pPr>
    <w:rPr>
      <w:rFonts w:ascii="Calibri" w:hAnsi="Calibri"/>
      <w:b/>
      <w:color w:val="FFFFFF" w:themeColor="background1"/>
      <w:sz w:val="18"/>
    </w:rPr>
  </w:style>
  <w:style w:type="paragraph" w:customStyle="1" w:styleId="BoxHeading">
    <w:name w:val="Box Heading"/>
    <w:basedOn w:val="Heading3"/>
    <w:qFormat/>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A80F95"/>
    <w:pPr>
      <w:spacing w:before="60" w:line="220" w:lineRule="atLeast"/>
    </w:pPr>
    <w:rPr>
      <w:rFonts w:ascii="Calibri" w:hAnsi="Calibri"/>
      <w:sz w:val="18"/>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rsid w:val="002B3E9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E95"/>
    <w:rPr>
      <w:rFonts w:ascii="Tahoma" w:hAnsi="Tahoma" w:cs="Tahoma"/>
      <w:color w:val="495965" w:themeColor="text2"/>
      <w:sz w:val="16"/>
      <w:szCs w:val="16"/>
      <w:lang w:val="en-GB"/>
    </w:rPr>
  </w:style>
  <w:style w:type="paragraph" w:styleId="BodyText">
    <w:name w:val="Body Text"/>
    <w:basedOn w:val="Normal"/>
    <w:link w:val="BodyTextChar"/>
    <w:qFormat/>
    <w:rsid w:val="008F56A8"/>
    <w:pPr>
      <w:suppressAutoHyphens w:val="0"/>
      <w:spacing w:before="0" w:after="160" w:line="280" w:lineRule="exact"/>
    </w:pPr>
    <w:rPr>
      <w:rFonts w:ascii="Franklin Gothic Book" w:eastAsia="Times New Roman" w:hAnsi="Franklin Gothic Book" w:cs="Times New Roman"/>
      <w:color w:val="auto"/>
      <w:sz w:val="21"/>
      <w:szCs w:val="24"/>
      <w:lang w:val="en-AU" w:eastAsia="en-AU"/>
    </w:rPr>
  </w:style>
  <w:style w:type="character" w:customStyle="1" w:styleId="BodyTextChar">
    <w:name w:val="Body Text Char"/>
    <w:basedOn w:val="DefaultParagraphFont"/>
    <w:link w:val="BodyText"/>
    <w:rsid w:val="008F56A8"/>
    <w:rPr>
      <w:rFonts w:ascii="Franklin Gothic Book" w:eastAsia="Times New Roman" w:hAnsi="Franklin Gothic Book" w:cs="Times New Roman"/>
      <w:sz w:val="21"/>
      <w:szCs w:val="24"/>
      <w:lang w:eastAsia="en-AU"/>
    </w:rPr>
  </w:style>
  <w:style w:type="paragraph" w:styleId="ListBullet">
    <w:name w:val="List Bullet"/>
    <w:basedOn w:val="BodyText"/>
    <w:qFormat/>
    <w:rsid w:val="008F56A8"/>
    <w:pPr>
      <w:tabs>
        <w:tab w:val="left" w:pos="284"/>
      </w:tabs>
      <w:spacing w:after="120"/>
    </w:pPr>
  </w:style>
  <w:style w:type="character" w:customStyle="1" w:styleId="CaptionChar">
    <w:name w:val="Caption Char"/>
    <w:link w:val="Caption"/>
    <w:uiPriority w:val="99"/>
    <w:locked/>
    <w:rsid w:val="008F56A8"/>
    <w:rPr>
      <w:b/>
      <w:iCs/>
      <w:color w:val="000000" w:themeColor="text1"/>
      <w:sz w:val="20"/>
      <w:szCs w:val="18"/>
      <w:lang w:val="en-GB"/>
    </w:rPr>
  </w:style>
  <w:style w:type="paragraph" w:customStyle="1" w:styleId="Note">
    <w:name w:val="Note"/>
    <w:basedOn w:val="TableTextEntries"/>
    <w:next w:val="BodyText"/>
    <w:link w:val="NoteCharChar"/>
    <w:autoRedefine/>
    <w:rsid w:val="005B5769"/>
    <w:pPr>
      <w:keepNext/>
      <w:spacing w:before="20" w:after="20" w:line="180" w:lineRule="atLeast"/>
      <w:jc w:val="both"/>
    </w:pPr>
    <w:rPr>
      <w:iCs w:val="0"/>
      <w:sz w:val="14"/>
      <w:szCs w:val="14"/>
      <w:lang w:eastAsia="en-AU"/>
    </w:rPr>
  </w:style>
  <w:style w:type="paragraph" w:customStyle="1" w:styleId="TableTextEntries">
    <w:name w:val="Table Text Entries"/>
    <w:rsid w:val="005B5769"/>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5B5769"/>
    <w:rPr>
      <w:rFonts w:ascii="Franklin Gothic Book" w:eastAsia="Times New Roman" w:hAnsi="Franklin Gothic Book" w:cs="Times New Roman"/>
      <w:sz w:val="14"/>
      <w:szCs w:val="14"/>
      <w:lang w:eastAsia="en-AU"/>
    </w:rPr>
  </w:style>
  <w:style w:type="paragraph" w:customStyle="1" w:styleId="TableTextColumnHeading">
    <w:name w:val="Table Text Column Heading"/>
    <w:basedOn w:val="Normal"/>
    <w:autoRedefine/>
    <w:rsid w:val="005B5769"/>
    <w:pPr>
      <w:keepLines/>
      <w:suppressAutoHyphens w:val="0"/>
      <w:spacing w:before="80" w:after="80" w:line="200" w:lineRule="atLeast"/>
    </w:pPr>
    <w:rPr>
      <w:rFonts w:ascii="Franklin Gothic Medium" w:eastAsia="Times New Roman" w:hAnsi="Franklin Gothic Medium" w:cs="Times New Roman"/>
      <w:b/>
      <w:iCs/>
      <w:color w:val="auto"/>
      <w:sz w:val="17"/>
      <w:szCs w:val="17"/>
      <w:lang w:val="en-AU"/>
    </w:rPr>
  </w:style>
  <w:style w:type="table" w:customStyle="1" w:styleId="DFATTable">
    <w:name w:val="DFAT Table"/>
    <w:basedOn w:val="TableNormal"/>
    <w:uiPriority w:val="99"/>
    <w:rsid w:val="005B5769"/>
    <w:pPr>
      <w:spacing w:after="0" w:line="240" w:lineRule="auto"/>
    </w:pPr>
    <w:rPr>
      <w:rFonts w:ascii="Helvetica" w:hAnsi="Helvetica"/>
      <w:sz w:val="17"/>
      <w:lang w:eastAsia="en-AU"/>
    </w:rPr>
    <w:tblPr>
      <w:tblBorders>
        <w:top w:val="single" w:sz="12" w:space="0" w:color="auto"/>
        <w:bottom w:val="single" w:sz="12" w:space="0" w:color="auto"/>
      </w:tblBorders>
    </w:tblPr>
  </w:style>
  <w:style w:type="paragraph" w:customStyle="1" w:styleId="BoxListBullet">
    <w:name w:val="Box List Bullet"/>
    <w:basedOn w:val="Normal"/>
    <w:rsid w:val="005B5769"/>
    <w:pPr>
      <w:keepLines/>
      <w:numPr>
        <w:numId w:val="34"/>
      </w:numPr>
      <w:pBdr>
        <w:top w:val="single" w:sz="4" w:space="10" w:color="auto"/>
        <w:left w:val="single" w:sz="4" w:space="10" w:color="auto"/>
        <w:bottom w:val="single" w:sz="4" w:space="10" w:color="auto"/>
        <w:right w:val="single" w:sz="4" w:space="10" w:color="auto"/>
      </w:pBdr>
      <w:shd w:val="clear" w:color="auto" w:fill="C7D5E6"/>
      <w:suppressAutoHyphens w:val="0"/>
      <w:spacing w:before="0" w:after="120" w:line="240" w:lineRule="auto"/>
      <w:ind w:left="284" w:hanging="284"/>
      <w:contextualSpacing/>
      <w:mirrorIndents/>
    </w:pPr>
    <w:rPr>
      <w:rFonts w:ascii="Franklin Gothic Book" w:eastAsia="Times New Roman" w:hAnsi="Franklin Gothic Book" w:cs="Times New Roman"/>
      <w:iCs/>
      <w:color w:val="auto"/>
      <w:sz w:val="20"/>
      <w:szCs w:val="20"/>
      <w:lang w:val="en-AU" w:eastAsia="en-AU"/>
    </w:rPr>
  </w:style>
  <w:style w:type="paragraph" w:customStyle="1" w:styleId="TableHeading1">
    <w:name w:val="Table Heading 1"/>
    <w:basedOn w:val="TableTextEntries"/>
    <w:next w:val="TableTextEntries"/>
    <w:rsid w:val="005B5769"/>
    <w:pPr>
      <w:spacing w:before="80" w:after="80"/>
    </w:pPr>
    <w:rPr>
      <w:b/>
    </w:rPr>
  </w:style>
  <w:style w:type="table" w:customStyle="1" w:styleId="APPR">
    <w:name w:val="APPR"/>
    <w:basedOn w:val="TableNormal"/>
    <w:uiPriority w:val="99"/>
    <w:rsid w:val="005B5769"/>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TableListNumber2">
    <w:name w:val="Table List Number 2"/>
    <w:basedOn w:val="Normal"/>
    <w:rsid w:val="005B5769"/>
    <w:pPr>
      <w:keepLines/>
      <w:numPr>
        <w:numId w:val="35"/>
      </w:numPr>
      <w:suppressAutoHyphens w:val="0"/>
      <w:spacing w:before="40" w:after="40" w:line="200" w:lineRule="atLeast"/>
      <w:ind w:left="568" w:hanging="284"/>
    </w:pPr>
    <w:rPr>
      <w:rFonts w:ascii="Helvetica" w:eastAsia="Times New Roman" w:hAnsi="Helvetica" w:cs="Times New Roman"/>
      <w:iCs/>
      <w:color w:val="auto"/>
      <w:sz w:val="17"/>
      <w:szCs w:val="17"/>
      <w:lang w:val="en-AU"/>
    </w:rPr>
  </w:style>
  <w:style w:type="character" w:styleId="FollowedHyperlink">
    <w:name w:val="FollowedHyperlink"/>
    <w:basedOn w:val="DefaultParagraphFont"/>
    <w:uiPriority w:val="99"/>
    <w:semiHidden/>
    <w:unhideWhenUsed/>
    <w:rsid w:val="00164DFC"/>
    <w:rPr>
      <w:color w:val="800080" w:themeColor="followedHyperlink"/>
      <w:u w:val="single"/>
    </w:rPr>
  </w:style>
  <w:style w:type="character" w:styleId="CommentReference">
    <w:name w:val="annotation reference"/>
    <w:basedOn w:val="DefaultParagraphFont"/>
    <w:uiPriority w:val="99"/>
    <w:semiHidden/>
    <w:unhideWhenUsed/>
    <w:rsid w:val="00093E18"/>
    <w:rPr>
      <w:sz w:val="16"/>
      <w:szCs w:val="16"/>
    </w:rPr>
  </w:style>
  <w:style w:type="paragraph" w:styleId="CommentText">
    <w:name w:val="annotation text"/>
    <w:basedOn w:val="Normal"/>
    <w:link w:val="CommentTextChar"/>
    <w:uiPriority w:val="99"/>
    <w:semiHidden/>
    <w:unhideWhenUsed/>
    <w:rsid w:val="00093E18"/>
    <w:pPr>
      <w:spacing w:line="240" w:lineRule="auto"/>
    </w:pPr>
    <w:rPr>
      <w:sz w:val="20"/>
      <w:szCs w:val="20"/>
    </w:rPr>
  </w:style>
  <w:style w:type="character" w:customStyle="1" w:styleId="CommentTextChar">
    <w:name w:val="Comment Text Char"/>
    <w:basedOn w:val="DefaultParagraphFont"/>
    <w:link w:val="CommentText"/>
    <w:uiPriority w:val="99"/>
    <w:semiHidden/>
    <w:rsid w:val="00093E18"/>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093E18"/>
    <w:rPr>
      <w:b/>
      <w:bCs/>
    </w:rPr>
  </w:style>
  <w:style w:type="character" w:customStyle="1" w:styleId="CommentSubjectChar">
    <w:name w:val="Comment Subject Char"/>
    <w:basedOn w:val="CommentTextChar"/>
    <w:link w:val="CommentSubject"/>
    <w:uiPriority w:val="99"/>
    <w:semiHidden/>
    <w:rsid w:val="00093E18"/>
    <w:rPr>
      <w:b/>
      <w:bCs/>
      <w:color w:val="495965" w:themeColor="text2"/>
      <w:sz w:val="20"/>
      <w:szCs w:val="20"/>
      <w:lang w:val="en-GB"/>
    </w:rPr>
  </w:style>
  <w:style w:type="paragraph" w:styleId="EndnoteText">
    <w:name w:val="endnote text"/>
    <w:basedOn w:val="Normal"/>
    <w:link w:val="EndnoteTextChar"/>
    <w:uiPriority w:val="99"/>
    <w:unhideWhenUsed/>
    <w:rsid w:val="00890D15"/>
    <w:pPr>
      <w:spacing w:before="0" w:after="0" w:line="240" w:lineRule="auto"/>
    </w:pPr>
    <w:rPr>
      <w:sz w:val="20"/>
      <w:szCs w:val="20"/>
    </w:rPr>
  </w:style>
  <w:style w:type="character" w:customStyle="1" w:styleId="EndnoteTextChar">
    <w:name w:val="Endnote Text Char"/>
    <w:basedOn w:val="DefaultParagraphFont"/>
    <w:link w:val="EndnoteText"/>
    <w:uiPriority w:val="99"/>
    <w:rsid w:val="00890D15"/>
    <w:rPr>
      <w:color w:val="495965" w:themeColor="text2"/>
      <w:sz w:val="20"/>
      <w:szCs w:val="20"/>
      <w:lang w:val="en-GB"/>
    </w:rPr>
  </w:style>
  <w:style w:type="character" w:styleId="EndnoteReference">
    <w:name w:val="endnote reference"/>
    <w:rsid w:val="00890D15"/>
    <w:rPr>
      <w:rFonts w:ascii="Franklin Gothic Book" w:hAnsi="Franklin Gothic Book"/>
      <w:sz w:val="21"/>
      <w:vertAlign w:val="superscript"/>
    </w:rPr>
  </w:style>
  <w:style w:type="paragraph" w:styleId="ListParagraph">
    <w:name w:val="List Paragraph"/>
    <w:basedOn w:val="Normal"/>
    <w:uiPriority w:val="34"/>
    <w:qFormat/>
    <w:rsid w:val="00E60D06"/>
    <w:pPr>
      <w:ind w:left="720"/>
      <w:contextualSpacing/>
    </w:pPr>
  </w:style>
  <w:style w:type="table" w:customStyle="1" w:styleId="DFATTable10">
    <w:name w:val="DFAT Table1"/>
    <w:basedOn w:val="TableNormal"/>
    <w:uiPriority w:val="99"/>
    <w:rsid w:val="00581230"/>
    <w:pPr>
      <w:spacing w:after="0" w:line="240" w:lineRule="auto"/>
    </w:pPr>
    <w:rPr>
      <w:rFonts w:ascii="Helvetica" w:hAnsi="Helvetica"/>
      <w:sz w:val="17"/>
      <w:lang w:eastAsia="en-AU"/>
    </w:rPr>
    <w:tblPr>
      <w:tblBorders>
        <w:top w:val="single" w:sz="12" w:space="0" w:color="auto"/>
        <w:bottom w:val="single" w:sz="12" w:space="0" w:color="auto"/>
      </w:tblBorders>
    </w:tblPr>
  </w:style>
  <w:style w:type="table" w:customStyle="1" w:styleId="APPR1">
    <w:name w:val="APPR1"/>
    <w:basedOn w:val="TableNormal"/>
    <w:uiPriority w:val="99"/>
    <w:rsid w:val="00AE12F8"/>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customStyle="1" w:styleId="DFATTable2">
    <w:name w:val="DFAT Table2"/>
    <w:basedOn w:val="TableNormal"/>
    <w:uiPriority w:val="99"/>
    <w:rsid w:val="00BE0BBD"/>
    <w:pPr>
      <w:spacing w:after="0" w:line="240" w:lineRule="auto"/>
    </w:pPr>
    <w:rPr>
      <w:rFonts w:ascii="Helvetica" w:hAnsi="Helvetica"/>
      <w:sz w:val="17"/>
      <w:lang w:eastAsia="en-AU"/>
    </w:rPr>
    <w:tblPr>
      <w:tblBorders>
        <w:top w:val="single" w:sz="12" w:space="0" w:color="auto"/>
        <w:bottom w:val="single" w:sz="12" w:space="0" w:color="auto"/>
      </w:tblBorders>
    </w:tblPr>
  </w:style>
  <w:style w:type="paragraph" w:customStyle="1" w:styleId="Default">
    <w:name w:val="Default"/>
    <w:rsid w:val="00BE0BBD"/>
    <w:pPr>
      <w:autoSpaceDE w:val="0"/>
      <w:autoSpaceDN w:val="0"/>
      <w:adjustRightInd w:val="0"/>
      <w:spacing w:after="0" w:line="240" w:lineRule="auto"/>
    </w:pPr>
    <w:rPr>
      <w:rFonts w:ascii="Franklin Gothic Book" w:hAnsi="Franklin Gothic Book" w:cs="Franklin Gothic Book"/>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endnote reference" w:uiPriority="0"/>
    <w:lsdException w:name="List Bullet" w:uiPriority="0" w:qFormat="1"/>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71D"/>
    <w:pPr>
      <w:suppressAutoHyphens/>
      <w:spacing w:before="120" w:after="60" w:line="23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rsid w:val="00486804"/>
    <w:pPr>
      <w:outlineLvl w:val="6"/>
    </w:pPr>
    <w:rPr>
      <w:i/>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26"/>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before="480"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
    <w:name w:val="Plain Table 2"/>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992C76"/>
    <w:pPr>
      <w:tabs>
        <w:tab w:val="center" w:pos="4513"/>
        <w:tab w:val="right" w:pos="9026"/>
      </w:tabs>
      <w:spacing w:before="0" w:after="0"/>
      <w:jc w:val="right"/>
    </w:pPr>
    <w:rPr>
      <w:b/>
      <w:caps/>
      <w:sz w:val="20"/>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D2831"/>
    <w:pPr>
      <w:spacing w:before="400" w:after="400" w:line="280" w:lineRule="exact"/>
    </w:pPr>
    <w:rPr>
      <w:b/>
      <w:caps/>
      <w:color w:val="ACD08C" w:themeColor="accent3"/>
      <w:sz w:val="28"/>
    </w:rPr>
  </w:style>
  <w:style w:type="table" w:styleId="TableGrid">
    <w:name w:val="Table Grid"/>
    <w:basedOn w:val="TableNormal"/>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92C76"/>
    <w:rPr>
      <w:b/>
      <w:caps/>
      <w:color w:val="495965" w:themeColor="text2"/>
      <w:sz w:val="20"/>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link w:val="CaptionChar"/>
    <w:uiPriority w:val="99"/>
    <w:unhideWhenUsed/>
    <w:qFormat/>
    <w:rsid w:val="00ED2831"/>
    <w:pPr>
      <w:spacing w:before="240" w:after="180" w:line="240" w:lineRule="atLeast"/>
      <w:contextualSpacing/>
    </w:pPr>
    <w:rPr>
      <w:b/>
      <w:iCs/>
      <w:color w:val="000000" w:themeColor="text1"/>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F83428"/>
    <w:rPr>
      <w:color w:val="ACD08C" w:themeColor="accent3"/>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F82271"/>
    <w:pPr>
      <w:spacing w:after="200" w:line="140" w:lineRule="atLeast"/>
      <w:jc w:val="right"/>
    </w:pPr>
    <w:rPr>
      <w:sz w:val="12"/>
    </w:rPr>
  </w:style>
  <w:style w:type="table" w:customStyle="1" w:styleId="DFATTable1">
    <w:name w:val="DFAT Table 1"/>
    <w:basedOn w:val="TableNormal"/>
    <w:uiPriority w:val="99"/>
    <w:rsid w:val="00ED2831"/>
    <w:pPr>
      <w:spacing w:before="60" w:after="60" w:line="220" w:lineRule="atLeast"/>
    </w:pPr>
    <w:rPr>
      <w:rFonts w:ascii="Calibri" w:hAnsi="Calibri"/>
      <w:sz w:val="18"/>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ED2831"/>
    <w:pPr>
      <w:pageBreakBefore w:val="0"/>
      <w:spacing w:after="60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ED2831"/>
    <w:pPr>
      <w:spacing w:before="60" w:line="220" w:lineRule="atLeast"/>
    </w:pPr>
    <w:rPr>
      <w:rFonts w:ascii="Calibri" w:hAnsi="Calibri"/>
      <w:b/>
      <w:sz w:val="18"/>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ED2831"/>
    <w:pPr>
      <w:spacing w:before="60" w:line="220" w:lineRule="atLeast"/>
    </w:pPr>
    <w:rPr>
      <w:rFonts w:ascii="Calibri" w:hAnsi="Calibri"/>
      <w:b/>
      <w:color w:val="FFFFFF" w:themeColor="background1"/>
      <w:sz w:val="18"/>
    </w:rPr>
  </w:style>
  <w:style w:type="paragraph" w:customStyle="1" w:styleId="BoxHeading">
    <w:name w:val="Box Heading"/>
    <w:basedOn w:val="Heading3"/>
    <w:qFormat/>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A80F95"/>
    <w:pPr>
      <w:spacing w:before="60" w:line="220" w:lineRule="atLeast"/>
    </w:pPr>
    <w:rPr>
      <w:rFonts w:ascii="Calibri" w:hAnsi="Calibri"/>
      <w:sz w:val="18"/>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rsid w:val="002B3E9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E95"/>
    <w:rPr>
      <w:rFonts w:ascii="Tahoma" w:hAnsi="Tahoma" w:cs="Tahoma"/>
      <w:color w:val="495965" w:themeColor="text2"/>
      <w:sz w:val="16"/>
      <w:szCs w:val="16"/>
      <w:lang w:val="en-GB"/>
    </w:rPr>
  </w:style>
  <w:style w:type="paragraph" w:styleId="BodyText">
    <w:name w:val="Body Text"/>
    <w:basedOn w:val="Normal"/>
    <w:link w:val="BodyTextChar"/>
    <w:qFormat/>
    <w:rsid w:val="008F56A8"/>
    <w:pPr>
      <w:suppressAutoHyphens w:val="0"/>
      <w:spacing w:before="0" w:after="160" w:line="280" w:lineRule="exact"/>
    </w:pPr>
    <w:rPr>
      <w:rFonts w:ascii="Franklin Gothic Book" w:eastAsia="Times New Roman" w:hAnsi="Franklin Gothic Book" w:cs="Times New Roman"/>
      <w:color w:val="auto"/>
      <w:sz w:val="21"/>
      <w:szCs w:val="24"/>
      <w:lang w:val="en-AU" w:eastAsia="en-AU"/>
    </w:rPr>
  </w:style>
  <w:style w:type="character" w:customStyle="1" w:styleId="BodyTextChar">
    <w:name w:val="Body Text Char"/>
    <w:basedOn w:val="DefaultParagraphFont"/>
    <w:link w:val="BodyText"/>
    <w:rsid w:val="008F56A8"/>
    <w:rPr>
      <w:rFonts w:ascii="Franklin Gothic Book" w:eastAsia="Times New Roman" w:hAnsi="Franklin Gothic Book" w:cs="Times New Roman"/>
      <w:sz w:val="21"/>
      <w:szCs w:val="24"/>
      <w:lang w:eastAsia="en-AU"/>
    </w:rPr>
  </w:style>
  <w:style w:type="paragraph" w:styleId="ListBullet">
    <w:name w:val="List Bullet"/>
    <w:basedOn w:val="BodyText"/>
    <w:qFormat/>
    <w:rsid w:val="008F56A8"/>
    <w:pPr>
      <w:tabs>
        <w:tab w:val="left" w:pos="284"/>
      </w:tabs>
      <w:spacing w:after="120"/>
    </w:pPr>
  </w:style>
  <w:style w:type="character" w:customStyle="1" w:styleId="CaptionChar">
    <w:name w:val="Caption Char"/>
    <w:link w:val="Caption"/>
    <w:uiPriority w:val="99"/>
    <w:locked/>
    <w:rsid w:val="008F56A8"/>
    <w:rPr>
      <w:b/>
      <w:iCs/>
      <w:color w:val="000000" w:themeColor="text1"/>
      <w:sz w:val="20"/>
      <w:szCs w:val="18"/>
      <w:lang w:val="en-GB"/>
    </w:rPr>
  </w:style>
  <w:style w:type="paragraph" w:customStyle="1" w:styleId="Note">
    <w:name w:val="Note"/>
    <w:basedOn w:val="TableTextEntries"/>
    <w:next w:val="BodyText"/>
    <w:link w:val="NoteCharChar"/>
    <w:autoRedefine/>
    <w:rsid w:val="005B5769"/>
    <w:pPr>
      <w:keepNext/>
      <w:spacing w:before="20" w:after="20" w:line="180" w:lineRule="atLeast"/>
      <w:jc w:val="both"/>
    </w:pPr>
    <w:rPr>
      <w:iCs w:val="0"/>
      <w:sz w:val="14"/>
      <w:szCs w:val="14"/>
      <w:lang w:eastAsia="en-AU"/>
    </w:rPr>
  </w:style>
  <w:style w:type="paragraph" w:customStyle="1" w:styleId="TableTextEntries">
    <w:name w:val="Table Text Entries"/>
    <w:rsid w:val="005B5769"/>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5B5769"/>
    <w:rPr>
      <w:rFonts w:ascii="Franklin Gothic Book" w:eastAsia="Times New Roman" w:hAnsi="Franklin Gothic Book" w:cs="Times New Roman"/>
      <w:sz w:val="14"/>
      <w:szCs w:val="14"/>
      <w:lang w:eastAsia="en-AU"/>
    </w:rPr>
  </w:style>
  <w:style w:type="paragraph" w:customStyle="1" w:styleId="TableTextColumnHeading">
    <w:name w:val="Table Text Column Heading"/>
    <w:basedOn w:val="Normal"/>
    <w:autoRedefine/>
    <w:rsid w:val="005B5769"/>
    <w:pPr>
      <w:keepLines/>
      <w:suppressAutoHyphens w:val="0"/>
      <w:spacing w:before="80" w:after="80" w:line="200" w:lineRule="atLeast"/>
    </w:pPr>
    <w:rPr>
      <w:rFonts w:ascii="Franklin Gothic Medium" w:eastAsia="Times New Roman" w:hAnsi="Franklin Gothic Medium" w:cs="Times New Roman"/>
      <w:b/>
      <w:iCs/>
      <w:color w:val="auto"/>
      <w:sz w:val="17"/>
      <w:szCs w:val="17"/>
      <w:lang w:val="en-AU"/>
    </w:rPr>
  </w:style>
  <w:style w:type="table" w:customStyle="1" w:styleId="DFATTable">
    <w:name w:val="DFAT Table"/>
    <w:basedOn w:val="TableNormal"/>
    <w:uiPriority w:val="99"/>
    <w:rsid w:val="005B5769"/>
    <w:pPr>
      <w:spacing w:after="0" w:line="240" w:lineRule="auto"/>
    </w:pPr>
    <w:rPr>
      <w:rFonts w:ascii="Helvetica" w:hAnsi="Helvetica"/>
      <w:sz w:val="17"/>
      <w:lang w:eastAsia="en-AU"/>
    </w:rPr>
    <w:tblPr>
      <w:tblBorders>
        <w:top w:val="single" w:sz="12" w:space="0" w:color="auto"/>
        <w:bottom w:val="single" w:sz="12" w:space="0" w:color="auto"/>
      </w:tblBorders>
    </w:tblPr>
  </w:style>
  <w:style w:type="paragraph" w:customStyle="1" w:styleId="BoxListBullet">
    <w:name w:val="Box List Bullet"/>
    <w:basedOn w:val="Normal"/>
    <w:rsid w:val="005B5769"/>
    <w:pPr>
      <w:keepLines/>
      <w:numPr>
        <w:numId w:val="34"/>
      </w:numPr>
      <w:pBdr>
        <w:top w:val="single" w:sz="4" w:space="10" w:color="auto"/>
        <w:left w:val="single" w:sz="4" w:space="10" w:color="auto"/>
        <w:bottom w:val="single" w:sz="4" w:space="10" w:color="auto"/>
        <w:right w:val="single" w:sz="4" w:space="10" w:color="auto"/>
      </w:pBdr>
      <w:shd w:val="clear" w:color="auto" w:fill="C7D5E6"/>
      <w:suppressAutoHyphens w:val="0"/>
      <w:spacing w:before="0" w:after="120" w:line="240" w:lineRule="auto"/>
      <w:ind w:left="284" w:hanging="284"/>
      <w:contextualSpacing/>
      <w:mirrorIndents/>
    </w:pPr>
    <w:rPr>
      <w:rFonts w:ascii="Franklin Gothic Book" w:eastAsia="Times New Roman" w:hAnsi="Franklin Gothic Book" w:cs="Times New Roman"/>
      <w:iCs/>
      <w:color w:val="auto"/>
      <w:sz w:val="20"/>
      <w:szCs w:val="20"/>
      <w:lang w:val="en-AU" w:eastAsia="en-AU"/>
    </w:rPr>
  </w:style>
  <w:style w:type="paragraph" w:customStyle="1" w:styleId="TableHeading1">
    <w:name w:val="Table Heading 1"/>
    <w:basedOn w:val="TableTextEntries"/>
    <w:next w:val="TableTextEntries"/>
    <w:rsid w:val="005B5769"/>
    <w:pPr>
      <w:spacing w:before="80" w:after="80"/>
    </w:pPr>
    <w:rPr>
      <w:b/>
    </w:rPr>
  </w:style>
  <w:style w:type="table" w:customStyle="1" w:styleId="APPR">
    <w:name w:val="APPR"/>
    <w:basedOn w:val="TableNormal"/>
    <w:uiPriority w:val="99"/>
    <w:rsid w:val="005B5769"/>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TableListNumber2">
    <w:name w:val="Table List Number 2"/>
    <w:basedOn w:val="Normal"/>
    <w:rsid w:val="005B5769"/>
    <w:pPr>
      <w:keepLines/>
      <w:numPr>
        <w:numId w:val="35"/>
      </w:numPr>
      <w:suppressAutoHyphens w:val="0"/>
      <w:spacing w:before="40" w:after="40" w:line="200" w:lineRule="atLeast"/>
      <w:ind w:left="568" w:hanging="284"/>
    </w:pPr>
    <w:rPr>
      <w:rFonts w:ascii="Helvetica" w:eastAsia="Times New Roman" w:hAnsi="Helvetica" w:cs="Times New Roman"/>
      <w:iCs/>
      <w:color w:val="auto"/>
      <w:sz w:val="17"/>
      <w:szCs w:val="17"/>
      <w:lang w:val="en-AU"/>
    </w:rPr>
  </w:style>
  <w:style w:type="character" w:styleId="FollowedHyperlink">
    <w:name w:val="FollowedHyperlink"/>
    <w:basedOn w:val="DefaultParagraphFont"/>
    <w:uiPriority w:val="99"/>
    <w:semiHidden/>
    <w:unhideWhenUsed/>
    <w:rsid w:val="00164DFC"/>
    <w:rPr>
      <w:color w:val="800080" w:themeColor="followedHyperlink"/>
      <w:u w:val="single"/>
    </w:rPr>
  </w:style>
  <w:style w:type="character" w:styleId="CommentReference">
    <w:name w:val="annotation reference"/>
    <w:basedOn w:val="DefaultParagraphFont"/>
    <w:uiPriority w:val="99"/>
    <w:semiHidden/>
    <w:unhideWhenUsed/>
    <w:rsid w:val="00093E18"/>
    <w:rPr>
      <w:sz w:val="16"/>
      <w:szCs w:val="16"/>
    </w:rPr>
  </w:style>
  <w:style w:type="paragraph" w:styleId="CommentText">
    <w:name w:val="annotation text"/>
    <w:basedOn w:val="Normal"/>
    <w:link w:val="CommentTextChar"/>
    <w:uiPriority w:val="99"/>
    <w:semiHidden/>
    <w:unhideWhenUsed/>
    <w:rsid w:val="00093E18"/>
    <w:pPr>
      <w:spacing w:line="240" w:lineRule="auto"/>
    </w:pPr>
    <w:rPr>
      <w:sz w:val="20"/>
      <w:szCs w:val="20"/>
    </w:rPr>
  </w:style>
  <w:style w:type="character" w:customStyle="1" w:styleId="CommentTextChar">
    <w:name w:val="Comment Text Char"/>
    <w:basedOn w:val="DefaultParagraphFont"/>
    <w:link w:val="CommentText"/>
    <w:uiPriority w:val="99"/>
    <w:semiHidden/>
    <w:rsid w:val="00093E18"/>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093E18"/>
    <w:rPr>
      <w:b/>
      <w:bCs/>
    </w:rPr>
  </w:style>
  <w:style w:type="character" w:customStyle="1" w:styleId="CommentSubjectChar">
    <w:name w:val="Comment Subject Char"/>
    <w:basedOn w:val="CommentTextChar"/>
    <w:link w:val="CommentSubject"/>
    <w:uiPriority w:val="99"/>
    <w:semiHidden/>
    <w:rsid w:val="00093E18"/>
    <w:rPr>
      <w:b/>
      <w:bCs/>
      <w:color w:val="495965" w:themeColor="text2"/>
      <w:sz w:val="20"/>
      <w:szCs w:val="20"/>
      <w:lang w:val="en-GB"/>
    </w:rPr>
  </w:style>
  <w:style w:type="paragraph" w:styleId="EndnoteText">
    <w:name w:val="endnote text"/>
    <w:basedOn w:val="Normal"/>
    <w:link w:val="EndnoteTextChar"/>
    <w:uiPriority w:val="99"/>
    <w:unhideWhenUsed/>
    <w:rsid w:val="00890D15"/>
    <w:pPr>
      <w:spacing w:before="0" w:after="0" w:line="240" w:lineRule="auto"/>
    </w:pPr>
    <w:rPr>
      <w:sz w:val="20"/>
      <w:szCs w:val="20"/>
    </w:rPr>
  </w:style>
  <w:style w:type="character" w:customStyle="1" w:styleId="EndnoteTextChar">
    <w:name w:val="Endnote Text Char"/>
    <w:basedOn w:val="DefaultParagraphFont"/>
    <w:link w:val="EndnoteText"/>
    <w:uiPriority w:val="99"/>
    <w:rsid w:val="00890D15"/>
    <w:rPr>
      <w:color w:val="495965" w:themeColor="text2"/>
      <w:sz w:val="20"/>
      <w:szCs w:val="20"/>
      <w:lang w:val="en-GB"/>
    </w:rPr>
  </w:style>
  <w:style w:type="character" w:styleId="EndnoteReference">
    <w:name w:val="endnote reference"/>
    <w:rsid w:val="00890D15"/>
    <w:rPr>
      <w:rFonts w:ascii="Franklin Gothic Book" w:hAnsi="Franklin Gothic Book"/>
      <w:sz w:val="21"/>
      <w:vertAlign w:val="superscript"/>
    </w:rPr>
  </w:style>
  <w:style w:type="paragraph" w:styleId="ListParagraph">
    <w:name w:val="List Paragraph"/>
    <w:basedOn w:val="Normal"/>
    <w:uiPriority w:val="34"/>
    <w:qFormat/>
    <w:rsid w:val="00E60D06"/>
    <w:pPr>
      <w:ind w:left="720"/>
      <w:contextualSpacing/>
    </w:pPr>
  </w:style>
  <w:style w:type="table" w:customStyle="1" w:styleId="DFATTable10">
    <w:name w:val="DFAT Table1"/>
    <w:basedOn w:val="TableNormal"/>
    <w:uiPriority w:val="99"/>
    <w:rsid w:val="00581230"/>
    <w:pPr>
      <w:spacing w:after="0" w:line="240" w:lineRule="auto"/>
    </w:pPr>
    <w:rPr>
      <w:rFonts w:ascii="Helvetica" w:hAnsi="Helvetica"/>
      <w:sz w:val="17"/>
      <w:lang w:eastAsia="en-AU"/>
    </w:rPr>
    <w:tblPr>
      <w:tblBorders>
        <w:top w:val="single" w:sz="12" w:space="0" w:color="auto"/>
        <w:bottom w:val="single" w:sz="12" w:space="0" w:color="auto"/>
      </w:tblBorders>
    </w:tblPr>
  </w:style>
  <w:style w:type="table" w:customStyle="1" w:styleId="APPR1">
    <w:name w:val="APPR1"/>
    <w:basedOn w:val="TableNormal"/>
    <w:uiPriority w:val="99"/>
    <w:rsid w:val="00AE12F8"/>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customStyle="1" w:styleId="DFATTable2">
    <w:name w:val="DFAT Table2"/>
    <w:basedOn w:val="TableNormal"/>
    <w:uiPriority w:val="99"/>
    <w:rsid w:val="00BE0BBD"/>
    <w:pPr>
      <w:spacing w:after="0" w:line="240" w:lineRule="auto"/>
    </w:pPr>
    <w:rPr>
      <w:rFonts w:ascii="Helvetica" w:hAnsi="Helvetica"/>
      <w:sz w:val="17"/>
      <w:lang w:eastAsia="en-AU"/>
    </w:rPr>
    <w:tblPr>
      <w:tblBorders>
        <w:top w:val="single" w:sz="12" w:space="0" w:color="auto"/>
        <w:bottom w:val="single" w:sz="12" w:space="0" w:color="auto"/>
      </w:tblBorders>
    </w:tblPr>
  </w:style>
  <w:style w:type="paragraph" w:customStyle="1" w:styleId="Default">
    <w:name w:val="Default"/>
    <w:rsid w:val="00BE0BBD"/>
    <w:pPr>
      <w:autoSpaceDE w:val="0"/>
      <w:autoSpaceDN w:val="0"/>
      <w:adjustRightInd w:val="0"/>
      <w:spacing w:after="0" w:line="240" w:lineRule="auto"/>
    </w:pPr>
    <w:rPr>
      <w:rFonts w:ascii="Franklin Gothic Book" w:hAnsi="Franklin Gothic Book" w:cs="Franklin Gothic 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94080">
      <w:bodyDiv w:val="1"/>
      <w:marLeft w:val="0"/>
      <w:marRight w:val="0"/>
      <w:marTop w:val="0"/>
      <w:marBottom w:val="0"/>
      <w:divBdr>
        <w:top w:val="none" w:sz="0" w:space="0" w:color="auto"/>
        <w:left w:val="none" w:sz="0" w:space="0" w:color="auto"/>
        <w:bottom w:val="none" w:sz="0" w:space="0" w:color="auto"/>
        <w:right w:val="none" w:sz="0" w:space="0" w:color="auto"/>
      </w:divBdr>
    </w:div>
    <w:div w:id="298998672">
      <w:bodyDiv w:val="1"/>
      <w:marLeft w:val="0"/>
      <w:marRight w:val="0"/>
      <w:marTop w:val="0"/>
      <w:marBottom w:val="0"/>
      <w:divBdr>
        <w:top w:val="none" w:sz="0" w:space="0" w:color="auto"/>
        <w:left w:val="none" w:sz="0" w:space="0" w:color="auto"/>
        <w:bottom w:val="none" w:sz="0" w:space="0" w:color="auto"/>
        <w:right w:val="none" w:sz="0" w:space="0" w:color="auto"/>
      </w:divBdr>
    </w:div>
    <w:div w:id="388652639">
      <w:bodyDiv w:val="1"/>
      <w:marLeft w:val="0"/>
      <w:marRight w:val="0"/>
      <w:marTop w:val="0"/>
      <w:marBottom w:val="0"/>
      <w:divBdr>
        <w:top w:val="none" w:sz="0" w:space="0" w:color="auto"/>
        <w:left w:val="none" w:sz="0" w:space="0" w:color="auto"/>
        <w:bottom w:val="none" w:sz="0" w:space="0" w:color="auto"/>
        <w:right w:val="none" w:sz="0" w:space="0" w:color="auto"/>
      </w:divBdr>
    </w:div>
    <w:div w:id="967659141">
      <w:bodyDiv w:val="1"/>
      <w:marLeft w:val="0"/>
      <w:marRight w:val="0"/>
      <w:marTop w:val="0"/>
      <w:marBottom w:val="0"/>
      <w:divBdr>
        <w:top w:val="none" w:sz="0" w:space="0" w:color="auto"/>
        <w:left w:val="none" w:sz="0" w:space="0" w:color="auto"/>
        <w:bottom w:val="none" w:sz="0" w:space="0" w:color="auto"/>
        <w:right w:val="none" w:sz="0" w:space="0" w:color="auto"/>
      </w:divBdr>
    </w:div>
    <w:div w:id="1944147340">
      <w:bodyDiv w:val="1"/>
      <w:marLeft w:val="0"/>
      <w:marRight w:val="0"/>
      <w:marTop w:val="0"/>
      <w:marBottom w:val="0"/>
      <w:divBdr>
        <w:top w:val="none" w:sz="0" w:space="0" w:color="auto"/>
        <w:left w:val="none" w:sz="0" w:space="0" w:color="auto"/>
        <w:bottom w:val="none" w:sz="0" w:space="0" w:color="auto"/>
        <w:right w:val="none" w:sz="0" w:space="0" w:color="auto"/>
      </w:divBdr>
    </w:div>
    <w:div w:id="2007593284">
      <w:bodyDiv w:val="1"/>
      <w:marLeft w:val="0"/>
      <w:marRight w:val="0"/>
      <w:marTop w:val="0"/>
      <w:marBottom w:val="0"/>
      <w:divBdr>
        <w:top w:val="none" w:sz="0" w:space="0" w:color="auto"/>
        <w:left w:val="none" w:sz="0" w:space="0" w:color="auto"/>
        <w:bottom w:val="none" w:sz="0" w:space="0" w:color="auto"/>
        <w:right w:val="none" w:sz="0" w:space="0" w:color="auto"/>
      </w:divBdr>
    </w:div>
    <w:div w:id="2009016537">
      <w:bodyDiv w:val="1"/>
      <w:marLeft w:val="0"/>
      <w:marRight w:val="0"/>
      <w:marTop w:val="0"/>
      <w:marBottom w:val="0"/>
      <w:divBdr>
        <w:top w:val="none" w:sz="0" w:space="0" w:color="auto"/>
        <w:left w:val="none" w:sz="0" w:space="0" w:color="auto"/>
        <w:bottom w:val="none" w:sz="0" w:space="0" w:color="auto"/>
        <w:right w:val="none" w:sz="0" w:space="0" w:color="auto"/>
      </w:divBdr>
    </w:div>
    <w:div w:id="211354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customXml" Target="../customXml/item4.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FAT Corporate">
      <a:dk1>
        <a:sysClr val="windowText" lastClr="000000"/>
      </a:dk1>
      <a:lt1>
        <a:sysClr val="window" lastClr="FFFFFF"/>
      </a:lt1>
      <a:dk2>
        <a:srgbClr val="495965"/>
      </a:dk2>
      <a:lt2>
        <a:srgbClr val="D8DCDB"/>
      </a:lt2>
      <a:accent1>
        <a:srgbClr val="65C5B4"/>
      </a:accent1>
      <a:accent2>
        <a:srgbClr val="D3875F"/>
      </a:accent2>
      <a:accent3>
        <a:srgbClr val="ACD08C"/>
      </a:accent3>
      <a:accent4>
        <a:srgbClr val="007C89"/>
      </a:accent4>
      <a:accent5>
        <a:srgbClr val="C15A2D"/>
      </a:accent5>
      <a:accent6>
        <a:srgbClr val="409F68"/>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431642-883B-4352-AB28-FC147DDECF45}"/>
</file>

<file path=customXml/itemProps2.xml><?xml version="1.0" encoding="utf-8"?>
<ds:datastoreItem xmlns:ds="http://schemas.openxmlformats.org/officeDocument/2006/customXml" ds:itemID="{14664E89-0EC2-46B6-94B1-90E64B0F266E}"/>
</file>

<file path=customXml/itemProps3.xml><?xml version="1.0" encoding="utf-8"?>
<ds:datastoreItem xmlns:ds="http://schemas.openxmlformats.org/officeDocument/2006/customXml" ds:itemID="{7EFD5E3B-4370-4E90-BC5A-7CD00518E9CF}"/>
</file>

<file path=customXml/itemProps4.xml><?xml version="1.0" encoding="utf-8"?>
<ds:datastoreItem xmlns:ds="http://schemas.openxmlformats.org/officeDocument/2006/customXml" ds:itemID="{6491ADFC-AB05-4564-B69A-77C85694DAC2}"/>
</file>

<file path=docProps/app.xml><?xml version="1.0" encoding="utf-8"?>
<Properties xmlns="http://schemas.openxmlformats.org/officeDocument/2006/extended-properties" xmlns:vt="http://schemas.openxmlformats.org/officeDocument/2006/docPropsVTypes">
  <Template>F54DD523</Template>
  <TotalTime>0</TotalTime>
  <Pages>25</Pages>
  <Words>10069</Words>
  <Characters>57397</Characters>
  <Application>Microsoft Office Word</Application>
  <DocSecurity>0</DocSecurity>
  <Lines>478</Lines>
  <Paragraphs>134</Paragraphs>
  <ScaleCrop>false</ScaleCrop>
  <Company/>
  <LinksUpToDate>false</LinksUpToDate>
  <CharactersWithSpaces>67332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2016-09-06T00:58:00Z</dcterms:created>
  <dcterms:modified xsi:type="dcterms:W3CDTF">2016-09-06T00:58:00Z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05a3e548-b7a7-4382-9500-82230ceb7370</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1056200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