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6.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3F" w:rsidRDefault="000D733F">
      <w:pPr>
        <w:spacing w:after="200" w:line="276" w:lineRule="auto"/>
      </w:pPr>
      <w:bookmarkStart w:id="0" w:name="_GoBack"/>
      <w:bookmarkEnd w:id="0"/>
    </w:p>
    <w:p w:rsidR="000D733F" w:rsidRDefault="000D733F" w:rsidP="009E79EC"/>
    <w:p w:rsidR="000D733F" w:rsidRDefault="000D733F">
      <w:pPr>
        <w:spacing w:after="200" w:line="276" w:lineRule="auto"/>
      </w:pPr>
    </w:p>
    <w:p w:rsidR="000D733F" w:rsidRDefault="000D733F">
      <w:pPr>
        <w:spacing w:after="200" w:line="276" w:lineRule="auto"/>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0D733F" w:rsidRPr="001227C3" w:rsidRDefault="000D733F" w:rsidP="000D733F">
      <w:pPr>
        <w:pStyle w:val="Title"/>
        <w:ind w:left="2694" w:right="-624"/>
        <w:rPr>
          <w:noProof/>
          <w:color w:val="FFFFFF"/>
          <w:spacing w:val="0"/>
          <w:sz w:val="50"/>
          <w:szCs w:val="50"/>
          <w:lang w:val="en-US" w:eastAsia="en-US"/>
        </w:rPr>
      </w:pPr>
      <w:r w:rsidRPr="001227C3">
        <w:rPr>
          <w:noProof/>
          <w:color w:val="FFFFFF"/>
          <w:spacing w:val="0"/>
          <w:sz w:val="50"/>
          <w:szCs w:val="50"/>
          <w:lang w:val="en-US" w:eastAsia="en-US"/>
        </w:rPr>
        <w:t>Aid</w:t>
      </w:r>
      <w:r w:rsidR="008D280D">
        <w:rPr>
          <w:noProof/>
          <w:color w:val="FFFFFF"/>
          <w:spacing w:val="0"/>
          <w:sz w:val="50"/>
          <w:szCs w:val="50"/>
          <w:lang w:val="en-US" w:eastAsia="en-US"/>
        </w:rPr>
        <w:t xml:space="preserve"> Program Performance Report 2014-15</w:t>
      </w:r>
      <w:r w:rsidRPr="001227C3">
        <w:rPr>
          <w:noProof/>
          <w:color w:val="FFFFFF"/>
          <w:spacing w:val="0"/>
          <w:sz w:val="50"/>
          <w:szCs w:val="50"/>
          <w:lang w:val="en-US" w:eastAsia="en-US"/>
        </w:rPr>
        <w:t xml:space="preserve"> </w:t>
      </w:r>
      <w:r w:rsidRPr="001227C3">
        <w:rPr>
          <w:noProof/>
          <w:color w:val="FFFFFF"/>
          <w:spacing w:val="0"/>
          <w:sz w:val="50"/>
          <w:szCs w:val="50"/>
        </w:rPr>
        <w:drawing>
          <wp:anchor distT="0" distB="0" distL="114300" distR="114300" simplePos="0" relativeHeight="251662336" behindDoc="1" locked="1" layoutInCell="1" allowOverlap="1" wp14:anchorId="1C8FA5ED" wp14:editId="4DDD3C0E">
            <wp:simplePos x="0" y="0"/>
            <wp:positionH relativeFrom="page">
              <wp:posOffset>-285750</wp:posOffset>
            </wp:positionH>
            <wp:positionV relativeFrom="page">
              <wp:posOffset>-200025</wp:posOffset>
            </wp:positionV>
            <wp:extent cx="8107045" cy="11271885"/>
            <wp:effectExtent l="0" t="0" r="0" b="5715"/>
            <wp:wrapNone/>
            <wp:docPr id="11"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9">
                      <a:extLst>
                        <a:ext uri="{28A0092B-C50C-407E-A947-70E740481C1C}">
                          <a14:useLocalDpi xmlns:a14="http://schemas.microsoft.com/office/drawing/2010/main" val="0"/>
                        </a:ext>
                      </a:extLst>
                    </a:blip>
                    <a:srcRect l="-812" r="-812"/>
                    <a:stretch/>
                  </pic:blipFill>
                  <pic:spPr bwMode="auto">
                    <a:xfrm>
                      <a:off x="0" y="0"/>
                      <a:ext cx="8107045" cy="112718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D733F" w:rsidRDefault="00C12CE2" w:rsidP="000D733F">
      <w:pPr>
        <w:pStyle w:val="Subtitle"/>
        <w:ind w:left="2694" w:right="-624"/>
        <w:rPr>
          <w:noProof/>
          <w:color w:val="FFFFFF"/>
          <w:spacing w:val="0"/>
          <w:sz w:val="32"/>
          <w:szCs w:val="32"/>
          <w:lang w:val="en-US" w:eastAsia="en-US"/>
        </w:rPr>
      </w:pPr>
      <w:r>
        <w:rPr>
          <w:noProof/>
          <w:color w:val="FFFFFF"/>
          <w:spacing w:val="0"/>
          <w:sz w:val="32"/>
          <w:szCs w:val="32"/>
          <w:lang w:val="en-US" w:eastAsia="en-US"/>
        </w:rPr>
        <w:t>Vanuatu</w:t>
      </w:r>
    </w:p>
    <w:p w:rsidR="00CE1DFB" w:rsidRPr="00CE1DFB" w:rsidRDefault="00CE1DFB" w:rsidP="00CE1DFB">
      <w:pPr>
        <w:pStyle w:val="Date"/>
        <w:spacing w:before="200" w:after="600" w:line="380" w:lineRule="atLeast"/>
        <w:ind w:left="2694" w:right="-624"/>
        <w:rPr>
          <w:rFonts w:ascii="Helvetica" w:eastAsia="Times New Roman" w:hAnsi="Helvetica"/>
          <w:noProof/>
          <w:color w:val="FFFFFF"/>
          <w:kern w:val="28"/>
          <w:sz w:val="24"/>
          <w:lang w:val="en-US" w:eastAsia="en-US"/>
        </w:rPr>
      </w:pPr>
      <w:r w:rsidRPr="00CD542B">
        <w:rPr>
          <w:rFonts w:ascii="Helvetica" w:eastAsia="Times New Roman" w:hAnsi="Helvetica"/>
          <w:noProof/>
          <w:color w:val="FFFFFF"/>
          <w:kern w:val="28"/>
          <w:sz w:val="32"/>
          <w:szCs w:val="32"/>
          <w:lang w:val="en-US" w:eastAsia="en-US"/>
        </w:rPr>
        <w:tab/>
      </w:r>
      <w:r>
        <w:rPr>
          <w:lang w:val="en-US" w:eastAsia="en-US"/>
        </w:rPr>
        <w:tab/>
      </w:r>
    </w:p>
    <w:p w:rsidR="00AE3CEF" w:rsidRDefault="00125002" w:rsidP="00CE1DFB">
      <w:pPr>
        <w:pStyle w:val="Date"/>
        <w:spacing w:before="200" w:after="600" w:line="380" w:lineRule="atLeast"/>
        <w:ind w:left="2694" w:right="-624"/>
        <w:rPr>
          <w:rFonts w:ascii="Helvetica" w:eastAsia="Times New Roman" w:hAnsi="Helvetica"/>
          <w:noProof/>
          <w:color w:val="FFFFFF"/>
          <w:kern w:val="28"/>
          <w:sz w:val="24"/>
          <w:lang w:val="en-US" w:eastAsia="en-US"/>
        </w:rPr>
        <w:sectPr w:rsidR="00AE3CEF" w:rsidSect="00AE3CEF">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2381" w:right="1701" w:bottom="907" w:left="1701" w:header="850" w:footer="567" w:gutter="0"/>
          <w:cols w:space="720"/>
          <w:titlePg/>
          <w:docGrid w:linePitch="326"/>
        </w:sectPr>
      </w:pPr>
      <w:r>
        <w:rPr>
          <w:rFonts w:ascii="Helvetica" w:eastAsia="Times New Roman" w:hAnsi="Helvetica"/>
          <w:noProof/>
          <w:color w:val="FFFFFF"/>
          <w:kern w:val="28"/>
          <w:sz w:val="24"/>
          <w:lang w:val="en-US" w:eastAsia="en-US"/>
        </w:rPr>
        <w:t>November</w:t>
      </w:r>
      <w:r w:rsidR="000D733F" w:rsidRPr="001227C3">
        <w:rPr>
          <w:rFonts w:ascii="Helvetica" w:eastAsia="Times New Roman" w:hAnsi="Helvetica"/>
          <w:noProof/>
          <w:color w:val="FFFFFF"/>
          <w:kern w:val="28"/>
          <w:sz w:val="24"/>
          <w:lang w:val="en-US" w:eastAsia="en-US"/>
        </w:rPr>
        <w:t xml:space="preserve"> 201</w:t>
      </w:r>
      <w:r>
        <w:rPr>
          <w:rFonts w:ascii="Helvetica" w:eastAsia="Times New Roman" w:hAnsi="Helvetica"/>
          <w:noProof/>
          <w:color w:val="FFFFFF"/>
          <w:kern w:val="28"/>
          <w:sz w:val="24"/>
          <w:lang w:val="en-US" w:eastAsia="en-US"/>
        </w:rPr>
        <w:t>5</w:t>
      </w:r>
    </w:p>
    <w:p w:rsidR="001D6059" w:rsidRPr="00CE1DFB" w:rsidRDefault="001D6059" w:rsidP="00CE1DFB">
      <w:pPr>
        <w:pStyle w:val="Date"/>
        <w:spacing w:before="200" w:after="600" w:line="380" w:lineRule="atLeast"/>
        <w:ind w:left="2694" w:right="-624"/>
        <w:rPr>
          <w:rFonts w:ascii="Helvetica" w:eastAsia="Times New Roman" w:hAnsi="Helvetica"/>
          <w:noProof/>
          <w:color w:val="FFFFFF"/>
          <w:kern w:val="28"/>
          <w:sz w:val="24"/>
          <w:lang w:val="en-US" w:eastAsia="en-US"/>
        </w:rPr>
      </w:pPr>
    </w:p>
    <w:p w:rsidR="000D733F" w:rsidRPr="00B43B60" w:rsidRDefault="000D733F" w:rsidP="002660AA">
      <w:pPr>
        <w:pStyle w:val="Heading2"/>
        <w:rPr>
          <w:rStyle w:val="BodyTextChar"/>
          <w:color w:val="auto"/>
        </w:rPr>
      </w:pPr>
      <w:bookmarkStart w:id="1" w:name="_Toc373853205"/>
      <w:r w:rsidRPr="002660AA">
        <w:rPr>
          <w:sz w:val="28"/>
        </w:rPr>
        <w:t>Key Messages</w:t>
      </w:r>
      <w:bookmarkEnd w:id="1"/>
      <w:r w:rsidRPr="002660AA">
        <w:rPr>
          <w:sz w:val="28"/>
        </w:rPr>
        <w:tab/>
      </w:r>
      <w:r w:rsidRPr="009E38C1">
        <w:tab/>
      </w:r>
      <w:r>
        <w:rPr>
          <w:sz w:val="32"/>
          <w:szCs w:val="32"/>
        </w:rPr>
        <w:tab/>
      </w:r>
      <w:r>
        <w:rPr>
          <w:sz w:val="32"/>
          <w:szCs w:val="32"/>
        </w:rPr>
        <w:tab/>
      </w:r>
      <w:r>
        <w:rPr>
          <w:sz w:val="32"/>
          <w:szCs w:val="32"/>
        </w:rPr>
        <w:tab/>
      </w:r>
      <w:r>
        <w:rPr>
          <w:sz w:val="32"/>
          <w:szCs w:val="32"/>
        </w:rPr>
        <w:tab/>
      </w:r>
    </w:p>
    <w:p w:rsidR="000D733F" w:rsidRDefault="00922C36" w:rsidP="00922C36">
      <w:pPr>
        <w:pStyle w:val="ListBullet"/>
        <w:numPr>
          <w:ilvl w:val="0"/>
          <w:numId w:val="0"/>
        </w:numPr>
        <w:tabs>
          <w:tab w:val="clear" w:pos="284"/>
        </w:tabs>
      </w:pPr>
      <w:r>
        <w:t xml:space="preserve">The Aid Program Performance Report (APPR) summarises the Australian aid program’s progress in Vanuatu from July 2014 to June 2015.  Key findings include: </w:t>
      </w:r>
    </w:p>
    <w:p w:rsidR="00922C36" w:rsidRDefault="00CE1CA4" w:rsidP="00922C36">
      <w:pPr>
        <w:pStyle w:val="ListBullet"/>
        <w:tabs>
          <w:tab w:val="clear" w:pos="284"/>
        </w:tabs>
      </w:pPr>
      <w:r>
        <w:t xml:space="preserve">Overall performance continues to improve on previous years. However, there remain some challenges, in particular, in the infrastructure sector. </w:t>
      </w:r>
      <w:r w:rsidR="006E5183">
        <w:t>Progress was made improving gender equality outcomes and efficiency. But there is more work to do.</w:t>
      </w:r>
    </w:p>
    <w:p w:rsidR="00B01937" w:rsidRPr="0043535E" w:rsidRDefault="00CE1CA4" w:rsidP="00CE1CA4">
      <w:pPr>
        <w:pStyle w:val="ListBullet"/>
        <w:tabs>
          <w:tab w:val="clear" w:pos="284"/>
        </w:tabs>
      </w:pPr>
      <w:r>
        <w:t xml:space="preserve">The response to Tropical Cyclone Pam dominated the final </w:t>
      </w:r>
      <w:r w:rsidR="00E366E4">
        <w:t>four</w:t>
      </w:r>
      <w:r>
        <w:t xml:space="preserve"> months of the reporting period.</w:t>
      </w:r>
      <w:r w:rsidR="00D32DC0">
        <w:t xml:space="preserve"> Vanuatu Government and program resources were diverted to deal with the response.</w:t>
      </w:r>
      <w:r>
        <w:t xml:space="preserve"> Implementing the </w:t>
      </w:r>
      <w:r w:rsidR="00C35614">
        <w:t xml:space="preserve">long term </w:t>
      </w:r>
      <w:r>
        <w:t xml:space="preserve">recovery package will be a major focus for the </w:t>
      </w:r>
      <w:r w:rsidR="005C7111">
        <w:t xml:space="preserve">next </w:t>
      </w:r>
      <w:r>
        <w:t>12 months</w:t>
      </w:r>
      <w:r w:rsidR="00C35614">
        <w:t>, with the additional challenge of responding to El Nino weather conditions.</w:t>
      </w:r>
    </w:p>
    <w:p w:rsidR="00922C36" w:rsidRDefault="00D32DC0" w:rsidP="00922C36">
      <w:pPr>
        <w:pStyle w:val="ListBullet"/>
        <w:tabs>
          <w:tab w:val="clear" w:pos="284"/>
        </w:tabs>
      </w:pPr>
      <w:r>
        <w:t>Close and regular</w:t>
      </w:r>
      <w:r w:rsidR="00CE1CA4">
        <w:t xml:space="preserve"> communication with the Vanuatu Government </w:t>
      </w:r>
      <w:r>
        <w:t>was critical for achieving outcomes, particularly during the cyclone response</w:t>
      </w:r>
      <w:r w:rsidR="00CE1CA4">
        <w:t xml:space="preserve">. </w:t>
      </w:r>
      <w:r w:rsidR="005C7111">
        <w:t>Continuing this will help</w:t>
      </w:r>
      <w:r w:rsidR="00CE1CA4">
        <w:t xml:space="preserve"> ensure effective </w:t>
      </w:r>
      <w:r w:rsidR="00C35614">
        <w:t>program</w:t>
      </w:r>
      <w:r>
        <w:t xml:space="preserve"> and recovery</w:t>
      </w:r>
      <w:r w:rsidR="00C35614">
        <w:t xml:space="preserve"> </w:t>
      </w:r>
      <w:r w:rsidR="00CE1CA4">
        <w:t xml:space="preserve">implementation, </w:t>
      </w:r>
      <w:r w:rsidR="00C35614">
        <w:t xml:space="preserve">including the re-design of </w:t>
      </w:r>
      <w:r w:rsidR="005C7111">
        <w:t>key</w:t>
      </w:r>
      <w:r w:rsidR="00C35614">
        <w:t xml:space="preserve"> programs and the development of a new Aid Partnership between Vanuatu and Australia</w:t>
      </w:r>
      <w:r w:rsidR="00CE1CA4">
        <w:t>.</w:t>
      </w:r>
    </w:p>
    <w:p w:rsidR="00CE1CA4" w:rsidRPr="0043535E" w:rsidRDefault="00CE1CA4" w:rsidP="00CE1CA4">
      <w:pPr>
        <w:pStyle w:val="ListBullet"/>
        <w:tabs>
          <w:tab w:val="clear" w:pos="284"/>
        </w:tabs>
      </w:pPr>
      <w:r w:rsidRPr="0043535E">
        <w:t xml:space="preserve">The Australian National Audit Office conducted a performance audit of the Vanuatu aid program during the year.  The audit found the aid program was effective and met Australian and Vanuatu Government priorities. </w:t>
      </w:r>
      <w:r w:rsidR="00D32DC0">
        <w:t>DFAT</w:t>
      </w:r>
      <w:r w:rsidRPr="0043535E">
        <w:t xml:space="preserve"> agreed to</w:t>
      </w:r>
      <w:r w:rsidR="005C7111">
        <w:t>, and is implementing,</w:t>
      </w:r>
      <w:r w:rsidRPr="0043535E">
        <w:t xml:space="preserve"> the audit’s two recommendations on documenting risk and on monitoring and evaluation planning</w:t>
      </w:r>
      <w:r w:rsidR="00D32DC0">
        <w:t>.</w:t>
      </w:r>
    </w:p>
    <w:p w:rsidR="000D733F" w:rsidRDefault="000D733F" w:rsidP="000D733F">
      <w:pPr>
        <w:pStyle w:val="Heading2"/>
        <w:rPr>
          <w:rStyle w:val="BodyTextChar"/>
        </w:rPr>
      </w:pPr>
      <w:r w:rsidRPr="009E38C1">
        <w:rPr>
          <w:sz w:val="28"/>
        </w:rPr>
        <w:t xml:space="preserve">Context </w:t>
      </w:r>
      <w:r w:rsidRPr="009E38C1">
        <w:rPr>
          <w:sz w:val="28"/>
        </w:rPr>
        <w:tab/>
      </w:r>
    </w:p>
    <w:p w:rsidR="009122BD" w:rsidRPr="00D12197" w:rsidRDefault="009122BD" w:rsidP="00D12197">
      <w:pPr>
        <w:pStyle w:val="ListBullet"/>
        <w:numPr>
          <w:ilvl w:val="0"/>
          <w:numId w:val="0"/>
        </w:numPr>
        <w:tabs>
          <w:tab w:val="clear" w:pos="284"/>
        </w:tabs>
      </w:pPr>
      <w:r>
        <w:t xml:space="preserve">Developments in Vanuatu in 2014-15 were dominated by Tropical Cyclone Pam, which struck Vanuatu as a category five cyclone in March 2015. It </w:t>
      </w:r>
      <w:r w:rsidRPr="00D12197">
        <w:t>caused 11 deaths and severe damage to housing, health centres, schools and o</w:t>
      </w:r>
      <w:r w:rsidR="00A858F6" w:rsidRPr="00D12197">
        <w:t xml:space="preserve">ther critical infrastructure.  </w:t>
      </w:r>
      <w:r w:rsidR="0043535E" w:rsidRPr="00D12197">
        <w:t>Overall, i</w:t>
      </w:r>
      <w:r w:rsidR="00A858F6" w:rsidRPr="00D12197">
        <w:t xml:space="preserve">t </w:t>
      </w:r>
      <w:r w:rsidRPr="00D12197">
        <w:t xml:space="preserve">affected the livelihoods of around 195,000 people across four disaster-affected </w:t>
      </w:r>
      <w:r w:rsidR="0043535E" w:rsidRPr="00D12197">
        <w:t xml:space="preserve">provinces </w:t>
      </w:r>
      <w:r w:rsidR="00A858F6" w:rsidRPr="00D12197">
        <w:t xml:space="preserve">and damaged </w:t>
      </w:r>
      <w:r w:rsidRPr="00D12197">
        <w:t>Vanuatu’s key indus</w:t>
      </w:r>
      <w:r w:rsidR="00A858F6" w:rsidRPr="00D12197">
        <w:t>tries of tourism and agriculture</w:t>
      </w:r>
      <w:r w:rsidRPr="00D12197">
        <w:t xml:space="preserve">.  </w:t>
      </w:r>
    </w:p>
    <w:p w:rsidR="00287DAE" w:rsidRPr="00D12197" w:rsidRDefault="009122BD" w:rsidP="00D12197">
      <w:pPr>
        <w:pStyle w:val="ListBullet"/>
        <w:numPr>
          <w:ilvl w:val="0"/>
          <w:numId w:val="0"/>
        </w:numPr>
        <w:tabs>
          <w:tab w:val="clear" w:pos="284"/>
        </w:tabs>
      </w:pPr>
      <w:r w:rsidRPr="00D12197">
        <w:t xml:space="preserve">Tropical Cyclone Pam </w:t>
      </w:r>
      <w:r w:rsidR="00FC7689" w:rsidRPr="00D12197">
        <w:t>will compound many of Vanuatu’s</w:t>
      </w:r>
      <w:r w:rsidRPr="00D12197">
        <w:t xml:space="preserve"> </w:t>
      </w:r>
      <w:r w:rsidR="00287DAE" w:rsidRPr="00D12197">
        <w:t xml:space="preserve">existing </w:t>
      </w:r>
      <w:r w:rsidRPr="00D12197">
        <w:t>social and economic challenges</w:t>
      </w:r>
      <w:r w:rsidR="0043535E" w:rsidRPr="00D12197">
        <w:t xml:space="preserve"> and may delay progress in addressing them</w:t>
      </w:r>
      <w:r w:rsidR="00FC7689" w:rsidRPr="00D12197">
        <w:t xml:space="preserve">. </w:t>
      </w:r>
      <w:r w:rsidR="00E366E4">
        <w:t>Social and economic challenges include</w:t>
      </w:r>
      <w:r w:rsidR="00FC7689" w:rsidRPr="00D12197">
        <w:t xml:space="preserve"> </w:t>
      </w:r>
      <w:r w:rsidR="00287DAE" w:rsidRPr="00D12197">
        <w:t>access to health a</w:t>
      </w:r>
      <w:r w:rsidR="0043535E" w:rsidRPr="00D12197">
        <w:t xml:space="preserve">nd education services, </w:t>
      </w:r>
      <w:r w:rsidR="00FC7689" w:rsidRPr="00D12197">
        <w:t>violence against women and children,</w:t>
      </w:r>
      <w:r w:rsidR="0043535E" w:rsidRPr="00D12197">
        <w:t xml:space="preserve"> poverty and</w:t>
      </w:r>
      <w:r w:rsidR="00FC7689" w:rsidRPr="00D12197">
        <w:t xml:space="preserve"> </w:t>
      </w:r>
      <w:r w:rsidR="0043535E" w:rsidRPr="00D12197">
        <w:t xml:space="preserve">low incomes, </w:t>
      </w:r>
      <w:r w:rsidR="002A5E7C" w:rsidRPr="00D12197">
        <w:t xml:space="preserve">access to economic opportunities in rural areas, </w:t>
      </w:r>
      <w:r w:rsidR="0043535E" w:rsidRPr="00D12197">
        <w:t xml:space="preserve">and </w:t>
      </w:r>
      <w:r w:rsidR="00287DAE" w:rsidRPr="00D12197">
        <w:t>financial and capacity constraints across government</w:t>
      </w:r>
      <w:r w:rsidR="00FC7689" w:rsidRPr="00D12197">
        <w:t xml:space="preserve">. </w:t>
      </w:r>
      <w:r w:rsidR="004C77CD" w:rsidRPr="00D12197">
        <w:t xml:space="preserve">Vulnerability to natural disasters, including drought as well as more cyclones, remains a major risk. </w:t>
      </w:r>
      <w:r w:rsidR="00287DAE" w:rsidRPr="00D12197">
        <w:t xml:space="preserve">Vanuatu is on track to reach </w:t>
      </w:r>
      <w:r w:rsidR="00C35614" w:rsidRPr="00D12197">
        <w:t>Millennium</w:t>
      </w:r>
      <w:r w:rsidR="00287DAE" w:rsidRPr="00D12197">
        <w:t xml:space="preserve"> Development Goal </w:t>
      </w:r>
      <w:r w:rsidR="00C35614">
        <w:t>(</w:t>
      </w:r>
      <w:r w:rsidR="00287DAE" w:rsidRPr="00D12197">
        <w:t>MDG</w:t>
      </w:r>
      <w:r w:rsidR="00C35614">
        <w:t>)</w:t>
      </w:r>
      <w:r w:rsidR="00287DAE" w:rsidRPr="00D12197">
        <w:t xml:space="preserve"> 6 (HIV, malaria and other diseases)</w:t>
      </w:r>
      <w:r w:rsidR="00F020C5">
        <w:t>,</w:t>
      </w:r>
      <w:r w:rsidR="00287DAE" w:rsidRPr="00D12197">
        <w:t xml:space="preserve"> but has made uneven progress or is off track on all other goals.</w:t>
      </w:r>
      <w:r w:rsidR="005C7111">
        <w:rPr>
          <w:rStyle w:val="EndnoteReference"/>
        </w:rPr>
        <w:endnoteReference w:id="1"/>
      </w:r>
      <w:r w:rsidR="00287DAE" w:rsidRPr="00D12197">
        <w:t xml:space="preserve"> </w:t>
      </w:r>
    </w:p>
    <w:p w:rsidR="00102CBA" w:rsidRDefault="00102CBA" w:rsidP="00D12197">
      <w:pPr>
        <w:pStyle w:val="ListBullet"/>
        <w:numPr>
          <w:ilvl w:val="0"/>
          <w:numId w:val="0"/>
        </w:numPr>
        <w:tabs>
          <w:tab w:val="clear" w:pos="284"/>
        </w:tabs>
      </w:pPr>
      <w:r w:rsidRPr="00102CBA">
        <w:t xml:space="preserve">The overall economic impact of the cyclone will be significant. The IMF forecasts that real GDP will decline by 2 per cent in 2015, down from a forecast growth of 3.5 per cent pre-cyclone. Government finances will also be affected, with tax exemptions in place to support recovery and additional expenditure pressures adding to an already tenuous budget situation. The IMF anticipates a shortfall of </w:t>
      </w:r>
      <w:r w:rsidR="00632094">
        <w:t>US</w:t>
      </w:r>
      <w:r w:rsidRPr="00102CBA">
        <w:t>$100 million in the budget this year.</w:t>
      </w:r>
      <w:r w:rsidR="00C35614">
        <w:t xml:space="preserve"> </w:t>
      </w:r>
      <w:r w:rsidR="00C35614" w:rsidRPr="00D12197">
        <w:t>Economic growth will rely on the recovery and expansion of tourism, construction and agriculture.</w:t>
      </w:r>
      <w:r w:rsidR="00F020C5">
        <w:rPr>
          <w:rStyle w:val="EndnoteReference"/>
        </w:rPr>
        <w:endnoteReference w:id="2"/>
      </w:r>
      <w:r w:rsidR="00C35614" w:rsidRPr="00D12197">
        <w:t xml:space="preserve">  </w:t>
      </w:r>
    </w:p>
    <w:p w:rsidR="00D32DC0" w:rsidRPr="00D12197" w:rsidRDefault="00D32DC0" w:rsidP="00D32DC0">
      <w:pPr>
        <w:pStyle w:val="ListBullet"/>
        <w:numPr>
          <w:ilvl w:val="0"/>
          <w:numId w:val="0"/>
        </w:numPr>
        <w:tabs>
          <w:tab w:val="clear" w:pos="284"/>
        </w:tabs>
      </w:pPr>
      <w:r w:rsidRPr="00D12197">
        <w:lastRenderedPageBreak/>
        <w:t>The cyclone recovery process will take a number of years with recovery costs estimated at $426 million.</w:t>
      </w:r>
      <w:r w:rsidR="00632094">
        <w:rPr>
          <w:rStyle w:val="EndnoteReference"/>
        </w:rPr>
        <w:endnoteReference w:id="3"/>
      </w:r>
      <w:r w:rsidRPr="00D12197">
        <w:t xml:space="preserve"> This is expected to far exceed donor contributions, so it will be crucial that donors align their support with the Vanuatu Government’s recovery plan and coordinate assistance with each other.  </w:t>
      </w:r>
    </w:p>
    <w:p w:rsidR="001F5784" w:rsidRPr="00D12197" w:rsidRDefault="0043535E" w:rsidP="00D12197">
      <w:pPr>
        <w:pStyle w:val="ListBullet"/>
        <w:numPr>
          <w:ilvl w:val="0"/>
          <w:numId w:val="0"/>
        </w:numPr>
        <w:tabs>
          <w:tab w:val="clear" w:pos="284"/>
        </w:tabs>
      </w:pPr>
      <w:r w:rsidRPr="00D12197">
        <w:t xml:space="preserve">Australia </w:t>
      </w:r>
      <w:r w:rsidR="000A2D14" w:rsidRPr="00D12197">
        <w:t xml:space="preserve">is making an important </w:t>
      </w:r>
      <w:r w:rsidRPr="00D12197">
        <w:t xml:space="preserve">contribution to Vanuatu’s development and </w:t>
      </w:r>
      <w:r w:rsidR="000A2D14" w:rsidRPr="00D12197">
        <w:t xml:space="preserve">long-term </w:t>
      </w:r>
      <w:r w:rsidRPr="00D12197">
        <w:t xml:space="preserve">cyclone recovery.  We </w:t>
      </w:r>
      <w:r w:rsidR="001F5784" w:rsidRPr="00D12197">
        <w:t>remain by far the largest provider of aid, equivalen</w:t>
      </w:r>
      <w:r w:rsidR="000A2D14" w:rsidRPr="00D12197">
        <w:t>t to around 3</w:t>
      </w:r>
      <w:r w:rsidR="007053A9">
        <w:t>0</w:t>
      </w:r>
      <w:r w:rsidR="001F5784" w:rsidRPr="00D12197">
        <w:t xml:space="preserve"> per cent of total public spending and to around </w:t>
      </w:r>
      <w:r w:rsidR="007053A9">
        <w:t>6</w:t>
      </w:r>
      <w:r w:rsidR="001F5784" w:rsidRPr="00D12197">
        <w:t xml:space="preserve"> per cent Vanuatu’s GDP.  Australia is the largest source of </w:t>
      </w:r>
      <w:r w:rsidR="00A858F6" w:rsidRPr="00D12197">
        <w:t>foreign direct investment ($169 million in 2014) and tourists (over 200,000 a year</w:t>
      </w:r>
      <w:r w:rsidR="001F5784" w:rsidRPr="00D12197">
        <w:t>)</w:t>
      </w:r>
      <w:r w:rsidR="006F10A4">
        <w:t xml:space="preserve"> and the 10</w:t>
      </w:r>
      <w:r w:rsidR="006F10A4" w:rsidRPr="00650E15">
        <w:rPr>
          <w:vertAlign w:val="superscript"/>
        </w:rPr>
        <w:t>th</w:t>
      </w:r>
      <w:r w:rsidR="006F10A4">
        <w:t xml:space="preserve"> ranked destination for Vanuatu exports</w:t>
      </w:r>
      <w:r w:rsidR="001F5784" w:rsidRPr="00D12197">
        <w:t xml:space="preserve">. We are the lead donor in the health, education, governance and justice and policing sectors.  Australia was the first and largest contributor to the cyclone response, </w:t>
      </w:r>
      <w:r w:rsidR="009A0559">
        <w:t>committing</w:t>
      </w:r>
      <w:r w:rsidR="001F5784" w:rsidRPr="00D12197">
        <w:t xml:space="preserve"> $50 million for humanitarian</w:t>
      </w:r>
      <w:r w:rsidR="006F10A4">
        <w:t xml:space="preserve">, </w:t>
      </w:r>
      <w:r w:rsidR="001F5784" w:rsidRPr="00D12197">
        <w:t xml:space="preserve">early and long-term recovery. </w:t>
      </w:r>
    </w:p>
    <w:p w:rsidR="00367787" w:rsidRPr="00D12197" w:rsidRDefault="0071347B" w:rsidP="00D12197">
      <w:pPr>
        <w:pStyle w:val="ListBullet"/>
        <w:numPr>
          <w:ilvl w:val="0"/>
          <w:numId w:val="0"/>
        </w:numPr>
        <w:tabs>
          <w:tab w:val="clear" w:pos="284"/>
        </w:tabs>
      </w:pPr>
      <w:r w:rsidRPr="00D12197">
        <w:t xml:space="preserve">Vanuatu has few other long-term country partners. </w:t>
      </w:r>
      <w:r w:rsidR="00427751" w:rsidRPr="00D12197">
        <w:t xml:space="preserve"> New Zealand supports </w:t>
      </w:r>
      <w:r w:rsidR="0031152F">
        <w:t xml:space="preserve">infrastructure, </w:t>
      </w:r>
      <w:r w:rsidR="00427751" w:rsidRPr="00D12197">
        <w:t xml:space="preserve">education, </w:t>
      </w:r>
      <w:r w:rsidR="00F458DD" w:rsidRPr="00D12197">
        <w:t>water</w:t>
      </w:r>
      <w:r w:rsidR="000A2D14" w:rsidRPr="00D12197">
        <w:t xml:space="preserve"> and tourism. </w:t>
      </w:r>
      <w:r w:rsidR="00F458DD" w:rsidRPr="00D12197">
        <w:t xml:space="preserve">China and Japan have a growing presence in infrastructure.  </w:t>
      </w:r>
      <w:r w:rsidR="00367787" w:rsidRPr="00D12197">
        <w:t>The World Bank and Asian Development Bank have increased their engagement in Vanuatu following the cyclone; their contributions to recovery, through both existing and ne</w:t>
      </w:r>
      <w:r w:rsidRPr="00D12197">
        <w:t>w activities, will be important</w:t>
      </w:r>
      <w:r w:rsidR="0043535E" w:rsidRPr="00D12197">
        <w:t xml:space="preserve">.  </w:t>
      </w:r>
    </w:p>
    <w:p w:rsidR="00ED6370" w:rsidRPr="00D12197" w:rsidRDefault="004D024C" w:rsidP="00D12197">
      <w:pPr>
        <w:pStyle w:val="ListBullet"/>
        <w:numPr>
          <w:ilvl w:val="0"/>
          <w:numId w:val="0"/>
        </w:numPr>
        <w:tabs>
          <w:tab w:val="clear" w:pos="284"/>
        </w:tabs>
      </w:pPr>
      <w:r>
        <w:t>The</w:t>
      </w:r>
      <w:r w:rsidR="00B01937">
        <w:t>re was a change in g</w:t>
      </w:r>
      <w:r>
        <w:t xml:space="preserve">overnment </w:t>
      </w:r>
      <w:r w:rsidR="00B01937">
        <w:t>in Vanuatu in June 2015 (following one in</w:t>
      </w:r>
      <w:r>
        <w:t xml:space="preserve"> May</w:t>
      </w:r>
      <w:r w:rsidR="00B01937">
        <w:t xml:space="preserve"> 2014), bringing further turnover in</w:t>
      </w:r>
      <w:r>
        <w:t xml:space="preserve"> key</w:t>
      </w:r>
      <w:r w:rsidR="0071347B">
        <w:t xml:space="preserve"> political and ministry roles and changes or uncertainty in policies. </w:t>
      </w:r>
      <w:r>
        <w:t xml:space="preserve">This </w:t>
      </w:r>
      <w:r w:rsidR="00B01937">
        <w:t>slowed</w:t>
      </w:r>
      <w:r>
        <w:t xml:space="preserve"> </w:t>
      </w:r>
      <w:r w:rsidR="00B01937">
        <w:t xml:space="preserve">progress in </w:t>
      </w:r>
      <w:r>
        <w:t>complex areas such a</w:t>
      </w:r>
      <w:r w:rsidR="00F81C7F">
        <w:t xml:space="preserve">s </w:t>
      </w:r>
      <w:r w:rsidR="00C35614">
        <w:t>h</w:t>
      </w:r>
      <w:r w:rsidR="00F81C7F">
        <w:t>ealth</w:t>
      </w:r>
      <w:r>
        <w:t>.</w:t>
      </w:r>
      <w:r w:rsidR="00B01937">
        <w:t xml:space="preserve">  Experience and resource shortages in the Vanuatu Government</w:t>
      </w:r>
      <w:r w:rsidR="00922C36">
        <w:t xml:space="preserve"> </w:t>
      </w:r>
      <w:r w:rsidR="00B01937">
        <w:t xml:space="preserve">also </w:t>
      </w:r>
      <w:r w:rsidR="00922C36">
        <w:t>continue to be a const</w:t>
      </w:r>
      <w:r w:rsidR="00B01937">
        <w:t>raint on progress</w:t>
      </w:r>
      <w:r w:rsidR="00922C36">
        <w:t xml:space="preserve">.  </w:t>
      </w:r>
      <w:r w:rsidR="00ED6370">
        <w:t>Cyclone r</w:t>
      </w:r>
      <w:r w:rsidR="00ED6370" w:rsidRPr="00D12197">
        <w:t xml:space="preserve">ecovery challenges will create significant additional pressures on Vanuatu Government resources and capabilities and may affect the delivery of our broader aid program activities.  </w:t>
      </w:r>
    </w:p>
    <w:p w:rsidR="00A858F6" w:rsidRPr="00D12197" w:rsidRDefault="00A858F6" w:rsidP="00D12197">
      <w:pPr>
        <w:pStyle w:val="ListBullet"/>
        <w:numPr>
          <w:ilvl w:val="0"/>
          <w:numId w:val="0"/>
        </w:numPr>
        <w:tabs>
          <w:tab w:val="clear" w:pos="284"/>
        </w:tabs>
      </w:pPr>
      <w:r w:rsidRPr="00D12197">
        <w:t xml:space="preserve">The current </w:t>
      </w:r>
      <w:r w:rsidR="00ED6370" w:rsidRPr="00D12197">
        <w:t xml:space="preserve">aid </w:t>
      </w:r>
      <w:r w:rsidRPr="00D12197">
        <w:t>program will be updated in 2015-16 to reflect the outcome of Aid Partnership talks with the Vanuatu Government.  Australia’s Aid Investment Plan (AIP) for Vanuatu will form the basis of those discussio</w:t>
      </w:r>
      <w:r w:rsidR="00ED6370" w:rsidRPr="00D12197">
        <w:t>ns.</w:t>
      </w:r>
      <w:r w:rsidR="006F10A4">
        <w:rPr>
          <w:rStyle w:val="EndnoteReference"/>
        </w:rPr>
        <w:endnoteReference w:id="4"/>
      </w:r>
      <w:r w:rsidR="00ED6370" w:rsidRPr="00D12197">
        <w:t xml:space="preserve"> The AIP proposes consolidating current </w:t>
      </w:r>
      <w:r w:rsidRPr="00D12197">
        <w:t>support in key</w:t>
      </w:r>
      <w:r w:rsidR="00ED6370" w:rsidRPr="00D12197">
        <w:t xml:space="preserve"> </w:t>
      </w:r>
      <w:r w:rsidRPr="00D12197">
        <w:t xml:space="preserve">sectors, </w:t>
      </w:r>
      <w:r w:rsidR="00ED6370" w:rsidRPr="00D12197">
        <w:t xml:space="preserve">and includes a major new expansion of our aid program through Australia’s $35 million in cyclone recovery assistance. </w:t>
      </w:r>
      <w:r w:rsidR="004C77CD" w:rsidRPr="00D12197">
        <w:t xml:space="preserve"> </w:t>
      </w:r>
      <w:r w:rsidR="00ED6370" w:rsidRPr="00D12197">
        <w:t xml:space="preserve">This </w:t>
      </w:r>
      <w:r w:rsidRPr="00D12197">
        <w:t xml:space="preserve">assistance will build where possible on the strengths of our existing aid program, </w:t>
      </w:r>
      <w:r w:rsidR="00ED6370" w:rsidRPr="00D12197">
        <w:t>to deliver appropriate and</w:t>
      </w:r>
      <w:r w:rsidRPr="00D12197">
        <w:t xml:space="preserve"> cost-effective</w:t>
      </w:r>
      <w:r w:rsidR="00ED6370" w:rsidRPr="00D12197">
        <w:t xml:space="preserve"> </w:t>
      </w:r>
      <w:r w:rsidRPr="00D12197">
        <w:t>outcomes in an environment where resources will be under additional pressure.</w:t>
      </w:r>
      <w:r w:rsidR="00D32DC0">
        <w:t xml:space="preserve"> We will seek to fill capacity gaps where possible.</w:t>
      </w:r>
      <w:r w:rsidRPr="00D12197">
        <w:t xml:space="preserve"> </w:t>
      </w:r>
      <w:r w:rsidR="0043535E" w:rsidRPr="00D12197">
        <w:t xml:space="preserve"> </w:t>
      </w:r>
      <w:r w:rsidR="00117F05" w:rsidRPr="00D12197">
        <w:t>All investments will place an emphasis on gender and disability support, as well as strengthening resilience.</w:t>
      </w:r>
    </w:p>
    <w:p w:rsidR="00537AF9" w:rsidRDefault="00537AF9" w:rsidP="00D12197">
      <w:pPr>
        <w:pStyle w:val="ListBullet"/>
        <w:numPr>
          <w:ilvl w:val="0"/>
          <w:numId w:val="0"/>
        </w:numPr>
        <w:tabs>
          <w:tab w:val="clear" w:pos="284"/>
        </w:tabs>
      </w:pPr>
      <w:r>
        <w:t xml:space="preserve">In addition to cyclone recovery, the country will be focused on the lead-up to national elections due at the end of 2016.  This will present both opportunities and risks for achieving the aid program’s goals during this period. </w:t>
      </w:r>
    </w:p>
    <w:p w:rsidR="000D733F" w:rsidRPr="009E38C1" w:rsidRDefault="000D733F" w:rsidP="000D733F">
      <w:pPr>
        <w:pStyle w:val="Heading2"/>
        <w:rPr>
          <w:sz w:val="28"/>
        </w:rPr>
      </w:pPr>
      <w:r w:rsidRPr="009E38C1">
        <w:rPr>
          <w:sz w:val="28"/>
        </w:rPr>
        <w:t>Expenditure</w:t>
      </w:r>
      <w:r w:rsidR="00A30455">
        <w:rPr>
          <w:sz w:val="28"/>
        </w:rPr>
        <w:t xml:space="preserve"> </w:t>
      </w:r>
    </w:p>
    <w:p w:rsidR="002E0C49" w:rsidRDefault="00244E01" w:rsidP="002E0C49">
      <w:pPr>
        <w:pStyle w:val="ListBullet"/>
        <w:numPr>
          <w:ilvl w:val="0"/>
          <w:numId w:val="0"/>
        </w:numPr>
        <w:tabs>
          <w:tab w:val="clear" w:pos="284"/>
        </w:tabs>
        <w:rPr>
          <w:rFonts w:cs="Arial"/>
          <w:szCs w:val="21"/>
        </w:rPr>
      </w:pPr>
      <w:r>
        <w:t xml:space="preserve">Total Australian Government ODA to Vanuatu in 2014-15 was $111.9 million. </w:t>
      </w:r>
      <w:r w:rsidR="004C77CD">
        <w:t>Table 1 shows expenditure from the bilateral program for financial year 2014-15</w:t>
      </w:r>
      <w:r w:rsidR="002E0C49">
        <w:t>,</w:t>
      </w:r>
      <w:r w:rsidR="004C77CD">
        <w:t xml:space="preserve"> disaggregated by objective.  </w:t>
      </w:r>
      <w:r>
        <w:t>The t</w:t>
      </w:r>
      <w:r w:rsidR="0020007A">
        <w:t xml:space="preserve">able also shows funding for the </w:t>
      </w:r>
      <w:r w:rsidR="0020007A">
        <w:rPr>
          <w:rFonts w:cs="Arial"/>
          <w:szCs w:val="21"/>
        </w:rPr>
        <w:t>Tropical Cyclone Pam response</w:t>
      </w:r>
      <w:r w:rsidR="002E0C49" w:rsidRPr="002E0C49">
        <w:rPr>
          <w:rFonts w:cs="Arial"/>
          <w:szCs w:val="21"/>
        </w:rPr>
        <w:t xml:space="preserve">.  Of this, </w:t>
      </w:r>
      <w:r w:rsidR="002E0C49">
        <w:rPr>
          <w:rFonts w:cs="Arial"/>
          <w:szCs w:val="21"/>
        </w:rPr>
        <w:t>our</w:t>
      </w:r>
      <w:r w:rsidR="002E0C49" w:rsidRPr="002E0C49">
        <w:rPr>
          <w:rFonts w:cs="Arial"/>
          <w:szCs w:val="21"/>
        </w:rPr>
        <w:t xml:space="preserve"> long-term recovery assistance</w:t>
      </w:r>
      <w:r w:rsidR="00E97868">
        <w:rPr>
          <w:rFonts w:cs="Arial"/>
          <w:szCs w:val="21"/>
        </w:rPr>
        <w:t xml:space="preserve"> </w:t>
      </w:r>
      <w:r w:rsidR="00F44A7E">
        <w:rPr>
          <w:rFonts w:cs="Arial"/>
          <w:szCs w:val="21"/>
        </w:rPr>
        <w:t>of</w:t>
      </w:r>
      <w:r w:rsidR="007F175C">
        <w:rPr>
          <w:rFonts w:cs="Arial"/>
          <w:szCs w:val="21"/>
        </w:rPr>
        <w:t xml:space="preserve"> $</w:t>
      </w:r>
      <w:r w:rsidR="00E97868">
        <w:rPr>
          <w:rFonts w:cs="Arial"/>
          <w:szCs w:val="21"/>
        </w:rPr>
        <w:t xml:space="preserve">35 </w:t>
      </w:r>
      <w:r w:rsidR="007F175C">
        <w:rPr>
          <w:rFonts w:cs="Arial"/>
          <w:szCs w:val="21"/>
        </w:rPr>
        <w:t>million</w:t>
      </w:r>
      <w:r w:rsidR="00F44A7E">
        <w:rPr>
          <w:rFonts w:cs="Arial"/>
          <w:szCs w:val="21"/>
        </w:rPr>
        <w:t xml:space="preserve"> includes</w:t>
      </w:r>
      <w:r w:rsidR="009A0559">
        <w:rPr>
          <w:rFonts w:cs="Arial"/>
          <w:szCs w:val="21"/>
        </w:rPr>
        <w:t xml:space="preserve"> </w:t>
      </w:r>
      <w:r w:rsidR="00E97868">
        <w:rPr>
          <w:rFonts w:cs="Arial"/>
          <w:szCs w:val="21"/>
        </w:rPr>
        <w:t>$34.7 million</w:t>
      </w:r>
      <w:r w:rsidR="00F27406">
        <w:rPr>
          <w:rFonts w:cs="Arial"/>
          <w:szCs w:val="21"/>
        </w:rPr>
        <w:t xml:space="preserve"> delivered through a trust a</w:t>
      </w:r>
      <w:r w:rsidR="002E0C49" w:rsidRPr="002E0C49">
        <w:rPr>
          <w:rFonts w:cs="Arial"/>
          <w:szCs w:val="21"/>
        </w:rPr>
        <w:t xml:space="preserve">ccount </w:t>
      </w:r>
      <w:r w:rsidR="00F27406">
        <w:rPr>
          <w:rFonts w:cs="Arial"/>
          <w:szCs w:val="21"/>
        </w:rPr>
        <w:t>and</w:t>
      </w:r>
      <w:r w:rsidR="00F44A7E">
        <w:rPr>
          <w:rFonts w:cs="Arial"/>
          <w:szCs w:val="21"/>
        </w:rPr>
        <w:t xml:space="preserve"> </w:t>
      </w:r>
      <w:r w:rsidR="009A0559">
        <w:rPr>
          <w:rFonts w:cs="Arial"/>
          <w:szCs w:val="21"/>
        </w:rPr>
        <w:t>$300,000 for operational and support costs</w:t>
      </w:r>
      <w:r w:rsidR="002E0C49" w:rsidRPr="002E0C49">
        <w:rPr>
          <w:rFonts w:cs="Arial"/>
          <w:szCs w:val="21"/>
        </w:rPr>
        <w:t xml:space="preserve">.  Australian-funded </w:t>
      </w:r>
      <w:r w:rsidR="00F44A7E">
        <w:rPr>
          <w:rFonts w:cs="Arial"/>
          <w:szCs w:val="21"/>
        </w:rPr>
        <w:t xml:space="preserve">recovery </w:t>
      </w:r>
      <w:r w:rsidR="002E0C49" w:rsidRPr="002E0C49">
        <w:rPr>
          <w:rFonts w:cs="Arial"/>
          <w:szCs w:val="21"/>
        </w:rPr>
        <w:t>projects will be implemented</w:t>
      </w:r>
      <w:r w:rsidR="002E0C49">
        <w:rPr>
          <w:rFonts w:cs="Arial"/>
          <w:szCs w:val="21"/>
        </w:rPr>
        <w:t xml:space="preserve"> over three years</w:t>
      </w:r>
      <w:r w:rsidR="002E0C49" w:rsidRPr="002E0C49">
        <w:rPr>
          <w:rFonts w:cs="Arial"/>
          <w:szCs w:val="21"/>
        </w:rPr>
        <w:t xml:space="preserve"> through the Vanuatu Government’s recovery management arrangements</w:t>
      </w:r>
      <w:r w:rsidR="0020007A">
        <w:rPr>
          <w:rFonts w:cs="Arial"/>
          <w:szCs w:val="21"/>
        </w:rPr>
        <w:t>.</w:t>
      </w:r>
    </w:p>
    <w:p w:rsidR="0020007A" w:rsidRPr="002E0C49" w:rsidRDefault="005F1BB2" w:rsidP="002E0C49">
      <w:pPr>
        <w:pStyle w:val="ListBullet"/>
        <w:numPr>
          <w:ilvl w:val="0"/>
          <w:numId w:val="0"/>
        </w:numPr>
        <w:tabs>
          <w:tab w:val="clear" w:pos="284"/>
        </w:tabs>
      </w:pPr>
      <w:r>
        <w:lastRenderedPageBreak/>
        <w:t>Total ODA flows to Vanuatu</w:t>
      </w:r>
      <w:r w:rsidR="0020007A">
        <w:t xml:space="preserve"> include an estimated $</w:t>
      </w:r>
      <w:r>
        <w:t>29.5</w:t>
      </w:r>
      <w:r w:rsidR="0020007A">
        <w:t xml:space="preserve"> million from regional and global </w:t>
      </w:r>
      <w:r>
        <w:t xml:space="preserve">programs </w:t>
      </w:r>
      <w:r w:rsidR="0020007A">
        <w:t>and $</w:t>
      </w:r>
      <w:r>
        <w:t>0.9</w:t>
      </w:r>
      <w:r w:rsidR="0020007A">
        <w:t xml:space="preserve"> million from other government departments. Pacific regional </w:t>
      </w:r>
      <w:r w:rsidR="00244E01">
        <w:t>programs are</w:t>
      </w:r>
      <w:r w:rsidR="0020007A">
        <w:t xml:space="preserve"> reported on in a separate APPR. Australian Federal Police (AFP) activities are funded through DFAT.  </w:t>
      </w:r>
    </w:p>
    <w:p w:rsidR="000D733F" w:rsidRPr="00CA5D06" w:rsidRDefault="000D733F" w:rsidP="00D12197">
      <w:pPr>
        <w:pStyle w:val="Caption"/>
        <w:keepNext w:val="0"/>
        <w:rPr>
          <w:color w:val="FF0000"/>
        </w:rPr>
      </w:pPr>
      <w:bookmarkStart w:id="2" w:name="_Toc373853206"/>
      <w:r w:rsidRPr="00E42F39">
        <w:t xml:space="preserve">Table </w:t>
      </w:r>
      <w:fldSimple w:instr=" SEQ Table \* ARABIC ">
        <w:r w:rsidR="00202D73">
          <w:rPr>
            <w:noProof/>
          </w:rPr>
          <w:t>1</w:t>
        </w:r>
      </w:fldSimple>
      <w:r w:rsidRPr="00E42F39">
        <w:t xml:space="preserve"> </w:t>
      </w:r>
      <w:r w:rsidR="00687B2F" w:rsidRPr="00E42F39">
        <w:t>Total ODA Expenditure in FY 2014-15</w:t>
      </w:r>
      <w:r w:rsidR="00CA5D06" w:rsidRPr="00E42F39">
        <w:rPr>
          <w:color w:val="FF0000"/>
        </w:rPr>
        <w:t xml:space="preserve"> </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992"/>
        <w:gridCol w:w="1525"/>
      </w:tblGrid>
      <w:tr w:rsidR="00687B2F" w:rsidRPr="00687B2F" w:rsidTr="002C5722">
        <w:tc>
          <w:tcPr>
            <w:tcW w:w="6204" w:type="dxa"/>
          </w:tcPr>
          <w:p w:rsidR="00687B2F" w:rsidRPr="00687B2F" w:rsidRDefault="00687B2F" w:rsidP="00D12197">
            <w:pPr>
              <w:pStyle w:val="BodyText"/>
              <w:rPr>
                <w:b/>
                <w:sz w:val="17"/>
                <w:szCs w:val="17"/>
              </w:rPr>
            </w:pPr>
            <w:r w:rsidRPr="00687B2F">
              <w:rPr>
                <w:b/>
                <w:sz w:val="17"/>
                <w:szCs w:val="17"/>
              </w:rPr>
              <w:t>Objective</w:t>
            </w:r>
          </w:p>
        </w:tc>
        <w:tc>
          <w:tcPr>
            <w:tcW w:w="992" w:type="dxa"/>
          </w:tcPr>
          <w:p w:rsidR="00687B2F" w:rsidRPr="00687B2F" w:rsidRDefault="00687B2F" w:rsidP="00D12197">
            <w:pPr>
              <w:pStyle w:val="BodyText"/>
              <w:rPr>
                <w:sz w:val="17"/>
                <w:szCs w:val="17"/>
              </w:rPr>
            </w:pPr>
            <w:r w:rsidRPr="00687B2F">
              <w:rPr>
                <w:b/>
                <w:sz w:val="17"/>
                <w:szCs w:val="17"/>
              </w:rPr>
              <w:t>A$ million</w:t>
            </w:r>
          </w:p>
        </w:tc>
        <w:tc>
          <w:tcPr>
            <w:tcW w:w="1525" w:type="dxa"/>
          </w:tcPr>
          <w:p w:rsidR="00687B2F" w:rsidRPr="00687B2F" w:rsidRDefault="00687B2F" w:rsidP="00D12197">
            <w:pPr>
              <w:pStyle w:val="BodyText"/>
              <w:rPr>
                <w:sz w:val="17"/>
                <w:szCs w:val="17"/>
              </w:rPr>
            </w:pPr>
            <w:r w:rsidRPr="00687B2F">
              <w:rPr>
                <w:b/>
                <w:sz w:val="17"/>
                <w:szCs w:val="17"/>
              </w:rPr>
              <w:t>% of total ODA</w:t>
            </w:r>
          </w:p>
        </w:tc>
      </w:tr>
      <w:tr w:rsidR="005F1BB2" w:rsidRPr="00F21EAD" w:rsidTr="00C35614">
        <w:tc>
          <w:tcPr>
            <w:tcW w:w="6204" w:type="dxa"/>
          </w:tcPr>
          <w:p w:rsidR="005F1BB2" w:rsidRPr="00F21EAD" w:rsidRDefault="005F1BB2" w:rsidP="00C35614">
            <w:pPr>
              <w:pStyle w:val="BodyText"/>
              <w:tabs>
                <w:tab w:val="left" w:pos="1860"/>
              </w:tabs>
              <w:spacing w:before="40" w:after="40"/>
              <w:rPr>
                <w:b/>
                <w:sz w:val="20"/>
                <w:szCs w:val="20"/>
              </w:rPr>
            </w:pPr>
            <w:r w:rsidRPr="00F21EAD">
              <w:rPr>
                <w:b/>
                <w:sz w:val="20"/>
                <w:szCs w:val="20"/>
              </w:rPr>
              <w:t>Bilateral</w:t>
            </w:r>
          </w:p>
        </w:tc>
        <w:tc>
          <w:tcPr>
            <w:tcW w:w="992" w:type="dxa"/>
          </w:tcPr>
          <w:p w:rsidR="005F1BB2" w:rsidRPr="00F21EAD" w:rsidRDefault="005F1BB2" w:rsidP="00C35614">
            <w:pPr>
              <w:pStyle w:val="BodyText"/>
              <w:tabs>
                <w:tab w:val="left" w:pos="1860"/>
              </w:tabs>
              <w:spacing w:before="40" w:after="40"/>
              <w:rPr>
                <w:b/>
                <w:sz w:val="20"/>
                <w:szCs w:val="20"/>
              </w:rPr>
            </w:pPr>
            <w:r w:rsidRPr="00F21EAD">
              <w:rPr>
                <w:b/>
                <w:sz w:val="20"/>
                <w:szCs w:val="20"/>
              </w:rPr>
              <w:t>41.8</w:t>
            </w:r>
          </w:p>
        </w:tc>
        <w:tc>
          <w:tcPr>
            <w:tcW w:w="1525" w:type="dxa"/>
          </w:tcPr>
          <w:p w:rsidR="005F1BB2" w:rsidRPr="00F21EAD" w:rsidRDefault="005F1BB2" w:rsidP="00C35614">
            <w:pPr>
              <w:pStyle w:val="BodyText"/>
              <w:tabs>
                <w:tab w:val="left" w:pos="1860"/>
              </w:tabs>
              <w:spacing w:before="40" w:after="40"/>
              <w:rPr>
                <w:b/>
                <w:sz w:val="20"/>
                <w:szCs w:val="20"/>
              </w:rPr>
            </w:pPr>
            <w:r w:rsidRPr="00F21EAD">
              <w:rPr>
                <w:b/>
                <w:sz w:val="20"/>
                <w:szCs w:val="20"/>
              </w:rPr>
              <w:t>37</w:t>
            </w:r>
          </w:p>
        </w:tc>
      </w:tr>
      <w:tr w:rsidR="00687B2F" w:rsidRPr="005F1BB2" w:rsidTr="002C5722">
        <w:tc>
          <w:tcPr>
            <w:tcW w:w="6204" w:type="dxa"/>
          </w:tcPr>
          <w:p w:rsidR="00A30455" w:rsidRPr="005F1BB2" w:rsidRDefault="00A30455" w:rsidP="00F21EAD">
            <w:pPr>
              <w:pStyle w:val="BodyText"/>
              <w:spacing w:before="40" w:after="40"/>
              <w:ind w:left="567"/>
              <w:rPr>
                <w:i/>
                <w:sz w:val="18"/>
                <w:szCs w:val="18"/>
              </w:rPr>
            </w:pPr>
            <w:r w:rsidRPr="005F1BB2">
              <w:rPr>
                <w:i/>
                <w:sz w:val="18"/>
                <w:szCs w:val="18"/>
              </w:rPr>
              <w:t>Education</w:t>
            </w:r>
          </w:p>
        </w:tc>
        <w:tc>
          <w:tcPr>
            <w:tcW w:w="992" w:type="dxa"/>
          </w:tcPr>
          <w:p w:rsidR="00687B2F" w:rsidRPr="005F1BB2" w:rsidRDefault="005F1BB2" w:rsidP="00F21EAD">
            <w:pPr>
              <w:pStyle w:val="BodyText"/>
              <w:spacing w:before="40" w:after="40"/>
              <w:ind w:left="-1242" w:firstLine="1242"/>
              <w:rPr>
                <w:i/>
                <w:sz w:val="18"/>
                <w:szCs w:val="18"/>
              </w:rPr>
            </w:pPr>
            <w:r w:rsidRPr="005F1BB2">
              <w:rPr>
                <w:i/>
                <w:sz w:val="18"/>
                <w:szCs w:val="18"/>
              </w:rPr>
              <w:t>10.2</w:t>
            </w:r>
            <w:r w:rsidR="00F21EAD">
              <w:rPr>
                <w:i/>
                <w:sz w:val="18"/>
                <w:szCs w:val="18"/>
              </w:rPr>
              <w:t xml:space="preserve"> </w:t>
            </w:r>
          </w:p>
        </w:tc>
        <w:tc>
          <w:tcPr>
            <w:tcW w:w="1525" w:type="dxa"/>
          </w:tcPr>
          <w:p w:rsidR="00687B2F" w:rsidRPr="005F1BB2" w:rsidRDefault="005F1BB2" w:rsidP="005F1BB2">
            <w:pPr>
              <w:pStyle w:val="BodyText"/>
              <w:spacing w:before="40" w:after="40"/>
              <w:rPr>
                <w:i/>
                <w:sz w:val="18"/>
                <w:szCs w:val="18"/>
              </w:rPr>
            </w:pPr>
            <w:r w:rsidRPr="005F1BB2">
              <w:rPr>
                <w:i/>
                <w:sz w:val="18"/>
                <w:szCs w:val="18"/>
              </w:rPr>
              <w:t xml:space="preserve">24 </w:t>
            </w:r>
          </w:p>
        </w:tc>
      </w:tr>
      <w:tr w:rsidR="00A30455" w:rsidRPr="005F1BB2" w:rsidTr="002C5722">
        <w:tc>
          <w:tcPr>
            <w:tcW w:w="6204" w:type="dxa"/>
          </w:tcPr>
          <w:p w:rsidR="00A30455" w:rsidRPr="005F1BB2" w:rsidRDefault="00A30455" w:rsidP="00F21EAD">
            <w:pPr>
              <w:pStyle w:val="BodyText"/>
              <w:spacing w:before="40" w:after="40"/>
              <w:ind w:left="567"/>
              <w:rPr>
                <w:i/>
                <w:sz w:val="18"/>
                <w:szCs w:val="18"/>
              </w:rPr>
            </w:pPr>
            <w:r w:rsidRPr="005F1BB2">
              <w:rPr>
                <w:i/>
                <w:sz w:val="18"/>
                <w:szCs w:val="18"/>
              </w:rPr>
              <w:t>Health</w:t>
            </w:r>
          </w:p>
        </w:tc>
        <w:tc>
          <w:tcPr>
            <w:tcW w:w="992" w:type="dxa"/>
          </w:tcPr>
          <w:p w:rsidR="00A30455" w:rsidRPr="005F1BB2" w:rsidRDefault="005F1BB2" w:rsidP="00D12197">
            <w:pPr>
              <w:pStyle w:val="BodyText"/>
              <w:spacing w:before="40" w:after="40"/>
              <w:rPr>
                <w:i/>
                <w:sz w:val="18"/>
                <w:szCs w:val="18"/>
              </w:rPr>
            </w:pPr>
            <w:r w:rsidRPr="005F1BB2">
              <w:rPr>
                <w:i/>
                <w:sz w:val="18"/>
                <w:szCs w:val="18"/>
              </w:rPr>
              <w:t>4.9</w:t>
            </w:r>
          </w:p>
        </w:tc>
        <w:tc>
          <w:tcPr>
            <w:tcW w:w="1525" w:type="dxa"/>
          </w:tcPr>
          <w:p w:rsidR="00A30455" w:rsidRPr="005F1BB2" w:rsidRDefault="005F1BB2" w:rsidP="00D12197">
            <w:pPr>
              <w:pStyle w:val="BodyText"/>
              <w:spacing w:before="40" w:after="40"/>
              <w:rPr>
                <w:i/>
                <w:sz w:val="18"/>
                <w:szCs w:val="18"/>
              </w:rPr>
            </w:pPr>
            <w:r w:rsidRPr="005F1BB2">
              <w:rPr>
                <w:i/>
                <w:sz w:val="18"/>
                <w:szCs w:val="18"/>
              </w:rPr>
              <w:t>12</w:t>
            </w:r>
          </w:p>
        </w:tc>
      </w:tr>
      <w:tr w:rsidR="00A30455" w:rsidRPr="005F1BB2" w:rsidTr="002C5722">
        <w:tc>
          <w:tcPr>
            <w:tcW w:w="6204" w:type="dxa"/>
          </w:tcPr>
          <w:p w:rsidR="00A30455" w:rsidRPr="005F1BB2" w:rsidRDefault="00A30455" w:rsidP="00F21EAD">
            <w:pPr>
              <w:pStyle w:val="BodyText"/>
              <w:spacing w:before="40" w:after="40"/>
              <w:ind w:left="567"/>
              <w:rPr>
                <w:i/>
                <w:sz w:val="18"/>
                <w:szCs w:val="18"/>
              </w:rPr>
            </w:pPr>
            <w:r w:rsidRPr="005F1BB2">
              <w:rPr>
                <w:i/>
                <w:sz w:val="18"/>
                <w:szCs w:val="18"/>
              </w:rPr>
              <w:t>Economic Governance</w:t>
            </w:r>
          </w:p>
        </w:tc>
        <w:tc>
          <w:tcPr>
            <w:tcW w:w="992" w:type="dxa"/>
          </w:tcPr>
          <w:p w:rsidR="00A30455" w:rsidRPr="005F1BB2" w:rsidRDefault="005F1BB2" w:rsidP="00D12197">
            <w:pPr>
              <w:pStyle w:val="BodyText"/>
              <w:spacing w:before="40" w:after="40"/>
              <w:rPr>
                <w:i/>
                <w:sz w:val="18"/>
                <w:szCs w:val="18"/>
              </w:rPr>
            </w:pPr>
            <w:r w:rsidRPr="005F1BB2">
              <w:rPr>
                <w:i/>
                <w:sz w:val="18"/>
                <w:szCs w:val="18"/>
              </w:rPr>
              <w:t>7.1</w:t>
            </w:r>
          </w:p>
        </w:tc>
        <w:tc>
          <w:tcPr>
            <w:tcW w:w="1525" w:type="dxa"/>
          </w:tcPr>
          <w:p w:rsidR="00A30455" w:rsidRPr="005F1BB2" w:rsidRDefault="005F1BB2" w:rsidP="00D12197">
            <w:pPr>
              <w:pStyle w:val="BodyText"/>
              <w:spacing w:before="40" w:after="40"/>
              <w:rPr>
                <w:i/>
                <w:sz w:val="18"/>
                <w:szCs w:val="18"/>
              </w:rPr>
            </w:pPr>
            <w:r w:rsidRPr="005F1BB2">
              <w:rPr>
                <w:i/>
                <w:sz w:val="18"/>
                <w:szCs w:val="18"/>
              </w:rPr>
              <w:t>17</w:t>
            </w:r>
          </w:p>
        </w:tc>
      </w:tr>
      <w:tr w:rsidR="00A30455" w:rsidRPr="005F1BB2" w:rsidTr="002C5722">
        <w:tc>
          <w:tcPr>
            <w:tcW w:w="6204" w:type="dxa"/>
          </w:tcPr>
          <w:p w:rsidR="00A30455" w:rsidRPr="005F1BB2" w:rsidRDefault="00A30455" w:rsidP="00F21EAD">
            <w:pPr>
              <w:pStyle w:val="BodyText"/>
              <w:spacing w:before="40" w:after="40"/>
              <w:ind w:left="567"/>
              <w:rPr>
                <w:i/>
                <w:sz w:val="18"/>
                <w:szCs w:val="18"/>
              </w:rPr>
            </w:pPr>
            <w:r w:rsidRPr="005F1BB2">
              <w:rPr>
                <w:i/>
                <w:sz w:val="18"/>
                <w:szCs w:val="18"/>
              </w:rPr>
              <w:t>Infrastructure</w:t>
            </w:r>
          </w:p>
        </w:tc>
        <w:tc>
          <w:tcPr>
            <w:tcW w:w="992" w:type="dxa"/>
          </w:tcPr>
          <w:p w:rsidR="00A30455" w:rsidRPr="005F1BB2" w:rsidRDefault="005F1BB2" w:rsidP="00D12197">
            <w:pPr>
              <w:pStyle w:val="BodyText"/>
              <w:spacing w:before="40" w:after="40"/>
              <w:rPr>
                <w:i/>
                <w:sz w:val="18"/>
                <w:szCs w:val="18"/>
              </w:rPr>
            </w:pPr>
            <w:r w:rsidRPr="005F1BB2">
              <w:rPr>
                <w:i/>
                <w:sz w:val="18"/>
                <w:szCs w:val="18"/>
              </w:rPr>
              <w:t>12.5</w:t>
            </w:r>
          </w:p>
        </w:tc>
        <w:tc>
          <w:tcPr>
            <w:tcW w:w="1525" w:type="dxa"/>
          </w:tcPr>
          <w:p w:rsidR="00A30455" w:rsidRPr="005F1BB2" w:rsidRDefault="005F1BB2" w:rsidP="00D12197">
            <w:pPr>
              <w:pStyle w:val="BodyText"/>
              <w:spacing w:before="40" w:after="40"/>
              <w:rPr>
                <w:i/>
                <w:sz w:val="18"/>
                <w:szCs w:val="18"/>
              </w:rPr>
            </w:pPr>
            <w:r w:rsidRPr="005F1BB2">
              <w:rPr>
                <w:i/>
                <w:sz w:val="18"/>
                <w:szCs w:val="18"/>
              </w:rPr>
              <w:t>30</w:t>
            </w:r>
          </w:p>
        </w:tc>
      </w:tr>
      <w:tr w:rsidR="00687B2F" w:rsidRPr="005F1BB2" w:rsidTr="002C5722">
        <w:tc>
          <w:tcPr>
            <w:tcW w:w="6204" w:type="dxa"/>
          </w:tcPr>
          <w:p w:rsidR="00687B2F" w:rsidRPr="005F1BB2" w:rsidRDefault="00A30455" w:rsidP="00F21EAD">
            <w:pPr>
              <w:pStyle w:val="BodyText"/>
              <w:spacing w:before="40" w:after="40"/>
              <w:ind w:left="567"/>
              <w:rPr>
                <w:i/>
                <w:sz w:val="18"/>
                <w:szCs w:val="18"/>
              </w:rPr>
            </w:pPr>
            <w:r w:rsidRPr="005F1BB2">
              <w:rPr>
                <w:i/>
                <w:sz w:val="18"/>
                <w:szCs w:val="18"/>
              </w:rPr>
              <w:t>Law and Justice</w:t>
            </w:r>
          </w:p>
        </w:tc>
        <w:tc>
          <w:tcPr>
            <w:tcW w:w="992" w:type="dxa"/>
          </w:tcPr>
          <w:p w:rsidR="00687B2F" w:rsidRPr="005F1BB2" w:rsidRDefault="005F1BB2" w:rsidP="00D12197">
            <w:pPr>
              <w:pStyle w:val="BodyText"/>
              <w:spacing w:before="40" w:after="40"/>
              <w:rPr>
                <w:i/>
                <w:sz w:val="18"/>
                <w:szCs w:val="18"/>
              </w:rPr>
            </w:pPr>
            <w:r w:rsidRPr="005F1BB2">
              <w:rPr>
                <w:i/>
                <w:sz w:val="18"/>
                <w:szCs w:val="18"/>
              </w:rPr>
              <w:t>7.1</w:t>
            </w:r>
          </w:p>
        </w:tc>
        <w:tc>
          <w:tcPr>
            <w:tcW w:w="1525" w:type="dxa"/>
          </w:tcPr>
          <w:p w:rsidR="00687B2F" w:rsidRPr="005F1BB2" w:rsidRDefault="005F1BB2" w:rsidP="00D12197">
            <w:pPr>
              <w:pStyle w:val="BodyText"/>
              <w:spacing w:before="40" w:after="40"/>
              <w:rPr>
                <w:i/>
                <w:sz w:val="18"/>
                <w:szCs w:val="18"/>
              </w:rPr>
            </w:pPr>
            <w:r w:rsidRPr="005F1BB2">
              <w:rPr>
                <w:i/>
                <w:sz w:val="18"/>
                <w:szCs w:val="18"/>
              </w:rPr>
              <w:t>17</w:t>
            </w:r>
          </w:p>
        </w:tc>
      </w:tr>
      <w:tr w:rsidR="002E0C49" w:rsidRPr="00F21EAD" w:rsidTr="002C5722">
        <w:tc>
          <w:tcPr>
            <w:tcW w:w="6204" w:type="dxa"/>
          </w:tcPr>
          <w:p w:rsidR="002E0C49" w:rsidRPr="00F21EAD" w:rsidRDefault="002E0C49" w:rsidP="00D12197">
            <w:pPr>
              <w:pStyle w:val="BodyText"/>
              <w:tabs>
                <w:tab w:val="left" w:pos="1860"/>
              </w:tabs>
              <w:spacing w:before="40" w:after="40"/>
              <w:rPr>
                <w:b/>
                <w:sz w:val="20"/>
                <w:szCs w:val="20"/>
              </w:rPr>
            </w:pPr>
            <w:r w:rsidRPr="00F21EAD">
              <w:rPr>
                <w:b/>
                <w:sz w:val="20"/>
                <w:szCs w:val="20"/>
              </w:rPr>
              <w:t>Tropical Cyclone Pam</w:t>
            </w:r>
            <w:r w:rsidR="008C1DC2" w:rsidRPr="00F21EAD">
              <w:rPr>
                <w:b/>
                <w:sz w:val="20"/>
                <w:szCs w:val="20"/>
              </w:rPr>
              <w:t xml:space="preserve"> response</w:t>
            </w:r>
            <w:r w:rsidR="009A0559">
              <w:rPr>
                <w:b/>
                <w:sz w:val="20"/>
                <w:szCs w:val="20"/>
              </w:rPr>
              <w:t>*</w:t>
            </w:r>
          </w:p>
        </w:tc>
        <w:tc>
          <w:tcPr>
            <w:tcW w:w="992" w:type="dxa"/>
          </w:tcPr>
          <w:p w:rsidR="002E0C49" w:rsidRPr="00F21EAD" w:rsidRDefault="005F1BB2" w:rsidP="00D12197">
            <w:pPr>
              <w:pStyle w:val="BodyText"/>
              <w:spacing w:before="40" w:after="40"/>
              <w:rPr>
                <w:b/>
                <w:sz w:val="20"/>
                <w:szCs w:val="20"/>
              </w:rPr>
            </w:pPr>
            <w:r w:rsidRPr="00F21EAD">
              <w:rPr>
                <w:b/>
                <w:sz w:val="20"/>
                <w:szCs w:val="20"/>
              </w:rPr>
              <w:t>39.7</w:t>
            </w:r>
          </w:p>
        </w:tc>
        <w:tc>
          <w:tcPr>
            <w:tcW w:w="1525" w:type="dxa"/>
          </w:tcPr>
          <w:p w:rsidR="002E0C49" w:rsidRPr="00F21EAD" w:rsidRDefault="005F1BB2" w:rsidP="00D12197">
            <w:pPr>
              <w:pStyle w:val="BodyText"/>
              <w:spacing w:before="40" w:after="40"/>
              <w:rPr>
                <w:b/>
                <w:sz w:val="20"/>
                <w:szCs w:val="20"/>
              </w:rPr>
            </w:pPr>
            <w:r w:rsidRPr="00F21EAD">
              <w:rPr>
                <w:b/>
                <w:sz w:val="20"/>
                <w:szCs w:val="20"/>
              </w:rPr>
              <w:t>35</w:t>
            </w:r>
          </w:p>
        </w:tc>
      </w:tr>
      <w:tr w:rsidR="00687B2F" w:rsidRPr="00F21EAD" w:rsidTr="002C5722">
        <w:tc>
          <w:tcPr>
            <w:tcW w:w="6204" w:type="dxa"/>
          </w:tcPr>
          <w:p w:rsidR="00687B2F" w:rsidRPr="00F21EAD" w:rsidRDefault="00687B2F" w:rsidP="00D12197">
            <w:pPr>
              <w:pStyle w:val="BodyText"/>
              <w:tabs>
                <w:tab w:val="left" w:pos="1860"/>
              </w:tabs>
              <w:spacing w:before="40" w:after="40"/>
              <w:rPr>
                <w:b/>
                <w:sz w:val="20"/>
                <w:szCs w:val="20"/>
              </w:rPr>
            </w:pPr>
            <w:r w:rsidRPr="00F21EAD">
              <w:rPr>
                <w:b/>
                <w:sz w:val="20"/>
                <w:szCs w:val="20"/>
              </w:rPr>
              <w:t>Regional and Global</w:t>
            </w:r>
            <w:r w:rsidR="009A0559">
              <w:rPr>
                <w:b/>
                <w:sz w:val="20"/>
                <w:szCs w:val="20"/>
              </w:rPr>
              <w:t>**</w:t>
            </w:r>
          </w:p>
        </w:tc>
        <w:tc>
          <w:tcPr>
            <w:tcW w:w="992" w:type="dxa"/>
          </w:tcPr>
          <w:p w:rsidR="00687B2F" w:rsidRPr="00F21EAD" w:rsidRDefault="005F1BB2" w:rsidP="00D12197">
            <w:pPr>
              <w:pStyle w:val="BodyText"/>
              <w:spacing w:before="40" w:after="40"/>
              <w:rPr>
                <w:b/>
                <w:sz w:val="20"/>
                <w:szCs w:val="20"/>
              </w:rPr>
            </w:pPr>
            <w:r w:rsidRPr="00F21EAD">
              <w:rPr>
                <w:b/>
                <w:sz w:val="20"/>
                <w:szCs w:val="20"/>
              </w:rPr>
              <w:t>29.5</w:t>
            </w:r>
          </w:p>
        </w:tc>
        <w:tc>
          <w:tcPr>
            <w:tcW w:w="1525" w:type="dxa"/>
          </w:tcPr>
          <w:p w:rsidR="00687B2F" w:rsidRPr="00F21EAD" w:rsidRDefault="005F1BB2" w:rsidP="00D12197">
            <w:pPr>
              <w:pStyle w:val="BodyText"/>
              <w:spacing w:before="40" w:after="40"/>
              <w:rPr>
                <w:b/>
                <w:sz w:val="20"/>
                <w:szCs w:val="20"/>
              </w:rPr>
            </w:pPr>
            <w:r w:rsidRPr="00F21EAD">
              <w:rPr>
                <w:b/>
                <w:sz w:val="20"/>
                <w:szCs w:val="20"/>
              </w:rPr>
              <w:t>26</w:t>
            </w:r>
          </w:p>
        </w:tc>
      </w:tr>
      <w:tr w:rsidR="00687B2F" w:rsidRPr="00F21EAD" w:rsidTr="002C5722">
        <w:tc>
          <w:tcPr>
            <w:tcW w:w="6204" w:type="dxa"/>
          </w:tcPr>
          <w:p w:rsidR="00687B2F" w:rsidRPr="00F21EAD" w:rsidRDefault="00687B2F" w:rsidP="00D12197">
            <w:pPr>
              <w:pStyle w:val="BodyText"/>
              <w:spacing w:before="40" w:after="40"/>
              <w:rPr>
                <w:b/>
                <w:sz w:val="20"/>
                <w:szCs w:val="20"/>
              </w:rPr>
            </w:pPr>
            <w:r w:rsidRPr="00F21EAD">
              <w:rPr>
                <w:b/>
                <w:sz w:val="20"/>
                <w:szCs w:val="20"/>
              </w:rPr>
              <w:t>Other Government Departments</w:t>
            </w:r>
          </w:p>
        </w:tc>
        <w:tc>
          <w:tcPr>
            <w:tcW w:w="992" w:type="dxa"/>
          </w:tcPr>
          <w:p w:rsidR="00687B2F" w:rsidRPr="00F21EAD" w:rsidRDefault="005F1BB2" w:rsidP="00D12197">
            <w:pPr>
              <w:pStyle w:val="BodyText"/>
              <w:spacing w:before="40" w:after="40"/>
              <w:rPr>
                <w:b/>
                <w:sz w:val="20"/>
                <w:szCs w:val="20"/>
              </w:rPr>
            </w:pPr>
            <w:r w:rsidRPr="00F21EAD">
              <w:rPr>
                <w:b/>
                <w:sz w:val="20"/>
                <w:szCs w:val="20"/>
              </w:rPr>
              <w:t>0.9</w:t>
            </w:r>
          </w:p>
        </w:tc>
        <w:tc>
          <w:tcPr>
            <w:tcW w:w="1525" w:type="dxa"/>
          </w:tcPr>
          <w:p w:rsidR="00687B2F" w:rsidRPr="00F21EAD" w:rsidRDefault="005F1BB2" w:rsidP="00D12197">
            <w:pPr>
              <w:pStyle w:val="BodyText"/>
              <w:spacing w:before="40" w:after="40"/>
              <w:rPr>
                <w:b/>
                <w:sz w:val="20"/>
                <w:szCs w:val="20"/>
              </w:rPr>
            </w:pPr>
            <w:r w:rsidRPr="00F21EAD">
              <w:rPr>
                <w:b/>
                <w:sz w:val="20"/>
                <w:szCs w:val="20"/>
              </w:rPr>
              <w:t>1</w:t>
            </w:r>
          </w:p>
        </w:tc>
      </w:tr>
      <w:tr w:rsidR="00687B2F" w:rsidRPr="00F21EAD" w:rsidTr="002C5722">
        <w:tc>
          <w:tcPr>
            <w:tcW w:w="6204" w:type="dxa"/>
          </w:tcPr>
          <w:p w:rsidR="00687B2F" w:rsidRPr="00F21EAD" w:rsidRDefault="00687B2F" w:rsidP="005F1BB2">
            <w:pPr>
              <w:pStyle w:val="BodyText"/>
              <w:rPr>
                <w:b/>
                <w:sz w:val="20"/>
                <w:szCs w:val="20"/>
              </w:rPr>
            </w:pPr>
            <w:r w:rsidRPr="00F21EAD">
              <w:rPr>
                <w:b/>
                <w:sz w:val="20"/>
                <w:szCs w:val="20"/>
              </w:rPr>
              <w:t>Total</w:t>
            </w:r>
            <w:r w:rsidR="002C5722" w:rsidRPr="00F21EAD">
              <w:rPr>
                <w:b/>
                <w:sz w:val="20"/>
                <w:szCs w:val="20"/>
              </w:rPr>
              <w:t xml:space="preserve"> ODA </w:t>
            </w:r>
          </w:p>
        </w:tc>
        <w:tc>
          <w:tcPr>
            <w:tcW w:w="992" w:type="dxa"/>
          </w:tcPr>
          <w:p w:rsidR="00687B2F" w:rsidRPr="00F21EAD" w:rsidRDefault="005F1BB2" w:rsidP="00D12197">
            <w:pPr>
              <w:pStyle w:val="BodyText"/>
              <w:rPr>
                <w:b/>
                <w:sz w:val="20"/>
                <w:szCs w:val="20"/>
              </w:rPr>
            </w:pPr>
            <w:r w:rsidRPr="00F21EAD">
              <w:rPr>
                <w:b/>
                <w:sz w:val="20"/>
                <w:szCs w:val="20"/>
              </w:rPr>
              <w:t>111.9</w:t>
            </w:r>
          </w:p>
        </w:tc>
        <w:tc>
          <w:tcPr>
            <w:tcW w:w="1525" w:type="dxa"/>
          </w:tcPr>
          <w:p w:rsidR="00687B2F" w:rsidRPr="00F21EAD" w:rsidRDefault="005F1BB2" w:rsidP="00D12197">
            <w:pPr>
              <w:pStyle w:val="BodyText"/>
              <w:rPr>
                <w:b/>
                <w:sz w:val="20"/>
                <w:szCs w:val="20"/>
              </w:rPr>
            </w:pPr>
            <w:r w:rsidRPr="00F21EAD">
              <w:rPr>
                <w:b/>
                <w:sz w:val="20"/>
                <w:szCs w:val="20"/>
              </w:rPr>
              <w:t>100</w:t>
            </w:r>
          </w:p>
        </w:tc>
      </w:tr>
    </w:tbl>
    <w:p w:rsidR="009A0559" w:rsidRPr="00F44A7E" w:rsidRDefault="009A0559" w:rsidP="00F44A7E">
      <w:pPr>
        <w:pStyle w:val="Heading2"/>
        <w:spacing w:before="120"/>
        <w:rPr>
          <w:rFonts w:ascii="Franklin Gothic Book" w:hAnsi="Franklin Gothic Book" w:cs="Times New Roman"/>
          <w:i/>
          <w:color w:val="auto"/>
          <w:kern w:val="0"/>
          <w:sz w:val="18"/>
          <w:szCs w:val="18"/>
        </w:rPr>
      </w:pPr>
      <w:r w:rsidRPr="009A0559">
        <w:rPr>
          <w:rFonts w:ascii="Franklin Gothic Book" w:hAnsi="Franklin Gothic Book" w:cs="Times New Roman"/>
          <w:i/>
          <w:color w:val="auto"/>
          <w:kern w:val="0"/>
          <w:sz w:val="18"/>
          <w:szCs w:val="18"/>
        </w:rPr>
        <w:t>*</w:t>
      </w:r>
      <w:r>
        <w:rPr>
          <w:rFonts w:ascii="Franklin Gothic Book" w:hAnsi="Franklin Gothic Book" w:cs="Times New Roman"/>
          <w:i/>
          <w:color w:val="auto"/>
          <w:kern w:val="0"/>
          <w:sz w:val="18"/>
          <w:szCs w:val="18"/>
        </w:rPr>
        <w:t xml:space="preserve"> </w:t>
      </w:r>
      <w:r w:rsidRPr="009A0559">
        <w:rPr>
          <w:rFonts w:ascii="Franklin Gothic Book" w:hAnsi="Franklin Gothic Book" w:cs="Times New Roman"/>
          <w:i/>
          <w:color w:val="auto"/>
          <w:kern w:val="0"/>
          <w:sz w:val="18"/>
          <w:szCs w:val="18"/>
        </w:rPr>
        <w:t>includes</w:t>
      </w:r>
      <w:r>
        <w:rPr>
          <w:rFonts w:ascii="Franklin Gothic Book" w:hAnsi="Franklin Gothic Book" w:cs="Times New Roman"/>
          <w:i/>
          <w:color w:val="auto"/>
          <w:kern w:val="0"/>
          <w:sz w:val="18"/>
          <w:szCs w:val="18"/>
        </w:rPr>
        <w:t xml:space="preserve"> $34.7 million </w:t>
      </w:r>
      <w:r w:rsidR="00F27406">
        <w:rPr>
          <w:rFonts w:ascii="Franklin Gothic Book" w:hAnsi="Franklin Gothic Book" w:cs="Times New Roman"/>
          <w:i/>
          <w:color w:val="auto"/>
          <w:kern w:val="0"/>
          <w:sz w:val="18"/>
          <w:szCs w:val="18"/>
        </w:rPr>
        <w:t>through a t</w:t>
      </w:r>
      <w:r>
        <w:rPr>
          <w:rFonts w:ascii="Franklin Gothic Book" w:hAnsi="Franklin Gothic Book" w:cs="Times New Roman"/>
          <w:i/>
          <w:color w:val="auto"/>
          <w:kern w:val="0"/>
          <w:sz w:val="18"/>
          <w:szCs w:val="18"/>
        </w:rPr>
        <w:t xml:space="preserve">rust </w:t>
      </w:r>
      <w:r w:rsidR="00F27406">
        <w:rPr>
          <w:rFonts w:ascii="Franklin Gothic Book" w:hAnsi="Franklin Gothic Book" w:cs="Times New Roman"/>
          <w:i/>
          <w:color w:val="auto"/>
          <w:kern w:val="0"/>
          <w:sz w:val="18"/>
          <w:szCs w:val="18"/>
        </w:rPr>
        <w:t>a</w:t>
      </w:r>
      <w:r>
        <w:rPr>
          <w:rFonts w:ascii="Franklin Gothic Book" w:hAnsi="Franklin Gothic Book" w:cs="Times New Roman"/>
          <w:i/>
          <w:color w:val="auto"/>
          <w:kern w:val="0"/>
          <w:sz w:val="18"/>
          <w:szCs w:val="18"/>
        </w:rPr>
        <w:t>ccount and $5 million on early recovery.</w:t>
      </w:r>
      <w:r w:rsidR="00F44A7E">
        <w:rPr>
          <w:rFonts w:ascii="Franklin Gothic Book" w:hAnsi="Franklin Gothic Book" w:cs="Times New Roman"/>
          <w:i/>
          <w:color w:val="auto"/>
          <w:kern w:val="0"/>
          <w:sz w:val="18"/>
          <w:szCs w:val="18"/>
        </w:rPr>
        <w:br/>
      </w:r>
      <w:r w:rsidRPr="00F44A7E">
        <w:rPr>
          <w:rFonts w:ascii="Franklin Gothic Book" w:hAnsi="Franklin Gothic Book" w:cs="Times New Roman"/>
          <w:i/>
          <w:color w:val="auto"/>
          <w:kern w:val="0"/>
          <w:sz w:val="18"/>
          <w:szCs w:val="18"/>
        </w:rPr>
        <w:t>** includes regional and global funding for Cyclone Pam response.</w:t>
      </w:r>
    </w:p>
    <w:p w:rsidR="000D733F" w:rsidRDefault="00511A0F" w:rsidP="00D12197">
      <w:pPr>
        <w:pStyle w:val="Heading2"/>
        <w:rPr>
          <w:sz w:val="28"/>
        </w:rPr>
      </w:pPr>
      <w:r w:rsidRPr="004C77CD">
        <w:rPr>
          <w:sz w:val="28"/>
        </w:rPr>
        <w:t xml:space="preserve">Progress </w:t>
      </w:r>
      <w:r w:rsidR="00E15678" w:rsidRPr="004C77CD">
        <w:rPr>
          <w:sz w:val="28"/>
        </w:rPr>
        <w:t>towards</w:t>
      </w:r>
      <w:r w:rsidRPr="004C77CD">
        <w:rPr>
          <w:sz w:val="28"/>
        </w:rPr>
        <w:t xml:space="preserve"> O</w:t>
      </w:r>
      <w:r w:rsidR="000D733F" w:rsidRPr="004C77CD">
        <w:rPr>
          <w:sz w:val="28"/>
        </w:rPr>
        <w:t>bjectives</w:t>
      </w:r>
      <w:r w:rsidR="000D733F" w:rsidRPr="004C77CD">
        <w:rPr>
          <w:sz w:val="28"/>
        </w:rPr>
        <w:tab/>
      </w:r>
      <w:r w:rsidR="00A30455" w:rsidRPr="004C77CD">
        <w:rPr>
          <w:sz w:val="28"/>
        </w:rPr>
        <w:t xml:space="preserve"> </w:t>
      </w:r>
    </w:p>
    <w:p w:rsidR="008C1DC2" w:rsidRPr="008C1DC2" w:rsidRDefault="008C1DC2" w:rsidP="00D12197">
      <w:pPr>
        <w:pStyle w:val="BodyText"/>
        <w:keepNext/>
      </w:pPr>
      <w:r>
        <w:t>Table 2 summarises progress against Australia’s five objectives in Vanuatu as articulated in the Partners</w:t>
      </w:r>
      <w:r w:rsidR="00DA0539">
        <w:t>hip for Development</w:t>
      </w:r>
      <w:r w:rsidR="00244E01">
        <w:t xml:space="preserve"> 2009-2015</w:t>
      </w:r>
      <w:r w:rsidR="00DA0539">
        <w:t xml:space="preserve">.  This is expected to </w:t>
      </w:r>
      <w:r>
        <w:t>be replaced in 2015-16 by a new Aid Partnership.</w:t>
      </w:r>
    </w:p>
    <w:p w:rsidR="000D733F" w:rsidRPr="00A30455" w:rsidRDefault="000D733F" w:rsidP="00566187">
      <w:pPr>
        <w:pStyle w:val="Caption"/>
        <w:keepNext w:val="0"/>
        <w:rPr>
          <w:color w:val="FF0000"/>
        </w:rPr>
      </w:pPr>
      <w:r w:rsidRPr="00197941">
        <w:t xml:space="preserve">Table </w:t>
      </w:r>
      <w:fldSimple w:instr=" SEQ Table \* ARABIC ">
        <w:r w:rsidR="00202D73">
          <w:rPr>
            <w:noProof/>
          </w:rPr>
          <w:t>2</w:t>
        </w:r>
      </w:fldSimple>
      <w:r w:rsidR="00582C22" w:rsidRPr="00197941">
        <w:t xml:space="preserve"> Rating of the Program's P</w:t>
      </w:r>
      <w:r w:rsidRPr="00197941">
        <w:t xml:space="preserve">rogress towards Australia’s </w:t>
      </w:r>
      <w:r w:rsidR="00582C22" w:rsidRPr="00197941">
        <w:t>A</w:t>
      </w:r>
      <w:r w:rsidR="00D206B3" w:rsidRPr="00197941">
        <w:t xml:space="preserve">id </w:t>
      </w:r>
      <w:r w:rsidR="00582C22" w:rsidRPr="00197941">
        <w:t>O</w:t>
      </w:r>
      <w:r w:rsidRPr="00197941">
        <w:t>bjectives</w:t>
      </w:r>
      <w:r w:rsidR="00A30455" w:rsidRPr="00197941">
        <w:t xml:space="preserve"> </w:t>
      </w:r>
    </w:p>
    <w:tbl>
      <w:tblPr>
        <w:tblStyle w:val="APPR"/>
        <w:tblW w:w="5243" w:type="pct"/>
        <w:tblLook w:val="0000" w:firstRow="0" w:lastRow="0" w:firstColumn="0" w:lastColumn="0" w:noHBand="0" w:noVBand="0"/>
      </w:tblPr>
      <w:tblGrid>
        <w:gridCol w:w="6235"/>
        <w:gridCol w:w="1026"/>
        <w:gridCol w:w="426"/>
        <w:gridCol w:w="1091"/>
        <w:gridCol w:w="426"/>
      </w:tblGrid>
      <w:tr w:rsidR="000D733F" w:rsidRPr="0019341B" w:rsidTr="008C1DC2">
        <w:trPr>
          <w:gridAfter w:val="1"/>
          <w:cnfStyle w:val="000000010000" w:firstRow="0" w:lastRow="0" w:firstColumn="0" w:lastColumn="0" w:oddVBand="0" w:evenVBand="0" w:oddHBand="0" w:evenHBand="1" w:firstRowFirstColumn="0" w:firstRowLastColumn="0" w:lastRowFirstColumn="0" w:lastRowLastColumn="0"/>
          <w:wAfter w:w="384" w:type="dxa"/>
          <w:trHeight w:val="651"/>
        </w:trPr>
        <w:tc>
          <w:tcPr>
            <w:tcW w:w="6193" w:type="dxa"/>
          </w:tcPr>
          <w:p w:rsidR="000D733F" w:rsidRPr="0019341B" w:rsidRDefault="000D733F" w:rsidP="00566187">
            <w:pPr>
              <w:pStyle w:val="TableTextColumnHeading"/>
              <w:keepLines w:val="0"/>
            </w:pPr>
            <w:r w:rsidRPr="0019341B">
              <w:rPr>
                <w:noProof/>
                <w:lang w:eastAsia="en-AU"/>
              </w:rPr>
              <w:drawing>
                <wp:anchor distT="0" distB="0" distL="114300" distR="114300" simplePos="0" relativeHeight="251663360" behindDoc="0" locked="0" layoutInCell="1" allowOverlap="1" wp14:anchorId="5437FC00" wp14:editId="02CB7295">
                  <wp:simplePos x="0" y="0"/>
                  <wp:positionH relativeFrom="column">
                    <wp:posOffset>0</wp:posOffset>
                  </wp:positionH>
                  <wp:positionV relativeFrom="paragraph">
                    <wp:posOffset>0</wp:posOffset>
                  </wp:positionV>
                  <wp:extent cx="1857375" cy="228600"/>
                  <wp:effectExtent l="0" t="0" r="9525" b="0"/>
                  <wp:wrapNone/>
                  <wp:docPr id="12" name="Picture 1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Objective</w:t>
            </w:r>
          </w:p>
        </w:tc>
        <w:tc>
          <w:tcPr>
            <w:tcW w:w="998" w:type="dxa"/>
          </w:tcPr>
          <w:p w:rsidR="000D733F" w:rsidRPr="0019341B" w:rsidRDefault="004F4630" w:rsidP="00566187">
            <w:pPr>
              <w:pStyle w:val="TableTextColumnHeading"/>
              <w:keepLines w:val="0"/>
            </w:pPr>
            <w:r>
              <w:t>Previous Rating</w:t>
            </w:r>
          </w:p>
        </w:tc>
        <w:tc>
          <w:tcPr>
            <w:tcW w:w="398" w:type="dxa"/>
          </w:tcPr>
          <w:p w:rsidR="000D733F" w:rsidRDefault="000D733F" w:rsidP="00566187">
            <w:pPr>
              <w:pStyle w:val="TableTextColumnHeading"/>
              <w:keepLines w:val="0"/>
            </w:pPr>
          </w:p>
        </w:tc>
        <w:tc>
          <w:tcPr>
            <w:tcW w:w="1063" w:type="dxa"/>
          </w:tcPr>
          <w:p w:rsidR="000D733F" w:rsidRPr="0019341B" w:rsidRDefault="004F4630" w:rsidP="00566187">
            <w:pPr>
              <w:pStyle w:val="TableTextColumnHeading"/>
              <w:keepLines w:val="0"/>
            </w:pPr>
            <w:r>
              <w:t>Current Rating</w:t>
            </w:r>
          </w:p>
        </w:tc>
      </w:tr>
      <w:tr w:rsidR="008C1DC2" w:rsidRPr="009D53C4" w:rsidTr="00D32DC0">
        <w:trPr>
          <w:gridAfter w:val="1"/>
          <w:cnfStyle w:val="000000010000" w:firstRow="0" w:lastRow="0" w:firstColumn="0" w:lastColumn="0" w:oddVBand="0" w:evenVBand="0" w:oddHBand="0" w:evenHBand="1" w:firstRowFirstColumn="0" w:firstRowLastColumn="0" w:lastRowFirstColumn="0" w:lastRowLastColumn="0"/>
          <w:wAfter w:w="384" w:type="dxa"/>
        </w:trPr>
        <w:tc>
          <w:tcPr>
            <w:tcW w:w="6193" w:type="dxa"/>
          </w:tcPr>
          <w:p w:rsidR="008C1DC2" w:rsidRPr="0019341B" w:rsidRDefault="008C1DC2" w:rsidP="00566187">
            <w:pPr>
              <w:pStyle w:val="TableTextEntries"/>
              <w:keepLines w:val="0"/>
            </w:pPr>
            <w:r>
              <w:t>Support increased access to and quality of education for all boys and girls, and equip them with skills and knowledge</w:t>
            </w:r>
          </w:p>
        </w:tc>
        <w:tc>
          <w:tcPr>
            <w:tcW w:w="998" w:type="dxa"/>
            <w:shd w:val="clear" w:color="auto" w:fill="92D050"/>
            <w:noWrap/>
          </w:tcPr>
          <w:p w:rsidR="008C1DC2" w:rsidRPr="00443639" w:rsidRDefault="008C1DC2" w:rsidP="00566187">
            <w:pPr>
              <w:pStyle w:val="TableTextEntries"/>
              <w:keepLines w:val="0"/>
              <w:jc w:val="center"/>
              <w:rPr>
                <w:color w:val="FFFFFF" w:themeColor="background1"/>
              </w:rPr>
            </w:pPr>
            <w:r w:rsidRPr="00443639">
              <w:rPr>
                <w:color w:val="FFFFFF" w:themeColor="background1"/>
              </w:rPr>
              <w:t>Green</w:t>
            </w:r>
          </w:p>
        </w:tc>
        <w:tc>
          <w:tcPr>
            <w:tcW w:w="398" w:type="dxa"/>
          </w:tcPr>
          <w:p w:rsidR="008C1DC2" w:rsidRPr="00443639" w:rsidRDefault="008C1DC2" w:rsidP="00566187">
            <w:pPr>
              <w:pStyle w:val="TableTextEntries"/>
              <w:keepLines w:val="0"/>
              <w:jc w:val="center"/>
              <w:rPr>
                <w:color w:val="FFFFFF" w:themeColor="background1"/>
              </w:rPr>
            </w:pPr>
          </w:p>
        </w:tc>
        <w:tc>
          <w:tcPr>
            <w:tcW w:w="1063" w:type="dxa"/>
            <w:shd w:val="clear" w:color="auto" w:fill="92D050"/>
            <w:noWrap/>
          </w:tcPr>
          <w:p w:rsidR="008C1DC2" w:rsidRPr="00443639" w:rsidRDefault="008C1DC2" w:rsidP="00566187">
            <w:pPr>
              <w:pStyle w:val="TableTextEntries"/>
              <w:keepLines w:val="0"/>
              <w:jc w:val="center"/>
              <w:rPr>
                <w:color w:val="FFFFFF" w:themeColor="background1"/>
              </w:rPr>
            </w:pPr>
            <w:r w:rsidRPr="00443639">
              <w:rPr>
                <w:color w:val="FFFFFF" w:themeColor="background1"/>
              </w:rPr>
              <w:t>Green</w:t>
            </w:r>
          </w:p>
        </w:tc>
      </w:tr>
      <w:tr w:rsidR="008C1DC2" w:rsidRPr="009D53C4" w:rsidTr="00A4383B">
        <w:trPr>
          <w:gridAfter w:val="1"/>
          <w:cnfStyle w:val="000000010000" w:firstRow="0" w:lastRow="0" w:firstColumn="0" w:lastColumn="0" w:oddVBand="0" w:evenVBand="0" w:oddHBand="0" w:evenHBand="1" w:firstRowFirstColumn="0" w:firstRowLastColumn="0" w:lastRowFirstColumn="0" w:lastRowLastColumn="0"/>
          <w:wAfter w:w="384" w:type="dxa"/>
        </w:trPr>
        <w:tc>
          <w:tcPr>
            <w:tcW w:w="6193" w:type="dxa"/>
          </w:tcPr>
          <w:p w:rsidR="008C1DC2" w:rsidRPr="0019341B" w:rsidRDefault="008C1DC2" w:rsidP="00566187">
            <w:pPr>
              <w:pStyle w:val="TableTextEntries"/>
              <w:keepLines w:val="0"/>
            </w:pPr>
            <w:r>
              <w:t>Strengthen health services and accelerate progress towards health MDGs</w:t>
            </w:r>
          </w:p>
        </w:tc>
        <w:tc>
          <w:tcPr>
            <w:tcW w:w="998" w:type="dxa"/>
            <w:shd w:val="clear" w:color="auto" w:fill="E36C0A"/>
            <w:noWrap/>
          </w:tcPr>
          <w:p w:rsidR="008C1DC2" w:rsidRPr="00443639" w:rsidRDefault="008C1DC2" w:rsidP="00566187">
            <w:pPr>
              <w:pStyle w:val="TableTextEntries"/>
              <w:keepLines w:val="0"/>
              <w:jc w:val="center"/>
              <w:rPr>
                <w:color w:val="FFFFFF" w:themeColor="background1"/>
              </w:rPr>
            </w:pPr>
            <w:r w:rsidRPr="00443639">
              <w:rPr>
                <w:color w:val="FFFFFF" w:themeColor="background1"/>
              </w:rPr>
              <w:t>Amber</w:t>
            </w:r>
          </w:p>
        </w:tc>
        <w:tc>
          <w:tcPr>
            <w:tcW w:w="398" w:type="dxa"/>
          </w:tcPr>
          <w:p w:rsidR="008C1DC2" w:rsidRPr="00443639" w:rsidRDefault="008C1DC2" w:rsidP="00566187">
            <w:pPr>
              <w:pStyle w:val="TableTextEntries"/>
              <w:keepLines w:val="0"/>
              <w:jc w:val="center"/>
              <w:rPr>
                <w:color w:val="FFFFFF" w:themeColor="background1"/>
              </w:rPr>
            </w:pPr>
          </w:p>
        </w:tc>
        <w:tc>
          <w:tcPr>
            <w:tcW w:w="1063" w:type="dxa"/>
            <w:shd w:val="clear" w:color="auto" w:fill="92D050"/>
            <w:noWrap/>
          </w:tcPr>
          <w:p w:rsidR="008C1DC2" w:rsidRPr="00443639" w:rsidRDefault="00A4383B" w:rsidP="00566187">
            <w:pPr>
              <w:pStyle w:val="TableTextEntries"/>
              <w:keepLines w:val="0"/>
              <w:jc w:val="center"/>
              <w:rPr>
                <w:color w:val="FFFFFF" w:themeColor="background1"/>
              </w:rPr>
            </w:pPr>
            <w:r>
              <w:rPr>
                <w:color w:val="FFFFFF" w:themeColor="background1"/>
              </w:rPr>
              <w:t>Green</w:t>
            </w:r>
          </w:p>
        </w:tc>
      </w:tr>
      <w:tr w:rsidR="008C1DC2" w:rsidRPr="009D53C4" w:rsidTr="00D32DC0">
        <w:trPr>
          <w:gridAfter w:val="1"/>
          <w:cnfStyle w:val="000000010000" w:firstRow="0" w:lastRow="0" w:firstColumn="0" w:lastColumn="0" w:oddVBand="0" w:evenVBand="0" w:oddHBand="0" w:evenHBand="1" w:firstRowFirstColumn="0" w:firstRowLastColumn="0" w:lastRowFirstColumn="0" w:lastRowLastColumn="0"/>
          <w:wAfter w:w="384" w:type="dxa"/>
        </w:trPr>
        <w:tc>
          <w:tcPr>
            <w:tcW w:w="6193" w:type="dxa"/>
          </w:tcPr>
          <w:p w:rsidR="008C1DC2" w:rsidRDefault="008C1DC2" w:rsidP="00566187">
            <w:pPr>
              <w:pStyle w:val="TableTextEntries"/>
              <w:keepLines w:val="0"/>
            </w:pPr>
            <w:r>
              <w:t>Progress reform on economic governance issues</w:t>
            </w:r>
          </w:p>
        </w:tc>
        <w:tc>
          <w:tcPr>
            <w:tcW w:w="998" w:type="dxa"/>
            <w:shd w:val="clear" w:color="auto" w:fill="92D050"/>
            <w:noWrap/>
          </w:tcPr>
          <w:p w:rsidR="008C1DC2" w:rsidRPr="00443639" w:rsidRDefault="008C1DC2" w:rsidP="00566187">
            <w:pPr>
              <w:pStyle w:val="TableTextEntries"/>
              <w:keepLines w:val="0"/>
              <w:jc w:val="center"/>
              <w:rPr>
                <w:color w:val="FFFFFF" w:themeColor="background1"/>
              </w:rPr>
            </w:pPr>
            <w:r w:rsidRPr="00443639">
              <w:rPr>
                <w:color w:val="FFFFFF" w:themeColor="background1"/>
              </w:rPr>
              <w:t>Green</w:t>
            </w:r>
          </w:p>
        </w:tc>
        <w:tc>
          <w:tcPr>
            <w:tcW w:w="398" w:type="dxa"/>
          </w:tcPr>
          <w:p w:rsidR="008C1DC2" w:rsidRPr="00443639" w:rsidRDefault="008C1DC2" w:rsidP="00566187">
            <w:pPr>
              <w:pStyle w:val="TableTextEntries"/>
              <w:keepLines w:val="0"/>
              <w:jc w:val="center"/>
              <w:rPr>
                <w:color w:val="FFFFFF" w:themeColor="background1"/>
              </w:rPr>
            </w:pPr>
          </w:p>
        </w:tc>
        <w:tc>
          <w:tcPr>
            <w:tcW w:w="1063" w:type="dxa"/>
            <w:shd w:val="clear" w:color="auto" w:fill="92D050"/>
            <w:noWrap/>
          </w:tcPr>
          <w:p w:rsidR="008C1DC2" w:rsidRPr="00443639" w:rsidRDefault="008C1DC2" w:rsidP="00566187">
            <w:pPr>
              <w:pStyle w:val="TableTextEntries"/>
              <w:keepLines w:val="0"/>
              <w:jc w:val="center"/>
              <w:rPr>
                <w:color w:val="FFFFFF" w:themeColor="background1"/>
              </w:rPr>
            </w:pPr>
            <w:r w:rsidRPr="00443639">
              <w:rPr>
                <w:color w:val="FFFFFF" w:themeColor="background1"/>
              </w:rPr>
              <w:t>Green</w:t>
            </w:r>
          </w:p>
        </w:tc>
      </w:tr>
      <w:tr w:rsidR="008C1DC2" w:rsidRPr="009D53C4" w:rsidTr="008C1DC2">
        <w:trPr>
          <w:cnfStyle w:val="000000010000" w:firstRow="0" w:lastRow="0" w:firstColumn="0" w:lastColumn="0" w:oddVBand="0" w:evenVBand="0" w:oddHBand="0" w:evenHBand="1" w:firstRowFirstColumn="0" w:firstRowLastColumn="0" w:lastRowFirstColumn="0" w:lastRowLastColumn="0"/>
        </w:trPr>
        <w:tc>
          <w:tcPr>
            <w:tcW w:w="6193" w:type="dxa"/>
          </w:tcPr>
          <w:p w:rsidR="008C1DC2" w:rsidRDefault="008C1DC2" w:rsidP="00566187">
            <w:pPr>
              <w:pStyle w:val="TableTextEntries"/>
              <w:keepLines w:val="0"/>
            </w:pPr>
            <w:r>
              <w:t>Develop essential infrastructure to support economic growth and service delivery</w:t>
            </w:r>
          </w:p>
        </w:tc>
        <w:tc>
          <w:tcPr>
            <w:tcW w:w="998" w:type="dxa"/>
            <w:shd w:val="clear" w:color="auto" w:fill="E36C0A" w:themeFill="accent6" w:themeFillShade="BF"/>
            <w:noWrap/>
          </w:tcPr>
          <w:p w:rsidR="008C1DC2" w:rsidRPr="00443639" w:rsidRDefault="008C1DC2" w:rsidP="00566187">
            <w:pPr>
              <w:pStyle w:val="TableTextEntries"/>
              <w:keepLines w:val="0"/>
              <w:jc w:val="center"/>
              <w:rPr>
                <w:color w:val="FFFFFF" w:themeColor="background1"/>
              </w:rPr>
            </w:pPr>
            <w:r w:rsidRPr="00443639">
              <w:rPr>
                <w:color w:val="FFFFFF" w:themeColor="background1"/>
              </w:rPr>
              <w:t>Amber</w:t>
            </w:r>
          </w:p>
        </w:tc>
        <w:tc>
          <w:tcPr>
            <w:tcW w:w="398" w:type="dxa"/>
          </w:tcPr>
          <w:p w:rsidR="008C1DC2" w:rsidRPr="00443639" w:rsidRDefault="008C1DC2" w:rsidP="00566187">
            <w:pPr>
              <w:pStyle w:val="TableTextEntries"/>
              <w:keepLines w:val="0"/>
              <w:jc w:val="center"/>
              <w:rPr>
                <w:color w:val="FFFFFF" w:themeColor="background1"/>
              </w:rPr>
            </w:pPr>
          </w:p>
        </w:tc>
        <w:tc>
          <w:tcPr>
            <w:tcW w:w="1063" w:type="dxa"/>
            <w:shd w:val="clear" w:color="auto" w:fill="E36C0A" w:themeFill="accent6" w:themeFillShade="BF"/>
            <w:noWrap/>
          </w:tcPr>
          <w:p w:rsidR="008C1DC2" w:rsidRPr="00443639" w:rsidRDefault="008C1DC2" w:rsidP="00566187">
            <w:pPr>
              <w:pStyle w:val="TableTextEntries"/>
              <w:keepLines w:val="0"/>
              <w:jc w:val="center"/>
              <w:rPr>
                <w:color w:val="FFFFFF" w:themeColor="background1"/>
              </w:rPr>
            </w:pPr>
            <w:r w:rsidRPr="00443639">
              <w:rPr>
                <w:color w:val="FFFFFF" w:themeColor="background1"/>
              </w:rPr>
              <w:t>Amber</w:t>
            </w:r>
          </w:p>
        </w:tc>
        <w:tc>
          <w:tcPr>
            <w:tcW w:w="384" w:type="dxa"/>
          </w:tcPr>
          <w:p w:rsidR="008C1DC2" w:rsidRPr="00443639" w:rsidRDefault="008C1DC2" w:rsidP="00566187">
            <w:pPr>
              <w:pStyle w:val="TableTextEntries"/>
              <w:keepLines w:val="0"/>
              <w:jc w:val="center"/>
              <w:rPr>
                <w:color w:val="FFFFFF" w:themeColor="background1"/>
              </w:rPr>
            </w:pPr>
          </w:p>
        </w:tc>
      </w:tr>
      <w:tr w:rsidR="008C1DC2" w:rsidRPr="009D53C4" w:rsidTr="00D32DC0">
        <w:trPr>
          <w:gridAfter w:val="1"/>
          <w:cnfStyle w:val="000000010000" w:firstRow="0" w:lastRow="0" w:firstColumn="0" w:lastColumn="0" w:oddVBand="0" w:evenVBand="0" w:oddHBand="0" w:evenHBand="1" w:firstRowFirstColumn="0" w:firstRowLastColumn="0" w:lastRowFirstColumn="0" w:lastRowLastColumn="0"/>
          <w:wAfter w:w="384" w:type="dxa"/>
        </w:trPr>
        <w:tc>
          <w:tcPr>
            <w:tcW w:w="6193" w:type="dxa"/>
          </w:tcPr>
          <w:p w:rsidR="008C1DC2" w:rsidRDefault="008C1DC2" w:rsidP="00566187">
            <w:pPr>
              <w:pStyle w:val="TableTextEntries"/>
              <w:keepLines w:val="0"/>
            </w:pPr>
            <w:r>
              <w:t>More effective legal institutions and improved police services</w:t>
            </w:r>
          </w:p>
        </w:tc>
        <w:tc>
          <w:tcPr>
            <w:tcW w:w="998" w:type="dxa"/>
            <w:shd w:val="clear" w:color="auto" w:fill="92D050"/>
            <w:noWrap/>
          </w:tcPr>
          <w:p w:rsidR="008C1DC2" w:rsidRPr="00443639" w:rsidRDefault="008C1DC2" w:rsidP="00566187">
            <w:pPr>
              <w:pStyle w:val="TableTextEntries"/>
              <w:keepLines w:val="0"/>
              <w:jc w:val="center"/>
              <w:rPr>
                <w:color w:val="FFFFFF" w:themeColor="background1"/>
              </w:rPr>
            </w:pPr>
            <w:r w:rsidRPr="00443639">
              <w:rPr>
                <w:color w:val="FFFFFF" w:themeColor="background1"/>
              </w:rPr>
              <w:t>Green</w:t>
            </w:r>
          </w:p>
        </w:tc>
        <w:tc>
          <w:tcPr>
            <w:tcW w:w="398" w:type="dxa"/>
          </w:tcPr>
          <w:p w:rsidR="008C1DC2" w:rsidRPr="00443639" w:rsidRDefault="008C1DC2" w:rsidP="00566187">
            <w:pPr>
              <w:pStyle w:val="TableTextEntries"/>
              <w:keepLines w:val="0"/>
              <w:jc w:val="center"/>
              <w:rPr>
                <w:color w:val="FFFFFF" w:themeColor="background1"/>
              </w:rPr>
            </w:pPr>
          </w:p>
        </w:tc>
        <w:tc>
          <w:tcPr>
            <w:tcW w:w="1063" w:type="dxa"/>
            <w:shd w:val="clear" w:color="auto" w:fill="92D050"/>
            <w:noWrap/>
          </w:tcPr>
          <w:p w:rsidR="008C1DC2" w:rsidRPr="00443639" w:rsidRDefault="008C1DC2" w:rsidP="00566187">
            <w:pPr>
              <w:pStyle w:val="TableTextEntries"/>
              <w:keepLines w:val="0"/>
              <w:jc w:val="center"/>
              <w:rPr>
                <w:color w:val="FFFFFF" w:themeColor="background1"/>
              </w:rPr>
            </w:pPr>
            <w:r w:rsidRPr="00443639">
              <w:rPr>
                <w:color w:val="FFFFFF" w:themeColor="background1"/>
              </w:rPr>
              <w:t>Green</w:t>
            </w:r>
          </w:p>
        </w:tc>
      </w:tr>
    </w:tbl>
    <w:p w:rsidR="000D733F" w:rsidRPr="00180B19" w:rsidRDefault="000D733F" w:rsidP="00566187">
      <w:pPr>
        <w:pStyle w:val="Note"/>
      </w:pPr>
      <w:r w:rsidRPr="00180B19">
        <w:t xml:space="preserve">Note: </w:t>
      </w:r>
    </w:p>
    <w:p w:rsidR="000D733F" w:rsidRPr="00180B19" w:rsidRDefault="000D733F" w:rsidP="00566187">
      <w:pPr>
        <w:pStyle w:val="Note"/>
      </w:pPr>
      <w:r w:rsidRPr="00E74404">
        <w:rPr>
          <w:color w:val="72AF2F"/>
        </w:rPr>
        <w:sym w:font="Webdings" w:char="F067"/>
      </w:r>
      <w:r w:rsidRPr="00180B19">
        <w:t> </w:t>
      </w:r>
      <w:r w:rsidRPr="00180B19">
        <w:t xml:space="preserve"> </w:t>
      </w:r>
      <w:proofErr w:type="gramStart"/>
      <w:r>
        <w:t>Green.</w:t>
      </w:r>
      <w:proofErr w:type="gramEnd"/>
      <w:r>
        <w:t xml:space="preserve"> </w:t>
      </w:r>
      <w:r w:rsidRPr="00180B19">
        <w:t xml:space="preserve">Progress is as expected </w:t>
      </w:r>
      <w:r w:rsidR="00581979">
        <w:t xml:space="preserve">at this stage of implementation </w:t>
      </w:r>
      <w:r w:rsidRPr="00180B19">
        <w:t>and it is likely that the objective will be achieved. Standard program management practices are sufficient.</w:t>
      </w:r>
    </w:p>
    <w:p w:rsidR="000D733F" w:rsidRPr="00180B19" w:rsidRDefault="000D733F" w:rsidP="00566187">
      <w:pPr>
        <w:pStyle w:val="Note"/>
      </w:pPr>
      <w:r w:rsidRPr="00E74404">
        <w:rPr>
          <w:color w:val="E36C0A"/>
        </w:rPr>
        <w:sym w:font="Webdings" w:char="F067"/>
      </w:r>
      <w:r w:rsidRPr="00180B19">
        <w:t> </w:t>
      </w:r>
      <w:r w:rsidRPr="00180B19">
        <w:t xml:space="preserve"> </w:t>
      </w:r>
      <w:r>
        <w:t xml:space="preserve">Amber. </w:t>
      </w:r>
      <w:r w:rsidRPr="00180B19">
        <w:t xml:space="preserve">Progress is somewhat less than expected </w:t>
      </w:r>
      <w:r w:rsidR="00581979">
        <w:t xml:space="preserve">at this stage of implementation </w:t>
      </w:r>
      <w:r w:rsidRPr="00180B19">
        <w:t>and restorative action will be necessary if the objective is to be achieved. Close performance monitoring is recommended.</w:t>
      </w:r>
    </w:p>
    <w:p w:rsidR="000D733F" w:rsidRDefault="000D733F" w:rsidP="00566187">
      <w:pPr>
        <w:pStyle w:val="Note"/>
      </w:pPr>
      <w:r w:rsidRPr="004C4A3E">
        <w:rPr>
          <w:color w:val="FF0000"/>
        </w:rPr>
        <w:sym w:font="Webdings" w:char="F067"/>
      </w:r>
      <w:r w:rsidRPr="00180B19">
        <w:t> </w:t>
      </w:r>
      <w:r w:rsidRPr="00180B19">
        <w:t xml:space="preserve"> </w:t>
      </w:r>
      <w:proofErr w:type="gramStart"/>
      <w:r>
        <w:t>Red.</w:t>
      </w:r>
      <w:proofErr w:type="gramEnd"/>
      <w:r>
        <w:t xml:space="preserve"> </w:t>
      </w:r>
      <w:r w:rsidRPr="00180B19">
        <w:t xml:space="preserve">Progress is significantly less than expected </w:t>
      </w:r>
      <w:r w:rsidR="00581979">
        <w:t xml:space="preserve">at this stage of implementation </w:t>
      </w:r>
      <w:r w:rsidRPr="00180B19">
        <w:t>and the objective is not likely to be met given available resources and priorities. Recasting the objective may be required.</w:t>
      </w:r>
    </w:p>
    <w:p w:rsidR="000D733F" w:rsidRDefault="000D733F" w:rsidP="00566187">
      <w:pPr>
        <w:pStyle w:val="Note"/>
      </w:pPr>
      <w:r>
        <w:t xml:space="preserve">Reporting period: </w:t>
      </w:r>
      <w:r w:rsidRPr="00180B19">
        <w:t xml:space="preserve"> </w:t>
      </w:r>
    </w:p>
    <w:p w:rsidR="00F44A7E" w:rsidRDefault="00F44A7E">
      <w:pPr>
        <w:spacing w:after="200" w:line="276" w:lineRule="auto"/>
        <w:rPr>
          <w:rFonts w:ascii="Helvetica" w:eastAsia="Times New Roman" w:hAnsi="Helvetica" w:cs="Arial"/>
          <w:b/>
          <w:color w:val="124486"/>
          <w:kern w:val="28"/>
          <w:sz w:val="22"/>
          <w:szCs w:val="22"/>
          <w:lang w:eastAsia="zh-CN"/>
        </w:rPr>
      </w:pPr>
      <w:r>
        <w:br w:type="page"/>
      </w:r>
    </w:p>
    <w:p w:rsidR="000D733F" w:rsidRDefault="000D733F" w:rsidP="00566187">
      <w:pPr>
        <w:pStyle w:val="Heading3"/>
        <w:keepNext w:val="0"/>
      </w:pPr>
      <w:r w:rsidRPr="00C57923">
        <w:lastRenderedPageBreak/>
        <w:t xml:space="preserve">Objective </w:t>
      </w:r>
      <w:r w:rsidR="00EC14F2">
        <w:t>1: Support increased access to and quality of education for all boys and girls, and equip them with skills and knowledge</w:t>
      </w:r>
      <w:r w:rsidR="00F713A7">
        <w:t xml:space="preserve"> </w:t>
      </w:r>
    </w:p>
    <w:p w:rsidR="002E7A25" w:rsidRDefault="00E366E4" w:rsidP="00566187">
      <w:pPr>
        <w:pStyle w:val="BodyText"/>
        <w:spacing w:after="120"/>
        <w:rPr>
          <w:lang w:eastAsia="en-US"/>
        </w:rPr>
      </w:pPr>
      <w:r>
        <w:rPr>
          <w:lang w:eastAsia="en-US"/>
        </w:rPr>
        <w:t>P</w:t>
      </w:r>
      <w:r w:rsidR="002E7A25">
        <w:rPr>
          <w:lang w:eastAsia="en-US"/>
        </w:rPr>
        <w:t xml:space="preserve">rogress </w:t>
      </w:r>
      <w:r w:rsidR="002D4E2E">
        <w:rPr>
          <w:lang w:eastAsia="en-US"/>
        </w:rPr>
        <w:t>is on track for our investments</w:t>
      </w:r>
      <w:r w:rsidR="002E7A25">
        <w:rPr>
          <w:lang w:eastAsia="en-US"/>
        </w:rPr>
        <w:t xml:space="preserve"> in </w:t>
      </w:r>
      <w:r w:rsidR="00197941">
        <w:rPr>
          <w:lang w:eastAsia="en-US"/>
        </w:rPr>
        <w:t>early</w:t>
      </w:r>
      <w:r w:rsidR="002E7A25">
        <w:rPr>
          <w:lang w:eastAsia="en-US"/>
        </w:rPr>
        <w:t xml:space="preserve"> education</w:t>
      </w:r>
      <w:r>
        <w:rPr>
          <w:lang w:eastAsia="en-US"/>
        </w:rPr>
        <w:t xml:space="preserve"> and T</w:t>
      </w:r>
      <w:r w:rsidR="00244E01">
        <w:rPr>
          <w:lang w:eastAsia="en-US"/>
        </w:rPr>
        <w:t xml:space="preserve">echnical and </w:t>
      </w:r>
      <w:r>
        <w:rPr>
          <w:lang w:eastAsia="en-US"/>
        </w:rPr>
        <w:t>V</w:t>
      </w:r>
      <w:r w:rsidR="00244E01">
        <w:rPr>
          <w:lang w:eastAsia="en-US"/>
        </w:rPr>
        <w:t xml:space="preserve">ocational </w:t>
      </w:r>
      <w:r>
        <w:rPr>
          <w:lang w:eastAsia="en-US"/>
        </w:rPr>
        <w:t>E</w:t>
      </w:r>
      <w:r w:rsidR="00244E01">
        <w:rPr>
          <w:lang w:eastAsia="en-US"/>
        </w:rPr>
        <w:t xml:space="preserve">ducation and </w:t>
      </w:r>
      <w:r>
        <w:rPr>
          <w:lang w:eastAsia="en-US"/>
        </w:rPr>
        <w:t>T</w:t>
      </w:r>
      <w:r w:rsidR="00244E01">
        <w:rPr>
          <w:lang w:eastAsia="en-US"/>
        </w:rPr>
        <w:t>raining (TVET)</w:t>
      </w:r>
      <w:r>
        <w:rPr>
          <w:lang w:eastAsia="en-US"/>
        </w:rPr>
        <w:t xml:space="preserve"> and, despite some </w:t>
      </w:r>
      <w:r w:rsidR="00D63D97">
        <w:rPr>
          <w:lang w:eastAsia="en-US"/>
        </w:rPr>
        <w:t>efficiency concerns</w:t>
      </w:r>
      <w:r>
        <w:rPr>
          <w:lang w:eastAsia="en-US"/>
        </w:rPr>
        <w:t xml:space="preserve">, is adequate for </w:t>
      </w:r>
      <w:r w:rsidR="002D4E2E">
        <w:rPr>
          <w:lang w:eastAsia="en-US"/>
        </w:rPr>
        <w:t xml:space="preserve">scholarships. </w:t>
      </w:r>
    </w:p>
    <w:tbl>
      <w:tblPr>
        <w:tblStyle w:val="TableGrid1"/>
        <w:tblW w:w="0" w:type="auto"/>
        <w:shd w:val="clear" w:color="auto" w:fill="C7D5E6"/>
        <w:tblLook w:val="04A0" w:firstRow="1" w:lastRow="0" w:firstColumn="1" w:lastColumn="0" w:noHBand="0" w:noVBand="1"/>
      </w:tblPr>
      <w:tblGrid>
        <w:gridCol w:w="2943"/>
        <w:gridCol w:w="5551"/>
      </w:tblGrid>
      <w:tr w:rsidR="002D4E2E" w:rsidRPr="00703696" w:rsidTr="00C22E16">
        <w:trPr>
          <w:trHeight w:val="922"/>
        </w:trPr>
        <w:tc>
          <w:tcPr>
            <w:tcW w:w="2943" w:type="dxa"/>
            <w:shd w:val="clear" w:color="auto" w:fill="C7D5E6"/>
          </w:tcPr>
          <w:p w:rsidR="002D4E2E" w:rsidRPr="00703696" w:rsidRDefault="002D4E2E" w:rsidP="00C22E16">
            <w:pPr>
              <w:spacing w:after="120"/>
              <w:rPr>
                <w:rFonts w:asciiTheme="minorHAnsi" w:eastAsia="Times New Roman" w:hAnsiTheme="minorHAnsi"/>
                <w:sz w:val="22"/>
                <w:szCs w:val="22"/>
              </w:rPr>
            </w:pPr>
            <w:r w:rsidRPr="00703696">
              <w:rPr>
                <w:rFonts w:asciiTheme="minorHAnsi" w:eastAsia="Times New Roman" w:hAnsiTheme="minorHAnsi"/>
                <w:sz w:val="22"/>
                <w:szCs w:val="22"/>
              </w:rPr>
              <w:t>Shared development outcome:</w:t>
            </w:r>
          </w:p>
        </w:tc>
        <w:tc>
          <w:tcPr>
            <w:tcW w:w="5551" w:type="dxa"/>
            <w:shd w:val="clear" w:color="auto" w:fill="C7D5E6"/>
          </w:tcPr>
          <w:p w:rsidR="002D4E2E" w:rsidRPr="00703696" w:rsidRDefault="002D4E2E" w:rsidP="00C22E16">
            <w:pPr>
              <w:rPr>
                <w:rFonts w:asciiTheme="minorHAnsi" w:eastAsia="Times New Roman" w:hAnsiTheme="minorHAnsi"/>
                <w:i/>
                <w:sz w:val="22"/>
                <w:szCs w:val="22"/>
              </w:rPr>
            </w:pPr>
            <w:r w:rsidRPr="00703696">
              <w:rPr>
                <w:rFonts w:asciiTheme="minorHAnsi" w:eastAsia="Times New Roman" w:hAnsiTheme="minorHAnsi"/>
                <w:i/>
                <w:sz w:val="22"/>
                <w:szCs w:val="22"/>
              </w:rPr>
              <w:t>Increased access and quality of education for all boys and girls</w:t>
            </w:r>
            <w:r>
              <w:rPr>
                <w:rFonts w:asciiTheme="minorHAnsi" w:eastAsia="Times New Roman" w:hAnsiTheme="minorHAnsi"/>
                <w:i/>
                <w:sz w:val="22"/>
                <w:szCs w:val="22"/>
              </w:rPr>
              <w:t>,</w:t>
            </w:r>
            <w:r w:rsidRPr="00703696">
              <w:rPr>
                <w:rFonts w:asciiTheme="minorHAnsi" w:eastAsia="Times New Roman" w:hAnsiTheme="minorHAnsi"/>
                <w:i/>
                <w:sz w:val="22"/>
                <w:szCs w:val="22"/>
              </w:rPr>
              <w:t xml:space="preserve"> and equip them with relevant skills and knowledge</w:t>
            </w:r>
          </w:p>
        </w:tc>
      </w:tr>
      <w:tr w:rsidR="002D4E2E" w:rsidRPr="00703696" w:rsidTr="00C22E16">
        <w:tc>
          <w:tcPr>
            <w:tcW w:w="2943" w:type="dxa"/>
            <w:shd w:val="clear" w:color="auto" w:fill="C7D5E6"/>
          </w:tcPr>
          <w:p w:rsidR="002D4E2E" w:rsidRPr="00703696" w:rsidRDefault="002D4E2E" w:rsidP="00C22E16">
            <w:pPr>
              <w:spacing w:after="120"/>
              <w:rPr>
                <w:rFonts w:asciiTheme="minorHAnsi" w:eastAsia="Times New Roman" w:hAnsiTheme="minorHAnsi"/>
                <w:sz w:val="22"/>
                <w:szCs w:val="22"/>
              </w:rPr>
            </w:pPr>
            <w:r w:rsidRPr="00703696">
              <w:rPr>
                <w:rFonts w:asciiTheme="minorHAnsi" w:eastAsia="Times New Roman" w:hAnsiTheme="minorHAnsi"/>
                <w:sz w:val="22"/>
                <w:szCs w:val="22"/>
              </w:rPr>
              <w:t>Australia’s objective:</w:t>
            </w:r>
          </w:p>
        </w:tc>
        <w:tc>
          <w:tcPr>
            <w:tcW w:w="5551" w:type="dxa"/>
            <w:shd w:val="clear" w:color="auto" w:fill="C7D5E6"/>
          </w:tcPr>
          <w:p w:rsidR="002D4E2E" w:rsidRPr="00703696" w:rsidRDefault="002D4E2E" w:rsidP="00C22E16">
            <w:pPr>
              <w:rPr>
                <w:rFonts w:asciiTheme="minorHAnsi" w:eastAsia="Times New Roman" w:hAnsiTheme="minorHAnsi"/>
                <w:i/>
                <w:sz w:val="22"/>
                <w:szCs w:val="22"/>
              </w:rPr>
            </w:pPr>
            <w:r w:rsidRPr="00703696">
              <w:rPr>
                <w:rFonts w:asciiTheme="minorHAnsi" w:eastAsia="Times New Roman" w:hAnsiTheme="minorHAnsi"/>
                <w:i/>
                <w:sz w:val="22"/>
                <w:szCs w:val="22"/>
              </w:rPr>
              <w:t>Accelerating progress towards the MDG goal of universal primary education</w:t>
            </w:r>
          </w:p>
          <w:p w:rsidR="002D4E2E" w:rsidRPr="00703696" w:rsidRDefault="002D4E2E" w:rsidP="00C22E16">
            <w:pPr>
              <w:rPr>
                <w:rFonts w:asciiTheme="minorHAnsi" w:eastAsia="Times New Roman" w:hAnsiTheme="minorHAnsi"/>
                <w:i/>
                <w:sz w:val="22"/>
                <w:szCs w:val="22"/>
              </w:rPr>
            </w:pPr>
            <w:r w:rsidRPr="00703696">
              <w:rPr>
                <w:rFonts w:asciiTheme="minorHAnsi" w:eastAsia="Times New Roman" w:hAnsiTheme="minorHAnsi"/>
                <w:i/>
                <w:sz w:val="22"/>
                <w:szCs w:val="22"/>
              </w:rPr>
              <w:t>Improving the quality of education, through reforming the curriculum, upgrading school facilities and resources, and enhancing teacher training</w:t>
            </w:r>
          </w:p>
          <w:p w:rsidR="002D4E2E" w:rsidRPr="00703696" w:rsidRDefault="002D4E2E" w:rsidP="00C22E16">
            <w:pPr>
              <w:rPr>
                <w:rFonts w:asciiTheme="minorHAnsi" w:eastAsia="Times New Roman" w:hAnsiTheme="minorHAnsi"/>
                <w:i/>
                <w:sz w:val="22"/>
                <w:szCs w:val="22"/>
              </w:rPr>
            </w:pPr>
            <w:r w:rsidRPr="00703696">
              <w:rPr>
                <w:rFonts w:asciiTheme="minorHAnsi" w:eastAsia="Times New Roman" w:hAnsiTheme="minorHAnsi"/>
                <w:i/>
                <w:sz w:val="22"/>
                <w:szCs w:val="22"/>
              </w:rPr>
              <w:t>Ongoing support for the Government of Vanuatu education reform agenda</w:t>
            </w:r>
          </w:p>
          <w:p w:rsidR="002D4E2E" w:rsidRPr="00703696" w:rsidRDefault="002D4E2E" w:rsidP="00C22E16">
            <w:pPr>
              <w:rPr>
                <w:rFonts w:asciiTheme="minorHAnsi" w:eastAsia="Times New Roman" w:hAnsiTheme="minorHAnsi"/>
                <w:i/>
                <w:sz w:val="22"/>
                <w:szCs w:val="22"/>
              </w:rPr>
            </w:pPr>
            <w:r w:rsidRPr="00703696">
              <w:rPr>
                <w:rFonts w:asciiTheme="minorHAnsi" w:eastAsia="Times New Roman" w:hAnsiTheme="minorHAnsi"/>
                <w:i/>
                <w:sz w:val="22"/>
                <w:szCs w:val="22"/>
              </w:rPr>
              <w:t>Increasing training and employment opportunities through support for demand-driven vocational training services</w:t>
            </w:r>
          </w:p>
          <w:p w:rsidR="002D4E2E" w:rsidRPr="00703696" w:rsidRDefault="002D4E2E" w:rsidP="00C22E16">
            <w:pPr>
              <w:rPr>
                <w:rFonts w:asciiTheme="minorHAnsi" w:eastAsia="Times New Roman" w:hAnsiTheme="minorHAnsi"/>
                <w:i/>
                <w:sz w:val="22"/>
                <w:szCs w:val="22"/>
              </w:rPr>
            </w:pPr>
            <w:r w:rsidRPr="00703696">
              <w:rPr>
                <w:rFonts w:asciiTheme="minorHAnsi" w:eastAsia="Times New Roman" w:hAnsiTheme="minorHAnsi"/>
                <w:i/>
                <w:sz w:val="22"/>
                <w:szCs w:val="22"/>
              </w:rPr>
              <w:t>Investing in scholarships to regional and Australian universities</w:t>
            </w:r>
          </w:p>
        </w:tc>
      </w:tr>
    </w:tbl>
    <w:p w:rsidR="007612D0" w:rsidRDefault="00E344E0" w:rsidP="00D12197">
      <w:pPr>
        <w:pStyle w:val="ListBullet"/>
        <w:numPr>
          <w:ilvl w:val="0"/>
          <w:numId w:val="0"/>
        </w:numPr>
        <w:tabs>
          <w:tab w:val="clear" w:pos="284"/>
        </w:tabs>
      </w:pPr>
      <w:r>
        <w:t>T</w:t>
      </w:r>
      <w:r w:rsidR="00E245BA" w:rsidRPr="00E245BA">
        <w:t>he net enrolment rate in primary education increased</w:t>
      </w:r>
      <w:r w:rsidR="00C35614">
        <w:t xml:space="preserve"> </w:t>
      </w:r>
      <w:r w:rsidR="00E245BA" w:rsidRPr="00E245BA">
        <w:t>from 87% in 2008 to 96% in 2013</w:t>
      </w:r>
      <w:r>
        <w:t>. However</w:t>
      </w:r>
      <w:r w:rsidR="00E245BA" w:rsidRPr="00E245BA">
        <w:t xml:space="preserve">, the poor quality of education </w:t>
      </w:r>
      <w:r w:rsidR="00E245BA">
        <w:t>in Vanuatu remains</w:t>
      </w:r>
      <w:r w:rsidR="00E245BA" w:rsidRPr="00E245BA">
        <w:t xml:space="preserve"> a major concern. Building on Australia's long history in the sector and lessons from </w:t>
      </w:r>
      <w:r w:rsidR="00E245BA">
        <w:t>previous investments</w:t>
      </w:r>
      <w:r w:rsidR="00E245BA" w:rsidRPr="00E245BA">
        <w:t xml:space="preserve">, </w:t>
      </w:r>
      <w:r w:rsidR="00102CBA">
        <w:t>the Vanuatu Education Support Program (</w:t>
      </w:r>
      <w:r w:rsidR="00E245BA" w:rsidRPr="00E245BA">
        <w:t>VESP</w:t>
      </w:r>
      <w:r w:rsidR="00102CBA">
        <w:t>)</w:t>
      </w:r>
      <w:r w:rsidR="00E245BA" w:rsidRPr="00E245BA">
        <w:t xml:space="preserve"> </w:t>
      </w:r>
      <w:r>
        <w:t>focuses</w:t>
      </w:r>
      <w:r w:rsidR="00E245BA" w:rsidRPr="00E245BA">
        <w:t xml:space="preserve"> on basic skills in the early years of primary education, recognising the need for stronger foundational learning to underpin a more effective education system. </w:t>
      </w:r>
      <w:r w:rsidR="0035129C">
        <w:t>VESP provides</w:t>
      </w:r>
      <w:r w:rsidR="007612D0" w:rsidRPr="00CA41DA">
        <w:t xml:space="preserve"> targeted support to the Ministry of Education and Training (</w:t>
      </w:r>
      <w:proofErr w:type="spellStart"/>
      <w:r w:rsidR="007612D0" w:rsidRPr="00CA41DA">
        <w:t>MoET</w:t>
      </w:r>
      <w:proofErr w:type="spellEnd"/>
      <w:r w:rsidR="007612D0" w:rsidRPr="00CA41DA">
        <w:t>) with three long-term goals of improving basic education quality, providing more equitable inclusive access to education and ensuring a well-managed education system.</w:t>
      </w:r>
      <w:r w:rsidR="00B27702">
        <w:t xml:space="preserve"> The program pools funds with New Zealand</w:t>
      </w:r>
      <w:r>
        <w:t xml:space="preserve">. </w:t>
      </w:r>
      <w:r w:rsidR="00B27702">
        <w:t xml:space="preserve">DFAT </w:t>
      </w:r>
      <w:r>
        <w:t>manages</w:t>
      </w:r>
      <w:r w:rsidRPr="00CA41DA">
        <w:t xml:space="preserve"> </w:t>
      </w:r>
      <w:r w:rsidR="00B27702" w:rsidRPr="00CA41DA">
        <w:t>the investment.</w:t>
      </w:r>
    </w:p>
    <w:p w:rsidR="007612D0" w:rsidRPr="00CA41DA" w:rsidRDefault="0035129C" w:rsidP="00D12197">
      <w:pPr>
        <w:pStyle w:val="ListBullet"/>
        <w:numPr>
          <w:ilvl w:val="0"/>
          <w:numId w:val="0"/>
        </w:numPr>
        <w:tabs>
          <w:tab w:val="clear" w:pos="284"/>
        </w:tabs>
      </w:pPr>
      <w:r>
        <w:t xml:space="preserve">VESP </w:t>
      </w:r>
      <w:r w:rsidR="00E344E0">
        <w:t xml:space="preserve">is </w:t>
      </w:r>
      <w:r w:rsidR="0085430D" w:rsidRPr="00CA41DA">
        <w:t xml:space="preserve">on track </w:t>
      </w:r>
      <w:r>
        <w:t xml:space="preserve">to meet </w:t>
      </w:r>
      <w:r w:rsidR="00E344E0">
        <w:t xml:space="preserve">its </w:t>
      </w:r>
      <w:r>
        <w:t xml:space="preserve">objectives.  </w:t>
      </w:r>
      <w:r w:rsidR="003446D3">
        <w:t>Despite the impact of Tropical Cyclone Pam</w:t>
      </w:r>
      <w:r>
        <w:t>:</w:t>
      </w:r>
      <w:r w:rsidR="0085430D">
        <w:t xml:space="preserve"> </w:t>
      </w:r>
      <w:r w:rsidR="007612D0" w:rsidRPr="00CA41DA">
        <w:t xml:space="preserve">literacy and numeracy kits </w:t>
      </w:r>
      <w:r w:rsidR="0085430D">
        <w:t xml:space="preserve">were </w:t>
      </w:r>
      <w:r w:rsidR="0028441D">
        <w:t xml:space="preserve">delivered </w:t>
      </w:r>
      <w:r w:rsidR="00A435CB">
        <w:t xml:space="preserve">to all </w:t>
      </w:r>
      <w:r w:rsidR="00A435CB" w:rsidRPr="00CA41DA">
        <w:t>460 Y</w:t>
      </w:r>
      <w:r w:rsidR="00A435CB">
        <w:t>ear One classr</w:t>
      </w:r>
      <w:r w:rsidR="0028441D">
        <w:t xml:space="preserve">ooms and </w:t>
      </w:r>
      <w:r w:rsidR="007612D0" w:rsidRPr="00CA41DA">
        <w:t xml:space="preserve">1,923 teachers </w:t>
      </w:r>
      <w:r>
        <w:t xml:space="preserve">were </w:t>
      </w:r>
      <w:r w:rsidR="007612D0" w:rsidRPr="00CA41DA">
        <w:t xml:space="preserve">trained to use these kits; tests for literacy and numeracy baselines </w:t>
      </w:r>
      <w:r w:rsidR="0085430D">
        <w:t xml:space="preserve">were </w:t>
      </w:r>
      <w:r w:rsidR="007612D0" w:rsidRPr="00CA41DA">
        <w:t xml:space="preserve">developed and trialled; </w:t>
      </w:r>
      <w:r w:rsidR="0028441D">
        <w:t xml:space="preserve">the </w:t>
      </w:r>
      <w:r w:rsidR="007612D0" w:rsidRPr="00CA41DA">
        <w:t>Curr</w:t>
      </w:r>
      <w:r w:rsidR="0028441D">
        <w:t>iculum Development Unit adopted</w:t>
      </w:r>
      <w:r w:rsidR="007612D0" w:rsidRPr="00CA41DA">
        <w:t xml:space="preserve"> a more coordinated approach to developing teaching materials</w:t>
      </w:r>
      <w:r w:rsidR="0028441D">
        <w:t>;</w:t>
      </w:r>
      <w:r w:rsidR="007612D0" w:rsidRPr="00CA41DA">
        <w:t xml:space="preserve"> and 22 provincial tra</w:t>
      </w:r>
      <w:r w:rsidR="0028441D">
        <w:t>iners and eight</w:t>
      </w:r>
      <w:r w:rsidR="007612D0" w:rsidRPr="00CA41DA">
        <w:t xml:space="preserve"> Zone Curriculum Advisers </w:t>
      </w:r>
      <w:r w:rsidR="0085430D">
        <w:t xml:space="preserve">were </w:t>
      </w:r>
      <w:r w:rsidR="0028441D">
        <w:t>trained in school-</w:t>
      </w:r>
      <w:r w:rsidR="007612D0" w:rsidRPr="00CA41DA">
        <w:t>based support for the Y</w:t>
      </w:r>
      <w:r w:rsidR="007612D0">
        <w:t>ea</w:t>
      </w:r>
      <w:r w:rsidR="0028441D">
        <w:t>r One</w:t>
      </w:r>
      <w:r w:rsidR="007612D0" w:rsidRPr="00CA41DA">
        <w:t xml:space="preserve"> literacy and</w:t>
      </w:r>
      <w:r w:rsidR="007612D0">
        <w:t xml:space="preserve"> numeracy curriculum</w:t>
      </w:r>
      <w:r w:rsidR="007612D0" w:rsidRPr="00CA41DA">
        <w:t>.</w:t>
      </w:r>
      <w:r w:rsidR="007612D0">
        <w:t xml:space="preserve"> </w:t>
      </w:r>
      <w:r w:rsidR="0028441D">
        <w:t xml:space="preserve">The </w:t>
      </w:r>
      <w:r w:rsidR="007612D0" w:rsidRPr="00CA41DA">
        <w:t>School Leaders Development Program</w:t>
      </w:r>
      <w:r w:rsidR="0085430D">
        <w:t xml:space="preserve"> </w:t>
      </w:r>
      <w:r w:rsidR="00E344E0">
        <w:t>brought</w:t>
      </w:r>
      <w:r w:rsidR="00CA2BBA">
        <w:t xml:space="preserve"> positive change to</w:t>
      </w:r>
      <w:r w:rsidR="00C35614">
        <w:t>:</w:t>
      </w:r>
      <w:r w:rsidR="0028441D">
        <w:t xml:space="preserve"> </w:t>
      </w:r>
      <w:r w:rsidR="007612D0" w:rsidRPr="00CA41DA">
        <w:t>classroom practice</w:t>
      </w:r>
      <w:r w:rsidR="0028441D">
        <w:t>s</w:t>
      </w:r>
      <w:r w:rsidR="00C35614">
        <w:t>;</w:t>
      </w:r>
      <w:r w:rsidR="007612D0" w:rsidRPr="00CA41DA">
        <w:t xml:space="preserve"> age-a</w:t>
      </w:r>
      <w:r w:rsidR="0028441D">
        <w:t>ppropriate enrolment</w:t>
      </w:r>
      <w:r w:rsidR="00C35614">
        <w:t>;</w:t>
      </w:r>
      <w:r w:rsidR="0028441D">
        <w:t xml:space="preserve"> </w:t>
      </w:r>
      <w:r w:rsidR="007612D0" w:rsidRPr="00CA41DA">
        <w:t>community participation in schools</w:t>
      </w:r>
      <w:r w:rsidR="00C35614">
        <w:t>;</w:t>
      </w:r>
      <w:r w:rsidR="007612D0" w:rsidRPr="00CA41DA">
        <w:t xml:space="preserve"> </w:t>
      </w:r>
      <w:r w:rsidR="007612D0">
        <w:t>and school improvement planning. S</w:t>
      </w:r>
      <w:r w:rsidR="00CA2BBA">
        <w:t>chool-</w:t>
      </w:r>
      <w:r w:rsidR="007612D0" w:rsidRPr="00CA41DA">
        <w:t xml:space="preserve">based management </w:t>
      </w:r>
      <w:r>
        <w:t>is also improving as a result of VESP-funded school grants</w:t>
      </w:r>
      <w:r w:rsidR="007612D0">
        <w:t>, with</w:t>
      </w:r>
      <w:r w:rsidR="00CA2BBA">
        <w:t xml:space="preserve"> 98 per cent</w:t>
      </w:r>
      <w:r w:rsidR="007612D0" w:rsidRPr="00CA41DA">
        <w:t xml:space="preserve"> of eligible primary schools </w:t>
      </w:r>
      <w:r w:rsidR="003446D3">
        <w:t>now receiving</w:t>
      </w:r>
      <w:r w:rsidR="007612D0">
        <w:t xml:space="preserve"> grants.</w:t>
      </w:r>
    </w:p>
    <w:p w:rsidR="00EC14F2" w:rsidRDefault="00534972" w:rsidP="00566187">
      <w:pPr>
        <w:pStyle w:val="BodyText"/>
        <w:spacing w:after="120"/>
        <w:rPr>
          <w:lang w:eastAsia="en-US"/>
        </w:rPr>
      </w:pPr>
      <w:r>
        <w:rPr>
          <w:lang w:eastAsia="en-US"/>
        </w:rPr>
        <w:t>C</w:t>
      </w:r>
      <w:r w:rsidR="0085430D" w:rsidRPr="00CA41DA">
        <w:rPr>
          <w:lang w:eastAsia="en-US"/>
        </w:rPr>
        <w:t>apacity b</w:t>
      </w:r>
      <w:r w:rsidR="0085430D">
        <w:rPr>
          <w:lang w:eastAsia="en-US"/>
        </w:rPr>
        <w:t xml:space="preserve">uilding </w:t>
      </w:r>
      <w:r w:rsidR="00E344E0">
        <w:rPr>
          <w:lang w:eastAsia="en-US"/>
        </w:rPr>
        <w:t>contributed to increased</w:t>
      </w:r>
      <w:r>
        <w:rPr>
          <w:lang w:eastAsia="en-US"/>
        </w:rPr>
        <w:t xml:space="preserve"> sustainability.  This include</w:t>
      </w:r>
      <w:r w:rsidR="00E344E0">
        <w:rPr>
          <w:lang w:eastAsia="en-US"/>
        </w:rPr>
        <w:t>d</w:t>
      </w:r>
      <w:r>
        <w:rPr>
          <w:lang w:eastAsia="en-US"/>
        </w:rPr>
        <w:t xml:space="preserve"> the </w:t>
      </w:r>
      <w:r w:rsidR="0085430D">
        <w:rPr>
          <w:lang w:eastAsia="en-US"/>
        </w:rPr>
        <w:t>u</w:t>
      </w:r>
      <w:r w:rsidR="007612D0" w:rsidRPr="00CA41DA">
        <w:rPr>
          <w:lang w:eastAsia="en-US"/>
        </w:rPr>
        <w:t>p-skill</w:t>
      </w:r>
      <w:r w:rsidR="0085430D">
        <w:rPr>
          <w:lang w:eastAsia="en-US"/>
        </w:rPr>
        <w:t>ing</w:t>
      </w:r>
      <w:r w:rsidR="007612D0" w:rsidRPr="00CA41DA">
        <w:rPr>
          <w:lang w:eastAsia="en-US"/>
        </w:rPr>
        <w:t xml:space="preserve"> </w:t>
      </w:r>
      <w:r>
        <w:rPr>
          <w:lang w:eastAsia="en-US"/>
        </w:rPr>
        <w:t xml:space="preserve">of </w:t>
      </w:r>
      <w:r w:rsidR="007612D0" w:rsidRPr="00CA41DA">
        <w:rPr>
          <w:lang w:eastAsia="en-US"/>
        </w:rPr>
        <w:t xml:space="preserve">teachers </w:t>
      </w:r>
      <w:r w:rsidR="00934729">
        <w:rPr>
          <w:lang w:eastAsia="en-US"/>
        </w:rPr>
        <w:t>and the development of</w:t>
      </w:r>
      <w:r w:rsidR="00D32DC0">
        <w:rPr>
          <w:lang w:eastAsia="en-US"/>
        </w:rPr>
        <w:t xml:space="preserve"> high quality curricula</w:t>
      </w:r>
      <w:r w:rsidR="00934729" w:rsidRPr="00CA41DA">
        <w:rPr>
          <w:lang w:eastAsia="en-US"/>
        </w:rPr>
        <w:t xml:space="preserve"> </w:t>
      </w:r>
      <w:r w:rsidR="00D34453">
        <w:rPr>
          <w:lang w:eastAsia="en-US"/>
        </w:rPr>
        <w:t>to improve future education</w:t>
      </w:r>
      <w:r w:rsidR="007612D0" w:rsidRPr="00CA41DA">
        <w:rPr>
          <w:lang w:eastAsia="en-US"/>
        </w:rPr>
        <w:t xml:space="preserve"> quality</w:t>
      </w:r>
      <w:r w:rsidR="00D835F8">
        <w:rPr>
          <w:lang w:eastAsia="en-US"/>
        </w:rPr>
        <w:t xml:space="preserve">.  </w:t>
      </w:r>
      <w:r w:rsidR="003446D3">
        <w:rPr>
          <w:lang w:eastAsia="en-US"/>
        </w:rPr>
        <w:t>P</w:t>
      </w:r>
      <w:r w:rsidR="003446D3" w:rsidRPr="00CA41DA">
        <w:rPr>
          <w:lang w:eastAsia="en-US"/>
        </w:rPr>
        <w:t xml:space="preserve">rogram expenditure </w:t>
      </w:r>
      <w:r w:rsidR="00E344E0">
        <w:rPr>
          <w:lang w:eastAsia="en-US"/>
        </w:rPr>
        <w:t xml:space="preserve">was </w:t>
      </w:r>
      <w:r w:rsidR="003446D3">
        <w:rPr>
          <w:lang w:eastAsia="en-US"/>
        </w:rPr>
        <w:t>43 per cent less than expected</w:t>
      </w:r>
      <w:r w:rsidR="00D34453">
        <w:rPr>
          <w:lang w:eastAsia="en-US"/>
        </w:rPr>
        <w:t xml:space="preserve">, in part </w:t>
      </w:r>
      <w:r w:rsidR="00EB4C81">
        <w:rPr>
          <w:lang w:eastAsia="en-US"/>
        </w:rPr>
        <w:t xml:space="preserve">reflecting additional priorities </w:t>
      </w:r>
      <w:r>
        <w:rPr>
          <w:lang w:eastAsia="en-US"/>
        </w:rPr>
        <w:t xml:space="preserve">in </w:t>
      </w:r>
      <w:proofErr w:type="spellStart"/>
      <w:r>
        <w:rPr>
          <w:lang w:eastAsia="en-US"/>
        </w:rPr>
        <w:t>MoET</w:t>
      </w:r>
      <w:proofErr w:type="spellEnd"/>
      <w:r>
        <w:rPr>
          <w:lang w:eastAsia="en-US"/>
        </w:rPr>
        <w:t xml:space="preserve"> following Tropical Cyclone Pam</w:t>
      </w:r>
      <w:r w:rsidR="003446D3">
        <w:rPr>
          <w:lang w:eastAsia="en-US"/>
        </w:rPr>
        <w:t xml:space="preserve">. </w:t>
      </w:r>
    </w:p>
    <w:p w:rsidR="00B87DBC" w:rsidRDefault="00E344E0" w:rsidP="00566187">
      <w:pPr>
        <w:spacing w:after="160" w:line="280" w:lineRule="exact"/>
        <w:rPr>
          <w:rFonts w:ascii="Franklin Gothic Book" w:eastAsia="Times New Roman" w:hAnsi="Franklin Gothic Book"/>
          <w:sz w:val="21"/>
          <w:lang w:eastAsia="zh-CN"/>
        </w:rPr>
      </w:pPr>
      <w:r>
        <w:rPr>
          <w:rFonts w:ascii="Franklin Gothic Book" w:eastAsia="Times New Roman" w:hAnsi="Franklin Gothic Book"/>
          <w:sz w:val="21"/>
          <w:lang w:eastAsia="zh-CN"/>
        </w:rPr>
        <w:t>Investment</w:t>
      </w:r>
      <w:r w:rsidR="00D34453">
        <w:rPr>
          <w:rFonts w:ascii="Franklin Gothic Book" w:eastAsia="Times New Roman" w:hAnsi="Franklin Gothic Book"/>
          <w:sz w:val="21"/>
          <w:lang w:eastAsia="zh-CN"/>
        </w:rPr>
        <w:t xml:space="preserve"> in TVET help</w:t>
      </w:r>
      <w:r>
        <w:rPr>
          <w:rFonts w:ascii="Franklin Gothic Book" w:eastAsia="Times New Roman" w:hAnsi="Franklin Gothic Book"/>
          <w:sz w:val="21"/>
          <w:lang w:eastAsia="zh-CN"/>
        </w:rPr>
        <w:t>ed</w:t>
      </w:r>
      <w:r w:rsidR="00D34453">
        <w:rPr>
          <w:rFonts w:ascii="Franklin Gothic Book" w:eastAsia="Times New Roman" w:hAnsi="Franklin Gothic Book"/>
          <w:sz w:val="21"/>
          <w:lang w:eastAsia="zh-CN"/>
        </w:rPr>
        <w:t xml:space="preserve"> increase economic opportunities for </w:t>
      </w:r>
      <w:proofErr w:type="spellStart"/>
      <w:r w:rsidR="00D34453">
        <w:rPr>
          <w:rFonts w:ascii="Franklin Gothic Book" w:eastAsia="Times New Roman" w:hAnsi="Franklin Gothic Book"/>
          <w:sz w:val="21"/>
          <w:lang w:eastAsia="zh-CN"/>
        </w:rPr>
        <w:t>ni</w:t>
      </w:r>
      <w:proofErr w:type="spellEnd"/>
      <w:r w:rsidR="00D34453">
        <w:rPr>
          <w:rFonts w:ascii="Franklin Gothic Book" w:eastAsia="Times New Roman" w:hAnsi="Franklin Gothic Book"/>
          <w:sz w:val="21"/>
          <w:lang w:eastAsia="zh-CN"/>
        </w:rPr>
        <w:t xml:space="preserve">-Vanuatu, particularly in rural areas. </w:t>
      </w:r>
      <w:r w:rsidR="00846170">
        <w:rPr>
          <w:rFonts w:ascii="Franklin Gothic Book" w:eastAsia="Times New Roman" w:hAnsi="Franklin Gothic Book"/>
          <w:sz w:val="21"/>
          <w:lang w:eastAsia="zh-CN"/>
        </w:rPr>
        <w:t xml:space="preserve">In 2014, 91 per cent of </w:t>
      </w:r>
      <w:r>
        <w:rPr>
          <w:rFonts w:ascii="Franklin Gothic Book" w:eastAsia="Times New Roman" w:hAnsi="Franklin Gothic Book"/>
          <w:sz w:val="21"/>
          <w:lang w:eastAsia="zh-CN"/>
        </w:rPr>
        <w:t xml:space="preserve">the </w:t>
      </w:r>
      <w:r w:rsidR="00D63D97">
        <w:rPr>
          <w:rFonts w:ascii="Franklin Gothic Book" w:eastAsia="Times New Roman" w:hAnsi="Franklin Gothic Book"/>
          <w:sz w:val="21"/>
          <w:lang w:eastAsia="zh-CN"/>
        </w:rPr>
        <w:t xml:space="preserve">1,062 </w:t>
      </w:r>
      <w:r w:rsidR="00846170" w:rsidRPr="00B51B29">
        <w:rPr>
          <w:rFonts w:ascii="Franklin Gothic Book" w:eastAsia="Times New Roman" w:hAnsi="Franklin Gothic Book"/>
          <w:sz w:val="21"/>
          <w:lang w:eastAsia="zh-CN"/>
        </w:rPr>
        <w:t>partici</w:t>
      </w:r>
      <w:r w:rsidR="00846170">
        <w:rPr>
          <w:rFonts w:ascii="Franklin Gothic Book" w:eastAsia="Times New Roman" w:hAnsi="Franklin Gothic Book"/>
          <w:sz w:val="21"/>
          <w:lang w:eastAsia="zh-CN"/>
        </w:rPr>
        <w:t xml:space="preserve">pants came from rural areas (of which 33 per cent </w:t>
      </w:r>
      <w:r w:rsidR="00846170" w:rsidRPr="00B51B29">
        <w:rPr>
          <w:rFonts w:ascii="Franklin Gothic Book" w:eastAsia="Times New Roman" w:hAnsi="Franklin Gothic Book"/>
          <w:sz w:val="21"/>
          <w:lang w:eastAsia="zh-CN"/>
        </w:rPr>
        <w:t>were from remote areas).</w:t>
      </w:r>
      <w:r w:rsidR="008A39BA">
        <w:rPr>
          <w:rFonts w:ascii="Franklin Gothic Book" w:eastAsia="Times New Roman" w:hAnsi="Franklin Gothic Book"/>
          <w:sz w:val="21"/>
          <w:lang w:eastAsia="zh-CN"/>
        </w:rPr>
        <w:t xml:space="preserve"> </w:t>
      </w:r>
      <w:r>
        <w:rPr>
          <w:rFonts w:ascii="Franklin Gothic Book" w:eastAsia="Times New Roman" w:hAnsi="Franklin Gothic Book"/>
          <w:sz w:val="21"/>
          <w:lang w:eastAsia="zh-CN"/>
        </w:rPr>
        <w:t xml:space="preserve"> </w:t>
      </w:r>
      <w:r w:rsidR="00C53CBF">
        <w:rPr>
          <w:rFonts w:ascii="Franklin Gothic Book" w:eastAsia="Times New Roman" w:hAnsi="Franklin Gothic Book"/>
          <w:sz w:val="21"/>
          <w:lang w:eastAsia="zh-CN"/>
        </w:rPr>
        <w:t>In 2014-15,</w:t>
      </w:r>
      <w:r w:rsidR="00D83E9E">
        <w:rPr>
          <w:rFonts w:ascii="Franklin Gothic Book" w:eastAsia="Times New Roman" w:hAnsi="Franklin Gothic Book"/>
          <w:sz w:val="21"/>
          <w:lang w:eastAsia="zh-CN"/>
        </w:rPr>
        <w:t xml:space="preserve"> </w:t>
      </w:r>
      <w:r w:rsidR="00D32DC0">
        <w:rPr>
          <w:rFonts w:ascii="Franklin Gothic Book" w:eastAsia="Times New Roman" w:hAnsi="Franklin Gothic Book"/>
          <w:sz w:val="21"/>
          <w:lang w:eastAsia="zh-CN"/>
        </w:rPr>
        <w:t>93</w:t>
      </w:r>
      <w:r w:rsidR="007F1226" w:rsidRPr="00B51B29">
        <w:rPr>
          <w:rFonts w:ascii="Franklin Gothic Book" w:eastAsia="Times New Roman" w:hAnsi="Franklin Gothic Book"/>
          <w:sz w:val="21"/>
          <w:lang w:eastAsia="zh-CN"/>
        </w:rPr>
        <w:t xml:space="preserve"> per</w:t>
      </w:r>
      <w:r w:rsidR="007F1226">
        <w:rPr>
          <w:rFonts w:ascii="Franklin Gothic Book" w:eastAsia="Times New Roman" w:hAnsi="Franklin Gothic Book"/>
          <w:sz w:val="21"/>
          <w:lang w:eastAsia="zh-CN"/>
        </w:rPr>
        <w:t xml:space="preserve"> </w:t>
      </w:r>
      <w:r w:rsidR="007F1226" w:rsidRPr="00B51B29">
        <w:rPr>
          <w:rFonts w:ascii="Franklin Gothic Book" w:eastAsia="Times New Roman" w:hAnsi="Franklin Gothic Book"/>
          <w:sz w:val="21"/>
          <w:lang w:eastAsia="zh-CN"/>
        </w:rPr>
        <w:t>cent of self-empl</w:t>
      </w:r>
      <w:r w:rsidR="007F1226">
        <w:rPr>
          <w:rFonts w:ascii="Franklin Gothic Book" w:eastAsia="Times New Roman" w:hAnsi="Franklin Gothic Book"/>
          <w:sz w:val="21"/>
          <w:lang w:eastAsia="zh-CN"/>
        </w:rPr>
        <w:t xml:space="preserve">oyed </w:t>
      </w:r>
      <w:r w:rsidR="00D32DC0">
        <w:rPr>
          <w:rFonts w:ascii="Franklin Gothic Book" w:eastAsia="Times New Roman" w:hAnsi="Franklin Gothic Book"/>
          <w:sz w:val="21"/>
          <w:lang w:eastAsia="zh-CN"/>
        </w:rPr>
        <w:t xml:space="preserve">people </w:t>
      </w:r>
      <w:r w:rsidR="007F1226">
        <w:rPr>
          <w:rFonts w:ascii="Franklin Gothic Book" w:eastAsia="Times New Roman" w:hAnsi="Franklin Gothic Book"/>
          <w:sz w:val="21"/>
          <w:lang w:eastAsia="zh-CN"/>
        </w:rPr>
        <w:t>reported higher incomes six to eight</w:t>
      </w:r>
      <w:r w:rsidR="007F1226" w:rsidRPr="00B51B29">
        <w:rPr>
          <w:rFonts w:ascii="Franklin Gothic Book" w:eastAsia="Times New Roman" w:hAnsi="Franklin Gothic Book"/>
          <w:sz w:val="21"/>
          <w:lang w:eastAsia="zh-CN"/>
        </w:rPr>
        <w:t xml:space="preserve"> months after participating in a skills development activity.</w:t>
      </w:r>
      <w:r w:rsidR="0048440D">
        <w:rPr>
          <w:rFonts w:ascii="Franklin Gothic Book" w:eastAsia="Times New Roman" w:hAnsi="Franklin Gothic Book"/>
          <w:sz w:val="21"/>
          <w:lang w:eastAsia="zh-CN"/>
        </w:rPr>
        <w:t xml:space="preserve"> Overall, 65 per </w:t>
      </w:r>
      <w:r w:rsidR="0048440D">
        <w:rPr>
          <w:rFonts w:ascii="Franklin Gothic Book" w:eastAsia="Times New Roman" w:hAnsi="Franklin Gothic Book"/>
          <w:sz w:val="21"/>
          <w:lang w:eastAsia="zh-CN"/>
        </w:rPr>
        <w:lastRenderedPageBreak/>
        <w:t xml:space="preserve">cent of women </w:t>
      </w:r>
      <w:r w:rsidR="008A39BA">
        <w:rPr>
          <w:rFonts w:ascii="Franklin Gothic Book" w:eastAsia="Times New Roman" w:hAnsi="Franklin Gothic Book"/>
          <w:sz w:val="21"/>
          <w:lang w:eastAsia="zh-CN"/>
        </w:rPr>
        <w:t>reported</w:t>
      </w:r>
      <w:r w:rsidR="0048440D" w:rsidRPr="00B51B29">
        <w:rPr>
          <w:rFonts w:ascii="Franklin Gothic Book" w:eastAsia="Times New Roman" w:hAnsi="Franklin Gothic Book"/>
          <w:sz w:val="21"/>
          <w:lang w:eastAsia="zh-CN"/>
        </w:rPr>
        <w:t xml:space="preserve"> increased income </w:t>
      </w:r>
      <w:r w:rsidR="0048440D">
        <w:rPr>
          <w:rFonts w:ascii="Franklin Gothic Book" w:eastAsia="Times New Roman" w:hAnsi="Franklin Gothic Book"/>
          <w:sz w:val="21"/>
          <w:lang w:eastAsia="zh-CN"/>
        </w:rPr>
        <w:t>or improved livelihoods within eight</w:t>
      </w:r>
      <w:r w:rsidR="0048440D" w:rsidRPr="00B51B29">
        <w:rPr>
          <w:rFonts w:ascii="Franklin Gothic Book" w:eastAsia="Times New Roman" w:hAnsi="Franklin Gothic Book"/>
          <w:sz w:val="21"/>
          <w:lang w:eastAsia="zh-CN"/>
        </w:rPr>
        <w:t xml:space="preserve"> months of training, compare</w:t>
      </w:r>
      <w:r w:rsidR="0048440D">
        <w:rPr>
          <w:rFonts w:ascii="Franklin Gothic Book" w:eastAsia="Times New Roman" w:hAnsi="Franklin Gothic Book"/>
          <w:sz w:val="21"/>
          <w:lang w:eastAsia="zh-CN"/>
        </w:rPr>
        <w:t>d to 59 per cent</w:t>
      </w:r>
      <w:r w:rsidR="0048440D" w:rsidRPr="00B51B29">
        <w:rPr>
          <w:rFonts w:ascii="Franklin Gothic Book" w:eastAsia="Times New Roman" w:hAnsi="Franklin Gothic Book"/>
          <w:sz w:val="21"/>
          <w:lang w:eastAsia="zh-CN"/>
        </w:rPr>
        <w:t xml:space="preserve"> of men.</w:t>
      </w:r>
      <w:r w:rsidR="00F43BB3">
        <w:rPr>
          <w:rFonts w:ascii="Franklin Gothic Book" w:eastAsia="Times New Roman" w:hAnsi="Franklin Gothic Book"/>
          <w:sz w:val="21"/>
          <w:lang w:eastAsia="zh-CN"/>
        </w:rPr>
        <w:t xml:space="preserve"> </w:t>
      </w:r>
      <w:r w:rsidR="00E571A0">
        <w:rPr>
          <w:rFonts w:ascii="Franklin Gothic Book" w:eastAsia="Times New Roman" w:hAnsi="Franklin Gothic Book"/>
          <w:sz w:val="21"/>
          <w:lang w:eastAsia="zh-CN"/>
        </w:rPr>
        <w:t>T</w:t>
      </w:r>
      <w:r w:rsidR="00C53CBF">
        <w:rPr>
          <w:rFonts w:ascii="Franklin Gothic Book" w:eastAsia="Times New Roman" w:hAnsi="Franklin Gothic Book"/>
          <w:sz w:val="21"/>
          <w:lang w:eastAsia="zh-CN"/>
        </w:rPr>
        <w:t>he number of clients with an official business licence rose to 19 per ce</w:t>
      </w:r>
      <w:r w:rsidR="00375A6B">
        <w:rPr>
          <w:rFonts w:ascii="Franklin Gothic Book" w:eastAsia="Times New Roman" w:hAnsi="Franklin Gothic Book"/>
          <w:sz w:val="21"/>
          <w:lang w:eastAsia="zh-CN"/>
        </w:rPr>
        <w:t>nt (up from 4 per cent in 2011),</w:t>
      </w:r>
      <w:r w:rsidR="00C53CBF">
        <w:rPr>
          <w:rFonts w:ascii="Franklin Gothic Book" w:eastAsia="Times New Roman" w:hAnsi="Franklin Gothic Book"/>
          <w:sz w:val="21"/>
          <w:lang w:eastAsia="zh-CN"/>
        </w:rPr>
        <w:t xml:space="preserve"> and </w:t>
      </w:r>
      <w:r w:rsidR="00B87DBC" w:rsidRPr="00B51B29">
        <w:rPr>
          <w:rFonts w:ascii="Franklin Gothic Book" w:eastAsia="Times New Roman" w:hAnsi="Franklin Gothic Book"/>
          <w:sz w:val="21"/>
          <w:lang w:eastAsia="zh-CN"/>
        </w:rPr>
        <w:t>573 men and 489 women participated in sk</w:t>
      </w:r>
      <w:r w:rsidR="00B87DBC">
        <w:rPr>
          <w:rFonts w:ascii="Franklin Gothic Book" w:eastAsia="Times New Roman" w:hAnsi="Franklin Gothic Book"/>
          <w:sz w:val="21"/>
          <w:lang w:eastAsia="zh-CN"/>
        </w:rPr>
        <w:t>ills development activities (21 per cent</w:t>
      </w:r>
      <w:r w:rsidR="00B87DBC" w:rsidRPr="00B51B29">
        <w:rPr>
          <w:rFonts w:ascii="Franklin Gothic Book" w:eastAsia="Times New Roman" w:hAnsi="Franklin Gothic Book"/>
          <w:sz w:val="21"/>
          <w:lang w:eastAsia="zh-CN"/>
        </w:rPr>
        <w:t xml:space="preserve"> aged 15-24</w:t>
      </w:r>
      <w:r w:rsidR="00C53CBF">
        <w:rPr>
          <w:rFonts w:ascii="Franklin Gothic Book" w:eastAsia="Times New Roman" w:hAnsi="Franklin Gothic Book"/>
          <w:sz w:val="21"/>
          <w:lang w:eastAsia="zh-CN"/>
        </w:rPr>
        <w:t xml:space="preserve"> years</w:t>
      </w:r>
      <w:r w:rsidR="00B87DBC" w:rsidRPr="00B51B29">
        <w:rPr>
          <w:rFonts w:ascii="Franklin Gothic Book" w:eastAsia="Times New Roman" w:hAnsi="Franklin Gothic Book"/>
          <w:sz w:val="21"/>
          <w:lang w:eastAsia="zh-CN"/>
        </w:rPr>
        <w:t xml:space="preserve">). The program </w:t>
      </w:r>
      <w:r w:rsidR="00C53CBF">
        <w:rPr>
          <w:rFonts w:ascii="Franklin Gothic Book" w:eastAsia="Times New Roman" w:hAnsi="Franklin Gothic Book"/>
          <w:sz w:val="21"/>
          <w:lang w:eastAsia="zh-CN"/>
        </w:rPr>
        <w:t xml:space="preserve">also </w:t>
      </w:r>
      <w:r w:rsidR="00B87DBC" w:rsidRPr="00B51B29">
        <w:rPr>
          <w:rFonts w:ascii="Franklin Gothic Book" w:eastAsia="Times New Roman" w:hAnsi="Franklin Gothic Book"/>
          <w:sz w:val="21"/>
          <w:lang w:eastAsia="zh-CN"/>
        </w:rPr>
        <w:t>ma</w:t>
      </w:r>
      <w:r>
        <w:rPr>
          <w:rFonts w:ascii="Franklin Gothic Book" w:eastAsia="Times New Roman" w:hAnsi="Franklin Gothic Book"/>
          <w:sz w:val="21"/>
          <w:lang w:eastAsia="zh-CN"/>
        </w:rPr>
        <w:t>de</w:t>
      </w:r>
      <w:r w:rsidR="00B87DBC" w:rsidRPr="00B51B29">
        <w:rPr>
          <w:rFonts w:ascii="Franklin Gothic Book" w:eastAsia="Times New Roman" w:hAnsi="Franklin Gothic Book"/>
          <w:sz w:val="21"/>
          <w:lang w:eastAsia="zh-CN"/>
        </w:rPr>
        <w:t xml:space="preserve"> progress </w:t>
      </w:r>
      <w:r>
        <w:rPr>
          <w:rFonts w:ascii="Franklin Gothic Book" w:eastAsia="Times New Roman" w:hAnsi="Franklin Gothic Book"/>
          <w:sz w:val="21"/>
          <w:lang w:eastAsia="zh-CN"/>
        </w:rPr>
        <w:t>increasing disability inclusion</w:t>
      </w:r>
      <w:r w:rsidR="00B87DBC">
        <w:rPr>
          <w:rFonts w:ascii="Franklin Gothic Book" w:eastAsia="Times New Roman" w:hAnsi="Franklin Gothic Book"/>
          <w:sz w:val="21"/>
          <w:lang w:eastAsia="zh-CN"/>
        </w:rPr>
        <w:t xml:space="preserve"> – </w:t>
      </w:r>
      <w:r w:rsidR="00D32DC0">
        <w:rPr>
          <w:rFonts w:ascii="Franklin Gothic Book" w:eastAsia="Times New Roman" w:hAnsi="Franklin Gothic Book"/>
          <w:sz w:val="21"/>
          <w:lang w:eastAsia="zh-CN"/>
        </w:rPr>
        <w:t>eight</w:t>
      </w:r>
      <w:r w:rsidR="00B87DBC">
        <w:rPr>
          <w:rFonts w:ascii="Franklin Gothic Book" w:eastAsia="Times New Roman" w:hAnsi="Franklin Gothic Book"/>
          <w:sz w:val="21"/>
          <w:lang w:eastAsia="zh-CN"/>
        </w:rPr>
        <w:t xml:space="preserve"> per cent</w:t>
      </w:r>
      <w:r w:rsidR="00B87DBC" w:rsidRPr="00B51B29">
        <w:rPr>
          <w:rFonts w:ascii="Franklin Gothic Book" w:eastAsia="Times New Roman" w:hAnsi="Franklin Gothic Book"/>
          <w:sz w:val="21"/>
          <w:lang w:eastAsia="zh-CN"/>
        </w:rPr>
        <w:t xml:space="preserve"> of partic</w:t>
      </w:r>
      <w:r w:rsidR="007F1226">
        <w:rPr>
          <w:rFonts w:ascii="Franklin Gothic Book" w:eastAsia="Times New Roman" w:hAnsi="Franklin Gothic Book"/>
          <w:sz w:val="21"/>
          <w:lang w:eastAsia="zh-CN"/>
        </w:rPr>
        <w:t>ipants have a disability (up from</w:t>
      </w:r>
      <w:r w:rsidR="00B87DBC">
        <w:rPr>
          <w:rFonts w:ascii="Franklin Gothic Book" w:eastAsia="Times New Roman" w:hAnsi="Franklin Gothic Book"/>
          <w:sz w:val="21"/>
          <w:lang w:eastAsia="zh-CN"/>
        </w:rPr>
        <w:t xml:space="preserve"> </w:t>
      </w:r>
      <w:r w:rsidR="00D32DC0">
        <w:rPr>
          <w:rFonts w:ascii="Franklin Gothic Book" w:eastAsia="Times New Roman" w:hAnsi="Franklin Gothic Book"/>
          <w:sz w:val="21"/>
          <w:lang w:eastAsia="zh-CN"/>
        </w:rPr>
        <w:t>four</w:t>
      </w:r>
      <w:r w:rsidR="00B87DBC">
        <w:rPr>
          <w:rFonts w:ascii="Franklin Gothic Book" w:eastAsia="Times New Roman" w:hAnsi="Franklin Gothic Book"/>
          <w:sz w:val="21"/>
          <w:lang w:eastAsia="zh-CN"/>
        </w:rPr>
        <w:t xml:space="preserve"> per cent</w:t>
      </w:r>
      <w:r w:rsidR="00B87DBC" w:rsidRPr="00B51B29">
        <w:rPr>
          <w:rFonts w:ascii="Franklin Gothic Book" w:eastAsia="Times New Roman" w:hAnsi="Franklin Gothic Book"/>
          <w:sz w:val="21"/>
          <w:lang w:eastAsia="zh-CN"/>
        </w:rPr>
        <w:t xml:space="preserve"> in 2013).</w:t>
      </w:r>
    </w:p>
    <w:p w:rsidR="00B87DBC" w:rsidRPr="00B51B29" w:rsidRDefault="00E366E4" w:rsidP="00566187">
      <w:pPr>
        <w:spacing w:after="160" w:line="280" w:lineRule="exact"/>
        <w:rPr>
          <w:rFonts w:ascii="Franklin Gothic Book" w:eastAsia="Times New Roman" w:hAnsi="Franklin Gothic Book"/>
          <w:sz w:val="21"/>
          <w:lang w:eastAsia="zh-CN"/>
        </w:rPr>
      </w:pPr>
      <w:r w:rsidRPr="005C2C57">
        <w:rPr>
          <w:noProof/>
        </w:rPr>
        <mc:AlternateContent>
          <mc:Choice Requires="wps">
            <w:drawing>
              <wp:anchor distT="0" distB="0" distL="114300" distR="114300" simplePos="0" relativeHeight="251678720" behindDoc="1" locked="0" layoutInCell="1" allowOverlap="1" wp14:anchorId="51F764CB" wp14:editId="1AE28F1A">
                <wp:simplePos x="0" y="0"/>
                <wp:positionH relativeFrom="column">
                  <wp:posOffset>2634615</wp:posOffset>
                </wp:positionH>
                <wp:positionV relativeFrom="paragraph">
                  <wp:posOffset>21590</wp:posOffset>
                </wp:positionV>
                <wp:extent cx="2750820" cy="3314700"/>
                <wp:effectExtent l="0" t="0" r="11430" b="19050"/>
                <wp:wrapThrough wrapText="bothSides">
                  <wp:wrapPolygon edited="0">
                    <wp:start x="0" y="0"/>
                    <wp:lineTo x="0" y="21600"/>
                    <wp:lineTo x="21540" y="21600"/>
                    <wp:lineTo x="21540" y="0"/>
                    <wp:lineTo x="0" y="0"/>
                  </wp:wrapPolygon>
                </wp:wrapThrough>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3314700"/>
                        </a:xfrm>
                        <a:prstGeom prst="rect">
                          <a:avLst/>
                        </a:prstGeom>
                        <a:solidFill>
                          <a:srgbClr val="FFFFFF"/>
                        </a:solidFill>
                        <a:ln w="9525">
                          <a:solidFill>
                            <a:srgbClr val="000000"/>
                          </a:solidFill>
                          <a:miter lim="800000"/>
                          <a:headEnd/>
                          <a:tailEnd/>
                        </a:ln>
                      </wps:spPr>
                      <wps:txbx>
                        <w:txbxContent>
                          <w:p w:rsidR="005C7111" w:rsidRPr="005C2C57" w:rsidRDefault="005C7111" w:rsidP="00B87DBC">
                            <w:pPr>
                              <w:rPr>
                                <w:rFonts w:ascii="Arial Narrow" w:hAnsi="Arial Narrow"/>
                                <w:b/>
                              </w:rPr>
                            </w:pPr>
                            <w:r w:rsidRPr="00AA5975">
                              <w:rPr>
                                <w:rFonts w:ascii="Arial Narrow" w:hAnsi="Arial Narrow"/>
                                <w:b/>
                              </w:rPr>
                              <w:t>Box 1</w:t>
                            </w:r>
                            <w:r>
                              <w:rPr>
                                <w:rFonts w:ascii="Arial Narrow" w:hAnsi="Arial Narrow"/>
                                <w:b/>
                              </w:rPr>
                              <w:t xml:space="preserve"> –</w:t>
                            </w:r>
                            <w:r w:rsidRPr="005C2C57">
                              <w:rPr>
                                <w:rFonts w:ascii="Arial Narrow" w:hAnsi="Arial Narrow"/>
                                <w:b/>
                              </w:rPr>
                              <w:t xml:space="preserve"> </w:t>
                            </w:r>
                            <w:r>
                              <w:rPr>
                                <w:rFonts w:ascii="Arial Narrow" w:hAnsi="Arial Narrow"/>
                                <w:b/>
                              </w:rPr>
                              <w:t>Australia Awards Promoting Disability Inclusiveness and Gender Equality</w:t>
                            </w:r>
                            <w:r>
                              <w:rPr>
                                <w:rFonts w:ascii="Arial Narrow" w:hAnsi="Arial Narrow"/>
                                <w:b/>
                              </w:rPr>
                              <w:br/>
                            </w:r>
                          </w:p>
                          <w:p w:rsidR="005C7111" w:rsidRPr="00080288" w:rsidRDefault="005C7111" w:rsidP="00566187">
                            <w:pPr>
                              <w:spacing w:after="160" w:line="280" w:lineRule="exact"/>
                              <w:rPr>
                                <w:rFonts w:ascii="Arial Narrow" w:eastAsia="Times New Roman" w:hAnsi="Arial Narrow"/>
                                <w:szCs w:val="20"/>
                                <w:lang w:eastAsia="zh-CN"/>
                              </w:rPr>
                            </w:pPr>
                            <w:r w:rsidRPr="00080288">
                              <w:rPr>
                                <w:rFonts w:ascii="Arial Narrow" w:eastAsia="Times New Roman" w:hAnsi="Arial Narrow"/>
                                <w:szCs w:val="20"/>
                                <w:lang w:eastAsia="zh-CN"/>
                              </w:rPr>
                              <w:t>Disability-related studies are a priority field for Australia Awards Scholarships, with two students currently undertaking studies in this field. Students with a disability are also encouraged to apply for scholarships.</w:t>
                            </w:r>
                          </w:p>
                          <w:p w:rsidR="005C7111" w:rsidRDefault="005C7111" w:rsidP="00566187">
                            <w:pPr>
                              <w:spacing w:after="160" w:line="280" w:lineRule="exact"/>
                              <w:rPr>
                                <w:rFonts w:ascii="Arial Narrow" w:eastAsia="Times New Roman" w:hAnsi="Arial Narrow"/>
                                <w:szCs w:val="20"/>
                                <w:lang w:eastAsia="zh-CN"/>
                              </w:rPr>
                            </w:pPr>
                            <w:r w:rsidRPr="00080288">
                              <w:rPr>
                                <w:rFonts w:ascii="Arial Narrow" w:eastAsia="Times New Roman" w:hAnsi="Arial Narrow"/>
                                <w:szCs w:val="20"/>
                                <w:lang w:eastAsia="zh-CN"/>
                              </w:rPr>
                              <w:t>In 2014 a female with a disability graduated with a Certificate in Disability Studies from Fiji National University. She was also awarded an Internati</w:t>
                            </w:r>
                            <w:r>
                              <w:rPr>
                                <w:rFonts w:ascii="Arial Narrow" w:eastAsia="Times New Roman" w:hAnsi="Arial Narrow"/>
                                <w:szCs w:val="20"/>
                                <w:lang w:eastAsia="zh-CN"/>
                              </w:rPr>
                              <w:t>onal Women’s Day Award in 2014. S</w:t>
                            </w:r>
                            <w:r w:rsidRPr="00080288">
                              <w:rPr>
                                <w:rFonts w:ascii="Arial Narrow" w:eastAsia="Times New Roman" w:hAnsi="Arial Narrow"/>
                                <w:szCs w:val="20"/>
                                <w:lang w:eastAsia="zh-CN"/>
                              </w:rPr>
                              <w:t>he is often invited as a g</w:t>
                            </w:r>
                            <w:r>
                              <w:rPr>
                                <w:rFonts w:ascii="Arial Narrow" w:eastAsia="Times New Roman" w:hAnsi="Arial Narrow"/>
                                <w:szCs w:val="20"/>
                                <w:lang w:eastAsia="zh-CN"/>
                              </w:rPr>
                              <w:t xml:space="preserve">uest speaker to events, and </w:t>
                            </w:r>
                            <w:r w:rsidRPr="00080288">
                              <w:rPr>
                                <w:rFonts w:ascii="Arial Narrow" w:eastAsia="Times New Roman" w:hAnsi="Arial Narrow"/>
                                <w:szCs w:val="20"/>
                                <w:lang w:eastAsia="zh-CN"/>
                              </w:rPr>
                              <w:t>is now employed by an international NGO in Vanuatu.</w:t>
                            </w:r>
                          </w:p>
                          <w:p w:rsidR="005C7111" w:rsidRPr="00080288" w:rsidRDefault="005C7111" w:rsidP="00566187">
                            <w:pPr>
                              <w:spacing w:after="160" w:line="280" w:lineRule="exact"/>
                              <w:rPr>
                                <w:rFonts w:ascii="Arial Narrow" w:eastAsia="Times New Roman" w:hAnsi="Arial Narrow"/>
                                <w:szCs w:val="20"/>
                                <w:lang w:eastAsia="zh-CN"/>
                              </w:rPr>
                            </w:pPr>
                            <w:r w:rsidRPr="00DD2C49">
                              <w:rPr>
                                <w:rFonts w:ascii="Arial Narrow" w:eastAsia="Times New Roman" w:hAnsi="Arial Narrow"/>
                                <w:szCs w:val="20"/>
                                <w:lang w:eastAsia="zh-CN"/>
                              </w:rPr>
                              <w:t xml:space="preserve">Gender equality is managed and maintained from selection stage. Thirteen of the 21 2014 awardees were female. </w:t>
                            </w:r>
                            <w:r>
                              <w:rPr>
                                <w:rFonts w:ascii="Arial Narrow" w:eastAsia="Times New Roman" w:hAnsi="Arial Narrow"/>
                                <w:szCs w:val="20"/>
                                <w:lang w:eastAsia="zh-CN"/>
                              </w:rPr>
                              <w:t>Fifty-three</w:t>
                            </w:r>
                            <w:r w:rsidRPr="00DD2C49">
                              <w:rPr>
                                <w:rFonts w:ascii="Arial Narrow" w:eastAsia="Times New Roman" w:hAnsi="Arial Narrow"/>
                                <w:szCs w:val="20"/>
                                <w:lang w:eastAsia="zh-CN"/>
                              </w:rPr>
                              <w:t xml:space="preserve"> of the 9</w:t>
                            </w:r>
                            <w:r>
                              <w:rPr>
                                <w:rFonts w:ascii="Arial Narrow" w:eastAsia="Times New Roman" w:hAnsi="Arial Narrow"/>
                                <w:szCs w:val="20"/>
                                <w:lang w:eastAsia="zh-CN"/>
                              </w:rPr>
                              <w:t>7</w:t>
                            </w:r>
                            <w:r w:rsidRPr="00DD2C49">
                              <w:rPr>
                                <w:rFonts w:ascii="Arial Narrow" w:eastAsia="Times New Roman" w:hAnsi="Arial Narrow"/>
                                <w:szCs w:val="20"/>
                                <w:lang w:eastAsia="zh-CN"/>
                              </w:rPr>
                              <w:t xml:space="preserve"> current awardees are female</w:t>
                            </w:r>
                            <w:r>
                              <w:rPr>
                                <w:rFonts w:ascii="Arial Narrow" w:eastAsia="Times New Roman" w:hAnsi="Arial Narrow"/>
                                <w:szCs w:val="20"/>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7.45pt;margin-top:1.7pt;width:216.6pt;height:26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">
                <v:textbox>
                  <w:txbxContent>
                    <w:p w:rsidR="005C7111" w:rsidRPr="005C2C57" w:rsidRDefault="005C7111" w:rsidP="00B87DBC">
                      <w:pPr>
                        <w:rPr>
                          <w:rFonts w:ascii="Arial Narrow" w:hAnsi="Arial Narrow"/>
                          <w:b/>
                        </w:rPr>
                      </w:pPr>
                      <w:r w:rsidRPr="00AA5975">
                        <w:rPr>
                          <w:rFonts w:ascii="Arial Narrow" w:hAnsi="Arial Narrow"/>
                          <w:b/>
                        </w:rPr>
                        <w:t>Box 1</w:t>
                      </w:r>
                      <w:r>
                        <w:rPr>
                          <w:rFonts w:ascii="Arial Narrow" w:hAnsi="Arial Narrow"/>
                          <w:b/>
                        </w:rPr>
                        <w:t xml:space="preserve"> –</w:t>
                      </w:r>
                      <w:r w:rsidRPr="005C2C57">
                        <w:rPr>
                          <w:rFonts w:ascii="Arial Narrow" w:hAnsi="Arial Narrow"/>
                          <w:b/>
                        </w:rPr>
                        <w:t xml:space="preserve"> </w:t>
                      </w:r>
                      <w:r>
                        <w:rPr>
                          <w:rFonts w:ascii="Arial Narrow" w:hAnsi="Arial Narrow"/>
                          <w:b/>
                        </w:rPr>
                        <w:t>Australia Awards Promoting Disability Inclusiveness and Gender Equality</w:t>
                      </w:r>
                      <w:r>
                        <w:rPr>
                          <w:rFonts w:ascii="Arial Narrow" w:hAnsi="Arial Narrow"/>
                          <w:b/>
                        </w:rPr>
                        <w:br/>
                      </w:r>
                    </w:p>
                    <w:p w:rsidR="005C7111" w:rsidRPr="00080288" w:rsidRDefault="005C7111" w:rsidP="00566187">
                      <w:pPr>
                        <w:spacing w:after="160" w:line="280" w:lineRule="exact"/>
                        <w:rPr>
                          <w:rFonts w:ascii="Arial Narrow" w:eastAsia="Times New Roman" w:hAnsi="Arial Narrow"/>
                          <w:szCs w:val="20"/>
                          <w:lang w:eastAsia="zh-CN"/>
                        </w:rPr>
                      </w:pPr>
                      <w:r w:rsidRPr="00080288">
                        <w:rPr>
                          <w:rFonts w:ascii="Arial Narrow" w:eastAsia="Times New Roman" w:hAnsi="Arial Narrow"/>
                          <w:szCs w:val="20"/>
                          <w:lang w:eastAsia="zh-CN"/>
                        </w:rPr>
                        <w:t>Disability-related studies are a priority field for Australia Awards Scholarships, with two students currently undertaking studies in this field. Students with a disability are also encouraged to apply for scholarships.</w:t>
                      </w:r>
                    </w:p>
                    <w:p w:rsidR="005C7111" w:rsidRDefault="005C7111" w:rsidP="00566187">
                      <w:pPr>
                        <w:spacing w:after="160" w:line="280" w:lineRule="exact"/>
                        <w:rPr>
                          <w:rFonts w:ascii="Arial Narrow" w:eastAsia="Times New Roman" w:hAnsi="Arial Narrow"/>
                          <w:szCs w:val="20"/>
                          <w:lang w:eastAsia="zh-CN"/>
                        </w:rPr>
                      </w:pPr>
                      <w:r w:rsidRPr="00080288">
                        <w:rPr>
                          <w:rFonts w:ascii="Arial Narrow" w:eastAsia="Times New Roman" w:hAnsi="Arial Narrow"/>
                          <w:szCs w:val="20"/>
                          <w:lang w:eastAsia="zh-CN"/>
                        </w:rPr>
                        <w:t>In 2014 a female with a disability graduated with a Certificate in Disability Studies from Fiji National University. She was also awarded an Internati</w:t>
                      </w:r>
                      <w:r>
                        <w:rPr>
                          <w:rFonts w:ascii="Arial Narrow" w:eastAsia="Times New Roman" w:hAnsi="Arial Narrow"/>
                          <w:szCs w:val="20"/>
                          <w:lang w:eastAsia="zh-CN"/>
                        </w:rPr>
                        <w:t>onal Women’s Day Award in 2014. S</w:t>
                      </w:r>
                      <w:r w:rsidRPr="00080288">
                        <w:rPr>
                          <w:rFonts w:ascii="Arial Narrow" w:eastAsia="Times New Roman" w:hAnsi="Arial Narrow"/>
                          <w:szCs w:val="20"/>
                          <w:lang w:eastAsia="zh-CN"/>
                        </w:rPr>
                        <w:t>he is often invited as a g</w:t>
                      </w:r>
                      <w:r>
                        <w:rPr>
                          <w:rFonts w:ascii="Arial Narrow" w:eastAsia="Times New Roman" w:hAnsi="Arial Narrow"/>
                          <w:szCs w:val="20"/>
                          <w:lang w:eastAsia="zh-CN"/>
                        </w:rPr>
                        <w:t xml:space="preserve">uest speaker to events, and </w:t>
                      </w:r>
                      <w:r w:rsidRPr="00080288">
                        <w:rPr>
                          <w:rFonts w:ascii="Arial Narrow" w:eastAsia="Times New Roman" w:hAnsi="Arial Narrow"/>
                          <w:szCs w:val="20"/>
                          <w:lang w:eastAsia="zh-CN"/>
                        </w:rPr>
                        <w:t>is now employed by an international NGO in Vanuatu.</w:t>
                      </w:r>
                    </w:p>
                    <w:p w:rsidR="005C7111" w:rsidRPr="00080288" w:rsidRDefault="005C7111" w:rsidP="00566187">
                      <w:pPr>
                        <w:spacing w:after="160" w:line="280" w:lineRule="exact"/>
                        <w:rPr>
                          <w:rFonts w:ascii="Arial Narrow" w:eastAsia="Times New Roman" w:hAnsi="Arial Narrow"/>
                          <w:szCs w:val="20"/>
                          <w:lang w:eastAsia="zh-CN"/>
                        </w:rPr>
                      </w:pPr>
                      <w:r w:rsidRPr="00DD2C49">
                        <w:rPr>
                          <w:rFonts w:ascii="Arial Narrow" w:eastAsia="Times New Roman" w:hAnsi="Arial Narrow"/>
                          <w:szCs w:val="20"/>
                          <w:lang w:eastAsia="zh-CN"/>
                        </w:rPr>
                        <w:t xml:space="preserve">Gender equality is managed and maintained from selection stage. Thirteen of the 21 2014 awardees were female. </w:t>
                      </w:r>
                      <w:r>
                        <w:rPr>
                          <w:rFonts w:ascii="Arial Narrow" w:eastAsia="Times New Roman" w:hAnsi="Arial Narrow"/>
                          <w:szCs w:val="20"/>
                          <w:lang w:eastAsia="zh-CN"/>
                        </w:rPr>
                        <w:t>Fifty-three</w:t>
                      </w:r>
                      <w:r w:rsidRPr="00DD2C49">
                        <w:rPr>
                          <w:rFonts w:ascii="Arial Narrow" w:eastAsia="Times New Roman" w:hAnsi="Arial Narrow"/>
                          <w:szCs w:val="20"/>
                          <w:lang w:eastAsia="zh-CN"/>
                        </w:rPr>
                        <w:t xml:space="preserve"> of the 9</w:t>
                      </w:r>
                      <w:r>
                        <w:rPr>
                          <w:rFonts w:ascii="Arial Narrow" w:eastAsia="Times New Roman" w:hAnsi="Arial Narrow"/>
                          <w:szCs w:val="20"/>
                          <w:lang w:eastAsia="zh-CN"/>
                        </w:rPr>
                        <w:t>7</w:t>
                      </w:r>
                      <w:r w:rsidRPr="00DD2C49">
                        <w:rPr>
                          <w:rFonts w:ascii="Arial Narrow" w:eastAsia="Times New Roman" w:hAnsi="Arial Narrow"/>
                          <w:szCs w:val="20"/>
                          <w:lang w:eastAsia="zh-CN"/>
                        </w:rPr>
                        <w:t xml:space="preserve"> current awardees are female</w:t>
                      </w:r>
                      <w:r>
                        <w:rPr>
                          <w:rFonts w:ascii="Arial Narrow" w:eastAsia="Times New Roman" w:hAnsi="Arial Narrow"/>
                          <w:szCs w:val="20"/>
                          <w:lang w:eastAsia="zh-CN"/>
                        </w:rPr>
                        <w:t>.</w:t>
                      </w:r>
                    </w:p>
                  </w:txbxContent>
                </v:textbox>
                <w10:wrap type="through"/>
              </v:shape>
            </w:pict>
          </mc:Fallback>
        </mc:AlternateContent>
      </w:r>
      <w:r w:rsidR="00D83E9E">
        <w:rPr>
          <w:rFonts w:ascii="Franklin Gothic Book" w:eastAsia="Times New Roman" w:hAnsi="Franklin Gothic Book"/>
          <w:sz w:val="21"/>
          <w:lang w:eastAsia="zh-CN"/>
        </w:rPr>
        <w:t>The</w:t>
      </w:r>
      <w:r w:rsidR="00477BB6">
        <w:rPr>
          <w:rFonts w:ascii="Franklin Gothic Book" w:eastAsia="Times New Roman" w:hAnsi="Franklin Gothic Book"/>
          <w:sz w:val="21"/>
          <w:lang w:eastAsia="zh-CN"/>
        </w:rPr>
        <w:t xml:space="preserve"> </w:t>
      </w:r>
      <w:r w:rsidR="00E344E0">
        <w:rPr>
          <w:rFonts w:ascii="Franklin Gothic Book" w:eastAsia="Times New Roman" w:hAnsi="Franklin Gothic Book"/>
          <w:sz w:val="21"/>
          <w:lang w:eastAsia="zh-CN"/>
        </w:rPr>
        <w:t xml:space="preserve">TVET </w:t>
      </w:r>
      <w:r w:rsidR="00477BB6">
        <w:rPr>
          <w:rFonts w:ascii="Franklin Gothic Book" w:eastAsia="Times New Roman" w:hAnsi="Franklin Gothic Book"/>
          <w:sz w:val="21"/>
          <w:lang w:eastAsia="zh-CN"/>
        </w:rPr>
        <w:t xml:space="preserve">program has strong </w:t>
      </w:r>
      <w:r w:rsidR="00375A6B">
        <w:rPr>
          <w:rFonts w:ascii="Franklin Gothic Book" w:eastAsia="Times New Roman" w:hAnsi="Franklin Gothic Book"/>
          <w:sz w:val="21"/>
          <w:lang w:eastAsia="zh-CN"/>
        </w:rPr>
        <w:t>Vanuatu Government</w:t>
      </w:r>
      <w:r w:rsidR="00477BB6">
        <w:rPr>
          <w:rFonts w:ascii="Franklin Gothic Book" w:eastAsia="Times New Roman" w:hAnsi="Franklin Gothic Book"/>
          <w:sz w:val="21"/>
          <w:lang w:eastAsia="zh-CN"/>
        </w:rPr>
        <w:t xml:space="preserve"> support</w:t>
      </w:r>
      <w:r w:rsidR="00E245BA">
        <w:rPr>
          <w:rFonts w:ascii="Franklin Gothic Book" w:eastAsia="Times New Roman" w:hAnsi="Franklin Gothic Book"/>
          <w:sz w:val="21"/>
          <w:lang w:eastAsia="zh-CN"/>
        </w:rPr>
        <w:t xml:space="preserve">. </w:t>
      </w:r>
      <w:r w:rsidR="00063AC2">
        <w:rPr>
          <w:rFonts w:ascii="Franklin Gothic Book" w:eastAsia="Times New Roman" w:hAnsi="Franklin Gothic Book"/>
          <w:sz w:val="21"/>
          <w:lang w:eastAsia="zh-CN"/>
        </w:rPr>
        <w:t>A</w:t>
      </w:r>
      <w:r w:rsidR="00173784">
        <w:rPr>
          <w:rFonts w:ascii="Franklin Gothic Book" w:eastAsia="Times New Roman" w:hAnsi="Franklin Gothic Book"/>
          <w:sz w:val="21"/>
          <w:lang w:eastAsia="zh-CN"/>
        </w:rPr>
        <w:t xml:space="preserve"> third TVET centre</w:t>
      </w:r>
      <w:r w:rsidR="00E245BA">
        <w:rPr>
          <w:rFonts w:ascii="Franklin Gothic Book" w:eastAsia="Times New Roman" w:hAnsi="Franklin Gothic Book"/>
          <w:sz w:val="21"/>
          <w:lang w:eastAsia="zh-CN"/>
        </w:rPr>
        <w:t xml:space="preserve"> was established</w:t>
      </w:r>
      <w:r w:rsidR="00173784">
        <w:rPr>
          <w:rFonts w:ascii="Franklin Gothic Book" w:eastAsia="Times New Roman" w:hAnsi="Franklin Gothic Book"/>
          <w:sz w:val="21"/>
          <w:lang w:eastAsia="zh-CN"/>
        </w:rPr>
        <w:t xml:space="preserve"> in </w:t>
      </w:r>
      <w:proofErr w:type="spellStart"/>
      <w:r w:rsidR="00173784">
        <w:rPr>
          <w:rFonts w:ascii="Franklin Gothic Book" w:eastAsia="Times New Roman" w:hAnsi="Franklin Gothic Book"/>
          <w:sz w:val="21"/>
          <w:lang w:eastAsia="zh-CN"/>
        </w:rPr>
        <w:t>Torba</w:t>
      </w:r>
      <w:proofErr w:type="spellEnd"/>
      <w:r w:rsidR="00173784">
        <w:rPr>
          <w:rFonts w:ascii="Franklin Gothic Book" w:eastAsia="Times New Roman" w:hAnsi="Franklin Gothic Book"/>
          <w:sz w:val="21"/>
          <w:lang w:eastAsia="zh-CN"/>
        </w:rPr>
        <w:t xml:space="preserve"> province</w:t>
      </w:r>
      <w:r w:rsidR="00375A6B">
        <w:rPr>
          <w:rFonts w:ascii="Franklin Gothic Book" w:eastAsia="Times New Roman" w:hAnsi="Franklin Gothic Book"/>
          <w:sz w:val="21"/>
          <w:lang w:eastAsia="zh-CN"/>
        </w:rPr>
        <w:t xml:space="preserve"> in 2014 and </w:t>
      </w:r>
      <w:r w:rsidR="00173784">
        <w:rPr>
          <w:rFonts w:ascii="Franklin Gothic Book" w:eastAsia="Times New Roman" w:hAnsi="Franklin Gothic Book"/>
          <w:sz w:val="21"/>
          <w:lang w:eastAsia="zh-CN"/>
        </w:rPr>
        <w:t xml:space="preserve">consultations </w:t>
      </w:r>
      <w:r w:rsidR="00E571A0">
        <w:rPr>
          <w:rFonts w:ascii="Franklin Gothic Book" w:eastAsia="Times New Roman" w:hAnsi="Franklin Gothic Book"/>
          <w:sz w:val="21"/>
          <w:lang w:eastAsia="zh-CN"/>
        </w:rPr>
        <w:t xml:space="preserve">commenced </w:t>
      </w:r>
      <w:r w:rsidR="00173784">
        <w:rPr>
          <w:rFonts w:ascii="Franklin Gothic Book" w:eastAsia="Times New Roman" w:hAnsi="Franklin Gothic Book"/>
          <w:sz w:val="21"/>
          <w:lang w:eastAsia="zh-CN"/>
        </w:rPr>
        <w:t xml:space="preserve">on </w:t>
      </w:r>
      <w:r w:rsidR="00173784" w:rsidRPr="00B51B29">
        <w:rPr>
          <w:rFonts w:ascii="Franklin Gothic Book" w:eastAsia="Times New Roman" w:hAnsi="Franklin Gothic Book"/>
          <w:sz w:val="21"/>
          <w:lang w:eastAsia="zh-CN"/>
        </w:rPr>
        <w:t xml:space="preserve">a fourth centre in </w:t>
      </w:r>
      <w:proofErr w:type="spellStart"/>
      <w:r w:rsidR="00173784" w:rsidRPr="00B51B29">
        <w:rPr>
          <w:rFonts w:ascii="Franklin Gothic Book" w:eastAsia="Times New Roman" w:hAnsi="Franklin Gothic Book"/>
          <w:sz w:val="21"/>
          <w:lang w:eastAsia="zh-CN"/>
        </w:rPr>
        <w:t>Tafea</w:t>
      </w:r>
      <w:proofErr w:type="spellEnd"/>
      <w:r w:rsidR="00173784" w:rsidRPr="00B51B29">
        <w:rPr>
          <w:rFonts w:ascii="Franklin Gothic Book" w:eastAsia="Times New Roman" w:hAnsi="Franklin Gothic Book"/>
          <w:sz w:val="21"/>
          <w:lang w:eastAsia="zh-CN"/>
        </w:rPr>
        <w:t xml:space="preserve"> province</w:t>
      </w:r>
      <w:r w:rsidR="00375A6B">
        <w:rPr>
          <w:rFonts w:ascii="Franklin Gothic Book" w:eastAsia="Times New Roman" w:hAnsi="Franklin Gothic Book"/>
          <w:sz w:val="21"/>
          <w:lang w:eastAsia="zh-CN"/>
        </w:rPr>
        <w:t xml:space="preserve"> (planned for 2015-16).  This will help meet the strong demand for </w:t>
      </w:r>
      <w:r w:rsidR="00375A6B" w:rsidRPr="00B51B29">
        <w:rPr>
          <w:rFonts w:ascii="Franklin Gothic Book" w:eastAsia="Times New Roman" w:hAnsi="Franklin Gothic Book"/>
          <w:sz w:val="21"/>
          <w:lang w:eastAsia="zh-CN"/>
        </w:rPr>
        <w:t xml:space="preserve">skills development opportunities </w:t>
      </w:r>
      <w:r w:rsidR="00173784">
        <w:rPr>
          <w:rFonts w:ascii="Franklin Gothic Book" w:eastAsia="Times New Roman" w:hAnsi="Franklin Gothic Book"/>
          <w:sz w:val="21"/>
          <w:lang w:eastAsia="zh-CN"/>
        </w:rPr>
        <w:t>following Tropical Cyclone Pam</w:t>
      </w:r>
      <w:r w:rsidR="00375A6B">
        <w:rPr>
          <w:rFonts w:ascii="Franklin Gothic Book" w:eastAsia="Times New Roman" w:hAnsi="Franklin Gothic Book"/>
          <w:sz w:val="21"/>
          <w:lang w:eastAsia="zh-CN"/>
        </w:rPr>
        <w:t xml:space="preserve"> and complement our long-term recovery activities.</w:t>
      </w:r>
      <w:r w:rsidR="00173784">
        <w:rPr>
          <w:rFonts w:ascii="Franklin Gothic Book" w:eastAsia="Times New Roman" w:hAnsi="Franklin Gothic Book"/>
          <w:sz w:val="21"/>
          <w:lang w:eastAsia="zh-CN"/>
        </w:rPr>
        <w:t xml:space="preserve"> </w:t>
      </w:r>
      <w:r w:rsidR="00B87DBC" w:rsidRPr="00B51B29">
        <w:rPr>
          <w:rFonts w:ascii="Franklin Gothic Book" w:eastAsia="Times New Roman" w:hAnsi="Franklin Gothic Book"/>
          <w:sz w:val="21"/>
          <w:lang w:eastAsia="zh-CN"/>
        </w:rPr>
        <w:t xml:space="preserve">Capacity building within the program team resulted in localisation of all full time staff, including the Team </w:t>
      </w:r>
      <w:r w:rsidR="006A4103">
        <w:rPr>
          <w:rFonts w:ascii="Franklin Gothic Book" w:eastAsia="Times New Roman" w:hAnsi="Franklin Gothic Book"/>
          <w:sz w:val="21"/>
          <w:lang w:eastAsia="zh-CN"/>
        </w:rPr>
        <w:t>Leader</w:t>
      </w:r>
      <w:r w:rsidR="00375A6B">
        <w:rPr>
          <w:rFonts w:ascii="Franklin Gothic Book" w:eastAsia="Times New Roman" w:hAnsi="Franklin Gothic Book"/>
          <w:sz w:val="21"/>
          <w:lang w:eastAsia="zh-CN"/>
        </w:rPr>
        <w:t>.</w:t>
      </w:r>
    </w:p>
    <w:p w:rsidR="00F43BB3" w:rsidRDefault="00E571A0" w:rsidP="00566187">
      <w:pPr>
        <w:spacing w:after="160" w:line="280" w:lineRule="exact"/>
        <w:rPr>
          <w:rFonts w:ascii="Franklin Gothic Book" w:eastAsia="Times New Roman" w:hAnsi="Franklin Gothic Book"/>
          <w:sz w:val="21"/>
          <w:lang w:eastAsia="zh-CN"/>
        </w:rPr>
      </w:pPr>
      <w:r>
        <w:rPr>
          <w:rFonts w:ascii="Franklin Gothic Book" w:eastAsia="Times New Roman" w:hAnsi="Franklin Gothic Book"/>
          <w:sz w:val="21"/>
          <w:lang w:eastAsia="zh-CN"/>
        </w:rPr>
        <w:t>Where possible, t</w:t>
      </w:r>
      <w:r w:rsidR="00477BB6">
        <w:rPr>
          <w:rFonts w:ascii="Franklin Gothic Book" w:eastAsia="Times New Roman" w:hAnsi="Franklin Gothic Book"/>
          <w:sz w:val="21"/>
          <w:lang w:eastAsia="zh-CN"/>
        </w:rPr>
        <w:t xml:space="preserve">he TVET </w:t>
      </w:r>
      <w:r w:rsidR="00B87DBC" w:rsidRPr="00B51B29">
        <w:rPr>
          <w:rFonts w:ascii="Franklin Gothic Book" w:eastAsia="Times New Roman" w:hAnsi="Franklin Gothic Book"/>
          <w:sz w:val="21"/>
          <w:lang w:eastAsia="zh-CN"/>
        </w:rPr>
        <w:t>program engage</w:t>
      </w:r>
      <w:r>
        <w:rPr>
          <w:rFonts w:ascii="Franklin Gothic Book" w:eastAsia="Times New Roman" w:hAnsi="Franklin Gothic Book"/>
          <w:sz w:val="21"/>
          <w:lang w:eastAsia="zh-CN"/>
        </w:rPr>
        <w:t>d</w:t>
      </w:r>
      <w:r w:rsidR="00B87DBC" w:rsidRPr="00B51B29">
        <w:rPr>
          <w:rFonts w:ascii="Franklin Gothic Book" w:eastAsia="Times New Roman" w:hAnsi="Franklin Gothic Book"/>
          <w:sz w:val="21"/>
          <w:lang w:eastAsia="zh-CN"/>
        </w:rPr>
        <w:t>, train</w:t>
      </w:r>
      <w:r>
        <w:rPr>
          <w:rFonts w:ascii="Franklin Gothic Book" w:eastAsia="Times New Roman" w:hAnsi="Franklin Gothic Book"/>
          <w:sz w:val="21"/>
          <w:lang w:eastAsia="zh-CN"/>
        </w:rPr>
        <w:t>ed</w:t>
      </w:r>
      <w:r w:rsidR="00B87DBC" w:rsidRPr="00B51B29">
        <w:rPr>
          <w:rFonts w:ascii="Franklin Gothic Book" w:eastAsia="Times New Roman" w:hAnsi="Franklin Gothic Book"/>
          <w:sz w:val="21"/>
          <w:lang w:eastAsia="zh-CN"/>
        </w:rPr>
        <w:t xml:space="preserve"> and promote</w:t>
      </w:r>
      <w:r>
        <w:rPr>
          <w:rFonts w:ascii="Franklin Gothic Book" w:eastAsia="Times New Roman" w:hAnsi="Franklin Gothic Book"/>
          <w:sz w:val="21"/>
          <w:lang w:eastAsia="zh-CN"/>
        </w:rPr>
        <w:t>d</w:t>
      </w:r>
      <w:r w:rsidR="00B87DBC" w:rsidRPr="00B51B29">
        <w:rPr>
          <w:rFonts w:ascii="Franklin Gothic Book" w:eastAsia="Times New Roman" w:hAnsi="Franklin Gothic Book"/>
          <w:sz w:val="21"/>
          <w:lang w:eastAsia="zh-CN"/>
        </w:rPr>
        <w:t xml:space="preserve"> local female experts</w:t>
      </w:r>
      <w:r w:rsidR="00173030">
        <w:rPr>
          <w:rFonts w:ascii="Franklin Gothic Book" w:eastAsia="Times New Roman" w:hAnsi="Franklin Gothic Book"/>
          <w:sz w:val="21"/>
          <w:lang w:eastAsia="zh-CN"/>
        </w:rPr>
        <w:t xml:space="preserve"> </w:t>
      </w:r>
      <w:r w:rsidR="00B87DBC" w:rsidRPr="00B51B29">
        <w:rPr>
          <w:rFonts w:ascii="Franklin Gothic Book" w:eastAsia="Times New Roman" w:hAnsi="Franklin Gothic Book"/>
          <w:sz w:val="21"/>
          <w:lang w:eastAsia="zh-CN"/>
        </w:rPr>
        <w:t>to deliver skill</w:t>
      </w:r>
      <w:r w:rsidR="00173030">
        <w:rPr>
          <w:rFonts w:ascii="Franklin Gothic Book" w:eastAsia="Times New Roman" w:hAnsi="Franklin Gothic Book"/>
          <w:sz w:val="21"/>
          <w:lang w:eastAsia="zh-CN"/>
        </w:rPr>
        <w:t>s</w:t>
      </w:r>
      <w:r w:rsidR="00B87DBC" w:rsidRPr="00B51B29">
        <w:rPr>
          <w:rFonts w:ascii="Franklin Gothic Book" w:eastAsia="Times New Roman" w:hAnsi="Franklin Gothic Book"/>
          <w:sz w:val="21"/>
          <w:lang w:eastAsia="zh-CN"/>
        </w:rPr>
        <w:t xml:space="preserve"> development services, including in traditionally male-domina</w:t>
      </w:r>
      <w:r w:rsidR="00173030">
        <w:rPr>
          <w:rFonts w:ascii="Franklin Gothic Book" w:eastAsia="Times New Roman" w:hAnsi="Franklin Gothic Book"/>
          <w:sz w:val="21"/>
          <w:lang w:eastAsia="zh-CN"/>
        </w:rPr>
        <w:t xml:space="preserve">ted industries.  In 2014, the proportion of women being trained rose to </w:t>
      </w:r>
      <w:r w:rsidR="00B87DBC">
        <w:rPr>
          <w:rFonts w:ascii="Franklin Gothic Book" w:eastAsia="Times New Roman" w:hAnsi="Franklin Gothic Book"/>
          <w:sz w:val="21"/>
          <w:lang w:eastAsia="zh-CN"/>
        </w:rPr>
        <w:t>4</w:t>
      </w:r>
      <w:r w:rsidR="00173030">
        <w:rPr>
          <w:rFonts w:ascii="Franklin Gothic Book" w:eastAsia="Times New Roman" w:hAnsi="Franklin Gothic Book"/>
          <w:sz w:val="21"/>
          <w:lang w:eastAsia="zh-CN"/>
        </w:rPr>
        <w:t xml:space="preserve">8 per cent </w:t>
      </w:r>
      <w:r w:rsidR="00B87DBC">
        <w:rPr>
          <w:rFonts w:ascii="Franklin Gothic Book" w:eastAsia="Times New Roman" w:hAnsi="Franklin Gothic Book"/>
          <w:sz w:val="21"/>
          <w:lang w:eastAsia="zh-CN"/>
        </w:rPr>
        <w:t>(up from 28 per cent</w:t>
      </w:r>
      <w:r w:rsidR="00B87DBC" w:rsidRPr="00B51B29">
        <w:rPr>
          <w:rFonts w:ascii="Franklin Gothic Book" w:eastAsia="Times New Roman" w:hAnsi="Franklin Gothic Book"/>
          <w:sz w:val="21"/>
          <w:lang w:eastAsia="zh-CN"/>
        </w:rPr>
        <w:t xml:space="preserve"> </w:t>
      </w:r>
      <w:r w:rsidR="00B87DBC">
        <w:rPr>
          <w:rFonts w:ascii="Franklin Gothic Book" w:eastAsia="Times New Roman" w:hAnsi="Franklin Gothic Book"/>
          <w:sz w:val="21"/>
          <w:lang w:eastAsia="zh-CN"/>
        </w:rPr>
        <w:t>in 2013)</w:t>
      </w:r>
      <w:r w:rsidR="00B87DBC" w:rsidRPr="00B51B29">
        <w:rPr>
          <w:rFonts w:ascii="Franklin Gothic Book" w:eastAsia="Times New Roman" w:hAnsi="Franklin Gothic Book"/>
          <w:sz w:val="21"/>
          <w:lang w:eastAsia="zh-CN"/>
        </w:rPr>
        <w:t xml:space="preserve">. </w:t>
      </w:r>
    </w:p>
    <w:p w:rsidR="00B87DBC" w:rsidRDefault="00F43BB3" w:rsidP="00566187">
      <w:pPr>
        <w:spacing w:after="160" w:line="280" w:lineRule="exact"/>
        <w:rPr>
          <w:rFonts w:ascii="Franklin Gothic Book" w:eastAsia="Times New Roman" w:hAnsi="Franklin Gothic Book"/>
          <w:sz w:val="21"/>
          <w:lang w:eastAsia="zh-CN"/>
        </w:rPr>
      </w:pPr>
      <w:r>
        <w:rPr>
          <w:rFonts w:ascii="Franklin Gothic Book" w:eastAsia="Times New Roman" w:hAnsi="Franklin Gothic Book"/>
          <w:sz w:val="21"/>
          <w:lang w:eastAsia="zh-CN"/>
        </w:rPr>
        <w:t>Scholarships c</w:t>
      </w:r>
      <w:r w:rsidR="00B87DBC" w:rsidRPr="00280C23">
        <w:rPr>
          <w:rFonts w:ascii="Franklin Gothic Book" w:eastAsia="Times New Roman" w:hAnsi="Franklin Gothic Book"/>
          <w:sz w:val="21"/>
          <w:lang w:eastAsia="zh-CN"/>
        </w:rPr>
        <w:t>ompletion rate</w:t>
      </w:r>
      <w:r w:rsidR="00B87DBC">
        <w:rPr>
          <w:rFonts w:ascii="Franklin Gothic Book" w:eastAsia="Times New Roman" w:hAnsi="Franklin Gothic Book"/>
          <w:sz w:val="21"/>
          <w:lang w:eastAsia="zh-CN"/>
        </w:rPr>
        <w:t>s</w:t>
      </w:r>
      <w:r w:rsidR="00B87DBC" w:rsidRPr="00280C23">
        <w:rPr>
          <w:rFonts w:ascii="Franklin Gothic Book" w:eastAsia="Times New Roman" w:hAnsi="Franklin Gothic Book"/>
          <w:sz w:val="21"/>
          <w:lang w:eastAsia="zh-CN"/>
        </w:rPr>
        <w:t xml:space="preserve"> </w:t>
      </w:r>
      <w:r>
        <w:rPr>
          <w:rFonts w:ascii="Franklin Gothic Book" w:eastAsia="Times New Roman" w:hAnsi="Franklin Gothic Book"/>
          <w:sz w:val="21"/>
          <w:lang w:eastAsia="zh-CN"/>
        </w:rPr>
        <w:t>were high</w:t>
      </w:r>
      <w:r w:rsidR="008A39BA">
        <w:rPr>
          <w:rFonts w:ascii="Franklin Gothic Book" w:eastAsia="Times New Roman" w:hAnsi="Franklin Gothic Book"/>
          <w:sz w:val="21"/>
          <w:lang w:eastAsia="zh-CN"/>
        </w:rPr>
        <w:t xml:space="preserve"> in 2014</w:t>
      </w:r>
      <w:r>
        <w:rPr>
          <w:rFonts w:ascii="Franklin Gothic Book" w:eastAsia="Times New Roman" w:hAnsi="Franklin Gothic Book"/>
          <w:sz w:val="21"/>
          <w:lang w:eastAsia="zh-CN"/>
        </w:rPr>
        <w:t xml:space="preserve">, with 15 of a possible 18 students </w:t>
      </w:r>
      <w:r w:rsidR="00B87DBC" w:rsidRPr="00280C23">
        <w:rPr>
          <w:rFonts w:ascii="Franklin Gothic Book" w:eastAsia="Times New Roman" w:hAnsi="Franklin Gothic Book"/>
          <w:sz w:val="21"/>
          <w:lang w:eastAsia="zh-CN"/>
        </w:rPr>
        <w:t>gr</w:t>
      </w:r>
      <w:r>
        <w:rPr>
          <w:rFonts w:ascii="Franklin Gothic Book" w:eastAsia="Times New Roman" w:hAnsi="Franklin Gothic Book"/>
          <w:sz w:val="21"/>
          <w:lang w:eastAsia="zh-CN"/>
        </w:rPr>
        <w:t>aduating and returning</w:t>
      </w:r>
      <w:r w:rsidR="00B87DBC">
        <w:rPr>
          <w:rFonts w:ascii="Franklin Gothic Book" w:eastAsia="Times New Roman" w:hAnsi="Franklin Gothic Book"/>
          <w:sz w:val="21"/>
          <w:lang w:eastAsia="zh-CN"/>
        </w:rPr>
        <w:t xml:space="preserve"> to Vanuatu</w:t>
      </w:r>
      <w:r w:rsidR="00B87DBC" w:rsidRPr="00280C23">
        <w:rPr>
          <w:rFonts w:ascii="Franklin Gothic Book" w:eastAsia="Times New Roman" w:hAnsi="Franklin Gothic Book"/>
          <w:sz w:val="21"/>
          <w:lang w:eastAsia="zh-CN"/>
        </w:rPr>
        <w:t xml:space="preserve">. </w:t>
      </w:r>
      <w:r w:rsidR="00061DC6">
        <w:rPr>
          <w:rFonts w:ascii="Franklin Gothic Book" w:eastAsia="Times New Roman" w:hAnsi="Franklin Gothic Book"/>
          <w:sz w:val="21"/>
          <w:lang w:eastAsia="zh-CN"/>
        </w:rPr>
        <w:t xml:space="preserve"> </w:t>
      </w:r>
      <w:r w:rsidR="005011E2">
        <w:rPr>
          <w:rFonts w:ascii="Franklin Gothic Book" w:eastAsia="Times New Roman" w:hAnsi="Franklin Gothic Book"/>
          <w:sz w:val="21"/>
          <w:lang w:eastAsia="zh-CN"/>
        </w:rPr>
        <w:t>M</w:t>
      </w:r>
      <w:r w:rsidR="005011E2" w:rsidRPr="00280C23">
        <w:rPr>
          <w:rFonts w:ascii="Franklin Gothic Book" w:eastAsia="Times New Roman" w:hAnsi="Franklin Gothic Book"/>
          <w:sz w:val="21"/>
          <w:lang w:eastAsia="zh-CN"/>
        </w:rPr>
        <w:t>ost of t</w:t>
      </w:r>
      <w:r w:rsidR="005011E2">
        <w:rPr>
          <w:rFonts w:ascii="Franklin Gothic Book" w:eastAsia="Times New Roman" w:hAnsi="Franklin Gothic Book"/>
          <w:sz w:val="21"/>
          <w:lang w:eastAsia="zh-CN"/>
        </w:rPr>
        <w:t xml:space="preserve">hese graduates returned to former jobs or </w:t>
      </w:r>
      <w:r w:rsidR="005011E2" w:rsidRPr="00280C23">
        <w:rPr>
          <w:rFonts w:ascii="Franklin Gothic Book" w:eastAsia="Times New Roman" w:hAnsi="Franklin Gothic Book"/>
          <w:sz w:val="21"/>
          <w:lang w:eastAsia="zh-CN"/>
        </w:rPr>
        <w:t>found jobs in their field of study with government, private sector and regional organisations</w:t>
      </w:r>
      <w:r w:rsidR="005011E2">
        <w:rPr>
          <w:rFonts w:ascii="Franklin Gothic Book" w:eastAsia="Times New Roman" w:hAnsi="Franklin Gothic Book"/>
          <w:sz w:val="21"/>
          <w:lang w:eastAsia="zh-CN"/>
        </w:rPr>
        <w:t xml:space="preserve">. </w:t>
      </w:r>
      <w:r w:rsidR="00E571A0">
        <w:rPr>
          <w:rFonts w:ascii="Franklin Gothic Book" w:eastAsia="Times New Roman" w:hAnsi="Franklin Gothic Book"/>
          <w:sz w:val="21"/>
          <w:lang w:eastAsia="zh-CN"/>
        </w:rPr>
        <w:t>Our</w:t>
      </w:r>
      <w:r w:rsidR="004260B5">
        <w:rPr>
          <w:rFonts w:ascii="Franklin Gothic Book" w:eastAsia="Times New Roman" w:hAnsi="Franklin Gothic Book"/>
          <w:sz w:val="21"/>
          <w:lang w:eastAsia="zh-CN"/>
        </w:rPr>
        <w:t xml:space="preserve"> focus on</w:t>
      </w:r>
      <w:r w:rsidR="00DD2C49">
        <w:rPr>
          <w:rFonts w:ascii="Franklin Gothic Book" w:eastAsia="Times New Roman" w:hAnsi="Franklin Gothic Book"/>
          <w:sz w:val="21"/>
          <w:lang w:eastAsia="zh-CN"/>
        </w:rPr>
        <w:t xml:space="preserve"> disability inclusiveness and gender</w:t>
      </w:r>
      <w:r w:rsidR="00E571A0">
        <w:rPr>
          <w:rFonts w:ascii="Franklin Gothic Book" w:eastAsia="Times New Roman" w:hAnsi="Franklin Gothic Book"/>
          <w:sz w:val="21"/>
          <w:lang w:eastAsia="zh-CN"/>
        </w:rPr>
        <w:t xml:space="preserve"> was continued</w:t>
      </w:r>
      <w:r w:rsidR="00DD2C49">
        <w:rPr>
          <w:rFonts w:ascii="Franklin Gothic Book" w:eastAsia="Times New Roman" w:hAnsi="Franklin Gothic Book"/>
          <w:sz w:val="21"/>
          <w:lang w:eastAsia="zh-CN"/>
        </w:rPr>
        <w:t xml:space="preserve"> (see </w:t>
      </w:r>
      <w:r w:rsidR="00DD2C49">
        <w:rPr>
          <w:rFonts w:ascii="Franklin Gothic Book" w:eastAsia="Times New Roman" w:hAnsi="Franklin Gothic Book"/>
          <w:b/>
          <w:sz w:val="21"/>
          <w:lang w:eastAsia="zh-CN"/>
        </w:rPr>
        <w:t>Box 1</w:t>
      </w:r>
      <w:r w:rsidR="00DD2C49">
        <w:rPr>
          <w:rFonts w:ascii="Franklin Gothic Book" w:eastAsia="Times New Roman" w:hAnsi="Franklin Gothic Book"/>
          <w:sz w:val="21"/>
          <w:lang w:eastAsia="zh-CN"/>
        </w:rPr>
        <w:t>).</w:t>
      </w:r>
      <w:r w:rsidR="00B87DBC" w:rsidRPr="00280C23">
        <w:rPr>
          <w:rFonts w:ascii="Franklin Gothic Book" w:eastAsia="Times New Roman" w:hAnsi="Franklin Gothic Book"/>
          <w:sz w:val="21"/>
          <w:lang w:eastAsia="zh-CN"/>
        </w:rPr>
        <w:t xml:space="preserve"> </w:t>
      </w:r>
    </w:p>
    <w:p w:rsidR="00EC14F2" w:rsidRDefault="00EC14F2" w:rsidP="00DD4FF6">
      <w:pPr>
        <w:pStyle w:val="Heading3"/>
        <w:rPr>
          <w:color w:val="FF0000"/>
        </w:rPr>
      </w:pPr>
      <w:r w:rsidRPr="00C57923">
        <w:t xml:space="preserve">Objective </w:t>
      </w:r>
      <w:r>
        <w:t>2: Strengthen health services and accelerate progress towards health MDGs</w:t>
      </w:r>
    </w:p>
    <w:p w:rsidR="002D4E2E" w:rsidRDefault="00A4383B" w:rsidP="002C0886">
      <w:pPr>
        <w:pStyle w:val="BodyText"/>
        <w:keepNext/>
        <w:spacing w:after="120"/>
        <w:rPr>
          <w:lang w:eastAsia="en-US"/>
        </w:rPr>
      </w:pPr>
      <w:r>
        <w:rPr>
          <w:lang w:eastAsia="en-US"/>
        </w:rPr>
        <w:t xml:space="preserve">Despite ongoing challenges, in particular </w:t>
      </w:r>
      <w:r w:rsidR="009B18A3">
        <w:rPr>
          <w:lang w:eastAsia="en-US"/>
        </w:rPr>
        <w:t xml:space="preserve">poor workforce management </w:t>
      </w:r>
      <w:r>
        <w:rPr>
          <w:lang w:eastAsia="en-US"/>
        </w:rPr>
        <w:t xml:space="preserve">in the Ministry of Health, progress across all initiatives improved on last year. </w:t>
      </w:r>
    </w:p>
    <w:tbl>
      <w:tblPr>
        <w:tblStyle w:val="TableGrid2"/>
        <w:tblW w:w="0" w:type="auto"/>
        <w:shd w:val="clear" w:color="auto" w:fill="C7D5E6"/>
        <w:tblLook w:val="04A0" w:firstRow="1" w:lastRow="0" w:firstColumn="1" w:lastColumn="0" w:noHBand="0" w:noVBand="1"/>
      </w:tblPr>
      <w:tblGrid>
        <w:gridCol w:w="2943"/>
        <w:gridCol w:w="5551"/>
      </w:tblGrid>
      <w:tr w:rsidR="002D4E2E" w:rsidRPr="00703696" w:rsidTr="00C22E16">
        <w:trPr>
          <w:trHeight w:val="922"/>
        </w:trPr>
        <w:tc>
          <w:tcPr>
            <w:tcW w:w="2943" w:type="dxa"/>
            <w:shd w:val="clear" w:color="auto" w:fill="C7D5E6"/>
          </w:tcPr>
          <w:p w:rsidR="002D4E2E" w:rsidRPr="00703696" w:rsidRDefault="002D4E2E" w:rsidP="00C22E16">
            <w:pPr>
              <w:spacing w:after="160" w:line="280" w:lineRule="exact"/>
              <w:rPr>
                <w:rFonts w:asciiTheme="minorHAnsi" w:eastAsia="Times New Roman" w:hAnsiTheme="minorHAnsi"/>
                <w:sz w:val="22"/>
                <w:szCs w:val="22"/>
              </w:rPr>
            </w:pPr>
            <w:r w:rsidRPr="00703696">
              <w:rPr>
                <w:rFonts w:asciiTheme="minorHAnsi" w:eastAsia="Times New Roman" w:hAnsiTheme="minorHAnsi"/>
                <w:sz w:val="22"/>
                <w:szCs w:val="22"/>
              </w:rPr>
              <w:t>Shared development outcome:</w:t>
            </w:r>
          </w:p>
        </w:tc>
        <w:tc>
          <w:tcPr>
            <w:tcW w:w="5551" w:type="dxa"/>
            <w:shd w:val="clear" w:color="auto" w:fill="C7D5E6"/>
          </w:tcPr>
          <w:p w:rsidR="002D4E2E" w:rsidRPr="00703696" w:rsidRDefault="002D4E2E" w:rsidP="00C22E16">
            <w:pPr>
              <w:spacing w:line="280" w:lineRule="exact"/>
              <w:rPr>
                <w:rFonts w:asciiTheme="minorHAnsi" w:eastAsia="Times New Roman" w:hAnsiTheme="minorHAnsi"/>
                <w:i/>
                <w:sz w:val="22"/>
                <w:szCs w:val="22"/>
              </w:rPr>
            </w:pPr>
            <w:r w:rsidRPr="00703696">
              <w:rPr>
                <w:rFonts w:asciiTheme="minorHAnsi" w:eastAsia="Times New Roman" w:hAnsiTheme="minorHAnsi"/>
                <w:i/>
                <w:sz w:val="22"/>
                <w:szCs w:val="22"/>
              </w:rPr>
              <w:t>Enhanced access to and quality of rural health care services</w:t>
            </w:r>
          </w:p>
          <w:p w:rsidR="002D4E2E" w:rsidRPr="00703696" w:rsidRDefault="002D4E2E" w:rsidP="00C22E16">
            <w:pPr>
              <w:spacing w:line="280" w:lineRule="exact"/>
              <w:rPr>
                <w:rFonts w:asciiTheme="minorHAnsi" w:eastAsia="Times New Roman" w:hAnsiTheme="minorHAnsi"/>
                <w:i/>
                <w:sz w:val="22"/>
                <w:szCs w:val="22"/>
              </w:rPr>
            </w:pPr>
            <w:r w:rsidRPr="00703696">
              <w:rPr>
                <w:rFonts w:asciiTheme="minorHAnsi" w:eastAsia="Times New Roman" w:hAnsiTheme="minorHAnsi"/>
                <w:i/>
                <w:sz w:val="22"/>
                <w:szCs w:val="22"/>
              </w:rPr>
              <w:t>Controlling and progressively eliminating malaria</w:t>
            </w:r>
          </w:p>
          <w:p w:rsidR="002D4E2E" w:rsidRPr="00703696" w:rsidRDefault="002D4E2E" w:rsidP="00C22E16">
            <w:pPr>
              <w:spacing w:line="280" w:lineRule="exact"/>
              <w:rPr>
                <w:rFonts w:asciiTheme="minorHAnsi" w:eastAsia="Times New Roman" w:hAnsiTheme="minorHAnsi"/>
                <w:i/>
                <w:sz w:val="22"/>
                <w:szCs w:val="22"/>
              </w:rPr>
            </w:pPr>
            <w:r w:rsidRPr="00703696">
              <w:rPr>
                <w:rFonts w:asciiTheme="minorHAnsi" w:eastAsia="Times New Roman" w:hAnsiTheme="minorHAnsi"/>
                <w:i/>
                <w:sz w:val="22"/>
                <w:szCs w:val="22"/>
              </w:rPr>
              <w:t>Improved budgeting, financial and expenditure management</w:t>
            </w:r>
          </w:p>
          <w:p w:rsidR="002D4E2E" w:rsidRPr="00703696" w:rsidRDefault="002D4E2E" w:rsidP="00C22E16">
            <w:pPr>
              <w:spacing w:line="280" w:lineRule="exact"/>
              <w:rPr>
                <w:rFonts w:asciiTheme="minorHAnsi" w:eastAsia="Times New Roman" w:hAnsiTheme="minorHAnsi"/>
                <w:i/>
                <w:sz w:val="22"/>
                <w:szCs w:val="22"/>
              </w:rPr>
            </w:pPr>
            <w:r w:rsidRPr="00703696">
              <w:rPr>
                <w:rFonts w:asciiTheme="minorHAnsi" w:eastAsia="Times New Roman" w:hAnsiTheme="minorHAnsi"/>
                <w:i/>
                <w:sz w:val="22"/>
                <w:szCs w:val="22"/>
              </w:rPr>
              <w:t>Strengthened health information systems</w:t>
            </w:r>
          </w:p>
          <w:p w:rsidR="002D4E2E" w:rsidRPr="00703696" w:rsidRDefault="002D4E2E" w:rsidP="00C22E16">
            <w:pPr>
              <w:spacing w:line="280" w:lineRule="exact"/>
              <w:rPr>
                <w:rFonts w:asciiTheme="minorHAnsi" w:eastAsia="Times New Roman" w:hAnsiTheme="minorHAnsi"/>
                <w:i/>
                <w:sz w:val="22"/>
                <w:szCs w:val="22"/>
              </w:rPr>
            </w:pPr>
            <w:r w:rsidRPr="00703696">
              <w:rPr>
                <w:rFonts w:asciiTheme="minorHAnsi" w:eastAsia="Times New Roman" w:hAnsiTheme="minorHAnsi"/>
                <w:i/>
                <w:sz w:val="22"/>
                <w:szCs w:val="22"/>
              </w:rPr>
              <w:t>Reduced child mortality</w:t>
            </w:r>
          </w:p>
          <w:p w:rsidR="002D4E2E" w:rsidRPr="00703696" w:rsidRDefault="002D4E2E" w:rsidP="00C22E16">
            <w:pPr>
              <w:spacing w:line="280" w:lineRule="exact"/>
              <w:rPr>
                <w:rFonts w:asciiTheme="minorHAnsi" w:eastAsia="Times New Roman" w:hAnsiTheme="minorHAnsi"/>
                <w:i/>
                <w:sz w:val="22"/>
                <w:szCs w:val="22"/>
              </w:rPr>
            </w:pPr>
            <w:r w:rsidRPr="00703696">
              <w:rPr>
                <w:rFonts w:asciiTheme="minorHAnsi" w:eastAsia="Times New Roman" w:hAnsiTheme="minorHAnsi"/>
                <w:i/>
                <w:sz w:val="22"/>
                <w:szCs w:val="22"/>
              </w:rPr>
              <w:t>Improved maternal health</w:t>
            </w:r>
          </w:p>
          <w:p w:rsidR="002D4E2E" w:rsidRDefault="002D4E2E" w:rsidP="00C22E16">
            <w:pPr>
              <w:spacing w:line="280" w:lineRule="exact"/>
              <w:rPr>
                <w:rFonts w:asciiTheme="minorHAnsi" w:eastAsia="Times New Roman" w:hAnsiTheme="minorHAnsi"/>
                <w:i/>
                <w:sz w:val="22"/>
                <w:szCs w:val="22"/>
              </w:rPr>
            </w:pPr>
            <w:r w:rsidRPr="00703696">
              <w:rPr>
                <w:rFonts w:asciiTheme="minorHAnsi" w:eastAsia="Times New Roman" w:hAnsiTheme="minorHAnsi"/>
                <w:i/>
                <w:sz w:val="22"/>
                <w:szCs w:val="22"/>
              </w:rPr>
              <w:t xml:space="preserve">Combat HIV/AIDs and other diseases  </w:t>
            </w:r>
          </w:p>
          <w:p w:rsidR="002D4E2E" w:rsidRPr="00703696" w:rsidRDefault="002D4E2E" w:rsidP="00C22E16">
            <w:pPr>
              <w:spacing w:line="280" w:lineRule="exact"/>
              <w:rPr>
                <w:rFonts w:asciiTheme="minorHAnsi" w:eastAsia="Times New Roman" w:hAnsiTheme="minorHAnsi"/>
                <w:i/>
                <w:sz w:val="22"/>
                <w:szCs w:val="22"/>
              </w:rPr>
            </w:pPr>
          </w:p>
        </w:tc>
      </w:tr>
      <w:tr w:rsidR="002D4E2E" w:rsidRPr="00703696" w:rsidTr="00C22E16">
        <w:tc>
          <w:tcPr>
            <w:tcW w:w="2943" w:type="dxa"/>
            <w:shd w:val="clear" w:color="auto" w:fill="C7D5E6"/>
          </w:tcPr>
          <w:p w:rsidR="002D4E2E" w:rsidRPr="00703696" w:rsidRDefault="002D4E2E" w:rsidP="00C22E16">
            <w:pPr>
              <w:spacing w:after="160" w:line="280" w:lineRule="exact"/>
              <w:rPr>
                <w:rFonts w:asciiTheme="minorHAnsi" w:eastAsia="Times New Roman" w:hAnsiTheme="minorHAnsi"/>
                <w:sz w:val="22"/>
                <w:szCs w:val="22"/>
              </w:rPr>
            </w:pPr>
            <w:r w:rsidRPr="00703696">
              <w:rPr>
                <w:rFonts w:asciiTheme="minorHAnsi" w:eastAsia="Times New Roman" w:hAnsiTheme="minorHAnsi"/>
                <w:sz w:val="22"/>
                <w:szCs w:val="22"/>
              </w:rPr>
              <w:t>Australia’s objective:</w:t>
            </w:r>
          </w:p>
        </w:tc>
        <w:tc>
          <w:tcPr>
            <w:tcW w:w="5551" w:type="dxa"/>
            <w:shd w:val="clear" w:color="auto" w:fill="C7D5E6"/>
          </w:tcPr>
          <w:p w:rsidR="002D4E2E" w:rsidRPr="00703696" w:rsidRDefault="002D4E2E" w:rsidP="00C22E16">
            <w:pPr>
              <w:spacing w:line="280" w:lineRule="exact"/>
              <w:rPr>
                <w:rFonts w:asciiTheme="minorHAnsi" w:eastAsia="Times New Roman" w:hAnsiTheme="minorHAnsi"/>
                <w:i/>
                <w:sz w:val="22"/>
                <w:szCs w:val="22"/>
              </w:rPr>
            </w:pPr>
            <w:r w:rsidRPr="00703696">
              <w:rPr>
                <w:rFonts w:asciiTheme="minorHAnsi" w:eastAsia="Times New Roman" w:hAnsiTheme="minorHAnsi"/>
                <w:i/>
                <w:sz w:val="22"/>
                <w:szCs w:val="22"/>
              </w:rPr>
              <w:t>Public financial management strengthening including procurement and assets management</w:t>
            </w:r>
          </w:p>
          <w:p w:rsidR="002D4E2E" w:rsidRPr="00703696" w:rsidRDefault="002D4E2E" w:rsidP="00C22E16">
            <w:pPr>
              <w:spacing w:line="280" w:lineRule="exact"/>
              <w:rPr>
                <w:rFonts w:asciiTheme="minorHAnsi" w:eastAsia="Times New Roman" w:hAnsiTheme="minorHAnsi"/>
                <w:i/>
                <w:sz w:val="22"/>
                <w:szCs w:val="22"/>
              </w:rPr>
            </w:pPr>
            <w:r w:rsidRPr="00703696">
              <w:rPr>
                <w:rFonts w:asciiTheme="minorHAnsi" w:eastAsia="Times New Roman" w:hAnsiTheme="minorHAnsi"/>
                <w:i/>
                <w:sz w:val="22"/>
                <w:szCs w:val="22"/>
              </w:rPr>
              <w:t xml:space="preserve">Support for costed, evidence-based workforce planning and </w:t>
            </w:r>
            <w:r w:rsidRPr="00703696">
              <w:rPr>
                <w:rFonts w:asciiTheme="minorHAnsi" w:eastAsia="Times New Roman" w:hAnsiTheme="minorHAnsi"/>
                <w:i/>
                <w:sz w:val="22"/>
                <w:szCs w:val="22"/>
              </w:rPr>
              <w:lastRenderedPageBreak/>
              <w:t>management</w:t>
            </w:r>
          </w:p>
          <w:p w:rsidR="002D4E2E" w:rsidRPr="00703696" w:rsidRDefault="002D4E2E" w:rsidP="00C22E16">
            <w:pPr>
              <w:spacing w:line="280" w:lineRule="exact"/>
              <w:rPr>
                <w:rFonts w:asciiTheme="minorHAnsi" w:eastAsia="Times New Roman" w:hAnsiTheme="minorHAnsi"/>
                <w:i/>
                <w:sz w:val="22"/>
                <w:szCs w:val="22"/>
              </w:rPr>
            </w:pPr>
            <w:r w:rsidRPr="00703696">
              <w:rPr>
                <w:rFonts w:asciiTheme="minorHAnsi" w:eastAsia="Times New Roman" w:hAnsiTheme="minorHAnsi"/>
                <w:i/>
                <w:sz w:val="22"/>
                <w:szCs w:val="22"/>
              </w:rPr>
              <w:t xml:space="preserve">Assistance to strengthen provincial service delivery, effectively bolstering primary care provision   </w:t>
            </w:r>
          </w:p>
        </w:tc>
      </w:tr>
    </w:tbl>
    <w:p w:rsidR="00386876" w:rsidRPr="00482F5B" w:rsidRDefault="00386876" w:rsidP="00386876">
      <w:pPr>
        <w:pStyle w:val="BodyText"/>
        <w:spacing w:after="120"/>
        <w:rPr>
          <w:szCs w:val="21"/>
          <w:lang w:eastAsia="en-US"/>
        </w:rPr>
      </w:pPr>
      <w:r w:rsidRPr="00482F5B">
        <w:rPr>
          <w:szCs w:val="21"/>
          <w:lang w:eastAsia="en-US"/>
        </w:rPr>
        <w:lastRenderedPageBreak/>
        <w:t>Vanuatu</w:t>
      </w:r>
      <w:r w:rsidR="0067448F">
        <w:rPr>
          <w:szCs w:val="21"/>
          <w:lang w:eastAsia="en-US"/>
        </w:rPr>
        <w:t>’s</w:t>
      </w:r>
      <w:r w:rsidRPr="00482F5B">
        <w:rPr>
          <w:szCs w:val="21"/>
          <w:lang w:eastAsia="en-US"/>
        </w:rPr>
        <w:t xml:space="preserve"> health sector has one of the lowest trained health </w:t>
      </w:r>
      <w:proofErr w:type="gramStart"/>
      <w:r w:rsidRPr="00482F5B">
        <w:rPr>
          <w:szCs w:val="21"/>
          <w:lang w:eastAsia="en-US"/>
        </w:rPr>
        <w:t>worker</w:t>
      </w:r>
      <w:proofErr w:type="gramEnd"/>
      <w:r w:rsidRPr="00482F5B">
        <w:rPr>
          <w:szCs w:val="21"/>
          <w:lang w:eastAsia="en-US"/>
        </w:rPr>
        <w:t xml:space="preserve"> to population densities in the Pacific (0.19 doctors and 1.58 nurses and </w:t>
      </w:r>
      <w:r w:rsidR="00302913">
        <w:rPr>
          <w:szCs w:val="21"/>
          <w:lang w:eastAsia="en-US"/>
        </w:rPr>
        <w:t>midwives per 1,000 population). U</w:t>
      </w:r>
      <w:r w:rsidRPr="00482F5B">
        <w:rPr>
          <w:szCs w:val="21"/>
          <w:lang w:eastAsia="en-US"/>
        </w:rPr>
        <w:t xml:space="preserve">nder-five mortality rate of 31/1,000 is </w:t>
      </w:r>
      <w:r w:rsidR="00302913">
        <w:rPr>
          <w:szCs w:val="21"/>
          <w:lang w:eastAsia="en-US"/>
        </w:rPr>
        <w:t xml:space="preserve">also very poor and </w:t>
      </w:r>
      <w:r w:rsidRPr="00482F5B">
        <w:rPr>
          <w:szCs w:val="21"/>
          <w:lang w:eastAsia="en-US"/>
        </w:rPr>
        <w:t>Vanuatu is unlikely to meet MDG 4</w:t>
      </w:r>
      <w:r w:rsidR="000074D8">
        <w:rPr>
          <w:szCs w:val="21"/>
          <w:lang w:eastAsia="en-US"/>
        </w:rPr>
        <w:t xml:space="preserve"> (reduce child mortality)</w:t>
      </w:r>
      <w:r w:rsidRPr="00482F5B">
        <w:rPr>
          <w:szCs w:val="21"/>
          <w:lang w:eastAsia="en-US"/>
        </w:rPr>
        <w:t xml:space="preserve">. </w:t>
      </w:r>
      <w:r w:rsidR="00302913">
        <w:rPr>
          <w:szCs w:val="21"/>
        </w:rPr>
        <w:t>Combined with s</w:t>
      </w:r>
      <w:r w:rsidRPr="00482F5B">
        <w:rPr>
          <w:szCs w:val="21"/>
        </w:rPr>
        <w:t xml:space="preserve">ystem inefficiencies and </w:t>
      </w:r>
      <w:r w:rsidR="00302913">
        <w:rPr>
          <w:szCs w:val="21"/>
        </w:rPr>
        <w:t xml:space="preserve">limited service delivery capacity, </w:t>
      </w:r>
      <w:r w:rsidRPr="00482F5B">
        <w:rPr>
          <w:szCs w:val="21"/>
        </w:rPr>
        <w:t>health clinics often lack basic resources.</w:t>
      </w:r>
      <w:r w:rsidR="000074D8">
        <w:rPr>
          <w:rStyle w:val="EndnoteReference"/>
          <w:szCs w:val="21"/>
        </w:rPr>
        <w:endnoteReference w:id="5"/>
      </w:r>
    </w:p>
    <w:p w:rsidR="007612D0" w:rsidRDefault="00934F7F" w:rsidP="00DC1FC2">
      <w:pPr>
        <w:pStyle w:val="BodyText"/>
        <w:spacing w:after="120"/>
        <w:rPr>
          <w:lang w:eastAsia="en-US"/>
        </w:rPr>
      </w:pPr>
      <w:r>
        <w:rPr>
          <w:lang w:eastAsia="en-US"/>
        </w:rPr>
        <w:t>Australia is the</w:t>
      </w:r>
      <w:r w:rsidR="007612D0" w:rsidRPr="00C057B2">
        <w:rPr>
          <w:lang w:eastAsia="en-US"/>
        </w:rPr>
        <w:t xml:space="preserve"> largest and lead donor in the health sector in</w:t>
      </w:r>
      <w:r w:rsidR="007612D0">
        <w:rPr>
          <w:lang w:eastAsia="en-US"/>
        </w:rPr>
        <w:t xml:space="preserve"> Vanuatu. </w:t>
      </w:r>
      <w:r>
        <w:rPr>
          <w:lang w:eastAsia="en-US"/>
        </w:rPr>
        <w:t xml:space="preserve">Our </w:t>
      </w:r>
      <w:r w:rsidR="008C1DC2">
        <w:rPr>
          <w:lang w:eastAsia="en-US"/>
        </w:rPr>
        <w:t>h</w:t>
      </w:r>
      <w:r w:rsidR="007612D0">
        <w:rPr>
          <w:lang w:eastAsia="en-US"/>
        </w:rPr>
        <w:t xml:space="preserve">ealth investments </w:t>
      </w:r>
      <w:r w:rsidR="00357BC5">
        <w:rPr>
          <w:lang w:eastAsia="en-US"/>
        </w:rPr>
        <w:t>are</w:t>
      </w:r>
      <w:r w:rsidR="007612D0">
        <w:rPr>
          <w:lang w:eastAsia="en-US"/>
        </w:rPr>
        <w:t xml:space="preserve"> guided by the Vanuatu Health Delivery Strategy of 2010</w:t>
      </w:r>
      <w:r w:rsidR="00357BC5">
        <w:rPr>
          <w:lang w:eastAsia="en-US"/>
        </w:rPr>
        <w:t xml:space="preserve">. </w:t>
      </w:r>
      <w:r w:rsidR="005E543D">
        <w:rPr>
          <w:lang w:eastAsia="en-US"/>
        </w:rPr>
        <w:t>DFAT provides support</w:t>
      </w:r>
      <w:r w:rsidR="007612D0">
        <w:rPr>
          <w:lang w:eastAsia="en-US"/>
        </w:rPr>
        <w:t xml:space="preserve"> to: hospitals and nursing, village health worker</w:t>
      </w:r>
      <w:r w:rsidR="00302913">
        <w:rPr>
          <w:lang w:eastAsia="en-US"/>
        </w:rPr>
        <w:t>s</w:t>
      </w:r>
      <w:r w:rsidR="007612D0">
        <w:rPr>
          <w:lang w:eastAsia="en-US"/>
        </w:rPr>
        <w:t>, malaria</w:t>
      </w:r>
      <w:r>
        <w:rPr>
          <w:lang w:eastAsia="en-US"/>
        </w:rPr>
        <w:t xml:space="preserve"> </w:t>
      </w:r>
      <w:r w:rsidR="00A4383B">
        <w:rPr>
          <w:lang w:eastAsia="en-US"/>
        </w:rPr>
        <w:t>elimination</w:t>
      </w:r>
      <w:r w:rsidR="007612D0">
        <w:rPr>
          <w:lang w:eastAsia="en-US"/>
        </w:rPr>
        <w:t>, immunisation and</w:t>
      </w:r>
      <w:r w:rsidR="00A4383B">
        <w:rPr>
          <w:lang w:eastAsia="en-US"/>
        </w:rPr>
        <w:t xml:space="preserve"> health</w:t>
      </w:r>
      <w:r w:rsidR="007612D0">
        <w:rPr>
          <w:lang w:eastAsia="en-US"/>
        </w:rPr>
        <w:t xml:space="preserve"> systems strengthening. </w:t>
      </w:r>
      <w:r w:rsidR="005E543D">
        <w:rPr>
          <w:lang w:eastAsia="en-US"/>
        </w:rPr>
        <w:t xml:space="preserve">Assistance </w:t>
      </w:r>
      <w:r w:rsidR="007612D0">
        <w:rPr>
          <w:lang w:eastAsia="en-US"/>
        </w:rPr>
        <w:t xml:space="preserve">is provided through government systems, </w:t>
      </w:r>
      <w:r w:rsidR="008B71B0">
        <w:rPr>
          <w:lang w:eastAsia="en-US"/>
        </w:rPr>
        <w:t xml:space="preserve">third-party </w:t>
      </w:r>
      <w:r w:rsidR="007612D0">
        <w:rPr>
          <w:lang w:eastAsia="en-US"/>
        </w:rPr>
        <w:t>contracts</w:t>
      </w:r>
      <w:r w:rsidR="008B71B0">
        <w:rPr>
          <w:lang w:eastAsia="en-US"/>
        </w:rPr>
        <w:t>, technical assistance</w:t>
      </w:r>
      <w:r w:rsidR="007612D0">
        <w:rPr>
          <w:lang w:eastAsia="en-US"/>
        </w:rPr>
        <w:t xml:space="preserve"> and projects directly managed by contractors. </w:t>
      </w:r>
    </w:p>
    <w:p w:rsidR="00281982" w:rsidRDefault="005E543D" w:rsidP="00DC1FC2">
      <w:pPr>
        <w:pStyle w:val="BodyText"/>
        <w:spacing w:after="120"/>
        <w:rPr>
          <w:lang w:eastAsia="en-US"/>
        </w:rPr>
      </w:pPr>
      <w:r>
        <w:rPr>
          <w:lang w:eastAsia="en-US"/>
        </w:rPr>
        <w:t>I</w:t>
      </w:r>
      <w:r w:rsidR="00281982">
        <w:rPr>
          <w:lang w:eastAsia="en-US"/>
        </w:rPr>
        <w:t xml:space="preserve">n 2014-15 </w:t>
      </w:r>
      <w:r>
        <w:rPr>
          <w:lang w:eastAsia="en-US"/>
        </w:rPr>
        <w:t xml:space="preserve">DFAT </w:t>
      </w:r>
      <w:r w:rsidR="00F426BE">
        <w:rPr>
          <w:lang w:eastAsia="en-US"/>
        </w:rPr>
        <w:t>wor</w:t>
      </w:r>
      <w:r w:rsidR="00281982">
        <w:rPr>
          <w:lang w:eastAsia="en-US"/>
        </w:rPr>
        <w:t>k</w:t>
      </w:r>
      <w:r w:rsidR="008C1A98">
        <w:rPr>
          <w:lang w:eastAsia="en-US"/>
        </w:rPr>
        <w:t>ed</w:t>
      </w:r>
      <w:r w:rsidR="005376B8">
        <w:rPr>
          <w:lang w:eastAsia="en-US"/>
        </w:rPr>
        <w:t xml:space="preserve"> with the Ministry of Health, </w:t>
      </w:r>
      <w:r w:rsidR="007612D0">
        <w:rPr>
          <w:lang w:eastAsia="en-US"/>
        </w:rPr>
        <w:t>the</w:t>
      </w:r>
      <w:r w:rsidR="00F426BE">
        <w:rPr>
          <w:lang w:eastAsia="en-US"/>
        </w:rPr>
        <w:t xml:space="preserve"> World Health Organisation</w:t>
      </w:r>
      <w:r w:rsidR="007612D0">
        <w:rPr>
          <w:lang w:eastAsia="en-US"/>
        </w:rPr>
        <w:t xml:space="preserve"> </w:t>
      </w:r>
      <w:r w:rsidR="005376B8">
        <w:rPr>
          <w:lang w:eastAsia="en-US"/>
        </w:rPr>
        <w:t>and</w:t>
      </w:r>
      <w:r w:rsidR="00F426BE">
        <w:rPr>
          <w:lang w:eastAsia="en-US"/>
        </w:rPr>
        <w:t xml:space="preserve"> UNICEF </w:t>
      </w:r>
      <w:r w:rsidR="005376B8">
        <w:rPr>
          <w:lang w:eastAsia="en-US"/>
        </w:rPr>
        <w:t xml:space="preserve">to </w:t>
      </w:r>
      <w:r w:rsidR="007612D0">
        <w:rPr>
          <w:lang w:eastAsia="en-US"/>
        </w:rPr>
        <w:t>stre</w:t>
      </w:r>
      <w:r w:rsidR="00F426BE">
        <w:rPr>
          <w:lang w:eastAsia="en-US"/>
        </w:rPr>
        <w:t>ngthen</w:t>
      </w:r>
      <w:r w:rsidR="008B71B0">
        <w:rPr>
          <w:lang w:eastAsia="en-US"/>
        </w:rPr>
        <w:t xml:space="preserve"> measles immunisation for children, delivering</w:t>
      </w:r>
      <w:r w:rsidR="00F426BE">
        <w:rPr>
          <w:lang w:eastAsia="en-US"/>
        </w:rPr>
        <w:t xml:space="preserve"> an increase in </w:t>
      </w:r>
      <w:r w:rsidR="007612D0">
        <w:rPr>
          <w:lang w:eastAsia="en-US"/>
        </w:rPr>
        <w:t>vaccination cov</w:t>
      </w:r>
      <w:r w:rsidR="00F426BE">
        <w:rPr>
          <w:lang w:eastAsia="en-US"/>
        </w:rPr>
        <w:t xml:space="preserve">erage from 53 per cent to 91 per cent. </w:t>
      </w:r>
      <w:r w:rsidR="00281982">
        <w:rPr>
          <w:lang w:eastAsia="en-US"/>
        </w:rPr>
        <w:t xml:space="preserve">In </w:t>
      </w:r>
      <w:proofErr w:type="spellStart"/>
      <w:r w:rsidR="00281982">
        <w:rPr>
          <w:lang w:eastAsia="en-US"/>
        </w:rPr>
        <w:t>Tafea</w:t>
      </w:r>
      <w:proofErr w:type="spellEnd"/>
      <w:r w:rsidR="00281982">
        <w:rPr>
          <w:lang w:eastAsia="en-US"/>
        </w:rPr>
        <w:t xml:space="preserve"> and </w:t>
      </w:r>
      <w:proofErr w:type="spellStart"/>
      <w:r w:rsidR="00281982">
        <w:rPr>
          <w:lang w:eastAsia="en-US"/>
        </w:rPr>
        <w:t>Torba</w:t>
      </w:r>
      <w:proofErr w:type="spellEnd"/>
      <w:r w:rsidR="00281982">
        <w:rPr>
          <w:lang w:eastAsia="en-US"/>
        </w:rPr>
        <w:t xml:space="preserve"> provinces, malaria </w:t>
      </w:r>
      <w:r w:rsidR="008C1A98">
        <w:rPr>
          <w:lang w:eastAsia="en-US"/>
        </w:rPr>
        <w:t xml:space="preserve">is </w:t>
      </w:r>
      <w:r w:rsidR="00281982">
        <w:rPr>
          <w:lang w:eastAsia="en-US"/>
        </w:rPr>
        <w:t>almost eliminated and there have been no deaths from malaria since 201</w:t>
      </w:r>
      <w:r w:rsidR="009B18A3">
        <w:rPr>
          <w:lang w:eastAsia="en-US"/>
        </w:rPr>
        <w:t>2</w:t>
      </w:r>
      <w:r w:rsidR="00281982">
        <w:rPr>
          <w:lang w:eastAsia="en-US"/>
        </w:rPr>
        <w:t>. The 2014 Annual Parasite Incidence (API) rate for malaria was 4/1,000 - below the target of 7/1,000</w:t>
      </w:r>
      <w:r w:rsidR="00A4383B">
        <w:rPr>
          <w:lang w:eastAsia="en-US"/>
        </w:rPr>
        <w:t xml:space="preserve"> and down from 74/1,000 in 2003</w:t>
      </w:r>
      <w:r w:rsidR="00281982">
        <w:rPr>
          <w:lang w:eastAsia="en-US"/>
        </w:rPr>
        <w:t xml:space="preserve">. </w:t>
      </w:r>
      <w:r w:rsidR="00302913">
        <w:rPr>
          <w:lang w:eastAsia="en-US"/>
        </w:rPr>
        <w:t xml:space="preserve">We will continue to monitor impacts of reduced </w:t>
      </w:r>
      <w:r w:rsidR="00281982">
        <w:rPr>
          <w:lang w:eastAsia="en-US"/>
        </w:rPr>
        <w:t>Global Fund allocations to Vanuatu for malaria control, announced in March 2014</w:t>
      </w:r>
      <w:r w:rsidR="00302913">
        <w:rPr>
          <w:lang w:eastAsia="en-US"/>
        </w:rPr>
        <w:t>.</w:t>
      </w:r>
      <w:r w:rsidR="00281982">
        <w:rPr>
          <w:lang w:eastAsia="en-US"/>
        </w:rPr>
        <w:t xml:space="preserve">  </w:t>
      </w:r>
      <w:r w:rsidR="00833BA6">
        <w:rPr>
          <w:lang w:eastAsia="en-US"/>
        </w:rPr>
        <w:t>Twenty-five</w:t>
      </w:r>
      <w:r w:rsidR="00833BA6" w:rsidRPr="00833BA6">
        <w:rPr>
          <w:lang w:eastAsia="en-US"/>
        </w:rPr>
        <w:t xml:space="preserve"> nurses were trained in 2014. </w:t>
      </w:r>
      <w:r w:rsidR="005011E2" w:rsidRPr="00833BA6">
        <w:rPr>
          <w:lang w:eastAsia="en-US"/>
        </w:rPr>
        <w:t xml:space="preserve">No midwives were trained </w:t>
      </w:r>
      <w:r w:rsidR="005011E2">
        <w:rPr>
          <w:lang w:eastAsia="en-US"/>
        </w:rPr>
        <w:t xml:space="preserve">in 2015 </w:t>
      </w:r>
      <w:r w:rsidR="005011E2" w:rsidRPr="00833BA6">
        <w:rPr>
          <w:lang w:eastAsia="en-US"/>
        </w:rPr>
        <w:t xml:space="preserve">due to challenges </w:t>
      </w:r>
      <w:r w:rsidR="005011E2">
        <w:rPr>
          <w:lang w:eastAsia="en-US"/>
        </w:rPr>
        <w:t>finalising</w:t>
      </w:r>
      <w:r w:rsidR="005011E2" w:rsidRPr="00833BA6">
        <w:rPr>
          <w:lang w:eastAsia="en-US"/>
        </w:rPr>
        <w:t xml:space="preserve"> the</w:t>
      </w:r>
      <w:r w:rsidR="005011E2">
        <w:rPr>
          <w:lang w:eastAsia="en-US"/>
        </w:rPr>
        <w:t xml:space="preserve"> Midwifery Training curriculum.</w:t>
      </w:r>
    </w:p>
    <w:p w:rsidR="00281982" w:rsidRDefault="008C1A98" w:rsidP="00DC1FC2">
      <w:pPr>
        <w:pStyle w:val="BodyText"/>
        <w:spacing w:after="120"/>
        <w:rPr>
          <w:lang w:eastAsia="en-US"/>
        </w:rPr>
      </w:pPr>
      <w:r>
        <w:rPr>
          <w:lang w:eastAsia="en-US"/>
        </w:rPr>
        <w:t>O</w:t>
      </w:r>
      <w:r w:rsidR="0014661C">
        <w:rPr>
          <w:lang w:eastAsia="en-US"/>
        </w:rPr>
        <w:t>ngoing support to improve</w:t>
      </w:r>
      <w:r w:rsidR="006C567C">
        <w:rPr>
          <w:lang w:eastAsia="en-US"/>
        </w:rPr>
        <w:t xml:space="preserve"> </w:t>
      </w:r>
      <w:r w:rsidR="0075547E">
        <w:rPr>
          <w:lang w:eastAsia="en-US"/>
        </w:rPr>
        <w:t xml:space="preserve">health </w:t>
      </w:r>
      <w:r w:rsidR="0014661C">
        <w:rPr>
          <w:lang w:eastAsia="en-US"/>
        </w:rPr>
        <w:t xml:space="preserve">sector </w:t>
      </w:r>
      <w:r w:rsidR="0075547E">
        <w:rPr>
          <w:lang w:eastAsia="en-US"/>
        </w:rPr>
        <w:t xml:space="preserve">administration </w:t>
      </w:r>
      <w:r>
        <w:rPr>
          <w:lang w:eastAsia="en-US"/>
        </w:rPr>
        <w:t>helped</w:t>
      </w:r>
      <w:r w:rsidR="006C567C">
        <w:rPr>
          <w:lang w:eastAsia="en-US"/>
        </w:rPr>
        <w:t xml:space="preserve"> to leverage efficiencies and achieve results.  By the end of 2014, </w:t>
      </w:r>
      <w:r>
        <w:rPr>
          <w:lang w:eastAsia="en-US"/>
        </w:rPr>
        <w:t>assistance to</w:t>
      </w:r>
      <w:r w:rsidR="006C567C">
        <w:rPr>
          <w:lang w:eastAsia="en-US"/>
        </w:rPr>
        <w:t xml:space="preserve"> </w:t>
      </w:r>
      <w:r w:rsidR="00281982">
        <w:rPr>
          <w:lang w:eastAsia="en-US"/>
        </w:rPr>
        <w:t xml:space="preserve">Vanuatu’s Health Information Systems Unit </w:t>
      </w:r>
      <w:r>
        <w:rPr>
          <w:lang w:eastAsia="en-US"/>
        </w:rPr>
        <w:t xml:space="preserve">had </w:t>
      </w:r>
      <w:r w:rsidR="0075547E">
        <w:rPr>
          <w:lang w:eastAsia="en-US"/>
        </w:rPr>
        <w:t>helped increase</w:t>
      </w:r>
      <w:r w:rsidR="00281982">
        <w:rPr>
          <w:lang w:eastAsia="en-US"/>
        </w:rPr>
        <w:t xml:space="preserve"> provinces</w:t>
      </w:r>
      <w:r w:rsidR="0075547E">
        <w:rPr>
          <w:lang w:eastAsia="en-US"/>
        </w:rPr>
        <w:t xml:space="preserve">’ reporting rates </w:t>
      </w:r>
      <w:r w:rsidR="00281982">
        <w:rPr>
          <w:lang w:eastAsia="en-US"/>
        </w:rPr>
        <w:t xml:space="preserve">from 30 to 80 per cent.  We also provided funding for national office administration, provincial officer support, supervisory visits, training, and maintenance of new </w:t>
      </w:r>
      <w:r w:rsidR="009B18A3">
        <w:rPr>
          <w:lang w:eastAsia="en-US"/>
        </w:rPr>
        <w:t xml:space="preserve">digital </w:t>
      </w:r>
      <w:r w:rsidR="00281982">
        <w:rPr>
          <w:lang w:eastAsia="en-US"/>
        </w:rPr>
        <w:t xml:space="preserve">health information systems. </w:t>
      </w:r>
      <w:r w:rsidR="0075547E">
        <w:rPr>
          <w:lang w:eastAsia="en-US"/>
        </w:rPr>
        <w:t xml:space="preserve"> </w:t>
      </w:r>
      <w:r w:rsidR="009B18A3">
        <w:rPr>
          <w:lang w:eastAsia="en-US"/>
        </w:rPr>
        <w:t>A</w:t>
      </w:r>
      <w:r w:rsidR="0075547E">
        <w:rPr>
          <w:lang w:eastAsia="en-US"/>
        </w:rPr>
        <w:t xml:space="preserve"> </w:t>
      </w:r>
      <w:r w:rsidR="009B18A3">
        <w:rPr>
          <w:lang w:eastAsia="en-US"/>
        </w:rPr>
        <w:t>DFAT-funded</w:t>
      </w:r>
      <w:r w:rsidR="0075547E">
        <w:rPr>
          <w:lang w:eastAsia="en-US"/>
        </w:rPr>
        <w:t xml:space="preserve"> review </w:t>
      </w:r>
      <w:r w:rsidR="009B18A3">
        <w:rPr>
          <w:lang w:eastAsia="en-US"/>
        </w:rPr>
        <w:t>will also support</w:t>
      </w:r>
      <w:r w:rsidR="0075547E">
        <w:rPr>
          <w:lang w:eastAsia="en-US"/>
        </w:rPr>
        <w:t xml:space="preserve"> </w:t>
      </w:r>
      <w:r w:rsidR="00281982">
        <w:rPr>
          <w:lang w:eastAsia="en-US"/>
        </w:rPr>
        <w:t xml:space="preserve">improved asset management by </w:t>
      </w:r>
      <w:r w:rsidR="0075547E">
        <w:rPr>
          <w:lang w:eastAsia="en-US"/>
        </w:rPr>
        <w:t xml:space="preserve">provincial health facilities. The </w:t>
      </w:r>
      <w:r w:rsidR="00281982">
        <w:rPr>
          <w:lang w:eastAsia="en-US"/>
        </w:rPr>
        <w:t xml:space="preserve">Village Health Worker program </w:t>
      </w:r>
      <w:r w:rsidR="0075547E">
        <w:rPr>
          <w:lang w:eastAsia="en-US"/>
        </w:rPr>
        <w:t xml:space="preserve">completed </w:t>
      </w:r>
      <w:r w:rsidR="00281982">
        <w:rPr>
          <w:lang w:eastAsia="en-US"/>
        </w:rPr>
        <w:t>a nationwide baseline mapping assessment of community aid posts and village health workers.</w:t>
      </w:r>
    </w:p>
    <w:p w:rsidR="006C567C" w:rsidRDefault="00B37251" w:rsidP="00DC1FC2">
      <w:pPr>
        <w:pStyle w:val="BodyText"/>
        <w:spacing w:after="120"/>
        <w:rPr>
          <w:lang w:eastAsia="en-US"/>
        </w:rPr>
      </w:pPr>
      <w:r w:rsidRPr="00B37251">
        <w:rPr>
          <w:lang w:eastAsia="en-US"/>
        </w:rPr>
        <w:t>There is growing evidence of the sustainabil</w:t>
      </w:r>
      <w:r>
        <w:rPr>
          <w:lang w:eastAsia="en-US"/>
        </w:rPr>
        <w:t>ity of our medical capacity-building. In 201</w:t>
      </w:r>
      <w:r w:rsidR="00A4383B">
        <w:rPr>
          <w:lang w:eastAsia="en-US"/>
        </w:rPr>
        <w:t>5</w:t>
      </w:r>
      <w:r>
        <w:rPr>
          <w:lang w:eastAsia="en-US"/>
        </w:rPr>
        <w:t xml:space="preserve">, </w:t>
      </w:r>
      <w:r w:rsidR="006C567C" w:rsidRPr="00B37251">
        <w:rPr>
          <w:lang w:eastAsia="en-US"/>
        </w:rPr>
        <w:t xml:space="preserve">there </w:t>
      </w:r>
      <w:r w:rsidR="00A4383B">
        <w:rPr>
          <w:lang w:eastAsia="en-US"/>
        </w:rPr>
        <w:t>are now</w:t>
      </w:r>
      <w:r w:rsidR="006C567C" w:rsidRPr="00B37251">
        <w:rPr>
          <w:lang w:eastAsia="en-US"/>
        </w:rPr>
        <w:t xml:space="preserve"> </w:t>
      </w:r>
      <w:r w:rsidR="00A4383B">
        <w:rPr>
          <w:lang w:eastAsia="en-US"/>
        </w:rPr>
        <w:t>seven</w:t>
      </w:r>
      <w:r w:rsidR="006C567C" w:rsidRPr="00B37251">
        <w:rPr>
          <w:lang w:eastAsia="en-US"/>
        </w:rPr>
        <w:t xml:space="preserve"> consultant or Masters-level </w:t>
      </w:r>
      <w:proofErr w:type="spellStart"/>
      <w:r w:rsidR="006C567C" w:rsidRPr="00B37251">
        <w:rPr>
          <w:lang w:eastAsia="en-US"/>
        </w:rPr>
        <w:t>ni</w:t>
      </w:r>
      <w:proofErr w:type="spellEnd"/>
      <w:r w:rsidR="006C567C" w:rsidRPr="00B37251">
        <w:rPr>
          <w:lang w:eastAsia="en-US"/>
        </w:rPr>
        <w:t xml:space="preserve">-Vanuatu doctors, plus </w:t>
      </w:r>
      <w:r w:rsidR="00A4383B">
        <w:rPr>
          <w:lang w:eastAsia="en-US"/>
        </w:rPr>
        <w:t>eleven</w:t>
      </w:r>
      <w:r w:rsidR="006C567C" w:rsidRPr="00B37251">
        <w:rPr>
          <w:lang w:eastAsia="en-US"/>
        </w:rPr>
        <w:t xml:space="preserve"> Diploma-level doctors, up from none in 2002. By 202</w:t>
      </w:r>
      <w:r w:rsidR="00A4383B">
        <w:rPr>
          <w:lang w:eastAsia="en-US"/>
        </w:rPr>
        <w:t>6</w:t>
      </w:r>
      <w:r w:rsidR="006C567C" w:rsidRPr="00B37251">
        <w:rPr>
          <w:lang w:eastAsia="en-US"/>
        </w:rPr>
        <w:t xml:space="preserve"> there </w:t>
      </w:r>
      <w:r w:rsidR="00A4383B">
        <w:rPr>
          <w:lang w:eastAsia="en-US"/>
        </w:rPr>
        <w:t>are projected to be</w:t>
      </w:r>
      <w:r w:rsidR="006C567C" w:rsidRPr="00B37251">
        <w:rPr>
          <w:lang w:eastAsia="en-US"/>
        </w:rPr>
        <w:t xml:space="preserve"> </w:t>
      </w:r>
      <w:r w:rsidR="00A4383B">
        <w:rPr>
          <w:lang w:eastAsia="en-US"/>
        </w:rPr>
        <w:t>49</w:t>
      </w:r>
      <w:r w:rsidR="006C567C" w:rsidRPr="00B37251">
        <w:rPr>
          <w:lang w:eastAsia="en-US"/>
        </w:rPr>
        <w:t xml:space="preserve"> Masters level </w:t>
      </w:r>
      <w:proofErr w:type="spellStart"/>
      <w:r w:rsidR="006C567C" w:rsidRPr="00B37251">
        <w:rPr>
          <w:lang w:eastAsia="en-US"/>
        </w:rPr>
        <w:t>ni</w:t>
      </w:r>
      <w:proofErr w:type="spellEnd"/>
      <w:r w:rsidR="006C567C" w:rsidRPr="00B37251">
        <w:rPr>
          <w:lang w:eastAsia="en-US"/>
        </w:rPr>
        <w:t xml:space="preserve">-Vanuatu specialists. This </w:t>
      </w:r>
      <w:r w:rsidR="00A4383B">
        <w:rPr>
          <w:lang w:eastAsia="en-US"/>
        </w:rPr>
        <w:t xml:space="preserve">transition </w:t>
      </w:r>
      <w:r w:rsidR="006C567C" w:rsidRPr="00B37251">
        <w:rPr>
          <w:lang w:eastAsia="en-US"/>
        </w:rPr>
        <w:t>will decrease the need for capacity supplementation over time.</w:t>
      </w:r>
    </w:p>
    <w:p w:rsidR="005376B8" w:rsidRDefault="0084596D" w:rsidP="00DC1FC2">
      <w:pPr>
        <w:pStyle w:val="BodyText"/>
        <w:spacing w:after="120"/>
        <w:rPr>
          <w:lang w:eastAsia="en-US"/>
        </w:rPr>
      </w:pPr>
      <w:r>
        <w:rPr>
          <w:lang w:eastAsia="en-US"/>
        </w:rPr>
        <w:t>S</w:t>
      </w:r>
      <w:r w:rsidR="00E974B4">
        <w:rPr>
          <w:lang w:eastAsia="en-US"/>
        </w:rPr>
        <w:t xml:space="preserve">taff </w:t>
      </w:r>
      <w:r w:rsidR="009B18A3">
        <w:rPr>
          <w:lang w:eastAsia="en-US"/>
        </w:rPr>
        <w:t>vacancies</w:t>
      </w:r>
      <w:r w:rsidR="00E974B4">
        <w:rPr>
          <w:lang w:eastAsia="en-US"/>
        </w:rPr>
        <w:t xml:space="preserve">, high leadership turnover and policy and management uncertainty in </w:t>
      </w:r>
      <w:proofErr w:type="spellStart"/>
      <w:r w:rsidR="00E974B4">
        <w:rPr>
          <w:lang w:eastAsia="en-US"/>
        </w:rPr>
        <w:t>Mo</w:t>
      </w:r>
      <w:r w:rsidR="005376B8">
        <w:rPr>
          <w:lang w:eastAsia="en-US"/>
        </w:rPr>
        <w:t>H</w:t>
      </w:r>
      <w:proofErr w:type="spellEnd"/>
      <w:r w:rsidR="005376B8">
        <w:rPr>
          <w:lang w:eastAsia="en-US"/>
        </w:rPr>
        <w:t xml:space="preserve"> limited the impact of our </w:t>
      </w:r>
      <w:r w:rsidR="00E974B4">
        <w:rPr>
          <w:lang w:eastAsia="en-US"/>
        </w:rPr>
        <w:t xml:space="preserve">support to workforce planning </w:t>
      </w:r>
      <w:r w:rsidR="005376B8">
        <w:rPr>
          <w:lang w:eastAsia="en-US"/>
        </w:rPr>
        <w:t>and management and constrain</w:t>
      </w:r>
      <w:r w:rsidR="00167184">
        <w:rPr>
          <w:lang w:eastAsia="en-US"/>
        </w:rPr>
        <w:t>ed</w:t>
      </w:r>
      <w:r w:rsidR="005376B8">
        <w:rPr>
          <w:lang w:eastAsia="en-US"/>
        </w:rPr>
        <w:t xml:space="preserve"> </w:t>
      </w:r>
      <w:r w:rsidR="00E974B4">
        <w:rPr>
          <w:lang w:eastAsia="en-US"/>
        </w:rPr>
        <w:t xml:space="preserve">health service delivery. </w:t>
      </w:r>
      <w:r w:rsidR="005376B8">
        <w:rPr>
          <w:lang w:eastAsia="en-US"/>
        </w:rPr>
        <w:t xml:space="preserve"> DFAT nevertheless maintained regular policy dialogue with the </w:t>
      </w:r>
      <w:proofErr w:type="spellStart"/>
      <w:r w:rsidR="005376B8">
        <w:rPr>
          <w:lang w:eastAsia="en-US"/>
        </w:rPr>
        <w:t>MoH</w:t>
      </w:r>
      <w:proofErr w:type="spellEnd"/>
      <w:r w:rsidR="005376B8">
        <w:rPr>
          <w:lang w:eastAsia="en-US"/>
        </w:rPr>
        <w:t xml:space="preserve"> and other health development partners throughout the year, and helped the </w:t>
      </w:r>
      <w:proofErr w:type="spellStart"/>
      <w:r w:rsidR="005376B8">
        <w:rPr>
          <w:lang w:eastAsia="en-US"/>
        </w:rPr>
        <w:t>MoH</w:t>
      </w:r>
      <w:proofErr w:type="spellEnd"/>
      <w:r w:rsidR="005376B8">
        <w:rPr>
          <w:lang w:eastAsia="en-US"/>
        </w:rPr>
        <w:t xml:space="preserve"> to produce</w:t>
      </w:r>
      <w:r w:rsidR="00866F52">
        <w:rPr>
          <w:lang w:eastAsia="en-US"/>
        </w:rPr>
        <w:t xml:space="preserve"> a credible</w:t>
      </w:r>
      <w:r w:rsidR="005376B8">
        <w:rPr>
          <w:lang w:eastAsia="en-US"/>
        </w:rPr>
        <w:t xml:space="preserve"> 2015 budget submission. </w:t>
      </w:r>
    </w:p>
    <w:p w:rsidR="000E331F" w:rsidRPr="000E331F" w:rsidRDefault="000E331F" w:rsidP="00DC1FC2">
      <w:pPr>
        <w:pStyle w:val="BodyText"/>
        <w:spacing w:after="120"/>
        <w:rPr>
          <w:lang w:eastAsia="en-US"/>
        </w:rPr>
      </w:pPr>
      <w:r>
        <w:rPr>
          <w:lang w:eastAsia="en-US"/>
        </w:rPr>
        <w:t xml:space="preserve">DFAT </w:t>
      </w:r>
      <w:r w:rsidR="00193C1E">
        <w:rPr>
          <w:lang w:eastAsia="en-US"/>
        </w:rPr>
        <w:t xml:space="preserve">continued its </w:t>
      </w:r>
      <w:r>
        <w:rPr>
          <w:lang w:eastAsia="en-US"/>
        </w:rPr>
        <w:t xml:space="preserve">support </w:t>
      </w:r>
      <w:r w:rsidR="00193C1E">
        <w:rPr>
          <w:lang w:eastAsia="en-US"/>
        </w:rPr>
        <w:t xml:space="preserve">to </w:t>
      </w:r>
      <w:r>
        <w:rPr>
          <w:lang w:eastAsia="en-US"/>
        </w:rPr>
        <w:t xml:space="preserve">the NGO </w:t>
      </w:r>
      <w:r>
        <w:rPr>
          <w:i/>
          <w:lang w:eastAsia="en-US"/>
        </w:rPr>
        <w:t xml:space="preserve">Wan </w:t>
      </w:r>
      <w:proofErr w:type="spellStart"/>
      <w:r>
        <w:rPr>
          <w:i/>
          <w:lang w:eastAsia="en-US"/>
        </w:rPr>
        <w:t>Smolbag</w:t>
      </w:r>
      <w:proofErr w:type="spellEnd"/>
      <w:r w:rsidR="00193C1E">
        <w:rPr>
          <w:lang w:eastAsia="en-US"/>
        </w:rPr>
        <w:t>,</w:t>
      </w:r>
      <w:r>
        <w:rPr>
          <w:lang w:eastAsia="en-US"/>
        </w:rPr>
        <w:t xml:space="preserve"> which includes a focus on delivering primary health services to </w:t>
      </w:r>
      <w:r w:rsidR="00DD06DB">
        <w:rPr>
          <w:lang w:eastAsia="en-US"/>
        </w:rPr>
        <w:t xml:space="preserve">the </w:t>
      </w:r>
      <w:r>
        <w:rPr>
          <w:lang w:eastAsia="en-US"/>
        </w:rPr>
        <w:t xml:space="preserve">peri-urban poor through </w:t>
      </w:r>
      <w:r w:rsidR="00F02637">
        <w:rPr>
          <w:lang w:eastAsia="en-US"/>
        </w:rPr>
        <w:t xml:space="preserve">reproductive health clinics. 9,731 clients </w:t>
      </w:r>
      <w:r w:rsidR="00E742A7">
        <w:rPr>
          <w:lang w:eastAsia="en-US"/>
        </w:rPr>
        <w:t xml:space="preserve">(7,917 female and 1,814 male) </w:t>
      </w:r>
      <w:r w:rsidR="00F02637">
        <w:rPr>
          <w:lang w:eastAsia="en-US"/>
        </w:rPr>
        <w:t>were seen in 2014</w:t>
      </w:r>
      <w:r w:rsidR="00167184">
        <w:rPr>
          <w:lang w:eastAsia="en-US"/>
        </w:rPr>
        <w:t>,</w:t>
      </w:r>
      <w:r w:rsidR="00F02637">
        <w:rPr>
          <w:lang w:eastAsia="en-US"/>
        </w:rPr>
        <w:t xml:space="preserve"> an increase of 22% from the previous year. </w:t>
      </w:r>
      <w:r>
        <w:rPr>
          <w:lang w:eastAsia="en-US"/>
        </w:rPr>
        <w:t xml:space="preserve">In 2014, </w:t>
      </w:r>
      <w:r>
        <w:rPr>
          <w:i/>
          <w:lang w:eastAsia="en-US"/>
        </w:rPr>
        <w:t>W</w:t>
      </w:r>
      <w:r w:rsidR="00167184">
        <w:rPr>
          <w:i/>
          <w:lang w:eastAsia="en-US"/>
        </w:rPr>
        <w:t>a</w:t>
      </w:r>
      <w:r>
        <w:rPr>
          <w:i/>
          <w:lang w:eastAsia="en-US"/>
        </w:rPr>
        <w:t xml:space="preserve">n </w:t>
      </w:r>
      <w:proofErr w:type="spellStart"/>
      <w:r w:rsidRPr="000E331F">
        <w:rPr>
          <w:i/>
          <w:lang w:eastAsia="en-US"/>
        </w:rPr>
        <w:t>Smolbag</w:t>
      </w:r>
      <w:proofErr w:type="spellEnd"/>
      <w:r>
        <w:rPr>
          <w:i/>
          <w:lang w:eastAsia="en-US"/>
        </w:rPr>
        <w:t xml:space="preserve"> </w:t>
      </w:r>
      <w:r>
        <w:rPr>
          <w:lang w:eastAsia="en-US"/>
        </w:rPr>
        <w:t>also produced the sixth series of Love Patrol, a television series with wide reach across Vanuatu and the Pacific</w:t>
      </w:r>
      <w:r w:rsidR="00DD06DB">
        <w:rPr>
          <w:lang w:eastAsia="en-US"/>
        </w:rPr>
        <w:t>,</w:t>
      </w:r>
      <w:r w:rsidR="00193C1E">
        <w:rPr>
          <w:lang w:eastAsia="en-US"/>
        </w:rPr>
        <w:t xml:space="preserve"> </w:t>
      </w:r>
      <w:r w:rsidRPr="000E331F">
        <w:rPr>
          <w:lang w:eastAsia="en-US"/>
        </w:rPr>
        <w:t xml:space="preserve">which continues to educate about HIV and other </w:t>
      </w:r>
      <w:r w:rsidR="00167184">
        <w:rPr>
          <w:lang w:eastAsia="en-US"/>
        </w:rPr>
        <w:t>sexually transmitted infection</w:t>
      </w:r>
      <w:r w:rsidRPr="000E331F">
        <w:rPr>
          <w:lang w:eastAsia="en-US"/>
        </w:rPr>
        <w:t xml:space="preserve">s as well as social issues </w:t>
      </w:r>
      <w:r>
        <w:rPr>
          <w:lang w:eastAsia="en-US"/>
        </w:rPr>
        <w:t>affectin</w:t>
      </w:r>
      <w:r w:rsidR="003E148B">
        <w:rPr>
          <w:lang w:eastAsia="en-US"/>
        </w:rPr>
        <w:t>g</w:t>
      </w:r>
      <w:r w:rsidRPr="000E331F">
        <w:rPr>
          <w:lang w:eastAsia="en-US"/>
        </w:rPr>
        <w:t xml:space="preserve"> communities </w:t>
      </w:r>
      <w:r w:rsidR="00167184">
        <w:rPr>
          <w:lang w:eastAsia="en-US"/>
        </w:rPr>
        <w:t>including</w:t>
      </w:r>
      <w:r w:rsidRPr="000E331F">
        <w:rPr>
          <w:lang w:eastAsia="en-US"/>
        </w:rPr>
        <w:t xml:space="preserve"> sex work, drug abuse and gender based violence</w:t>
      </w:r>
      <w:r>
        <w:rPr>
          <w:lang w:eastAsia="en-US"/>
        </w:rPr>
        <w:t>.</w:t>
      </w:r>
      <w:r w:rsidR="008C1A98">
        <w:rPr>
          <w:rStyle w:val="EndnoteReference"/>
          <w:lang w:eastAsia="en-US"/>
        </w:rPr>
        <w:endnoteReference w:id="6"/>
      </w:r>
    </w:p>
    <w:p w:rsidR="00DC1FC2" w:rsidRDefault="00550D67" w:rsidP="00DC1FC2">
      <w:pPr>
        <w:pStyle w:val="BodyText"/>
        <w:spacing w:after="120"/>
        <w:rPr>
          <w:szCs w:val="21"/>
          <w:lang w:eastAsia="en-US"/>
        </w:rPr>
      </w:pPr>
      <w:r>
        <w:rPr>
          <w:lang w:eastAsia="en-US"/>
        </w:rPr>
        <w:lastRenderedPageBreak/>
        <w:t xml:space="preserve">In 2015-16, we will </w:t>
      </w:r>
      <w:r w:rsidR="00102CBA">
        <w:rPr>
          <w:lang w:eastAsia="en-US"/>
        </w:rPr>
        <w:t>develop</w:t>
      </w:r>
      <w:r>
        <w:rPr>
          <w:lang w:eastAsia="en-US"/>
        </w:rPr>
        <w:t xml:space="preserve"> a </w:t>
      </w:r>
      <w:r w:rsidR="00F17E99">
        <w:rPr>
          <w:lang w:eastAsia="en-US"/>
        </w:rPr>
        <w:t>new health sector strategy</w:t>
      </w:r>
      <w:r w:rsidR="004F6806">
        <w:rPr>
          <w:lang w:eastAsia="en-US"/>
        </w:rPr>
        <w:t xml:space="preserve">. </w:t>
      </w:r>
      <w:r>
        <w:rPr>
          <w:lang w:eastAsia="en-US"/>
        </w:rPr>
        <w:t xml:space="preserve">The </w:t>
      </w:r>
      <w:r w:rsidR="00F17E99">
        <w:rPr>
          <w:lang w:eastAsia="en-US"/>
        </w:rPr>
        <w:t>strategy will</w:t>
      </w:r>
      <w:r w:rsidR="00E6724A">
        <w:rPr>
          <w:lang w:eastAsia="en-US"/>
        </w:rPr>
        <w:t xml:space="preserve"> consolidate our </w:t>
      </w:r>
      <w:r>
        <w:rPr>
          <w:lang w:eastAsia="en-US"/>
        </w:rPr>
        <w:t xml:space="preserve">investments and build a comprehensive </w:t>
      </w:r>
      <w:r w:rsidR="00302913">
        <w:rPr>
          <w:lang w:eastAsia="en-US"/>
        </w:rPr>
        <w:t>performance</w:t>
      </w:r>
      <w:r>
        <w:rPr>
          <w:lang w:eastAsia="en-US"/>
        </w:rPr>
        <w:t xml:space="preserve"> framework to improve outcomes and guide investments over the next four years.  The </w:t>
      </w:r>
      <w:r w:rsidR="00193C1E">
        <w:rPr>
          <w:lang w:eastAsia="en-US"/>
        </w:rPr>
        <w:t xml:space="preserve">new strategy </w:t>
      </w:r>
      <w:r>
        <w:rPr>
          <w:lang w:eastAsia="en-US"/>
        </w:rPr>
        <w:t xml:space="preserve">will </w:t>
      </w:r>
      <w:r w:rsidR="00E6724A">
        <w:rPr>
          <w:lang w:eastAsia="en-US"/>
        </w:rPr>
        <w:t>take account of a 2014</w:t>
      </w:r>
      <w:r>
        <w:rPr>
          <w:lang w:eastAsia="en-US"/>
        </w:rPr>
        <w:t xml:space="preserve"> independent </w:t>
      </w:r>
      <w:r w:rsidR="00714226">
        <w:rPr>
          <w:lang w:eastAsia="en-US"/>
        </w:rPr>
        <w:t>review</w:t>
      </w:r>
      <w:r w:rsidR="00E6724A">
        <w:rPr>
          <w:lang w:eastAsia="en-US"/>
        </w:rPr>
        <w:t xml:space="preserve"> of Australia’s health investments, as well as </w:t>
      </w:r>
      <w:r>
        <w:rPr>
          <w:lang w:eastAsia="en-US"/>
        </w:rPr>
        <w:t>Aid Partnership discussions with the Vanuatu Government planned for 2015-</w:t>
      </w:r>
      <w:r w:rsidR="00E6724A">
        <w:rPr>
          <w:lang w:eastAsia="en-US"/>
        </w:rPr>
        <w:t>16</w:t>
      </w:r>
      <w:r w:rsidR="00714226" w:rsidRPr="0014661C">
        <w:rPr>
          <w:szCs w:val="21"/>
        </w:rPr>
        <w:t xml:space="preserve">. </w:t>
      </w:r>
      <w:r w:rsidR="00E6724A">
        <w:rPr>
          <w:szCs w:val="21"/>
        </w:rPr>
        <w:t xml:space="preserve"> </w:t>
      </w:r>
      <w:r w:rsidRPr="0014661C">
        <w:rPr>
          <w:szCs w:val="21"/>
          <w:lang w:eastAsia="en-US"/>
        </w:rPr>
        <w:t>The recommendations will provide an opportunity to address monitoring and evaluation weakness</w:t>
      </w:r>
      <w:r w:rsidR="0084596D">
        <w:rPr>
          <w:szCs w:val="21"/>
          <w:lang w:eastAsia="en-US"/>
        </w:rPr>
        <w:t>es</w:t>
      </w:r>
      <w:r w:rsidRPr="0014661C">
        <w:rPr>
          <w:szCs w:val="21"/>
          <w:lang w:eastAsia="en-US"/>
        </w:rPr>
        <w:t xml:space="preserve"> in the heal</w:t>
      </w:r>
      <w:r w:rsidR="00E6724A">
        <w:rPr>
          <w:szCs w:val="21"/>
          <w:lang w:eastAsia="en-US"/>
        </w:rPr>
        <w:t>th sector ident</w:t>
      </w:r>
      <w:r w:rsidR="00DC1FC2">
        <w:rPr>
          <w:szCs w:val="21"/>
          <w:lang w:eastAsia="en-US"/>
        </w:rPr>
        <w:t>ified by the ANAO in June 2014.</w:t>
      </w:r>
    </w:p>
    <w:p w:rsidR="00EC14F2" w:rsidRDefault="00EC14F2" w:rsidP="00566187">
      <w:pPr>
        <w:pStyle w:val="Heading3"/>
        <w:keepNext w:val="0"/>
      </w:pPr>
      <w:r w:rsidRPr="00C57923">
        <w:t xml:space="preserve">Objective </w:t>
      </w:r>
      <w:r>
        <w:t>3: Progress refo</w:t>
      </w:r>
      <w:r w:rsidR="00302913">
        <w:t>rm on economic governance issue</w:t>
      </w:r>
      <w:r w:rsidR="00167184">
        <w:t>s</w:t>
      </w:r>
    </w:p>
    <w:p w:rsidR="008F4D11" w:rsidRDefault="00193C1E" w:rsidP="008F4D11">
      <w:pPr>
        <w:spacing w:after="160" w:line="280" w:lineRule="exact"/>
        <w:rPr>
          <w:rFonts w:ascii="Franklin Gothic Book" w:eastAsia="Times New Roman" w:hAnsi="Franklin Gothic Book"/>
          <w:sz w:val="21"/>
          <w:lang w:eastAsia="zh-CN"/>
        </w:rPr>
      </w:pPr>
      <w:r>
        <w:rPr>
          <w:rFonts w:ascii="Franklin Gothic Book" w:eastAsia="Times New Roman" w:hAnsi="Franklin Gothic Book"/>
          <w:sz w:val="21"/>
          <w:lang w:eastAsia="zh-CN"/>
        </w:rPr>
        <w:t>D</w:t>
      </w:r>
      <w:r w:rsidR="008F4D11">
        <w:rPr>
          <w:rFonts w:ascii="Franklin Gothic Book" w:eastAsia="Times New Roman" w:hAnsi="Franklin Gothic Book"/>
          <w:sz w:val="21"/>
          <w:lang w:eastAsia="zh-CN"/>
        </w:rPr>
        <w:t>espite some challenges</w:t>
      </w:r>
      <w:r w:rsidR="00D12197">
        <w:rPr>
          <w:rFonts w:ascii="Franklin Gothic Book" w:eastAsia="Times New Roman" w:hAnsi="Franklin Gothic Book"/>
          <w:sz w:val="21"/>
          <w:lang w:eastAsia="zh-CN"/>
        </w:rPr>
        <w:t>,</w:t>
      </w:r>
      <w:r w:rsidR="008F4D11">
        <w:rPr>
          <w:rFonts w:ascii="Franklin Gothic Book" w:eastAsia="Times New Roman" w:hAnsi="Franklin Gothic Book"/>
          <w:sz w:val="21"/>
          <w:lang w:eastAsia="zh-CN"/>
        </w:rPr>
        <w:t xml:space="preserve"> progress</w:t>
      </w:r>
      <w:r>
        <w:rPr>
          <w:rFonts w:ascii="Franklin Gothic Book" w:eastAsia="Times New Roman" w:hAnsi="Franklin Gothic Book"/>
          <w:sz w:val="21"/>
          <w:lang w:eastAsia="zh-CN"/>
        </w:rPr>
        <w:t xml:space="preserve"> on economic </w:t>
      </w:r>
      <w:r w:rsidR="008E2501">
        <w:rPr>
          <w:rFonts w:ascii="Franklin Gothic Book" w:eastAsia="Times New Roman" w:hAnsi="Franklin Gothic Book"/>
          <w:sz w:val="21"/>
          <w:lang w:eastAsia="zh-CN"/>
        </w:rPr>
        <w:t>governance</w:t>
      </w:r>
      <w:r w:rsidR="008F4D11">
        <w:rPr>
          <w:rFonts w:ascii="Franklin Gothic Book" w:eastAsia="Times New Roman" w:hAnsi="Franklin Gothic Book"/>
          <w:sz w:val="21"/>
          <w:lang w:eastAsia="zh-CN"/>
        </w:rPr>
        <w:t xml:space="preserve"> met expectations for the reporting period.</w:t>
      </w:r>
    </w:p>
    <w:tbl>
      <w:tblPr>
        <w:tblStyle w:val="TableGrid3"/>
        <w:tblW w:w="0" w:type="auto"/>
        <w:shd w:val="clear" w:color="auto" w:fill="C7D5E6"/>
        <w:tblLook w:val="04A0" w:firstRow="1" w:lastRow="0" w:firstColumn="1" w:lastColumn="0" w:noHBand="0" w:noVBand="1"/>
      </w:tblPr>
      <w:tblGrid>
        <w:gridCol w:w="2943"/>
        <w:gridCol w:w="5551"/>
      </w:tblGrid>
      <w:tr w:rsidR="00302913" w:rsidRPr="00D16F22" w:rsidTr="00D12197">
        <w:trPr>
          <w:trHeight w:val="922"/>
        </w:trPr>
        <w:tc>
          <w:tcPr>
            <w:tcW w:w="2943" w:type="dxa"/>
            <w:tcBorders>
              <w:top w:val="single" w:sz="4" w:space="0" w:color="auto"/>
              <w:left w:val="single" w:sz="4" w:space="0" w:color="auto"/>
              <w:bottom w:val="single" w:sz="4" w:space="0" w:color="auto"/>
              <w:right w:val="single" w:sz="4" w:space="0" w:color="auto"/>
            </w:tcBorders>
            <w:shd w:val="clear" w:color="auto" w:fill="C7D5E6"/>
            <w:hideMark/>
          </w:tcPr>
          <w:p w:rsidR="00302913" w:rsidRPr="00D16F22" w:rsidRDefault="00302913" w:rsidP="00D12197">
            <w:pPr>
              <w:spacing w:after="120"/>
              <w:rPr>
                <w:rFonts w:asciiTheme="minorHAnsi" w:eastAsia="Times New Roman" w:hAnsiTheme="minorHAnsi"/>
                <w:sz w:val="22"/>
                <w:szCs w:val="22"/>
              </w:rPr>
            </w:pPr>
            <w:r w:rsidRPr="00D16F22">
              <w:rPr>
                <w:rFonts w:asciiTheme="minorHAnsi" w:eastAsia="Times New Roman" w:hAnsiTheme="minorHAnsi"/>
                <w:sz w:val="22"/>
                <w:szCs w:val="22"/>
              </w:rPr>
              <w:t>Shared development outcome:</w:t>
            </w:r>
          </w:p>
        </w:tc>
        <w:tc>
          <w:tcPr>
            <w:tcW w:w="5551" w:type="dxa"/>
            <w:tcBorders>
              <w:top w:val="single" w:sz="4" w:space="0" w:color="auto"/>
              <w:left w:val="single" w:sz="4" w:space="0" w:color="auto"/>
              <w:bottom w:val="single" w:sz="4" w:space="0" w:color="auto"/>
              <w:right w:val="single" w:sz="4" w:space="0" w:color="auto"/>
            </w:tcBorders>
            <w:shd w:val="clear" w:color="auto" w:fill="C7D5E6"/>
          </w:tcPr>
          <w:p w:rsidR="00302913" w:rsidRPr="00D16F22" w:rsidRDefault="00302913" w:rsidP="00D12197">
            <w:pPr>
              <w:rPr>
                <w:rFonts w:asciiTheme="minorHAnsi" w:eastAsia="Times New Roman" w:hAnsiTheme="minorHAnsi"/>
                <w:i/>
                <w:sz w:val="22"/>
                <w:szCs w:val="22"/>
              </w:rPr>
            </w:pPr>
            <w:r w:rsidRPr="00D16F22">
              <w:rPr>
                <w:rFonts w:asciiTheme="minorHAnsi" w:eastAsia="Times New Roman" w:hAnsiTheme="minorHAnsi"/>
                <w:i/>
                <w:sz w:val="22"/>
                <w:szCs w:val="22"/>
              </w:rPr>
              <w:t>Promote economic growth and improved service delivery through good governance</w:t>
            </w:r>
          </w:p>
        </w:tc>
      </w:tr>
      <w:tr w:rsidR="00302913" w:rsidRPr="00D16F22" w:rsidTr="00D12197">
        <w:tc>
          <w:tcPr>
            <w:tcW w:w="2943" w:type="dxa"/>
            <w:tcBorders>
              <w:top w:val="single" w:sz="4" w:space="0" w:color="auto"/>
              <w:left w:val="single" w:sz="4" w:space="0" w:color="auto"/>
              <w:bottom w:val="single" w:sz="4" w:space="0" w:color="auto"/>
              <w:right w:val="single" w:sz="4" w:space="0" w:color="auto"/>
            </w:tcBorders>
            <w:shd w:val="clear" w:color="auto" w:fill="C7D5E6"/>
            <w:hideMark/>
          </w:tcPr>
          <w:p w:rsidR="00302913" w:rsidRPr="00D16F22" w:rsidRDefault="00302913" w:rsidP="00D12197">
            <w:pPr>
              <w:spacing w:after="120"/>
              <w:rPr>
                <w:rFonts w:asciiTheme="minorHAnsi" w:eastAsia="Times New Roman" w:hAnsiTheme="minorHAnsi"/>
                <w:sz w:val="22"/>
                <w:szCs w:val="22"/>
              </w:rPr>
            </w:pPr>
            <w:r w:rsidRPr="00D16F22">
              <w:rPr>
                <w:rFonts w:asciiTheme="minorHAnsi" w:eastAsia="Times New Roman" w:hAnsiTheme="minorHAnsi"/>
                <w:sz w:val="22"/>
                <w:szCs w:val="22"/>
              </w:rPr>
              <w:t>Australia’s objective:</w:t>
            </w:r>
          </w:p>
        </w:tc>
        <w:tc>
          <w:tcPr>
            <w:tcW w:w="5551" w:type="dxa"/>
            <w:tcBorders>
              <w:top w:val="single" w:sz="4" w:space="0" w:color="auto"/>
              <w:left w:val="single" w:sz="4" w:space="0" w:color="auto"/>
              <w:bottom w:val="single" w:sz="4" w:space="0" w:color="auto"/>
              <w:right w:val="single" w:sz="4" w:space="0" w:color="auto"/>
            </w:tcBorders>
            <w:shd w:val="clear" w:color="auto" w:fill="C7D5E6"/>
            <w:hideMark/>
          </w:tcPr>
          <w:p w:rsidR="00302913" w:rsidRPr="00D16F22" w:rsidRDefault="00302913" w:rsidP="00D12197">
            <w:pPr>
              <w:rPr>
                <w:rFonts w:asciiTheme="minorHAnsi" w:eastAsia="Times New Roman" w:hAnsiTheme="minorHAnsi"/>
                <w:i/>
                <w:sz w:val="22"/>
                <w:szCs w:val="22"/>
              </w:rPr>
            </w:pPr>
            <w:r w:rsidRPr="00D16F22">
              <w:rPr>
                <w:rFonts w:asciiTheme="minorHAnsi" w:eastAsia="Times New Roman" w:hAnsiTheme="minorHAnsi"/>
                <w:i/>
                <w:sz w:val="22"/>
                <w:szCs w:val="22"/>
              </w:rPr>
              <w:t>Vanuatu’s policy framework is more supportive of durable, equitable and broad-based growth</w:t>
            </w:r>
          </w:p>
          <w:p w:rsidR="00302913" w:rsidRDefault="00302913" w:rsidP="00D12197">
            <w:pPr>
              <w:rPr>
                <w:rFonts w:asciiTheme="minorHAnsi" w:eastAsia="Times New Roman" w:hAnsiTheme="minorHAnsi"/>
                <w:i/>
                <w:sz w:val="22"/>
                <w:szCs w:val="22"/>
              </w:rPr>
            </w:pPr>
            <w:r w:rsidRPr="00D16F22">
              <w:rPr>
                <w:rFonts w:asciiTheme="minorHAnsi" w:eastAsia="Times New Roman" w:hAnsiTheme="minorHAnsi"/>
                <w:i/>
                <w:sz w:val="22"/>
                <w:szCs w:val="22"/>
              </w:rPr>
              <w:t>The quality of Vanuatu’s public expenditure and its management is improved</w:t>
            </w:r>
          </w:p>
          <w:p w:rsidR="00302913" w:rsidRPr="00D16F22" w:rsidRDefault="00302913" w:rsidP="00D12197">
            <w:pPr>
              <w:rPr>
                <w:rFonts w:asciiTheme="minorHAnsi" w:eastAsia="Times New Roman" w:hAnsiTheme="minorHAnsi"/>
                <w:i/>
                <w:sz w:val="22"/>
                <w:szCs w:val="22"/>
              </w:rPr>
            </w:pPr>
          </w:p>
        </w:tc>
      </w:tr>
    </w:tbl>
    <w:p w:rsidR="00B82AB0" w:rsidRDefault="001156A8" w:rsidP="00566187">
      <w:pPr>
        <w:spacing w:after="120" w:line="280" w:lineRule="exact"/>
        <w:rPr>
          <w:rFonts w:ascii="Franklin Gothic Book" w:eastAsia="Times New Roman" w:hAnsi="Franklin Gothic Book"/>
          <w:sz w:val="21"/>
          <w:lang w:eastAsia="zh-CN"/>
        </w:rPr>
      </w:pPr>
      <w:r w:rsidRPr="001156A8">
        <w:rPr>
          <w:rFonts w:ascii="Franklin Gothic Book" w:eastAsia="Times New Roman" w:hAnsi="Franklin Gothic Book"/>
          <w:sz w:val="21"/>
          <w:lang w:eastAsia="zh-CN"/>
        </w:rPr>
        <w:t xml:space="preserve">Economic growth over the past decade of around 4 per cent a year (marginally higher than population growth of 2.5 per cent) has lifted some living standards. Growth has been underpinned by macroeconomic and social stability, as well as key microeconomic reforms. </w:t>
      </w:r>
      <w:r>
        <w:rPr>
          <w:rFonts w:ascii="Franklin Gothic Book" w:eastAsia="Times New Roman" w:hAnsi="Franklin Gothic Book"/>
          <w:sz w:val="21"/>
          <w:lang w:eastAsia="zh-CN"/>
        </w:rPr>
        <w:t>Nonetheless, Vanuatu face</w:t>
      </w:r>
      <w:r w:rsidR="00B82AB0">
        <w:rPr>
          <w:rFonts w:ascii="Franklin Gothic Book" w:eastAsia="Times New Roman" w:hAnsi="Franklin Gothic Book"/>
          <w:sz w:val="21"/>
          <w:lang w:eastAsia="zh-CN"/>
        </w:rPr>
        <w:t>s significant</w:t>
      </w:r>
      <w:r>
        <w:rPr>
          <w:rFonts w:ascii="Franklin Gothic Book" w:eastAsia="Times New Roman" w:hAnsi="Franklin Gothic Book"/>
          <w:sz w:val="21"/>
          <w:lang w:eastAsia="zh-CN"/>
        </w:rPr>
        <w:t xml:space="preserve"> challenges </w:t>
      </w:r>
      <w:r w:rsidR="0088443D">
        <w:rPr>
          <w:rFonts w:ascii="Franklin Gothic Book" w:eastAsia="Times New Roman" w:hAnsi="Franklin Gothic Book"/>
          <w:sz w:val="21"/>
          <w:lang w:eastAsia="zh-CN"/>
        </w:rPr>
        <w:t xml:space="preserve">in its efforts to </w:t>
      </w:r>
      <w:r w:rsidR="009B60AB">
        <w:rPr>
          <w:rFonts w:ascii="Franklin Gothic Book" w:eastAsia="Times New Roman" w:hAnsi="Franklin Gothic Book"/>
          <w:sz w:val="21"/>
          <w:lang w:eastAsia="zh-CN"/>
        </w:rPr>
        <w:t>decrease</w:t>
      </w:r>
      <w:r w:rsidR="00B82AB0">
        <w:rPr>
          <w:rFonts w:ascii="Franklin Gothic Book" w:eastAsia="Times New Roman" w:hAnsi="Franklin Gothic Book"/>
          <w:sz w:val="21"/>
          <w:lang w:eastAsia="zh-CN"/>
        </w:rPr>
        <w:t xml:space="preserve"> the cost of doing </w:t>
      </w:r>
      <w:r w:rsidR="009B60AB">
        <w:rPr>
          <w:rFonts w:ascii="Franklin Gothic Book" w:eastAsia="Times New Roman" w:hAnsi="Franklin Gothic Book"/>
          <w:sz w:val="21"/>
          <w:lang w:eastAsia="zh-CN"/>
        </w:rPr>
        <w:t>business</w:t>
      </w:r>
      <w:r w:rsidR="00B82AB0">
        <w:rPr>
          <w:rFonts w:ascii="Franklin Gothic Book" w:eastAsia="Times New Roman" w:hAnsi="Franklin Gothic Book"/>
          <w:sz w:val="21"/>
          <w:lang w:eastAsia="zh-CN"/>
        </w:rPr>
        <w:t>, improve the environment for investment, and deliver</w:t>
      </w:r>
      <w:r>
        <w:rPr>
          <w:rFonts w:ascii="Franklin Gothic Book" w:eastAsia="Times New Roman" w:hAnsi="Franklin Gothic Book"/>
          <w:sz w:val="21"/>
          <w:lang w:eastAsia="zh-CN"/>
        </w:rPr>
        <w:t xml:space="preserve"> </w:t>
      </w:r>
      <w:r w:rsidR="00B82AB0">
        <w:rPr>
          <w:rFonts w:ascii="Franklin Gothic Book" w:eastAsia="Times New Roman" w:hAnsi="Franklin Gothic Book"/>
          <w:sz w:val="21"/>
          <w:lang w:eastAsia="zh-CN"/>
        </w:rPr>
        <w:t>durable</w:t>
      </w:r>
      <w:r>
        <w:rPr>
          <w:rFonts w:ascii="Franklin Gothic Book" w:eastAsia="Times New Roman" w:hAnsi="Franklin Gothic Book"/>
          <w:sz w:val="21"/>
          <w:lang w:eastAsia="zh-CN"/>
        </w:rPr>
        <w:t xml:space="preserve"> broad-based growth. </w:t>
      </w:r>
      <w:r w:rsidR="0088443D">
        <w:rPr>
          <w:rFonts w:ascii="Franklin Gothic Book" w:eastAsia="Times New Roman" w:hAnsi="Franklin Gothic Book"/>
          <w:sz w:val="21"/>
          <w:lang w:eastAsia="zh-CN"/>
        </w:rPr>
        <w:t xml:space="preserve">In addition, challenging </w:t>
      </w:r>
      <w:r w:rsidR="00B82AB0">
        <w:rPr>
          <w:rFonts w:ascii="Franklin Gothic Book" w:eastAsia="Times New Roman" w:hAnsi="Franklin Gothic Book"/>
          <w:sz w:val="21"/>
          <w:lang w:eastAsia="zh-CN"/>
        </w:rPr>
        <w:t xml:space="preserve">public sector reforms are </w:t>
      </w:r>
      <w:r w:rsidR="0088443D">
        <w:rPr>
          <w:rFonts w:ascii="Franklin Gothic Book" w:eastAsia="Times New Roman" w:hAnsi="Franklin Gothic Book"/>
          <w:sz w:val="21"/>
          <w:lang w:eastAsia="zh-CN"/>
        </w:rPr>
        <w:t>required</w:t>
      </w:r>
      <w:r w:rsidR="00B82AB0">
        <w:rPr>
          <w:rFonts w:ascii="Franklin Gothic Book" w:eastAsia="Times New Roman" w:hAnsi="Franklin Gothic Book"/>
          <w:sz w:val="21"/>
          <w:lang w:eastAsia="zh-CN"/>
        </w:rPr>
        <w:t xml:space="preserve"> to improve the quality of public expenditure and </w:t>
      </w:r>
      <w:r w:rsidR="0088443D">
        <w:rPr>
          <w:rFonts w:ascii="Franklin Gothic Book" w:eastAsia="Times New Roman" w:hAnsi="Franklin Gothic Book"/>
          <w:sz w:val="21"/>
          <w:lang w:eastAsia="zh-CN"/>
        </w:rPr>
        <w:t>service delivery</w:t>
      </w:r>
      <w:r w:rsidR="00B82AB0">
        <w:rPr>
          <w:rFonts w:ascii="Franklin Gothic Book" w:eastAsia="Times New Roman" w:hAnsi="Franklin Gothic Book"/>
          <w:sz w:val="21"/>
          <w:lang w:eastAsia="zh-CN"/>
        </w:rPr>
        <w:t xml:space="preserve">. </w:t>
      </w:r>
      <w:r w:rsidR="003213B1">
        <w:rPr>
          <w:rFonts w:ascii="Franklin Gothic Book" w:eastAsia="Times New Roman" w:hAnsi="Franklin Gothic Book"/>
          <w:sz w:val="21"/>
          <w:lang w:eastAsia="zh-CN"/>
        </w:rPr>
        <w:t xml:space="preserve">Tropical Cyclone Pam </w:t>
      </w:r>
      <w:r w:rsidR="002956CC">
        <w:rPr>
          <w:rFonts w:ascii="Franklin Gothic Book" w:eastAsia="Times New Roman" w:hAnsi="Franklin Gothic Book"/>
          <w:sz w:val="21"/>
          <w:lang w:eastAsia="zh-CN"/>
        </w:rPr>
        <w:t xml:space="preserve">also </w:t>
      </w:r>
      <w:r w:rsidR="003213B1">
        <w:rPr>
          <w:rFonts w:ascii="Franklin Gothic Book" w:eastAsia="Times New Roman" w:hAnsi="Franklin Gothic Book"/>
          <w:sz w:val="21"/>
          <w:lang w:eastAsia="zh-CN"/>
        </w:rPr>
        <w:t xml:space="preserve">highlighted the importance of supporting improved budget management, </w:t>
      </w:r>
      <w:r w:rsidR="002956CC">
        <w:rPr>
          <w:rFonts w:ascii="Franklin Gothic Book" w:eastAsia="Times New Roman" w:hAnsi="Franklin Gothic Book"/>
          <w:sz w:val="21"/>
          <w:lang w:eastAsia="zh-CN"/>
        </w:rPr>
        <w:t xml:space="preserve">revenue collection and public sector reforms, which increase </w:t>
      </w:r>
      <w:r w:rsidR="003213B1">
        <w:rPr>
          <w:rFonts w:ascii="Franklin Gothic Book" w:eastAsia="Times New Roman" w:hAnsi="Franklin Gothic Book"/>
          <w:sz w:val="21"/>
          <w:lang w:eastAsia="zh-CN"/>
        </w:rPr>
        <w:t>economic resilience</w:t>
      </w:r>
      <w:r w:rsidR="002956CC">
        <w:rPr>
          <w:rFonts w:ascii="Franklin Gothic Book" w:eastAsia="Times New Roman" w:hAnsi="Franklin Gothic Book"/>
          <w:sz w:val="21"/>
          <w:lang w:eastAsia="zh-CN"/>
        </w:rPr>
        <w:t xml:space="preserve"> to disasters</w:t>
      </w:r>
      <w:r w:rsidR="003213B1">
        <w:rPr>
          <w:rFonts w:ascii="Franklin Gothic Book" w:eastAsia="Times New Roman" w:hAnsi="Franklin Gothic Book"/>
          <w:sz w:val="21"/>
          <w:lang w:eastAsia="zh-CN"/>
        </w:rPr>
        <w:t>.</w:t>
      </w:r>
    </w:p>
    <w:p w:rsidR="00102CBA" w:rsidRDefault="008B0AF1" w:rsidP="00566187">
      <w:pPr>
        <w:spacing w:after="120" w:line="280" w:lineRule="exact"/>
        <w:rPr>
          <w:rFonts w:ascii="Franklin Gothic Book" w:eastAsia="Times New Roman" w:hAnsi="Franklin Gothic Book"/>
          <w:sz w:val="21"/>
          <w:lang w:eastAsia="zh-CN"/>
        </w:rPr>
      </w:pPr>
      <w:r>
        <w:rPr>
          <w:rFonts w:ascii="Franklin Gothic Book" w:eastAsia="Times New Roman" w:hAnsi="Franklin Gothic Book"/>
          <w:sz w:val="21"/>
          <w:lang w:eastAsia="zh-CN"/>
        </w:rPr>
        <w:t xml:space="preserve">The </w:t>
      </w:r>
      <w:r w:rsidR="00A31959" w:rsidRPr="002B2BA4">
        <w:rPr>
          <w:rFonts w:ascii="Franklin Gothic Book" w:eastAsia="Times New Roman" w:hAnsi="Franklin Gothic Book"/>
          <w:sz w:val="21"/>
          <w:lang w:eastAsia="zh-CN"/>
        </w:rPr>
        <w:t>G</w:t>
      </w:r>
      <w:r w:rsidR="00A31959">
        <w:rPr>
          <w:rFonts w:ascii="Franklin Gothic Book" w:eastAsia="Times New Roman" w:hAnsi="Franklin Gothic Book"/>
          <w:sz w:val="21"/>
          <w:lang w:eastAsia="zh-CN"/>
        </w:rPr>
        <w:t>overnance for Growth (G</w:t>
      </w:r>
      <w:r w:rsidR="00A31959" w:rsidRPr="002B2BA4">
        <w:rPr>
          <w:rFonts w:ascii="Franklin Gothic Book" w:eastAsia="Times New Roman" w:hAnsi="Franklin Gothic Book"/>
          <w:sz w:val="21"/>
          <w:lang w:eastAsia="zh-CN"/>
        </w:rPr>
        <w:t>FG</w:t>
      </w:r>
      <w:r w:rsidR="00A31959">
        <w:rPr>
          <w:rFonts w:ascii="Franklin Gothic Book" w:eastAsia="Times New Roman" w:hAnsi="Franklin Gothic Book"/>
          <w:sz w:val="21"/>
          <w:lang w:eastAsia="zh-CN"/>
        </w:rPr>
        <w:t>)</w:t>
      </w:r>
      <w:r w:rsidR="00A31959" w:rsidRPr="002B2BA4">
        <w:rPr>
          <w:rFonts w:ascii="Franklin Gothic Book" w:eastAsia="Times New Roman" w:hAnsi="Franklin Gothic Book"/>
          <w:sz w:val="21"/>
          <w:lang w:eastAsia="zh-CN"/>
        </w:rPr>
        <w:t xml:space="preserve"> </w:t>
      </w:r>
      <w:r>
        <w:rPr>
          <w:rFonts w:ascii="Franklin Gothic Book" w:eastAsia="Times New Roman" w:hAnsi="Franklin Gothic Book"/>
          <w:sz w:val="21"/>
          <w:lang w:eastAsia="zh-CN"/>
        </w:rPr>
        <w:t xml:space="preserve">program </w:t>
      </w:r>
      <w:r w:rsidR="00A31959" w:rsidRPr="002B2BA4">
        <w:rPr>
          <w:rFonts w:ascii="Franklin Gothic Book" w:eastAsia="Times New Roman" w:hAnsi="Franklin Gothic Book"/>
          <w:sz w:val="21"/>
          <w:lang w:eastAsia="zh-CN"/>
        </w:rPr>
        <w:t xml:space="preserve">is </w:t>
      </w:r>
      <w:r w:rsidR="00B82AB0">
        <w:rPr>
          <w:rFonts w:ascii="Franklin Gothic Book" w:eastAsia="Times New Roman" w:hAnsi="Franklin Gothic Book"/>
          <w:sz w:val="21"/>
          <w:lang w:eastAsia="zh-CN"/>
        </w:rPr>
        <w:t>DFAT’s</w:t>
      </w:r>
      <w:r w:rsidR="00B82AB0" w:rsidRPr="002B2BA4">
        <w:rPr>
          <w:rFonts w:ascii="Franklin Gothic Book" w:eastAsia="Times New Roman" w:hAnsi="Franklin Gothic Book"/>
          <w:sz w:val="21"/>
          <w:lang w:eastAsia="zh-CN"/>
        </w:rPr>
        <w:t xml:space="preserve"> </w:t>
      </w:r>
      <w:r w:rsidR="00A31959" w:rsidRPr="002B2BA4">
        <w:rPr>
          <w:rFonts w:ascii="Franklin Gothic Book" w:eastAsia="Times New Roman" w:hAnsi="Franklin Gothic Book"/>
          <w:sz w:val="21"/>
          <w:lang w:eastAsia="zh-CN"/>
        </w:rPr>
        <w:t>main avenue for engagement with the Vanuatu Government on economic, trade and fiscal policy.</w:t>
      </w:r>
      <w:r w:rsidR="00A31959">
        <w:rPr>
          <w:rFonts w:ascii="Franklin Gothic Book" w:eastAsia="Times New Roman" w:hAnsi="Franklin Gothic Book"/>
          <w:sz w:val="21"/>
          <w:lang w:eastAsia="zh-CN"/>
        </w:rPr>
        <w:t xml:space="preserve"> GFG’s assistance aims to strengthen</w:t>
      </w:r>
      <w:r w:rsidR="00A31959" w:rsidRPr="002B2BA4">
        <w:rPr>
          <w:rFonts w:ascii="Franklin Gothic Book" w:eastAsia="Times New Roman" w:hAnsi="Franklin Gothic Book"/>
          <w:sz w:val="21"/>
          <w:lang w:eastAsia="zh-CN"/>
        </w:rPr>
        <w:t xml:space="preserve"> public sector governance and management to promote sound, economic growt</w:t>
      </w:r>
      <w:r w:rsidR="00A31959">
        <w:rPr>
          <w:rFonts w:ascii="Franklin Gothic Book" w:eastAsia="Times New Roman" w:hAnsi="Franklin Gothic Book"/>
          <w:sz w:val="21"/>
          <w:lang w:eastAsia="zh-CN"/>
        </w:rPr>
        <w:t xml:space="preserve">h-focused policies. </w:t>
      </w:r>
      <w:r w:rsidR="00102CBA" w:rsidRPr="00102CBA">
        <w:rPr>
          <w:rFonts w:ascii="Franklin Gothic Book" w:eastAsia="Times New Roman" w:hAnsi="Franklin Gothic Book"/>
          <w:sz w:val="21"/>
          <w:lang w:eastAsia="zh-CN"/>
        </w:rPr>
        <w:t xml:space="preserve">The program covers a large number of government agencies (currently ten). </w:t>
      </w:r>
      <w:proofErr w:type="spellStart"/>
      <w:r w:rsidR="00102CBA" w:rsidRPr="00102CBA">
        <w:rPr>
          <w:rFonts w:ascii="Franklin Gothic Book" w:eastAsia="Times New Roman" w:hAnsi="Franklin Gothic Book"/>
          <w:sz w:val="21"/>
          <w:lang w:eastAsia="zh-CN"/>
        </w:rPr>
        <w:t>GfG’s</w:t>
      </w:r>
      <w:proofErr w:type="spellEnd"/>
      <w:r w:rsidR="00102CBA" w:rsidRPr="00102CBA">
        <w:rPr>
          <w:rFonts w:ascii="Franklin Gothic Book" w:eastAsia="Times New Roman" w:hAnsi="Franklin Gothic Book"/>
          <w:sz w:val="21"/>
          <w:lang w:eastAsia="zh-CN"/>
        </w:rPr>
        <w:t xml:space="preserve"> strength lies in its in long-term approach, relying on strong relationships with key players in central ministries.</w:t>
      </w:r>
      <w:r w:rsidRPr="008B0AF1">
        <w:rPr>
          <w:rFonts w:ascii="Franklin Gothic Book" w:eastAsia="Times New Roman" w:hAnsi="Franklin Gothic Book"/>
          <w:sz w:val="21"/>
          <w:lang w:eastAsia="zh-CN"/>
        </w:rPr>
        <w:t xml:space="preserve"> </w:t>
      </w:r>
      <w:r>
        <w:rPr>
          <w:rFonts w:ascii="Franklin Gothic Book" w:eastAsia="Times New Roman" w:hAnsi="Franklin Gothic Book"/>
          <w:sz w:val="21"/>
          <w:lang w:eastAsia="zh-CN"/>
        </w:rPr>
        <w:t xml:space="preserve">It is </w:t>
      </w:r>
      <w:r w:rsidR="00167184">
        <w:rPr>
          <w:rFonts w:ascii="Franklin Gothic Book" w:eastAsia="Times New Roman" w:hAnsi="Franklin Gothic Book"/>
          <w:sz w:val="21"/>
          <w:lang w:eastAsia="zh-CN"/>
        </w:rPr>
        <w:t xml:space="preserve">located </w:t>
      </w:r>
      <w:r w:rsidR="00193C1E">
        <w:rPr>
          <w:rFonts w:ascii="Franklin Gothic Book" w:eastAsia="Times New Roman" w:hAnsi="Franklin Gothic Book"/>
          <w:sz w:val="21"/>
          <w:lang w:eastAsia="zh-CN"/>
        </w:rPr>
        <w:t xml:space="preserve">in </w:t>
      </w:r>
      <w:r w:rsidR="00167184">
        <w:rPr>
          <w:rFonts w:ascii="Franklin Gothic Book" w:eastAsia="Times New Roman" w:hAnsi="Franklin Gothic Book"/>
          <w:sz w:val="21"/>
          <w:lang w:eastAsia="zh-CN"/>
        </w:rPr>
        <w:t xml:space="preserve">the Vanuatu Prime Minister’s Office compound and </w:t>
      </w:r>
      <w:r>
        <w:rPr>
          <w:rFonts w:ascii="Franklin Gothic Book" w:eastAsia="Times New Roman" w:hAnsi="Franklin Gothic Book"/>
          <w:sz w:val="21"/>
          <w:lang w:eastAsia="zh-CN"/>
        </w:rPr>
        <w:t>highly valued by seni</w:t>
      </w:r>
      <w:r w:rsidR="00167184">
        <w:rPr>
          <w:rFonts w:ascii="Franklin Gothic Book" w:eastAsia="Times New Roman" w:hAnsi="Franklin Gothic Book"/>
          <w:sz w:val="21"/>
          <w:lang w:eastAsia="zh-CN"/>
        </w:rPr>
        <w:t>or members of Vanuatu government</w:t>
      </w:r>
      <w:r>
        <w:rPr>
          <w:rFonts w:ascii="Franklin Gothic Book" w:eastAsia="Times New Roman" w:hAnsi="Franklin Gothic Book"/>
          <w:sz w:val="21"/>
          <w:lang w:eastAsia="zh-CN"/>
        </w:rPr>
        <w:t>.</w:t>
      </w:r>
    </w:p>
    <w:p w:rsidR="00793BFD" w:rsidRPr="00386876" w:rsidRDefault="0042333A" w:rsidP="008B0AF1">
      <w:pPr>
        <w:spacing w:after="120" w:line="280" w:lineRule="exact"/>
        <w:rPr>
          <w:rFonts w:ascii="Franklin Gothic Book" w:hAnsi="Franklin Gothic Book"/>
          <w:sz w:val="21"/>
          <w:lang w:eastAsia="zh-CN"/>
        </w:rPr>
      </w:pPr>
      <w:r>
        <w:rPr>
          <w:rFonts w:ascii="Franklin Gothic Book" w:eastAsia="Times New Roman" w:hAnsi="Franklin Gothic Book"/>
          <w:sz w:val="21"/>
          <w:lang w:eastAsia="zh-CN"/>
        </w:rPr>
        <w:t>In 2014</w:t>
      </w:r>
      <w:r w:rsidR="00B82AB0">
        <w:rPr>
          <w:rFonts w:ascii="Franklin Gothic Book" w:eastAsia="Times New Roman" w:hAnsi="Franklin Gothic Book"/>
          <w:sz w:val="21"/>
          <w:lang w:eastAsia="zh-CN"/>
        </w:rPr>
        <w:t>,</w:t>
      </w:r>
      <w:r w:rsidR="008B0AF1" w:rsidRPr="008B0AF1">
        <w:rPr>
          <w:rFonts w:ascii="Franklin Gothic Book" w:eastAsia="Times New Roman" w:hAnsi="Franklin Gothic Book"/>
          <w:sz w:val="21"/>
          <w:lang w:eastAsia="zh-CN"/>
        </w:rPr>
        <w:t xml:space="preserve"> </w:t>
      </w:r>
      <w:proofErr w:type="spellStart"/>
      <w:r w:rsidR="00167184">
        <w:rPr>
          <w:rFonts w:ascii="Franklin Gothic Book" w:eastAsia="Times New Roman" w:hAnsi="Franklin Gothic Book"/>
          <w:sz w:val="21"/>
          <w:lang w:eastAsia="zh-CN"/>
        </w:rPr>
        <w:t>GfG</w:t>
      </w:r>
      <w:proofErr w:type="spellEnd"/>
      <w:r w:rsidR="00167184">
        <w:rPr>
          <w:rFonts w:ascii="Franklin Gothic Book" w:eastAsia="Times New Roman" w:hAnsi="Franklin Gothic Book"/>
          <w:sz w:val="21"/>
          <w:lang w:eastAsia="zh-CN"/>
        </w:rPr>
        <w:t xml:space="preserve"> </w:t>
      </w:r>
      <w:r>
        <w:rPr>
          <w:rFonts w:ascii="Franklin Gothic Book" w:eastAsia="Times New Roman" w:hAnsi="Franklin Gothic Book"/>
          <w:sz w:val="21"/>
          <w:lang w:eastAsia="zh-CN"/>
        </w:rPr>
        <w:t>supported a</w:t>
      </w:r>
      <w:r w:rsidR="00167184">
        <w:rPr>
          <w:rFonts w:ascii="Franklin Gothic Book" w:eastAsia="Times New Roman" w:hAnsi="Franklin Gothic Book"/>
          <w:sz w:val="21"/>
          <w:lang w:eastAsia="zh-CN"/>
        </w:rPr>
        <w:t xml:space="preserve"> Utilities Regulatory Authority tariff review of </w:t>
      </w:r>
      <w:proofErr w:type="spellStart"/>
      <w:r w:rsidR="00167184">
        <w:rPr>
          <w:rFonts w:ascii="Franklin Gothic Book" w:eastAsia="Times New Roman" w:hAnsi="Franklin Gothic Book"/>
          <w:sz w:val="21"/>
          <w:lang w:eastAsia="zh-CN"/>
        </w:rPr>
        <w:t>Luganville</w:t>
      </w:r>
      <w:proofErr w:type="spellEnd"/>
      <w:r w:rsidR="00167184">
        <w:rPr>
          <w:rFonts w:ascii="Franklin Gothic Book" w:eastAsia="Times New Roman" w:hAnsi="Franklin Gothic Book"/>
          <w:sz w:val="21"/>
          <w:lang w:eastAsia="zh-CN"/>
        </w:rPr>
        <w:t xml:space="preserve"> electricity prices that led to a decrease in prices of 14 per cent, while a Port Vila water tariff review recommended a reduction in price of 20 per cent</w:t>
      </w:r>
      <w:r>
        <w:rPr>
          <w:rFonts w:ascii="Franklin Gothic Book" w:eastAsia="Times New Roman" w:hAnsi="Franklin Gothic Book"/>
          <w:sz w:val="21"/>
          <w:lang w:eastAsia="zh-CN"/>
        </w:rPr>
        <w:t xml:space="preserve">. </w:t>
      </w:r>
      <w:proofErr w:type="spellStart"/>
      <w:r>
        <w:rPr>
          <w:rFonts w:ascii="Franklin Gothic Book" w:eastAsia="Times New Roman" w:hAnsi="Franklin Gothic Book"/>
          <w:sz w:val="21"/>
          <w:lang w:eastAsia="zh-CN"/>
        </w:rPr>
        <w:t>GfGs</w:t>
      </w:r>
      <w:proofErr w:type="spellEnd"/>
      <w:r>
        <w:rPr>
          <w:rFonts w:ascii="Franklin Gothic Book" w:eastAsia="Times New Roman" w:hAnsi="Franklin Gothic Book"/>
          <w:sz w:val="21"/>
          <w:lang w:eastAsia="zh-CN"/>
        </w:rPr>
        <w:t xml:space="preserve"> support for the roll out of provincial financial services bureaus</w:t>
      </w:r>
      <w:r w:rsidR="008B0AF1" w:rsidRPr="008B0AF1">
        <w:rPr>
          <w:rFonts w:ascii="Franklin Gothic Book" w:eastAsia="Times New Roman" w:hAnsi="Franklin Gothic Book"/>
          <w:sz w:val="21"/>
          <w:lang w:eastAsia="zh-CN"/>
        </w:rPr>
        <w:t xml:space="preserve"> </w:t>
      </w:r>
      <w:r>
        <w:rPr>
          <w:rFonts w:ascii="Franklin Gothic Book" w:eastAsia="Times New Roman" w:hAnsi="Franklin Gothic Book"/>
          <w:sz w:val="21"/>
          <w:lang w:eastAsia="zh-CN"/>
        </w:rPr>
        <w:t>(</w:t>
      </w:r>
      <w:r w:rsidR="008B0AF1" w:rsidRPr="008B0AF1">
        <w:rPr>
          <w:rFonts w:ascii="Franklin Gothic Book" w:eastAsia="Times New Roman" w:hAnsi="Franklin Gothic Book"/>
          <w:sz w:val="21"/>
          <w:lang w:eastAsia="zh-CN"/>
        </w:rPr>
        <w:t>FSBs</w:t>
      </w:r>
      <w:r>
        <w:rPr>
          <w:rFonts w:ascii="Franklin Gothic Book" w:eastAsia="Times New Roman" w:hAnsi="Franklin Gothic Book"/>
          <w:sz w:val="21"/>
          <w:lang w:eastAsia="zh-CN"/>
        </w:rPr>
        <w:t xml:space="preserve">) has led to </w:t>
      </w:r>
      <w:r w:rsidR="008B0AF1" w:rsidRPr="008B0AF1">
        <w:rPr>
          <w:rFonts w:ascii="Franklin Gothic Book" w:eastAsia="Times New Roman" w:hAnsi="Franklin Gothic Book"/>
          <w:sz w:val="21"/>
          <w:lang w:eastAsia="zh-CN"/>
        </w:rPr>
        <w:t xml:space="preserve">greater reliability of </w:t>
      </w:r>
      <w:r>
        <w:rPr>
          <w:rFonts w:ascii="Franklin Gothic Book" w:eastAsia="Times New Roman" w:hAnsi="Franklin Gothic Book"/>
          <w:sz w:val="21"/>
          <w:lang w:eastAsia="zh-CN"/>
        </w:rPr>
        <w:t xml:space="preserve">the </w:t>
      </w:r>
      <w:r w:rsidR="008B0AF1" w:rsidRPr="008B0AF1">
        <w:rPr>
          <w:rFonts w:ascii="Franklin Gothic Book" w:eastAsia="Times New Roman" w:hAnsi="Franklin Gothic Book"/>
          <w:sz w:val="21"/>
          <w:lang w:eastAsia="zh-CN"/>
        </w:rPr>
        <w:t xml:space="preserve">government payment system </w:t>
      </w:r>
      <w:r>
        <w:rPr>
          <w:rFonts w:ascii="Franklin Gothic Book" w:eastAsia="Times New Roman" w:hAnsi="Franklin Gothic Book"/>
          <w:sz w:val="21"/>
          <w:lang w:eastAsia="zh-CN"/>
        </w:rPr>
        <w:t xml:space="preserve">which will </w:t>
      </w:r>
      <w:r w:rsidR="008B0AF1" w:rsidRPr="008B0AF1">
        <w:rPr>
          <w:rFonts w:ascii="Franklin Gothic Book" w:eastAsia="Times New Roman" w:hAnsi="Franklin Gothic Book"/>
          <w:sz w:val="21"/>
          <w:lang w:eastAsia="zh-CN"/>
        </w:rPr>
        <w:t>encourag</w:t>
      </w:r>
      <w:r>
        <w:rPr>
          <w:rFonts w:ascii="Franklin Gothic Book" w:eastAsia="Times New Roman" w:hAnsi="Franklin Gothic Book"/>
          <w:sz w:val="21"/>
          <w:lang w:eastAsia="zh-CN"/>
        </w:rPr>
        <w:t>e</w:t>
      </w:r>
      <w:r w:rsidR="008B0AF1" w:rsidRPr="008B0AF1">
        <w:rPr>
          <w:rFonts w:ascii="Franklin Gothic Book" w:eastAsia="Times New Roman" w:hAnsi="Franklin Gothic Book"/>
          <w:sz w:val="21"/>
          <w:lang w:eastAsia="zh-CN"/>
        </w:rPr>
        <w:t xml:space="preserve"> </w:t>
      </w:r>
      <w:r>
        <w:rPr>
          <w:rFonts w:ascii="Franklin Gothic Book" w:eastAsia="Times New Roman" w:hAnsi="Franklin Gothic Book"/>
          <w:sz w:val="21"/>
          <w:lang w:eastAsia="zh-CN"/>
        </w:rPr>
        <w:t xml:space="preserve">the </w:t>
      </w:r>
      <w:r w:rsidR="008B0AF1" w:rsidRPr="008B0AF1">
        <w:rPr>
          <w:rFonts w:ascii="Franklin Gothic Book" w:eastAsia="Times New Roman" w:hAnsi="Franklin Gothic Book"/>
          <w:sz w:val="21"/>
          <w:lang w:eastAsia="zh-CN"/>
        </w:rPr>
        <w:t>private sector to do business with government.</w:t>
      </w:r>
      <w:r w:rsidR="008B0AF1">
        <w:rPr>
          <w:rFonts w:ascii="Franklin Gothic Book" w:eastAsia="Times New Roman" w:hAnsi="Franklin Gothic Book"/>
          <w:sz w:val="21"/>
          <w:lang w:eastAsia="zh-CN"/>
        </w:rPr>
        <w:t xml:space="preserve"> </w:t>
      </w:r>
      <w:r w:rsidR="008B0AF1">
        <w:rPr>
          <w:rFonts w:ascii="Franklin Gothic Book" w:hAnsi="Franklin Gothic Book"/>
          <w:sz w:val="21"/>
          <w:lang w:eastAsia="zh-CN"/>
        </w:rPr>
        <w:t xml:space="preserve">The </w:t>
      </w:r>
      <w:r w:rsidR="00793BFD" w:rsidRPr="00386876">
        <w:rPr>
          <w:rFonts w:ascii="Franklin Gothic Book" w:hAnsi="Franklin Gothic Book"/>
          <w:sz w:val="21"/>
          <w:lang w:eastAsia="zh-CN"/>
        </w:rPr>
        <w:t>establishment</w:t>
      </w:r>
      <w:r w:rsidR="00C71FD5" w:rsidRPr="00386876">
        <w:rPr>
          <w:rFonts w:ascii="Franklin Gothic Book" w:hAnsi="Franklin Gothic Book"/>
          <w:sz w:val="21"/>
          <w:lang w:eastAsia="zh-CN"/>
        </w:rPr>
        <w:t xml:space="preserve"> of a forum for implementing a</w:t>
      </w:r>
      <w:r w:rsidR="00793BFD" w:rsidRPr="00386876">
        <w:rPr>
          <w:rFonts w:ascii="Franklin Gothic Book" w:hAnsi="Franklin Gothic Book"/>
          <w:sz w:val="21"/>
          <w:lang w:eastAsia="zh-CN"/>
        </w:rPr>
        <w:t xml:space="preserve"> Trade Policy Framework </w:t>
      </w:r>
      <w:r w:rsidR="008B0AF1">
        <w:rPr>
          <w:rFonts w:ascii="Franklin Gothic Book" w:hAnsi="Franklin Gothic Book"/>
          <w:sz w:val="21"/>
          <w:lang w:eastAsia="zh-CN"/>
        </w:rPr>
        <w:t>(through the Ministry of Trade) was another key achievement of 2014-15. The framework is expected to lead to improvements in trade competitiveness. The</w:t>
      </w:r>
      <w:r w:rsidR="00793BFD" w:rsidRPr="00386876">
        <w:rPr>
          <w:rFonts w:ascii="Franklin Gothic Book" w:hAnsi="Franklin Gothic Book"/>
          <w:sz w:val="21"/>
          <w:lang w:eastAsia="zh-CN"/>
        </w:rPr>
        <w:t xml:space="preserve"> commencement of work on a </w:t>
      </w:r>
      <w:r w:rsidR="00C71FD5" w:rsidRPr="00386876">
        <w:rPr>
          <w:rFonts w:ascii="Franklin Gothic Book" w:hAnsi="Franklin Gothic Book"/>
          <w:sz w:val="21"/>
          <w:lang w:eastAsia="zh-CN"/>
        </w:rPr>
        <w:t>competition policy (with the Asian Development Bank)</w:t>
      </w:r>
      <w:r w:rsidR="008B0AF1">
        <w:rPr>
          <w:rFonts w:ascii="Franklin Gothic Book" w:hAnsi="Franklin Gothic Book"/>
          <w:sz w:val="21"/>
          <w:lang w:eastAsia="zh-CN"/>
        </w:rPr>
        <w:t xml:space="preserve"> will also improve the business environment. </w:t>
      </w:r>
    </w:p>
    <w:p w:rsidR="00793BFD" w:rsidRPr="00386876" w:rsidRDefault="0042333A" w:rsidP="00566187">
      <w:pPr>
        <w:spacing w:after="160" w:line="280" w:lineRule="exact"/>
        <w:rPr>
          <w:rFonts w:ascii="Franklin Gothic Book" w:hAnsi="Franklin Gothic Book"/>
          <w:sz w:val="21"/>
          <w:lang w:eastAsia="zh-CN"/>
        </w:rPr>
      </w:pPr>
      <w:proofErr w:type="spellStart"/>
      <w:r>
        <w:rPr>
          <w:rFonts w:ascii="Franklin Gothic Book" w:hAnsi="Franklin Gothic Book"/>
          <w:sz w:val="21"/>
          <w:lang w:eastAsia="zh-CN"/>
        </w:rPr>
        <w:t>GfGs</w:t>
      </w:r>
      <w:proofErr w:type="spellEnd"/>
      <w:r>
        <w:rPr>
          <w:rFonts w:ascii="Franklin Gothic Book" w:hAnsi="Franklin Gothic Book"/>
          <w:sz w:val="21"/>
          <w:lang w:eastAsia="zh-CN"/>
        </w:rPr>
        <w:t xml:space="preserve"> support for improved revenue collection and public financial management continued. </w:t>
      </w:r>
      <w:r w:rsidR="00386876">
        <w:rPr>
          <w:rFonts w:ascii="Franklin Gothic Book" w:hAnsi="Franklin Gothic Book"/>
          <w:sz w:val="21"/>
          <w:lang w:eastAsia="zh-CN"/>
        </w:rPr>
        <w:t>VAT collections exceeded</w:t>
      </w:r>
      <w:r w:rsidR="00793BFD" w:rsidRPr="00386876">
        <w:rPr>
          <w:rFonts w:ascii="Franklin Gothic Book" w:hAnsi="Franklin Gothic Book"/>
          <w:sz w:val="21"/>
          <w:lang w:eastAsia="zh-CN"/>
        </w:rPr>
        <w:t xml:space="preserve"> budget projections for 2014 by six per cent</w:t>
      </w:r>
      <w:r>
        <w:rPr>
          <w:rFonts w:ascii="Franklin Gothic Book" w:hAnsi="Franklin Gothic Book"/>
          <w:sz w:val="21"/>
          <w:lang w:eastAsia="zh-CN"/>
        </w:rPr>
        <w:t>.</w:t>
      </w:r>
      <w:r w:rsidR="00393274">
        <w:rPr>
          <w:rFonts w:ascii="Franklin Gothic Book" w:hAnsi="Franklin Gothic Book"/>
          <w:sz w:val="21"/>
          <w:lang w:eastAsia="zh-CN"/>
        </w:rPr>
        <w:t xml:space="preserve"> </w:t>
      </w:r>
      <w:r>
        <w:rPr>
          <w:rFonts w:ascii="Franklin Gothic Book" w:hAnsi="Franklin Gothic Book"/>
          <w:sz w:val="21"/>
          <w:lang w:eastAsia="zh-CN"/>
        </w:rPr>
        <w:t>C</w:t>
      </w:r>
      <w:r w:rsidR="00793BFD" w:rsidRPr="00386876">
        <w:rPr>
          <w:rFonts w:ascii="Franklin Gothic Book" w:hAnsi="Franklin Gothic Book"/>
          <w:sz w:val="21"/>
          <w:lang w:eastAsia="zh-CN"/>
        </w:rPr>
        <w:t xml:space="preserve">ontinued strengthening of </w:t>
      </w:r>
      <w:r w:rsidR="00793BFD" w:rsidRPr="00386876">
        <w:rPr>
          <w:rFonts w:ascii="Franklin Gothic Book" w:hAnsi="Franklin Gothic Book"/>
          <w:sz w:val="21"/>
          <w:lang w:eastAsia="zh-CN"/>
        </w:rPr>
        <w:lastRenderedPageBreak/>
        <w:t>tender processes has resulted in stronger public expenditure control.</w:t>
      </w:r>
      <w:r w:rsidR="003213B1">
        <w:rPr>
          <w:rFonts w:ascii="Franklin Gothic Book" w:hAnsi="Franklin Gothic Book"/>
          <w:sz w:val="21"/>
          <w:lang w:eastAsia="zh-CN"/>
        </w:rPr>
        <w:t xml:space="preserve"> </w:t>
      </w:r>
      <w:proofErr w:type="spellStart"/>
      <w:r w:rsidR="00F17C2E">
        <w:rPr>
          <w:rFonts w:ascii="Franklin Gothic Book" w:hAnsi="Franklin Gothic Book"/>
          <w:sz w:val="21"/>
          <w:lang w:eastAsia="zh-CN"/>
        </w:rPr>
        <w:t>GfG’s</w:t>
      </w:r>
      <w:proofErr w:type="spellEnd"/>
      <w:r w:rsidR="003213B1">
        <w:rPr>
          <w:rFonts w:ascii="Franklin Gothic Book" w:hAnsi="Franklin Gothic Book"/>
          <w:sz w:val="21"/>
          <w:lang w:eastAsia="zh-CN"/>
        </w:rPr>
        <w:t xml:space="preserve"> work over many years to improve understanding of Vanuatu Government systems enabled Australia to provide Cyclone Pam recovery funding through a Vanuatu Government trust account</w:t>
      </w:r>
    </w:p>
    <w:p w:rsidR="00DC1FC2" w:rsidRPr="00386876" w:rsidRDefault="00DC1FC2" w:rsidP="00566187">
      <w:pPr>
        <w:spacing w:after="160" w:line="280" w:lineRule="exact"/>
        <w:rPr>
          <w:rFonts w:ascii="Franklin Gothic Book" w:hAnsi="Franklin Gothic Book"/>
          <w:sz w:val="21"/>
          <w:lang w:eastAsia="zh-CN"/>
        </w:rPr>
      </w:pPr>
      <w:r w:rsidRPr="00386876">
        <w:rPr>
          <w:rFonts w:ascii="Franklin Gothic Book" w:hAnsi="Franklin Gothic Book"/>
          <w:sz w:val="21"/>
          <w:lang w:eastAsia="zh-CN"/>
        </w:rPr>
        <w:t xml:space="preserve">More work is needed to improve </w:t>
      </w:r>
      <w:proofErr w:type="spellStart"/>
      <w:r w:rsidRPr="00386876">
        <w:rPr>
          <w:rFonts w:ascii="Franklin Gothic Book" w:hAnsi="Franklin Gothic Book"/>
          <w:sz w:val="21"/>
          <w:lang w:eastAsia="zh-CN"/>
        </w:rPr>
        <w:t>GfG’s</w:t>
      </w:r>
      <w:proofErr w:type="spellEnd"/>
      <w:r w:rsidRPr="00386876">
        <w:rPr>
          <w:rFonts w:ascii="Franklin Gothic Book" w:hAnsi="Franklin Gothic Book"/>
          <w:sz w:val="21"/>
          <w:lang w:eastAsia="zh-CN"/>
        </w:rPr>
        <w:t xml:space="preserve"> gender outcomes.  This will include a more developed analytical framework to enable identification and exploitation of opportunities to increase gender equality and identify gender disaggregated benefits of investments. </w:t>
      </w:r>
      <w:r w:rsidR="0088443D">
        <w:rPr>
          <w:rFonts w:ascii="Franklin Gothic Book" w:hAnsi="Franklin Gothic Book"/>
          <w:sz w:val="21"/>
          <w:lang w:eastAsia="zh-CN"/>
        </w:rPr>
        <w:t>A</w:t>
      </w:r>
      <w:r w:rsidR="0088443D" w:rsidRPr="00386876">
        <w:rPr>
          <w:rFonts w:ascii="Franklin Gothic Book" w:hAnsi="Franklin Gothic Book"/>
          <w:sz w:val="21"/>
          <w:lang w:eastAsia="zh-CN"/>
        </w:rPr>
        <w:t xml:space="preserve"> </w:t>
      </w:r>
      <w:r w:rsidR="00793BFD" w:rsidRPr="00386876">
        <w:rPr>
          <w:rFonts w:ascii="Franklin Gothic Book" w:hAnsi="Franklin Gothic Book"/>
          <w:sz w:val="21"/>
          <w:lang w:eastAsia="zh-CN"/>
        </w:rPr>
        <w:t xml:space="preserve">new program with the National Bank of Vanuatu assisting </w:t>
      </w:r>
      <w:r w:rsidR="0088443D">
        <w:rPr>
          <w:rFonts w:ascii="Franklin Gothic Book" w:hAnsi="Franklin Gothic Book"/>
          <w:sz w:val="21"/>
          <w:lang w:eastAsia="zh-CN"/>
        </w:rPr>
        <w:t>the</w:t>
      </w:r>
      <w:r w:rsidR="00793BFD" w:rsidRPr="00386876">
        <w:rPr>
          <w:rFonts w:ascii="Franklin Gothic Book" w:hAnsi="Franklin Gothic Book"/>
          <w:sz w:val="21"/>
          <w:lang w:eastAsia="zh-CN"/>
        </w:rPr>
        <w:t xml:space="preserve"> rollout of mobile banking technology will target women. </w:t>
      </w:r>
    </w:p>
    <w:p w:rsidR="00793BFD" w:rsidRPr="00386876" w:rsidRDefault="00793BFD" w:rsidP="00566187">
      <w:pPr>
        <w:spacing w:after="160" w:line="280" w:lineRule="exact"/>
        <w:rPr>
          <w:rStyle w:val="BodyTextChar"/>
          <w:rFonts w:eastAsia="SimSun"/>
          <w:lang w:eastAsia="zh-CN"/>
        </w:rPr>
      </w:pPr>
      <w:r w:rsidRPr="00386876">
        <w:rPr>
          <w:rFonts w:ascii="Franklin Gothic Book" w:hAnsi="Franklin Gothic Book"/>
          <w:sz w:val="21"/>
          <w:lang w:eastAsia="zh-CN"/>
        </w:rPr>
        <w:t xml:space="preserve">In 2014, </w:t>
      </w:r>
      <w:proofErr w:type="spellStart"/>
      <w:r w:rsidRPr="00386876">
        <w:rPr>
          <w:rFonts w:ascii="Franklin Gothic Book" w:hAnsi="Franklin Gothic Book"/>
          <w:sz w:val="21"/>
          <w:lang w:eastAsia="zh-CN"/>
        </w:rPr>
        <w:t>GfG</w:t>
      </w:r>
      <w:proofErr w:type="spellEnd"/>
      <w:r w:rsidRPr="00386876">
        <w:rPr>
          <w:rFonts w:ascii="Franklin Gothic Book" w:hAnsi="Franklin Gothic Book"/>
          <w:sz w:val="21"/>
          <w:lang w:eastAsia="zh-CN"/>
        </w:rPr>
        <w:t xml:space="preserve"> </w:t>
      </w:r>
      <w:r w:rsidR="009B60AB">
        <w:rPr>
          <w:rFonts w:ascii="Franklin Gothic Book" w:hAnsi="Franklin Gothic Book"/>
          <w:sz w:val="21"/>
          <w:lang w:eastAsia="zh-CN"/>
        </w:rPr>
        <w:t xml:space="preserve">continued to </w:t>
      </w:r>
      <w:r w:rsidR="00833BA6">
        <w:rPr>
          <w:rFonts w:ascii="Franklin Gothic Book" w:hAnsi="Franklin Gothic Book"/>
          <w:sz w:val="21"/>
          <w:lang w:eastAsia="zh-CN"/>
        </w:rPr>
        <w:t xml:space="preserve">explore </w:t>
      </w:r>
      <w:r w:rsidRPr="00386876">
        <w:rPr>
          <w:rFonts w:ascii="Franklin Gothic Book" w:hAnsi="Franklin Gothic Book"/>
          <w:sz w:val="21"/>
          <w:lang w:eastAsia="zh-CN"/>
        </w:rPr>
        <w:t xml:space="preserve">partnership arrangements with </w:t>
      </w:r>
      <w:r w:rsidR="00833BA6">
        <w:rPr>
          <w:rFonts w:ascii="Franklin Gothic Book" w:hAnsi="Franklin Gothic Book"/>
          <w:sz w:val="21"/>
          <w:lang w:eastAsia="zh-CN"/>
        </w:rPr>
        <w:t xml:space="preserve">the </w:t>
      </w:r>
      <w:r w:rsidRPr="00386876">
        <w:rPr>
          <w:rFonts w:ascii="Franklin Gothic Book" w:hAnsi="Franklin Gothic Book"/>
          <w:sz w:val="21"/>
          <w:lang w:eastAsia="zh-CN"/>
        </w:rPr>
        <w:t xml:space="preserve">private sector. It is currently the vehicle for coordinating and managing the partnership with Carnival Australia and provides policy advice and support to other sectors through the TVET program. </w:t>
      </w:r>
      <w:proofErr w:type="spellStart"/>
      <w:r w:rsidR="00393274">
        <w:rPr>
          <w:rFonts w:ascii="Franklin Gothic Book" w:hAnsi="Franklin Gothic Book"/>
          <w:sz w:val="21"/>
          <w:lang w:eastAsia="zh-CN"/>
        </w:rPr>
        <w:t>GfG</w:t>
      </w:r>
      <w:proofErr w:type="spellEnd"/>
      <w:r w:rsidR="00393274">
        <w:rPr>
          <w:rFonts w:ascii="Franklin Gothic Book" w:hAnsi="Franklin Gothic Book"/>
          <w:sz w:val="21"/>
          <w:lang w:eastAsia="zh-CN"/>
        </w:rPr>
        <w:t xml:space="preserve"> provided a</w:t>
      </w:r>
      <w:r w:rsidRPr="00386876">
        <w:rPr>
          <w:rFonts w:ascii="Franklin Gothic Book" w:hAnsi="Franklin Gothic Book"/>
          <w:sz w:val="21"/>
          <w:lang w:eastAsia="zh-CN"/>
        </w:rPr>
        <w:t>d-hoc su</w:t>
      </w:r>
      <w:r w:rsidR="00393274">
        <w:rPr>
          <w:rFonts w:ascii="Franklin Gothic Book" w:hAnsi="Franklin Gothic Book"/>
          <w:sz w:val="21"/>
          <w:lang w:eastAsia="zh-CN"/>
        </w:rPr>
        <w:t xml:space="preserve">pport </w:t>
      </w:r>
      <w:r w:rsidRPr="00386876">
        <w:rPr>
          <w:rFonts w:ascii="Franklin Gothic Book" w:hAnsi="Franklin Gothic Book"/>
          <w:sz w:val="21"/>
          <w:lang w:eastAsia="zh-CN"/>
        </w:rPr>
        <w:t>to the Vanuatu Chamber of Commerce and Industry (VCCI), with a view to explor</w:t>
      </w:r>
      <w:r w:rsidR="00C71FD5" w:rsidRPr="00386876">
        <w:rPr>
          <w:rFonts w:ascii="Franklin Gothic Book" w:hAnsi="Franklin Gothic Book"/>
          <w:sz w:val="21"/>
          <w:lang w:eastAsia="zh-CN"/>
        </w:rPr>
        <w:t xml:space="preserve">ing </w:t>
      </w:r>
      <w:r w:rsidRPr="00386876">
        <w:rPr>
          <w:rStyle w:val="BodyTextChar"/>
          <w:rFonts w:eastAsia="SimSun"/>
        </w:rPr>
        <w:t xml:space="preserve">innovative and more inclusive ways to enhance the partnership in the future. </w:t>
      </w:r>
    </w:p>
    <w:p w:rsidR="00CA293D" w:rsidRDefault="00CA293D" w:rsidP="00AD6EF1">
      <w:pPr>
        <w:pStyle w:val="BodyText"/>
      </w:pPr>
      <w:r w:rsidRPr="00386876">
        <w:rPr>
          <w:lang w:eastAsia="zh-CN"/>
        </w:rPr>
        <w:t>Ni-Vanuatu participation in the Seasonal Worker Programme</w:t>
      </w:r>
      <w:r w:rsidR="00305017" w:rsidRPr="00386876">
        <w:rPr>
          <w:lang w:eastAsia="zh-CN"/>
        </w:rPr>
        <w:t xml:space="preserve"> gre</w:t>
      </w:r>
      <w:r w:rsidRPr="00386876">
        <w:rPr>
          <w:lang w:eastAsia="zh-CN"/>
        </w:rPr>
        <w:t>w strongly</w:t>
      </w:r>
      <w:r w:rsidR="00305017" w:rsidRPr="00386876">
        <w:rPr>
          <w:lang w:eastAsia="zh-CN"/>
        </w:rPr>
        <w:t xml:space="preserve"> in 2014-15, with more</w:t>
      </w:r>
      <w:r w:rsidR="00305017" w:rsidRPr="00386876">
        <w:t xml:space="preserve"> than 500 participants during the year. It brings the total number of </w:t>
      </w:r>
      <w:proofErr w:type="spellStart"/>
      <w:r w:rsidR="00305017" w:rsidRPr="00386876">
        <w:t>ni</w:t>
      </w:r>
      <w:proofErr w:type="spellEnd"/>
      <w:r w:rsidR="00305017" w:rsidRPr="00386876">
        <w:t>-Vanuatu participants to over 800 since the program began in 2012</w:t>
      </w:r>
      <w:r w:rsidR="00305017" w:rsidRPr="00386876">
        <w:rPr>
          <w:lang w:eastAsia="zh-CN"/>
        </w:rPr>
        <w:t>.</w:t>
      </w:r>
      <w:r w:rsidRPr="00386876">
        <w:rPr>
          <w:lang w:eastAsia="zh-CN"/>
        </w:rPr>
        <w:t xml:space="preserve"> </w:t>
      </w:r>
      <w:r w:rsidR="00305017" w:rsidRPr="00386876">
        <w:rPr>
          <w:lang w:eastAsia="zh-CN"/>
        </w:rPr>
        <w:t xml:space="preserve">The majority have participated in </w:t>
      </w:r>
      <w:r w:rsidRPr="00386876">
        <w:t>horticulture</w:t>
      </w:r>
      <w:r w:rsidR="00305017" w:rsidRPr="00386876">
        <w:t xml:space="preserve">.  </w:t>
      </w:r>
      <w:r w:rsidR="005024D4" w:rsidRPr="00386876">
        <w:t>The</w:t>
      </w:r>
      <w:r w:rsidR="00305017" w:rsidRPr="00386876">
        <w:t xml:space="preserve"> expansion of the SWP to the agricultur</w:t>
      </w:r>
      <w:r w:rsidR="002C0886">
        <w:t>e</w:t>
      </w:r>
      <w:r w:rsidR="003F1FF6">
        <w:t>,</w:t>
      </w:r>
      <w:r w:rsidR="002C0886">
        <w:t xml:space="preserve"> tourism and </w:t>
      </w:r>
      <w:r w:rsidR="003F1FF6">
        <w:t>hospitality</w:t>
      </w:r>
      <w:r w:rsidR="002C0886">
        <w:t xml:space="preserve"> sectors </w:t>
      </w:r>
      <w:r w:rsidR="005024D4" w:rsidRPr="00386876">
        <w:t xml:space="preserve">will provide further benefits to </w:t>
      </w:r>
      <w:proofErr w:type="spellStart"/>
      <w:r w:rsidR="005024D4" w:rsidRPr="00386876">
        <w:t>ni</w:t>
      </w:r>
      <w:proofErr w:type="spellEnd"/>
      <w:r w:rsidR="005024D4" w:rsidRPr="00386876">
        <w:t>-Vanuatu given the prominence of those sectors in Vanuatu and the relevance of those skills to jobs and livelihoods, complementing our investments in</w:t>
      </w:r>
      <w:r w:rsidR="00193C1E">
        <w:t>-</w:t>
      </w:r>
      <w:r w:rsidR="005024D4" w:rsidRPr="00386876">
        <w:t xml:space="preserve">country.  </w:t>
      </w:r>
    </w:p>
    <w:p w:rsidR="009746EC" w:rsidRPr="00386876" w:rsidRDefault="00B33F82" w:rsidP="00AD6EF1">
      <w:pPr>
        <w:pStyle w:val="BodyText"/>
        <w:rPr>
          <w:rFonts w:ascii="Times New Roman" w:hAnsi="Times New Roman"/>
          <w:sz w:val="20"/>
        </w:rPr>
      </w:pPr>
      <w:r>
        <w:t>Land is a challenging area of government policy in Vanuatu. Australia continued to support policy dialogue on land governance in 2014-15, including the Department of Land</w:t>
      </w:r>
      <w:r w:rsidR="00CA7D87">
        <w:t xml:space="preserve"> and Customary Land Management Office</w:t>
      </w:r>
      <w:r>
        <w:t xml:space="preserve"> consultations</w:t>
      </w:r>
      <w:r w:rsidR="00C72050">
        <w:t>,</w:t>
      </w:r>
      <w:r>
        <w:t xml:space="preserve"> and proposed piloting of new land laws gazetted in February 2014. Australian assistance also supported</w:t>
      </w:r>
      <w:r w:rsidR="00CA7D87">
        <w:t>:</w:t>
      </w:r>
      <w:r>
        <w:t xml:space="preserve"> scanning of 14,000 land registry files</w:t>
      </w:r>
      <w:r w:rsidR="00CA7D87">
        <w:t>;</w:t>
      </w:r>
      <w:r>
        <w:t xml:space="preserve"> completion of </w:t>
      </w:r>
      <w:r w:rsidRPr="00B33F82">
        <w:t xml:space="preserve">Port Vila and </w:t>
      </w:r>
      <w:proofErr w:type="spellStart"/>
      <w:r w:rsidRPr="00B33F82">
        <w:t>Luganville</w:t>
      </w:r>
      <w:proofErr w:type="spellEnd"/>
      <w:r w:rsidRPr="00B33F82">
        <w:t xml:space="preserve"> valuation roles</w:t>
      </w:r>
      <w:r w:rsidR="00CA7D87">
        <w:t xml:space="preserve"> and valuation zone maps (which will provide a sound basis for the determination of land rents and municipal rates);</w:t>
      </w:r>
      <w:r>
        <w:t xml:space="preserve"> further i</w:t>
      </w:r>
      <w:r w:rsidRPr="00B33F82">
        <w:t>mprovements to the integrity of</w:t>
      </w:r>
      <w:r>
        <w:t xml:space="preserve"> the digital cadastral database</w:t>
      </w:r>
      <w:r w:rsidR="00CA7D87">
        <w:t>;</w:t>
      </w:r>
      <w:r>
        <w:t xml:space="preserve"> and improved use of new survey equipment. Following the change of Vanuatu Government in June 2015, Vanuatu’s approach to land policy is being reviewed. </w:t>
      </w:r>
      <w:r w:rsidR="00C35614">
        <w:t xml:space="preserve">The current phase of </w:t>
      </w:r>
      <w:r>
        <w:t xml:space="preserve">Australian support to the lands sector </w:t>
      </w:r>
      <w:r w:rsidR="00C72050">
        <w:t>will</w:t>
      </w:r>
      <w:r>
        <w:t xml:space="preserve"> conclude in 2015. </w:t>
      </w:r>
    </w:p>
    <w:p w:rsidR="00EC14F2" w:rsidRDefault="00EC14F2" w:rsidP="00EC14F2">
      <w:pPr>
        <w:pStyle w:val="Heading3"/>
        <w:rPr>
          <w:color w:val="FF0000"/>
        </w:rPr>
      </w:pPr>
      <w:r w:rsidRPr="00C57923">
        <w:t xml:space="preserve">Objective </w:t>
      </w:r>
      <w:r>
        <w:t>4: Develop essential infrastructure to support economic growth and service delivery</w:t>
      </w:r>
    </w:p>
    <w:p w:rsidR="009746EC" w:rsidRDefault="00193C1E" w:rsidP="002E7A25">
      <w:pPr>
        <w:spacing w:after="120" w:line="280" w:lineRule="exact"/>
        <w:rPr>
          <w:rFonts w:ascii="Franklin Gothic Book" w:eastAsia="Times New Roman" w:hAnsi="Franklin Gothic Book"/>
          <w:sz w:val="21"/>
        </w:rPr>
      </w:pPr>
      <w:r>
        <w:rPr>
          <w:rFonts w:ascii="Franklin Gothic Book" w:eastAsia="Times New Roman" w:hAnsi="Franklin Gothic Book"/>
          <w:sz w:val="21"/>
        </w:rPr>
        <w:t>P</w:t>
      </w:r>
      <w:r w:rsidR="00916E13">
        <w:rPr>
          <w:rFonts w:ascii="Franklin Gothic Book" w:eastAsia="Times New Roman" w:hAnsi="Franklin Gothic Book"/>
          <w:sz w:val="21"/>
        </w:rPr>
        <w:t xml:space="preserve">rogress in some areas </w:t>
      </w:r>
      <w:r>
        <w:rPr>
          <w:rFonts w:ascii="Franklin Gothic Book" w:eastAsia="Times New Roman" w:hAnsi="Franklin Gothic Book"/>
          <w:sz w:val="21"/>
        </w:rPr>
        <w:t xml:space="preserve">of work in support of this objective </w:t>
      </w:r>
      <w:r w:rsidR="001406FA">
        <w:rPr>
          <w:rFonts w:ascii="Franklin Gothic Book" w:eastAsia="Times New Roman" w:hAnsi="Franklin Gothic Book"/>
          <w:sz w:val="21"/>
        </w:rPr>
        <w:t>was</w:t>
      </w:r>
      <w:r w:rsidR="00916E13">
        <w:rPr>
          <w:rFonts w:ascii="Franklin Gothic Book" w:eastAsia="Times New Roman" w:hAnsi="Franklin Gothic Book"/>
          <w:sz w:val="21"/>
        </w:rPr>
        <w:t xml:space="preserve"> slower than expected</w:t>
      </w:r>
      <w:r w:rsidR="004F6806">
        <w:rPr>
          <w:rFonts w:ascii="Franklin Gothic Book" w:eastAsia="Times New Roman" w:hAnsi="Franklin Gothic Book"/>
          <w:sz w:val="21"/>
        </w:rPr>
        <w:t>.</w:t>
      </w:r>
    </w:p>
    <w:tbl>
      <w:tblPr>
        <w:tblStyle w:val="TableGrid4"/>
        <w:tblW w:w="0" w:type="auto"/>
        <w:shd w:val="clear" w:color="auto" w:fill="C7D5E6"/>
        <w:tblLook w:val="04A0" w:firstRow="1" w:lastRow="0" w:firstColumn="1" w:lastColumn="0" w:noHBand="0" w:noVBand="1"/>
      </w:tblPr>
      <w:tblGrid>
        <w:gridCol w:w="2943"/>
        <w:gridCol w:w="5551"/>
      </w:tblGrid>
      <w:tr w:rsidR="009746EC" w:rsidRPr="001153FA" w:rsidTr="009205AB">
        <w:trPr>
          <w:trHeight w:val="922"/>
        </w:trPr>
        <w:tc>
          <w:tcPr>
            <w:tcW w:w="2943" w:type="dxa"/>
            <w:shd w:val="clear" w:color="auto" w:fill="C7D5E6"/>
          </w:tcPr>
          <w:p w:rsidR="009746EC" w:rsidRPr="001153FA" w:rsidRDefault="009746EC" w:rsidP="009205AB">
            <w:pPr>
              <w:spacing w:after="160" w:line="280" w:lineRule="exact"/>
              <w:rPr>
                <w:rFonts w:asciiTheme="minorHAnsi" w:eastAsia="Times New Roman" w:hAnsiTheme="minorHAnsi"/>
                <w:sz w:val="22"/>
                <w:szCs w:val="22"/>
              </w:rPr>
            </w:pPr>
            <w:r w:rsidRPr="001153FA">
              <w:rPr>
                <w:rFonts w:asciiTheme="minorHAnsi" w:eastAsia="Times New Roman" w:hAnsiTheme="minorHAnsi"/>
                <w:sz w:val="22"/>
                <w:szCs w:val="22"/>
              </w:rPr>
              <w:t>Shared development outcome:</w:t>
            </w:r>
          </w:p>
        </w:tc>
        <w:tc>
          <w:tcPr>
            <w:tcW w:w="5551" w:type="dxa"/>
            <w:shd w:val="clear" w:color="auto" w:fill="C7D5E6"/>
          </w:tcPr>
          <w:p w:rsidR="009746EC" w:rsidRPr="001153FA" w:rsidRDefault="009746EC" w:rsidP="009205AB">
            <w:pPr>
              <w:spacing w:line="280" w:lineRule="exact"/>
              <w:rPr>
                <w:rFonts w:asciiTheme="minorHAnsi" w:eastAsia="Times New Roman" w:hAnsiTheme="minorHAnsi"/>
                <w:i/>
                <w:sz w:val="22"/>
                <w:szCs w:val="22"/>
              </w:rPr>
            </w:pPr>
            <w:r w:rsidRPr="001153FA">
              <w:rPr>
                <w:rFonts w:asciiTheme="minorHAnsi" w:eastAsia="Times New Roman" w:hAnsiTheme="minorHAnsi"/>
                <w:i/>
                <w:sz w:val="22"/>
                <w:szCs w:val="22"/>
              </w:rPr>
              <w:t>Rehabilitation and improved maintenance of high priority rural roads</w:t>
            </w:r>
          </w:p>
          <w:p w:rsidR="009746EC" w:rsidRPr="001153FA" w:rsidRDefault="009746EC" w:rsidP="009205AB">
            <w:pPr>
              <w:spacing w:line="280" w:lineRule="exact"/>
              <w:rPr>
                <w:rFonts w:asciiTheme="minorHAnsi" w:eastAsia="Times New Roman" w:hAnsiTheme="minorHAnsi"/>
                <w:i/>
                <w:sz w:val="22"/>
                <w:szCs w:val="22"/>
              </w:rPr>
            </w:pPr>
            <w:r w:rsidRPr="001153FA">
              <w:rPr>
                <w:rFonts w:asciiTheme="minorHAnsi" w:eastAsia="Times New Roman" w:hAnsiTheme="minorHAnsi"/>
                <w:i/>
                <w:sz w:val="22"/>
                <w:szCs w:val="22"/>
              </w:rPr>
              <w:t>Contribute to sustainable urban development in Port Vila through improved road, drainage and sanitation infrastructure and services</w:t>
            </w:r>
          </w:p>
        </w:tc>
      </w:tr>
      <w:tr w:rsidR="009746EC" w:rsidRPr="001153FA" w:rsidTr="009205AB">
        <w:tc>
          <w:tcPr>
            <w:tcW w:w="2943" w:type="dxa"/>
            <w:shd w:val="clear" w:color="auto" w:fill="C7D5E6"/>
          </w:tcPr>
          <w:p w:rsidR="009746EC" w:rsidRPr="001153FA" w:rsidRDefault="009746EC" w:rsidP="009205AB">
            <w:pPr>
              <w:spacing w:after="160" w:line="280" w:lineRule="exact"/>
              <w:rPr>
                <w:rFonts w:asciiTheme="minorHAnsi" w:eastAsia="Times New Roman" w:hAnsiTheme="minorHAnsi"/>
                <w:sz w:val="22"/>
                <w:szCs w:val="22"/>
              </w:rPr>
            </w:pPr>
            <w:r w:rsidRPr="001153FA">
              <w:rPr>
                <w:rFonts w:asciiTheme="minorHAnsi" w:eastAsia="Times New Roman" w:hAnsiTheme="minorHAnsi"/>
                <w:sz w:val="22"/>
                <w:szCs w:val="22"/>
              </w:rPr>
              <w:t>Australia’s objective:</w:t>
            </w:r>
          </w:p>
        </w:tc>
        <w:tc>
          <w:tcPr>
            <w:tcW w:w="5551" w:type="dxa"/>
            <w:shd w:val="clear" w:color="auto" w:fill="C7D5E6"/>
          </w:tcPr>
          <w:p w:rsidR="009746EC" w:rsidRPr="001153FA" w:rsidRDefault="009746EC" w:rsidP="009205AB">
            <w:pPr>
              <w:spacing w:line="280" w:lineRule="exact"/>
              <w:rPr>
                <w:rFonts w:asciiTheme="minorHAnsi" w:eastAsia="Times New Roman" w:hAnsiTheme="minorHAnsi"/>
                <w:i/>
                <w:sz w:val="22"/>
                <w:szCs w:val="22"/>
              </w:rPr>
            </w:pPr>
            <w:r w:rsidRPr="001153FA">
              <w:rPr>
                <w:rFonts w:asciiTheme="minorHAnsi" w:eastAsia="Times New Roman" w:hAnsiTheme="minorHAnsi"/>
                <w:i/>
                <w:sz w:val="22"/>
                <w:szCs w:val="22"/>
              </w:rPr>
              <w:t>Support the Vanuatu Government build the skills, systems and resources to manage its core national road network</w:t>
            </w:r>
          </w:p>
          <w:p w:rsidR="009746EC" w:rsidRPr="001153FA" w:rsidRDefault="009746EC" w:rsidP="009205AB">
            <w:pPr>
              <w:spacing w:line="280" w:lineRule="exact"/>
              <w:rPr>
                <w:rFonts w:asciiTheme="minorHAnsi" w:eastAsia="Times New Roman" w:hAnsiTheme="minorHAnsi"/>
                <w:i/>
                <w:sz w:val="22"/>
                <w:szCs w:val="22"/>
              </w:rPr>
            </w:pPr>
            <w:r w:rsidRPr="001153FA">
              <w:rPr>
                <w:rFonts w:asciiTheme="minorHAnsi" w:eastAsia="Times New Roman" w:hAnsiTheme="minorHAnsi"/>
                <w:i/>
                <w:sz w:val="22"/>
                <w:szCs w:val="22"/>
              </w:rPr>
              <w:t>Support the Provincial Works Department maintain key r</w:t>
            </w:r>
            <w:r w:rsidR="009A7BFC">
              <w:rPr>
                <w:rFonts w:asciiTheme="minorHAnsi" w:eastAsia="Times New Roman" w:hAnsiTheme="minorHAnsi"/>
                <w:i/>
                <w:sz w:val="22"/>
                <w:szCs w:val="22"/>
              </w:rPr>
              <w:t>o</w:t>
            </w:r>
            <w:r w:rsidRPr="001153FA">
              <w:rPr>
                <w:rFonts w:asciiTheme="minorHAnsi" w:eastAsia="Times New Roman" w:hAnsiTheme="minorHAnsi"/>
                <w:i/>
                <w:sz w:val="22"/>
                <w:szCs w:val="22"/>
              </w:rPr>
              <w:t xml:space="preserve">ad infrastructure on </w:t>
            </w:r>
            <w:proofErr w:type="spellStart"/>
            <w:r w:rsidRPr="001153FA">
              <w:rPr>
                <w:rFonts w:asciiTheme="minorHAnsi" w:eastAsia="Times New Roman" w:hAnsiTheme="minorHAnsi"/>
                <w:i/>
                <w:sz w:val="22"/>
                <w:szCs w:val="22"/>
              </w:rPr>
              <w:t>Ambae</w:t>
            </w:r>
            <w:proofErr w:type="spellEnd"/>
            <w:r w:rsidRPr="001153FA">
              <w:rPr>
                <w:rFonts w:asciiTheme="minorHAnsi" w:eastAsia="Times New Roman" w:hAnsiTheme="minorHAnsi"/>
                <w:i/>
                <w:sz w:val="22"/>
                <w:szCs w:val="22"/>
              </w:rPr>
              <w:t xml:space="preserve">, </w:t>
            </w:r>
            <w:proofErr w:type="spellStart"/>
            <w:r w:rsidRPr="001153FA">
              <w:rPr>
                <w:rFonts w:asciiTheme="minorHAnsi" w:eastAsia="Times New Roman" w:hAnsiTheme="minorHAnsi"/>
                <w:i/>
                <w:sz w:val="22"/>
                <w:szCs w:val="22"/>
              </w:rPr>
              <w:t>Malekula</w:t>
            </w:r>
            <w:proofErr w:type="spellEnd"/>
            <w:r w:rsidRPr="001153FA">
              <w:rPr>
                <w:rFonts w:asciiTheme="minorHAnsi" w:eastAsia="Times New Roman" w:hAnsiTheme="minorHAnsi"/>
                <w:i/>
                <w:sz w:val="22"/>
                <w:szCs w:val="22"/>
              </w:rPr>
              <w:t xml:space="preserve">, </w:t>
            </w:r>
            <w:proofErr w:type="spellStart"/>
            <w:r w:rsidRPr="001153FA">
              <w:rPr>
                <w:rFonts w:asciiTheme="minorHAnsi" w:eastAsia="Times New Roman" w:hAnsiTheme="minorHAnsi"/>
                <w:i/>
                <w:sz w:val="22"/>
                <w:szCs w:val="22"/>
              </w:rPr>
              <w:t>Tanna</w:t>
            </w:r>
            <w:proofErr w:type="spellEnd"/>
            <w:r w:rsidRPr="001153FA">
              <w:rPr>
                <w:rFonts w:asciiTheme="minorHAnsi" w:eastAsia="Times New Roman" w:hAnsiTheme="minorHAnsi"/>
                <w:i/>
                <w:sz w:val="22"/>
                <w:szCs w:val="22"/>
              </w:rPr>
              <w:t xml:space="preserve"> and Pentecost</w:t>
            </w:r>
          </w:p>
          <w:p w:rsidR="009746EC" w:rsidRDefault="009746EC" w:rsidP="009205AB">
            <w:pPr>
              <w:spacing w:line="280" w:lineRule="exact"/>
              <w:rPr>
                <w:rFonts w:asciiTheme="minorHAnsi" w:eastAsia="Times New Roman" w:hAnsiTheme="minorHAnsi"/>
                <w:i/>
                <w:sz w:val="22"/>
                <w:szCs w:val="22"/>
              </w:rPr>
            </w:pPr>
            <w:r w:rsidRPr="001153FA">
              <w:rPr>
                <w:rFonts w:asciiTheme="minorHAnsi" w:eastAsia="Times New Roman" w:hAnsiTheme="minorHAnsi"/>
                <w:i/>
                <w:sz w:val="22"/>
                <w:szCs w:val="22"/>
              </w:rPr>
              <w:t xml:space="preserve">Improved road network and drainage system in greater Port Vila; improved treatment of septic waste; provision of </w:t>
            </w:r>
            <w:r w:rsidRPr="001153FA">
              <w:rPr>
                <w:rFonts w:asciiTheme="minorHAnsi" w:eastAsia="Times New Roman" w:hAnsiTheme="minorHAnsi"/>
                <w:i/>
                <w:sz w:val="22"/>
                <w:szCs w:val="22"/>
              </w:rPr>
              <w:lastRenderedPageBreak/>
              <w:t>multipurpose sanitation areas in target areas</w:t>
            </w:r>
          </w:p>
          <w:p w:rsidR="009746EC" w:rsidRPr="001153FA" w:rsidRDefault="009746EC" w:rsidP="009205AB">
            <w:pPr>
              <w:spacing w:line="280" w:lineRule="exact"/>
              <w:rPr>
                <w:rFonts w:asciiTheme="minorHAnsi" w:eastAsia="Times New Roman" w:hAnsiTheme="minorHAnsi"/>
                <w:i/>
                <w:sz w:val="22"/>
                <w:szCs w:val="22"/>
              </w:rPr>
            </w:pPr>
          </w:p>
        </w:tc>
      </w:tr>
    </w:tbl>
    <w:p w:rsidR="001D4E95" w:rsidRPr="00B87DBC" w:rsidRDefault="001D4E95" w:rsidP="001D4E95">
      <w:pPr>
        <w:spacing w:after="120" w:line="280" w:lineRule="exact"/>
        <w:rPr>
          <w:rFonts w:ascii="Franklin Gothic Book" w:eastAsia="Times New Roman" w:hAnsi="Franklin Gothic Book"/>
          <w:sz w:val="21"/>
        </w:rPr>
      </w:pPr>
      <w:r>
        <w:rPr>
          <w:rFonts w:ascii="Franklin Gothic Book" w:eastAsia="Times New Roman" w:hAnsi="Franklin Gothic Book"/>
          <w:sz w:val="21"/>
        </w:rPr>
        <w:lastRenderedPageBreak/>
        <w:t xml:space="preserve">Vanuatu’s infrastructure sector is undergoing significant change. </w:t>
      </w:r>
      <w:r w:rsidRPr="009A7BFC">
        <w:rPr>
          <w:rFonts w:ascii="Franklin Gothic Book" w:eastAsia="Times New Roman" w:hAnsi="Franklin Gothic Book"/>
          <w:sz w:val="21"/>
        </w:rPr>
        <w:t xml:space="preserve">At present, Vanuatu has six major loan financed projects in the pipeline </w:t>
      </w:r>
      <w:r>
        <w:rPr>
          <w:rFonts w:ascii="Franklin Gothic Book" w:eastAsia="Times New Roman" w:hAnsi="Franklin Gothic Book"/>
          <w:sz w:val="21"/>
        </w:rPr>
        <w:t>totalling US$321 million</w:t>
      </w:r>
      <w:r w:rsidRPr="009A7BFC">
        <w:rPr>
          <w:rFonts w:ascii="Franklin Gothic Book" w:eastAsia="Times New Roman" w:hAnsi="Franklin Gothic Book"/>
          <w:sz w:val="21"/>
        </w:rPr>
        <w:t>: US$34 million from ADB (11%), $84 million from JICA (26%), US$59 million from World Bank (18%)</w:t>
      </w:r>
      <w:r>
        <w:rPr>
          <w:rFonts w:ascii="Franklin Gothic Book" w:eastAsia="Times New Roman" w:hAnsi="Franklin Gothic Book"/>
          <w:sz w:val="21"/>
        </w:rPr>
        <w:t xml:space="preserve"> </w:t>
      </w:r>
      <w:r w:rsidRPr="009A7BFC">
        <w:rPr>
          <w:rFonts w:ascii="Franklin Gothic Book" w:eastAsia="Times New Roman" w:hAnsi="Franklin Gothic Book"/>
          <w:sz w:val="21"/>
        </w:rPr>
        <w:t>and US$144 million from China EXIM (45%).</w:t>
      </w:r>
      <w:r>
        <w:rPr>
          <w:rFonts w:ascii="Franklin Gothic Book" w:eastAsia="Times New Roman" w:hAnsi="Franklin Gothic Book"/>
          <w:sz w:val="21"/>
        </w:rPr>
        <w:t xml:space="preserve">  </w:t>
      </w:r>
      <w:r w:rsidR="00BE7966" w:rsidRPr="00BE7966">
        <w:rPr>
          <w:rFonts w:ascii="Franklin Gothic Book" w:eastAsia="Times New Roman" w:hAnsi="Franklin Gothic Book"/>
          <w:sz w:val="21"/>
        </w:rPr>
        <w:t xml:space="preserve">Considering the capacity limitations in </w:t>
      </w:r>
      <w:r w:rsidR="00BD6092">
        <w:rPr>
          <w:rFonts w:ascii="Franklin Gothic Book" w:eastAsia="Times New Roman" w:hAnsi="Franklin Gothic Book"/>
          <w:sz w:val="21"/>
        </w:rPr>
        <w:t>the Public Works Department (</w:t>
      </w:r>
      <w:r w:rsidR="00BE7966" w:rsidRPr="00BE7966">
        <w:rPr>
          <w:rFonts w:ascii="Franklin Gothic Book" w:eastAsia="Times New Roman" w:hAnsi="Franklin Gothic Book"/>
          <w:sz w:val="21"/>
        </w:rPr>
        <w:t>PWD</w:t>
      </w:r>
      <w:r w:rsidR="00BD6092">
        <w:rPr>
          <w:rFonts w:ascii="Franklin Gothic Book" w:eastAsia="Times New Roman" w:hAnsi="Franklin Gothic Book"/>
          <w:sz w:val="21"/>
        </w:rPr>
        <w:t>)</w:t>
      </w:r>
      <w:r w:rsidR="00BE7966" w:rsidRPr="00BE7966">
        <w:rPr>
          <w:rFonts w:ascii="Franklin Gothic Book" w:eastAsia="Times New Roman" w:hAnsi="Franklin Gothic Book"/>
          <w:sz w:val="21"/>
        </w:rPr>
        <w:t xml:space="preserve"> and increas</w:t>
      </w:r>
      <w:r w:rsidR="00BE7966">
        <w:rPr>
          <w:rFonts w:ascii="Franklin Gothic Book" w:eastAsia="Times New Roman" w:hAnsi="Franklin Gothic Book"/>
          <w:sz w:val="21"/>
        </w:rPr>
        <w:t>ing</w:t>
      </w:r>
      <w:r w:rsidR="00BE7966" w:rsidRPr="00BE7966">
        <w:rPr>
          <w:rFonts w:ascii="Franklin Gothic Book" w:eastAsia="Times New Roman" w:hAnsi="Franklin Gothic Book"/>
          <w:sz w:val="21"/>
        </w:rPr>
        <w:t xml:space="preserve"> support from </w:t>
      </w:r>
      <w:r w:rsidR="00BE7966">
        <w:rPr>
          <w:rFonts w:ascii="Franklin Gothic Book" w:eastAsia="Times New Roman" w:hAnsi="Franklin Gothic Book"/>
          <w:sz w:val="21"/>
        </w:rPr>
        <w:t>other</w:t>
      </w:r>
      <w:r w:rsidR="00BE7966" w:rsidRPr="00BE7966">
        <w:rPr>
          <w:rFonts w:ascii="Franklin Gothic Book" w:eastAsia="Times New Roman" w:hAnsi="Franklin Gothic Book"/>
          <w:sz w:val="21"/>
        </w:rPr>
        <w:t xml:space="preserve"> donors, Australia’s role in the sector may need to change over time.</w:t>
      </w:r>
      <w:r w:rsidR="00BE7966">
        <w:rPr>
          <w:rFonts w:ascii="Franklin Gothic Book" w:eastAsia="Times New Roman" w:hAnsi="Franklin Gothic Book"/>
          <w:sz w:val="21"/>
        </w:rPr>
        <w:t xml:space="preserve"> </w:t>
      </w:r>
      <w:r>
        <w:rPr>
          <w:rFonts w:ascii="Franklin Gothic Book" w:eastAsia="Times New Roman" w:hAnsi="Franklin Gothic Book"/>
          <w:sz w:val="21"/>
        </w:rPr>
        <w:t xml:space="preserve">Our investments will increasingly need to support policy dialogue and performance management in PWD.  Cyclone Pam not only did significant damage to infrastructure assets, but will also compound the challenges the sector faces by increasing the strain on PWD implementation capacity. </w:t>
      </w:r>
    </w:p>
    <w:p w:rsidR="002E7A25" w:rsidRPr="00E077B1" w:rsidRDefault="002E7A25" w:rsidP="002E7A25">
      <w:pPr>
        <w:spacing w:after="120" w:line="280" w:lineRule="exact"/>
        <w:rPr>
          <w:rFonts w:ascii="Franklin Gothic Book" w:eastAsia="Times New Roman" w:hAnsi="Franklin Gothic Book"/>
          <w:sz w:val="21"/>
        </w:rPr>
      </w:pPr>
      <w:r w:rsidRPr="00E077B1">
        <w:rPr>
          <w:rFonts w:ascii="Franklin Gothic Book" w:eastAsia="Times New Roman" w:hAnsi="Franklin Gothic Book"/>
          <w:sz w:val="21"/>
        </w:rPr>
        <w:t xml:space="preserve">The Roads for Development program (R4D) is a long term program (10-15 years) designed to improve economic growth and service delivery in rural areas through increased access to a well maintained, affordable and integrated transport network. Key activities include physical civil works on the islands of </w:t>
      </w:r>
      <w:proofErr w:type="spellStart"/>
      <w:r w:rsidRPr="00E077B1">
        <w:rPr>
          <w:rFonts w:ascii="Franklin Gothic Book" w:eastAsia="Times New Roman" w:hAnsi="Franklin Gothic Book"/>
          <w:sz w:val="21"/>
        </w:rPr>
        <w:t>Tanna</w:t>
      </w:r>
      <w:proofErr w:type="spellEnd"/>
      <w:r w:rsidRPr="00E077B1">
        <w:rPr>
          <w:rFonts w:ascii="Franklin Gothic Book" w:eastAsia="Times New Roman" w:hAnsi="Franklin Gothic Book"/>
          <w:sz w:val="21"/>
        </w:rPr>
        <w:t xml:space="preserve">, </w:t>
      </w:r>
      <w:proofErr w:type="spellStart"/>
      <w:r w:rsidRPr="00E077B1">
        <w:rPr>
          <w:rFonts w:ascii="Franklin Gothic Book" w:eastAsia="Times New Roman" w:hAnsi="Franklin Gothic Book"/>
          <w:sz w:val="21"/>
        </w:rPr>
        <w:t>Malekula</w:t>
      </w:r>
      <w:proofErr w:type="spellEnd"/>
      <w:r w:rsidRPr="00E077B1">
        <w:rPr>
          <w:rFonts w:ascii="Franklin Gothic Book" w:eastAsia="Times New Roman" w:hAnsi="Franklin Gothic Book"/>
          <w:sz w:val="21"/>
        </w:rPr>
        <w:t xml:space="preserve">, </w:t>
      </w:r>
      <w:proofErr w:type="spellStart"/>
      <w:r w:rsidRPr="00E077B1">
        <w:rPr>
          <w:rFonts w:ascii="Franklin Gothic Book" w:eastAsia="Times New Roman" w:hAnsi="Franklin Gothic Book"/>
          <w:sz w:val="21"/>
        </w:rPr>
        <w:t>Ambae</w:t>
      </w:r>
      <w:proofErr w:type="spellEnd"/>
      <w:r w:rsidRPr="00E077B1">
        <w:rPr>
          <w:rFonts w:ascii="Franklin Gothic Book" w:eastAsia="Times New Roman" w:hAnsi="Franklin Gothic Book"/>
          <w:sz w:val="21"/>
        </w:rPr>
        <w:t xml:space="preserve"> and Pentecost, institutional trans</w:t>
      </w:r>
      <w:r>
        <w:rPr>
          <w:rFonts w:ascii="Franklin Gothic Book" w:eastAsia="Times New Roman" w:hAnsi="Franklin Gothic Book"/>
          <w:sz w:val="21"/>
        </w:rPr>
        <w:t>formation such as establishing public financial management and p</w:t>
      </w:r>
      <w:r w:rsidRPr="00E077B1">
        <w:rPr>
          <w:rFonts w:ascii="Franklin Gothic Book" w:eastAsia="Times New Roman" w:hAnsi="Franklin Gothic Book"/>
          <w:sz w:val="21"/>
        </w:rPr>
        <w:t>rocuremen</w:t>
      </w:r>
      <w:r>
        <w:rPr>
          <w:rFonts w:ascii="Franklin Gothic Book" w:eastAsia="Times New Roman" w:hAnsi="Franklin Gothic Book"/>
          <w:sz w:val="21"/>
        </w:rPr>
        <w:t>t systems and processes, and human resources</w:t>
      </w:r>
      <w:r w:rsidRPr="00E077B1">
        <w:rPr>
          <w:rFonts w:ascii="Franklin Gothic Book" w:eastAsia="Times New Roman" w:hAnsi="Franklin Gothic Book"/>
          <w:sz w:val="21"/>
        </w:rPr>
        <w:t xml:space="preserve"> capacity building.</w:t>
      </w:r>
    </w:p>
    <w:p w:rsidR="004F6806" w:rsidRDefault="004F6806" w:rsidP="004F6806">
      <w:pPr>
        <w:spacing w:after="120" w:line="280" w:lineRule="exact"/>
        <w:rPr>
          <w:rFonts w:ascii="Franklin Gothic Book" w:eastAsia="Times New Roman" w:hAnsi="Franklin Gothic Book"/>
          <w:sz w:val="21"/>
        </w:rPr>
      </w:pPr>
      <w:r>
        <w:rPr>
          <w:rFonts w:ascii="Franklin Gothic Book" w:eastAsia="Times New Roman" w:hAnsi="Franklin Gothic Book"/>
          <w:sz w:val="21"/>
        </w:rPr>
        <w:t xml:space="preserve">By 30 June 2015, R4D had maintained </w:t>
      </w:r>
      <w:r w:rsidRPr="00E077B1">
        <w:rPr>
          <w:rFonts w:ascii="Franklin Gothic Book" w:eastAsia="Times New Roman" w:hAnsi="Franklin Gothic Book"/>
          <w:sz w:val="21"/>
        </w:rPr>
        <w:t>147</w:t>
      </w:r>
      <w:r>
        <w:rPr>
          <w:rFonts w:ascii="Franklin Gothic Book" w:eastAsia="Times New Roman" w:hAnsi="Franklin Gothic Book"/>
          <w:sz w:val="21"/>
        </w:rPr>
        <w:t xml:space="preserve"> kilometres</w:t>
      </w:r>
      <w:r w:rsidRPr="00E077B1">
        <w:rPr>
          <w:rFonts w:ascii="Franklin Gothic Book" w:eastAsia="Times New Roman" w:hAnsi="Franklin Gothic Book"/>
          <w:sz w:val="21"/>
        </w:rPr>
        <w:t xml:space="preserve"> of </w:t>
      </w:r>
      <w:r>
        <w:rPr>
          <w:rFonts w:ascii="Franklin Gothic Book" w:eastAsia="Times New Roman" w:hAnsi="Franklin Gothic Book"/>
          <w:sz w:val="21"/>
        </w:rPr>
        <w:t xml:space="preserve">rural </w:t>
      </w:r>
      <w:r w:rsidRPr="00E077B1">
        <w:rPr>
          <w:rFonts w:ascii="Franklin Gothic Book" w:eastAsia="Times New Roman" w:hAnsi="Franklin Gothic Book"/>
          <w:sz w:val="21"/>
        </w:rPr>
        <w:t>road</w:t>
      </w:r>
      <w:r>
        <w:rPr>
          <w:rFonts w:ascii="Franklin Gothic Book" w:eastAsia="Times New Roman" w:hAnsi="Franklin Gothic Book"/>
          <w:sz w:val="21"/>
        </w:rPr>
        <w:t>s</w:t>
      </w:r>
      <w:r w:rsidRPr="00E077B1">
        <w:rPr>
          <w:rFonts w:ascii="Franklin Gothic Book" w:eastAsia="Times New Roman" w:hAnsi="Franklin Gothic Book"/>
          <w:sz w:val="21"/>
        </w:rPr>
        <w:t xml:space="preserve">, </w:t>
      </w:r>
      <w:r>
        <w:rPr>
          <w:rFonts w:ascii="Franklin Gothic Book" w:eastAsia="Times New Roman" w:hAnsi="Franklin Gothic Book"/>
          <w:sz w:val="21"/>
        </w:rPr>
        <w:t xml:space="preserve">and built </w:t>
      </w:r>
      <w:r w:rsidRPr="00E077B1">
        <w:rPr>
          <w:rFonts w:ascii="Franklin Gothic Book" w:eastAsia="Times New Roman" w:hAnsi="Franklin Gothic Book"/>
          <w:sz w:val="21"/>
        </w:rPr>
        <w:t>173 drainag</w:t>
      </w:r>
      <w:r>
        <w:rPr>
          <w:rFonts w:ascii="Franklin Gothic Book" w:eastAsia="Times New Roman" w:hAnsi="Franklin Gothic Book"/>
          <w:sz w:val="21"/>
        </w:rPr>
        <w:t xml:space="preserve">e </w:t>
      </w:r>
      <w:r w:rsidRPr="00E6671B">
        <w:rPr>
          <w:rFonts w:ascii="Franklin Gothic Book" w:eastAsia="Times New Roman" w:hAnsi="Franklin Gothic Book"/>
          <w:sz w:val="21"/>
        </w:rPr>
        <w:t>structures</w:t>
      </w:r>
      <w:r w:rsidR="00833BA6">
        <w:rPr>
          <w:rFonts w:ascii="Franklin Gothic Book" w:eastAsia="Times New Roman" w:hAnsi="Franklin Gothic Book"/>
          <w:sz w:val="21"/>
        </w:rPr>
        <w:t xml:space="preserve"> since the program commenced in July 2013</w:t>
      </w:r>
      <w:r w:rsidRPr="00E6671B">
        <w:rPr>
          <w:rFonts w:ascii="Franklin Gothic Book" w:eastAsia="Times New Roman" w:hAnsi="Franklin Gothic Book"/>
          <w:sz w:val="21"/>
        </w:rPr>
        <w:t xml:space="preserve">. </w:t>
      </w:r>
      <w:r>
        <w:rPr>
          <w:rFonts w:ascii="Franklin Gothic Book" w:eastAsia="Times New Roman" w:hAnsi="Franklin Gothic Book"/>
          <w:sz w:val="21"/>
        </w:rPr>
        <w:t>To complete this work, 38,060 worker days were provided in 2014-15 mainly through island based contractors (IBCs).  A tracer study of</w:t>
      </w:r>
      <w:r w:rsidRPr="00E077B1">
        <w:rPr>
          <w:rFonts w:ascii="Franklin Gothic Book" w:eastAsia="Times New Roman" w:hAnsi="Franklin Gothic Book"/>
          <w:sz w:val="21"/>
        </w:rPr>
        <w:t xml:space="preserve"> IBC</w:t>
      </w:r>
      <w:r>
        <w:rPr>
          <w:rFonts w:ascii="Franklin Gothic Book" w:eastAsia="Times New Roman" w:hAnsi="Franklin Gothic Book"/>
          <w:sz w:val="21"/>
        </w:rPr>
        <w:t>s</w:t>
      </w:r>
      <w:r w:rsidRPr="00E077B1">
        <w:rPr>
          <w:rFonts w:ascii="Franklin Gothic Book" w:eastAsia="Times New Roman" w:hAnsi="Franklin Gothic Book"/>
          <w:sz w:val="21"/>
        </w:rPr>
        <w:t xml:space="preserve"> </w:t>
      </w:r>
      <w:r>
        <w:rPr>
          <w:rFonts w:ascii="Franklin Gothic Book" w:eastAsia="Times New Roman" w:hAnsi="Franklin Gothic Book"/>
          <w:sz w:val="21"/>
        </w:rPr>
        <w:t>showed</w:t>
      </w:r>
      <w:r w:rsidRPr="00E077B1">
        <w:rPr>
          <w:rFonts w:ascii="Franklin Gothic Book" w:eastAsia="Times New Roman" w:hAnsi="Franklin Gothic Book"/>
          <w:sz w:val="21"/>
        </w:rPr>
        <w:t xml:space="preserve"> approximately 20% of </w:t>
      </w:r>
      <w:r>
        <w:rPr>
          <w:rFonts w:ascii="Franklin Gothic Book" w:eastAsia="Times New Roman" w:hAnsi="Franklin Gothic Book"/>
          <w:sz w:val="21"/>
        </w:rPr>
        <w:t>the</w:t>
      </w:r>
      <w:r w:rsidRPr="00E077B1">
        <w:rPr>
          <w:rFonts w:ascii="Franklin Gothic Book" w:eastAsia="Times New Roman" w:hAnsi="Franklin Gothic Book"/>
          <w:sz w:val="21"/>
        </w:rPr>
        <w:t xml:space="preserve"> work-force is female. </w:t>
      </w:r>
      <w:r w:rsidR="00BD6092">
        <w:rPr>
          <w:rFonts w:ascii="Franklin Gothic Book" w:eastAsia="Times New Roman" w:hAnsi="Franklin Gothic Book"/>
          <w:sz w:val="21"/>
        </w:rPr>
        <w:t>E</w:t>
      </w:r>
      <w:r w:rsidRPr="00E077B1">
        <w:rPr>
          <w:rFonts w:ascii="Franklin Gothic Book" w:eastAsia="Times New Roman" w:hAnsi="Franklin Gothic Book"/>
          <w:sz w:val="21"/>
        </w:rPr>
        <w:t>qual employment opportunities vary significantly from area-to-area and amongst IBCs</w:t>
      </w:r>
      <w:r w:rsidR="00BD6092">
        <w:rPr>
          <w:rFonts w:ascii="Franklin Gothic Book" w:eastAsia="Times New Roman" w:hAnsi="Franklin Gothic Book"/>
          <w:sz w:val="21"/>
        </w:rPr>
        <w:t>. I</w:t>
      </w:r>
      <w:r w:rsidRPr="00E077B1">
        <w:rPr>
          <w:rFonts w:ascii="Franklin Gothic Book" w:eastAsia="Times New Roman" w:hAnsi="Franklin Gothic Book"/>
          <w:sz w:val="21"/>
        </w:rPr>
        <w:t>t appears there is more equality of opportunity on labour-based, light routine maintenance jobs (e.g.</w:t>
      </w:r>
      <w:r>
        <w:rPr>
          <w:rFonts w:ascii="Franklin Gothic Book" w:eastAsia="Times New Roman" w:hAnsi="Franklin Gothic Book"/>
          <w:sz w:val="21"/>
        </w:rPr>
        <w:t xml:space="preserve"> grass cutting, clearing drains</w:t>
      </w:r>
      <w:r w:rsidRPr="00E077B1">
        <w:rPr>
          <w:rFonts w:ascii="Franklin Gothic Book" w:eastAsia="Times New Roman" w:hAnsi="Franklin Gothic Book"/>
          <w:sz w:val="21"/>
        </w:rPr>
        <w:t>)</w:t>
      </w:r>
      <w:r w:rsidR="00BD6092">
        <w:rPr>
          <w:rFonts w:ascii="Franklin Gothic Book" w:eastAsia="Times New Roman" w:hAnsi="Franklin Gothic Book"/>
          <w:sz w:val="21"/>
        </w:rPr>
        <w:t>,</w:t>
      </w:r>
      <w:r w:rsidRPr="00E077B1">
        <w:rPr>
          <w:rFonts w:ascii="Franklin Gothic Book" w:eastAsia="Times New Roman" w:hAnsi="Franklin Gothic Book"/>
          <w:sz w:val="21"/>
        </w:rPr>
        <w:t xml:space="preserve"> but little opportunity for women to work on the construction of structures.</w:t>
      </w:r>
    </w:p>
    <w:p w:rsidR="004F6806" w:rsidRDefault="004F6806" w:rsidP="004F6806">
      <w:pPr>
        <w:spacing w:after="120" w:line="280" w:lineRule="exact"/>
        <w:rPr>
          <w:rFonts w:ascii="Franklin Gothic Book" w:eastAsia="Times New Roman" w:hAnsi="Franklin Gothic Book"/>
          <w:sz w:val="21"/>
        </w:rPr>
      </w:pPr>
      <w:r>
        <w:rPr>
          <w:rFonts w:ascii="Franklin Gothic Book" w:eastAsia="Times New Roman" w:hAnsi="Franklin Gothic Book"/>
          <w:sz w:val="21"/>
        </w:rPr>
        <w:t xml:space="preserve">The program has assisted PWD develop and implement a </w:t>
      </w:r>
      <w:r w:rsidRPr="00E077B1">
        <w:rPr>
          <w:rFonts w:ascii="Franklin Gothic Book" w:eastAsia="Times New Roman" w:hAnsi="Franklin Gothic Book"/>
          <w:sz w:val="21"/>
        </w:rPr>
        <w:t>Social Safeguard Framewor</w:t>
      </w:r>
      <w:r>
        <w:rPr>
          <w:rFonts w:ascii="Franklin Gothic Book" w:eastAsia="Times New Roman" w:hAnsi="Franklin Gothic Book"/>
          <w:sz w:val="21"/>
        </w:rPr>
        <w:t>k</w:t>
      </w:r>
      <w:r w:rsidRPr="00E077B1">
        <w:rPr>
          <w:rFonts w:ascii="Franklin Gothic Book" w:eastAsia="Times New Roman" w:hAnsi="Franklin Gothic Book"/>
          <w:sz w:val="21"/>
        </w:rPr>
        <w:t xml:space="preserve"> (SSF). PWD recently recruited a female Senior Community Partnership Officer, whom with the assistance of the R4D Community Liaison Specialist and three Community Partnership Officers will </w:t>
      </w:r>
      <w:r>
        <w:rPr>
          <w:rFonts w:ascii="Franklin Gothic Book" w:eastAsia="Times New Roman" w:hAnsi="Franklin Gothic Book"/>
          <w:sz w:val="21"/>
        </w:rPr>
        <w:t>oversee</w:t>
      </w:r>
      <w:r w:rsidRPr="00E077B1">
        <w:rPr>
          <w:rFonts w:ascii="Franklin Gothic Book" w:eastAsia="Times New Roman" w:hAnsi="Franklin Gothic Book"/>
          <w:sz w:val="21"/>
        </w:rPr>
        <w:t xml:space="preserve"> implementation of the SSF. </w:t>
      </w:r>
      <w:r>
        <w:rPr>
          <w:rFonts w:ascii="Franklin Gothic Book" w:eastAsia="Times New Roman" w:hAnsi="Franklin Gothic Book"/>
          <w:sz w:val="21"/>
        </w:rPr>
        <w:t xml:space="preserve"> </w:t>
      </w:r>
      <w:r w:rsidRPr="00E077B1">
        <w:rPr>
          <w:rFonts w:ascii="Franklin Gothic Book" w:eastAsia="Times New Roman" w:hAnsi="Franklin Gothic Book"/>
          <w:sz w:val="21"/>
        </w:rPr>
        <w:t xml:space="preserve">Several gender initiatives (e.g. SSF emphasising the important role women can play in rural roads maintenance </w:t>
      </w:r>
      <w:r>
        <w:rPr>
          <w:rFonts w:ascii="Franklin Gothic Book" w:eastAsia="Times New Roman" w:hAnsi="Franklin Gothic Book"/>
          <w:sz w:val="21"/>
        </w:rPr>
        <w:t xml:space="preserve">programs) have been established. DFAT reviewed its infrastructure activities through a disability and </w:t>
      </w:r>
      <w:r w:rsidR="00BD6092">
        <w:rPr>
          <w:rFonts w:ascii="Franklin Gothic Book" w:eastAsia="Times New Roman" w:hAnsi="Franklin Gothic Book"/>
          <w:sz w:val="21"/>
        </w:rPr>
        <w:t xml:space="preserve">access </w:t>
      </w:r>
      <w:r>
        <w:rPr>
          <w:rFonts w:ascii="Franklin Gothic Book" w:eastAsia="Times New Roman" w:hAnsi="Franklin Gothic Book"/>
          <w:sz w:val="21"/>
        </w:rPr>
        <w:t>lens</w:t>
      </w:r>
      <w:r w:rsidR="00BD6092">
        <w:rPr>
          <w:rFonts w:ascii="Franklin Gothic Book" w:eastAsia="Times New Roman" w:hAnsi="Franklin Gothic Book"/>
          <w:sz w:val="21"/>
        </w:rPr>
        <w:t xml:space="preserve">, including DFAT’s </w:t>
      </w:r>
      <w:r w:rsidR="008E1750">
        <w:rPr>
          <w:rFonts w:ascii="Franklin Gothic Book" w:eastAsia="Times New Roman" w:hAnsi="Franklin Gothic Book"/>
          <w:sz w:val="21"/>
        </w:rPr>
        <w:t xml:space="preserve">Accessibility Design Guideline. The program </w:t>
      </w:r>
      <w:r w:rsidR="00B02F78">
        <w:rPr>
          <w:rFonts w:ascii="Franklin Gothic Book" w:eastAsia="Times New Roman" w:hAnsi="Franklin Gothic Book"/>
          <w:sz w:val="21"/>
        </w:rPr>
        <w:t xml:space="preserve">also </w:t>
      </w:r>
      <w:r w:rsidR="00833BA6">
        <w:rPr>
          <w:rFonts w:ascii="Franklin Gothic Book" w:eastAsia="Times New Roman" w:hAnsi="Franklin Gothic Book"/>
          <w:sz w:val="21"/>
        </w:rPr>
        <w:t>work</w:t>
      </w:r>
      <w:r w:rsidR="00BD6092">
        <w:rPr>
          <w:rFonts w:ascii="Franklin Gothic Book" w:eastAsia="Times New Roman" w:hAnsi="Franklin Gothic Book"/>
          <w:sz w:val="21"/>
        </w:rPr>
        <w:t>ed</w:t>
      </w:r>
      <w:r w:rsidR="00833BA6">
        <w:rPr>
          <w:rFonts w:ascii="Franklin Gothic Book" w:eastAsia="Times New Roman" w:hAnsi="Franklin Gothic Book"/>
          <w:sz w:val="21"/>
        </w:rPr>
        <w:t xml:space="preserve"> with PWD to</w:t>
      </w:r>
      <w:r>
        <w:rPr>
          <w:rFonts w:ascii="Franklin Gothic Book" w:eastAsia="Times New Roman" w:hAnsi="Franklin Gothic Book"/>
          <w:sz w:val="21"/>
        </w:rPr>
        <w:t xml:space="preserve"> embed inclusiveness practice</w:t>
      </w:r>
      <w:r w:rsidR="008E1750">
        <w:rPr>
          <w:rFonts w:ascii="Franklin Gothic Book" w:eastAsia="Times New Roman" w:hAnsi="Franklin Gothic Book"/>
          <w:sz w:val="21"/>
        </w:rPr>
        <w:t xml:space="preserve"> in Vanuatu systems</w:t>
      </w:r>
      <w:r>
        <w:rPr>
          <w:rFonts w:ascii="Franklin Gothic Book" w:eastAsia="Times New Roman" w:hAnsi="Franklin Gothic Book"/>
          <w:sz w:val="21"/>
        </w:rPr>
        <w:t xml:space="preserve">. </w:t>
      </w:r>
    </w:p>
    <w:p w:rsidR="004F6806" w:rsidRDefault="004F6806" w:rsidP="004F6806">
      <w:pPr>
        <w:spacing w:after="120" w:line="280" w:lineRule="exact"/>
        <w:rPr>
          <w:rFonts w:ascii="Franklin Gothic Book" w:eastAsia="Times New Roman" w:hAnsi="Franklin Gothic Book"/>
          <w:sz w:val="21"/>
        </w:rPr>
      </w:pPr>
      <w:r>
        <w:rPr>
          <w:rFonts w:ascii="Franklin Gothic Book" w:eastAsia="Times New Roman" w:hAnsi="Franklin Gothic Book"/>
          <w:sz w:val="21"/>
        </w:rPr>
        <w:t>R4D uses</w:t>
      </w:r>
      <w:r w:rsidRPr="00E077B1">
        <w:rPr>
          <w:rFonts w:ascii="Franklin Gothic Book" w:eastAsia="Times New Roman" w:hAnsi="Franklin Gothic Book"/>
          <w:sz w:val="21"/>
        </w:rPr>
        <w:t xml:space="preserve"> a number of innovative approaches to assist with program delivery. </w:t>
      </w:r>
      <w:r>
        <w:rPr>
          <w:rFonts w:ascii="Franklin Gothic Book" w:eastAsia="Times New Roman" w:hAnsi="Franklin Gothic Book"/>
          <w:sz w:val="21"/>
        </w:rPr>
        <w:t>In 2014-15 the program assisted PWD</w:t>
      </w:r>
      <w:r w:rsidR="00BD6092">
        <w:rPr>
          <w:rFonts w:ascii="Franklin Gothic Book" w:eastAsia="Times New Roman" w:hAnsi="Franklin Gothic Book"/>
          <w:sz w:val="21"/>
        </w:rPr>
        <w:t xml:space="preserve"> </w:t>
      </w:r>
      <w:r>
        <w:rPr>
          <w:rFonts w:ascii="Franklin Gothic Book" w:eastAsia="Times New Roman" w:hAnsi="Franklin Gothic Book"/>
          <w:sz w:val="21"/>
        </w:rPr>
        <w:t>develop a</w:t>
      </w:r>
      <w:r w:rsidRPr="00E077B1">
        <w:rPr>
          <w:rFonts w:ascii="Franklin Gothic Book" w:eastAsia="Times New Roman" w:hAnsi="Franklin Gothic Book"/>
          <w:sz w:val="21"/>
        </w:rPr>
        <w:t xml:space="preserve"> community contracting</w:t>
      </w:r>
      <w:r>
        <w:rPr>
          <w:rFonts w:ascii="Franklin Gothic Book" w:eastAsia="Times New Roman" w:hAnsi="Franklin Gothic Book"/>
          <w:sz w:val="21"/>
        </w:rPr>
        <w:t xml:space="preserve"> model for routine road maintenance</w:t>
      </w:r>
      <w:r w:rsidRPr="00E077B1">
        <w:rPr>
          <w:rFonts w:ascii="Franklin Gothic Book" w:eastAsia="Times New Roman" w:hAnsi="Franklin Gothic Book"/>
          <w:sz w:val="21"/>
        </w:rPr>
        <w:t xml:space="preserve">, </w:t>
      </w:r>
      <w:r>
        <w:rPr>
          <w:rFonts w:ascii="Franklin Gothic Book" w:eastAsia="Times New Roman" w:hAnsi="Franklin Gothic Book"/>
          <w:sz w:val="21"/>
        </w:rPr>
        <w:t>established</w:t>
      </w:r>
      <w:r w:rsidRPr="00E077B1">
        <w:rPr>
          <w:rFonts w:ascii="Franklin Gothic Book" w:eastAsia="Times New Roman" w:hAnsi="Franklin Gothic Book"/>
          <w:sz w:val="21"/>
        </w:rPr>
        <w:t xml:space="preserve"> </w:t>
      </w:r>
      <w:r>
        <w:rPr>
          <w:rFonts w:ascii="Franklin Gothic Book" w:eastAsia="Times New Roman" w:hAnsi="Franklin Gothic Book"/>
          <w:sz w:val="21"/>
        </w:rPr>
        <w:t>a Management Information System and encouraged</w:t>
      </w:r>
      <w:r w:rsidRPr="00E077B1">
        <w:rPr>
          <w:rFonts w:ascii="Franklin Gothic Book" w:eastAsia="Times New Roman" w:hAnsi="Franklin Gothic Book"/>
          <w:sz w:val="21"/>
        </w:rPr>
        <w:t xml:space="preserve"> partnerships through the Melanesian Spearhead Group </w:t>
      </w:r>
      <w:r>
        <w:rPr>
          <w:rFonts w:ascii="Franklin Gothic Book" w:eastAsia="Times New Roman" w:hAnsi="Franklin Gothic Book"/>
          <w:sz w:val="21"/>
        </w:rPr>
        <w:t>to utilise</w:t>
      </w:r>
      <w:r w:rsidRPr="00E077B1">
        <w:rPr>
          <w:rFonts w:ascii="Franklin Gothic Book" w:eastAsia="Times New Roman" w:hAnsi="Franklin Gothic Book"/>
          <w:sz w:val="21"/>
        </w:rPr>
        <w:t xml:space="preserve"> regional technical expertise. </w:t>
      </w:r>
      <w:r>
        <w:rPr>
          <w:rFonts w:ascii="Franklin Gothic Book" w:eastAsia="Times New Roman" w:hAnsi="Franklin Gothic Book"/>
          <w:sz w:val="21"/>
        </w:rPr>
        <w:t xml:space="preserve"> The Program also procured </w:t>
      </w:r>
      <w:r w:rsidRPr="00E077B1">
        <w:rPr>
          <w:rFonts w:ascii="Franklin Gothic Book" w:eastAsia="Times New Roman" w:hAnsi="Franklin Gothic Book"/>
          <w:sz w:val="21"/>
        </w:rPr>
        <w:t>quad bikes</w:t>
      </w:r>
      <w:r>
        <w:rPr>
          <w:rFonts w:ascii="Franklin Gothic Book" w:eastAsia="Times New Roman" w:hAnsi="Franklin Gothic Book"/>
          <w:sz w:val="21"/>
        </w:rPr>
        <w:t xml:space="preserve"> to improve mobility of site inspectors and </w:t>
      </w:r>
      <w:r w:rsidRPr="00E077B1">
        <w:rPr>
          <w:rFonts w:ascii="Franklin Gothic Book" w:eastAsia="Times New Roman" w:hAnsi="Franklin Gothic Book"/>
          <w:sz w:val="21"/>
        </w:rPr>
        <w:t>tractor-based equipment</w:t>
      </w:r>
      <w:r>
        <w:rPr>
          <w:rFonts w:ascii="Franklin Gothic Book" w:eastAsia="Times New Roman" w:hAnsi="Franklin Gothic Book"/>
          <w:sz w:val="21"/>
        </w:rPr>
        <w:t xml:space="preserve"> to trial lower cost, fit-for-purpose machine based road maintenance. </w:t>
      </w:r>
      <w:r w:rsidRPr="00E077B1">
        <w:rPr>
          <w:rFonts w:ascii="Franklin Gothic Book" w:eastAsia="Times New Roman" w:hAnsi="Franklin Gothic Book"/>
          <w:sz w:val="21"/>
        </w:rPr>
        <w:t xml:space="preserve"> </w:t>
      </w:r>
      <w:r>
        <w:rPr>
          <w:rFonts w:ascii="Franklin Gothic Book" w:eastAsia="Times New Roman" w:hAnsi="Franklin Gothic Book"/>
          <w:sz w:val="21"/>
        </w:rPr>
        <w:t>J</w:t>
      </w:r>
      <w:r w:rsidRPr="00E077B1">
        <w:rPr>
          <w:rFonts w:ascii="Franklin Gothic Book" w:eastAsia="Times New Roman" w:hAnsi="Franklin Gothic Book"/>
          <w:sz w:val="21"/>
        </w:rPr>
        <w:t>ob codes for better financial management practi</w:t>
      </w:r>
      <w:r>
        <w:rPr>
          <w:rFonts w:ascii="Franklin Gothic Book" w:eastAsia="Times New Roman" w:hAnsi="Franklin Gothic Book"/>
          <w:sz w:val="21"/>
        </w:rPr>
        <w:t>c</w:t>
      </w:r>
      <w:r w:rsidRPr="00E077B1">
        <w:rPr>
          <w:rFonts w:ascii="Franklin Gothic Book" w:eastAsia="Times New Roman" w:hAnsi="Franklin Gothic Book"/>
          <w:sz w:val="21"/>
        </w:rPr>
        <w:t xml:space="preserve">e </w:t>
      </w:r>
      <w:r>
        <w:rPr>
          <w:rFonts w:ascii="Franklin Gothic Book" w:eastAsia="Times New Roman" w:hAnsi="Franklin Gothic Book"/>
          <w:sz w:val="21"/>
        </w:rPr>
        <w:t xml:space="preserve">were introduced </w:t>
      </w:r>
      <w:r w:rsidRPr="00E077B1">
        <w:rPr>
          <w:rFonts w:ascii="Franklin Gothic Book" w:eastAsia="Times New Roman" w:hAnsi="Franklin Gothic Book"/>
          <w:sz w:val="21"/>
        </w:rPr>
        <w:t xml:space="preserve">within </w:t>
      </w:r>
      <w:r>
        <w:rPr>
          <w:rFonts w:ascii="Franklin Gothic Book" w:eastAsia="Times New Roman" w:hAnsi="Franklin Gothic Book"/>
          <w:sz w:val="21"/>
        </w:rPr>
        <w:t xml:space="preserve">PWD and a Public Expenditure Review of the Ministry of Infrastructure and Public Utilities was undertaken, which will help drive further reform and performance improvements. </w:t>
      </w:r>
    </w:p>
    <w:p w:rsidR="004F6806" w:rsidRDefault="004F6806" w:rsidP="004F6806">
      <w:pPr>
        <w:spacing w:after="120" w:line="280" w:lineRule="exact"/>
        <w:rPr>
          <w:rFonts w:ascii="Franklin Gothic Book" w:eastAsia="Times New Roman" w:hAnsi="Franklin Gothic Book"/>
          <w:sz w:val="21"/>
        </w:rPr>
      </w:pPr>
      <w:r>
        <w:rPr>
          <w:rFonts w:ascii="Franklin Gothic Book" w:eastAsia="Times New Roman" w:hAnsi="Franklin Gothic Book"/>
          <w:sz w:val="21"/>
        </w:rPr>
        <w:t xml:space="preserve">In early 2015, an interim review of the road program was completed. Despite successes, the review highlighted a number of concerns </w:t>
      </w:r>
      <w:r w:rsidR="006F73E7">
        <w:rPr>
          <w:rFonts w:ascii="Franklin Gothic Book" w:eastAsia="Times New Roman" w:hAnsi="Franklin Gothic Book"/>
          <w:sz w:val="21"/>
        </w:rPr>
        <w:t>regarding</w:t>
      </w:r>
      <w:r>
        <w:rPr>
          <w:rFonts w:ascii="Franklin Gothic Book" w:eastAsia="Times New Roman" w:hAnsi="Franklin Gothic Book"/>
          <w:sz w:val="21"/>
        </w:rPr>
        <w:t xml:space="preserve"> the program’s approach, which was not generating expected improvements in PWD performance. These program factors, combined with insufficient funding, will mean the program will not achieve its current end-of-program </w:t>
      </w:r>
      <w:r w:rsidRPr="00E077B1">
        <w:rPr>
          <w:rFonts w:ascii="Franklin Gothic Book" w:eastAsia="Times New Roman" w:hAnsi="Franklin Gothic Book"/>
          <w:sz w:val="21"/>
        </w:rPr>
        <w:t>target</w:t>
      </w:r>
      <w:r>
        <w:rPr>
          <w:rFonts w:ascii="Franklin Gothic Book" w:eastAsia="Times New Roman" w:hAnsi="Franklin Gothic Book"/>
          <w:sz w:val="21"/>
        </w:rPr>
        <w:t xml:space="preserve"> to rehabilitate and maintain in ‘good’ condition 350 km (16 per cent) of the rural road network. </w:t>
      </w:r>
      <w:r>
        <w:rPr>
          <w:rFonts w:ascii="Franklin Gothic Book" w:eastAsia="Times New Roman" w:hAnsi="Franklin Gothic Book"/>
          <w:sz w:val="21"/>
        </w:rPr>
        <w:lastRenderedPageBreak/>
        <w:t xml:space="preserve">The review proposed </w:t>
      </w:r>
      <w:r w:rsidR="006F73E7">
        <w:rPr>
          <w:rFonts w:ascii="Franklin Gothic Book" w:eastAsia="Times New Roman" w:hAnsi="Franklin Gothic Book"/>
          <w:sz w:val="21"/>
        </w:rPr>
        <w:t>a</w:t>
      </w:r>
      <w:r>
        <w:rPr>
          <w:rFonts w:ascii="Franklin Gothic Book" w:eastAsia="Times New Roman" w:hAnsi="Franklin Gothic Book"/>
          <w:sz w:val="21"/>
        </w:rPr>
        <w:t xml:space="preserve"> move away from a road length target</w:t>
      </w:r>
      <w:r w:rsidR="006F73E7">
        <w:rPr>
          <w:rFonts w:ascii="Franklin Gothic Book" w:eastAsia="Times New Roman" w:hAnsi="Franklin Gothic Book"/>
          <w:sz w:val="21"/>
        </w:rPr>
        <w:t xml:space="preserve">, </w:t>
      </w:r>
      <w:r>
        <w:rPr>
          <w:rFonts w:ascii="Franklin Gothic Book" w:eastAsia="Times New Roman" w:hAnsi="Franklin Gothic Book"/>
          <w:sz w:val="21"/>
        </w:rPr>
        <w:t xml:space="preserve">support </w:t>
      </w:r>
      <w:r w:rsidR="006F73E7">
        <w:rPr>
          <w:rFonts w:ascii="Franklin Gothic Book" w:eastAsia="Times New Roman" w:hAnsi="Franklin Gothic Book"/>
          <w:sz w:val="21"/>
        </w:rPr>
        <w:t xml:space="preserve">for </w:t>
      </w:r>
      <w:r>
        <w:rPr>
          <w:rFonts w:ascii="Franklin Gothic Book" w:eastAsia="Times New Roman" w:hAnsi="Franklin Gothic Book"/>
          <w:sz w:val="21"/>
        </w:rPr>
        <w:t>PWD introduce a Rural Access Policy built around the Rural Access Index metric</w:t>
      </w:r>
      <w:r w:rsidR="006F73E7">
        <w:rPr>
          <w:rFonts w:ascii="Franklin Gothic Book" w:eastAsia="Times New Roman" w:hAnsi="Franklin Gothic Book"/>
          <w:sz w:val="21"/>
        </w:rPr>
        <w:t xml:space="preserve"> and establishing a demand-driven approach to engaging with PWD. These recommendations will continue to be implemented in 2015-16. </w:t>
      </w:r>
    </w:p>
    <w:p w:rsidR="004F6806" w:rsidRDefault="004F6806" w:rsidP="004F6806">
      <w:pPr>
        <w:spacing w:after="120" w:line="280" w:lineRule="exact"/>
        <w:rPr>
          <w:rFonts w:ascii="Franklin Gothic Book" w:eastAsia="Times New Roman" w:hAnsi="Franklin Gothic Book"/>
          <w:sz w:val="21"/>
        </w:rPr>
      </w:pPr>
      <w:r w:rsidRPr="00E077B1">
        <w:rPr>
          <w:rFonts w:ascii="Franklin Gothic Book" w:eastAsia="Times New Roman" w:hAnsi="Franklin Gothic Book"/>
          <w:sz w:val="21"/>
        </w:rPr>
        <w:t>The Port Vila Urban Development Project (PVUDP)</w:t>
      </w:r>
      <w:r>
        <w:rPr>
          <w:rFonts w:ascii="Franklin Gothic Book" w:eastAsia="Times New Roman" w:hAnsi="Franklin Gothic Book"/>
          <w:sz w:val="21"/>
        </w:rPr>
        <w:t xml:space="preserve"> </w:t>
      </w:r>
      <w:r w:rsidRPr="007807A2">
        <w:rPr>
          <w:rFonts w:ascii="Franklin Gothic Book" w:eastAsia="Times New Roman" w:hAnsi="Franklin Gothic Book"/>
          <w:sz w:val="21"/>
        </w:rPr>
        <w:t xml:space="preserve">continues to </w:t>
      </w:r>
      <w:r>
        <w:rPr>
          <w:rFonts w:ascii="Franklin Gothic Book" w:eastAsia="Times New Roman" w:hAnsi="Franklin Gothic Book"/>
          <w:sz w:val="21"/>
        </w:rPr>
        <w:t>face</w:t>
      </w:r>
      <w:r w:rsidRPr="007807A2">
        <w:rPr>
          <w:rFonts w:ascii="Franklin Gothic Book" w:eastAsia="Times New Roman" w:hAnsi="Franklin Gothic Book"/>
          <w:sz w:val="21"/>
        </w:rPr>
        <w:t xml:space="preserve"> delays in progress, management/governance challenges and higher than anticipated costs.</w:t>
      </w:r>
      <w:r>
        <w:rPr>
          <w:rFonts w:ascii="Franklin Gothic Book" w:eastAsia="Times New Roman" w:hAnsi="Franklin Gothic Book"/>
          <w:sz w:val="21"/>
        </w:rPr>
        <w:t xml:space="preserve"> These factors mean that the original project outcomes will not be delivered to the extent anticipated. </w:t>
      </w:r>
      <w:r w:rsidR="006F73E7">
        <w:rPr>
          <w:rFonts w:ascii="Franklin Gothic Book" w:eastAsia="Times New Roman" w:hAnsi="Franklin Gothic Book"/>
          <w:sz w:val="21"/>
        </w:rPr>
        <w:t>R</w:t>
      </w:r>
      <w:r>
        <w:rPr>
          <w:rFonts w:ascii="Franklin Gothic Book" w:eastAsia="Times New Roman" w:hAnsi="Franklin Gothic Book"/>
          <w:sz w:val="21"/>
        </w:rPr>
        <w:t xml:space="preserve">oad and drainage length will be reduced and a number of residential area flooding hotspots will likely not be treated.  The first packages of minor works were contracted in September 2015, with sanitation works in bid evaluation and a </w:t>
      </w:r>
      <w:r w:rsidRPr="00E077B1">
        <w:rPr>
          <w:rFonts w:ascii="Franklin Gothic Book" w:eastAsia="Times New Roman" w:hAnsi="Franklin Gothic Book"/>
          <w:sz w:val="21"/>
        </w:rPr>
        <w:t>major</w:t>
      </w:r>
      <w:r>
        <w:rPr>
          <w:rFonts w:ascii="Franklin Gothic Book" w:eastAsia="Times New Roman" w:hAnsi="Franklin Gothic Book"/>
          <w:sz w:val="21"/>
        </w:rPr>
        <w:t xml:space="preserve"> package of works to be tendered in October 2015. By early 2016 we expect the majority of project funds will be committed and construction underway. The project partnered with </w:t>
      </w:r>
      <w:r w:rsidR="002E7042">
        <w:rPr>
          <w:rFonts w:ascii="Franklin Gothic Book" w:eastAsia="Times New Roman" w:hAnsi="Franklin Gothic Book"/>
          <w:i/>
          <w:sz w:val="21"/>
        </w:rPr>
        <w:t>Wa</w:t>
      </w:r>
      <w:r>
        <w:rPr>
          <w:rFonts w:ascii="Franklin Gothic Book" w:eastAsia="Times New Roman" w:hAnsi="Franklin Gothic Book"/>
          <w:i/>
          <w:sz w:val="21"/>
        </w:rPr>
        <w:t xml:space="preserve">n </w:t>
      </w:r>
      <w:proofErr w:type="spellStart"/>
      <w:r>
        <w:rPr>
          <w:rFonts w:ascii="Franklin Gothic Book" w:eastAsia="Times New Roman" w:hAnsi="Franklin Gothic Book"/>
          <w:i/>
          <w:sz w:val="21"/>
        </w:rPr>
        <w:t>Smolbag</w:t>
      </w:r>
      <w:proofErr w:type="spellEnd"/>
      <w:r>
        <w:rPr>
          <w:rFonts w:ascii="Franklin Gothic Book" w:eastAsia="Times New Roman" w:hAnsi="Franklin Gothic Book"/>
          <w:i/>
          <w:sz w:val="21"/>
        </w:rPr>
        <w:t xml:space="preserve"> </w:t>
      </w:r>
      <w:r w:rsidRPr="004F6806">
        <w:rPr>
          <w:rFonts w:ascii="Franklin Gothic Book" w:eastAsia="Times New Roman" w:hAnsi="Franklin Gothic Book"/>
          <w:sz w:val="21"/>
        </w:rPr>
        <w:t xml:space="preserve">to develop baseline data </w:t>
      </w:r>
      <w:r w:rsidR="00925097">
        <w:rPr>
          <w:rFonts w:ascii="Franklin Gothic Book" w:eastAsia="Times New Roman" w:hAnsi="Franklin Gothic Book"/>
          <w:sz w:val="21"/>
        </w:rPr>
        <w:t xml:space="preserve">and </w:t>
      </w:r>
      <w:r>
        <w:rPr>
          <w:rFonts w:ascii="Franklin Gothic Book" w:eastAsia="Times New Roman" w:hAnsi="Franklin Gothic Book"/>
          <w:sz w:val="21"/>
        </w:rPr>
        <w:t xml:space="preserve">consider disability issues </w:t>
      </w:r>
      <w:r w:rsidRPr="00E077B1">
        <w:rPr>
          <w:rFonts w:ascii="Franklin Gothic Book" w:eastAsia="Times New Roman" w:hAnsi="Franklin Gothic Book"/>
          <w:sz w:val="21"/>
        </w:rPr>
        <w:t xml:space="preserve">in the designs for </w:t>
      </w:r>
      <w:r>
        <w:rPr>
          <w:rFonts w:ascii="Franklin Gothic Book" w:eastAsia="Times New Roman" w:hAnsi="Franklin Gothic Book"/>
          <w:sz w:val="21"/>
        </w:rPr>
        <w:t>c</w:t>
      </w:r>
      <w:r w:rsidRPr="00E077B1">
        <w:rPr>
          <w:rFonts w:ascii="Franklin Gothic Book" w:eastAsia="Times New Roman" w:hAnsi="Franklin Gothic Book"/>
          <w:sz w:val="21"/>
        </w:rPr>
        <w:t xml:space="preserve">ommunity </w:t>
      </w:r>
      <w:r>
        <w:rPr>
          <w:rFonts w:ascii="Franklin Gothic Book" w:eastAsia="Times New Roman" w:hAnsi="Franklin Gothic Book"/>
          <w:sz w:val="21"/>
        </w:rPr>
        <w:t>s</w:t>
      </w:r>
      <w:r w:rsidRPr="00E077B1">
        <w:rPr>
          <w:rFonts w:ascii="Franklin Gothic Book" w:eastAsia="Times New Roman" w:hAnsi="Franklin Gothic Book"/>
          <w:sz w:val="21"/>
        </w:rPr>
        <w:t xml:space="preserve">anitation </w:t>
      </w:r>
      <w:r>
        <w:rPr>
          <w:rFonts w:ascii="Franklin Gothic Book" w:eastAsia="Times New Roman" w:hAnsi="Franklin Gothic Book"/>
          <w:sz w:val="21"/>
        </w:rPr>
        <w:t>f</w:t>
      </w:r>
      <w:r w:rsidRPr="00E077B1">
        <w:rPr>
          <w:rFonts w:ascii="Franklin Gothic Book" w:eastAsia="Times New Roman" w:hAnsi="Franklin Gothic Book"/>
          <w:sz w:val="21"/>
        </w:rPr>
        <w:t xml:space="preserve">acilities and </w:t>
      </w:r>
      <w:r>
        <w:rPr>
          <w:rFonts w:ascii="Franklin Gothic Book" w:eastAsia="Times New Roman" w:hAnsi="Franklin Gothic Book"/>
          <w:sz w:val="21"/>
        </w:rPr>
        <w:t>t</w:t>
      </w:r>
      <w:r w:rsidRPr="00E077B1">
        <w:rPr>
          <w:rFonts w:ascii="Franklin Gothic Book" w:eastAsia="Times New Roman" w:hAnsi="Franklin Gothic Book"/>
          <w:sz w:val="21"/>
        </w:rPr>
        <w:t>ra</w:t>
      </w:r>
      <w:r>
        <w:rPr>
          <w:rFonts w:ascii="Franklin Gothic Book" w:eastAsia="Times New Roman" w:hAnsi="Franklin Gothic Book"/>
          <w:sz w:val="21"/>
        </w:rPr>
        <w:t>ffic and pedestrian management p</w:t>
      </w:r>
      <w:r w:rsidRPr="00E077B1">
        <w:rPr>
          <w:rFonts w:ascii="Franklin Gothic Book" w:eastAsia="Times New Roman" w:hAnsi="Franklin Gothic Book"/>
          <w:sz w:val="21"/>
        </w:rPr>
        <w:t>lan</w:t>
      </w:r>
      <w:r>
        <w:rPr>
          <w:rFonts w:ascii="Franklin Gothic Book" w:eastAsia="Times New Roman" w:hAnsi="Franklin Gothic Book"/>
          <w:sz w:val="21"/>
        </w:rPr>
        <w:t>s</w:t>
      </w:r>
      <w:r w:rsidRPr="00E077B1">
        <w:rPr>
          <w:rFonts w:ascii="Franklin Gothic Book" w:eastAsia="Times New Roman" w:hAnsi="Franklin Gothic Book"/>
          <w:sz w:val="21"/>
        </w:rPr>
        <w:t>.</w:t>
      </w:r>
    </w:p>
    <w:p w:rsidR="00EC14F2" w:rsidRDefault="00EC14F2" w:rsidP="00EC14F2">
      <w:pPr>
        <w:pStyle w:val="Heading3"/>
        <w:rPr>
          <w:color w:val="FF0000"/>
        </w:rPr>
      </w:pPr>
      <w:r w:rsidRPr="00C57923">
        <w:t xml:space="preserve">Objective </w:t>
      </w:r>
      <w:r>
        <w:t>5: More effective legal institutions and improved police services</w:t>
      </w:r>
    </w:p>
    <w:p w:rsidR="00B87DBC" w:rsidRPr="009718AA" w:rsidRDefault="00342008" w:rsidP="009A7BFC">
      <w:pPr>
        <w:pStyle w:val="BodyText"/>
        <w:rPr>
          <w:lang w:eastAsia="zh-CN"/>
        </w:rPr>
      </w:pPr>
      <w:r>
        <w:rPr>
          <w:lang w:eastAsia="en-US"/>
        </w:rPr>
        <w:t xml:space="preserve">Australian support continued to achieve good results in this sector despite </w:t>
      </w:r>
      <w:r w:rsidRPr="001B0BFE">
        <w:rPr>
          <w:lang w:eastAsia="en-US"/>
        </w:rPr>
        <w:t xml:space="preserve">key </w:t>
      </w:r>
      <w:r w:rsidR="009A7BFC" w:rsidRPr="001B0BFE">
        <w:rPr>
          <w:lang w:eastAsia="en-US"/>
        </w:rPr>
        <w:t>policing and justice sector</w:t>
      </w:r>
      <w:r w:rsidR="009A7BFC">
        <w:rPr>
          <w:lang w:eastAsia="en-US"/>
        </w:rPr>
        <w:t xml:space="preserve"> </w:t>
      </w:r>
      <w:r w:rsidRPr="001B0BFE">
        <w:rPr>
          <w:lang w:eastAsia="en-US"/>
        </w:rPr>
        <w:t xml:space="preserve">agency leadership changes </w:t>
      </w:r>
      <w:r>
        <w:rPr>
          <w:lang w:eastAsia="en-US"/>
        </w:rPr>
        <w:t>and the impact of Tropical C</w:t>
      </w:r>
      <w:r w:rsidRPr="001B0BFE">
        <w:rPr>
          <w:lang w:eastAsia="en-US"/>
        </w:rPr>
        <w:t xml:space="preserve">yclone Pam. </w:t>
      </w:r>
    </w:p>
    <w:tbl>
      <w:tblPr>
        <w:tblStyle w:val="TableGrid5"/>
        <w:tblW w:w="0" w:type="auto"/>
        <w:shd w:val="clear" w:color="auto" w:fill="C7D5E6"/>
        <w:tblLook w:val="04A0" w:firstRow="1" w:lastRow="0" w:firstColumn="1" w:lastColumn="0" w:noHBand="0" w:noVBand="1"/>
      </w:tblPr>
      <w:tblGrid>
        <w:gridCol w:w="2943"/>
        <w:gridCol w:w="5551"/>
      </w:tblGrid>
      <w:tr w:rsidR="00C35614" w:rsidRPr="004D1D81" w:rsidTr="00342008">
        <w:trPr>
          <w:trHeight w:val="922"/>
        </w:trPr>
        <w:tc>
          <w:tcPr>
            <w:tcW w:w="2943" w:type="dxa"/>
            <w:shd w:val="clear" w:color="auto" w:fill="C7D5E6"/>
          </w:tcPr>
          <w:p w:rsidR="00BC54E7" w:rsidRPr="004D1D81" w:rsidRDefault="00BC54E7" w:rsidP="00342008">
            <w:pPr>
              <w:spacing w:after="160" w:line="280" w:lineRule="exact"/>
              <w:rPr>
                <w:rFonts w:asciiTheme="minorHAnsi" w:eastAsia="Times New Roman" w:hAnsiTheme="minorHAnsi"/>
                <w:sz w:val="22"/>
                <w:szCs w:val="22"/>
              </w:rPr>
            </w:pPr>
            <w:r w:rsidRPr="004D1D81">
              <w:rPr>
                <w:rFonts w:asciiTheme="minorHAnsi" w:eastAsia="Times New Roman" w:hAnsiTheme="minorHAnsi"/>
                <w:sz w:val="22"/>
                <w:szCs w:val="22"/>
              </w:rPr>
              <w:t>Shared development outcome:</w:t>
            </w:r>
          </w:p>
        </w:tc>
        <w:tc>
          <w:tcPr>
            <w:tcW w:w="5551" w:type="dxa"/>
            <w:shd w:val="clear" w:color="auto" w:fill="C7D5E6"/>
          </w:tcPr>
          <w:p w:rsidR="00BC54E7" w:rsidRPr="004D1D81" w:rsidRDefault="00BC54E7" w:rsidP="00342008">
            <w:pPr>
              <w:spacing w:line="280" w:lineRule="exact"/>
              <w:rPr>
                <w:rFonts w:asciiTheme="minorHAnsi" w:eastAsia="Times New Roman" w:hAnsiTheme="minorHAnsi"/>
                <w:i/>
                <w:sz w:val="22"/>
                <w:szCs w:val="22"/>
              </w:rPr>
            </w:pPr>
            <w:r w:rsidRPr="004D1D81">
              <w:rPr>
                <w:rFonts w:asciiTheme="minorHAnsi" w:eastAsia="Times New Roman" w:hAnsiTheme="minorHAnsi"/>
                <w:i/>
                <w:sz w:val="22"/>
                <w:szCs w:val="22"/>
              </w:rPr>
              <w:t>For all justice services to promote and provide fair and equitable services to meet the needs of the community, the rule of law and the protection of human rights</w:t>
            </w:r>
          </w:p>
          <w:p w:rsidR="00BC54E7" w:rsidRPr="004D1D81" w:rsidRDefault="00BC54E7" w:rsidP="00342008">
            <w:pPr>
              <w:spacing w:line="280" w:lineRule="exact"/>
              <w:rPr>
                <w:rFonts w:asciiTheme="minorHAnsi" w:eastAsia="Times New Roman" w:hAnsiTheme="minorHAnsi"/>
                <w:i/>
                <w:sz w:val="22"/>
                <w:szCs w:val="22"/>
              </w:rPr>
            </w:pPr>
          </w:p>
        </w:tc>
      </w:tr>
      <w:tr w:rsidR="00C35614" w:rsidRPr="004D1D81" w:rsidTr="00342008">
        <w:tc>
          <w:tcPr>
            <w:tcW w:w="2943" w:type="dxa"/>
            <w:shd w:val="clear" w:color="auto" w:fill="C7D5E6"/>
          </w:tcPr>
          <w:p w:rsidR="00BC54E7" w:rsidRPr="004D1D81" w:rsidRDefault="00BC54E7" w:rsidP="00342008">
            <w:pPr>
              <w:spacing w:after="160" w:line="280" w:lineRule="exact"/>
              <w:rPr>
                <w:rFonts w:asciiTheme="minorHAnsi" w:eastAsia="Times New Roman" w:hAnsiTheme="minorHAnsi"/>
                <w:sz w:val="22"/>
                <w:szCs w:val="22"/>
              </w:rPr>
            </w:pPr>
            <w:r w:rsidRPr="004D1D81">
              <w:rPr>
                <w:rFonts w:asciiTheme="minorHAnsi" w:eastAsia="Times New Roman" w:hAnsiTheme="minorHAnsi"/>
                <w:sz w:val="22"/>
                <w:szCs w:val="22"/>
              </w:rPr>
              <w:t>Australia’s objective:</w:t>
            </w:r>
          </w:p>
        </w:tc>
        <w:tc>
          <w:tcPr>
            <w:tcW w:w="5551" w:type="dxa"/>
            <w:shd w:val="clear" w:color="auto" w:fill="C7D5E6"/>
          </w:tcPr>
          <w:p w:rsidR="00BC54E7" w:rsidRPr="004D1D81" w:rsidRDefault="00BC54E7" w:rsidP="00342008">
            <w:pPr>
              <w:spacing w:line="280" w:lineRule="exact"/>
              <w:rPr>
                <w:rFonts w:asciiTheme="minorHAnsi" w:eastAsia="Times New Roman" w:hAnsiTheme="minorHAnsi"/>
                <w:i/>
                <w:sz w:val="22"/>
                <w:szCs w:val="22"/>
              </w:rPr>
            </w:pPr>
            <w:r w:rsidRPr="004D1D81">
              <w:rPr>
                <w:rFonts w:asciiTheme="minorHAnsi" w:eastAsia="Times New Roman" w:hAnsiTheme="minorHAnsi"/>
                <w:i/>
                <w:sz w:val="22"/>
                <w:szCs w:val="22"/>
              </w:rPr>
              <w:t>Improved law and justice sector coordination, capacity development and evidence-based policy development</w:t>
            </w:r>
          </w:p>
          <w:p w:rsidR="00BC54E7" w:rsidRPr="004D1D81" w:rsidRDefault="00BC54E7" w:rsidP="00342008">
            <w:pPr>
              <w:spacing w:line="280" w:lineRule="exact"/>
              <w:rPr>
                <w:rFonts w:asciiTheme="minorHAnsi" w:eastAsia="Times New Roman" w:hAnsiTheme="minorHAnsi"/>
                <w:i/>
                <w:sz w:val="22"/>
                <w:szCs w:val="22"/>
              </w:rPr>
            </w:pPr>
            <w:r w:rsidRPr="004D1D81">
              <w:rPr>
                <w:rFonts w:asciiTheme="minorHAnsi" w:eastAsia="Times New Roman" w:hAnsiTheme="minorHAnsi"/>
                <w:i/>
                <w:sz w:val="22"/>
                <w:szCs w:val="22"/>
              </w:rPr>
              <w:t>Contribute to the provision of excellent policing services and strong police/community relations</w:t>
            </w:r>
          </w:p>
          <w:p w:rsidR="00BC54E7" w:rsidRDefault="00BC54E7" w:rsidP="00342008">
            <w:pPr>
              <w:spacing w:line="280" w:lineRule="exact"/>
              <w:rPr>
                <w:rFonts w:asciiTheme="minorHAnsi" w:eastAsia="Times New Roman" w:hAnsiTheme="minorHAnsi"/>
                <w:i/>
                <w:sz w:val="22"/>
                <w:szCs w:val="22"/>
              </w:rPr>
            </w:pPr>
            <w:r w:rsidRPr="004D1D81">
              <w:rPr>
                <w:rFonts w:asciiTheme="minorHAnsi" w:eastAsia="Times New Roman" w:hAnsiTheme="minorHAnsi"/>
                <w:i/>
                <w:sz w:val="22"/>
                <w:szCs w:val="22"/>
              </w:rPr>
              <w:t>Improved prevention and response to violence against women and children</w:t>
            </w:r>
          </w:p>
          <w:p w:rsidR="00BC54E7" w:rsidRPr="004D1D81" w:rsidRDefault="00BC54E7" w:rsidP="00342008">
            <w:pPr>
              <w:spacing w:line="280" w:lineRule="exact"/>
              <w:rPr>
                <w:rFonts w:asciiTheme="minorHAnsi" w:eastAsia="Times New Roman" w:hAnsiTheme="minorHAnsi"/>
                <w:i/>
                <w:sz w:val="22"/>
                <w:szCs w:val="22"/>
              </w:rPr>
            </w:pPr>
          </w:p>
        </w:tc>
      </w:tr>
    </w:tbl>
    <w:p w:rsidR="007612D0" w:rsidRPr="001B0BFE" w:rsidRDefault="00DD34C8" w:rsidP="007612D0">
      <w:pPr>
        <w:pStyle w:val="BodyText"/>
        <w:rPr>
          <w:lang w:eastAsia="en-US"/>
        </w:rPr>
      </w:pPr>
      <w:r w:rsidRPr="005C2C57">
        <w:rPr>
          <w:noProof/>
        </w:rPr>
        <mc:AlternateContent>
          <mc:Choice Requires="wps">
            <w:drawing>
              <wp:anchor distT="0" distB="0" distL="114300" distR="114300" simplePos="0" relativeHeight="251675648" behindDoc="1" locked="0" layoutInCell="1" allowOverlap="1" wp14:anchorId="00988A47" wp14:editId="76FD7140">
                <wp:simplePos x="0" y="0"/>
                <wp:positionH relativeFrom="column">
                  <wp:posOffset>-41910</wp:posOffset>
                </wp:positionH>
                <wp:positionV relativeFrom="paragraph">
                  <wp:posOffset>108585</wp:posOffset>
                </wp:positionV>
                <wp:extent cx="3132455" cy="3333750"/>
                <wp:effectExtent l="0" t="0" r="10795" b="19050"/>
                <wp:wrapThrough wrapText="bothSides">
                  <wp:wrapPolygon edited="0">
                    <wp:start x="0" y="0"/>
                    <wp:lineTo x="0" y="21600"/>
                    <wp:lineTo x="21543" y="21600"/>
                    <wp:lineTo x="21543" y="0"/>
                    <wp:lineTo x="0" y="0"/>
                  </wp:wrapPolygon>
                </wp:wrapThrough>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455" cy="3333750"/>
                        </a:xfrm>
                        <a:prstGeom prst="rect">
                          <a:avLst/>
                        </a:prstGeom>
                        <a:solidFill>
                          <a:srgbClr val="FFFFFF"/>
                        </a:solidFill>
                        <a:ln w="9525">
                          <a:solidFill>
                            <a:srgbClr val="000000"/>
                          </a:solidFill>
                          <a:miter lim="800000"/>
                          <a:headEnd/>
                          <a:tailEnd/>
                        </a:ln>
                      </wps:spPr>
                      <wps:txbx>
                        <w:txbxContent>
                          <w:p w:rsidR="005C7111" w:rsidRPr="005C2C57" w:rsidRDefault="005C7111" w:rsidP="007612D0">
                            <w:pPr>
                              <w:rPr>
                                <w:rFonts w:ascii="Arial Narrow" w:hAnsi="Arial Narrow"/>
                                <w:b/>
                              </w:rPr>
                            </w:pPr>
                            <w:r w:rsidRPr="00FB0AE9">
                              <w:rPr>
                                <w:rFonts w:ascii="Arial Narrow" w:hAnsi="Arial Narrow"/>
                                <w:b/>
                              </w:rPr>
                              <w:t>Box 2</w:t>
                            </w:r>
                            <w:r>
                              <w:rPr>
                                <w:rFonts w:ascii="Arial Narrow" w:hAnsi="Arial Narrow"/>
                                <w:b/>
                              </w:rPr>
                              <w:t xml:space="preserve"> –</w:t>
                            </w:r>
                            <w:r w:rsidRPr="005C2C57">
                              <w:rPr>
                                <w:rFonts w:ascii="Arial Narrow" w:hAnsi="Arial Narrow"/>
                                <w:b/>
                              </w:rPr>
                              <w:t xml:space="preserve"> </w:t>
                            </w:r>
                            <w:r>
                              <w:rPr>
                                <w:rFonts w:ascii="Arial Narrow" w:hAnsi="Arial Narrow"/>
                                <w:b/>
                              </w:rPr>
                              <w:t xml:space="preserve">Workplace learning for VPF finance staff </w:t>
                            </w:r>
                          </w:p>
                          <w:p w:rsidR="005C7111" w:rsidRPr="005C2C57" w:rsidRDefault="005C7111" w:rsidP="007612D0">
                            <w:pPr>
                              <w:rPr>
                                <w:rFonts w:ascii="Arial Narrow" w:hAnsi="Arial Narrow"/>
                              </w:rPr>
                            </w:pPr>
                          </w:p>
                          <w:p w:rsidR="005C7111" w:rsidRPr="000C1A03" w:rsidRDefault="005C7111" w:rsidP="007612D0">
                            <w:pPr>
                              <w:rPr>
                                <w:rFonts w:ascii="Arial Narrow" w:hAnsi="Arial Narrow"/>
                              </w:rPr>
                            </w:pPr>
                            <w:r w:rsidRPr="000C1A03">
                              <w:rPr>
                                <w:rFonts w:ascii="Arial Narrow" w:hAnsi="Arial Narrow"/>
                              </w:rPr>
                              <w:t xml:space="preserve">Putting into practice what you learn from a training course can sometimes be a challenge. A key part of the capacity development strategy for the police and justice sector, produced by the PJSPV, is to ensure training is put into practice. This is happening through a program of workplace learning. </w:t>
                            </w:r>
                          </w:p>
                          <w:p w:rsidR="005C7111" w:rsidRPr="000C1A03" w:rsidRDefault="005C7111" w:rsidP="007612D0">
                            <w:pPr>
                              <w:rPr>
                                <w:rFonts w:ascii="Arial Narrow" w:hAnsi="Arial Narrow"/>
                              </w:rPr>
                            </w:pPr>
                          </w:p>
                          <w:p w:rsidR="005C7111" w:rsidRPr="000C1A03" w:rsidRDefault="005C7111" w:rsidP="007612D0">
                            <w:pPr>
                              <w:rPr>
                                <w:rFonts w:ascii="Arial Narrow" w:hAnsi="Arial Narrow"/>
                              </w:rPr>
                            </w:pPr>
                            <w:r w:rsidRPr="000C1A03">
                              <w:rPr>
                                <w:rFonts w:ascii="Arial Narrow" w:hAnsi="Arial Narrow"/>
                              </w:rPr>
                              <w:t xml:space="preserve">An example of this is a new partnership with MFEM. Fifteen finance officers from 11 agencies across the police and justice sector received finance training from MFEM, and nine trainers from MFEM </w:t>
                            </w:r>
                            <w:r>
                              <w:rPr>
                                <w:rFonts w:ascii="Arial Narrow" w:hAnsi="Arial Narrow"/>
                              </w:rPr>
                              <w:t>have</w:t>
                            </w:r>
                            <w:r w:rsidRPr="000C1A03">
                              <w:rPr>
                                <w:rFonts w:ascii="Arial Narrow" w:hAnsi="Arial Narrow"/>
                              </w:rPr>
                              <w:t xml:space="preserve"> received coaching training from the PJSPV workplace learning adviser. The MFEM trainers have now been paired with the 15 finance staff from the police and justice sector that received initial training. The MFEM coaches visit the police and justice finance officers to help them put into practice what they learnt during their formal training.</w:t>
                            </w:r>
                          </w:p>
                          <w:p w:rsidR="005C7111" w:rsidRPr="000C1A03" w:rsidRDefault="005C7111" w:rsidP="007612D0">
                            <w:pPr>
                              <w:rPr>
                                <w:rFonts w:ascii="Arial Narrow" w:hAnsi="Arial Narrow"/>
                              </w:rPr>
                            </w:pPr>
                          </w:p>
                          <w:p w:rsidR="005C7111" w:rsidRPr="002067DC" w:rsidRDefault="005C7111" w:rsidP="007612D0">
                            <w:pPr>
                              <w:rPr>
                                <w:rFonts w:ascii="Arial Narrow" w:hAnsi="Arial Narrow"/>
                              </w:rPr>
                            </w:pPr>
                            <w:r w:rsidRPr="000C1A03">
                              <w:rPr>
                                <w:rFonts w:ascii="Arial Narrow" w:hAnsi="Arial Narrow"/>
                              </w:rPr>
                              <w:t>MFEM have expressed an interest in using this model to support the decentralisation process of MFEM into the provinces.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3pt;margin-top:8.55pt;width:246.65pt;height:26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">
                <v:textbox>
                  <w:txbxContent>
                    <w:p w:rsidR="005C7111" w:rsidRPr="005C2C57" w:rsidRDefault="005C7111" w:rsidP="007612D0">
                      <w:pPr>
                        <w:rPr>
                          <w:rFonts w:ascii="Arial Narrow" w:hAnsi="Arial Narrow"/>
                          <w:b/>
                        </w:rPr>
                      </w:pPr>
                      <w:r w:rsidRPr="00FB0AE9">
                        <w:rPr>
                          <w:rFonts w:ascii="Arial Narrow" w:hAnsi="Arial Narrow"/>
                          <w:b/>
                        </w:rPr>
                        <w:t>Box 2</w:t>
                      </w:r>
                      <w:r>
                        <w:rPr>
                          <w:rFonts w:ascii="Arial Narrow" w:hAnsi="Arial Narrow"/>
                          <w:b/>
                        </w:rPr>
                        <w:t xml:space="preserve"> –</w:t>
                      </w:r>
                      <w:r w:rsidRPr="005C2C57">
                        <w:rPr>
                          <w:rFonts w:ascii="Arial Narrow" w:hAnsi="Arial Narrow"/>
                          <w:b/>
                        </w:rPr>
                        <w:t xml:space="preserve"> </w:t>
                      </w:r>
                      <w:r>
                        <w:rPr>
                          <w:rFonts w:ascii="Arial Narrow" w:hAnsi="Arial Narrow"/>
                          <w:b/>
                        </w:rPr>
                        <w:t xml:space="preserve">Workplace learning for VPF finance staff </w:t>
                      </w:r>
                    </w:p>
                    <w:p w:rsidR="005C7111" w:rsidRPr="005C2C57" w:rsidRDefault="005C7111" w:rsidP="007612D0">
                      <w:pPr>
                        <w:rPr>
                          <w:rFonts w:ascii="Arial Narrow" w:hAnsi="Arial Narrow"/>
                        </w:rPr>
                      </w:pPr>
                    </w:p>
                    <w:p w:rsidR="005C7111" w:rsidRPr="000C1A03" w:rsidRDefault="005C7111" w:rsidP="007612D0">
                      <w:pPr>
                        <w:rPr>
                          <w:rFonts w:ascii="Arial Narrow" w:hAnsi="Arial Narrow"/>
                        </w:rPr>
                      </w:pPr>
                      <w:r w:rsidRPr="000C1A03">
                        <w:rPr>
                          <w:rFonts w:ascii="Arial Narrow" w:hAnsi="Arial Narrow"/>
                        </w:rPr>
                        <w:t xml:space="preserve">Putting into practice what you learn from a training course can sometimes be a challenge. A key part of the capacity development strategy for the police and justice sector, produced by the PJSPV, is to ensure training is put into practice. This is happening through a program of workplace learning. </w:t>
                      </w:r>
                    </w:p>
                    <w:p w:rsidR="005C7111" w:rsidRPr="000C1A03" w:rsidRDefault="005C7111" w:rsidP="007612D0">
                      <w:pPr>
                        <w:rPr>
                          <w:rFonts w:ascii="Arial Narrow" w:hAnsi="Arial Narrow"/>
                        </w:rPr>
                      </w:pPr>
                    </w:p>
                    <w:p w:rsidR="005C7111" w:rsidRPr="000C1A03" w:rsidRDefault="005C7111" w:rsidP="007612D0">
                      <w:pPr>
                        <w:rPr>
                          <w:rFonts w:ascii="Arial Narrow" w:hAnsi="Arial Narrow"/>
                        </w:rPr>
                      </w:pPr>
                      <w:r w:rsidRPr="000C1A03">
                        <w:rPr>
                          <w:rFonts w:ascii="Arial Narrow" w:hAnsi="Arial Narrow"/>
                        </w:rPr>
                        <w:t xml:space="preserve">An example of this is a new partnership with MFEM. Fifteen finance officers from 11 agencies across the police and justice sector received finance training from MFEM, and nine trainers from MFEM </w:t>
                      </w:r>
                      <w:r>
                        <w:rPr>
                          <w:rFonts w:ascii="Arial Narrow" w:hAnsi="Arial Narrow"/>
                        </w:rPr>
                        <w:t>have</w:t>
                      </w:r>
                      <w:r w:rsidRPr="000C1A03">
                        <w:rPr>
                          <w:rFonts w:ascii="Arial Narrow" w:hAnsi="Arial Narrow"/>
                        </w:rPr>
                        <w:t xml:space="preserve"> received coaching training from the PJSPV workplace learning adviser. The MFEM trainers have now been paired with the 15 finance staff from the police and justice sector that received initial training. The MFEM coaches visit the police and justice finance officers to help them put into practice what they learnt during their formal training.</w:t>
                      </w:r>
                    </w:p>
                    <w:p w:rsidR="005C7111" w:rsidRPr="000C1A03" w:rsidRDefault="005C7111" w:rsidP="007612D0">
                      <w:pPr>
                        <w:rPr>
                          <w:rFonts w:ascii="Arial Narrow" w:hAnsi="Arial Narrow"/>
                        </w:rPr>
                      </w:pPr>
                    </w:p>
                    <w:p w:rsidR="005C7111" w:rsidRPr="002067DC" w:rsidRDefault="005C7111" w:rsidP="007612D0">
                      <w:pPr>
                        <w:rPr>
                          <w:rFonts w:ascii="Arial Narrow" w:hAnsi="Arial Narrow"/>
                        </w:rPr>
                      </w:pPr>
                      <w:r w:rsidRPr="000C1A03">
                        <w:rPr>
                          <w:rFonts w:ascii="Arial Narrow" w:hAnsi="Arial Narrow"/>
                        </w:rPr>
                        <w:t>MFEM have expressed an interest in using this model to support the decentralisation process of MFEM into the provinces.</w:t>
                      </w:r>
                    </w:p>
                  </w:txbxContent>
                </v:textbox>
                <w10:wrap type="through"/>
              </v:shape>
            </w:pict>
          </mc:Fallback>
        </mc:AlternateContent>
      </w:r>
      <w:r w:rsidR="007612D0">
        <w:t>T</w:t>
      </w:r>
      <w:r w:rsidR="007612D0" w:rsidRPr="001B0BFE">
        <w:t>he Policing and Justice Support Program Vanuatu (PJSPV)</w:t>
      </w:r>
      <w:r w:rsidR="007612D0" w:rsidRPr="001B0BFE">
        <w:rPr>
          <w:lang w:eastAsia="en-US"/>
        </w:rPr>
        <w:t xml:space="preserve"> </w:t>
      </w:r>
      <w:r w:rsidR="00BC54E7" w:rsidRPr="001B0BFE">
        <w:rPr>
          <w:lang w:eastAsia="en-US"/>
        </w:rPr>
        <w:t xml:space="preserve">aims to improve </w:t>
      </w:r>
      <w:r w:rsidR="009A7BFC">
        <w:rPr>
          <w:lang w:eastAsia="en-US"/>
        </w:rPr>
        <w:t>access to justice for</w:t>
      </w:r>
      <w:r w:rsidR="00BC54E7" w:rsidRPr="001B0BFE">
        <w:rPr>
          <w:lang w:eastAsia="en-US"/>
        </w:rPr>
        <w:t xml:space="preserve"> women, children and youth.</w:t>
      </w:r>
      <w:r w:rsidR="009A7BFC">
        <w:rPr>
          <w:lang w:eastAsia="en-US"/>
        </w:rPr>
        <w:t xml:space="preserve"> It </w:t>
      </w:r>
      <w:r w:rsidR="007612D0" w:rsidRPr="001B0BFE">
        <w:rPr>
          <w:lang w:eastAsia="en-US"/>
        </w:rPr>
        <w:t>provides support to the Vanuatu Police Force</w:t>
      </w:r>
      <w:r w:rsidR="007612D0">
        <w:rPr>
          <w:lang w:eastAsia="en-US"/>
        </w:rPr>
        <w:t xml:space="preserve"> (VPF)</w:t>
      </w:r>
      <w:r w:rsidR="007612D0" w:rsidRPr="001B0BFE">
        <w:rPr>
          <w:lang w:eastAsia="en-US"/>
        </w:rPr>
        <w:t xml:space="preserve">, the agencies, statutory and constitutional bodies that make up the Ministry of Justice and Community Service (MJCS), the Prime Minister's Office, and </w:t>
      </w:r>
      <w:r w:rsidR="009A7BFC">
        <w:rPr>
          <w:lang w:eastAsia="en-US"/>
        </w:rPr>
        <w:t>partners with civil society including</w:t>
      </w:r>
      <w:r w:rsidR="00BC54E7">
        <w:rPr>
          <w:lang w:eastAsia="en-US"/>
        </w:rPr>
        <w:t xml:space="preserve"> </w:t>
      </w:r>
      <w:r w:rsidR="007612D0" w:rsidRPr="001B0BFE">
        <w:rPr>
          <w:lang w:eastAsia="en-US"/>
        </w:rPr>
        <w:t xml:space="preserve">Save the Children. </w:t>
      </w:r>
      <w:r w:rsidR="009A7BFC">
        <w:rPr>
          <w:lang w:eastAsia="en-US"/>
        </w:rPr>
        <w:t>P</w:t>
      </w:r>
      <w:r w:rsidR="007612D0" w:rsidRPr="001B0BFE">
        <w:rPr>
          <w:lang w:eastAsia="en-US"/>
        </w:rPr>
        <w:t xml:space="preserve">olicing assistance is provided </w:t>
      </w:r>
      <w:r w:rsidR="009A7BFC">
        <w:rPr>
          <w:lang w:eastAsia="en-US"/>
        </w:rPr>
        <w:t>in partnership with</w:t>
      </w:r>
      <w:r w:rsidR="007612D0" w:rsidRPr="001B0BFE">
        <w:rPr>
          <w:lang w:eastAsia="en-US"/>
        </w:rPr>
        <w:t xml:space="preserve"> Australian Federal Police (AFP). </w:t>
      </w:r>
    </w:p>
    <w:p w:rsidR="00C27F25" w:rsidRPr="00CA41DA" w:rsidRDefault="00C27F25" w:rsidP="00C27F25">
      <w:pPr>
        <w:pStyle w:val="BodyText"/>
        <w:rPr>
          <w:lang w:eastAsia="en-US"/>
        </w:rPr>
      </w:pPr>
      <w:r>
        <w:rPr>
          <w:lang w:eastAsia="en-US"/>
        </w:rPr>
        <w:t>In 2014-15, our support helped</w:t>
      </w:r>
      <w:r w:rsidR="00CB5861">
        <w:rPr>
          <w:lang w:eastAsia="en-US"/>
        </w:rPr>
        <w:t xml:space="preserve"> the</w:t>
      </w:r>
      <w:r w:rsidR="007612D0" w:rsidRPr="00CA41DA">
        <w:rPr>
          <w:lang w:eastAsia="en-US"/>
        </w:rPr>
        <w:t xml:space="preserve"> VPF </w:t>
      </w:r>
      <w:r>
        <w:rPr>
          <w:lang w:eastAsia="en-US"/>
        </w:rPr>
        <w:t>to take</w:t>
      </w:r>
      <w:r w:rsidR="007612D0" w:rsidRPr="00CA41DA">
        <w:rPr>
          <w:lang w:eastAsia="en-US"/>
        </w:rPr>
        <w:t xml:space="preserve"> </w:t>
      </w:r>
      <w:r w:rsidR="00CB5861">
        <w:rPr>
          <w:lang w:eastAsia="en-US"/>
        </w:rPr>
        <w:t xml:space="preserve">a </w:t>
      </w:r>
      <w:r w:rsidR="007612D0" w:rsidRPr="00CA41DA">
        <w:rPr>
          <w:lang w:eastAsia="en-US"/>
        </w:rPr>
        <w:t>more coo</w:t>
      </w:r>
      <w:r w:rsidR="00CB5861">
        <w:rPr>
          <w:lang w:eastAsia="en-US"/>
        </w:rPr>
        <w:t>rdinated response to operations and</w:t>
      </w:r>
      <w:r w:rsidR="007612D0" w:rsidRPr="00CA41DA">
        <w:rPr>
          <w:lang w:eastAsia="en-US"/>
        </w:rPr>
        <w:t xml:space="preserve"> </w:t>
      </w:r>
      <w:r>
        <w:rPr>
          <w:lang w:eastAsia="en-US"/>
        </w:rPr>
        <w:t xml:space="preserve">enabled </w:t>
      </w:r>
      <w:r w:rsidR="007612D0" w:rsidRPr="00CA41DA">
        <w:rPr>
          <w:lang w:eastAsia="en-US"/>
        </w:rPr>
        <w:t xml:space="preserve">implementation of an evidence-based </w:t>
      </w:r>
      <w:r w:rsidR="007612D0" w:rsidRPr="00CA41DA">
        <w:rPr>
          <w:lang w:eastAsia="en-US"/>
        </w:rPr>
        <w:lastRenderedPageBreak/>
        <w:t xml:space="preserve">capacity development strategy for the sector </w:t>
      </w:r>
      <w:r w:rsidR="007612D0" w:rsidRPr="00FB0AE9">
        <w:rPr>
          <w:lang w:eastAsia="en-US"/>
        </w:rPr>
        <w:t xml:space="preserve">(see </w:t>
      </w:r>
      <w:r w:rsidR="007612D0" w:rsidRPr="00FB0AE9">
        <w:rPr>
          <w:b/>
          <w:lang w:eastAsia="en-US"/>
        </w:rPr>
        <w:t xml:space="preserve">Box </w:t>
      </w:r>
      <w:r w:rsidR="00FB0AE9" w:rsidRPr="00FB0AE9">
        <w:rPr>
          <w:b/>
          <w:lang w:eastAsia="en-US"/>
        </w:rPr>
        <w:t>2</w:t>
      </w:r>
      <w:r w:rsidR="007612D0" w:rsidRPr="00FB0AE9">
        <w:rPr>
          <w:lang w:eastAsia="en-US"/>
        </w:rPr>
        <w:t>)</w:t>
      </w:r>
      <w:r>
        <w:rPr>
          <w:lang w:eastAsia="en-US"/>
        </w:rPr>
        <w:t>. Our support to the Police Professional Standards Unit resulted in a 60 per cent</w:t>
      </w:r>
      <w:r w:rsidRPr="00CA41DA">
        <w:rPr>
          <w:lang w:eastAsia="en-US"/>
        </w:rPr>
        <w:t xml:space="preserve"> increase in inte</w:t>
      </w:r>
      <w:r>
        <w:rPr>
          <w:lang w:eastAsia="en-US"/>
        </w:rPr>
        <w:t>rnal complaints</w:t>
      </w:r>
      <w:r w:rsidR="00EB4C81">
        <w:rPr>
          <w:lang w:eastAsia="en-US"/>
        </w:rPr>
        <w:t>, demonstrating increased public confidence in reporting systems and responses</w:t>
      </w:r>
      <w:r>
        <w:rPr>
          <w:lang w:eastAsia="en-US"/>
        </w:rPr>
        <w:t>; the Police Commissioner endorsed the</w:t>
      </w:r>
      <w:r w:rsidRPr="00CA41DA">
        <w:rPr>
          <w:lang w:eastAsia="en-US"/>
        </w:rPr>
        <w:t xml:space="preserve"> Vanuatu Police </w:t>
      </w:r>
      <w:r w:rsidRPr="006F17CB">
        <w:rPr>
          <w:lang w:eastAsia="en-US"/>
        </w:rPr>
        <w:t xml:space="preserve">Force Women's Advisory Network strategy </w:t>
      </w:r>
      <w:r w:rsidR="006F17CB" w:rsidRPr="006F17CB">
        <w:rPr>
          <w:lang w:eastAsia="en-US"/>
        </w:rPr>
        <w:t xml:space="preserve">which </w:t>
      </w:r>
      <w:r w:rsidR="0082275A">
        <w:rPr>
          <w:lang w:eastAsia="en-US"/>
        </w:rPr>
        <w:t>was developed with Australian support</w:t>
      </w:r>
      <w:r w:rsidRPr="006F17CB">
        <w:rPr>
          <w:lang w:eastAsia="en-US"/>
        </w:rPr>
        <w:t>; and</w:t>
      </w:r>
      <w:r>
        <w:rPr>
          <w:lang w:eastAsia="en-US"/>
        </w:rPr>
        <w:t xml:space="preserve"> there was </w:t>
      </w:r>
      <w:r w:rsidRPr="00CA41DA">
        <w:rPr>
          <w:lang w:eastAsia="en-US"/>
        </w:rPr>
        <w:t xml:space="preserve">progress on the appointment of Authorised Persons and Registered Counsellors under the </w:t>
      </w:r>
      <w:r w:rsidRPr="009A29D3">
        <w:rPr>
          <w:i/>
          <w:lang w:eastAsia="en-US"/>
        </w:rPr>
        <w:t>Family Protection Act</w:t>
      </w:r>
      <w:r w:rsidRPr="00CA41DA">
        <w:rPr>
          <w:lang w:eastAsia="en-US"/>
        </w:rPr>
        <w:t>.</w:t>
      </w:r>
    </w:p>
    <w:p w:rsidR="00FE2850" w:rsidRDefault="00CB5861" w:rsidP="007612D0">
      <w:pPr>
        <w:pStyle w:val="BodyText"/>
        <w:rPr>
          <w:lang w:eastAsia="en-US"/>
        </w:rPr>
      </w:pPr>
      <w:r>
        <w:rPr>
          <w:lang w:eastAsia="en-US"/>
        </w:rPr>
        <w:t xml:space="preserve">Australian-funded improvements in data quality </w:t>
      </w:r>
      <w:r w:rsidR="006F73E7">
        <w:rPr>
          <w:lang w:eastAsia="en-US"/>
        </w:rPr>
        <w:t>are</w:t>
      </w:r>
      <w:r w:rsidR="007612D0" w:rsidRPr="00CA41DA">
        <w:rPr>
          <w:lang w:eastAsia="en-US"/>
        </w:rPr>
        <w:t xml:space="preserve"> </w:t>
      </w:r>
      <w:r>
        <w:rPr>
          <w:lang w:eastAsia="en-US"/>
        </w:rPr>
        <w:t>inform</w:t>
      </w:r>
      <w:r w:rsidR="006F73E7">
        <w:rPr>
          <w:lang w:eastAsia="en-US"/>
        </w:rPr>
        <w:t>ing</w:t>
      </w:r>
      <w:r>
        <w:rPr>
          <w:lang w:eastAsia="en-US"/>
        </w:rPr>
        <w:t xml:space="preserve"> management decisions by</w:t>
      </w:r>
      <w:r w:rsidR="007612D0" w:rsidRPr="00CA41DA">
        <w:rPr>
          <w:lang w:eastAsia="en-US"/>
        </w:rPr>
        <w:t xml:space="preserve"> the Courts and the State Prosecutions Department </w:t>
      </w:r>
      <w:r w:rsidR="00C27F25">
        <w:rPr>
          <w:lang w:eastAsia="en-US"/>
        </w:rPr>
        <w:t xml:space="preserve">and </w:t>
      </w:r>
      <w:r w:rsidR="00FE2850">
        <w:rPr>
          <w:lang w:eastAsia="en-US"/>
        </w:rPr>
        <w:t>decreas</w:t>
      </w:r>
      <w:r w:rsidR="006F73E7">
        <w:rPr>
          <w:lang w:eastAsia="en-US"/>
        </w:rPr>
        <w:t>ing</w:t>
      </w:r>
      <w:r w:rsidR="00FE2850">
        <w:rPr>
          <w:lang w:eastAsia="en-US"/>
        </w:rPr>
        <w:t xml:space="preserve"> </w:t>
      </w:r>
      <w:r w:rsidR="006F73E7">
        <w:rPr>
          <w:lang w:eastAsia="en-US"/>
        </w:rPr>
        <w:t xml:space="preserve">the </w:t>
      </w:r>
      <w:r w:rsidR="00FE2850">
        <w:rPr>
          <w:lang w:eastAsia="en-US"/>
        </w:rPr>
        <w:t>time taken to draft</w:t>
      </w:r>
      <w:r w:rsidR="007612D0" w:rsidRPr="00CA41DA">
        <w:rPr>
          <w:lang w:eastAsia="en-US"/>
        </w:rPr>
        <w:t xml:space="preserve"> charges</w:t>
      </w:r>
      <w:r w:rsidR="00C27F25">
        <w:rPr>
          <w:lang w:eastAsia="en-US"/>
        </w:rPr>
        <w:t xml:space="preserve"> (</w:t>
      </w:r>
      <w:r w:rsidR="00FE2850">
        <w:rPr>
          <w:lang w:eastAsia="en-US"/>
        </w:rPr>
        <w:t xml:space="preserve">down to 40 days </w:t>
      </w:r>
      <w:r w:rsidR="00C27F25">
        <w:rPr>
          <w:lang w:eastAsia="en-US"/>
        </w:rPr>
        <w:t xml:space="preserve">from 116 days).  </w:t>
      </w:r>
      <w:r w:rsidR="00FE2850">
        <w:rPr>
          <w:lang w:eastAsia="en-US"/>
        </w:rPr>
        <w:t>We</w:t>
      </w:r>
      <w:r w:rsidR="00BC54E7" w:rsidRPr="00CA41DA">
        <w:rPr>
          <w:lang w:eastAsia="en-US"/>
        </w:rPr>
        <w:t xml:space="preserve"> also </w:t>
      </w:r>
      <w:r w:rsidR="00BC54E7">
        <w:rPr>
          <w:lang w:eastAsia="en-US"/>
        </w:rPr>
        <w:t>assisted the</w:t>
      </w:r>
      <w:r w:rsidR="00BC54E7" w:rsidRPr="00CA41DA">
        <w:rPr>
          <w:lang w:eastAsia="en-US"/>
        </w:rPr>
        <w:t xml:space="preserve"> Department of Women’s Affairs to final</w:t>
      </w:r>
      <w:r w:rsidR="00BC54E7">
        <w:rPr>
          <w:lang w:eastAsia="en-US"/>
        </w:rPr>
        <w:t xml:space="preserve">ise the </w:t>
      </w:r>
      <w:r w:rsidR="00BC54E7" w:rsidRPr="00CA41DA">
        <w:rPr>
          <w:lang w:eastAsia="en-US"/>
        </w:rPr>
        <w:t>National Gender Equa</w:t>
      </w:r>
      <w:r w:rsidR="00BC54E7">
        <w:rPr>
          <w:lang w:eastAsia="en-US"/>
        </w:rPr>
        <w:t xml:space="preserve">lity Policy which </w:t>
      </w:r>
      <w:r w:rsidR="006F73E7">
        <w:rPr>
          <w:lang w:eastAsia="en-US"/>
        </w:rPr>
        <w:t>was</w:t>
      </w:r>
      <w:r w:rsidR="00BC54E7">
        <w:rPr>
          <w:lang w:eastAsia="en-US"/>
        </w:rPr>
        <w:t xml:space="preserve"> endorsed by the</w:t>
      </w:r>
      <w:r w:rsidR="006F73E7">
        <w:rPr>
          <w:lang w:eastAsia="en-US"/>
        </w:rPr>
        <w:t xml:space="preserve"> Vanuatu </w:t>
      </w:r>
      <w:r w:rsidR="00BC54E7">
        <w:rPr>
          <w:lang w:eastAsia="en-US"/>
        </w:rPr>
        <w:t>Government</w:t>
      </w:r>
      <w:r w:rsidR="00BC54E7" w:rsidRPr="00CA41DA">
        <w:rPr>
          <w:lang w:eastAsia="en-US"/>
        </w:rPr>
        <w:t>. Australia’s ongo</w:t>
      </w:r>
      <w:r w:rsidR="00FE2850">
        <w:rPr>
          <w:lang w:eastAsia="en-US"/>
        </w:rPr>
        <w:t>ing support will contribute to its implementation</w:t>
      </w:r>
      <w:r w:rsidR="00BC54E7">
        <w:rPr>
          <w:lang w:eastAsia="en-US"/>
        </w:rPr>
        <w:t>, including p</w:t>
      </w:r>
      <w:r w:rsidR="00BC54E7" w:rsidRPr="00F27212">
        <w:rPr>
          <w:lang w:eastAsia="en-US"/>
        </w:rPr>
        <w:t xml:space="preserve">romoting </w:t>
      </w:r>
      <w:r w:rsidR="00BC54E7">
        <w:rPr>
          <w:lang w:eastAsia="en-US"/>
        </w:rPr>
        <w:t>w</w:t>
      </w:r>
      <w:r w:rsidR="00BC54E7" w:rsidRPr="00F27212">
        <w:rPr>
          <w:lang w:eastAsia="en-US"/>
        </w:rPr>
        <w:t xml:space="preserve">omen’s </w:t>
      </w:r>
      <w:r w:rsidR="00BC54E7">
        <w:rPr>
          <w:lang w:eastAsia="en-US"/>
        </w:rPr>
        <w:t>l</w:t>
      </w:r>
      <w:r w:rsidR="00BC54E7" w:rsidRPr="00F27212">
        <w:rPr>
          <w:lang w:eastAsia="en-US"/>
        </w:rPr>
        <w:t xml:space="preserve">eadership and </w:t>
      </w:r>
      <w:r w:rsidR="00BC54E7">
        <w:rPr>
          <w:lang w:eastAsia="en-US"/>
        </w:rPr>
        <w:t>e</w:t>
      </w:r>
      <w:r w:rsidR="00BC54E7" w:rsidRPr="00F27212">
        <w:rPr>
          <w:lang w:eastAsia="en-US"/>
        </w:rPr>
        <w:t xml:space="preserve">qual </w:t>
      </w:r>
      <w:r w:rsidR="00BC54E7">
        <w:rPr>
          <w:lang w:eastAsia="en-US"/>
        </w:rPr>
        <w:t>p</w:t>
      </w:r>
      <w:r w:rsidR="00BC54E7" w:rsidRPr="00F27212">
        <w:rPr>
          <w:lang w:eastAsia="en-US"/>
        </w:rPr>
        <w:t xml:space="preserve">olitical </w:t>
      </w:r>
      <w:r w:rsidR="00BC54E7">
        <w:rPr>
          <w:lang w:eastAsia="en-US"/>
        </w:rPr>
        <w:t>p</w:t>
      </w:r>
      <w:r w:rsidR="00BC54E7" w:rsidRPr="00F27212">
        <w:rPr>
          <w:lang w:eastAsia="en-US"/>
        </w:rPr>
        <w:t>articipation</w:t>
      </w:r>
      <w:r w:rsidR="00BC54E7">
        <w:rPr>
          <w:lang w:eastAsia="en-US"/>
        </w:rPr>
        <w:t xml:space="preserve"> </w:t>
      </w:r>
      <w:r w:rsidR="00FB0AE9" w:rsidRPr="00FB0AE9">
        <w:rPr>
          <w:lang w:eastAsia="en-US"/>
        </w:rPr>
        <w:t>(s</w:t>
      </w:r>
      <w:r w:rsidR="00BC54E7" w:rsidRPr="00FB0AE9">
        <w:rPr>
          <w:lang w:eastAsia="en-US"/>
        </w:rPr>
        <w:t xml:space="preserve">ee </w:t>
      </w:r>
      <w:r w:rsidR="00BC54E7" w:rsidRPr="00FB0AE9">
        <w:rPr>
          <w:b/>
          <w:lang w:eastAsia="en-US"/>
        </w:rPr>
        <w:t xml:space="preserve">Box </w:t>
      </w:r>
      <w:r w:rsidR="00FB0AE9" w:rsidRPr="00FB0AE9">
        <w:rPr>
          <w:b/>
          <w:lang w:eastAsia="en-US"/>
        </w:rPr>
        <w:t>3</w:t>
      </w:r>
      <w:r w:rsidR="00BC54E7" w:rsidRPr="00FB0AE9">
        <w:rPr>
          <w:lang w:eastAsia="en-US"/>
        </w:rPr>
        <w:t>)</w:t>
      </w:r>
      <w:r w:rsidR="00BC54E7" w:rsidRPr="00CA41DA">
        <w:rPr>
          <w:lang w:eastAsia="en-US"/>
        </w:rPr>
        <w:t>.</w:t>
      </w:r>
      <w:r w:rsidR="00FE2850">
        <w:rPr>
          <w:lang w:eastAsia="en-US"/>
        </w:rPr>
        <w:t xml:space="preserve"> </w:t>
      </w:r>
    </w:p>
    <w:p w:rsidR="007612D0" w:rsidRDefault="00FE2850" w:rsidP="007612D0">
      <w:pPr>
        <w:pStyle w:val="BodyText"/>
        <w:rPr>
          <w:lang w:eastAsia="en-US"/>
        </w:rPr>
      </w:pPr>
      <w:r w:rsidRPr="00CA41DA">
        <w:rPr>
          <w:lang w:eastAsia="en-US"/>
        </w:rPr>
        <w:t>Australia continued its long-running support for the Vanuatu Women’s Centre</w:t>
      </w:r>
      <w:r>
        <w:rPr>
          <w:lang w:eastAsia="en-US"/>
        </w:rPr>
        <w:t xml:space="preserve"> (VWC)</w:t>
      </w:r>
      <w:r w:rsidRPr="00CA41DA">
        <w:rPr>
          <w:lang w:eastAsia="en-US"/>
        </w:rPr>
        <w:t>. The centre provides counselling, support and legal services to survivors of violence.</w:t>
      </w:r>
      <w:r w:rsidR="006F17CB">
        <w:rPr>
          <w:lang w:eastAsia="en-US"/>
        </w:rPr>
        <w:t xml:space="preserve"> </w:t>
      </w:r>
      <w:r w:rsidR="007612D0" w:rsidRPr="00CA41DA">
        <w:rPr>
          <w:lang w:eastAsia="en-US"/>
        </w:rPr>
        <w:t>It is the onl</w:t>
      </w:r>
      <w:r>
        <w:rPr>
          <w:lang w:eastAsia="en-US"/>
        </w:rPr>
        <w:t xml:space="preserve">y </w:t>
      </w:r>
      <w:r w:rsidR="007612D0" w:rsidRPr="00CA41DA">
        <w:rPr>
          <w:lang w:eastAsia="en-US"/>
        </w:rPr>
        <w:t>organisation of its kind in Vanuatu and is responding to the urgent and severe challenge of family</w:t>
      </w:r>
      <w:r>
        <w:rPr>
          <w:lang w:eastAsia="en-US"/>
        </w:rPr>
        <w:t xml:space="preserve"> and sexual violence. </w:t>
      </w:r>
      <w:r w:rsidRPr="006F17CB">
        <w:rPr>
          <w:lang w:eastAsia="en-US"/>
        </w:rPr>
        <w:t>In 2013-14</w:t>
      </w:r>
      <w:r w:rsidR="007612D0" w:rsidRPr="006F17CB">
        <w:rPr>
          <w:lang w:eastAsia="en-US"/>
        </w:rPr>
        <w:t>,</w:t>
      </w:r>
      <w:r w:rsidR="007612D0" w:rsidRPr="00CA41DA">
        <w:rPr>
          <w:lang w:eastAsia="en-US"/>
        </w:rPr>
        <w:t xml:space="preserve"> the Vanuatu Women’s Centre provided 6</w:t>
      </w:r>
      <w:r w:rsidR="007612D0">
        <w:rPr>
          <w:lang w:eastAsia="en-US"/>
        </w:rPr>
        <w:t>,</w:t>
      </w:r>
      <w:r w:rsidR="007612D0" w:rsidRPr="00CA41DA">
        <w:rPr>
          <w:lang w:eastAsia="en-US"/>
        </w:rPr>
        <w:t xml:space="preserve">007 people with counselling and support services across all six provinces – over 40 per cent of clients were in rural locations outside of Port Vila and </w:t>
      </w:r>
      <w:proofErr w:type="spellStart"/>
      <w:r w:rsidR="007612D0" w:rsidRPr="00CA41DA">
        <w:rPr>
          <w:lang w:eastAsia="en-US"/>
        </w:rPr>
        <w:t>Luganville</w:t>
      </w:r>
      <w:proofErr w:type="spellEnd"/>
      <w:r w:rsidR="007612D0" w:rsidRPr="00CA41DA">
        <w:rPr>
          <w:lang w:eastAsia="en-US"/>
        </w:rPr>
        <w:t xml:space="preserve">. </w:t>
      </w:r>
      <w:r w:rsidR="007612D0">
        <w:rPr>
          <w:lang w:eastAsia="en-US"/>
        </w:rPr>
        <w:t xml:space="preserve">Assistance was provided to </w:t>
      </w:r>
      <w:r w:rsidR="007612D0" w:rsidRPr="00CA41DA">
        <w:rPr>
          <w:lang w:eastAsia="en-US"/>
        </w:rPr>
        <w:t xml:space="preserve">369 at-risk women to obtain Family Protection (restraining) Orders. A significant achievement for the reporting period was the opening of a new branch of VWC in </w:t>
      </w:r>
      <w:proofErr w:type="spellStart"/>
      <w:r w:rsidR="007612D0" w:rsidRPr="00CA41DA">
        <w:rPr>
          <w:lang w:eastAsia="en-US"/>
        </w:rPr>
        <w:t>Lakatoro</w:t>
      </w:r>
      <w:proofErr w:type="spellEnd"/>
      <w:r w:rsidR="007612D0" w:rsidRPr="00CA41DA">
        <w:rPr>
          <w:lang w:eastAsia="en-US"/>
        </w:rPr>
        <w:t xml:space="preserve">, </w:t>
      </w:r>
      <w:proofErr w:type="spellStart"/>
      <w:r w:rsidR="007612D0" w:rsidRPr="00CA41DA">
        <w:rPr>
          <w:lang w:eastAsia="en-US"/>
        </w:rPr>
        <w:t>Malakula</w:t>
      </w:r>
      <w:proofErr w:type="spellEnd"/>
      <w:r w:rsidR="007612D0" w:rsidRPr="00CA41DA">
        <w:rPr>
          <w:lang w:eastAsia="en-US"/>
        </w:rPr>
        <w:t xml:space="preserve"> (</w:t>
      </w:r>
      <w:proofErr w:type="spellStart"/>
      <w:r w:rsidR="001B2A0A">
        <w:rPr>
          <w:lang w:eastAsia="en-US"/>
        </w:rPr>
        <w:t>Malam</w:t>
      </w:r>
      <w:r w:rsidR="001B2A0A" w:rsidRPr="00CA41DA">
        <w:rPr>
          <w:lang w:eastAsia="en-US"/>
        </w:rPr>
        <w:t>pa</w:t>
      </w:r>
      <w:proofErr w:type="spellEnd"/>
      <w:r w:rsidR="007612D0" w:rsidRPr="00CA41DA">
        <w:rPr>
          <w:lang w:eastAsia="en-US"/>
        </w:rPr>
        <w:t xml:space="preserve"> Province), extending the reach of the VWC services to women and children survivors of violence. </w:t>
      </w:r>
      <w:proofErr w:type="spellStart"/>
      <w:r w:rsidR="007612D0" w:rsidRPr="00CA41DA">
        <w:rPr>
          <w:lang w:eastAsia="en-US"/>
        </w:rPr>
        <w:t>Malampa</w:t>
      </w:r>
      <w:proofErr w:type="spellEnd"/>
      <w:r w:rsidR="007612D0" w:rsidRPr="00CA41DA">
        <w:rPr>
          <w:lang w:eastAsia="en-US"/>
        </w:rPr>
        <w:t xml:space="preserve"> Province </w:t>
      </w:r>
      <w:r w:rsidR="006F73E7">
        <w:rPr>
          <w:lang w:eastAsia="en-US"/>
        </w:rPr>
        <w:t>records</w:t>
      </w:r>
      <w:r w:rsidR="006F73E7" w:rsidRPr="00CA41DA">
        <w:rPr>
          <w:lang w:eastAsia="en-US"/>
        </w:rPr>
        <w:t xml:space="preserve"> </w:t>
      </w:r>
      <w:r w:rsidR="007612D0" w:rsidRPr="00CA41DA">
        <w:rPr>
          <w:lang w:eastAsia="en-US"/>
        </w:rPr>
        <w:t xml:space="preserve">some of the highest rates of violence against women in Vanuatu. </w:t>
      </w:r>
    </w:p>
    <w:p w:rsidR="00B94FF6" w:rsidRPr="00B94FF6" w:rsidRDefault="006F73E7" w:rsidP="00CB5861">
      <w:pPr>
        <w:spacing w:after="120" w:line="280" w:lineRule="exact"/>
        <w:rPr>
          <w:rFonts w:ascii="Franklin Gothic Book" w:hAnsi="Franklin Gothic Book"/>
          <w:sz w:val="21"/>
          <w:szCs w:val="21"/>
        </w:rPr>
      </w:pPr>
      <w:r w:rsidRPr="00650E15">
        <w:rPr>
          <w:rFonts w:ascii="Franklin Gothic Book" w:hAnsi="Franklin Gothic Book"/>
          <w:noProof/>
          <w:sz w:val="21"/>
          <w:szCs w:val="21"/>
        </w:rPr>
        <mc:AlternateContent>
          <mc:Choice Requires="wps">
            <w:drawing>
              <wp:anchor distT="0" distB="0" distL="114300" distR="114300" simplePos="0" relativeHeight="251676672" behindDoc="1" locked="0" layoutInCell="1" allowOverlap="1" wp14:anchorId="73EE8B93" wp14:editId="216D7E37">
                <wp:simplePos x="0" y="0"/>
                <wp:positionH relativeFrom="column">
                  <wp:posOffset>2439670</wp:posOffset>
                </wp:positionH>
                <wp:positionV relativeFrom="paragraph">
                  <wp:posOffset>574040</wp:posOffset>
                </wp:positionV>
                <wp:extent cx="3002280" cy="2473960"/>
                <wp:effectExtent l="0" t="0" r="26670" b="21590"/>
                <wp:wrapThrough wrapText="bothSides">
                  <wp:wrapPolygon edited="0">
                    <wp:start x="0" y="0"/>
                    <wp:lineTo x="0" y="21622"/>
                    <wp:lineTo x="21655" y="21622"/>
                    <wp:lineTo x="21655" y="0"/>
                    <wp:lineTo x="0" y="0"/>
                  </wp:wrapPolygon>
                </wp:wrapThrough>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2473960"/>
                        </a:xfrm>
                        <a:prstGeom prst="rect">
                          <a:avLst/>
                        </a:prstGeom>
                        <a:solidFill>
                          <a:srgbClr val="FFFFFF"/>
                        </a:solidFill>
                        <a:ln w="9525">
                          <a:solidFill>
                            <a:srgbClr val="000000"/>
                          </a:solidFill>
                          <a:miter lim="800000"/>
                          <a:headEnd/>
                          <a:tailEnd/>
                        </a:ln>
                      </wps:spPr>
                      <wps:txbx>
                        <w:txbxContent>
                          <w:p w:rsidR="005C7111" w:rsidRPr="005C2C57" w:rsidRDefault="005C7111" w:rsidP="007612D0">
                            <w:pPr>
                              <w:rPr>
                                <w:rFonts w:ascii="Arial Narrow" w:hAnsi="Arial Narrow"/>
                                <w:b/>
                              </w:rPr>
                            </w:pPr>
                            <w:r w:rsidRPr="00AE75DB">
                              <w:rPr>
                                <w:rFonts w:ascii="Arial Narrow" w:hAnsi="Arial Narrow"/>
                                <w:b/>
                              </w:rPr>
                              <w:t xml:space="preserve">Box </w:t>
                            </w:r>
                            <w:r>
                              <w:rPr>
                                <w:rFonts w:ascii="Arial Narrow" w:hAnsi="Arial Narrow"/>
                                <w:b/>
                              </w:rPr>
                              <w:t>3 – Women in Shared Decision Making (WISDM)</w:t>
                            </w:r>
                          </w:p>
                          <w:p w:rsidR="005C7111" w:rsidRPr="005C2C57" w:rsidRDefault="005C7111" w:rsidP="007612D0">
                            <w:pPr>
                              <w:rPr>
                                <w:rFonts w:ascii="Arial Narrow" w:hAnsi="Arial Narrow"/>
                              </w:rPr>
                            </w:pPr>
                          </w:p>
                          <w:p w:rsidR="005C7111" w:rsidRDefault="005C7111" w:rsidP="007612D0">
                            <w:pPr>
                              <w:rPr>
                                <w:rFonts w:ascii="Arial Narrow" w:hAnsi="Arial Narrow"/>
                              </w:rPr>
                            </w:pPr>
                            <w:r w:rsidRPr="00F27212">
                              <w:rPr>
                                <w:rFonts w:ascii="Arial Narrow" w:hAnsi="Arial Narrow"/>
                              </w:rPr>
                              <w:t>The Pacific Leadership Program provided support for WISDM, coordinated by the Department of Women’s Affairs</w:t>
                            </w:r>
                            <w:r>
                              <w:rPr>
                                <w:rFonts w:ascii="Arial Narrow" w:hAnsi="Arial Narrow"/>
                              </w:rPr>
                              <w:t>.</w:t>
                            </w:r>
                            <w:r w:rsidRPr="00F27212">
                              <w:rPr>
                                <w:rFonts w:ascii="Arial Narrow" w:hAnsi="Arial Narrow"/>
                              </w:rPr>
                              <w:t xml:space="preserve"> </w:t>
                            </w:r>
                          </w:p>
                          <w:p w:rsidR="005C7111" w:rsidRDefault="005C7111" w:rsidP="007612D0">
                            <w:pPr>
                              <w:rPr>
                                <w:rFonts w:ascii="Arial Narrow" w:hAnsi="Arial Narrow"/>
                              </w:rPr>
                            </w:pPr>
                          </w:p>
                          <w:p w:rsidR="005C7111" w:rsidRDefault="005C7111" w:rsidP="007612D0">
                            <w:pPr>
                              <w:rPr>
                                <w:rFonts w:ascii="Arial Narrow" w:hAnsi="Arial Narrow"/>
                              </w:rPr>
                            </w:pPr>
                            <w:r w:rsidRPr="00F27212">
                              <w:rPr>
                                <w:rFonts w:ascii="Arial Narrow" w:hAnsi="Arial Narrow"/>
                              </w:rPr>
                              <w:t xml:space="preserve">The WISDM coalition aims to increase the participation and representation of women at all levels of legislative decision-making. WISDM, and the </w:t>
                            </w:r>
                            <w:r w:rsidR="005011E2">
                              <w:rPr>
                                <w:rFonts w:ascii="Arial Narrow" w:hAnsi="Arial Narrow"/>
                              </w:rPr>
                              <w:t>Department</w:t>
                            </w:r>
                            <w:r w:rsidRPr="00F27212">
                              <w:rPr>
                                <w:rFonts w:ascii="Arial Narrow" w:hAnsi="Arial Narrow"/>
                              </w:rPr>
                              <w:t xml:space="preserve"> of Women’s Affairs, was closely associated with the enactment of two amendment Bills to the Decentralization and Municipalities Acts that provided reserved seats for women at municipal level. </w:t>
                            </w:r>
                          </w:p>
                          <w:p w:rsidR="005C7111" w:rsidRDefault="005C7111" w:rsidP="007612D0">
                            <w:pPr>
                              <w:rPr>
                                <w:rFonts w:ascii="Arial Narrow" w:hAnsi="Arial Narrow"/>
                              </w:rPr>
                            </w:pPr>
                          </w:p>
                          <w:p w:rsidR="005C7111" w:rsidRPr="00F27212" w:rsidRDefault="005C7111" w:rsidP="007612D0">
                            <w:pPr>
                              <w:rPr>
                                <w:rFonts w:ascii="Arial Narrow" w:hAnsi="Arial Narrow"/>
                              </w:rPr>
                            </w:pPr>
                            <w:r>
                              <w:rPr>
                                <w:rFonts w:ascii="Arial Narrow" w:hAnsi="Arial Narrow"/>
                              </w:rPr>
                              <w:t>In July 2015, four</w:t>
                            </w:r>
                            <w:r w:rsidRPr="00F27212">
                              <w:rPr>
                                <w:rFonts w:ascii="Arial Narrow" w:hAnsi="Arial Narrow"/>
                              </w:rPr>
                              <w:t xml:space="preserve"> </w:t>
                            </w:r>
                            <w:r>
                              <w:rPr>
                                <w:rFonts w:ascii="Arial Narrow" w:hAnsi="Arial Narrow"/>
                              </w:rPr>
                              <w:t>female</w:t>
                            </w:r>
                            <w:r w:rsidRPr="00F27212">
                              <w:rPr>
                                <w:rFonts w:ascii="Arial Narrow" w:hAnsi="Arial Narrow"/>
                              </w:rPr>
                              <w:t xml:space="preserve"> candidates were elected to the </w:t>
                            </w:r>
                            <w:proofErr w:type="spellStart"/>
                            <w:r w:rsidRPr="00F27212">
                              <w:rPr>
                                <w:rFonts w:ascii="Arial Narrow" w:hAnsi="Arial Narrow"/>
                              </w:rPr>
                              <w:t>Luganville</w:t>
                            </w:r>
                            <w:proofErr w:type="spellEnd"/>
                            <w:r w:rsidRPr="00F27212">
                              <w:rPr>
                                <w:rFonts w:ascii="Arial Narrow" w:hAnsi="Arial Narrow"/>
                              </w:rPr>
                              <w:t xml:space="preserve"> Municipal Council under the amendment. </w:t>
                            </w:r>
                            <w:r>
                              <w:rPr>
                                <w:rFonts w:ascii="Arial Narrow" w:hAnsi="Arial Narrow"/>
                              </w:rPr>
                              <w:t>A fifth female</w:t>
                            </w:r>
                            <w:r w:rsidRPr="00F27212">
                              <w:rPr>
                                <w:rFonts w:ascii="Arial Narrow" w:hAnsi="Arial Narrow"/>
                              </w:rPr>
                              <w:t xml:space="preserve"> candidate was elected under an open seat.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92.1pt;margin-top:45.2pt;width:236.4pt;height:194.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">
                <v:textbox>
                  <w:txbxContent>
                    <w:p w:rsidR="005C7111" w:rsidRPr="005C2C57" w:rsidRDefault="005C7111" w:rsidP="007612D0">
                      <w:pPr>
                        <w:rPr>
                          <w:rFonts w:ascii="Arial Narrow" w:hAnsi="Arial Narrow"/>
                          <w:b/>
                        </w:rPr>
                      </w:pPr>
                      <w:r w:rsidRPr="00AE75DB">
                        <w:rPr>
                          <w:rFonts w:ascii="Arial Narrow" w:hAnsi="Arial Narrow"/>
                          <w:b/>
                        </w:rPr>
                        <w:t xml:space="preserve">Box </w:t>
                      </w:r>
                      <w:r>
                        <w:rPr>
                          <w:rFonts w:ascii="Arial Narrow" w:hAnsi="Arial Narrow"/>
                          <w:b/>
                        </w:rPr>
                        <w:t>3 – Women in Shared Decision Making (WISDM)</w:t>
                      </w:r>
                    </w:p>
                    <w:p w:rsidR="005C7111" w:rsidRPr="005C2C57" w:rsidRDefault="005C7111" w:rsidP="007612D0">
                      <w:pPr>
                        <w:rPr>
                          <w:rFonts w:ascii="Arial Narrow" w:hAnsi="Arial Narrow"/>
                        </w:rPr>
                      </w:pPr>
                    </w:p>
                    <w:p w:rsidR="005C7111" w:rsidRDefault="005C7111" w:rsidP="007612D0">
                      <w:pPr>
                        <w:rPr>
                          <w:rFonts w:ascii="Arial Narrow" w:hAnsi="Arial Narrow"/>
                        </w:rPr>
                      </w:pPr>
                      <w:r w:rsidRPr="00F27212">
                        <w:rPr>
                          <w:rFonts w:ascii="Arial Narrow" w:hAnsi="Arial Narrow"/>
                        </w:rPr>
                        <w:t>The Pacific Leadership Program provided support for WISDM, coordinated by the Department of Women’s Affairs</w:t>
                      </w:r>
                      <w:r>
                        <w:rPr>
                          <w:rFonts w:ascii="Arial Narrow" w:hAnsi="Arial Narrow"/>
                        </w:rPr>
                        <w:t>.</w:t>
                      </w:r>
                      <w:r w:rsidRPr="00F27212">
                        <w:rPr>
                          <w:rFonts w:ascii="Arial Narrow" w:hAnsi="Arial Narrow"/>
                        </w:rPr>
                        <w:t xml:space="preserve"> </w:t>
                      </w:r>
                    </w:p>
                    <w:p w:rsidR="005C7111" w:rsidRDefault="005C7111" w:rsidP="007612D0">
                      <w:pPr>
                        <w:rPr>
                          <w:rFonts w:ascii="Arial Narrow" w:hAnsi="Arial Narrow"/>
                        </w:rPr>
                      </w:pPr>
                    </w:p>
                    <w:p w:rsidR="005C7111" w:rsidRDefault="005C7111" w:rsidP="007612D0">
                      <w:pPr>
                        <w:rPr>
                          <w:rFonts w:ascii="Arial Narrow" w:hAnsi="Arial Narrow"/>
                        </w:rPr>
                      </w:pPr>
                      <w:r w:rsidRPr="00F27212">
                        <w:rPr>
                          <w:rFonts w:ascii="Arial Narrow" w:hAnsi="Arial Narrow"/>
                        </w:rPr>
                        <w:t xml:space="preserve">The WISDM coalition aims to increase the participation and representation of women at all levels of legislative decision-making. WISDM, and the </w:t>
                      </w:r>
                      <w:r w:rsidR="005011E2">
                        <w:rPr>
                          <w:rFonts w:ascii="Arial Narrow" w:hAnsi="Arial Narrow"/>
                        </w:rPr>
                        <w:t>Department</w:t>
                      </w:r>
                      <w:r w:rsidRPr="00F27212">
                        <w:rPr>
                          <w:rFonts w:ascii="Arial Narrow" w:hAnsi="Arial Narrow"/>
                        </w:rPr>
                        <w:t xml:space="preserve"> of Women’s Affairs, was closely associated with the enactment of two amendment Bills to the Decentralization and Municipalities Acts that provided reserved seats for women at municipal level. </w:t>
                      </w:r>
                    </w:p>
                    <w:p w:rsidR="005C7111" w:rsidRDefault="005C7111" w:rsidP="007612D0">
                      <w:pPr>
                        <w:rPr>
                          <w:rFonts w:ascii="Arial Narrow" w:hAnsi="Arial Narrow"/>
                        </w:rPr>
                      </w:pPr>
                    </w:p>
                    <w:p w:rsidR="005C7111" w:rsidRPr="00F27212" w:rsidRDefault="005C7111" w:rsidP="007612D0">
                      <w:pPr>
                        <w:rPr>
                          <w:rFonts w:ascii="Arial Narrow" w:hAnsi="Arial Narrow"/>
                        </w:rPr>
                      </w:pPr>
                      <w:r>
                        <w:rPr>
                          <w:rFonts w:ascii="Arial Narrow" w:hAnsi="Arial Narrow"/>
                        </w:rPr>
                        <w:t>In July 2015, four</w:t>
                      </w:r>
                      <w:r w:rsidRPr="00F27212">
                        <w:rPr>
                          <w:rFonts w:ascii="Arial Narrow" w:hAnsi="Arial Narrow"/>
                        </w:rPr>
                        <w:t xml:space="preserve"> </w:t>
                      </w:r>
                      <w:r>
                        <w:rPr>
                          <w:rFonts w:ascii="Arial Narrow" w:hAnsi="Arial Narrow"/>
                        </w:rPr>
                        <w:t>female</w:t>
                      </w:r>
                      <w:r w:rsidRPr="00F27212">
                        <w:rPr>
                          <w:rFonts w:ascii="Arial Narrow" w:hAnsi="Arial Narrow"/>
                        </w:rPr>
                        <w:t xml:space="preserve"> candidates were elected to the Luganville Municipal Council under the amendment. </w:t>
                      </w:r>
                      <w:r>
                        <w:rPr>
                          <w:rFonts w:ascii="Arial Narrow" w:hAnsi="Arial Narrow"/>
                        </w:rPr>
                        <w:t>A fifth female</w:t>
                      </w:r>
                      <w:r w:rsidRPr="00F27212">
                        <w:rPr>
                          <w:rFonts w:ascii="Arial Narrow" w:hAnsi="Arial Narrow"/>
                        </w:rPr>
                        <w:t xml:space="preserve"> candidate was elected under an open seat.</w:t>
                      </w:r>
                    </w:p>
                  </w:txbxContent>
                </v:textbox>
                <w10:wrap type="through"/>
              </v:shape>
            </w:pict>
          </mc:Fallback>
        </mc:AlternateContent>
      </w:r>
      <w:r w:rsidRPr="00650E15">
        <w:rPr>
          <w:rFonts w:ascii="Franklin Gothic Book" w:hAnsi="Franklin Gothic Book"/>
          <w:sz w:val="21"/>
          <w:szCs w:val="21"/>
        </w:rPr>
        <w:t>Improved</w:t>
      </w:r>
      <w:r w:rsidR="00B94FF6" w:rsidRPr="00B94FF6">
        <w:rPr>
          <w:rFonts w:ascii="Franklin Gothic Book" w:hAnsi="Franklin Gothic Book"/>
          <w:sz w:val="21"/>
          <w:szCs w:val="21"/>
        </w:rPr>
        <w:t xml:space="preserve"> disaster preparedness and early-warning systems in Vanuatu</w:t>
      </w:r>
      <w:r w:rsidR="00B62576">
        <w:rPr>
          <w:rFonts w:ascii="Franklin Gothic Book" w:hAnsi="Franklin Gothic Book"/>
          <w:sz w:val="21"/>
          <w:szCs w:val="21"/>
        </w:rPr>
        <w:t>, supported by Australia,</w:t>
      </w:r>
      <w:r w:rsidR="00B94FF6" w:rsidRPr="00B94FF6">
        <w:rPr>
          <w:rFonts w:ascii="Franklin Gothic Book" w:hAnsi="Franklin Gothic Book"/>
          <w:sz w:val="21"/>
          <w:szCs w:val="21"/>
        </w:rPr>
        <w:t xml:space="preserve"> including through the Australian Civilian Corps, </w:t>
      </w:r>
      <w:r w:rsidR="0006046F">
        <w:rPr>
          <w:rFonts w:ascii="Franklin Gothic Book" w:hAnsi="Franklin Gothic Book"/>
          <w:sz w:val="21"/>
          <w:szCs w:val="21"/>
        </w:rPr>
        <w:t>may have</w:t>
      </w:r>
      <w:r w:rsidR="00FE2850">
        <w:rPr>
          <w:rFonts w:ascii="Franklin Gothic Book" w:hAnsi="Franklin Gothic Book"/>
          <w:sz w:val="21"/>
          <w:szCs w:val="21"/>
        </w:rPr>
        <w:t xml:space="preserve"> helped reduce </w:t>
      </w:r>
      <w:r w:rsidR="00B94FF6" w:rsidRPr="00B94FF6">
        <w:rPr>
          <w:rFonts w:ascii="Franklin Gothic Book" w:hAnsi="Franklin Gothic Book"/>
          <w:sz w:val="21"/>
          <w:szCs w:val="21"/>
        </w:rPr>
        <w:t xml:space="preserve">the number of fatalities and the extent and scale of damage during Tropical Cyclone Pam. </w:t>
      </w:r>
      <w:r w:rsidR="0082275A">
        <w:rPr>
          <w:rFonts w:ascii="Franklin Gothic Book" w:hAnsi="Franklin Gothic Book"/>
          <w:sz w:val="21"/>
          <w:szCs w:val="21"/>
        </w:rPr>
        <w:t>In 2014, w</w:t>
      </w:r>
      <w:r w:rsidR="00B94FF6" w:rsidRPr="00B94FF6">
        <w:rPr>
          <w:rFonts w:ascii="Franklin Gothic Book" w:hAnsi="Franklin Gothic Book"/>
          <w:sz w:val="21"/>
          <w:szCs w:val="21"/>
        </w:rPr>
        <w:t xml:space="preserve">e supported the establishment of the National Disaster Management Office’s (NDMO) short code phone and short messaging service (SMS). This was used extensively by the NDMO throughout TC Pam to keep people informed of the cyclone’s location and predicted movement. </w:t>
      </w:r>
    </w:p>
    <w:p w:rsidR="00B94FF6" w:rsidRPr="00B94FF6" w:rsidRDefault="00B62576" w:rsidP="00CB5861">
      <w:pPr>
        <w:spacing w:after="120" w:line="280" w:lineRule="exact"/>
        <w:rPr>
          <w:rFonts w:ascii="Franklin Gothic Book" w:hAnsi="Franklin Gothic Book"/>
          <w:sz w:val="21"/>
          <w:szCs w:val="21"/>
        </w:rPr>
      </w:pPr>
      <w:r>
        <w:rPr>
          <w:rFonts w:ascii="Franklin Gothic Book" w:hAnsi="Franklin Gothic Book"/>
          <w:sz w:val="21"/>
          <w:szCs w:val="21"/>
        </w:rPr>
        <w:t>DFAT</w:t>
      </w:r>
      <w:r w:rsidRPr="00B94FF6">
        <w:rPr>
          <w:rFonts w:ascii="Franklin Gothic Book" w:hAnsi="Franklin Gothic Book"/>
          <w:sz w:val="21"/>
          <w:szCs w:val="21"/>
        </w:rPr>
        <w:t xml:space="preserve"> </w:t>
      </w:r>
      <w:r w:rsidR="00B94FF6" w:rsidRPr="00B94FF6">
        <w:rPr>
          <w:rFonts w:ascii="Franklin Gothic Book" w:hAnsi="Franklin Gothic Book"/>
          <w:sz w:val="21"/>
          <w:szCs w:val="21"/>
        </w:rPr>
        <w:t xml:space="preserve">regional programs have been addressing the need for communities to become more resilient to the adverse effects of natural disasters and climate change through community programs. This </w:t>
      </w:r>
      <w:r>
        <w:rPr>
          <w:rFonts w:ascii="Franklin Gothic Book" w:hAnsi="Franklin Gothic Book"/>
          <w:sz w:val="21"/>
          <w:szCs w:val="21"/>
        </w:rPr>
        <w:t>helped</w:t>
      </w:r>
      <w:r w:rsidR="00B94FF6" w:rsidRPr="00B94FF6">
        <w:rPr>
          <w:rFonts w:ascii="Franklin Gothic Book" w:hAnsi="Franklin Gothic Book"/>
          <w:sz w:val="21"/>
          <w:szCs w:val="21"/>
        </w:rPr>
        <w:t xml:space="preserve"> establish Community Disaster &amp; Climate Change Committees (CDCCC) which were used to disseminate and gather information before and after TC Pam </w:t>
      </w:r>
      <w:r>
        <w:rPr>
          <w:rFonts w:ascii="Franklin Gothic Book" w:hAnsi="Franklin Gothic Book"/>
          <w:sz w:val="21"/>
          <w:szCs w:val="21"/>
        </w:rPr>
        <w:t>and</w:t>
      </w:r>
      <w:r w:rsidRPr="00B94FF6">
        <w:rPr>
          <w:rFonts w:ascii="Franklin Gothic Book" w:hAnsi="Franklin Gothic Book"/>
          <w:sz w:val="21"/>
          <w:szCs w:val="21"/>
        </w:rPr>
        <w:t xml:space="preserve"> </w:t>
      </w:r>
      <w:r w:rsidR="00B94FF6" w:rsidRPr="00B94FF6">
        <w:rPr>
          <w:rFonts w:ascii="Franklin Gothic Book" w:hAnsi="Franklin Gothic Book"/>
          <w:sz w:val="21"/>
          <w:szCs w:val="21"/>
        </w:rPr>
        <w:t xml:space="preserve">helped shape </w:t>
      </w:r>
      <w:r w:rsidR="00CB5861">
        <w:rPr>
          <w:rFonts w:ascii="Franklin Gothic Book" w:hAnsi="Franklin Gothic Book"/>
          <w:sz w:val="21"/>
          <w:szCs w:val="21"/>
        </w:rPr>
        <w:t xml:space="preserve">NDMO’s response activities. </w:t>
      </w:r>
    </w:p>
    <w:p w:rsidR="00B94FF6" w:rsidRPr="00B94FF6" w:rsidRDefault="00B62576" w:rsidP="00CB5861">
      <w:pPr>
        <w:spacing w:after="120" w:line="280" w:lineRule="exact"/>
        <w:rPr>
          <w:rFonts w:ascii="Franklin Gothic Book" w:hAnsi="Franklin Gothic Book"/>
          <w:sz w:val="21"/>
          <w:szCs w:val="21"/>
        </w:rPr>
      </w:pPr>
      <w:r>
        <w:rPr>
          <w:rFonts w:ascii="Franklin Gothic Book" w:hAnsi="Franklin Gothic Book"/>
          <w:sz w:val="21"/>
          <w:szCs w:val="21"/>
        </w:rPr>
        <w:t>S</w:t>
      </w:r>
      <w:r w:rsidR="00B94FF6" w:rsidRPr="00B94FF6">
        <w:rPr>
          <w:rFonts w:ascii="Franklin Gothic Book" w:hAnsi="Franklin Gothic Book"/>
          <w:sz w:val="21"/>
          <w:szCs w:val="21"/>
        </w:rPr>
        <w:t xml:space="preserve">upport to the Vanuatu Meteorological and Geo-Hazards Department (VMGD) through regional climate change programs and the Bureau of Meteorology </w:t>
      </w:r>
      <w:r>
        <w:rPr>
          <w:rFonts w:ascii="Franklin Gothic Book" w:hAnsi="Franklin Gothic Book"/>
          <w:sz w:val="21"/>
          <w:szCs w:val="21"/>
        </w:rPr>
        <w:t xml:space="preserve">helped </w:t>
      </w:r>
      <w:r w:rsidR="00B94FF6" w:rsidRPr="00B94FF6">
        <w:rPr>
          <w:rFonts w:ascii="Franklin Gothic Book" w:hAnsi="Franklin Gothic Book"/>
          <w:sz w:val="21"/>
          <w:szCs w:val="21"/>
        </w:rPr>
        <w:t xml:space="preserve">the </w:t>
      </w:r>
      <w:r>
        <w:rPr>
          <w:rFonts w:ascii="Franklin Gothic Book" w:hAnsi="Franklin Gothic Book"/>
          <w:sz w:val="21"/>
          <w:szCs w:val="21"/>
        </w:rPr>
        <w:t xml:space="preserve">Vanuatu </w:t>
      </w:r>
      <w:r w:rsidR="00B94FF6" w:rsidRPr="00B94FF6">
        <w:rPr>
          <w:rFonts w:ascii="Franklin Gothic Book" w:hAnsi="Franklin Gothic Book"/>
          <w:sz w:val="21"/>
          <w:szCs w:val="21"/>
        </w:rPr>
        <w:t xml:space="preserve">Government use climate and weather science for </w:t>
      </w:r>
      <w:r w:rsidR="00A327D9">
        <w:rPr>
          <w:rFonts w:ascii="Franklin Gothic Book" w:hAnsi="Franklin Gothic Book"/>
          <w:sz w:val="21"/>
          <w:szCs w:val="21"/>
        </w:rPr>
        <w:t xml:space="preserve">better </w:t>
      </w:r>
      <w:r w:rsidR="00B94FF6" w:rsidRPr="00B94FF6">
        <w:rPr>
          <w:rFonts w:ascii="Franklin Gothic Book" w:hAnsi="Franklin Gothic Book"/>
          <w:sz w:val="21"/>
          <w:szCs w:val="21"/>
        </w:rPr>
        <w:t xml:space="preserve">risk </w:t>
      </w:r>
      <w:r>
        <w:rPr>
          <w:rFonts w:ascii="Franklin Gothic Book" w:hAnsi="Franklin Gothic Book"/>
          <w:sz w:val="21"/>
          <w:szCs w:val="21"/>
        </w:rPr>
        <w:t>mitigation</w:t>
      </w:r>
      <w:r w:rsidR="00B94FF6" w:rsidRPr="00B94FF6">
        <w:rPr>
          <w:rFonts w:ascii="Franklin Gothic Book" w:hAnsi="Franklin Gothic Book"/>
          <w:sz w:val="21"/>
          <w:szCs w:val="21"/>
        </w:rPr>
        <w:t>. The VMGD provide</w:t>
      </w:r>
      <w:r>
        <w:rPr>
          <w:rFonts w:ascii="Franklin Gothic Book" w:hAnsi="Franklin Gothic Book"/>
          <w:sz w:val="21"/>
          <w:szCs w:val="21"/>
        </w:rPr>
        <w:t>s</w:t>
      </w:r>
      <w:r w:rsidR="00B94FF6" w:rsidRPr="00B94FF6">
        <w:rPr>
          <w:rFonts w:ascii="Franklin Gothic Book" w:hAnsi="Franklin Gothic Book"/>
          <w:sz w:val="21"/>
          <w:szCs w:val="21"/>
        </w:rPr>
        <w:t xml:space="preserve"> timely and critical </w:t>
      </w:r>
      <w:r w:rsidR="00B94FF6" w:rsidRPr="00B94FF6">
        <w:rPr>
          <w:rFonts w:ascii="Franklin Gothic Book" w:hAnsi="Franklin Gothic Book"/>
          <w:sz w:val="21"/>
          <w:szCs w:val="21"/>
        </w:rPr>
        <w:lastRenderedPageBreak/>
        <w:t>weather analysis for key sectors such as agriculture</w:t>
      </w:r>
      <w:r>
        <w:rPr>
          <w:rFonts w:ascii="Franklin Gothic Book" w:hAnsi="Franklin Gothic Book"/>
          <w:sz w:val="21"/>
          <w:szCs w:val="21"/>
        </w:rPr>
        <w:t>. This information helps to lessen the impact of events such as cyclones and El Nino</w:t>
      </w:r>
      <w:r w:rsidR="00B94FF6" w:rsidRPr="00B94FF6">
        <w:rPr>
          <w:rFonts w:ascii="Franklin Gothic Book" w:hAnsi="Franklin Gothic Book"/>
          <w:sz w:val="21"/>
          <w:szCs w:val="21"/>
        </w:rPr>
        <w:t xml:space="preserve">. </w:t>
      </w:r>
    </w:p>
    <w:p w:rsidR="000F3907" w:rsidRPr="00CD32B7" w:rsidRDefault="000F3907" w:rsidP="000F3907">
      <w:pPr>
        <w:pStyle w:val="Heading3"/>
      </w:pPr>
      <w:r w:rsidRPr="00CD32B7">
        <w:t>Response to Tropical Cyclone Pam</w:t>
      </w:r>
    </w:p>
    <w:p w:rsidR="000F3907" w:rsidRPr="00CD32B7" w:rsidRDefault="009A0559" w:rsidP="000F3907">
      <w:pPr>
        <w:spacing w:after="120" w:line="280" w:lineRule="exact"/>
        <w:rPr>
          <w:rFonts w:ascii="Franklin Gothic Book" w:hAnsi="Franklin Gothic Book"/>
          <w:sz w:val="21"/>
          <w:szCs w:val="21"/>
        </w:rPr>
      </w:pPr>
      <w:r>
        <w:rPr>
          <w:rFonts w:ascii="Franklin Gothic Book" w:hAnsi="Franklin Gothic Book"/>
          <w:sz w:val="21"/>
          <w:szCs w:val="21"/>
        </w:rPr>
        <w:t>F</w:t>
      </w:r>
      <w:r w:rsidRPr="00CD32B7">
        <w:rPr>
          <w:rFonts w:ascii="Franklin Gothic Book" w:hAnsi="Franklin Gothic Book"/>
          <w:sz w:val="21"/>
          <w:szCs w:val="21"/>
        </w:rPr>
        <w:t xml:space="preserve">ollowing </w:t>
      </w:r>
      <w:r>
        <w:rPr>
          <w:rFonts w:ascii="Franklin Gothic Book" w:hAnsi="Franklin Gothic Book"/>
          <w:sz w:val="21"/>
          <w:szCs w:val="21"/>
        </w:rPr>
        <w:t>Tropical Cyclone</w:t>
      </w:r>
      <w:r w:rsidRPr="00CD32B7">
        <w:rPr>
          <w:rFonts w:ascii="Franklin Gothic Book" w:hAnsi="Franklin Gothic Book"/>
          <w:sz w:val="21"/>
          <w:szCs w:val="21"/>
        </w:rPr>
        <w:t xml:space="preserve"> Pam </w:t>
      </w:r>
      <w:r w:rsidR="000F3907" w:rsidRPr="00CD32B7">
        <w:rPr>
          <w:rFonts w:ascii="Franklin Gothic Book" w:hAnsi="Franklin Gothic Book"/>
          <w:sz w:val="21"/>
          <w:szCs w:val="21"/>
        </w:rPr>
        <w:t>Australia provided early life-saving support</w:t>
      </w:r>
      <w:r>
        <w:rPr>
          <w:rFonts w:ascii="Franklin Gothic Book" w:hAnsi="Franklin Gothic Book"/>
          <w:sz w:val="21"/>
          <w:szCs w:val="21"/>
        </w:rPr>
        <w:t xml:space="preserve"> </w:t>
      </w:r>
      <w:r w:rsidR="00506563">
        <w:rPr>
          <w:rFonts w:ascii="Franklin Gothic Book" w:hAnsi="Franklin Gothic Book"/>
          <w:sz w:val="21"/>
          <w:szCs w:val="21"/>
        </w:rPr>
        <w:t xml:space="preserve">valued at </w:t>
      </w:r>
      <w:r>
        <w:rPr>
          <w:rFonts w:ascii="Franklin Gothic Book" w:hAnsi="Franklin Gothic Book"/>
          <w:sz w:val="21"/>
          <w:szCs w:val="21"/>
        </w:rPr>
        <w:t>more than $10 million dollars</w:t>
      </w:r>
      <w:r w:rsidR="000F3907">
        <w:rPr>
          <w:rFonts w:ascii="Franklin Gothic Book" w:hAnsi="Franklin Gothic Book"/>
          <w:sz w:val="21"/>
          <w:szCs w:val="21"/>
        </w:rPr>
        <w:t>.</w:t>
      </w:r>
      <w:r w:rsidR="000F3907" w:rsidRPr="00CD32B7">
        <w:rPr>
          <w:rFonts w:ascii="Franklin Gothic Book" w:hAnsi="Franklin Gothic Book"/>
          <w:sz w:val="21"/>
          <w:szCs w:val="21"/>
        </w:rPr>
        <w:t xml:space="preserve"> </w:t>
      </w:r>
      <w:r w:rsidR="000F3907">
        <w:rPr>
          <w:rFonts w:ascii="Franklin Gothic Book" w:hAnsi="Franklin Gothic Book"/>
          <w:sz w:val="21"/>
          <w:szCs w:val="21"/>
        </w:rPr>
        <w:t xml:space="preserve">This </w:t>
      </w:r>
      <w:r w:rsidR="000F3907" w:rsidRPr="00CD32B7">
        <w:rPr>
          <w:rFonts w:ascii="Franklin Gothic Book" w:hAnsi="Franklin Gothic Book"/>
          <w:sz w:val="21"/>
          <w:szCs w:val="21"/>
        </w:rPr>
        <w:t>includ</w:t>
      </w:r>
      <w:r w:rsidR="000F3907">
        <w:rPr>
          <w:rFonts w:ascii="Franklin Gothic Book" w:hAnsi="Franklin Gothic Book"/>
          <w:sz w:val="21"/>
          <w:szCs w:val="21"/>
        </w:rPr>
        <w:t>ed</w:t>
      </w:r>
      <w:r w:rsidR="000F3907" w:rsidRPr="00CD32B7">
        <w:rPr>
          <w:rFonts w:ascii="Franklin Gothic Book" w:hAnsi="Franklin Gothic Book"/>
          <w:sz w:val="21"/>
          <w:szCs w:val="21"/>
        </w:rPr>
        <w:t xml:space="preserve"> urban search and rescue and medical teams, humanitarian relief items, and logistics </w:t>
      </w:r>
      <w:r w:rsidR="000F3907">
        <w:rPr>
          <w:rFonts w:ascii="Franklin Gothic Book" w:hAnsi="Franklin Gothic Book"/>
          <w:sz w:val="21"/>
          <w:szCs w:val="21"/>
        </w:rPr>
        <w:t>support. Through</w:t>
      </w:r>
      <w:r w:rsidR="000F3907" w:rsidRPr="00CD32B7">
        <w:rPr>
          <w:rFonts w:ascii="Franklin Gothic Book" w:hAnsi="Franklin Gothic Book"/>
          <w:sz w:val="21"/>
          <w:szCs w:val="21"/>
        </w:rPr>
        <w:t xml:space="preserve"> NGO partners</w:t>
      </w:r>
      <w:r w:rsidR="0082275A">
        <w:rPr>
          <w:rFonts w:ascii="Franklin Gothic Book" w:hAnsi="Franklin Gothic Book"/>
          <w:sz w:val="21"/>
          <w:szCs w:val="21"/>
        </w:rPr>
        <w:t>, we provided</w:t>
      </w:r>
      <w:r w:rsidR="000F3907" w:rsidRPr="00CD32B7">
        <w:rPr>
          <w:rFonts w:ascii="Franklin Gothic Book" w:hAnsi="Franklin Gothic Book"/>
          <w:sz w:val="21"/>
          <w:szCs w:val="21"/>
        </w:rPr>
        <w:t xml:space="preserve"> on the ground water and sanitation, health and hygiene, child protection, food security, livelihoods and shelter assistance. </w:t>
      </w:r>
      <w:r w:rsidR="000F3907">
        <w:rPr>
          <w:rFonts w:ascii="Franklin Gothic Book" w:hAnsi="Franklin Gothic Book"/>
          <w:sz w:val="21"/>
          <w:szCs w:val="21"/>
        </w:rPr>
        <w:t>T</w:t>
      </w:r>
      <w:r w:rsidR="000F3907" w:rsidRPr="00CD32B7">
        <w:rPr>
          <w:rFonts w:ascii="Franklin Gothic Book" w:hAnsi="Franklin Gothic Book"/>
          <w:sz w:val="21"/>
          <w:szCs w:val="21"/>
        </w:rPr>
        <w:t xml:space="preserve">he Australian Defence Force (ADF) </w:t>
      </w:r>
      <w:r w:rsidR="000F3907">
        <w:rPr>
          <w:rFonts w:ascii="Franklin Gothic Book" w:hAnsi="Franklin Gothic Book"/>
          <w:sz w:val="21"/>
          <w:szCs w:val="21"/>
        </w:rPr>
        <w:t>also deployed</w:t>
      </w:r>
      <w:r w:rsidR="000F3907" w:rsidRPr="00CD32B7">
        <w:rPr>
          <w:rFonts w:ascii="Franklin Gothic Book" w:hAnsi="Franklin Gothic Book"/>
          <w:sz w:val="21"/>
          <w:szCs w:val="21"/>
        </w:rPr>
        <w:t xml:space="preserve"> more than 500 personnel to repair key infrastructure, restore basic services and deliver more than 115 tonnes of vital humanitarian assistance and disaster relief support.</w:t>
      </w:r>
      <w:r w:rsidR="006319E5">
        <w:rPr>
          <w:rFonts w:ascii="Franklin Gothic Book" w:hAnsi="Franklin Gothic Book"/>
          <w:sz w:val="21"/>
          <w:szCs w:val="21"/>
        </w:rPr>
        <w:t xml:space="preserve"> </w:t>
      </w:r>
      <w:r w:rsidR="000F3907">
        <w:rPr>
          <w:rFonts w:ascii="Franklin Gothic Book" w:hAnsi="Franklin Gothic Book"/>
          <w:sz w:val="21"/>
          <w:szCs w:val="21"/>
        </w:rPr>
        <w:t>A</w:t>
      </w:r>
      <w:r w:rsidR="000F3907" w:rsidRPr="00CD32B7">
        <w:rPr>
          <w:rFonts w:ascii="Franklin Gothic Book" w:hAnsi="Franklin Gothic Book"/>
          <w:sz w:val="21"/>
          <w:szCs w:val="21"/>
        </w:rPr>
        <w:t xml:space="preserve">n additional $5 million </w:t>
      </w:r>
      <w:r w:rsidR="000F3907">
        <w:rPr>
          <w:rFonts w:ascii="Franklin Gothic Book" w:hAnsi="Franklin Gothic Book"/>
          <w:sz w:val="21"/>
          <w:szCs w:val="21"/>
        </w:rPr>
        <w:t>was also provided for early recovery priorities. Key results include:</w:t>
      </w:r>
    </w:p>
    <w:p w:rsidR="000F3907" w:rsidRPr="00CD32B7" w:rsidRDefault="000F3907" w:rsidP="000F3907">
      <w:pPr>
        <w:pStyle w:val="ListParagraph"/>
        <w:numPr>
          <w:ilvl w:val="0"/>
          <w:numId w:val="44"/>
        </w:numPr>
        <w:spacing w:line="280" w:lineRule="exact"/>
        <w:ind w:left="714" w:hanging="357"/>
        <w:rPr>
          <w:rFonts w:ascii="Franklin Gothic Book" w:eastAsia="SimSun" w:hAnsi="Franklin Gothic Book"/>
          <w:sz w:val="21"/>
          <w:szCs w:val="21"/>
        </w:rPr>
      </w:pPr>
      <w:r>
        <w:rPr>
          <w:rFonts w:ascii="Franklin Gothic Book" w:eastAsia="SimSun" w:hAnsi="Franklin Gothic Book"/>
          <w:sz w:val="21"/>
          <w:szCs w:val="21"/>
        </w:rPr>
        <w:t>u</w:t>
      </w:r>
      <w:r w:rsidRPr="00CD32B7">
        <w:rPr>
          <w:rFonts w:ascii="Franklin Gothic Book" w:eastAsia="SimSun" w:hAnsi="Franklin Gothic Book"/>
          <w:sz w:val="21"/>
          <w:szCs w:val="21"/>
        </w:rPr>
        <w:t xml:space="preserve">rgent school repairs and replacement of damaged learning materials and equipment in 143 schools in </w:t>
      </w:r>
      <w:proofErr w:type="spellStart"/>
      <w:r w:rsidRPr="00CD32B7">
        <w:rPr>
          <w:rFonts w:ascii="Franklin Gothic Book" w:eastAsia="SimSun" w:hAnsi="Franklin Gothic Book"/>
          <w:sz w:val="21"/>
          <w:szCs w:val="21"/>
        </w:rPr>
        <w:t>Shefa</w:t>
      </w:r>
      <w:proofErr w:type="spellEnd"/>
      <w:r w:rsidRPr="00CD32B7">
        <w:rPr>
          <w:rFonts w:ascii="Franklin Gothic Book" w:eastAsia="SimSun" w:hAnsi="Franklin Gothic Book"/>
          <w:sz w:val="21"/>
          <w:szCs w:val="21"/>
        </w:rPr>
        <w:t xml:space="preserve"> and </w:t>
      </w:r>
      <w:proofErr w:type="spellStart"/>
      <w:r w:rsidRPr="00CD32B7">
        <w:rPr>
          <w:rFonts w:ascii="Franklin Gothic Book" w:eastAsia="SimSun" w:hAnsi="Franklin Gothic Book"/>
          <w:sz w:val="21"/>
          <w:szCs w:val="21"/>
        </w:rPr>
        <w:t>Tafea</w:t>
      </w:r>
      <w:proofErr w:type="spellEnd"/>
      <w:r w:rsidRPr="00CD32B7">
        <w:rPr>
          <w:rFonts w:ascii="Franklin Gothic Book" w:eastAsia="SimSun" w:hAnsi="Franklin Gothic Book"/>
          <w:sz w:val="21"/>
          <w:szCs w:val="21"/>
        </w:rPr>
        <w:t>, benefitting more than 19,000 students and enabling childr</w:t>
      </w:r>
      <w:r>
        <w:rPr>
          <w:rFonts w:ascii="Franklin Gothic Book" w:eastAsia="SimSun" w:hAnsi="Franklin Gothic Book"/>
          <w:sz w:val="21"/>
          <w:szCs w:val="21"/>
        </w:rPr>
        <w:t>en to get back to school sooner</w:t>
      </w:r>
    </w:p>
    <w:p w:rsidR="000F3907" w:rsidRPr="00CD32B7" w:rsidRDefault="000F3907" w:rsidP="000F3907">
      <w:pPr>
        <w:pStyle w:val="ListParagraph"/>
        <w:numPr>
          <w:ilvl w:val="0"/>
          <w:numId w:val="44"/>
        </w:numPr>
        <w:spacing w:line="280" w:lineRule="exact"/>
        <w:ind w:left="714" w:hanging="357"/>
        <w:rPr>
          <w:rFonts w:ascii="Franklin Gothic Book" w:eastAsia="SimSun" w:hAnsi="Franklin Gothic Book"/>
          <w:sz w:val="21"/>
          <w:szCs w:val="21"/>
        </w:rPr>
      </w:pPr>
      <w:r>
        <w:rPr>
          <w:rFonts w:ascii="Franklin Gothic Book" w:eastAsia="SimSun" w:hAnsi="Franklin Gothic Book"/>
          <w:sz w:val="21"/>
          <w:szCs w:val="21"/>
        </w:rPr>
        <w:t>s</w:t>
      </w:r>
      <w:r w:rsidRPr="00CD32B7">
        <w:rPr>
          <w:rFonts w:ascii="Franklin Gothic Book" w:eastAsia="SimSun" w:hAnsi="Franklin Gothic Book"/>
          <w:sz w:val="21"/>
          <w:szCs w:val="21"/>
        </w:rPr>
        <w:t xml:space="preserve">upporting key health facilities to return to normal functioning after the cyclone, including Port Vila Central Hospital, </w:t>
      </w:r>
      <w:proofErr w:type="spellStart"/>
      <w:r w:rsidRPr="00CD32B7">
        <w:rPr>
          <w:rFonts w:ascii="Franklin Gothic Book" w:eastAsia="SimSun" w:hAnsi="Franklin Gothic Book"/>
          <w:sz w:val="21"/>
          <w:szCs w:val="21"/>
        </w:rPr>
        <w:t>Lenakel</w:t>
      </w:r>
      <w:proofErr w:type="spellEnd"/>
      <w:r w:rsidRPr="00CD32B7">
        <w:rPr>
          <w:rFonts w:ascii="Franklin Gothic Book" w:eastAsia="SimSun" w:hAnsi="Franklin Gothic Book"/>
          <w:sz w:val="21"/>
          <w:szCs w:val="21"/>
        </w:rPr>
        <w:t xml:space="preserve"> Hospital on </w:t>
      </w:r>
      <w:proofErr w:type="spellStart"/>
      <w:r w:rsidRPr="00CD32B7">
        <w:rPr>
          <w:rFonts w:ascii="Franklin Gothic Book" w:eastAsia="SimSun" w:hAnsi="Franklin Gothic Book"/>
          <w:sz w:val="21"/>
          <w:szCs w:val="21"/>
        </w:rPr>
        <w:t>Tanna</w:t>
      </w:r>
      <w:proofErr w:type="spellEnd"/>
      <w:r w:rsidRPr="00CD32B7">
        <w:rPr>
          <w:rFonts w:ascii="Franklin Gothic Book" w:eastAsia="SimSun" w:hAnsi="Franklin Gothic Book"/>
          <w:sz w:val="21"/>
          <w:szCs w:val="21"/>
        </w:rPr>
        <w:t>, and eight health centres and dispensaries acro</w:t>
      </w:r>
      <w:r>
        <w:rPr>
          <w:rFonts w:ascii="Franklin Gothic Book" w:eastAsia="SimSun" w:hAnsi="Franklin Gothic Book"/>
          <w:sz w:val="21"/>
          <w:szCs w:val="21"/>
        </w:rPr>
        <w:t xml:space="preserve">ss provinces of </w:t>
      </w:r>
      <w:proofErr w:type="spellStart"/>
      <w:r>
        <w:rPr>
          <w:rFonts w:ascii="Franklin Gothic Book" w:eastAsia="SimSun" w:hAnsi="Franklin Gothic Book"/>
          <w:sz w:val="21"/>
          <w:szCs w:val="21"/>
        </w:rPr>
        <w:t>Shefa</w:t>
      </w:r>
      <w:proofErr w:type="spellEnd"/>
      <w:r>
        <w:rPr>
          <w:rFonts w:ascii="Franklin Gothic Book" w:eastAsia="SimSun" w:hAnsi="Franklin Gothic Book"/>
          <w:sz w:val="21"/>
          <w:szCs w:val="21"/>
        </w:rPr>
        <w:t xml:space="preserve"> and </w:t>
      </w:r>
      <w:proofErr w:type="spellStart"/>
      <w:r>
        <w:rPr>
          <w:rFonts w:ascii="Franklin Gothic Book" w:eastAsia="SimSun" w:hAnsi="Franklin Gothic Book"/>
          <w:sz w:val="21"/>
          <w:szCs w:val="21"/>
        </w:rPr>
        <w:t>Tafea</w:t>
      </w:r>
      <w:proofErr w:type="spellEnd"/>
    </w:p>
    <w:p w:rsidR="000F3907" w:rsidRPr="00CD32B7" w:rsidRDefault="000F3907" w:rsidP="000F3907">
      <w:pPr>
        <w:pStyle w:val="ListParagraph"/>
        <w:numPr>
          <w:ilvl w:val="0"/>
          <w:numId w:val="44"/>
        </w:numPr>
        <w:spacing w:line="280" w:lineRule="exact"/>
        <w:ind w:left="714" w:hanging="357"/>
        <w:rPr>
          <w:rFonts w:ascii="Franklin Gothic Book" w:eastAsia="SimSun" w:hAnsi="Franklin Gothic Book"/>
          <w:sz w:val="21"/>
          <w:szCs w:val="21"/>
        </w:rPr>
      </w:pPr>
      <w:r>
        <w:rPr>
          <w:rFonts w:ascii="Franklin Gothic Book" w:eastAsia="SimSun" w:hAnsi="Franklin Gothic Book"/>
          <w:sz w:val="21"/>
          <w:szCs w:val="21"/>
        </w:rPr>
        <w:t>t</w:t>
      </w:r>
      <w:r w:rsidRPr="00CD32B7">
        <w:rPr>
          <w:rFonts w:ascii="Franklin Gothic Book" w:eastAsia="SimSun" w:hAnsi="Franklin Gothic Book"/>
          <w:sz w:val="21"/>
          <w:szCs w:val="21"/>
        </w:rPr>
        <w:t>argeted assistance to reduce the prevalence of disease after the cyclone by supporting the World Health Organization to increase disease surveillance and coordinate damage asse</w:t>
      </w:r>
      <w:r>
        <w:rPr>
          <w:rFonts w:ascii="Franklin Gothic Book" w:eastAsia="SimSun" w:hAnsi="Franklin Gothic Book"/>
          <w:sz w:val="21"/>
          <w:szCs w:val="21"/>
        </w:rPr>
        <w:t>ssments of 71 health facilities</w:t>
      </w:r>
    </w:p>
    <w:p w:rsidR="000F3907" w:rsidRPr="00CD32B7" w:rsidRDefault="000F3907" w:rsidP="000F3907">
      <w:pPr>
        <w:pStyle w:val="ListParagraph"/>
        <w:numPr>
          <w:ilvl w:val="0"/>
          <w:numId w:val="44"/>
        </w:numPr>
        <w:spacing w:line="280" w:lineRule="exact"/>
        <w:ind w:left="714" w:hanging="357"/>
        <w:rPr>
          <w:rFonts w:ascii="Franklin Gothic Book" w:eastAsia="SimSun" w:hAnsi="Franklin Gothic Book"/>
          <w:sz w:val="21"/>
          <w:szCs w:val="21"/>
        </w:rPr>
      </w:pPr>
      <w:r>
        <w:rPr>
          <w:rFonts w:ascii="Franklin Gothic Book" w:eastAsia="SimSun" w:hAnsi="Franklin Gothic Book"/>
          <w:sz w:val="21"/>
          <w:szCs w:val="21"/>
        </w:rPr>
        <w:t>o</w:t>
      </w:r>
      <w:r w:rsidRPr="00CD32B7">
        <w:rPr>
          <w:rFonts w:ascii="Franklin Gothic Book" w:eastAsia="SimSun" w:hAnsi="Franklin Gothic Book"/>
          <w:sz w:val="21"/>
          <w:szCs w:val="21"/>
        </w:rPr>
        <w:t xml:space="preserve">ver 24,000 children under four years old in </w:t>
      </w:r>
      <w:proofErr w:type="spellStart"/>
      <w:r w:rsidRPr="00CD32B7">
        <w:rPr>
          <w:rFonts w:ascii="Franklin Gothic Book" w:eastAsia="SimSun" w:hAnsi="Franklin Gothic Book"/>
          <w:sz w:val="21"/>
          <w:szCs w:val="21"/>
        </w:rPr>
        <w:t>Shefa</w:t>
      </w:r>
      <w:proofErr w:type="spellEnd"/>
      <w:r w:rsidRPr="00CD32B7">
        <w:rPr>
          <w:rFonts w:ascii="Franklin Gothic Book" w:eastAsia="SimSun" w:hAnsi="Franklin Gothic Book"/>
          <w:sz w:val="21"/>
          <w:szCs w:val="21"/>
        </w:rPr>
        <w:t xml:space="preserve">, </w:t>
      </w:r>
      <w:proofErr w:type="spellStart"/>
      <w:r w:rsidRPr="00CD32B7">
        <w:rPr>
          <w:rFonts w:ascii="Franklin Gothic Book" w:eastAsia="SimSun" w:hAnsi="Franklin Gothic Book"/>
          <w:sz w:val="21"/>
          <w:szCs w:val="21"/>
        </w:rPr>
        <w:t>Tafea</w:t>
      </w:r>
      <w:proofErr w:type="spellEnd"/>
      <w:r w:rsidRPr="00CD32B7">
        <w:rPr>
          <w:rFonts w:ascii="Franklin Gothic Book" w:eastAsia="SimSun" w:hAnsi="Franklin Gothic Book"/>
          <w:sz w:val="21"/>
          <w:szCs w:val="21"/>
        </w:rPr>
        <w:t>, and Samna provinces were immunised to prevent post-cyclone outbreaks of vaccine-preventable disease</w:t>
      </w:r>
    </w:p>
    <w:p w:rsidR="000F3907" w:rsidRPr="000F3907" w:rsidRDefault="000F3907" w:rsidP="000F3907">
      <w:pPr>
        <w:pStyle w:val="ListParagraph"/>
        <w:numPr>
          <w:ilvl w:val="0"/>
          <w:numId w:val="44"/>
        </w:numPr>
        <w:spacing w:line="280" w:lineRule="exact"/>
        <w:ind w:left="714" w:hanging="357"/>
        <w:rPr>
          <w:rFonts w:ascii="Franklin Gothic Book" w:eastAsia="SimSun" w:hAnsi="Franklin Gothic Book"/>
          <w:sz w:val="21"/>
          <w:szCs w:val="21"/>
        </w:rPr>
      </w:pPr>
      <w:proofErr w:type="gramStart"/>
      <w:r w:rsidRPr="000F3907">
        <w:rPr>
          <w:rFonts w:ascii="Franklin Gothic Book" w:eastAsia="SimSun" w:hAnsi="Franklin Gothic Book"/>
          <w:sz w:val="21"/>
          <w:szCs w:val="21"/>
        </w:rPr>
        <w:t>a</w:t>
      </w:r>
      <w:proofErr w:type="gramEnd"/>
      <w:r w:rsidRPr="000F3907">
        <w:rPr>
          <w:rFonts w:ascii="Franklin Gothic Book" w:eastAsia="SimSun" w:hAnsi="Franklin Gothic Book"/>
          <w:sz w:val="21"/>
          <w:szCs w:val="21"/>
        </w:rPr>
        <w:t xml:space="preserve"> food security and income improvement project for severely affected farmers, particularly women farmers, in TAFEA province.</w:t>
      </w:r>
    </w:p>
    <w:p w:rsidR="000F3907" w:rsidRPr="00CD32B7" w:rsidRDefault="000F3907" w:rsidP="000F3907">
      <w:pPr>
        <w:spacing w:after="120" w:line="280" w:lineRule="exact"/>
        <w:rPr>
          <w:rFonts w:ascii="Franklin Gothic Book" w:hAnsi="Franklin Gothic Book"/>
          <w:sz w:val="21"/>
          <w:szCs w:val="21"/>
        </w:rPr>
      </w:pPr>
      <w:r w:rsidRPr="00CD32B7">
        <w:rPr>
          <w:rFonts w:ascii="Franklin Gothic Book" w:hAnsi="Franklin Gothic Book"/>
          <w:sz w:val="21"/>
          <w:szCs w:val="21"/>
        </w:rPr>
        <w:t xml:space="preserve">In May 2015, Australia’s Foreign Minister announced a three-year Australian Recovery Package of $35 million. The package </w:t>
      </w:r>
      <w:r w:rsidR="006319E5">
        <w:rPr>
          <w:rFonts w:ascii="Franklin Gothic Book" w:hAnsi="Franklin Gothic Book"/>
          <w:sz w:val="21"/>
          <w:szCs w:val="21"/>
        </w:rPr>
        <w:t xml:space="preserve">will </w:t>
      </w:r>
      <w:r w:rsidRPr="00CD32B7">
        <w:rPr>
          <w:rFonts w:ascii="Franklin Gothic Book" w:hAnsi="Franklin Gothic Book"/>
          <w:sz w:val="21"/>
          <w:szCs w:val="21"/>
        </w:rPr>
        <w:t xml:space="preserve">complement Australia’s bilateral aid program and early recovery support and </w:t>
      </w:r>
      <w:r w:rsidR="006319E5">
        <w:rPr>
          <w:rFonts w:ascii="Franklin Gothic Book" w:hAnsi="Franklin Gothic Book"/>
          <w:sz w:val="21"/>
          <w:szCs w:val="21"/>
        </w:rPr>
        <w:t xml:space="preserve">will </w:t>
      </w:r>
      <w:r w:rsidRPr="00CD32B7">
        <w:rPr>
          <w:rFonts w:ascii="Franklin Gothic Book" w:hAnsi="Franklin Gothic Book"/>
          <w:sz w:val="21"/>
          <w:szCs w:val="21"/>
        </w:rPr>
        <w:t xml:space="preserve">contribute to the Vanuatu Government National Recovery Framework. </w:t>
      </w:r>
    </w:p>
    <w:p w:rsidR="00823FCA" w:rsidRDefault="00823FCA" w:rsidP="006F17CB">
      <w:pPr>
        <w:pStyle w:val="Heading3"/>
        <w:keepNext w:val="0"/>
        <w:rPr>
          <w:color w:val="FF0000"/>
          <w:sz w:val="24"/>
          <w:szCs w:val="24"/>
        </w:rPr>
      </w:pPr>
      <w:r w:rsidRPr="00C65C4E">
        <w:t>Performance Benchmarks</w:t>
      </w:r>
      <w:r w:rsidRPr="00C65C4E">
        <w:rPr>
          <w:sz w:val="32"/>
          <w:szCs w:val="32"/>
        </w:rPr>
        <w:tab/>
      </w:r>
    </w:p>
    <w:p w:rsidR="00BA42A5" w:rsidRPr="00E42278" w:rsidRDefault="001D4E95" w:rsidP="00E42278">
      <w:pPr>
        <w:pStyle w:val="ListBullet"/>
        <w:numPr>
          <w:ilvl w:val="0"/>
          <w:numId w:val="0"/>
        </w:numPr>
      </w:pPr>
      <w:r>
        <w:t>Five out of the six p</w:t>
      </w:r>
      <w:r w:rsidR="006F17CB" w:rsidRPr="00E42278">
        <w:t xml:space="preserve">ilot </w:t>
      </w:r>
      <w:r w:rsidR="00C65C4E" w:rsidRPr="00E42278">
        <w:t>ben</w:t>
      </w:r>
      <w:r w:rsidR="00F53A8D" w:rsidRPr="00E42278">
        <w:t xml:space="preserve">chmarks set for 2014-15 were </w:t>
      </w:r>
      <w:r w:rsidR="006F17CB" w:rsidRPr="00E42278">
        <w:t xml:space="preserve">fully met (see </w:t>
      </w:r>
      <w:r w:rsidR="006F17CB" w:rsidRPr="00FB0AE9">
        <w:rPr>
          <w:b/>
        </w:rPr>
        <w:t>Annex B</w:t>
      </w:r>
      <w:r w:rsidR="006F17CB" w:rsidRPr="00E42278">
        <w:t xml:space="preserve"> for detail).</w:t>
      </w:r>
    </w:p>
    <w:p w:rsidR="00F53A8D" w:rsidRPr="00E42278" w:rsidRDefault="0006046F" w:rsidP="00E42278">
      <w:pPr>
        <w:pStyle w:val="ListBullet"/>
        <w:numPr>
          <w:ilvl w:val="0"/>
          <w:numId w:val="0"/>
        </w:numPr>
      </w:pPr>
      <w:r>
        <w:t>Proposed p</w:t>
      </w:r>
      <w:r w:rsidR="006F17CB" w:rsidRPr="00E42278">
        <w:t>erformance benchmarks for future years are outlined in the Aid Investment Plan draft</w:t>
      </w:r>
      <w:r w:rsidR="00E42278">
        <w:t>ed</w:t>
      </w:r>
      <w:r w:rsidR="006F17CB" w:rsidRPr="00E42278">
        <w:t xml:space="preserve"> during the reporting period</w:t>
      </w:r>
      <w:r w:rsidR="00E42278">
        <w:t xml:space="preserve">. These </w:t>
      </w:r>
      <w:r w:rsidR="006F17CB" w:rsidRPr="00E42278">
        <w:t xml:space="preserve">will be confirmed </w:t>
      </w:r>
      <w:r w:rsidR="00E42278">
        <w:t>through</w:t>
      </w:r>
      <w:r w:rsidR="006F17CB" w:rsidRPr="00E42278">
        <w:t xml:space="preserve"> Aid Partnership discussions with Vanuatu during 2015-16. Future performance benchmarks will reflect the revised strategic pillars proposed under the Aid Investment Plan</w:t>
      </w:r>
      <w:r>
        <w:t xml:space="preserve"> and the Aid Partnership</w:t>
      </w:r>
      <w:r w:rsidR="00E42278">
        <w:t>.</w:t>
      </w:r>
      <w:r w:rsidR="006F17CB" w:rsidRPr="00E42278">
        <w:t xml:space="preserve"> </w:t>
      </w:r>
    </w:p>
    <w:p w:rsidR="00F713A7" w:rsidRDefault="000D733F" w:rsidP="00650E15">
      <w:pPr>
        <w:pStyle w:val="Heading3"/>
      </w:pPr>
      <w:r w:rsidRPr="00E42278">
        <w:t>Mutual Obligations</w:t>
      </w:r>
      <w:r w:rsidRPr="00E42278">
        <w:rPr>
          <w:sz w:val="32"/>
          <w:szCs w:val="32"/>
        </w:rPr>
        <w:tab/>
      </w:r>
      <w:r w:rsidRPr="00E42278">
        <w:tab/>
      </w:r>
    </w:p>
    <w:p w:rsidR="002D5B2F" w:rsidRDefault="00E42278" w:rsidP="00650E15">
      <w:pPr>
        <w:pStyle w:val="ListBullet"/>
        <w:keepNext/>
        <w:numPr>
          <w:ilvl w:val="0"/>
          <w:numId w:val="0"/>
        </w:numPr>
      </w:pPr>
      <w:r>
        <w:t xml:space="preserve">The Vanuatu Government’s overarching national development plan, the Priorities and Action Agenda (PAA), expires in 2015. The Vanuatu Government is currently in the process of developing a National Sustainable Development Plan (NSDP) to replace the PAA. </w:t>
      </w:r>
    </w:p>
    <w:p w:rsidR="00E42278" w:rsidRDefault="005F3C57" w:rsidP="00E42278">
      <w:pPr>
        <w:pStyle w:val="ListBullet"/>
        <w:numPr>
          <w:ilvl w:val="0"/>
          <w:numId w:val="0"/>
        </w:numPr>
      </w:pPr>
      <w:r>
        <w:t>As reported</w:t>
      </w:r>
      <w:r w:rsidR="00440C5D">
        <w:t xml:space="preserve"> in previous APPRs</w:t>
      </w:r>
      <w:r>
        <w:t xml:space="preserve">, </w:t>
      </w:r>
      <w:r w:rsidR="002D5B2F">
        <w:t xml:space="preserve">mutual obligations under the Partnership for Development have now all been achieved or superseded. There is a need to reset these </w:t>
      </w:r>
      <w:r>
        <w:t xml:space="preserve">through </w:t>
      </w:r>
      <w:r w:rsidR="002D5B2F">
        <w:t>a new</w:t>
      </w:r>
      <w:r>
        <w:t xml:space="preserve"> Aid Partnership</w:t>
      </w:r>
      <w:r w:rsidR="007B263B">
        <w:t xml:space="preserve"> with Vanuatu</w:t>
      </w:r>
      <w:r>
        <w:t xml:space="preserve">. </w:t>
      </w:r>
    </w:p>
    <w:p w:rsidR="00906A81" w:rsidRPr="0007149C" w:rsidRDefault="00511A0F" w:rsidP="0007149C">
      <w:pPr>
        <w:pStyle w:val="Heading2"/>
        <w:rPr>
          <w:sz w:val="28"/>
        </w:rPr>
      </w:pPr>
      <w:r w:rsidRPr="002D5B2F">
        <w:rPr>
          <w:sz w:val="28"/>
        </w:rPr>
        <w:lastRenderedPageBreak/>
        <w:t>Program Quality</w:t>
      </w:r>
      <w:r w:rsidR="000D733F" w:rsidRPr="002D5B2F">
        <w:rPr>
          <w:sz w:val="28"/>
        </w:rPr>
        <w:t xml:space="preserve"> and </w:t>
      </w:r>
      <w:r w:rsidR="00581979" w:rsidRPr="002D5B2F">
        <w:rPr>
          <w:sz w:val="28"/>
        </w:rPr>
        <w:t>Partner Performance</w:t>
      </w:r>
      <w:r w:rsidR="000D733F" w:rsidRPr="002D5B2F">
        <w:rPr>
          <w:sz w:val="28"/>
        </w:rPr>
        <w:t xml:space="preserve"> </w:t>
      </w:r>
    </w:p>
    <w:p w:rsidR="0012266F" w:rsidRPr="004B544C" w:rsidRDefault="009205AB" w:rsidP="0012266F">
      <w:pPr>
        <w:pStyle w:val="ListBullet"/>
        <w:numPr>
          <w:ilvl w:val="0"/>
          <w:numId w:val="0"/>
        </w:numPr>
      </w:pPr>
      <w:r>
        <w:t xml:space="preserve">The Vanuatu program </w:t>
      </w:r>
      <w:r w:rsidR="006F2A33">
        <w:t>continues to make</w:t>
      </w:r>
      <w:r>
        <w:t xml:space="preserve"> effective use of performance information. </w:t>
      </w:r>
      <w:r>
        <w:rPr>
          <w:lang w:eastAsia="en-US"/>
        </w:rPr>
        <w:t xml:space="preserve">Post coordinates </w:t>
      </w:r>
      <w:r w:rsidR="00E468A9">
        <w:rPr>
          <w:lang w:eastAsia="en-US"/>
        </w:rPr>
        <w:t xml:space="preserve">regular </w:t>
      </w:r>
      <w:r>
        <w:rPr>
          <w:lang w:eastAsia="en-US"/>
        </w:rPr>
        <w:t xml:space="preserve">monitoring </w:t>
      </w:r>
      <w:r w:rsidR="009111FA">
        <w:rPr>
          <w:lang w:eastAsia="en-US"/>
        </w:rPr>
        <w:t>that inform program</w:t>
      </w:r>
      <w:r>
        <w:rPr>
          <w:lang w:eastAsia="en-US"/>
        </w:rPr>
        <w:t xml:space="preserve"> management. </w:t>
      </w:r>
      <w:r w:rsidR="006F2A33">
        <w:rPr>
          <w:lang w:eastAsia="en-US"/>
        </w:rPr>
        <w:t xml:space="preserve">Evaluations and reviews are also being used to improve performance. </w:t>
      </w:r>
      <w:r>
        <w:rPr>
          <w:lang w:eastAsia="en-US"/>
        </w:rPr>
        <w:t xml:space="preserve">A </w:t>
      </w:r>
      <w:r w:rsidR="00600B01">
        <w:rPr>
          <w:lang w:eastAsia="en-US"/>
        </w:rPr>
        <w:t>review</w:t>
      </w:r>
      <w:r>
        <w:rPr>
          <w:lang w:eastAsia="en-US"/>
        </w:rPr>
        <w:t xml:space="preserve"> </w:t>
      </w:r>
      <w:r w:rsidRPr="00FD073D">
        <w:rPr>
          <w:lang w:eastAsia="en-US"/>
        </w:rPr>
        <w:t xml:space="preserve">of the </w:t>
      </w:r>
      <w:r w:rsidR="005F3C57">
        <w:rPr>
          <w:lang w:eastAsia="en-US"/>
        </w:rPr>
        <w:t xml:space="preserve">Health </w:t>
      </w:r>
      <w:r w:rsidR="00600B01">
        <w:rPr>
          <w:lang w:eastAsia="en-US"/>
        </w:rPr>
        <w:t>Sector</w:t>
      </w:r>
      <w:r>
        <w:rPr>
          <w:lang w:eastAsia="en-US"/>
        </w:rPr>
        <w:t xml:space="preserve"> Program</w:t>
      </w:r>
      <w:r w:rsidRPr="00FD073D">
        <w:rPr>
          <w:lang w:eastAsia="en-US"/>
        </w:rPr>
        <w:t xml:space="preserve"> </w:t>
      </w:r>
      <w:r w:rsidR="00600B01">
        <w:rPr>
          <w:lang w:eastAsia="en-US"/>
        </w:rPr>
        <w:t xml:space="preserve">is informing the development of a </w:t>
      </w:r>
      <w:r w:rsidR="00F17E99">
        <w:rPr>
          <w:lang w:eastAsia="en-US"/>
        </w:rPr>
        <w:t>new strategy</w:t>
      </w:r>
      <w:r w:rsidR="00600B01">
        <w:rPr>
          <w:lang w:eastAsia="en-US"/>
        </w:rPr>
        <w:t xml:space="preserve"> that will re-shape</w:t>
      </w:r>
      <w:r w:rsidRPr="00FD073D">
        <w:rPr>
          <w:lang w:eastAsia="en-US"/>
        </w:rPr>
        <w:t xml:space="preserve"> the </w:t>
      </w:r>
      <w:r>
        <w:rPr>
          <w:lang w:eastAsia="en-US"/>
        </w:rPr>
        <w:t>program</w:t>
      </w:r>
      <w:r w:rsidR="0006046F">
        <w:rPr>
          <w:lang w:eastAsia="en-US"/>
        </w:rPr>
        <w:t>’s focus</w:t>
      </w:r>
      <w:r w:rsidRPr="00FD073D">
        <w:rPr>
          <w:lang w:eastAsia="en-US"/>
        </w:rPr>
        <w:t>.</w:t>
      </w:r>
      <w:r>
        <w:rPr>
          <w:lang w:eastAsia="en-US"/>
        </w:rPr>
        <w:t xml:space="preserve"> </w:t>
      </w:r>
      <w:r w:rsidR="005F3C57">
        <w:t>An</w:t>
      </w:r>
      <w:r w:rsidRPr="00C6779E">
        <w:t xml:space="preserve"> interim review of the Roads for Development Program </w:t>
      </w:r>
      <w:r w:rsidR="005F3C57">
        <w:t xml:space="preserve">is contributing to a </w:t>
      </w:r>
      <w:r w:rsidR="00B7424C">
        <w:t xml:space="preserve">reconsideration </w:t>
      </w:r>
      <w:r w:rsidR="005F3C57">
        <w:t>of Australia’s approach to support in that sector.</w:t>
      </w:r>
      <w:r w:rsidR="007909F9">
        <w:t xml:space="preserve"> An evaluation of the TVET program considered impact and value for money.</w:t>
      </w:r>
      <w:r w:rsidR="00B62576">
        <w:rPr>
          <w:b/>
        </w:rPr>
        <w:t xml:space="preserve"> </w:t>
      </w:r>
      <w:r w:rsidR="0012266F" w:rsidRPr="00C81AD3">
        <w:rPr>
          <w:b/>
        </w:rPr>
        <w:t>Annex C</w:t>
      </w:r>
      <w:r w:rsidR="0012266F">
        <w:t xml:space="preserve"> lists evaluations completed during the reporting period and planned.</w:t>
      </w:r>
    </w:p>
    <w:p w:rsidR="009205AB" w:rsidRDefault="005F3C57" w:rsidP="002D5B2F">
      <w:pPr>
        <w:pStyle w:val="ListBullet"/>
        <w:numPr>
          <w:ilvl w:val="0"/>
          <w:numId w:val="0"/>
        </w:numPr>
      </w:pPr>
      <w:r>
        <w:t xml:space="preserve">A performance assessment framework </w:t>
      </w:r>
      <w:r w:rsidR="009205AB">
        <w:t>has bee</w:t>
      </w:r>
      <w:r w:rsidR="002D5B2F">
        <w:t>n developed as part of the AIP. F</w:t>
      </w:r>
      <w:r w:rsidR="009205AB">
        <w:t xml:space="preserve">urther refinement </w:t>
      </w:r>
      <w:r w:rsidR="002D5B2F">
        <w:t xml:space="preserve">of this, including through </w:t>
      </w:r>
      <w:r w:rsidR="00E468A9">
        <w:t>finalising</w:t>
      </w:r>
      <w:r w:rsidR="002D5B2F">
        <w:t xml:space="preserve"> an Aid Partnership with Vanuatu</w:t>
      </w:r>
      <w:r w:rsidR="007F10B6">
        <w:t>,</w:t>
      </w:r>
      <w:r w:rsidR="002D5B2F">
        <w:t xml:space="preserve"> will support improvements to whole of program performance </w:t>
      </w:r>
      <w:r w:rsidR="006F2A33">
        <w:t>assessment and management</w:t>
      </w:r>
      <w:r w:rsidR="002D5B2F">
        <w:t>.</w:t>
      </w:r>
      <w:r w:rsidR="006F2A33">
        <w:t xml:space="preserve"> </w:t>
      </w:r>
    </w:p>
    <w:p w:rsidR="00171D98" w:rsidRDefault="00171D98" w:rsidP="002D5B2F">
      <w:pPr>
        <w:pStyle w:val="ListBullet"/>
        <w:numPr>
          <w:ilvl w:val="0"/>
          <w:numId w:val="0"/>
        </w:numPr>
      </w:pPr>
      <w:r w:rsidRPr="00171D98">
        <w:t xml:space="preserve">The ANAO completed a performance audit of the Australian aid program in Vanuatu during 2014-15. The audit was tabled in Parliament on 5 June 2015. It found that the program was generally effective and met Australian and Vanuatu Government priorities. The ANAO made two recommendations on documenting risk and monitoring and evaluation planning. </w:t>
      </w:r>
      <w:r w:rsidR="00B7424C">
        <w:t>DFAT</w:t>
      </w:r>
      <w:r w:rsidRPr="00171D98">
        <w:t xml:space="preserve"> agreed to both recommendations</w:t>
      </w:r>
      <w:r>
        <w:t xml:space="preserve">. Implementation </w:t>
      </w:r>
      <w:r w:rsidR="00E468A9">
        <w:t xml:space="preserve">of both recommendations </w:t>
      </w:r>
      <w:r>
        <w:t>is well advanced.</w:t>
      </w:r>
    </w:p>
    <w:p w:rsidR="00C81AD3" w:rsidRDefault="00C81AD3" w:rsidP="002D5B2F">
      <w:pPr>
        <w:pStyle w:val="ListBullet"/>
        <w:numPr>
          <w:ilvl w:val="0"/>
          <w:numId w:val="0"/>
        </w:numPr>
      </w:pPr>
      <w:r>
        <w:t xml:space="preserve">The AIP and Aid Partnership will support further consolidation of the program. The AIP proposes to consolidate the program within three weighted strategic pillars to ensure that Australian assistance is best meeting development objectives agreed with the Vanuatu Government. </w:t>
      </w:r>
    </w:p>
    <w:p w:rsidR="00F713A7" w:rsidRPr="00F713A7" w:rsidRDefault="000D733F" w:rsidP="006F2A33">
      <w:pPr>
        <w:pStyle w:val="Heading3"/>
        <w:rPr>
          <w:color w:val="FF0000"/>
        </w:rPr>
      </w:pPr>
      <w:r w:rsidRPr="00071815">
        <w:t xml:space="preserve">Analysis of </w:t>
      </w:r>
      <w:r w:rsidR="000D2CDD" w:rsidRPr="00071815">
        <w:t xml:space="preserve">Aid </w:t>
      </w:r>
      <w:r w:rsidRPr="00071815">
        <w:t xml:space="preserve">Quality </w:t>
      </w:r>
      <w:r w:rsidR="000D2CDD" w:rsidRPr="00071815">
        <w:t xml:space="preserve">Checks </w:t>
      </w:r>
      <w:r w:rsidR="0007149C" w:rsidRPr="00071815">
        <w:t>(AQCs)</w:t>
      </w:r>
      <w:r w:rsidR="00EC14F2" w:rsidRPr="00071815">
        <w:t xml:space="preserve"> </w:t>
      </w:r>
    </w:p>
    <w:p w:rsidR="00E74FF8" w:rsidRDefault="00B62576" w:rsidP="00D927D0">
      <w:pPr>
        <w:pStyle w:val="ListBullet"/>
        <w:numPr>
          <w:ilvl w:val="0"/>
          <w:numId w:val="0"/>
        </w:numPr>
      </w:pPr>
      <w:r>
        <w:t>Most</w:t>
      </w:r>
      <w:r w:rsidR="00D927D0">
        <w:t xml:space="preserve"> program</w:t>
      </w:r>
      <w:r>
        <w:t>s</w:t>
      </w:r>
      <w:r w:rsidR="00D927D0">
        <w:t xml:space="preserve"> continue to have high relevance scores across the board. Exceptions are in land </w:t>
      </w:r>
      <w:r w:rsidR="0012266F">
        <w:t xml:space="preserve">and road infrastructure </w:t>
      </w:r>
      <w:r w:rsidR="00D927D0">
        <w:t>whe</w:t>
      </w:r>
      <w:r w:rsidR="00D927D0" w:rsidRPr="00D927D0">
        <w:t xml:space="preserve">re contextual shifts </w:t>
      </w:r>
      <w:r w:rsidR="00D927D0">
        <w:t xml:space="preserve">have </w:t>
      </w:r>
      <w:r>
        <w:t>required</w:t>
      </w:r>
      <w:r w:rsidR="00DB7B06">
        <w:t xml:space="preserve"> </w:t>
      </w:r>
      <w:r w:rsidR="00D927D0">
        <w:t>reconsideration of program approaches</w:t>
      </w:r>
      <w:r w:rsidR="00D927D0" w:rsidRPr="00D927D0">
        <w:t>.</w:t>
      </w:r>
      <w:r w:rsidR="00D927D0">
        <w:t xml:space="preserve"> </w:t>
      </w:r>
      <w:r w:rsidR="00D927D0" w:rsidRPr="00D927D0">
        <w:t>Effective</w:t>
      </w:r>
      <w:r w:rsidR="00D927D0">
        <w:t>nes</w:t>
      </w:r>
      <w:r w:rsidR="00D927D0" w:rsidRPr="00D927D0">
        <w:t>s is mostly satisfactory</w:t>
      </w:r>
      <w:r w:rsidR="0012266F">
        <w:t xml:space="preserve"> (although at 75% this is below DFAT’s target of 85%). </w:t>
      </w:r>
      <w:r w:rsidR="00E74FF8">
        <w:t>Most effectiveness issues are in the</w:t>
      </w:r>
      <w:r w:rsidR="00D927D0" w:rsidRPr="00D927D0">
        <w:t xml:space="preserve"> in the infrastructure sector where projects have performance issues</w:t>
      </w:r>
      <w:r w:rsidR="0012266F">
        <w:t xml:space="preserve"> and delays</w:t>
      </w:r>
      <w:r w:rsidR="00D927D0">
        <w:t xml:space="preserve">. </w:t>
      </w:r>
      <w:r w:rsidR="00D927D0" w:rsidRPr="00D927D0">
        <w:t xml:space="preserve">Efficiency </w:t>
      </w:r>
      <w:r w:rsidR="00D927D0">
        <w:t xml:space="preserve">is also </w:t>
      </w:r>
      <w:r w:rsidR="0012266F">
        <w:t xml:space="preserve">broadly the same as last year with only 83% of programs achieving a satisfactory rating (the Department target is 85%). </w:t>
      </w:r>
      <w:r w:rsidR="00DB7B06">
        <w:t>I</w:t>
      </w:r>
      <w:r w:rsidR="00D927D0" w:rsidRPr="00D927D0">
        <w:t>mprovements in the health program rating reflect steps taken to address management issues</w:t>
      </w:r>
      <w:r w:rsidR="00B7424C">
        <w:t xml:space="preserve">. </w:t>
      </w:r>
      <w:r w:rsidR="00D927D0" w:rsidRPr="00D927D0">
        <w:t>Monitoring and Evaluation scores improved slightly on last year as programs bed down revised approaches, in part in response to the ANAO audit findings</w:t>
      </w:r>
      <w:r w:rsidR="00D927D0">
        <w:t xml:space="preserve">. </w:t>
      </w:r>
      <w:r w:rsidR="00D927D0" w:rsidRPr="00D927D0">
        <w:t>Sustainability continues to be a challenge in most sectors.</w:t>
      </w:r>
      <w:r w:rsidR="00D927D0">
        <w:t xml:space="preserve"> </w:t>
      </w:r>
      <w:r w:rsidR="00B7424C">
        <w:t>R</w:t>
      </w:r>
      <w:r w:rsidR="00E74FF8" w:rsidRPr="00D927D0">
        <w:t>isk is being managed effectively by the programs</w:t>
      </w:r>
      <w:r w:rsidR="00E74FF8">
        <w:t>,</w:t>
      </w:r>
      <w:r w:rsidR="00B7424C">
        <w:t xml:space="preserve"> as reflected in the scoring, and the program continues to improve its risk documenting in response to the ANAO’s findings.</w:t>
      </w:r>
    </w:p>
    <w:p w:rsidR="00D927D0" w:rsidRDefault="00B7424C" w:rsidP="00D927D0">
      <w:pPr>
        <w:pStyle w:val="ListBullet"/>
        <w:numPr>
          <w:ilvl w:val="0"/>
          <w:numId w:val="0"/>
        </w:numPr>
      </w:pPr>
      <w:r>
        <w:t>Despite some improvement in gender ratings, o</w:t>
      </w:r>
      <w:r w:rsidR="00E74FF8">
        <w:t>nly 75% of programs achieved a satisfactory rating. DFAT has set a target of 8</w:t>
      </w:r>
      <w:r w:rsidR="00E350C9">
        <w:t>0</w:t>
      </w:r>
      <w:r w:rsidR="00E74FF8">
        <w:t xml:space="preserve">%. The programs with less than satisfactory ratings - </w:t>
      </w:r>
      <w:proofErr w:type="spellStart"/>
      <w:r w:rsidR="00E74FF8">
        <w:t>GfG</w:t>
      </w:r>
      <w:proofErr w:type="spellEnd"/>
      <w:r w:rsidR="00E74FF8">
        <w:t xml:space="preserve">, R4D and the Vanuatu Land Program –have plans in place to address the issues highlighted and are expected to lift their rating in the next reporting period or, in the case of the land program, will conclude in 2015. </w:t>
      </w:r>
      <w:r w:rsidR="004C0104" w:rsidRPr="004C0104">
        <w:t xml:space="preserve">A table of </w:t>
      </w:r>
      <w:r w:rsidR="004C0104">
        <w:t xml:space="preserve">all </w:t>
      </w:r>
      <w:r w:rsidR="004C0104" w:rsidRPr="004C0104">
        <w:t xml:space="preserve">AQC ratings </w:t>
      </w:r>
      <w:r w:rsidR="004C0104">
        <w:t>is</w:t>
      </w:r>
      <w:r w:rsidR="004C0104" w:rsidRPr="004C0104">
        <w:t xml:space="preserve"> included </w:t>
      </w:r>
      <w:r w:rsidR="004C0104">
        <w:t>at</w:t>
      </w:r>
      <w:r w:rsidR="004C0104" w:rsidRPr="004C0104">
        <w:t xml:space="preserve"> </w:t>
      </w:r>
      <w:r w:rsidR="004C0104" w:rsidRPr="004C0104">
        <w:rPr>
          <w:b/>
        </w:rPr>
        <w:t>Annex D</w:t>
      </w:r>
      <w:r w:rsidR="004C0104" w:rsidRPr="004C0104">
        <w:t>.</w:t>
      </w:r>
    </w:p>
    <w:p w:rsidR="00D927D0" w:rsidRDefault="00D927D0" w:rsidP="004C0104">
      <w:pPr>
        <w:pStyle w:val="ListBullet"/>
        <w:numPr>
          <w:ilvl w:val="0"/>
          <w:numId w:val="0"/>
        </w:numPr>
      </w:pPr>
      <w:r>
        <w:t xml:space="preserve">PVUDP </w:t>
      </w:r>
      <w:r w:rsidR="00DB7B06">
        <w:t>was</w:t>
      </w:r>
      <w:r>
        <w:t xml:space="preserve"> recorded as an initiative requiring improvement (IRI). To </w:t>
      </w:r>
      <w:r w:rsidR="004C0104">
        <w:t>lift performance, DFAT has agreed with ADB and the Vanuatu government to: i</w:t>
      </w:r>
      <w:r>
        <w:t>ncrease in cou</w:t>
      </w:r>
      <w:r w:rsidR="004C0104">
        <w:t>ntry ADB supervision resources; e</w:t>
      </w:r>
      <w:r>
        <w:t>nsure outstanding design issues are resolved</w:t>
      </w:r>
      <w:r w:rsidR="004C0104">
        <w:t>; d</w:t>
      </w:r>
      <w:r>
        <w:t>evelop a model to prioritise key pieces of work within the revised budget</w:t>
      </w:r>
      <w:r w:rsidR="004C0104">
        <w:t>; and c</w:t>
      </w:r>
      <w:r>
        <w:t>ontinue to ensure public expectations about PVUDP are effectively managed through good communication</w:t>
      </w:r>
      <w:r w:rsidR="004C0104">
        <w:t>.</w:t>
      </w:r>
    </w:p>
    <w:p w:rsidR="000D733F" w:rsidRPr="00F713A7" w:rsidRDefault="000D733F" w:rsidP="00650E15">
      <w:pPr>
        <w:pStyle w:val="BodyText"/>
        <w:keepNext/>
        <w:rPr>
          <w:color w:val="FF0000"/>
          <w:lang w:eastAsia="zh-CN"/>
        </w:rPr>
      </w:pPr>
      <w:r w:rsidRPr="006F2A33">
        <w:rPr>
          <w:b/>
          <w:color w:val="1F497D" w:themeColor="text2"/>
          <w:sz w:val="24"/>
        </w:rPr>
        <w:lastRenderedPageBreak/>
        <w:t xml:space="preserve">Performance </w:t>
      </w:r>
      <w:r w:rsidR="004F4630" w:rsidRPr="006F2A33">
        <w:rPr>
          <w:b/>
          <w:color w:val="1F497D" w:themeColor="text2"/>
          <w:sz w:val="24"/>
        </w:rPr>
        <w:t>of key delivery partners</w:t>
      </w:r>
      <w:r w:rsidR="00EC14F2" w:rsidRPr="006F2A33">
        <w:rPr>
          <w:color w:val="1F497D" w:themeColor="text2"/>
        </w:rPr>
        <w:t xml:space="preserve"> </w:t>
      </w:r>
    </w:p>
    <w:p w:rsidR="00B95733" w:rsidRPr="00E74FF8" w:rsidRDefault="00DB7B06" w:rsidP="00650E15">
      <w:pPr>
        <w:pStyle w:val="BodyText"/>
        <w:keepNext/>
        <w:rPr>
          <w:szCs w:val="21"/>
        </w:rPr>
      </w:pPr>
      <w:r>
        <w:rPr>
          <w:szCs w:val="21"/>
        </w:rPr>
        <w:t>T</w:t>
      </w:r>
      <w:r w:rsidR="00B95733" w:rsidRPr="00E74FF8">
        <w:rPr>
          <w:szCs w:val="21"/>
        </w:rPr>
        <w:t>he Vanuatu program works through government systems (e.g. in health and education), through managing contractors (e.g. in law and justice, TVET</w:t>
      </w:r>
      <w:r w:rsidR="00DE423F">
        <w:rPr>
          <w:szCs w:val="21"/>
        </w:rPr>
        <w:t xml:space="preserve">, </w:t>
      </w:r>
      <w:r w:rsidR="001B2A0A">
        <w:rPr>
          <w:szCs w:val="21"/>
        </w:rPr>
        <w:t>education</w:t>
      </w:r>
      <w:r w:rsidR="00B95733" w:rsidRPr="00E74FF8">
        <w:rPr>
          <w:szCs w:val="21"/>
        </w:rPr>
        <w:t xml:space="preserve"> and infrastructure) and through civil society partners (e.g. in health and governance).  </w:t>
      </w:r>
      <w:r w:rsidR="007F10B6" w:rsidRPr="00B7424C">
        <w:rPr>
          <w:szCs w:val="21"/>
        </w:rPr>
        <w:t>Nine partner performance assessments were completed during the reporting period.</w:t>
      </w:r>
    </w:p>
    <w:p w:rsidR="00B95733" w:rsidRPr="00E74FF8" w:rsidRDefault="00DB7B06" w:rsidP="00E74FF8">
      <w:pPr>
        <w:pStyle w:val="BodyText"/>
        <w:rPr>
          <w:szCs w:val="21"/>
        </w:rPr>
      </w:pPr>
      <w:r>
        <w:rPr>
          <w:szCs w:val="21"/>
        </w:rPr>
        <w:t>I</w:t>
      </w:r>
      <w:r w:rsidR="007F10B6">
        <w:rPr>
          <w:szCs w:val="21"/>
        </w:rPr>
        <w:t>n terms of program size</w:t>
      </w:r>
      <w:r>
        <w:rPr>
          <w:szCs w:val="21"/>
        </w:rPr>
        <w:t>,</w:t>
      </w:r>
      <w:r w:rsidR="007A70BB" w:rsidRPr="00E74FF8">
        <w:rPr>
          <w:szCs w:val="21"/>
        </w:rPr>
        <w:t xml:space="preserve"> </w:t>
      </w:r>
      <w:r w:rsidR="00B95733" w:rsidRPr="00E74FF8">
        <w:rPr>
          <w:szCs w:val="21"/>
        </w:rPr>
        <w:t>the Asian Development Bank (ADB)</w:t>
      </w:r>
      <w:r w:rsidR="007F10B6">
        <w:rPr>
          <w:szCs w:val="21"/>
        </w:rPr>
        <w:t>,</w:t>
      </w:r>
      <w:r w:rsidR="007A70BB" w:rsidRPr="00E74FF8">
        <w:rPr>
          <w:szCs w:val="21"/>
        </w:rPr>
        <w:t xml:space="preserve"> which is delivering </w:t>
      </w:r>
      <w:r w:rsidR="005011E2" w:rsidRPr="00E74FF8">
        <w:rPr>
          <w:szCs w:val="21"/>
        </w:rPr>
        <w:t>PVUDP,</w:t>
      </w:r>
      <w:r>
        <w:rPr>
          <w:szCs w:val="21"/>
        </w:rPr>
        <w:t xml:space="preserve"> is o</w:t>
      </w:r>
      <w:r w:rsidRPr="00E74FF8">
        <w:rPr>
          <w:szCs w:val="21"/>
        </w:rPr>
        <w:t>ur major implementing partner</w:t>
      </w:r>
      <w:r w:rsidR="007A70BB" w:rsidRPr="00E74FF8">
        <w:rPr>
          <w:szCs w:val="21"/>
        </w:rPr>
        <w:t xml:space="preserve">. </w:t>
      </w:r>
      <w:r w:rsidR="007807A2" w:rsidRPr="00E74FF8">
        <w:rPr>
          <w:szCs w:val="21"/>
        </w:rPr>
        <w:t xml:space="preserve">PVUDP continues to suffer performance </w:t>
      </w:r>
      <w:r w:rsidR="007B263B">
        <w:rPr>
          <w:szCs w:val="21"/>
        </w:rPr>
        <w:t>shortfalls</w:t>
      </w:r>
      <w:r w:rsidR="007A70BB" w:rsidRPr="00E74FF8">
        <w:rPr>
          <w:szCs w:val="21"/>
        </w:rPr>
        <w:t>.</w:t>
      </w:r>
      <w:r w:rsidR="007807A2" w:rsidRPr="00E74FF8">
        <w:rPr>
          <w:szCs w:val="21"/>
        </w:rPr>
        <w:t xml:space="preserve"> Concerns with the project were also highlighted in the ANAO audit. DFAT will continue to work closely with the ADB and Vanuatu Government to ensure performance is lifted. The ADB has also committed to </w:t>
      </w:r>
      <w:r w:rsidR="007807A2" w:rsidRPr="00CA37D1">
        <w:rPr>
          <w:szCs w:val="21"/>
        </w:rPr>
        <w:t>take</w:t>
      </w:r>
      <w:r w:rsidR="007807A2" w:rsidRPr="00E74FF8">
        <w:rPr>
          <w:szCs w:val="21"/>
        </w:rPr>
        <w:t xml:space="preserve"> a number of steps to address performance issues.</w:t>
      </w:r>
    </w:p>
    <w:p w:rsidR="000D733F" w:rsidRPr="00B7424C" w:rsidRDefault="000D733F" w:rsidP="00650E15">
      <w:pPr>
        <w:pStyle w:val="Heading3"/>
        <w:keepNext w:val="0"/>
      </w:pPr>
      <w:r w:rsidRPr="00B7424C">
        <w:t>Risks</w:t>
      </w:r>
    </w:p>
    <w:p w:rsidR="000D733F" w:rsidRDefault="00D763C0" w:rsidP="00650E15">
      <w:pPr>
        <w:pStyle w:val="Caption"/>
        <w:keepNext w:val="0"/>
      </w:pPr>
      <w:r w:rsidRPr="004C0104">
        <w:t>Table 3 Management of Key Risks to Achieving O</w:t>
      </w:r>
      <w:r w:rsidR="000D733F" w:rsidRPr="004C0104">
        <w:t>bjectives</w:t>
      </w:r>
      <w:r w:rsidR="005F3E51" w:rsidRPr="004C0104">
        <w:t xml:space="preserve"> </w:t>
      </w:r>
    </w:p>
    <w:tbl>
      <w:tblPr>
        <w:tblStyle w:val="APPR"/>
        <w:tblW w:w="5000" w:type="pct"/>
        <w:tblLook w:val="0600" w:firstRow="0" w:lastRow="0" w:firstColumn="0" w:lastColumn="0" w:noHBand="1" w:noVBand="1"/>
      </w:tblPr>
      <w:tblGrid>
        <w:gridCol w:w="2049"/>
        <w:gridCol w:w="2277"/>
        <w:gridCol w:w="2330"/>
        <w:gridCol w:w="2121"/>
      </w:tblGrid>
      <w:tr w:rsidR="005C310A" w:rsidRPr="00180B19" w:rsidTr="005C310A">
        <w:tc>
          <w:tcPr>
            <w:tcW w:w="2007" w:type="dxa"/>
            <w:hideMark/>
          </w:tcPr>
          <w:p w:rsidR="005C310A" w:rsidRPr="005023D9" w:rsidRDefault="005C310A" w:rsidP="00650E15">
            <w:pPr>
              <w:pStyle w:val="TableTextColumnHeading"/>
              <w:keepLines w:val="0"/>
            </w:pPr>
            <w:r w:rsidRPr="005023D9">
              <w:t>Key risks</w:t>
            </w:r>
          </w:p>
        </w:tc>
        <w:tc>
          <w:tcPr>
            <w:tcW w:w="2249" w:type="dxa"/>
          </w:tcPr>
          <w:p w:rsidR="005C310A" w:rsidRPr="005023D9" w:rsidRDefault="005C310A" w:rsidP="00650E15">
            <w:pPr>
              <w:pStyle w:val="TableTextColumnHeading"/>
              <w:keepLines w:val="0"/>
            </w:pPr>
            <w:r w:rsidRPr="005023D9">
              <w:t>What actions were taken to manage the risks over the past year</w:t>
            </w:r>
            <w:r>
              <w:t>?</w:t>
            </w:r>
          </w:p>
        </w:tc>
        <w:tc>
          <w:tcPr>
            <w:tcW w:w="2302" w:type="dxa"/>
          </w:tcPr>
          <w:p w:rsidR="005C310A" w:rsidRPr="005023D9" w:rsidRDefault="005C310A" w:rsidP="00650E15">
            <w:pPr>
              <w:pStyle w:val="TableTextColumnHeading"/>
              <w:keepLines w:val="0"/>
            </w:pPr>
            <w:r w:rsidRPr="005023D9">
              <w:t>What further actions will be taken to manage the risks in the coming year</w:t>
            </w:r>
            <w:r>
              <w:t>?</w:t>
            </w:r>
          </w:p>
        </w:tc>
        <w:tc>
          <w:tcPr>
            <w:tcW w:w="2079" w:type="dxa"/>
          </w:tcPr>
          <w:p w:rsidR="005C310A" w:rsidRPr="005023D9" w:rsidRDefault="005C310A" w:rsidP="00650E15">
            <w:pPr>
              <w:pStyle w:val="TableTextColumnHeading"/>
              <w:keepLines w:val="0"/>
            </w:pPr>
            <w:r>
              <w:t>For emerging/ongoing risks provide a Risk Rating (low, medium, high, very high)</w:t>
            </w:r>
          </w:p>
        </w:tc>
      </w:tr>
      <w:tr w:rsidR="00474172" w:rsidRPr="00180B19" w:rsidTr="00474172">
        <w:tc>
          <w:tcPr>
            <w:tcW w:w="2007" w:type="dxa"/>
            <w:hideMark/>
          </w:tcPr>
          <w:p w:rsidR="00474172" w:rsidRDefault="00474172" w:rsidP="00650E15">
            <w:pPr>
              <w:pStyle w:val="TableTextEntries"/>
              <w:keepLines w:val="0"/>
            </w:pPr>
            <w:r>
              <w:t>Political and bureaucratic instability (including in the lead-up to elections in 2016) resulting in diminished support and/or understanding of our aid programs, and diminishing long-term sustainability of programs.</w:t>
            </w:r>
          </w:p>
          <w:p w:rsidR="00474172" w:rsidRPr="004C4A3E" w:rsidRDefault="00474172" w:rsidP="00650E15">
            <w:pPr>
              <w:pStyle w:val="TableTextEntries"/>
              <w:keepLines w:val="0"/>
            </w:pPr>
          </w:p>
        </w:tc>
        <w:tc>
          <w:tcPr>
            <w:tcW w:w="2249" w:type="dxa"/>
          </w:tcPr>
          <w:p w:rsidR="00474172" w:rsidRDefault="00474172" w:rsidP="00650E15">
            <w:pPr>
              <w:pStyle w:val="TableTextEntries"/>
              <w:keepLines w:val="0"/>
            </w:pPr>
            <w:r>
              <w:t>Worked closely with relevant Ministries to ensure a shared understanding of Australian aid programs.</w:t>
            </w:r>
          </w:p>
          <w:p w:rsidR="00474172" w:rsidRDefault="00474172" w:rsidP="00650E15">
            <w:pPr>
              <w:pStyle w:val="TableTextEntries"/>
              <w:keepLines w:val="0"/>
            </w:pPr>
            <w:r>
              <w:t>Worked at program level with agreed priorities and work plans.</w:t>
            </w:r>
          </w:p>
          <w:p w:rsidR="00474172" w:rsidRDefault="00474172" w:rsidP="00650E15">
            <w:pPr>
              <w:pStyle w:val="TableTextEntries"/>
              <w:keepLines w:val="0"/>
            </w:pPr>
            <w:r>
              <w:t>Link closely with Political team to understand and predict possible changes in the short-term.</w:t>
            </w:r>
          </w:p>
          <w:p w:rsidR="00474172" w:rsidRPr="004C4A3E" w:rsidRDefault="00474172" w:rsidP="00650E15">
            <w:pPr>
              <w:pStyle w:val="TableTextEntries"/>
              <w:keepLines w:val="0"/>
            </w:pPr>
          </w:p>
        </w:tc>
        <w:tc>
          <w:tcPr>
            <w:tcW w:w="2302" w:type="dxa"/>
          </w:tcPr>
          <w:p w:rsidR="0018157E" w:rsidRDefault="0018157E" w:rsidP="00650E15">
            <w:pPr>
              <w:pStyle w:val="TableTextEntries"/>
              <w:keepLines w:val="0"/>
            </w:pPr>
            <w:r>
              <w:t>Strong and high level engagement on aid partnership document to set clear boundaries for aid programs.</w:t>
            </w:r>
          </w:p>
          <w:p w:rsidR="00474172" w:rsidRDefault="00474172" w:rsidP="00650E15">
            <w:pPr>
              <w:pStyle w:val="TableTextEntries"/>
              <w:keepLines w:val="0"/>
            </w:pPr>
            <w:r>
              <w:t>Work with contractors to ensure they have handover plans for staff that are leaving where required.</w:t>
            </w:r>
          </w:p>
          <w:p w:rsidR="00474172" w:rsidRPr="004C4A3E" w:rsidRDefault="00474172" w:rsidP="00650E15">
            <w:pPr>
              <w:pStyle w:val="TableTextEntries"/>
              <w:keepLines w:val="0"/>
            </w:pPr>
          </w:p>
        </w:tc>
        <w:tc>
          <w:tcPr>
            <w:tcW w:w="2079" w:type="dxa"/>
          </w:tcPr>
          <w:p w:rsidR="00474172" w:rsidRPr="004C4A3E" w:rsidRDefault="00474172" w:rsidP="00650E15">
            <w:pPr>
              <w:pStyle w:val="TableTextEntries"/>
              <w:keepLines w:val="0"/>
              <w:jc w:val="center"/>
            </w:pPr>
            <w:r>
              <w:t>High</w:t>
            </w:r>
          </w:p>
        </w:tc>
      </w:tr>
      <w:tr w:rsidR="00474172" w:rsidRPr="00180B19" w:rsidTr="00474172">
        <w:tc>
          <w:tcPr>
            <w:tcW w:w="2007" w:type="dxa"/>
          </w:tcPr>
          <w:p w:rsidR="00474172" w:rsidRDefault="00474172" w:rsidP="00650E15">
            <w:pPr>
              <w:pStyle w:val="TableTextEntries"/>
              <w:keepLines w:val="0"/>
            </w:pPr>
            <w:r>
              <w:t>Significant natural disaster, incl. El Nino induced drought conditions, disrupts implementation of programs and/or reduces relevance of programs.</w:t>
            </w:r>
          </w:p>
          <w:p w:rsidR="00474172" w:rsidRPr="004C4A3E" w:rsidRDefault="00474172" w:rsidP="00650E15">
            <w:pPr>
              <w:pStyle w:val="TableTextEntries"/>
              <w:keepLines w:val="0"/>
            </w:pPr>
          </w:p>
        </w:tc>
        <w:tc>
          <w:tcPr>
            <w:tcW w:w="2249" w:type="dxa"/>
          </w:tcPr>
          <w:p w:rsidR="00474172" w:rsidRDefault="00474172" w:rsidP="00650E15">
            <w:pPr>
              <w:pStyle w:val="TableTextEntries"/>
              <w:keepLines w:val="0"/>
            </w:pPr>
            <w:r>
              <w:t>Crisis Action Plan and scenario planning</w:t>
            </w:r>
          </w:p>
          <w:p w:rsidR="00474172" w:rsidRDefault="00474172" w:rsidP="00650E15">
            <w:pPr>
              <w:pStyle w:val="TableTextEntries"/>
              <w:keepLines w:val="0"/>
            </w:pPr>
            <w:r>
              <w:t>Disaster Management Plans.</w:t>
            </w:r>
          </w:p>
          <w:p w:rsidR="00474172" w:rsidRDefault="00474172" w:rsidP="00650E15">
            <w:pPr>
              <w:pStyle w:val="TableTextEntries"/>
              <w:keepLines w:val="0"/>
            </w:pPr>
            <w:r>
              <w:t xml:space="preserve">Dialogue with </w:t>
            </w:r>
            <w:proofErr w:type="spellStart"/>
            <w:r>
              <w:t>GoV</w:t>
            </w:r>
            <w:proofErr w:type="spellEnd"/>
            <w:r>
              <w:t xml:space="preserve"> and other partners on future implementation of programs.</w:t>
            </w:r>
          </w:p>
          <w:p w:rsidR="00474172" w:rsidRPr="004C4A3E" w:rsidRDefault="00474172" w:rsidP="00650E15">
            <w:pPr>
              <w:pStyle w:val="TableTextEntries"/>
              <w:keepLines w:val="0"/>
            </w:pPr>
          </w:p>
        </w:tc>
        <w:tc>
          <w:tcPr>
            <w:tcW w:w="2302" w:type="dxa"/>
          </w:tcPr>
          <w:p w:rsidR="00474172" w:rsidRDefault="00474172" w:rsidP="00650E15">
            <w:pPr>
              <w:pStyle w:val="TableTextEntries"/>
              <w:keepLines w:val="0"/>
            </w:pPr>
            <w:r>
              <w:t xml:space="preserve">Dialogue with </w:t>
            </w:r>
            <w:proofErr w:type="spellStart"/>
            <w:r>
              <w:t>GoV</w:t>
            </w:r>
            <w:proofErr w:type="spellEnd"/>
            <w:r>
              <w:t>, civil society and other stakeholders to plan for disasters, at national, provincial and local community levels.</w:t>
            </w:r>
          </w:p>
          <w:p w:rsidR="00474172" w:rsidRPr="004C4A3E" w:rsidRDefault="00474172" w:rsidP="00650E15">
            <w:pPr>
              <w:pStyle w:val="TableTextEntries"/>
              <w:keepLines w:val="0"/>
            </w:pPr>
            <w:r>
              <w:t>Identify flexibility within existing bilateral program and recovery funds to enable responsive action to disasters.</w:t>
            </w:r>
          </w:p>
        </w:tc>
        <w:tc>
          <w:tcPr>
            <w:tcW w:w="2079" w:type="dxa"/>
          </w:tcPr>
          <w:p w:rsidR="00474172" w:rsidRPr="004C4A3E" w:rsidRDefault="00474172" w:rsidP="00650E15">
            <w:pPr>
              <w:pStyle w:val="TableTextEntries"/>
              <w:keepLines w:val="0"/>
              <w:jc w:val="center"/>
            </w:pPr>
            <w:r>
              <w:t>Very high</w:t>
            </w:r>
          </w:p>
        </w:tc>
      </w:tr>
      <w:tr w:rsidR="00474172" w:rsidRPr="00180B19" w:rsidTr="00474172">
        <w:tc>
          <w:tcPr>
            <w:tcW w:w="2007" w:type="dxa"/>
          </w:tcPr>
          <w:p w:rsidR="00474172" w:rsidRPr="00BD36B5" w:rsidRDefault="00474172" w:rsidP="00650E15">
            <w:pPr>
              <w:pStyle w:val="TableTextEntries"/>
              <w:keepLines w:val="0"/>
            </w:pPr>
            <w:r>
              <w:t>Following TC Pam, there is a risk that recovery progress will be slow, not meeting expectations and needs of communities.</w:t>
            </w:r>
          </w:p>
        </w:tc>
        <w:tc>
          <w:tcPr>
            <w:tcW w:w="2249" w:type="dxa"/>
          </w:tcPr>
          <w:p w:rsidR="00474172" w:rsidRDefault="00474172" w:rsidP="00650E15">
            <w:pPr>
              <w:pStyle w:val="TableTextEntries"/>
              <w:keepLines w:val="0"/>
            </w:pPr>
            <w:r>
              <w:t xml:space="preserve">•Liaising with </w:t>
            </w:r>
            <w:proofErr w:type="spellStart"/>
            <w:r>
              <w:t>GoV</w:t>
            </w:r>
            <w:proofErr w:type="spellEnd"/>
            <w:r>
              <w:t xml:space="preserve"> at central agencies and line ministries</w:t>
            </w:r>
          </w:p>
          <w:p w:rsidR="00474172" w:rsidRDefault="00474172" w:rsidP="00650E15">
            <w:pPr>
              <w:pStyle w:val="TableTextEntries"/>
              <w:keepLines w:val="0"/>
            </w:pPr>
            <w:r>
              <w:t xml:space="preserve">•Working with </w:t>
            </w:r>
            <w:proofErr w:type="spellStart"/>
            <w:r>
              <w:t>GoV</w:t>
            </w:r>
            <w:proofErr w:type="spellEnd"/>
            <w:r>
              <w:t xml:space="preserve"> and other partners on proposals and provision of TA as appropriate</w:t>
            </w:r>
          </w:p>
          <w:p w:rsidR="00474172" w:rsidRPr="004C4A3E" w:rsidRDefault="00474172" w:rsidP="00650E15">
            <w:pPr>
              <w:pStyle w:val="TableTextEntries"/>
              <w:keepLines w:val="0"/>
            </w:pPr>
            <w:r>
              <w:t>•Regular internal discussions on progress, challenges and possible solutions</w:t>
            </w:r>
          </w:p>
        </w:tc>
        <w:tc>
          <w:tcPr>
            <w:tcW w:w="2302" w:type="dxa"/>
          </w:tcPr>
          <w:p w:rsidR="00474172" w:rsidRDefault="00474172" w:rsidP="00650E15">
            <w:pPr>
              <w:pStyle w:val="TableTextEntries"/>
              <w:keepLines w:val="0"/>
            </w:pPr>
            <w:r>
              <w:t xml:space="preserve">•Once approvals by </w:t>
            </w:r>
            <w:proofErr w:type="spellStart"/>
            <w:r>
              <w:t>GoV</w:t>
            </w:r>
            <w:proofErr w:type="spellEnd"/>
            <w:r>
              <w:t xml:space="preserve"> in place, undertake effective communication to ensure affected communities are aware of what is happening, and regular monitoring to assess progress and quality of implementation.</w:t>
            </w:r>
          </w:p>
        </w:tc>
        <w:tc>
          <w:tcPr>
            <w:tcW w:w="2079" w:type="dxa"/>
          </w:tcPr>
          <w:p w:rsidR="00474172" w:rsidRPr="004C4A3E" w:rsidRDefault="00474172" w:rsidP="00650E15">
            <w:pPr>
              <w:pStyle w:val="TableTextEntries"/>
              <w:keepLines w:val="0"/>
              <w:jc w:val="center"/>
            </w:pPr>
            <w:r>
              <w:t>High</w:t>
            </w:r>
          </w:p>
        </w:tc>
      </w:tr>
    </w:tbl>
    <w:p w:rsidR="000D733F" w:rsidRDefault="000D733F" w:rsidP="0007149C">
      <w:pPr>
        <w:pStyle w:val="Heading2"/>
        <w:rPr>
          <w:color w:val="FF0000"/>
          <w:szCs w:val="24"/>
        </w:rPr>
      </w:pPr>
      <w:r w:rsidRPr="00E55B54">
        <w:rPr>
          <w:sz w:val="28"/>
        </w:rPr>
        <w:lastRenderedPageBreak/>
        <w:t xml:space="preserve">Management </w:t>
      </w:r>
      <w:r w:rsidR="00805ADD" w:rsidRPr="00E55B54">
        <w:rPr>
          <w:sz w:val="28"/>
        </w:rPr>
        <w:t>Responses</w:t>
      </w:r>
      <w:r w:rsidR="007D2323" w:rsidRPr="00E55B54">
        <w:rPr>
          <w:sz w:val="28"/>
        </w:rPr>
        <w:t xml:space="preserve"> </w:t>
      </w:r>
    </w:p>
    <w:p w:rsidR="00F91456" w:rsidRDefault="0001570F" w:rsidP="00474172">
      <w:pPr>
        <w:pStyle w:val="BodyText"/>
        <w:rPr>
          <w:szCs w:val="21"/>
        </w:rPr>
      </w:pPr>
      <w:r>
        <w:rPr>
          <w:szCs w:val="21"/>
        </w:rPr>
        <w:t>Progress addressing last year’s management responses was mixed</w:t>
      </w:r>
      <w:r w:rsidR="00F91456">
        <w:rPr>
          <w:szCs w:val="21"/>
        </w:rPr>
        <w:t xml:space="preserve">. </w:t>
      </w:r>
      <w:r w:rsidR="00F91456">
        <w:rPr>
          <w:b/>
          <w:szCs w:val="21"/>
        </w:rPr>
        <w:t xml:space="preserve">Annex A </w:t>
      </w:r>
      <w:r w:rsidR="00F91456">
        <w:rPr>
          <w:szCs w:val="21"/>
        </w:rPr>
        <w:t>provides detail. The following management responses are for the forthcoming 12 months.</w:t>
      </w:r>
    </w:p>
    <w:p w:rsidR="00F91456" w:rsidRDefault="00F91456" w:rsidP="00BE7966">
      <w:pPr>
        <w:pStyle w:val="BodyText"/>
        <w:keepNext/>
        <w:rPr>
          <w:szCs w:val="21"/>
        </w:rPr>
      </w:pPr>
      <w:r>
        <w:rPr>
          <w:b/>
          <w:szCs w:val="21"/>
        </w:rPr>
        <w:t>New aid partnership</w:t>
      </w:r>
    </w:p>
    <w:p w:rsidR="00F91456" w:rsidRDefault="00F91456" w:rsidP="00BE7966">
      <w:pPr>
        <w:pStyle w:val="BodyText"/>
        <w:keepNext/>
        <w:rPr>
          <w:szCs w:val="21"/>
        </w:rPr>
      </w:pPr>
      <w:r>
        <w:rPr>
          <w:szCs w:val="21"/>
        </w:rPr>
        <w:t>Vanuatu and Australia will finalise a new Aid Partnership during 2015-16. The Partnership will set new objectives for the program, provide greater strategic coherence and outline clear performance benchmarks and mutual obligations</w:t>
      </w:r>
    </w:p>
    <w:p w:rsidR="00F91456" w:rsidRDefault="00F91456" w:rsidP="00474172">
      <w:pPr>
        <w:pStyle w:val="BodyText"/>
        <w:rPr>
          <w:b/>
          <w:szCs w:val="21"/>
        </w:rPr>
      </w:pPr>
      <w:r>
        <w:rPr>
          <w:b/>
          <w:szCs w:val="21"/>
        </w:rPr>
        <w:t>Port Vila Urban Development Project</w:t>
      </w:r>
    </w:p>
    <w:p w:rsidR="00F91456" w:rsidRDefault="00F91456" w:rsidP="00474172">
      <w:pPr>
        <w:pStyle w:val="BodyText"/>
        <w:rPr>
          <w:szCs w:val="21"/>
        </w:rPr>
      </w:pPr>
      <w:r>
        <w:rPr>
          <w:szCs w:val="21"/>
        </w:rPr>
        <w:t xml:space="preserve">PVUDP will require significant management attention to ensure the remediation plan to address performance issues is implemented effectively. </w:t>
      </w:r>
    </w:p>
    <w:p w:rsidR="00F91456" w:rsidRDefault="00F91456" w:rsidP="00474172">
      <w:pPr>
        <w:pStyle w:val="BodyText"/>
        <w:rPr>
          <w:szCs w:val="21"/>
        </w:rPr>
      </w:pPr>
      <w:r>
        <w:rPr>
          <w:b/>
          <w:szCs w:val="21"/>
        </w:rPr>
        <w:t>ANAO Performance Audit</w:t>
      </w:r>
    </w:p>
    <w:p w:rsidR="00F91456" w:rsidRDefault="00F91456" w:rsidP="00474172">
      <w:pPr>
        <w:pStyle w:val="BodyText"/>
        <w:rPr>
          <w:szCs w:val="21"/>
        </w:rPr>
      </w:pPr>
      <w:r>
        <w:rPr>
          <w:szCs w:val="21"/>
        </w:rPr>
        <w:t xml:space="preserve">By the end of 2015-16 the recommendations from the ANAO audit of the Australian aid program to Vanuatu </w:t>
      </w:r>
      <w:r w:rsidR="0018157E">
        <w:rPr>
          <w:szCs w:val="21"/>
        </w:rPr>
        <w:t>will</w:t>
      </w:r>
      <w:r>
        <w:rPr>
          <w:szCs w:val="21"/>
        </w:rPr>
        <w:t xml:space="preserve"> be fully addressed</w:t>
      </w:r>
      <w:r w:rsidR="007B263B">
        <w:rPr>
          <w:szCs w:val="21"/>
        </w:rPr>
        <w:t>.</w:t>
      </w:r>
    </w:p>
    <w:p w:rsidR="00F91456" w:rsidRDefault="00772C2F" w:rsidP="00474172">
      <w:pPr>
        <w:pStyle w:val="BodyText"/>
        <w:rPr>
          <w:szCs w:val="21"/>
        </w:rPr>
      </w:pPr>
      <w:r>
        <w:rPr>
          <w:b/>
          <w:szCs w:val="21"/>
        </w:rPr>
        <w:t>Tropical Cyclone Pam</w:t>
      </w:r>
    </w:p>
    <w:p w:rsidR="00772C2F" w:rsidRDefault="00772C2F" w:rsidP="00474172">
      <w:pPr>
        <w:pStyle w:val="BodyText"/>
        <w:rPr>
          <w:szCs w:val="21"/>
        </w:rPr>
      </w:pPr>
      <w:r>
        <w:rPr>
          <w:szCs w:val="21"/>
        </w:rPr>
        <w:t xml:space="preserve">The response to Cyclone Pam will continue to place significant additional pressure on </w:t>
      </w:r>
      <w:r w:rsidR="00E74FF8">
        <w:rPr>
          <w:szCs w:val="21"/>
        </w:rPr>
        <w:t>DFAT</w:t>
      </w:r>
      <w:r>
        <w:rPr>
          <w:szCs w:val="21"/>
        </w:rPr>
        <w:t xml:space="preserve"> and Vanuatu Government</w:t>
      </w:r>
      <w:r w:rsidR="00E74FF8">
        <w:rPr>
          <w:szCs w:val="21"/>
        </w:rPr>
        <w:t xml:space="preserve"> capacity</w:t>
      </w:r>
      <w:r>
        <w:rPr>
          <w:szCs w:val="21"/>
        </w:rPr>
        <w:t xml:space="preserve">. </w:t>
      </w:r>
      <w:r w:rsidR="00600B01">
        <w:rPr>
          <w:szCs w:val="21"/>
        </w:rPr>
        <w:t xml:space="preserve">Strong </w:t>
      </w:r>
      <w:r w:rsidR="0018157E">
        <w:rPr>
          <w:szCs w:val="21"/>
        </w:rPr>
        <w:t xml:space="preserve">senior </w:t>
      </w:r>
      <w:r w:rsidR="00600B01">
        <w:rPr>
          <w:szCs w:val="21"/>
        </w:rPr>
        <w:t xml:space="preserve">management oversight to ensure effective implementation of the recovery package, support for staff and early recognition of emerging risks will be critical. </w:t>
      </w:r>
    </w:p>
    <w:p w:rsidR="00772C2F" w:rsidRDefault="00772C2F" w:rsidP="00474172">
      <w:pPr>
        <w:pStyle w:val="BodyText"/>
        <w:rPr>
          <w:b/>
          <w:szCs w:val="21"/>
        </w:rPr>
      </w:pPr>
      <w:r>
        <w:rPr>
          <w:b/>
          <w:szCs w:val="21"/>
        </w:rPr>
        <w:t>Program Designs</w:t>
      </w:r>
    </w:p>
    <w:p w:rsidR="00772C2F" w:rsidRDefault="00772C2F" w:rsidP="00474172">
      <w:pPr>
        <w:pStyle w:val="BodyText"/>
        <w:rPr>
          <w:szCs w:val="21"/>
        </w:rPr>
      </w:pPr>
      <w:r>
        <w:rPr>
          <w:szCs w:val="21"/>
        </w:rPr>
        <w:t xml:space="preserve">A </w:t>
      </w:r>
      <w:r w:rsidR="00600B01">
        <w:rPr>
          <w:szCs w:val="21"/>
        </w:rPr>
        <w:t>number of major programs will con</w:t>
      </w:r>
      <w:r w:rsidR="00785DA9">
        <w:rPr>
          <w:szCs w:val="21"/>
        </w:rPr>
        <w:t>c</w:t>
      </w:r>
      <w:r w:rsidR="00600B01">
        <w:rPr>
          <w:szCs w:val="21"/>
        </w:rPr>
        <w:t>lude during 2015-16 requiring review and re-design processes</w:t>
      </w:r>
      <w:r w:rsidR="00E350C9">
        <w:rPr>
          <w:szCs w:val="21"/>
        </w:rPr>
        <w:t xml:space="preserve">. </w:t>
      </w:r>
      <w:r w:rsidR="00E468A9">
        <w:rPr>
          <w:szCs w:val="21"/>
        </w:rPr>
        <w:t>We</w:t>
      </w:r>
      <w:r w:rsidR="00E350C9">
        <w:rPr>
          <w:szCs w:val="21"/>
        </w:rPr>
        <w:t xml:space="preserve"> will need to ensure these processes are adequately resourced</w:t>
      </w:r>
      <w:r w:rsidR="00440C5D">
        <w:rPr>
          <w:szCs w:val="21"/>
        </w:rPr>
        <w:t xml:space="preserve"> (considering other pressures such as Cyclone Pam recovery)</w:t>
      </w:r>
      <w:r w:rsidR="00E468A9">
        <w:rPr>
          <w:szCs w:val="21"/>
        </w:rPr>
        <w:t xml:space="preserve"> and achieve our efficiency and consolidation objectives</w:t>
      </w:r>
      <w:r w:rsidR="00E350C9">
        <w:rPr>
          <w:szCs w:val="21"/>
        </w:rPr>
        <w:t xml:space="preserve">. </w:t>
      </w:r>
      <w:r w:rsidR="00600B01">
        <w:rPr>
          <w:szCs w:val="21"/>
        </w:rPr>
        <w:t xml:space="preserve">DFAT will need to </w:t>
      </w:r>
      <w:r w:rsidR="00E468A9">
        <w:rPr>
          <w:szCs w:val="21"/>
        </w:rPr>
        <w:t xml:space="preserve">also </w:t>
      </w:r>
      <w:r w:rsidR="00600B01">
        <w:rPr>
          <w:szCs w:val="21"/>
        </w:rPr>
        <w:t xml:space="preserve">ensure transition plans </w:t>
      </w:r>
      <w:r w:rsidR="00E468A9">
        <w:rPr>
          <w:szCs w:val="21"/>
        </w:rPr>
        <w:t xml:space="preserve">are </w:t>
      </w:r>
      <w:r w:rsidR="00600B01">
        <w:rPr>
          <w:szCs w:val="21"/>
        </w:rPr>
        <w:t xml:space="preserve">in place, </w:t>
      </w:r>
      <w:r w:rsidR="00E468A9">
        <w:rPr>
          <w:szCs w:val="21"/>
        </w:rPr>
        <w:t xml:space="preserve">there is effective </w:t>
      </w:r>
      <w:r w:rsidR="00600B01">
        <w:rPr>
          <w:szCs w:val="21"/>
        </w:rPr>
        <w:t xml:space="preserve">communication with partners and that senior management has ongoing visibility of progress. </w:t>
      </w:r>
    </w:p>
    <w:p w:rsidR="007A6CDA" w:rsidRDefault="007A6CDA" w:rsidP="00474172">
      <w:pPr>
        <w:pStyle w:val="BodyText"/>
        <w:rPr>
          <w:szCs w:val="21"/>
        </w:rPr>
      </w:pPr>
      <w:r>
        <w:rPr>
          <w:b/>
          <w:szCs w:val="21"/>
        </w:rPr>
        <w:t>Budget Management</w:t>
      </w:r>
    </w:p>
    <w:p w:rsidR="007A6CDA" w:rsidRDefault="007A6CDA" w:rsidP="00474172">
      <w:pPr>
        <w:pStyle w:val="BodyText"/>
        <w:rPr>
          <w:szCs w:val="21"/>
        </w:rPr>
      </w:pPr>
      <w:r>
        <w:rPr>
          <w:szCs w:val="21"/>
        </w:rPr>
        <w:t xml:space="preserve">The Vanuatu Program has very high commitment levels. Close monitoring and management of the budget will be required to ensure any contingencies can be effectively managed. The program will also need to </w:t>
      </w:r>
      <w:r w:rsidR="00E350C9">
        <w:rPr>
          <w:szCs w:val="21"/>
        </w:rPr>
        <w:t xml:space="preserve">continue to closely monitor its </w:t>
      </w:r>
      <w:r w:rsidR="001B2A0A">
        <w:rPr>
          <w:szCs w:val="21"/>
        </w:rPr>
        <w:t>program</w:t>
      </w:r>
      <w:r>
        <w:rPr>
          <w:szCs w:val="21"/>
        </w:rPr>
        <w:t xml:space="preserve"> pipeline. The AIP and Aid Partnership provide the opportunity to do this effectively with the Vanuatu Government.</w:t>
      </w:r>
    </w:p>
    <w:p w:rsidR="007A6CDA" w:rsidRDefault="007A6CDA" w:rsidP="00FB0AE9">
      <w:pPr>
        <w:pStyle w:val="BodyText"/>
        <w:keepNext/>
        <w:rPr>
          <w:szCs w:val="21"/>
        </w:rPr>
      </w:pPr>
      <w:r>
        <w:rPr>
          <w:b/>
          <w:szCs w:val="21"/>
        </w:rPr>
        <w:t>Gender</w:t>
      </w:r>
      <w:r w:rsidR="00E742A7">
        <w:rPr>
          <w:b/>
          <w:szCs w:val="21"/>
        </w:rPr>
        <w:t xml:space="preserve"> and Disability</w:t>
      </w:r>
    </w:p>
    <w:p w:rsidR="00E457BF" w:rsidRDefault="007A6CDA" w:rsidP="00FB0AE9">
      <w:pPr>
        <w:pStyle w:val="BodyText"/>
        <w:keepNext/>
        <w:rPr>
          <w:b/>
        </w:rPr>
      </w:pPr>
      <w:r>
        <w:rPr>
          <w:szCs w:val="21"/>
        </w:rPr>
        <w:t xml:space="preserve">The program will continue to develop pragmatic ways to improve the understanding of and responses to gender </w:t>
      </w:r>
      <w:r w:rsidR="00E742A7">
        <w:rPr>
          <w:szCs w:val="21"/>
        </w:rPr>
        <w:t xml:space="preserve">and disability </w:t>
      </w:r>
      <w:r>
        <w:rPr>
          <w:szCs w:val="21"/>
        </w:rPr>
        <w:t>issues</w:t>
      </w:r>
      <w:r w:rsidR="00785DA9">
        <w:rPr>
          <w:szCs w:val="21"/>
        </w:rPr>
        <w:t>, in particular for the programs that received less than satisfactory ratings</w:t>
      </w:r>
      <w:r>
        <w:rPr>
          <w:szCs w:val="21"/>
        </w:rPr>
        <w:t xml:space="preserve">. Although there were some improvements from last year’s reporting period, gender </w:t>
      </w:r>
      <w:r w:rsidR="00E742A7">
        <w:rPr>
          <w:szCs w:val="21"/>
        </w:rPr>
        <w:t xml:space="preserve">and disability </w:t>
      </w:r>
      <w:r>
        <w:rPr>
          <w:szCs w:val="21"/>
        </w:rPr>
        <w:t>will continue to be a focus area for the program</w:t>
      </w:r>
      <w:r w:rsidR="00FB0AE9">
        <w:rPr>
          <w:szCs w:val="21"/>
        </w:rPr>
        <w:t>.</w:t>
      </w:r>
    </w:p>
    <w:p w:rsidR="00600B01" w:rsidRDefault="00600B01" w:rsidP="00600B01">
      <w:pPr>
        <w:pStyle w:val="ListBullet"/>
        <w:numPr>
          <w:ilvl w:val="0"/>
          <w:numId w:val="0"/>
        </w:numPr>
        <w:tabs>
          <w:tab w:val="clear" w:pos="284"/>
        </w:tabs>
        <w:ind w:left="360"/>
        <w:rPr>
          <w:b/>
        </w:rPr>
      </w:pPr>
    </w:p>
    <w:p w:rsidR="00600B01" w:rsidRPr="00416B02" w:rsidRDefault="00600B01" w:rsidP="00600B01">
      <w:pPr>
        <w:pStyle w:val="ListBullet"/>
        <w:numPr>
          <w:ilvl w:val="0"/>
          <w:numId w:val="0"/>
        </w:numPr>
        <w:tabs>
          <w:tab w:val="clear" w:pos="284"/>
        </w:tabs>
        <w:ind w:left="360"/>
        <w:sectPr w:rsidR="00600B01" w:rsidRPr="00416B02" w:rsidSect="00AE3CEF">
          <w:footerReference w:type="first" r:id="rId17"/>
          <w:type w:val="continuous"/>
          <w:pgSz w:w="11907" w:h="16840" w:code="9"/>
          <w:pgMar w:top="2381" w:right="1701" w:bottom="907" w:left="1701" w:header="850" w:footer="567" w:gutter="0"/>
          <w:pgNumType w:start="1"/>
          <w:cols w:space="720"/>
          <w:docGrid w:linePitch="326"/>
        </w:sectPr>
      </w:pPr>
    </w:p>
    <w:p w:rsidR="005C310A" w:rsidRDefault="005C310A" w:rsidP="005C310A">
      <w:pPr>
        <w:pStyle w:val="Heading2"/>
        <w:rPr>
          <w:sz w:val="28"/>
        </w:rPr>
      </w:pPr>
      <w:r>
        <w:rPr>
          <w:sz w:val="28"/>
        </w:rPr>
        <w:lastRenderedPageBreak/>
        <w:t xml:space="preserve">Annex </w:t>
      </w:r>
      <w:proofErr w:type="gramStart"/>
      <w:r>
        <w:rPr>
          <w:sz w:val="28"/>
        </w:rPr>
        <w:t>A</w:t>
      </w:r>
      <w:proofErr w:type="gramEnd"/>
      <w:r w:rsidRPr="009E38C1">
        <w:rPr>
          <w:sz w:val="28"/>
        </w:rPr>
        <w:t xml:space="preserve"> </w:t>
      </w:r>
      <w:r>
        <w:rPr>
          <w:sz w:val="28"/>
        </w:rPr>
        <w:t>- Progress in Addressing Management R</w:t>
      </w:r>
      <w:r w:rsidRPr="009E38C1">
        <w:rPr>
          <w:sz w:val="28"/>
        </w:rPr>
        <w:t>esponses</w:t>
      </w:r>
      <w:r w:rsidR="000D2078">
        <w:rPr>
          <w:sz w:val="28"/>
        </w:rPr>
        <w:t xml:space="preserve"> </w:t>
      </w:r>
    </w:p>
    <w:p w:rsidR="005C310A" w:rsidRPr="00416B02" w:rsidRDefault="005C310A" w:rsidP="005C310A">
      <w:pPr>
        <w:pStyle w:val="ListBullet"/>
        <w:tabs>
          <w:tab w:val="clear" w:pos="284"/>
        </w:tabs>
      </w:pPr>
      <w:r>
        <w:t>Describe progress made against management responses in 2013-14 report</w:t>
      </w:r>
    </w:p>
    <w:tbl>
      <w:tblPr>
        <w:tblStyle w:val="APPR"/>
        <w:tblpPr w:leftFromText="180" w:rightFromText="180" w:vertAnchor="text" w:tblpY="1"/>
        <w:tblW w:w="5000" w:type="pct"/>
        <w:tblLayout w:type="fixed"/>
        <w:tblLook w:val="0000" w:firstRow="0" w:lastRow="0" w:firstColumn="0" w:lastColumn="0" w:noHBand="0" w:noVBand="0"/>
      </w:tblPr>
      <w:tblGrid>
        <w:gridCol w:w="6458"/>
        <w:gridCol w:w="1224"/>
        <w:gridCol w:w="6763"/>
      </w:tblGrid>
      <w:tr w:rsidR="005C310A" w:rsidRPr="00180B19" w:rsidTr="004F74A1">
        <w:trPr>
          <w:cnfStyle w:val="000000010000" w:firstRow="0" w:lastRow="0" w:firstColumn="0" w:lastColumn="0" w:oddVBand="0" w:evenVBand="0" w:oddHBand="0" w:evenHBand="1" w:firstRowFirstColumn="0" w:firstRowLastColumn="0" w:lastRowFirstColumn="0" w:lastRowLastColumn="0"/>
        </w:trPr>
        <w:tc>
          <w:tcPr>
            <w:tcW w:w="6416" w:type="dxa"/>
          </w:tcPr>
          <w:p w:rsidR="005C310A" w:rsidRPr="00180B19" w:rsidRDefault="005C310A" w:rsidP="00445FE0">
            <w:pPr>
              <w:pStyle w:val="TableTextColumnHeading"/>
              <w:tabs>
                <w:tab w:val="left" w:pos="1185"/>
              </w:tabs>
            </w:pPr>
            <w:r w:rsidRPr="00FE4491">
              <w:t xml:space="preserve">Management </w:t>
            </w:r>
            <w:r>
              <w:t>respon</w:t>
            </w:r>
            <w:r w:rsidR="00F43B6E">
              <w:t>s</w:t>
            </w:r>
            <w:r>
              <w:t>e</w:t>
            </w:r>
            <w:r w:rsidRPr="00FE4491">
              <w:t>s identified in 20</w:t>
            </w:r>
            <w:r>
              <w:t>13-</w:t>
            </w:r>
            <w:r w:rsidRPr="00FE4491">
              <w:t>1</w:t>
            </w:r>
            <w:r>
              <w:t>4</w:t>
            </w:r>
            <w:r w:rsidRPr="00FE4491">
              <w:t xml:space="preserve"> </w:t>
            </w:r>
            <w:r>
              <w:t>APPR</w:t>
            </w:r>
            <w:r>
              <w:tab/>
            </w:r>
          </w:p>
        </w:tc>
        <w:tc>
          <w:tcPr>
            <w:tcW w:w="1196" w:type="dxa"/>
          </w:tcPr>
          <w:p w:rsidR="005C310A" w:rsidRPr="00180B19" w:rsidRDefault="005C310A" w:rsidP="00445FE0">
            <w:pPr>
              <w:pStyle w:val="TableTextColumnHeading"/>
            </w:pPr>
            <w:r w:rsidRPr="00FE4491">
              <w:t>Rating</w:t>
            </w:r>
          </w:p>
        </w:tc>
        <w:tc>
          <w:tcPr>
            <w:tcW w:w="6721" w:type="dxa"/>
          </w:tcPr>
          <w:p w:rsidR="005C310A" w:rsidRPr="00180B19" w:rsidRDefault="005C310A" w:rsidP="00445FE0">
            <w:pPr>
              <w:pStyle w:val="TableTextColumnHeading"/>
            </w:pPr>
            <w:r w:rsidRPr="00FE4491">
              <w:t xml:space="preserve">Progress made in </w:t>
            </w:r>
            <w:r>
              <w:t>2014-5</w:t>
            </w:r>
          </w:p>
        </w:tc>
      </w:tr>
      <w:tr w:rsidR="003A477B" w:rsidRPr="00180B19" w:rsidTr="004F74A1">
        <w:trPr>
          <w:cnfStyle w:val="000000010000" w:firstRow="0" w:lastRow="0" w:firstColumn="0" w:lastColumn="0" w:oddVBand="0" w:evenVBand="0" w:oddHBand="0" w:evenHBand="1" w:firstRowFirstColumn="0" w:firstRowLastColumn="0" w:lastRowFirstColumn="0" w:lastRowLastColumn="0"/>
        </w:trPr>
        <w:tc>
          <w:tcPr>
            <w:tcW w:w="6416" w:type="dxa"/>
          </w:tcPr>
          <w:p w:rsidR="003A477B" w:rsidRPr="000D2078" w:rsidRDefault="003A477B" w:rsidP="003A477B">
            <w:pPr>
              <w:pStyle w:val="ListBullet"/>
              <w:keepNext/>
              <w:numPr>
                <w:ilvl w:val="0"/>
                <w:numId w:val="0"/>
              </w:numPr>
              <w:tabs>
                <w:tab w:val="clear" w:pos="284"/>
              </w:tabs>
              <w:ind w:left="360" w:hanging="360"/>
              <w:rPr>
                <w:color w:val="1F497D" w:themeColor="text2"/>
              </w:rPr>
            </w:pPr>
            <w:r w:rsidRPr="000D2078">
              <w:rPr>
                <w:color w:val="1F497D" w:themeColor="text2"/>
              </w:rPr>
              <w:t>Develop a new aid partnership</w:t>
            </w:r>
          </w:p>
        </w:tc>
        <w:tc>
          <w:tcPr>
            <w:tcW w:w="1196" w:type="dxa"/>
            <w:shd w:val="clear" w:color="auto" w:fill="FF0000"/>
          </w:tcPr>
          <w:p w:rsidR="003A477B" w:rsidRPr="00443639" w:rsidRDefault="003A477B" w:rsidP="003A477B">
            <w:pPr>
              <w:pStyle w:val="TableTextEntries"/>
              <w:jc w:val="center"/>
              <w:rPr>
                <w:color w:val="FFFFFF" w:themeColor="background1"/>
              </w:rPr>
            </w:pPr>
            <w:r>
              <w:rPr>
                <w:color w:val="FFFFFF" w:themeColor="background1"/>
              </w:rPr>
              <w:t>Not achieved</w:t>
            </w:r>
          </w:p>
        </w:tc>
        <w:tc>
          <w:tcPr>
            <w:tcW w:w="6721" w:type="dxa"/>
          </w:tcPr>
          <w:p w:rsidR="003A477B" w:rsidRPr="004E7144" w:rsidRDefault="003A477B" w:rsidP="00F92BDB">
            <w:pPr>
              <w:pStyle w:val="TableTextEntries"/>
              <w:spacing w:before="0" w:after="120" w:line="240" w:lineRule="auto"/>
              <w:rPr>
                <w:sz w:val="21"/>
                <w:szCs w:val="21"/>
              </w:rPr>
            </w:pPr>
            <w:r>
              <w:rPr>
                <w:sz w:val="21"/>
                <w:szCs w:val="21"/>
              </w:rPr>
              <w:t xml:space="preserve">Corporate priority was given to finalising </w:t>
            </w:r>
            <w:r w:rsidRPr="004E7144">
              <w:rPr>
                <w:sz w:val="21"/>
                <w:szCs w:val="21"/>
              </w:rPr>
              <w:t>an Aid Investment Plan</w:t>
            </w:r>
            <w:r>
              <w:rPr>
                <w:sz w:val="21"/>
                <w:szCs w:val="21"/>
              </w:rPr>
              <w:t xml:space="preserve">, </w:t>
            </w:r>
            <w:r w:rsidRPr="004E7144">
              <w:rPr>
                <w:sz w:val="21"/>
                <w:szCs w:val="21"/>
              </w:rPr>
              <w:t>which provides the ba</w:t>
            </w:r>
            <w:r>
              <w:rPr>
                <w:sz w:val="21"/>
                <w:szCs w:val="21"/>
              </w:rPr>
              <w:t xml:space="preserve">sis for a new aid partnership.  </w:t>
            </w:r>
            <w:r w:rsidRPr="004E7144">
              <w:rPr>
                <w:sz w:val="21"/>
                <w:szCs w:val="21"/>
              </w:rPr>
              <w:t xml:space="preserve">Formal discussions on a new aid partnership </w:t>
            </w:r>
            <w:r>
              <w:rPr>
                <w:sz w:val="21"/>
                <w:szCs w:val="21"/>
              </w:rPr>
              <w:t>began</w:t>
            </w:r>
            <w:r w:rsidRPr="004E7144">
              <w:rPr>
                <w:sz w:val="21"/>
                <w:szCs w:val="21"/>
              </w:rPr>
              <w:t xml:space="preserve"> in early 2015-16</w:t>
            </w:r>
            <w:r>
              <w:rPr>
                <w:sz w:val="21"/>
                <w:szCs w:val="21"/>
              </w:rPr>
              <w:t xml:space="preserve"> following AIP finalisation</w:t>
            </w:r>
            <w:r w:rsidRPr="004E7144">
              <w:rPr>
                <w:sz w:val="21"/>
                <w:szCs w:val="21"/>
              </w:rPr>
              <w:t>.</w:t>
            </w:r>
          </w:p>
        </w:tc>
      </w:tr>
      <w:tr w:rsidR="003A477B" w:rsidRPr="00180B19" w:rsidTr="004F74A1">
        <w:trPr>
          <w:cnfStyle w:val="000000010000" w:firstRow="0" w:lastRow="0" w:firstColumn="0" w:lastColumn="0" w:oddVBand="0" w:evenVBand="0" w:oddHBand="0" w:evenHBand="1" w:firstRowFirstColumn="0" w:firstRowLastColumn="0" w:lastRowFirstColumn="0" w:lastRowLastColumn="0"/>
        </w:trPr>
        <w:tc>
          <w:tcPr>
            <w:tcW w:w="6416" w:type="dxa"/>
          </w:tcPr>
          <w:p w:rsidR="003A477B" w:rsidRPr="000D2078" w:rsidRDefault="003A477B" w:rsidP="003A477B">
            <w:pPr>
              <w:tabs>
                <w:tab w:val="left" w:pos="284"/>
              </w:tabs>
              <w:spacing w:after="120" w:line="280" w:lineRule="exact"/>
              <w:rPr>
                <w:rFonts w:ascii="Franklin Gothic Book" w:eastAsia="Times New Roman" w:hAnsi="Franklin Gothic Book"/>
                <w:color w:val="1F497D" w:themeColor="text2"/>
                <w:sz w:val="21"/>
              </w:rPr>
            </w:pPr>
            <w:r w:rsidRPr="000D2078">
              <w:rPr>
                <w:rFonts w:ascii="Franklin Gothic Book" w:eastAsia="Times New Roman" w:hAnsi="Franklin Gothic Book"/>
                <w:color w:val="1F497D" w:themeColor="text2"/>
                <w:sz w:val="21"/>
              </w:rPr>
              <w:t>Consolidation and efficiency improvements</w:t>
            </w:r>
          </w:p>
        </w:tc>
        <w:tc>
          <w:tcPr>
            <w:tcW w:w="1196" w:type="dxa"/>
            <w:shd w:val="clear" w:color="auto" w:fill="92D050"/>
          </w:tcPr>
          <w:p w:rsidR="003A477B" w:rsidRDefault="003A477B" w:rsidP="003A477B">
            <w:pPr>
              <w:pStyle w:val="TableTextEntries"/>
              <w:rPr>
                <w:color w:val="FFFFFF" w:themeColor="background1"/>
              </w:rPr>
            </w:pPr>
            <w:r>
              <w:rPr>
                <w:color w:val="FFFFFF" w:themeColor="background1"/>
              </w:rPr>
              <w:t>Achieved</w:t>
            </w:r>
          </w:p>
        </w:tc>
        <w:tc>
          <w:tcPr>
            <w:tcW w:w="6721" w:type="dxa"/>
          </w:tcPr>
          <w:p w:rsidR="003A477B" w:rsidRPr="00B029D8" w:rsidRDefault="003A477B" w:rsidP="00F92BDB">
            <w:pPr>
              <w:tabs>
                <w:tab w:val="left" w:pos="284"/>
              </w:tabs>
              <w:spacing w:after="120"/>
              <w:rPr>
                <w:rFonts w:ascii="Franklin Gothic Book" w:eastAsia="Times New Roman" w:hAnsi="Franklin Gothic Book"/>
                <w:sz w:val="21"/>
              </w:rPr>
            </w:pPr>
            <w:r>
              <w:rPr>
                <w:rFonts w:ascii="Franklin Gothic Book" w:eastAsia="Times New Roman" w:hAnsi="Franklin Gothic Book"/>
                <w:sz w:val="21"/>
              </w:rPr>
              <w:t>Further progress on consolidating programs has been achieved in the Policing, Law and Justice Sector. We are considering options to improve the efficiency of agreement management and modality choice in some sectors, including scholarships.</w:t>
            </w:r>
            <w:r w:rsidR="00E350C9">
              <w:rPr>
                <w:rFonts w:ascii="Franklin Gothic Book" w:eastAsia="Times New Roman" w:hAnsi="Franklin Gothic Book"/>
                <w:sz w:val="21"/>
              </w:rPr>
              <w:t xml:space="preserve"> The Lands program is concluding in 2015.</w:t>
            </w:r>
          </w:p>
        </w:tc>
      </w:tr>
      <w:tr w:rsidR="004F74A1" w:rsidRPr="00180B19" w:rsidTr="00F92BDB">
        <w:trPr>
          <w:cnfStyle w:val="000000010000" w:firstRow="0" w:lastRow="0" w:firstColumn="0" w:lastColumn="0" w:oddVBand="0" w:evenVBand="0" w:oddHBand="0" w:evenHBand="1" w:firstRowFirstColumn="0" w:firstRowLastColumn="0" w:lastRowFirstColumn="0" w:lastRowLastColumn="0"/>
          <w:trHeight w:val="1409"/>
        </w:trPr>
        <w:tc>
          <w:tcPr>
            <w:tcW w:w="6416" w:type="dxa"/>
          </w:tcPr>
          <w:p w:rsidR="004F74A1" w:rsidRPr="000D2078" w:rsidRDefault="004F74A1" w:rsidP="003A477B">
            <w:pPr>
              <w:tabs>
                <w:tab w:val="left" w:pos="284"/>
              </w:tabs>
              <w:spacing w:after="120" w:line="280" w:lineRule="exact"/>
              <w:rPr>
                <w:color w:val="1F497D" w:themeColor="text2"/>
              </w:rPr>
            </w:pPr>
            <w:r w:rsidRPr="000D2078">
              <w:rPr>
                <w:rFonts w:ascii="Franklin Gothic Book" w:eastAsia="Times New Roman" w:hAnsi="Franklin Gothic Book"/>
                <w:color w:val="1F497D" w:themeColor="text2"/>
                <w:sz w:val="21"/>
              </w:rPr>
              <w:t>A partnership approach to managing financial risks through public sector reform</w:t>
            </w:r>
          </w:p>
        </w:tc>
        <w:tc>
          <w:tcPr>
            <w:tcW w:w="1196" w:type="dxa"/>
            <w:shd w:val="clear" w:color="auto" w:fill="F79646" w:themeFill="accent6"/>
          </w:tcPr>
          <w:p w:rsidR="004F74A1" w:rsidRPr="00443639" w:rsidRDefault="004F74A1" w:rsidP="003A477B">
            <w:pPr>
              <w:pStyle w:val="TableTextEntries"/>
              <w:jc w:val="center"/>
              <w:rPr>
                <w:color w:val="FFFFFF" w:themeColor="background1"/>
              </w:rPr>
            </w:pPr>
            <w:r w:rsidRPr="003A477B">
              <w:rPr>
                <w:color w:val="FFFFFF" w:themeColor="background1"/>
              </w:rPr>
              <w:t xml:space="preserve">Partially achieved </w:t>
            </w:r>
          </w:p>
        </w:tc>
        <w:tc>
          <w:tcPr>
            <w:tcW w:w="6721" w:type="dxa"/>
          </w:tcPr>
          <w:p w:rsidR="004F74A1" w:rsidRPr="00B029D8" w:rsidRDefault="00D7028D" w:rsidP="00F92BDB">
            <w:pPr>
              <w:tabs>
                <w:tab w:val="left" w:pos="284"/>
              </w:tabs>
              <w:spacing w:after="120"/>
              <w:rPr>
                <w:rFonts w:ascii="Franklin Gothic Book" w:eastAsia="Times New Roman" w:hAnsi="Franklin Gothic Book"/>
                <w:sz w:val="21"/>
              </w:rPr>
            </w:pPr>
            <w:r>
              <w:rPr>
                <w:rFonts w:ascii="Franklin Gothic Book" w:eastAsia="Times New Roman" w:hAnsi="Franklin Gothic Book"/>
                <w:sz w:val="21"/>
              </w:rPr>
              <w:t>We</w:t>
            </w:r>
            <w:r w:rsidR="004F74A1">
              <w:rPr>
                <w:rFonts w:ascii="Franklin Gothic Book" w:eastAsia="Times New Roman" w:hAnsi="Franklin Gothic Book"/>
                <w:sz w:val="21"/>
              </w:rPr>
              <w:t xml:space="preserve"> </w:t>
            </w:r>
            <w:r>
              <w:rPr>
                <w:rFonts w:ascii="Franklin Gothic Book" w:eastAsia="Times New Roman" w:hAnsi="Franklin Gothic Book"/>
                <w:sz w:val="21"/>
              </w:rPr>
              <w:t>advanced discussions with the Vanuatu Government on the need to</w:t>
            </w:r>
            <w:r w:rsidR="004F74A1">
              <w:rPr>
                <w:rFonts w:ascii="Franklin Gothic Book" w:eastAsia="Times New Roman" w:hAnsi="Franklin Gothic Book"/>
                <w:sz w:val="21"/>
              </w:rPr>
              <w:t xml:space="preserve"> make public spending </w:t>
            </w:r>
            <w:r>
              <w:rPr>
                <w:rFonts w:ascii="Franklin Gothic Book" w:eastAsia="Times New Roman" w:hAnsi="Franklin Gothic Book"/>
                <w:sz w:val="21"/>
              </w:rPr>
              <w:t xml:space="preserve">more effective, as well as </w:t>
            </w:r>
            <w:r w:rsidR="004F74A1">
              <w:rPr>
                <w:rFonts w:ascii="Franklin Gothic Book" w:eastAsia="Times New Roman" w:hAnsi="Franklin Gothic Book"/>
                <w:sz w:val="21"/>
              </w:rPr>
              <w:t>to protect Australian funds</w:t>
            </w:r>
            <w:r>
              <w:rPr>
                <w:rFonts w:ascii="Franklin Gothic Book" w:eastAsia="Times New Roman" w:hAnsi="Franklin Gothic Book"/>
                <w:sz w:val="21"/>
              </w:rPr>
              <w:t xml:space="preserve">, with a view to securing </w:t>
            </w:r>
            <w:r w:rsidR="004F74A1">
              <w:rPr>
                <w:rFonts w:ascii="Franklin Gothic Book" w:eastAsia="Times New Roman" w:hAnsi="Franklin Gothic Book"/>
                <w:sz w:val="21"/>
              </w:rPr>
              <w:t xml:space="preserve">concrete outcomes through our aid partnership discussions in 2015-16. Fiduciary risk assessments will continue to inform program management in all sectors. </w:t>
            </w:r>
          </w:p>
        </w:tc>
      </w:tr>
      <w:tr w:rsidR="004F74A1" w:rsidRPr="00180B19" w:rsidTr="00BE7966">
        <w:trPr>
          <w:cnfStyle w:val="000000010000" w:firstRow="0" w:lastRow="0" w:firstColumn="0" w:lastColumn="0" w:oddVBand="0" w:evenVBand="0" w:oddHBand="0" w:evenHBand="1" w:firstRowFirstColumn="0" w:firstRowLastColumn="0" w:lastRowFirstColumn="0" w:lastRowLastColumn="0"/>
        </w:trPr>
        <w:tc>
          <w:tcPr>
            <w:tcW w:w="6416" w:type="dxa"/>
          </w:tcPr>
          <w:p w:rsidR="004F74A1" w:rsidRPr="000D2078" w:rsidRDefault="004F74A1" w:rsidP="003A477B">
            <w:pPr>
              <w:tabs>
                <w:tab w:val="left" w:pos="284"/>
              </w:tabs>
              <w:spacing w:after="120" w:line="280" w:lineRule="exact"/>
              <w:rPr>
                <w:rFonts w:ascii="Franklin Gothic Book" w:eastAsia="Times New Roman" w:hAnsi="Franklin Gothic Book"/>
                <w:color w:val="1F497D" w:themeColor="text2"/>
                <w:sz w:val="21"/>
              </w:rPr>
            </w:pPr>
            <w:r w:rsidRPr="000D2078">
              <w:rPr>
                <w:rFonts w:ascii="Franklin Gothic Book" w:eastAsia="Times New Roman" w:hAnsi="Franklin Gothic Book"/>
                <w:color w:val="1F497D" w:themeColor="text2"/>
                <w:sz w:val="21"/>
              </w:rPr>
              <w:t>Ensure effective implementation following Department of Foreign Affairs and Trade integration</w:t>
            </w:r>
          </w:p>
        </w:tc>
        <w:tc>
          <w:tcPr>
            <w:tcW w:w="1196" w:type="dxa"/>
            <w:shd w:val="clear" w:color="auto" w:fill="92D050"/>
          </w:tcPr>
          <w:p w:rsidR="004F74A1" w:rsidRPr="003A477B" w:rsidRDefault="00BD14EA" w:rsidP="003A477B">
            <w:pPr>
              <w:pStyle w:val="TableTextEntries"/>
              <w:jc w:val="center"/>
              <w:rPr>
                <w:color w:val="FFFFFF" w:themeColor="background1"/>
              </w:rPr>
            </w:pPr>
            <w:r>
              <w:rPr>
                <w:color w:val="FFFFFF" w:themeColor="background1"/>
              </w:rPr>
              <w:t>Achieved</w:t>
            </w:r>
          </w:p>
        </w:tc>
        <w:tc>
          <w:tcPr>
            <w:tcW w:w="6721" w:type="dxa"/>
          </w:tcPr>
          <w:p w:rsidR="004F74A1" w:rsidRPr="00B029D8" w:rsidRDefault="00E350C9" w:rsidP="00F92BDB">
            <w:pPr>
              <w:tabs>
                <w:tab w:val="left" w:pos="284"/>
              </w:tabs>
              <w:spacing w:after="120"/>
              <w:rPr>
                <w:rFonts w:ascii="Franklin Gothic Book" w:eastAsia="Times New Roman" w:hAnsi="Franklin Gothic Book"/>
                <w:b/>
                <w:sz w:val="21"/>
              </w:rPr>
            </w:pPr>
            <w:r>
              <w:rPr>
                <w:rFonts w:ascii="Franklin Gothic Book" w:eastAsia="Times New Roman" w:hAnsi="Franklin Gothic Book"/>
                <w:sz w:val="21"/>
              </w:rPr>
              <w:t>We</w:t>
            </w:r>
            <w:r w:rsidR="004F74A1">
              <w:rPr>
                <w:rFonts w:ascii="Franklin Gothic Book" w:eastAsia="Times New Roman" w:hAnsi="Franklin Gothic Book"/>
                <w:sz w:val="21"/>
              </w:rPr>
              <w:t xml:space="preserve"> have maintained effective management oversight and implementation of the aid program throughout the integration process.</w:t>
            </w:r>
            <w:r w:rsidR="00B029D8">
              <w:rPr>
                <w:rFonts w:ascii="Franklin Gothic Book" w:eastAsia="Times New Roman" w:hAnsi="Franklin Gothic Book"/>
                <w:sz w:val="21"/>
              </w:rPr>
              <w:t xml:space="preserve"> An ANAO audit of the program </w:t>
            </w:r>
            <w:r>
              <w:rPr>
                <w:rFonts w:ascii="Franklin Gothic Book" w:eastAsia="Times New Roman" w:hAnsi="Franklin Gothic Book"/>
                <w:sz w:val="21"/>
              </w:rPr>
              <w:t xml:space="preserve">following integration </w:t>
            </w:r>
            <w:r w:rsidR="00B029D8">
              <w:rPr>
                <w:rFonts w:ascii="Franklin Gothic Book" w:eastAsia="Times New Roman" w:hAnsi="Franklin Gothic Book"/>
                <w:sz w:val="21"/>
              </w:rPr>
              <w:t>found the program was effective</w:t>
            </w:r>
            <w:r w:rsidR="00D7028D">
              <w:rPr>
                <w:rFonts w:ascii="Franklin Gothic Book" w:eastAsia="Times New Roman" w:hAnsi="Franklin Gothic Book"/>
                <w:sz w:val="21"/>
              </w:rPr>
              <w:t xml:space="preserve"> and made two recommendations on documenting risk and monitoring and evaluation planning. </w:t>
            </w:r>
            <w:r w:rsidR="00524DF0">
              <w:rPr>
                <w:rFonts w:ascii="Franklin Gothic Book" w:eastAsia="Times New Roman" w:hAnsi="Franklin Gothic Book"/>
                <w:sz w:val="21"/>
              </w:rPr>
              <w:t>We will continue to monitor closely.</w:t>
            </w:r>
          </w:p>
        </w:tc>
      </w:tr>
      <w:tr w:rsidR="004F74A1" w:rsidRPr="00180B19" w:rsidTr="00B029D8">
        <w:trPr>
          <w:cnfStyle w:val="000000010000" w:firstRow="0" w:lastRow="0" w:firstColumn="0" w:lastColumn="0" w:oddVBand="0" w:evenVBand="0" w:oddHBand="0" w:evenHBand="1" w:firstRowFirstColumn="0" w:firstRowLastColumn="0" w:lastRowFirstColumn="0" w:lastRowLastColumn="0"/>
        </w:trPr>
        <w:tc>
          <w:tcPr>
            <w:tcW w:w="6416" w:type="dxa"/>
          </w:tcPr>
          <w:p w:rsidR="004F74A1" w:rsidRPr="000D2078" w:rsidRDefault="004F74A1" w:rsidP="00173C25">
            <w:pPr>
              <w:tabs>
                <w:tab w:val="left" w:pos="284"/>
              </w:tabs>
              <w:spacing w:after="120" w:line="280" w:lineRule="exact"/>
              <w:rPr>
                <w:rFonts w:ascii="Franklin Gothic Book" w:eastAsia="Times New Roman" w:hAnsi="Franklin Gothic Book"/>
                <w:color w:val="1F497D" w:themeColor="text2"/>
                <w:sz w:val="21"/>
              </w:rPr>
            </w:pPr>
            <w:r w:rsidRPr="000D2078">
              <w:rPr>
                <w:rFonts w:ascii="Franklin Gothic Book" w:eastAsia="Times New Roman" w:hAnsi="Franklin Gothic Book"/>
                <w:color w:val="1F497D" w:themeColor="text2"/>
                <w:sz w:val="21"/>
              </w:rPr>
              <w:lastRenderedPageBreak/>
              <w:t>Program improvements on gender and private sector engagement</w:t>
            </w:r>
          </w:p>
        </w:tc>
        <w:tc>
          <w:tcPr>
            <w:tcW w:w="1196" w:type="dxa"/>
            <w:shd w:val="clear" w:color="auto" w:fill="F79646" w:themeFill="accent6"/>
          </w:tcPr>
          <w:p w:rsidR="004F74A1" w:rsidRDefault="004F74A1" w:rsidP="00173C25">
            <w:pPr>
              <w:pStyle w:val="TableTextEntries"/>
              <w:rPr>
                <w:color w:val="FFFFFF" w:themeColor="background1"/>
              </w:rPr>
            </w:pPr>
            <w:r w:rsidRPr="003A477B">
              <w:rPr>
                <w:color w:val="FFFFFF" w:themeColor="background1"/>
              </w:rPr>
              <w:t>Partially achieved</w:t>
            </w:r>
          </w:p>
        </w:tc>
        <w:tc>
          <w:tcPr>
            <w:tcW w:w="6721" w:type="dxa"/>
          </w:tcPr>
          <w:p w:rsidR="00550550" w:rsidRDefault="005B08BD" w:rsidP="00F92BDB">
            <w:pPr>
              <w:tabs>
                <w:tab w:val="left" w:pos="284"/>
              </w:tabs>
              <w:spacing w:after="120"/>
              <w:rPr>
                <w:sz w:val="21"/>
              </w:rPr>
            </w:pPr>
            <w:r>
              <w:rPr>
                <w:rFonts w:ascii="Franklin Gothic Book" w:eastAsia="Times New Roman" w:hAnsi="Franklin Gothic Book"/>
                <w:sz w:val="21"/>
              </w:rPr>
              <w:t>While gender</w:t>
            </w:r>
            <w:r w:rsidR="00550550">
              <w:rPr>
                <w:rFonts w:ascii="Franklin Gothic Book" w:eastAsia="Times New Roman" w:hAnsi="Franklin Gothic Book"/>
                <w:sz w:val="21"/>
              </w:rPr>
              <w:t xml:space="preserve"> equality</w:t>
            </w:r>
            <w:r>
              <w:rPr>
                <w:rFonts w:ascii="Franklin Gothic Book" w:eastAsia="Times New Roman" w:hAnsi="Franklin Gothic Book"/>
                <w:sz w:val="21"/>
              </w:rPr>
              <w:t xml:space="preserve"> outcomes</w:t>
            </w:r>
            <w:r w:rsidR="00550550">
              <w:rPr>
                <w:rFonts w:ascii="Franklin Gothic Book" w:eastAsia="Times New Roman" w:hAnsi="Franklin Gothic Book"/>
                <w:sz w:val="21"/>
              </w:rPr>
              <w:t xml:space="preserve"> </w:t>
            </w:r>
            <w:r>
              <w:rPr>
                <w:rFonts w:ascii="Franklin Gothic Book" w:eastAsia="Times New Roman" w:hAnsi="Franklin Gothic Book"/>
                <w:sz w:val="21"/>
              </w:rPr>
              <w:t>improved, with strong results in</w:t>
            </w:r>
            <w:r w:rsidR="00550550">
              <w:rPr>
                <w:rFonts w:ascii="Franklin Gothic Book" w:eastAsia="Times New Roman" w:hAnsi="Franklin Gothic Book"/>
                <w:sz w:val="21"/>
              </w:rPr>
              <w:t xml:space="preserve"> TVET, Law and</w:t>
            </w:r>
            <w:r>
              <w:rPr>
                <w:rFonts w:ascii="Franklin Gothic Book" w:eastAsia="Times New Roman" w:hAnsi="Franklin Gothic Book"/>
                <w:sz w:val="21"/>
              </w:rPr>
              <w:t xml:space="preserve"> Justice, Education and Health, t</w:t>
            </w:r>
            <w:r w:rsidR="00550550">
              <w:rPr>
                <w:rFonts w:ascii="Franklin Gothic Book" w:eastAsia="Times New Roman" w:hAnsi="Franklin Gothic Book"/>
                <w:sz w:val="21"/>
              </w:rPr>
              <w:t xml:space="preserve">he </w:t>
            </w:r>
            <w:r>
              <w:rPr>
                <w:rFonts w:ascii="Franklin Gothic Book" w:eastAsia="Times New Roman" w:hAnsi="Franklin Gothic Book"/>
                <w:sz w:val="21"/>
              </w:rPr>
              <w:t xml:space="preserve">overall </w:t>
            </w:r>
            <w:r w:rsidR="00F92BDB">
              <w:rPr>
                <w:rFonts w:ascii="Franklin Gothic Book" w:eastAsia="Times New Roman" w:hAnsi="Franklin Gothic Book"/>
                <w:sz w:val="21"/>
              </w:rPr>
              <w:t xml:space="preserve">program </w:t>
            </w:r>
            <w:r>
              <w:rPr>
                <w:rFonts w:ascii="Franklin Gothic Book" w:eastAsia="Times New Roman" w:hAnsi="Franklin Gothic Book"/>
                <w:sz w:val="21"/>
              </w:rPr>
              <w:t>result (7</w:t>
            </w:r>
            <w:r w:rsidR="00E350C9">
              <w:rPr>
                <w:rFonts w:ascii="Franklin Gothic Book" w:eastAsia="Times New Roman" w:hAnsi="Franklin Gothic Book"/>
                <w:sz w:val="21"/>
              </w:rPr>
              <w:t>5</w:t>
            </w:r>
            <w:r>
              <w:rPr>
                <w:rFonts w:ascii="Franklin Gothic Book" w:eastAsia="Times New Roman" w:hAnsi="Franklin Gothic Book"/>
                <w:sz w:val="21"/>
              </w:rPr>
              <w:t xml:space="preserve">%) fell just short of the 80% </w:t>
            </w:r>
            <w:r w:rsidR="004F74A1">
              <w:rPr>
                <w:rFonts w:ascii="Franklin Gothic Book" w:eastAsia="Times New Roman" w:hAnsi="Franklin Gothic Book"/>
                <w:sz w:val="21"/>
              </w:rPr>
              <w:t>target.</w:t>
            </w:r>
            <w:r w:rsidR="00F92BDB">
              <w:rPr>
                <w:rFonts w:ascii="Franklin Gothic Book" w:eastAsia="Times New Roman" w:hAnsi="Franklin Gothic Book"/>
                <w:sz w:val="21"/>
              </w:rPr>
              <w:t xml:space="preserve"> Further work is underway to improve results in the challenging areas of governance and roads.</w:t>
            </w:r>
            <w:r w:rsidR="004F74A1">
              <w:rPr>
                <w:rFonts w:ascii="Franklin Gothic Book" w:eastAsia="Times New Roman" w:hAnsi="Franklin Gothic Book"/>
                <w:sz w:val="21"/>
              </w:rPr>
              <w:t xml:space="preserve"> </w:t>
            </w:r>
            <w:r w:rsidR="00F92BDB">
              <w:rPr>
                <w:rFonts w:ascii="Franklin Gothic Book" w:eastAsia="Times New Roman" w:hAnsi="Franklin Gothic Book"/>
                <w:sz w:val="21"/>
              </w:rPr>
              <w:t xml:space="preserve"> We continue to look for</w:t>
            </w:r>
            <w:r w:rsidR="004F74A1">
              <w:rPr>
                <w:rFonts w:ascii="Franklin Gothic Book" w:eastAsia="Times New Roman" w:hAnsi="Franklin Gothic Book"/>
                <w:sz w:val="21"/>
              </w:rPr>
              <w:t xml:space="preserve"> o</w:t>
            </w:r>
            <w:r w:rsidR="00F92BDB">
              <w:rPr>
                <w:rFonts w:ascii="Franklin Gothic Book" w:eastAsia="Times New Roman" w:hAnsi="Franklin Gothic Book"/>
                <w:sz w:val="21"/>
              </w:rPr>
              <w:t xml:space="preserve">pportunities </w:t>
            </w:r>
            <w:r w:rsidR="004F74A1">
              <w:rPr>
                <w:rFonts w:ascii="Franklin Gothic Book" w:eastAsia="Times New Roman" w:hAnsi="Franklin Gothic Book"/>
                <w:sz w:val="21"/>
              </w:rPr>
              <w:t>to learn from the higher performing programs.</w:t>
            </w:r>
          </w:p>
          <w:p w:rsidR="004E201E" w:rsidRPr="00550550" w:rsidRDefault="004E201E" w:rsidP="00211CB8">
            <w:pPr>
              <w:pStyle w:val="TableTextEntries"/>
              <w:spacing w:before="0" w:after="120" w:line="240" w:lineRule="auto"/>
              <w:rPr>
                <w:sz w:val="21"/>
              </w:rPr>
            </w:pPr>
            <w:r>
              <w:rPr>
                <w:sz w:val="21"/>
              </w:rPr>
              <w:t xml:space="preserve">To </w:t>
            </w:r>
            <w:r w:rsidR="00550550">
              <w:rPr>
                <w:sz w:val="21"/>
              </w:rPr>
              <w:t xml:space="preserve">identify private sector engagement opportunities, we held consultations with local and Australian business representatives, including AIP consultations in Canberra in October and a roundtable in Port Vila in October.  We also continued to work with Carnival Australia on outcomes to increase jobs and improve livelihoods for </w:t>
            </w:r>
            <w:proofErr w:type="spellStart"/>
            <w:r w:rsidR="00550550">
              <w:rPr>
                <w:sz w:val="21"/>
              </w:rPr>
              <w:t>ni</w:t>
            </w:r>
            <w:proofErr w:type="spellEnd"/>
            <w:r w:rsidR="00550550">
              <w:rPr>
                <w:sz w:val="21"/>
              </w:rPr>
              <w:t xml:space="preserve">-Vanuatu.  </w:t>
            </w:r>
            <w:r w:rsidR="00B94FF6">
              <w:rPr>
                <w:sz w:val="21"/>
              </w:rPr>
              <w:t>Australian companies contrib</w:t>
            </w:r>
            <w:r w:rsidR="00211CB8">
              <w:rPr>
                <w:sz w:val="21"/>
              </w:rPr>
              <w:t>uted</w:t>
            </w:r>
            <w:r w:rsidR="00550550">
              <w:rPr>
                <w:sz w:val="21"/>
              </w:rPr>
              <w:t xml:space="preserve"> to the Tropical Cyclone Pam response.</w:t>
            </w:r>
          </w:p>
        </w:tc>
      </w:tr>
    </w:tbl>
    <w:p w:rsidR="005C310A" w:rsidRPr="00671434" w:rsidRDefault="005C310A" w:rsidP="005C310A">
      <w:pPr>
        <w:pStyle w:val="Note"/>
      </w:pPr>
      <w:r w:rsidRPr="0075352D">
        <w:rPr>
          <w:color w:val="72AF2F"/>
        </w:rPr>
        <w:sym w:font="Webdings" w:char="F067"/>
      </w:r>
      <w:r w:rsidRPr="00FE4491">
        <w:t> </w:t>
      </w:r>
      <w:r w:rsidRPr="00FE4491">
        <w:t xml:space="preserve"> </w:t>
      </w:r>
      <w:proofErr w:type="gramStart"/>
      <w:r w:rsidRPr="00EA3BAD">
        <w:t>Achieved.</w:t>
      </w:r>
      <w:proofErr w:type="gramEnd"/>
      <w:r w:rsidRPr="00706D30">
        <w:t xml:space="preserve">  Significant progress has been made in addressing </w:t>
      </w:r>
      <w:r>
        <w:t xml:space="preserve">the issue </w:t>
      </w:r>
    </w:p>
    <w:p w:rsidR="005C310A" w:rsidRPr="00EA3BAD" w:rsidRDefault="005C310A" w:rsidP="005C310A">
      <w:pPr>
        <w:pStyle w:val="Note"/>
      </w:pPr>
      <w:r w:rsidRPr="00EA3BAD">
        <w:rPr>
          <w:color w:val="E36C0A"/>
        </w:rPr>
        <w:sym w:font="Webdings" w:char="F067"/>
      </w:r>
      <w:r w:rsidRPr="00EA3BAD">
        <w:t> </w:t>
      </w:r>
      <w:r w:rsidRPr="00EA3BAD">
        <w:t xml:space="preserve"> </w:t>
      </w:r>
      <w:proofErr w:type="gramStart"/>
      <w:r w:rsidRPr="00EA3BAD">
        <w:t>Partly achieved.</w:t>
      </w:r>
      <w:proofErr w:type="gramEnd"/>
      <w:r w:rsidRPr="00EA3BAD">
        <w:t xml:space="preserve">  </w:t>
      </w:r>
      <w:r>
        <w:t>Some pr</w:t>
      </w:r>
      <w:r w:rsidRPr="00EA3BAD">
        <w:t xml:space="preserve">ogress </w:t>
      </w:r>
      <w:r>
        <w:t xml:space="preserve">has been made in addressing the issue, but the issue has not been resolved </w:t>
      </w:r>
    </w:p>
    <w:p w:rsidR="005C310A" w:rsidRDefault="005C310A" w:rsidP="005C310A">
      <w:pPr>
        <w:pStyle w:val="Note"/>
      </w:pPr>
      <w:r w:rsidRPr="00EA3BAD">
        <w:rPr>
          <w:color w:val="FF0000"/>
        </w:rPr>
        <w:sym w:font="Webdings" w:char="F067"/>
      </w:r>
      <w:r w:rsidRPr="00EA3BAD">
        <w:t> </w:t>
      </w:r>
      <w:r w:rsidRPr="00EA3BAD">
        <w:t xml:space="preserve"> Not achieved. Progress </w:t>
      </w:r>
      <w:r>
        <w:t xml:space="preserve">in addressing the issue </w:t>
      </w:r>
      <w:r w:rsidRPr="00EA3BAD">
        <w:t>has been significantly below expectations</w:t>
      </w:r>
    </w:p>
    <w:p w:rsidR="005C310A" w:rsidRDefault="005C310A" w:rsidP="005C310A">
      <w:pPr>
        <w:pStyle w:val="BodyText"/>
      </w:pPr>
    </w:p>
    <w:p w:rsidR="005C310A" w:rsidRDefault="005C310A">
      <w:pPr>
        <w:spacing w:after="200" w:line="276" w:lineRule="auto"/>
        <w:rPr>
          <w:rFonts w:ascii="Helvetica" w:eastAsia="Times New Roman" w:hAnsi="Helvetica" w:cs="Arial"/>
          <w:color w:val="007FAD"/>
          <w:kern w:val="28"/>
          <w:sz w:val="28"/>
          <w:szCs w:val="28"/>
        </w:rPr>
      </w:pPr>
      <w:r>
        <w:rPr>
          <w:sz w:val="28"/>
        </w:rPr>
        <w:br w:type="page"/>
      </w:r>
    </w:p>
    <w:p w:rsidR="00416B02" w:rsidRPr="009E38C1" w:rsidRDefault="00416B02" w:rsidP="00416B02">
      <w:pPr>
        <w:pStyle w:val="Heading2"/>
        <w:rPr>
          <w:sz w:val="28"/>
        </w:rPr>
      </w:pPr>
      <w:r w:rsidRPr="009E38C1">
        <w:rPr>
          <w:sz w:val="28"/>
        </w:rPr>
        <w:lastRenderedPageBreak/>
        <w:t>Annex</w:t>
      </w:r>
      <w:r w:rsidR="005C310A">
        <w:rPr>
          <w:sz w:val="28"/>
        </w:rPr>
        <w:t xml:space="preserve"> B</w:t>
      </w:r>
      <w:r w:rsidR="0057490F">
        <w:rPr>
          <w:sz w:val="28"/>
        </w:rPr>
        <w:t xml:space="preserve"> - </w:t>
      </w:r>
      <w:r>
        <w:rPr>
          <w:sz w:val="28"/>
        </w:rPr>
        <w:t xml:space="preserve">Progress towards </w:t>
      </w:r>
      <w:r w:rsidRPr="009E38C1">
        <w:rPr>
          <w:sz w:val="28"/>
        </w:rPr>
        <w:t xml:space="preserve">Performance Benchmarks </w:t>
      </w:r>
      <w:r>
        <w:rPr>
          <w:sz w:val="28"/>
        </w:rPr>
        <w:t xml:space="preserve">in </w:t>
      </w:r>
      <w:r w:rsidRPr="009E38C1">
        <w:rPr>
          <w:sz w:val="28"/>
        </w:rPr>
        <w:t>2014 -15</w:t>
      </w:r>
      <w:r w:rsidR="00911EA2">
        <w:rPr>
          <w:sz w:val="28"/>
        </w:rPr>
        <w:t xml:space="preserve"> </w:t>
      </w:r>
    </w:p>
    <w:p w:rsidR="00416B02" w:rsidRDefault="00416B02" w:rsidP="0057490F">
      <w:pPr>
        <w:pStyle w:val="ListBullet"/>
        <w:tabs>
          <w:tab w:val="clear" w:pos="284"/>
        </w:tabs>
      </w:pPr>
      <w:r>
        <w:t xml:space="preserve">Report on the </w:t>
      </w:r>
      <w:r w:rsidRPr="007C1EF5">
        <w:t xml:space="preserve">performance benchmarks </w:t>
      </w:r>
      <w:r>
        <w:t>identified in last year’s APPR.</w:t>
      </w:r>
      <w:r w:rsidRPr="007C1EF5">
        <w:t xml:space="preserve"> </w:t>
      </w:r>
    </w:p>
    <w:tbl>
      <w:tblPr>
        <w:tblStyle w:val="DFATTable"/>
        <w:tblW w:w="5000" w:type="pct"/>
        <w:tblLook w:val="04A0" w:firstRow="1" w:lastRow="0" w:firstColumn="1" w:lastColumn="0" w:noHBand="0" w:noVBand="1"/>
      </w:tblPr>
      <w:tblGrid>
        <w:gridCol w:w="2244"/>
        <w:gridCol w:w="2245"/>
        <w:gridCol w:w="1353"/>
        <w:gridCol w:w="8547"/>
      </w:tblGrid>
      <w:tr w:rsidR="00416B02" w:rsidRPr="004F7D80" w:rsidTr="00E15678">
        <w:trPr>
          <w:tblHeader/>
        </w:trPr>
        <w:tc>
          <w:tcPr>
            <w:tcW w:w="780" w:type="pct"/>
            <w:tcMar>
              <w:top w:w="57" w:type="dxa"/>
              <w:bottom w:w="57" w:type="dxa"/>
            </w:tcMar>
          </w:tcPr>
          <w:p w:rsidR="00416B02" w:rsidRPr="002749B6" w:rsidRDefault="00416B02" w:rsidP="00E15678">
            <w:pPr>
              <w:pStyle w:val="TableHeading1"/>
            </w:pPr>
            <w:r>
              <w:t>Aid</w:t>
            </w:r>
            <w:r w:rsidRPr="002749B6">
              <w:t xml:space="preserve"> objective</w:t>
            </w:r>
          </w:p>
        </w:tc>
        <w:tc>
          <w:tcPr>
            <w:tcW w:w="780" w:type="pct"/>
          </w:tcPr>
          <w:p w:rsidR="00416B02" w:rsidRPr="002749B6" w:rsidRDefault="00416B02" w:rsidP="00E15678">
            <w:pPr>
              <w:pStyle w:val="TableHeading1"/>
            </w:pPr>
            <w:r w:rsidRPr="002749B6">
              <w:t xml:space="preserve">2014-15 benchmark </w:t>
            </w:r>
          </w:p>
        </w:tc>
        <w:tc>
          <w:tcPr>
            <w:tcW w:w="470" w:type="pct"/>
          </w:tcPr>
          <w:p w:rsidR="00416B02" w:rsidRDefault="00416B02" w:rsidP="00E15678">
            <w:pPr>
              <w:pStyle w:val="TableHeading1"/>
            </w:pPr>
            <w:r>
              <w:t>Rating</w:t>
            </w:r>
          </w:p>
        </w:tc>
        <w:tc>
          <w:tcPr>
            <w:tcW w:w="2970" w:type="pct"/>
          </w:tcPr>
          <w:p w:rsidR="00416B02" w:rsidRPr="002749B6" w:rsidRDefault="00416B02" w:rsidP="00E15678">
            <w:pPr>
              <w:pStyle w:val="TableHeading1"/>
            </w:pPr>
            <w:r>
              <w:t>Progress in 2014-15</w:t>
            </w:r>
          </w:p>
        </w:tc>
      </w:tr>
      <w:tr w:rsidR="000A2C94" w:rsidRPr="004F7D80" w:rsidTr="000A2C94">
        <w:tc>
          <w:tcPr>
            <w:tcW w:w="780" w:type="pct"/>
            <w:tcMar>
              <w:top w:w="57" w:type="dxa"/>
              <w:bottom w:w="57" w:type="dxa"/>
            </w:tcMar>
          </w:tcPr>
          <w:p w:rsidR="000A2C94" w:rsidRPr="00E077B1" w:rsidRDefault="000A2C94" w:rsidP="000A2C94">
            <w:pPr>
              <w:pStyle w:val="TableTextEntries"/>
            </w:pPr>
            <w:r w:rsidRPr="00E077B1">
              <w:t xml:space="preserve">Develop essential infrastructure </w:t>
            </w:r>
          </w:p>
        </w:tc>
        <w:tc>
          <w:tcPr>
            <w:tcW w:w="780" w:type="pct"/>
          </w:tcPr>
          <w:p w:rsidR="000A2C94" w:rsidRPr="00E077B1" w:rsidRDefault="000A2C94" w:rsidP="000A2C94">
            <w:pPr>
              <w:pStyle w:val="TableTextEntries"/>
            </w:pPr>
            <w:r w:rsidRPr="00E077B1">
              <w:t>100kms of maintenance and rehabilitation works completed on target rural roads</w:t>
            </w:r>
          </w:p>
        </w:tc>
        <w:tc>
          <w:tcPr>
            <w:tcW w:w="470" w:type="pct"/>
            <w:shd w:val="clear" w:color="auto" w:fill="00B050"/>
          </w:tcPr>
          <w:p w:rsidR="000A2C94" w:rsidRPr="00E077B1" w:rsidRDefault="000A2C94" w:rsidP="000A2C94">
            <w:pPr>
              <w:pStyle w:val="TableTextEntries"/>
              <w:jc w:val="center"/>
            </w:pPr>
            <w:r w:rsidRPr="006222AB">
              <w:t>Achieved</w:t>
            </w:r>
          </w:p>
        </w:tc>
        <w:tc>
          <w:tcPr>
            <w:tcW w:w="2970" w:type="pct"/>
          </w:tcPr>
          <w:p w:rsidR="000A2C94" w:rsidRPr="00E42278" w:rsidRDefault="000A2C94" w:rsidP="000A2C94">
            <w:pPr>
              <w:pStyle w:val="TableTextEntries"/>
            </w:pPr>
            <w:r w:rsidRPr="00E42278">
              <w:t xml:space="preserve">The length of roads (147km) maintained in the last 12 months is well above the 2014-15 benchmark and there is significant progress in terms of concrete structures built and length of drainage structures constructed under physical civil works. </w:t>
            </w:r>
          </w:p>
          <w:p w:rsidR="000A2C94" w:rsidRPr="00E077B1" w:rsidRDefault="000A2C94" w:rsidP="000A2C94">
            <w:pPr>
              <w:pStyle w:val="TableTextEntries"/>
            </w:pPr>
          </w:p>
        </w:tc>
      </w:tr>
      <w:tr w:rsidR="00C65C4E" w:rsidRPr="004F7D80" w:rsidTr="00BE7966">
        <w:tc>
          <w:tcPr>
            <w:tcW w:w="780" w:type="pct"/>
            <w:tcMar>
              <w:top w:w="57" w:type="dxa"/>
              <w:bottom w:w="57" w:type="dxa"/>
            </w:tcMar>
          </w:tcPr>
          <w:p w:rsidR="00C65C4E" w:rsidRPr="002749B6" w:rsidRDefault="00C65C4E" w:rsidP="00C65C4E">
            <w:pPr>
              <w:pStyle w:val="TableTextEntries"/>
            </w:pPr>
            <w:r>
              <w:t>Progress reform on economic governance</w:t>
            </w:r>
          </w:p>
        </w:tc>
        <w:tc>
          <w:tcPr>
            <w:tcW w:w="780" w:type="pct"/>
          </w:tcPr>
          <w:p w:rsidR="00C65C4E" w:rsidRPr="002749B6" w:rsidRDefault="00C65C4E" w:rsidP="00C65C4E">
            <w:pPr>
              <w:pStyle w:val="TableTextEntries"/>
            </w:pPr>
            <w:r>
              <w:t>3,000 bank accounts opened</w:t>
            </w:r>
          </w:p>
        </w:tc>
        <w:tc>
          <w:tcPr>
            <w:tcW w:w="470" w:type="pct"/>
            <w:shd w:val="clear" w:color="auto" w:fill="00B050"/>
          </w:tcPr>
          <w:p w:rsidR="00C65C4E" w:rsidRPr="002749B6" w:rsidRDefault="00830ED8" w:rsidP="00C65C4E">
            <w:pPr>
              <w:pStyle w:val="TableTextEntries"/>
              <w:jc w:val="center"/>
            </w:pPr>
            <w:r w:rsidRPr="006222AB">
              <w:t>Achieved</w:t>
            </w:r>
          </w:p>
        </w:tc>
        <w:tc>
          <w:tcPr>
            <w:tcW w:w="2970" w:type="pct"/>
          </w:tcPr>
          <w:p w:rsidR="00C65C4E" w:rsidRPr="007B263B" w:rsidRDefault="00830ED8" w:rsidP="00830ED8">
            <w:pPr>
              <w:pStyle w:val="TableTextEntries"/>
            </w:pPr>
            <w:r w:rsidRPr="00830ED8">
              <w:t xml:space="preserve">In 2014, </w:t>
            </w:r>
            <w:r>
              <w:t xml:space="preserve">3,361 </w:t>
            </w:r>
            <w:r w:rsidRPr="00830ED8">
              <w:t>bank accounts were opened across Vanuatu showing increased economic activity and income</w:t>
            </w:r>
          </w:p>
        </w:tc>
      </w:tr>
      <w:tr w:rsidR="000A2C94" w:rsidRPr="004F7D80" w:rsidTr="000A2C94">
        <w:tc>
          <w:tcPr>
            <w:tcW w:w="780" w:type="pct"/>
            <w:tcMar>
              <w:top w:w="57" w:type="dxa"/>
              <w:bottom w:w="57" w:type="dxa"/>
            </w:tcMar>
          </w:tcPr>
          <w:p w:rsidR="000A2C94" w:rsidRPr="002749B6" w:rsidRDefault="000A2C94" w:rsidP="000A2C94">
            <w:pPr>
              <w:pStyle w:val="TableTextEntries"/>
            </w:pPr>
            <w:r>
              <w:t>Support increased access to skills and knowledge</w:t>
            </w:r>
          </w:p>
        </w:tc>
        <w:tc>
          <w:tcPr>
            <w:tcW w:w="780" w:type="pct"/>
          </w:tcPr>
          <w:p w:rsidR="000A2C94" w:rsidRPr="002749B6" w:rsidRDefault="000A2C94" w:rsidP="000A2C94">
            <w:pPr>
              <w:pStyle w:val="TableTextEntries"/>
            </w:pPr>
            <w:r w:rsidRPr="005A4267">
              <w:t>80</w:t>
            </w:r>
            <w:r>
              <w:t xml:space="preserve"> per cent</w:t>
            </w:r>
            <w:r w:rsidRPr="005A4267">
              <w:t xml:space="preserve"> (of 800 participants)</w:t>
            </w:r>
            <w:r>
              <w:t xml:space="preserve"> report higher income</w:t>
            </w:r>
          </w:p>
        </w:tc>
        <w:tc>
          <w:tcPr>
            <w:tcW w:w="470" w:type="pct"/>
            <w:shd w:val="clear" w:color="auto" w:fill="00B050"/>
          </w:tcPr>
          <w:p w:rsidR="000A2C94" w:rsidRPr="00AB6CAB" w:rsidRDefault="000A2C94" w:rsidP="000A2C94">
            <w:pPr>
              <w:pStyle w:val="TableTextEntries"/>
              <w:jc w:val="center"/>
            </w:pPr>
            <w:r w:rsidRPr="00AB6CAB">
              <w:t>Achieved</w:t>
            </w:r>
          </w:p>
        </w:tc>
        <w:tc>
          <w:tcPr>
            <w:tcW w:w="2970" w:type="pct"/>
          </w:tcPr>
          <w:p w:rsidR="000A2C94" w:rsidRDefault="000A2C94" w:rsidP="000A2C94">
            <w:pPr>
              <w:pStyle w:val="TableTextEntries"/>
            </w:pPr>
            <w:r>
              <w:t>90% of participants reported higher income in the reporting period</w:t>
            </w:r>
          </w:p>
          <w:p w:rsidR="000A2C94" w:rsidRDefault="000A2C94" w:rsidP="000A2C94">
            <w:pPr>
              <w:pStyle w:val="TableTextEntries"/>
            </w:pPr>
            <w:r>
              <w:t>46% of participant were female</w:t>
            </w:r>
          </w:p>
          <w:p w:rsidR="000A2C94" w:rsidRPr="002749B6" w:rsidRDefault="000A2C94" w:rsidP="000A2C94">
            <w:pPr>
              <w:pStyle w:val="TableTextEntries"/>
            </w:pPr>
            <w:r>
              <w:t>8% of participants were people with a disability (an increase from 3% in 2011-12)</w:t>
            </w:r>
          </w:p>
        </w:tc>
      </w:tr>
      <w:tr w:rsidR="000A2C94" w:rsidRPr="004F7D80" w:rsidTr="000A2C94">
        <w:tc>
          <w:tcPr>
            <w:tcW w:w="780" w:type="pct"/>
            <w:tcMar>
              <w:top w:w="57" w:type="dxa"/>
              <w:bottom w:w="57" w:type="dxa"/>
            </w:tcMar>
          </w:tcPr>
          <w:p w:rsidR="000A2C94" w:rsidRPr="00716178" w:rsidRDefault="000A2C94" w:rsidP="000A2C94">
            <w:pPr>
              <w:pStyle w:val="TableTextEntries"/>
            </w:pPr>
            <w:r w:rsidRPr="00716178">
              <w:t>Support improved quality of education</w:t>
            </w:r>
          </w:p>
        </w:tc>
        <w:tc>
          <w:tcPr>
            <w:tcW w:w="780" w:type="pct"/>
          </w:tcPr>
          <w:p w:rsidR="000A2C94" w:rsidRPr="00716178" w:rsidRDefault="000A2C94" w:rsidP="000A2C94">
            <w:pPr>
              <w:pStyle w:val="TableTextEntries"/>
            </w:pPr>
            <w:r w:rsidRPr="00C812EA">
              <w:t>Monitoring tool for literacy and numeracy developed and trialled</w:t>
            </w:r>
          </w:p>
        </w:tc>
        <w:tc>
          <w:tcPr>
            <w:tcW w:w="470" w:type="pct"/>
            <w:shd w:val="clear" w:color="auto" w:fill="00B050"/>
          </w:tcPr>
          <w:p w:rsidR="000A2C94" w:rsidRPr="00AB6CAB" w:rsidRDefault="000A2C94" w:rsidP="000A2C94">
            <w:pPr>
              <w:pStyle w:val="TableTextEntries"/>
              <w:jc w:val="center"/>
            </w:pPr>
            <w:r w:rsidRPr="00AB6CAB">
              <w:t>Achieved</w:t>
            </w:r>
          </w:p>
        </w:tc>
        <w:tc>
          <w:tcPr>
            <w:tcW w:w="2970" w:type="pct"/>
          </w:tcPr>
          <w:p w:rsidR="000A2C94" w:rsidRPr="002749B6" w:rsidRDefault="000A2C94" w:rsidP="000A2C94">
            <w:pPr>
              <w:pStyle w:val="TableTextEntries"/>
            </w:pPr>
            <w:r>
              <w:t xml:space="preserve">Year 4 literacy and numeracy test developed, ready for </w:t>
            </w:r>
            <w:r w:rsidRPr="00AB6CAB">
              <w:rPr>
                <w:i/>
              </w:rPr>
              <w:t>examination</w:t>
            </w:r>
            <w:r>
              <w:t xml:space="preserve"> of children in September 2015 across Vanuatu</w:t>
            </w:r>
          </w:p>
        </w:tc>
      </w:tr>
      <w:tr w:rsidR="000A2C94" w:rsidRPr="004F7D80" w:rsidTr="00642F43">
        <w:tc>
          <w:tcPr>
            <w:tcW w:w="780" w:type="pct"/>
            <w:tcMar>
              <w:top w:w="57" w:type="dxa"/>
              <w:bottom w:w="57" w:type="dxa"/>
            </w:tcMar>
          </w:tcPr>
          <w:p w:rsidR="000A2C94" w:rsidRPr="002749B6" w:rsidRDefault="000A2C94" w:rsidP="000A2C94">
            <w:pPr>
              <w:pStyle w:val="TableTextEntries"/>
            </w:pPr>
            <w:r>
              <w:t>Strengthen health services</w:t>
            </w:r>
          </w:p>
        </w:tc>
        <w:tc>
          <w:tcPr>
            <w:tcW w:w="780" w:type="pct"/>
          </w:tcPr>
          <w:p w:rsidR="000A2C94" w:rsidRPr="002749B6" w:rsidRDefault="000A2C94" w:rsidP="000A2C94">
            <w:pPr>
              <w:pStyle w:val="TableTextEntries"/>
            </w:pPr>
            <w:r>
              <w:t>30 nurses and midwives trained</w:t>
            </w:r>
          </w:p>
        </w:tc>
        <w:tc>
          <w:tcPr>
            <w:tcW w:w="470" w:type="pct"/>
            <w:shd w:val="clear" w:color="auto" w:fill="FFC000"/>
          </w:tcPr>
          <w:p w:rsidR="000A2C94" w:rsidRPr="00AB6CAB" w:rsidRDefault="00E42278" w:rsidP="000A2C94">
            <w:pPr>
              <w:pStyle w:val="TableTextEntries"/>
              <w:jc w:val="center"/>
            </w:pPr>
            <w:r>
              <w:t xml:space="preserve">Partially </w:t>
            </w:r>
            <w:r w:rsidR="000A2C94" w:rsidRPr="00AB6CAB">
              <w:t>Achieved</w:t>
            </w:r>
          </w:p>
        </w:tc>
        <w:tc>
          <w:tcPr>
            <w:tcW w:w="2970" w:type="pct"/>
          </w:tcPr>
          <w:p w:rsidR="000A2C94" w:rsidRPr="00B81D0B" w:rsidRDefault="000A2C94" w:rsidP="00E350C9">
            <w:pPr>
              <w:rPr>
                <w:rFonts w:ascii="Franklin Gothic Book" w:eastAsia="Times New Roman" w:hAnsi="Franklin Gothic Book"/>
                <w:iCs/>
                <w:sz w:val="17"/>
                <w:szCs w:val="17"/>
                <w:lang w:eastAsia="en-US"/>
              </w:rPr>
            </w:pPr>
            <w:r w:rsidRPr="00B81D0B">
              <w:rPr>
                <w:rFonts w:ascii="Franklin Gothic Book" w:eastAsia="Times New Roman" w:hAnsi="Franklin Gothic Book"/>
                <w:iCs/>
                <w:sz w:val="17"/>
                <w:szCs w:val="17"/>
                <w:lang w:eastAsia="en-US"/>
              </w:rPr>
              <w:t>25 nurses were trained in 2014. No midwives were trained</w:t>
            </w:r>
            <w:r w:rsidR="005B52C8">
              <w:rPr>
                <w:rFonts w:ascii="Franklin Gothic Book" w:eastAsia="Times New Roman" w:hAnsi="Franklin Gothic Book"/>
                <w:iCs/>
                <w:sz w:val="17"/>
                <w:szCs w:val="17"/>
                <w:lang w:eastAsia="en-US"/>
              </w:rPr>
              <w:t xml:space="preserve"> in 2015</w:t>
            </w:r>
            <w:r w:rsidRPr="00B81D0B">
              <w:rPr>
                <w:rFonts w:ascii="Franklin Gothic Book" w:eastAsia="Times New Roman" w:hAnsi="Franklin Gothic Book"/>
                <w:iCs/>
                <w:sz w:val="17"/>
                <w:szCs w:val="17"/>
                <w:lang w:eastAsia="en-US"/>
              </w:rPr>
              <w:t xml:space="preserve"> due to </w:t>
            </w:r>
            <w:r w:rsidR="00E350C9">
              <w:rPr>
                <w:rFonts w:ascii="Franklin Gothic Book" w:eastAsia="Times New Roman" w:hAnsi="Franklin Gothic Book"/>
                <w:iCs/>
                <w:sz w:val="17"/>
                <w:szCs w:val="17"/>
                <w:lang w:eastAsia="en-US"/>
              </w:rPr>
              <w:t>challenges</w:t>
            </w:r>
            <w:r w:rsidRPr="00B81D0B">
              <w:rPr>
                <w:rFonts w:ascii="Franklin Gothic Book" w:eastAsia="Times New Roman" w:hAnsi="Franklin Gothic Book"/>
                <w:iCs/>
                <w:sz w:val="17"/>
                <w:szCs w:val="17"/>
                <w:lang w:eastAsia="en-US"/>
              </w:rPr>
              <w:t xml:space="preserve"> getting the Midwifery Training curriculum in place. Midwifery training will start in January 2016.</w:t>
            </w:r>
          </w:p>
        </w:tc>
      </w:tr>
      <w:tr w:rsidR="000A2C94" w:rsidRPr="004F7D80" w:rsidTr="000A2C94">
        <w:tc>
          <w:tcPr>
            <w:tcW w:w="780" w:type="pct"/>
            <w:tcMar>
              <w:top w:w="57" w:type="dxa"/>
              <w:bottom w:w="57" w:type="dxa"/>
            </w:tcMar>
          </w:tcPr>
          <w:p w:rsidR="000A2C94" w:rsidRPr="002749B6" w:rsidRDefault="000A2C94" w:rsidP="000A2C94">
            <w:pPr>
              <w:pStyle w:val="TableTextEntries"/>
            </w:pPr>
            <w:r>
              <w:t>More effective legal institutions and improved police services</w:t>
            </w:r>
          </w:p>
        </w:tc>
        <w:tc>
          <w:tcPr>
            <w:tcW w:w="780" w:type="pct"/>
          </w:tcPr>
          <w:p w:rsidR="000A2C94" w:rsidRPr="002749B6" w:rsidRDefault="000A2C94" w:rsidP="000A2C94">
            <w:pPr>
              <w:pStyle w:val="TableTextEntries"/>
            </w:pPr>
            <w:r>
              <w:t>4,000 women provided counselling and legal support</w:t>
            </w:r>
          </w:p>
        </w:tc>
        <w:tc>
          <w:tcPr>
            <w:tcW w:w="470" w:type="pct"/>
            <w:shd w:val="clear" w:color="auto" w:fill="00B050"/>
          </w:tcPr>
          <w:p w:rsidR="000A2C94" w:rsidRPr="00443639" w:rsidRDefault="000A2C94" w:rsidP="000A2C94">
            <w:pPr>
              <w:pStyle w:val="TableTextEntries"/>
              <w:jc w:val="center"/>
              <w:rPr>
                <w:color w:val="FFFFFF" w:themeColor="background1"/>
              </w:rPr>
            </w:pPr>
            <w:r w:rsidRPr="006222AB">
              <w:t>Achieved</w:t>
            </w:r>
          </w:p>
        </w:tc>
        <w:tc>
          <w:tcPr>
            <w:tcW w:w="2970" w:type="pct"/>
          </w:tcPr>
          <w:p w:rsidR="000A2C94" w:rsidRPr="002749B6" w:rsidRDefault="000A2C94" w:rsidP="000A2C94">
            <w:pPr>
              <w:pStyle w:val="TableTextEntries"/>
            </w:pPr>
            <w:r>
              <w:t>4,685 women were provided counselling and legal support. This also includes women assisted with Family Protection Orders, legal assistance, and safe housing.</w:t>
            </w:r>
          </w:p>
        </w:tc>
      </w:tr>
    </w:tbl>
    <w:p w:rsidR="00416B02" w:rsidRPr="00FE4491" w:rsidRDefault="00416B02" w:rsidP="00582C22">
      <w:pPr>
        <w:pStyle w:val="Note"/>
      </w:pPr>
      <w:r w:rsidRPr="00FE4491">
        <w:t xml:space="preserve">Note: </w:t>
      </w:r>
    </w:p>
    <w:p w:rsidR="00416B02" w:rsidRPr="00671434" w:rsidRDefault="00416B02" w:rsidP="00582C22">
      <w:pPr>
        <w:pStyle w:val="Note"/>
      </w:pPr>
      <w:r w:rsidRPr="0075352D">
        <w:rPr>
          <w:color w:val="72AF2F"/>
        </w:rPr>
        <w:sym w:font="Webdings" w:char="F067"/>
      </w:r>
      <w:r w:rsidRPr="00FE4491">
        <w:t> </w:t>
      </w:r>
      <w:r w:rsidRPr="00FE4491">
        <w:t xml:space="preserve"> </w:t>
      </w:r>
      <w:proofErr w:type="gramStart"/>
      <w:r w:rsidRPr="00EA3BAD">
        <w:t>Achieved.</w:t>
      </w:r>
      <w:proofErr w:type="gramEnd"/>
      <w:r w:rsidRPr="00706D30">
        <w:t xml:space="preserve">  Significant progress has been made </w:t>
      </w:r>
      <w:r>
        <w:t xml:space="preserve">and the performance benchmark was achieved </w:t>
      </w:r>
    </w:p>
    <w:p w:rsidR="00416B02" w:rsidRPr="00EA3BAD" w:rsidRDefault="00416B02" w:rsidP="00582C22">
      <w:pPr>
        <w:pStyle w:val="Note"/>
      </w:pPr>
      <w:r w:rsidRPr="00EA3BAD">
        <w:rPr>
          <w:color w:val="E36C0A"/>
        </w:rPr>
        <w:sym w:font="Webdings" w:char="F067"/>
      </w:r>
      <w:r w:rsidRPr="00EA3BAD">
        <w:t> </w:t>
      </w:r>
      <w:r w:rsidRPr="00EA3BAD">
        <w:t xml:space="preserve"> </w:t>
      </w:r>
      <w:proofErr w:type="gramStart"/>
      <w:r w:rsidRPr="00EA3BAD">
        <w:t>Partly achieved.</w:t>
      </w:r>
      <w:proofErr w:type="gramEnd"/>
      <w:r w:rsidRPr="00EA3BAD">
        <w:t xml:space="preserve">  </w:t>
      </w:r>
      <w:r>
        <w:t>Some pr</w:t>
      </w:r>
      <w:r w:rsidRPr="00EA3BAD">
        <w:t xml:space="preserve">ogress </w:t>
      </w:r>
      <w:r>
        <w:t xml:space="preserve">has been made towards achieving the performance benchmark, but progress was less than anticipated. </w:t>
      </w:r>
    </w:p>
    <w:p w:rsidR="00416B02" w:rsidRDefault="00416B02" w:rsidP="00582C22">
      <w:pPr>
        <w:pStyle w:val="Note"/>
      </w:pPr>
      <w:r w:rsidRPr="00EA3BAD">
        <w:rPr>
          <w:color w:val="FF0000"/>
        </w:rPr>
        <w:sym w:font="Webdings" w:char="F067"/>
      </w:r>
      <w:r w:rsidRPr="00EA3BAD">
        <w:t> </w:t>
      </w:r>
      <w:r w:rsidRPr="00EA3BAD">
        <w:t xml:space="preserve"> Not achieved. Progress </w:t>
      </w:r>
      <w:r>
        <w:t xml:space="preserve">towards the performance benchmark </w:t>
      </w:r>
      <w:r w:rsidRPr="00EA3BAD">
        <w:t>has been significantly below expectations</w:t>
      </w:r>
    </w:p>
    <w:p w:rsidR="00416B02" w:rsidRDefault="00416B02" w:rsidP="00416B02">
      <w:pPr>
        <w:pStyle w:val="BodyText"/>
      </w:pPr>
    </w:p>
    <w:p w:rsidR="00416B02" w:rsidRDefault="00416B02" w:rsidP="00416B02">
      <w:pPr>
        <w:spacing w:after="200" w:line="276" w:lineRule="auto"/>
      </w:pPr>
      <w:r>
        <w:br w:type="page"/>
      </w:r>
    </w:p>
    <w:p w:rsidR="00416B02" w:rsidRPr="00416B02" w:rsidRDefault="00416B02" w:rsidP="00416B02">
      <w:pPr>
        <w:pStyle w:val="BodyText"/>
        <w:sectPr w:rsidR="00416B02" w:rsidRPr="00416B02" w:rsidSect="003A477B">
          <w:headerReference w:type="even" r:id="rId18"/>
          <w:footerReference w:type="first" r:id="rId19"/>
          <w:footnotePr>
            <w:numRestart w:val="eachPage"/>
          </w:footnotePr>
          <w:pgSz w:w="16838" w:h="11906" w:orient="landscape" w:code="9"/>
          <w:pgMar w:top="1814" w:right="1814" w:bottom="851" w:left="851" w:header="709" w:footer="425" w:gutter="0"/>
          <w:cols w:space="708"/>
          <w:titlePg/>
          <w:docGrid w:linePitch="360"/>
        </w:sectPr>
      </w:pPr>
    </w:p>
    <w:bookmarkEnd w:id="2"/>
    <w:p w:rsidR="00416B02" w:rsidRPr="009E38C1" w:rsidRDefault="005C310A" w:rsidP="00416B02">
      <w:pPr>
        <w:pStyle w:val="Heading2"/>
        <w:rPr>
          <w:sz w:val="28"/>
        </w:rPr>
      </w:pPr>
      <w:r w:rsidRPr="001B0F01">
        <w:rPr>
          <w:sz w:val="28"/>
        </w:rPr>
        <w:lastRenderedPageBreak/>
        <w:t>Annex C</w:t>
      </w:r>
      <w:r w:rsidR="0057490F" w:rsidRPr="001B0F01">
        <w:rPr>
          <w:sz w:val="28"/>
        </w:rPr>
        <w:t xml:space="preserve"> - </w:t>
      </w:r>
      <w:r w:rsidR="00416B02" w:rsidRPr="001B0F01">
        <w:rPr>
          <w:sz w:val="28"/>
        </w:rPr>
        <w:t>Evaluation and Review Pipeline Planning</w:t>
      </w:r>
    </w:p>
    <w:p w:rsidR="00416B02" w:rsidRPr="00500954" w:rsidRDefault="00416B02" w:rsidP="00416B02">
      <w:pPr>
        <w:pStyle w:val="ListBullet"/>
        <w:tabs>
          <w:tab w:val="clear" w:pos="284"/>
        </w:tabs>
      </w:pPr>
      <w:r w:rsidRPr="00500954">
        <w:t xml:space="preserve">List all evaluations </w:t>
      </w:r>
      <w:r>
        <w:t xml:space="preserve">and reviews </w:t>
      </w:r>
      <w:r w:rsidRPr="00500954">
        <w:t xml:space="preserve">completed in the reporting period.  </w:t>
      </w:r>
    </w:p>
    <w:p w:rsidR="008E2501" w:rsidRDefault="008E2501" w:rsidP="00416B02">
      <w:pPr>
        <w:pStyle w:val="Heading3"/>
      </w:pPr>
    </w:p>
    <w:p w:rsidR="00416B02" w:rsidRPr="00071B95" w:rsidRDefault="00416B02" w:rsidP="00416B02">
      <w:pPr>
        <w:pStyle w:val="Heading3"/>
      </w:pPr>
      <w:r w:rsidRPr="00071B95">
        <w:t xml:space="preserve">List of </w:t>
      </w:r>
      <w:r>
        <w:t>e</w:t>
      </w:r>
      <w:r w:rsidRPr="00071B95">
        <w:t>valuations completed</w:t>
      </w:r>
      <w:r>
        <w:t xml:space="preserve"> </w:t>
      </w:r>
      <w:r w:rsidRPr="00071B95">
        <w:t xml:space="preserve">in the reporting period </w:t>
      </w:r>
    </w:p>
    <w:tbl>
      <w:tblPr>
        <w:tblStyle w:val="APPR"/>
        <w:tblW w:w="0" w:type="auto"/>
        <w:tblLook w:val="04A0" w:firstRow="1" w:lastRow="0" w:firstColumn="1" w:lastColumn="0" w:noHBand="0" w:noVBand="1"/>
      </w:tblPr>
      <w:tblGrid>
        <w:gridCol w:w="1944"/>
        <w:gridCol w:w="1961"/>
        <w:gridCol w:w="2059"/>
        <w:gridCol w:w="1967"/>
        <w:gridCol w:w="1949"/>
        <w:gridCol w:w="1771"/>
        <w:gridCol w:w="1545"/>
      </w:tblGrid>
      <w:tr w:rsidR="00416B02" w:rsidRPr="00071B95" w:rsidTr="00E15678">
        <w:trPr>
          <w:cnfStyle w:val="100000000000" w:firstRow="1" w:lastRow="0" w:firstColumn="0" w:lastColumn="0" w:oddVBand="0" w:evenVBand="0" w:oddHBand="0" w:evenHBand="0" w:firstRowFirstColumn="0" w:firstRowLastColumn="0" w:lastRowFirstColumn="0" w:lastRowLastColumn="0"/>
        </w:trPr>
        <w:tc>
          <w:tcPr>
            <w:tcW w:w="1902" w:type="dxa"/>
          </w:tcPr>
          <w:p w:rsidR="00416B02" w:rsidRPr="00071B95" w:rsidRDefault="00416B02" w:rsidP="00E15678">
            <w:pPr>
              <w:pStyle w:val="TableTextColumnHeading"/>
              <w:rPr>
                <w:b/>
              </w:rPr>
            </w:pPr>
            <w:r w:rsidRPr="00071B95">
              <w:rPr>
                <w:b/>
              </w:rPr>
              <w:t xml:space="preserve">Name of </w:t>
            </w:r>
            <w:r>
              <w:rPr>
                <w:b/>
              </w:rPr>
              <w:t>Investment</w:t>
            </w:r>
          </w:p>
        </w:tc>
        <w:tc>
          <w:tcPr>
            <w:tcW w:w="1933" w:type="dxa"/>
          </w:tcPr>
          <w:p w:rsidR="00416B02" w:rsidRPr="00071B95" w:rsidRDefault="00136CC1" w:rsidP="00E15678">
            <w:pPr>
              <w:pStyle w:val="TableTextColumnHeading"/>
              <w:rPr>
                <w:b/>
              </w:rPr>
            </w:pPr>
            <w:proofErr w:type="spellStart"/>
            <w:r>
              <w:rPr>
                <w:b/>
              </w:rPr>
              <w:t>AidW</w:t>
            </w:r>
            <w:r w:rsidRPr="00071B95">
              <w:rPr>
                <w:b/>
              </w:rPr>
              <w:t>orks</w:t>
            </w:r>
            <w:proofErr w:type="spellEnd"/>
            <w:r w:rsidR="00416B02" w:rsidRPr="00071B95">
              <w:rPr>
                <w:b/>
              </w:rPr>
              <w:t xml:space="preserve"> number</w:t>
            </w:r>
          </w:p>
        </w:tc>
        <w:tc>
          <w:tcPr>
            <w:tcW w:w="2031" w:type="dxa"/>
          </w:tcPr>
          <w:p w:rsidR="00416B02" w:rsidRPr="00071B95" w:rsidRDefault="00416B02" w:rsidP="00E15678">
            <w:pPr>
              <w:pStyle w:val="TableTextColumnHeading"/>
              <w:rPr>
                <w:b/>
              </w:rPr>
            </w:pPr>
            <w:r>
              <w:rPr>
                <w:b/>
              </w:rPr>
              <w:t>Name of evaluation</w:t>
            </w:r>
          </w:p>
        </w:tc>
        <w:tc>
          <w:tcPr>
            <w:tcW w:w="1939" w:type="dxa"/>
          </w:tcPr>
          <w:p w:rsidR="00416B02" w:rsidRPr="00071B95" w:rsidRDefault="00416B02" w:rsidP="00E15678">
            <w:pPr>
              <w:pStyle w:val="TableTextColumnHeading"/>
              <w:rPr>
                <w:b/>
              </w:rPr>
            </w:pPr>
            <w:r w:rsidRPr="00071B95">
              <w:rPr>
                <w:b/>
              </w:rPr>
              <w:t xml:space="preserve">Date </w:t>
            </w:r>
            <w:r>
              <w:rPr>
                <w:b/>
              </w:rPr>
              <w:t>finalised</w:t>
            </w:r>
          </w:p>
        </w:tc>
        <w:tc>
          <w:tcPr>
            <w:tcW w:w="1921" w:type="dxa"/>
          </w:tcPr>
          <w:p w:rsidR="00416B02" w:rsidRPr="00071B95" w:rsidRDefault="00416B02" w:rsidP="00E15678">
            <w:pPr>
              <w:pStyle w:val="TableTextColumnHeading"/>
              <w:rPr>
                <w:b/>
              </w:rPr>
            </w:pPr>
            <w:r w:rsidRPr="00071B95">
              <w:rPr>
                <w:b/>
              </w:rPr>
              <w:t xml:space="preserve">Date Evaluation report Uploaded into </w:t>
            </w:r>
            <w:proofErr w:type="spellStart"/>
            <w:r w:rsidR="00136CC1">
              <w:rPr>
                <w:b/>
              </w:rPr>
              <w:t>AidW</w:t>
            </w:r>
            <w:r w:rsidR="00136CC1" w:rsidRPr="00071B95">
              <w:rPr>
                <w:b/>
              </w:rPr>
              <w:t>orks</w:t>
            </w:r>
            <w:proofErr w:type="spellEnd"/>
          </w:p>
        </w:tc>
        <w:tc>
          <w:tcPr>
            <w:tcW w:w="1743" w:type="dxa"/>
          </w:tcPr>
          <w:p w:rsidR="00416B02" w:rsidRPr="00071B95" w:rsidRDefault="00416B02" w:rsidP="00E15678">
            <w:pPr>
              <w:pStyle w:val="TableTextColumnHeading"/>
              <w:rPr>
                <w:b/>
              </w:rPr>
            </w:pPr>
            <w:r w:rsidRPr="00071B95">
              <w:rPr>
                <w:b/>
              </w:rPr>
              <w:t xml:space="preserve">Date Management response uploaded into </w:t>
            </w:r>
            <w:proofErr w:type="spellStart"/>
            <w:r w:rsidR="00136CC1">
              <w:rPr>
                <w:b/>
              </w:rPr>
              <w:t>AidW</w:t>
            </w:r>
            <w:r w:rsidR="00136CC1" w:rsidRPr="00071B95">
              <w:rPr>
                <w:b/>
              </w:rPr>
              <w:t>orks</w:t>
            </w:r>
            <w:proofErr w:type="spellEnd"/>
          </w:p>
        </w:tc>
        <w:tc>
          <w:tcPr>
            <w:tcW w:w="1503" w:type="dxa"/>
          </w:tcPr>
          <w:p w:rsidR="00416B02" w:rsidRPr="00071B95" w:rsidRDefault="00416B02" w:rsidP="00E15678">
            <w:pPr>
              <w:pStyle w:val="TableTextColumnHeading"/>
              <w:rPr>
                <w:b/>
              </w:rPr>
            </w:pPr>
            <w:r w:rsidRPr="00071B95">
              <w:rPr>
                <w:b/>
              </w:rPr>
              <w:t>Published on website</w:t>
            </w:r>
          </w:p>
        </w:tc>
      </w:tr>
      <w:tr w:rsidR="001B0F01" w:rsidRPr="00071B95" w:rsidTr="00A3355A">
        <w:trPr>
          <w:cnfStyle w:val="100000000000" w:firstRow="1" w:lastRow="0" w:firstColumn="0" w:lastColumn="0" w:oddVBand="0" w:evenVBand="0" w:oddHBand="0" w:evenHBand="0" w:firstRowFirstColumn="0" w:firstRowLastColumn="0" w:lastRowFirstColumn="0" w:lastRowLastColumn="0"/>
        </w:trPr>
        <w:tc>
          <w:tcPr>
            <w:tcW w:w="1902" w:type="dxa"/>
          </w:tcPr>
          <w:p w:rsidR="001B0F01" w:rsidRPr="0012194B" w:rsidRDefault="001B0F01" w:rsidP="00A3355A">
            <w:pPr>
              <w:pStyle w:val="TableTextEntries"/>
              <w:spacing w:before="120" w:after="120"/>
              <w:rPr>
                <w:b w:val="0"/>
              </w:rPr>
            </w:pPr>
            <w:r w:rsidRPr="0012194B">
              <w:rPr>
                <w:b w:val="0"/>
              </w:rPr>
              <w:t>Vanuatu Health Sector Support 2010-2018</w:t>
            </w:r>
          </w:p>
        </w:tc>
        <w:tc>
          <w:tcPr>
            <w:tcW w:w="1933" w:type="dxa"/>
          </w:tcPr>
          <w:p w:rsidR="001B0F01" w:rsidRPr="0012194B" w:rsidRDefault="001B0F01" w:rsidP="00A3355A">
            <w:pPr>
              <w:pStyle w:val="TableTextEntries"/>
              <w:rPr>
                <w:b w:val="0"/>
              </w:rPr>
            </w:pPr>
            <w:r w:rsidRPr="0012194B">
              <w:rPr>
                <w:b w:val="0"/>
              </w:rPr>
              <w:t>INJ438</w:t>
            </w:r>
          </w:p>
        </w:tc>
        <w:tc>
          <w:tcPr>
            <w:tcW w:w="2031" w:type="dxa"/>
          </w:tcPr>
          <w:p w:rsidR="001B0F01" w:rsidRPr="0012194B" w:rsidRDefault="001B0F01" w:rsidP="00A3355A">
            <w:pPr>
              <w:pStyle w:val="TableTextEntries"/>
              <w:rPr>
                <w:b w:val="0"/>
              </w:rPr>
            </w:pPr>
            <w:r w:rsidRPr="0012194B">
              <w:rPr>
                <w:b w:val="0"/>
              </w:rPr>
              <w:t>Vanuatu Health Portfolio Review</w:t>
            </w:r>
          </w:p>
        </w:tc>
        <w:tc>
          <w:tcPr>
            <w:tcW w:w="1939" w:type="dxa"/>
          </w:tcPr>
          <w:p w:rsidR="001B0F01" w:rsidRPr="0012194B" w:rsidRDefault="001B0F01" w:rsidP="00A3355A">
            <w:pPr>
              <w:pStyle w:val="TableTextEntries"/>
              <w:rPr>
                <w:b w:val="0"/>
              </w:rPr>
            </w:pPr>
            <w:r w:rsidRPr="0012194B">
              <w:rPr>
                <w:b w:val="0"/>
              </w:rPr>
              <w:t>17 April 2015</w:t>
            </w:r>
          </w:p>
        </w:tc>
        <w:tc>
          <w:tcPr>
            <w:tcW w:w="1921" w:type="dxa"/>
          </w:tcPr>
          <w:p w:rsidR="001B0F01" w:rsidRPr="0012194B" w:rsidRDefault="001B0F01" w:rsidP="00A3355A">
            <w:pPr>
              <w:pStyle w:val="TableTextEntries"/>
              <w:rPr>
                <w:b w:val="0"/>
              </w:rPr>
            </w:pPr>
            <w:r w:rsidRPr="0012194B">
              <w:rPr>
                <w:b w:val="0"/>
              </w:rPr>
              <w:t>4 August 2015</w:t>
            </w:r>
          </w:p>
        </w:tc>
        <w:tc>
          <w:tcPr>
            <w:tcW w:w="1743" w:type="dxa"/>
          </w:tcPr>
          <w:p w:rsidR="001B0F01" w:rsidRPr="0012194B" w:rsidRDefault="001B0F01" w:rsidP="00A3355A">
            <w:pPr>
              <w:pStyle w:val="TableTextEntries"/>
              <w:rPr>
                <w:b w:val="0"/>
              </w:rPr>
            </w:pPr>
            <w:r w:rsidRPr="0012194B">
              <w:rPr>
                <w:b w:val="0"/>
              </w:rPr>
              <w:t>15 September 2015</w:t>
            </w:r>
          </w:p>
        </w:tc>
        <w:tc>
          <w:tcPr>
            <w:tcW w:w="1503" w:type="dxa"/>
          </w:tcPr>
          <w:p w:rsidR="001B0F01" w:rsidRPr="00BC329A" w:rsidRDefault="001B0F01" w:rsidP="00A3355A">
            <w:pPr>
              <w:pStyle w:val="TableTextEntries"/>
              <w:rPr>
                <w:b w:val="0"/>
              </w:rPr>
            </w:pPr>
            <w:r w:rsidRPr="00BC329A">
              <w:rPr>
                <w:b w:val="0"/>
              </w:rPr>
              <w:t>Planned for Oct 2015</w:t>
            </w:r>
          </w:p>
        </w:tc>
      </w:tr>
      <w:tr w:rsidR="001B0F01" w:rsidRPr="00071B95" w:rsidTr="00A3355A">
        <w:trPr>
          <w:cnfStyle w:val="100000000000" w:firstRow="1" w:lastRow="0" w:firstColumn="0" w:lastColumn="0" w:oddVBand="0" w:evenVBand="0" w:oddHBand="0" w:evenHBand="0" w:firstRowFirstColumn="0" w:firstRowLastColumn="0" w:lastRowFirstColumn="0" w:lastRowLastColumn="0"/>
        </w:trPr>
        <w:tc>
          <w:tcPr>
            <w:tcW w:w="1902" w:type="dxa"/>
          </w:tcPr>
          <w:p w:rsidR="001B0F01" w:rsidRPr="00BC329A" w:rsidRDefault="001B0F01" w:rsidP="00A3355A">
            <w:pPr>
              <w:pStyle w:val="TableTextEntries"/>
              <w:spacing w:before="120" w:after="120"/>
              <w:rPr>
                <w:b w:val="0"/>
              </w:rPr>
            </w:pPr>
            <w:r w:rsidRPr="00BC329A">
              <w:rPr>
                <w:b w:val="0"/>
              </w:rPr>
              <w:t>TVET</w:t>
            </w:r>
            <w:r>
              <w:rPr>
                <w:b w:val="0"/>
              </w:rPr>
              <w:t xml:space="preserve"> Sector </w:t>
            </w:r>
            <w:r w:rsidR="001B2A0A">
              <w:rPr>
                <w:b w:val="0"/>
              </w:rPr>
              <w:t>Strengthening</w:t>
            </w:r>
            <w:r>
              <w:rPr>
                <w:b w:val="0"/>
              </w:rPr>
              <w:t xml:space="preserve"> Program</w:t>
            </w:r>
          </w:p>
        </w:tc>
        <w:tc>
          <w:tcPr>
            <w:tcW w:w="1933" w:type="dxa"/>
          </w:tcPr>
          <w:p w:rsidR="001B0F01" w:rsidRPr="00BC329A" w:rsidRDefault="001B0F01" w:rsidP="00A3355A">
            <w:pPr>
              <w:pStyle w:val="TableTextEntries"/>
              <w:rPr>
                <w:b w:val="0"/>
                <w:i/>
              </w:rPr>
            </w:pPr>
            <w:r w:rsidRPr="00BC329A">
              <w:rPr>
                <w:b w:val="0"/>
                <w:i/>
              </w:rPr>
              <w:t>INK310</w:t>
            </w:r>
          </w:p>
        </w:tc>
        <w:tc>
          <w:tcPr>
            <w:tcW w:w="2031" w:type="dxa"/>
          </w:tcPr>
          <w:p w:rsidR="001B0F01" w:rsidRPr="00BC329A" w:rsidRDefault="001B0F01" w:rsidP="00A3355A">
            <w:pPr>
              <w:pStyle w:val="TableTextEntries"/>
              <w:rPr>
                <w:b w:val="0"/>
              </w:rPr>
            </w:pPr>
            <w:r w:rsidRPr="00BC329A">
              <w:rPr>
                <w:b w:val="0"/>
              </w:rPr>
              <w:t xml:space="preserve">Independent evaluation of the TVET Sector </w:t>
            </w:r>
            <w:r w:rsidR="001B2A0A" w:rsidRPr="00BC329A">
              <w:rPr>
                <w:b w:val="0"/>
              </w:rPr>
              <w:t>Strengthening</w:t>
            </w:r>
            <w:r w:rsidRPr="00BC329A">
              <w:rPr>
                <w:b w:val="0"/>
              </w:rPr>
              <w:t xml:space="preserve"> Program</w:t>
            </w:r>
          </w:p>
        </w:tc>
        <w:tc>
          <w:tcPr>
            <w:tcW w:w="1939" w:type="dxa"/>
          </w:tcPr>
          <w:p w:rsidR="001B0F01" w:rsidRPr="00BC329A" w:rsidRDefault="001B0F01" w:rsidP="00A3355A">
            <w:pPr>
              <w:pStyle w:val="TableTextEntries"/>
              <w:rPr>
                <w:b w:val="0"/>
              </w:rPr>
            </w:pPr>
            <w:r w:rsidRPr="00BC329A">
              <w:rPr>
                <w:b w:val="0"/>
              </w:rPr>
              <w:t>30 June 2015</w:t>
            </w:r>
          </w:p>
        </w:tc>
        <w:tc>
          <w:tcPr>
            <w:tcW w:w="1921" w:type="dxa"/>
          </w:tcPr>
          <w:p w:rsidR="001B0F01" w:rsidRPr="00BC329A" w:rsidRDefault="001B0F01" w:rsidP="00A3355A">
            <w:pPr>
              <w:pStyle w:val="TableTextEntries"/>
            </w:pPr>
            <w:proofErr w:type="spellStart"/>
            <w:r w:rsidRPr="00BC329A">
              <w:t>tbc</w:t>
            </w:r>
            <w:proofErr w:type="spellEnd"/>
          </w:p>
        </w:tc>
        <w:tc>
          <w:tcPr>
            <w:tcW w:w="1743" w:type="dxa"/>
          </w:tcPr>
          <w:p w:rsidR="001B0F01" w:rsidRPr="00BC329A" w:rsidRDefault="001B0F01" w:rsidP="00A3355A">
            <w:pPr>
              <w:pStyle w:val="TableTextEntries"/>
              <w:rPr>
                <w:b w:val="0"/>
              </w:rPr>
            </w:pPr>
            <w:r w:rsidRPr="00BC329A">
              <w:rPr>
                <w:b w:val="0"/>
              </w:rPr>
              <w:t>Not yet completed</w:t>
            </w:r>
          </w:p>
        </w:tc>
        <w:tc>
          <w:tcPr>
            <w:tcW w:w="1503" w:type="dxa"/>
          </w:tcPr>
          <w:p w:rsidR="001B0F01" w:rsidRPr="00BC329A" w:rsidRDefault="001B0F01" w:rsidP="00A3355A">
            <w:pPr>
              <w:pStyle w:val="TableTextEntries"/>
              <w:rPr>
                <w:b w:val="0"/>
              </w:rPr>
            </w:pPr>
            <w:r w:rsidRPr="00BC329A">
              <w:rPr>
                <w:b w:val="0"/>
              </w:rPr>
              <w:t>Planned for Oct 2015</w:t>
            </w:r>
          </w:p>
        </w:tc>
      </w:tr>
    </w:tbl>
    <w:p w:rsidR="00416B02" w:rsidRPr="00071B95" w:rsidRDefault="008E2501" w:rsidP="00416B02">
      <w:pPr>
        <w:pStyle w:val="Heading3"/>
      </w:pPr>
      <w:r>
        <w:br/>
      </w:r>
      <w:r>
        <w:br/>
      </w:r>
      <w:r>
        <w:br/>
      </w:r>
      <w:r w:rsidR="00416B02" w:rsidRPr="00071B95">
        <w:t xml:space="preserve">List of evaluations planned in the next 12 months </w:t>
      </w:r>
    </w:p>
    <w:p w:rsidR="00416B02" w:rsidRDefault="00416B02" w:rsidP="00416B02">
      <w:pPr>
        <w:pStyle w:val="TableTextColumnHeading"/>
        <w:sectPr w:rsidR="00416B02" w:rsidSect="00CD061B">
          <w:headerReference w:type="even" r:id="rId20"/>
          <w:footerReference w:type="first" r:id="rId21"/>
          <w:pgSz w:w="16838" w:h="11906" w:orient="landscape" w:code="9"/>
          <w:pgMar w:top="1814" w:right="1814" w:bottom="851" w:left="851" w:header="709" w:footer="425" w:gutter="0"/>
          <w:cols w:space="708"/>
          <w:docGrid w:linePitch="360"/>
        </w:sectPr>
      </w:pPr>
    </w:p>
    <w:tbl>
      <w:tblPr>
        <w:tblStyle w:val="APPR"/>
        <w:tblW w:w="0" w:type="auto"/>
        <w:tblLook w:val="0600" w:firstRow="0" w:lastRow="0" w:firstColumn="0" w:lastColumn="0" w:noHBand="1" w:noVBand="1"/>
      </w:tblPr>
      <w:tblGrid>
        <w:gridCol w:w="2643"/>
        <w:gridCol w:w="2558"/>
        <w:gridCol w:w="2640"/>
        <w:gridCol w:w="2640"/>
        <w:gridCol w:w="2659"/>
      </w:tblGrid>
      <w:tr w:rsidR="00416B02" w:rsidRPr="00071B95" w:rsidTr="00E15678">
        <w:tc>
          <w:tcPr>
            <w:tcW w:w="2601" w:type="dxa"/>
          </w:tcPr>
          <w:p w:rsidR="00416B02" w:rsidRPr="00071B95" w:rsidRDefault="00416B02" w:rsidP="00E15678">
            <w:pPr>
              <w:pStyle w:val="TableTextColumnHeading"/>
            </w:pPr>
            <w:r w:rsidRPr="00071B95">
              <w:lastRenderedPageBreak/>
              <w:t xml:space="preserve">Name of </w:t>
            </w:r>
            <w:r>
              <w:t>Investment</w:t>
            </w:r>
          </w:p>
        </w:tc>
        <w:tc>
          <w:tcPr>
            <w:tcW w:w="2530" w:type="dxa"/>
          </w:tcPr>
          <w:p w:rsidR="00416B02" w:rsidRPr="00071B95" w:rsidRDefault="00136CC1" w:rsidP="00E15678">
            <w:pPr>
              <w:pStyle w:val="TableTextColumnHeading"/>
            </w:pPr>
            <w:proofErr w:type="spellStart"/>
            <w:r>
              <w:t>AidW</w:t>
            </w:r>
            <w:r w:rsidRPr="00071B95">
              <w:t>orks</w:t>
            </w:r>
            <w:proofErr w:type="spellEnd"/>
            <w:r w:rsidR="00416B02" w:rsidRPr="00071B95">
              <w:t xml:space="preserve"> number</w:t>
            </w:r>
          </w:p>
        </w:tc>
        <w:tc>
          <w:tcPr>
            <w:tcW w:w="2612" w:type="dxa"/>
          </w:tcPr>
          <w:p w:rsidR="00416B02" w:rsidRPr="00071B95" w:rsidRDefault="00416B02" w:rsidP="00E15678">
            <w:pPr>
              <w:pStyle w:val="TableTextColumnHeading"/>
            </w:pPr>
            <w:r w:rsidRPr="00071B95">
              <w:t>Type of evaluation</w:t>
            </w:r>
          </w:p>
        </w:tc>
        <w:tc>
          <w:tcPr>
            <w:tcW w:w="2612" w:type="dxa"/>
          </w:tcPr>
          <w:p w:rsidR="00416B02" w:rsidRPr="00071B95" w:rsidRDefault="00416B02" w:rsidP="00E15678">
            <w:pPr>
              <w:pStyle w:val="TableTextColumnHeading"/>
            </w:pPr>
            <w:r w:rsidRPr="00071B95">
              <w:t>Purpose of evaluation</w:t>
            </w:r>
          </w:p>
        </w:tc>
        <w:tc>
          <w:tcPr>
            <w:tcW w:w="2617" w:type="dxa"/>
          </w:tcPr>
          <w:p w:rsidR="00416B02" w:rsidRPr="00071B95" w:rsidRDefault="00416B02" w:rsidP="00E15678">
            <w:pPr>
              <w:pStyle w:val="TableTextColumnHeading"/>
            </w:pPr>
            <w:r w:rsidRPr="00071B95">
              <w:t>Expected completion date</w:t>
            </w:r>
          </w:p>
        </w:tc>
      </w:tr>
      <w:tr w:rsidR="001B0F01" w:rsidRPr="00071B95" w:rsidTr="00E15678">
        <w:tc>
          <w:tcPr>
            <w:tcW w:w="2601" w:type="dxa"/>
          </w:tcPr>
          <w:p w:rsidR="001B0F01" w:rsidRDefault="001B0F01" w:rsidP="00A3355A">
            <w:pPr>
              <w:pStyle w:val="TableTextEntries"/>
              <w:spacing w:before="120" w:after="120"/>
            </w:pPr>
            <w:r>
              <w:t>Health Sector– Village Health Workers Program</w:t>
            </w:r>
          </w:p>
        </w:tc>
        <w:tc>
          <w:tcPr>
            <w:tcW w:w="2530" w:type="dxa"/>
          </w:tcPr>
          <w:p w:rsidR="001B0F01" w:rsidRPr="00071B95" w:rsidRDefault="001B0F01" w:rsidP="00A3355A">
            <w:pPr>
              <w:pStyle w:val="TableTextEntries"/>
            </w:pPr>
            <w:r>
              <w:t>INJ438</w:t>
            </w:r>
          </w:p>
        </w:tc>
        <w:tc>
          <w:tcPr>
            <w:tcW w:w="2612" w:type="dxa"/>
          </w:tcPr>
          <w:p w:rsidR="001B0F01" w:rsidRPr="002C113F" w:rsidRDefault="001B0F01" w:rsidP="00A3355A">
            <w:pPr>
              <w:pStyle w:val="TableTextEntries"/>
              <w:spacing w:before="120" w:after="120"/>
            </w:pPr>
            <w:r>
              <w:t>Independent Progress Review</w:t>
            </w:r>
          </w:p>
        </w:tc>
        <w:tc>
          <w:tcPr>
            <w:tcW w:w="2612" w:type="dxa"/>
          </w:tcPr>
          <w:p w:rsidR="001B0F01" w:rsidRPr="002C113F" w:rsidRDefault="001B0F01" w:rsidP="00A3355A">
            <w:pPr>
              <w:pStyle w:val="TableTextEntries"/>
              <w:spacing w:before="120" w:after="120"/>
            </w:pPr>
            <w:r>
              <w:t>To assess &amp; inform future program planning</w:t>
            </w:r>
          </w:p>
        </w:tc>
        <w:tc>
          <w:tcPr>
            <w:tcW w:w="2617" w:type="dxa"/>
          </w:tcPr>
          <w:p w:rsidR="001B0F01" w:rsidRDefault="001B0F01" w:rsidP="00A3355A">
            <w:pPr>
              <w:pStyle w:val="TableTextEntries"/>
              <w:spacing w:before="120" w:after="120"/>
            </w:pPr>
            <w:r>
              <w:t>Jan 2016</w:t>
            </w:r>
          </w:p>
        </w:tc>
      </w:tr>
      <w:tr w:rsidR="001B0F01" w:rsidRPr="00071B95" w:rsidTr="00E15678">
        <w:tc>
          <w:tcPr>
            <w:tcW w:w="2601" w:type="dxa"/>
          </w:tcPr>
          <w:p w:rsidR="001B0F01" w:rsidRDefault="001B0F01" w:rsidP="00A3355A">
            <w:pPr>
              <w:pStyle w:val="TableTextEntries"/>
              <w:spacing w:before="120" w:after="120"/>
            </w:pPr>
            <w:r>
              <w:t>Policing and Justice Support Program</w:t>
            </w:r>
          </w:p>
        </w:tc>
        <w:tc>
          <w:tcPr>
            <w:tcW w:w="2530" w:type="dxa"/>
          </w:tcPr>
          <w:p w:rsidR="001B0F01" w:rsidRDefault="001B0F01" w:rsidP="00A3355A">
            <w:pPr>
              <w:pStyle w:val="TableTextEntries"/>
            </w:pPr>
          </w:p>
          <w:p w:rsidR="001B0F01" w:rsidRPr="00071B95" w:rsidRDefault="001B0F01" w:rsidP="00A3355A">
            <w:pPr>
              <w:pStyle w:val="TableTextEntries"/>
            </w:pPr>
            <w:r>
              <w:t xml:space="preserve">INJ603 </w:t>
            </w:r>
            <w:r>
              <w:br/>
            </w:r>
          </w:p>
        </w:tc>
        <w:tc>
          <w:tcPr>
            <w:tcW w:w="2612" w:type="dxa"/>
          </w:tcPr>
          <w:p w:rsidR="001B0F01" w:rsidRPr="002C113F" w:rsidRDefault="001B0F01" w:rsidP="00A3355A">
            <w:pPr>
              <w:pStyle w:val="TableTextEntries"/>
              <w:spacing w:before="120" w:after="120"/>
            </w:pPr>
            <w:r>
              <w:t>Independent Progress Review</w:t>
            </w:r>
          </w:p>
        </w:tc>
        <w:tc>
          <w:tcPr>
            <w:tcW w:w="2612" w:type="dxa"/>
          </w:tcPr>
          <w:p w:rsidR="001B0F01" w:rsidRPr="002C113F" w:rsidRDefault="001B0F01" w:rsidP="00A3355A">
            <w:pPr>
              <w:pStyle w:val="TableTextEntries"/>
              <w:spacing w:before="120" w:after="120"/>
            </w:pPr>
            <w:r>
              <w:t>To assess progress &amp; inform future investment</w:t>
            </w:r>
          </w:p>
        </w:tc>
        <w:tc>
          <w:tcPr>
            <w:tcW w:w="2617" w:type="dxa"/>
          </w:tcPr>
          <w:p w:rsidR="001B0F01" w:rsidRDefault="001B0F01" w:rsidP="00A3355A">
            <w:pPr>
              <w:pStyle w:val="TableTextEntries"/>
              <w:spacing w:before="120" w:after="120"/>
            </w:pPr>
            <w:r>
              <w:t>Mar 2016</w:t>
            </w:r>
          </w:p>
        </w:tc>
      </w:tr>
      <w:tr w:rsidR="001B0F01" w:rsidRPr="00071B95" w:rsidTr="00E15678">
        <w:tc>
          <w:tcPr>
            <w:tcW w:w="2601" w:type="dxa"/>
          </w:tcPr>
          <w:p w:rsidR="001B0F01" w:rsidRDefault="001B0F01" w:rsidP="00A3355A">
            <w:pPr>
              <w:pStyle w:val="TableTextEntries"/>
              <w:spacing w:before="120" w:after="120"/>
            </w:pPr>
            <w:r>
              <w:br/>
              <w:t>Pacific Women (Vanuatu)</w:t>
            </w:r>
          </w:p>
        </w:tc>
        <w:tc>
          <w:tcPr>
            <w:tcW w:w="2530" w:type="dxa"/>
          </w:tcPr>
          <w:p w:rsidR="001B0F01" w:rsidRDefault="001B0F01" w:rsidP="00A3355A">
            <w:pPr>
              <w:pStyle w:val="TableTextEntries"/>
            </w:pPr>
          </w:p>
          <w:p w:rsidR="001B0F01" w:rsidRPr="00071B95" w:rsidRDefault="001B0F01" w:rsidP="00A3355A">
            <w:pPr>
              <w:pStyle w:val="TableTextEntries"/>
            </w:pPr>
            <w:r>
              <w:t>INK586</w:t>
            </w:r>
          </w:p>
        </w:tc>
        <w:tc>
          <w:tcPr>
            <w:tcW w:w="2612" w:type="dxa"/>
          </w:tcPr>
          <w:p w:rsidR="001B0F01" w:rsidRDefault="001B0F01" w:rsidP="00A3355A">
            <w:pPr>
              <w:pStyle w:val="TableTextEntries"/>
              <w:spacing w:before="120" w:after="120"/>
            </w:pPr>
            <w:r>
              <w:t>Independent Completion Review (Pacific Women component excl. VWC)</w:t>
            </w:r>
          </w:p>
        </w:tc>
        <w:tc>
          <w:tcPr>
            <w:tcW w:w="2612" w:type="dxa"/>
          </w:tcPr>
          <w:p w:rsidR="001B0F01" w:rsidRDefault="001B0F01" w:rsidP="00A3355A">
            <w:pPr>
              <w:pStyle w:val="TableTextEntries"/>
              <w:spacing w:before="120" w:after="120"/>
            </w:pPr>
            <w:r>
              <w:t>To assess progress &amp; inform next three year planning</w:t>
            </w:r>
          </w:p>
        </w:tc>
        <w:tc>
          <w:tcPr>
            <w:tcW w:w="2617" w:type="dxa"/>
          </w:tcPr>
          <w:p w:rsidR="001B0F01" w:rsidRDefault="001B0F01" w:rsidP="00A3355A">
            <w:pPr>
              <w:pStyle w:val="TableTextEntries"/>
              <w:spacing w:before="120" w:after="120"/>
            </w:pPr>
            <w:r>
              <w:t>Apr 2016</w:t>
            </w:r>
          </w:p>
        </w:tc>
      </w:tr>
      <w:tr w:rsidR="001B0F01" w:rsidRPr="00071B95" w:rsidTr="00587031">
        <w:tc>
          <w:tcPr>
            <w:tcW w:w="2601" w:type="dxa"/>
            <w:vAlign w:val="center"/>
          </w:tcPr>
          <w:p w:rsidR="001B0F01" w:rsidRDefault="001B0F01" w:rsidP="00A3355A">
            <w:pPr>
              <w:pStyle w:val="TableTextEntries"/>
              <w:spacing w:before="120" w:after="120"/>
            </w:pPr>
            <w:r>
              <w:lastRenderedPageBreak/>
              <w:br/>
              <w:t>Vanuatu Education Support Program</w:t>
            </w:r>
          </w:p>
        </w:tc>
        <w:tc>
          <w:tcPr>
            <w:tcW w:w="2530" w:type="dxa"/>
          </w:tcPr>
          <w:p w:rsidR="001B0F01" w:rsidRDefault="001B0F01" w:rsidP="00A3355A">
            <w:pPr>
              <w:pStyle w:val="TableTextEntries"/>
            </w:pPr>
          </w:p>
          <w:p w:rsidR="001B0F01" w:rsidRPr="00071B95" w:rsidRDefault="001B0F01" w:rsidP="00A3355A">
            <w:pPr>
              <w:pStyle w:val="TableTextEntries"/>
            </w:pPr>
            <w:r>
              <w:t>INK372</w:t>
            </w:r>
          </w:p>
        </w:tc>
        <w:tc>
          <w:tcPr>
            <w:tcW w:w="2612" w:type="dxa"/>
            <w:vAlign w:val="center"/>
          </w:tcPr>
          <w:p w:rsidR="001B0F01" w:rsidRPr="002C113F" w:rsidRDefault="001B0F01" w:rsidP="00A3355A">
            <w:pPr>
              <w:pStyle w:val="TableTextEntries"/>
              <w:spacing w:before="120" w:after="120"/>
            </w:pPr>
            <w:r>
              <w:t>Independent Progress Review</w:t>
            </w:r>
          </w:p>
        </w:tc>
        <w:tc>
          <w:tcPr>
            <w:tcW w:w="2612" w:type="dxa"/>
            <w:vAlign w:val="center"/>
          </w:tcPr>
          <w:p w:rsidR="001B0F01" w:rsidRPr="002C113F" w:rsidRDefault="001B0F01" w:rsidP="00A3355A">
            <w:pPr>
              <w:pStyle w:val="TableTextEntries"/>
              <w:spacing w:before="120" w:after="120"/>
            </w:pPr>
            <w:r>
              <w:t>To assess progress &amp; contractor performance</w:t>
            </w:r>
          </w:p>
        </w:tc>
        <w:tc>
          <w:tcPr>
            <w:tcW w:w="2617" w:type="dxa"/>
            <w:vAlign w:val="center"/>
          </w:tcPr>
          <w:p w:rsidR="001B0F01" w:rsidRPr="002C113F" w:rsidRDefault="001B0F01" w:rsidP="00A3355A">
            <w:pPr>
              <w:pStyle w:val="TableTextEntries"/>
              <w:spacing w:before="120" w:after="120"/>
            </w:pPr>
            <w:r>
              <w:t>Dec 2016</w:t>
            </w:r>
          </w:p>
        </w:tc>
      </w:tr>
      <w:tr w:rsidR="001B0F01" w:rsidRPr="00071B95" w:rsidTr="00587031">
        <w:tc>
          <w:tcPr>
            <w:tcW w:w="2601" w:type="dxa"/>
            <w:vAlign w:val="center"/>
          </w:tcPr>
          <w:p w:rsidR="001B0F01" w:rsidRPr="00732224" w:rsidRDefault="001B0F01" w:rsidP="00A3355A">
            <w:pPr>
              <w:pStyle w:val="TableTextEntries"/>
              <w:spacing w:before="120" w:after="120"/>
            </w:pPr>
            <w:r w:rsidRPr="00732224">
              <w:br/>
              <w:t>Roads for Development</w:t>
            </w:r>
          </w:p>
        </w:tc>
        <w:tc>
          <w:tcPr>
            <w:tcW w:w="2530" w:type="dxa"/>
          </w:tcPr>
          <w:p w:rsidR="001B0F01" w:rsidRDefault="001B0F01" w:rsidP="00A3355A">
            <w:pPr>
              <w:pStyle w:val="TableTextEntries"/>
            </w:pPr>
          </w:p>
          <w:p w:rsidR="001B0F01" w:rsidRPr="00071B95" w:rsidRDefault="001B0F01" w:rsidP="00A3355A">
            <w:pPr>
              <w:pStyle w:val="TableTextEntries"/>
            </w:pPr>
            <w:r w:rsidRPr="00732224">
              <w:t>INK771</w:t>
            </w:r>
          </w:p>
        </w:tc>
        <w:tc>
          <w:tcPr>
            <w:tcW w:w="2612" w:type="dxa"/>
          </w:tcPr>
          <w:p w:rsidR="001B0F01" w:rsidRDefault="001B0F01" w:rsidP="00A3355A">
            <w:pPr>
              <w:pStyle w:val="TableTextEntries"/>
            </w:pPr>
          </w:p>
          <w:p w:rsidR="001B0F01" w:rsidRPr="00071B95" w:rsidRDefault="001B0F01" w:rsidP="00A3355A">
            <w:pPr>
              <w:pStyle w:val="TableTextEntries"/>
            </w:pPr>
            <w:r>
              <w:t>Independent Completion Review</w:t>
            </w:r>
          </w:p>
        </w:tc>
        <w:tc>
          <w:tcPr>
            <w:tcW w:w="2612" w:type="dxa"/>
            <w:vAlign w:val="center"/>
          </w:tcPr>
          <w:p w:rsidR="001B0F01" w:rsidRPr="00732224" w:rsidRDefault="001B0F01" w:rsidP="00A3355A">
            <w:pPr>
              <w:pStyle w:val="TableTextEntries"/>
              <w:spacing w:before="120" w:after="120"/>
            </w:pPr>
            <w:r w:rsidRPr="00732224">
              <w:t>To assess progress &amp; inform next phase</w:t>
            </w:r>
          </w:p>
        </w:tc>
        <w:tc>
          <w:tcPr>
            <w:tcW w:w="2617" w:type="dxa"/>
            <w:vAlign w:val="center"/>
          </w:tcPr>
          <w:p w:rsidR="001B0F01" w:rsidRPr="00732224" w:rsidRDefault="001B0F01" w:rsidP="00A3355A">
            <w:pPr>
              <w:pStyle w:val="TableTextEntries"/>
              <w:spacing w:before="120" w:after="120"/>
            </w:pPr>
            <w:r w:rsidRPr="00732224">
              <w:t>Apr 2016</w:t>
            </w:r>
          </w:p>
        </w:tc>
      </w:tr>
      <w:tr w:rsidR="001B0F01" w:rsidRPr="00071B95" w:rsidTr="00E15678">
        <w:tc>
          <w:tcPr>
            <w:tcW w:w="2601" w:type="dxa"/>
          </w:tcPr>
          <w:p w:rsidR="001B0F01" w:rsidRDefault="001B0F01" w:rsidP="00A3355A">
            <w:pPr>
              <w:pStyle w:val="TableTextEntries"/>
              <w:spacing w:before="120" w:after="120"/>
            </w:pPr>
            <w:r>
              <w:br/>
              <w:t>Port Vila Urban Development</w:t>
            </w:r>
          </w:p>
        </w:tc>
        <w:tc>
          <w:tcPr>
            <w:tcW w:w="2530" w:type="dxa"/>
          </w:tcPr>
          <w:p w:rsidR="001B0F01" w:rsidRDefault="001B0F01" w:rsidP="00A3355A">
            <w:pPr>
              <w:pStyle w:val="TableTextEntries"/>
            </w:pPr>
          </w:p>
          <w:p w:rsidR="001B0F01" w:rsidRPr="00071B95" w:rsidRDefault="001B0F01" w:rsidP="00A3355A">
            <w:pPr>
              <w:pStyle w:val="TableTextEntries"/>
            </w:pPr>
            <w:r>
              <w:t>INK721</w:t>
            </w:r>
          </w:p>
        </w:tc>
        <w:tc>
          <w:tcPr>
            <w:tcW w:w="2612" w:type="dxa"/>
          </w:tcPr>
          <w:p w:rsidR="001B0F01" w:rsidRDefault="001B0F01" w:rsidP="00A3355A">
            <w:pPr>
              <w:pStyle w:val="TableTextEntries"/>
            </w:pPr>
          </w:p>
          <w:p w:rsidR="001B0F01" w:rsidRPr="00071B95" w:rsidRDefault="001B0F01" w:rsidP="00A3355A">
            <w:pPr>
              <w:pStyle w:val="TableTextEntries"/>
            </w:pPr>
            <w:r>
              <w:t>Partner-led Progress Review</w:t>
            </w:r>
          </w:p>
        </w:tc>
        <w:tc>
          <w:tcPr>
            <w:tcW w:w="2612" w:type="dxa"/>
          </w:tcPr>
          <w:p w:rsidR="001B0F01" w:rsidRDefault="001B0F01" w:rsidP="00A3355A">
            <w:pPr>
              <w:pStyle w:val="TableTextEntries"/>
              <w:spacing w:before="120" w:after="120"/>
            </w:pPr>
            <w:r>
              <w:t>To assess progress</w:t>
            </w:r>
          </w:p>
        </w:tc>
        <w:tc>
          <w:tcPr>
            <w:tcW w:w="2617" w:type="dxa"/>
          </w:tcPr>
          <w:p w:rsidR="001B0F01" w:rsidRDefault="001B0F01" w:rsidP="00A3355A">
            <w:pPr>
              <w:pStyle w:val="TableTextEntries"/>
              <w:spacing w:before="120" w:after="120"/>
            </w:pPr>
            <w:r>
              <w:t>Apr 2016</w:t>
            </w:r>
          </w:p>
        </w:tc>
      </w:tr>
    </w:tbl>
    <w:p w:rsidR="00416B02" w:rsidRDefault="00416B02" w:rsidP="00416B02">
      <w:pPr>
        <w:rPr>
          <w:b/>
        </w:rPr>
        <w:sectPr w:rsidR="00416B02" w:rsidSect="000D733F">
          <w:footnotePr>
            <w:numRestart w:val="eachPage"/>
          </w:footnotePr>
          <w:type w:val="continuous"/>
          <w:pgSz w:w="16838" w:h="11906" w:orient="landscape" w:code="9"/>
          <w:pgMar w:top="1814" w:right="1814" w:bottom="851" w:left="851" w:header="709" w:footer="425" w:gutter="0"/>
          <w:cols w:space="708"/>
          <w:titlePg/>
          <w:docGrid w:linePitch="360"/>
        </w:sectPr>
      </w:pPr>
    </w:p>
    <w:p w:rsidR="00416B02" w:rsidRDefault="005C310A" w:rsidP="0057490F">
      <w:pPr>
        <w:pStyle w:val="Heading2"/>
        <w:tabs>
          <w:tab w:val="left" w:pos="1560"/>
        </w:tabs>
        <w:rPr>
          <w:sz w:val="28"/>
        </w:rPr>
      </w:pPr>
      <w:r>
        <w:rPr>
          <w:sz w:val="28"/>
        </w:rPr>
        <w:lastRenderedPageBreak/>
        <w:t>Annex D</w:t>
      </w:r>
      <w:r w:rsidR="0057490F">
        <w:rPr>
          <w:sz w:val="28"/>
        </w:rPr>
        <w:t xml:space="preserve"> - </w:t>
      </w:r>
      <w:r w:rsidR="00416B02">
        <w:rPr>
          <w:sz w:val="28"/>
        </w:rPr>
        <w:t xml:space="preserve">Aid </w:t>
      </w:r>
      <w:r w:rsidR="00416B02" w:rsidRPr="009E38C1">
        <w:rPr>
          <w:sz w:val="28"/>
        </w:rPr>
        <w:t xml:space="preserve">Quality </w:t>
      </w:r>
      <w:r w:rsidR="00416B02">
        <w:rPr>
          <w:sz w:val="28"/>
        </w:rPr>
        <w:t xml:space="preserve">Check </w:t>
      </w:r>
      <w:r w:rsidR="00416B02" w:rsidRPr="009E38C1">
        <w:rPr>
          <w:sz w:val="28"/>
        </w:rPr>
        <w:t>ratings</w:t>
      </w:r>
      <w:r w:rsidR="004C1783">
        <w:rPr>
          <w:sz w:val="28"/>
        </w:rPr>
        <w:t xml:space="preserve"> </w:t>
      </w:r>
    </w:p>
    <w:p w:rsidR="00416B02" w:rsidRDefault="00416B02" w:rsidP="00416B02">
      <w:pPr>
        <w:pStyle w:val="BodyText"/>
      </w:pPr>
      <w:r>
        <w:t>The previous investment level performance assessment system utilised Quality at Implementation (QAI) reports. Two criteria, Risks and Safeguards and Innovation and Private sector were not assessed in QAI reports and there have been significant changes in AQC reporting this year. Innovation and Private Sector is not a quality standard</w:t>
      </w:r>
      <w:r w:rsidR="0057490F">
        <w:t>.</w:t>
      </w:r>
    </w:p>
    <w:p w:rsidR="00416B02" w:rsidRPr="000D2CDD" w:rsidRDefault="00416B02" w:rsidP="00416B02">
      <w:pPr>
        <w:pStyle w:val="Heading3"/>
      </w:pPr>
      <w:r>
        <w:t>AQC ratings</w:t>
      </w:r>
    </w:p>
    <w:tbl>
      <w:tblPr>
        <w:tblStyle w:val="APPR"/>
        <w:tblW w:w="5000" w:type="pct"/>
        <w:tblLook w:val="0000" w:firstRow="0" w:lastRow="0" w:firstColumn="0" w:lastColumn="0" w:noHBand="0" w:noVBand="0"/>
      </w:tblPr>
      <w:tblGrid>
        <w:gridCol w:w="2567"/>
        <w:gridCol w:w="1863"/>
        <w:gridCol w:w="1187"/>
        <w:gridCol w:w="1193"/>
        <w:gridCol w:w="1185"/>
        <w:gridCol w:w="1192"/>
        <w:gridCol w:w="1184"/>
        <w:gridCol w:w="1192"/>
        <w:gridCol w:w="1184"/>
        <w:gridCol w:w="1190"/>
      </w:tblGrid>
      <w:tr w:rsidR="00416B02" w:rsidRPr="009D53C4" w:rsidTr="00BB59A4">
        <w:trPr>
          <w:cnfStyle w:val="000000010000" w:firstRow="0" w:lastRow="0" w:firstColumn="0" w:lastColumn="0" w:oddVBand="0" w:evenVBand="0" w:oddHBand="0" w:evenHBand="1" w:firstRowFirstColumn="0" w:firstRowLastColumn="0" w:lastRowFirstColumn="0" w:lastRowLastColumn="0"/>
          <w:trHeight w:val="1413"/>
        </w:trPr>
        <w:tc>
          <w:tcPr>
            <w:tcW w:w="906" w:type="pct"/>
          </w:tcPr>
          <w:p w:rsidR="00416B02" w:rsidRPr="00FE4491" w:rsidRDefault="00416B02" w:rsidP="00E15678">
            <w:pPr>
              <w:pStyle w:val="TableTextColumnHeading"/>
            </w:pPr>
            <w:r w:rsidRPr="00FE4491">
              <w:rPr>
                <w:noProof/>
                <w:lang w:eastAsia="en-AU"/>
              </w:rPr>
              <w:drawing>
                <wp:anchor distT="0" distB="0" distL="114300" distR="114300" simplePos="0" relativeHeight="251666432" behindDoc="0" locked="0" layoutInCell="1" allowOverlap="1" wp14:anchorId="439C3084" wp14:editId="59FE1696">
                  <wp:simplePos x="0" y="0"/>
                  <wp:positionH relativeFrom="column">
                    <wp:posOffset>0</wp:posOffset>
                  </wp:positionH>
                  <wp:positionV relativeFrom="paragraph">
                    <wp:posOffset>0</wp:posOffset>
                  </wp:positionV>
                  <wp:extent cx="1857375" cy="228600"/>
                  <wp:effectExtent l="0" t="0" r="9525" b="0"/>
                  <wp:wrapNone/>
                  <wp:docPr id="14" name="Picture 1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Investment</w:t>
            </w:r>
            <w:r w:rsidRPr="00FE4491">
              <w:t xml:space="preserve"> name</w:t>
            </w:r>
          </w:p>
        </w:tc>
        <w:tc>
          <w:tcPr>
            <w:tcW w:w="658" w:type="pct"/>
            <w:textDirection w:val="btLr"/>
          </w:tcPr>
          <w:p w:rsidR="00416B02" w:rsidRPr="00FE4491" w:rsidRDefault="00416B02" w:rsidP="00E15678">
            <w:pPr>
              <w:pStyle w:val="TableTextColumnHeading"/>
            </w:pPr>
            <w:r w:rsidRPr="00FE4491">
              <w:t>Approved budget and duration</w:t>
            </w:r>
          </w:p>
        </w:tc>
        <w:tc>
          <w:tcPr>
            <w:tcW w:w="416" w:type="pct"/>
            <w:textDirection w:val="btLr"/>
          </w:tcPr>
          <w:p w:rsidR="00416B02" w:rsidRPr="00FE4491" w:rsidRDefault="00416B02" w:rsidP="00E15678">
            <w:pPr>
              <w:pStyle w:val="TableTextColumnHeading"/>
            </w:pPr>
            <w:r>
              <w:t>AQC/</w:t>
            </w:r>
            <w:r w:rsidRPr="00FE4491">
              <w:t>Q</w:t>
            </w:r>
            <w:r>
              <w:t>AI</w:t>
            </w:r>
            <w:r w:rsidRPr="00FE4491">
              <w:t xml:space="preserve"> year</w:t>
            </w:r>
          </w:p>
        </w:tc>
        <w:tc>
          <w:tcPr>
            <w:tcW w:w="418" w:type="pct"/>
            <w:textDirection w:val="btLr"/>
          </w:tcPr>
          <w:p w:rsidR="00416B02" w:rsidRPr="00FE4491" w:rsidRDefault="00416B02" w:rsidP="00E15678">
            <w:pPr>
              <w:pStyle w:val="TableTextColumnHeading"/>
            </w:pPr>
            <w:r w:rsidRPr="00FE4491">
              <w:t>Relevance</w:t>
            </w:r>
          </w:p>
        </w:tc>
        <w:tc>
          <w:tcPr>
            <w:tcW w:w="415" w:type="pct"/>
            <w:textDirection w:val="btLr"/>
          </w:tcPr>
          <w:p w:rsidR="00416B02" w:rsidRPr="00FE4491" w:rsidRDefault="00416B02" w:rsidP="00E15678">
            <w:pPr>
              <w:pStyle w:val="TableTextColumnHeading"/>
            </w:pPr>
            <w:r w:rsidRPr="00FE4491">
              <w:t>Effectiveness</w:t>
            </w:r>
          </w:p>
        </w:tc>
        <w:tc>
          <w:tcPr>
            <w:tcW w:w="418" w:type="pct"/>
            <w:textDirection w:val="btLr"/>
          </w:tcPr>
          <w:p w:rsidR="00416B02" w:rsidRPr="00FE4491" w:rsidRDefault="00416B02" w:rsidP="00E15678">
            <w:pPr>
              <w:pStyle w:val="TableTextColumnHeading"/>
            </w:pPr>
            <w:r w:rsidRPr="00FE4491">
              <w:t>Efficiency</w:t>
            </w:r>
          </w:p>
        </w:tc>
        <w:tc>
          <w:tcPr>
            <w:tcW w:w="415" w:type="pct"/>
            <w:textDirection w:val="btLr"/>
          </w:tcPr>
          <w:p w:rsidR="00416B02" w:rsidRPr="00FE4491" w:rsidRDefault="00416B02" w:rsidP="00E15678">
            <w:pPr>
              <w:pStyle w:val="TableTextColumnHeading"/>
            </w:pPr>
            <w:r w:rsidRPr="00FE4491">
              <w:t>Monitoring and Evaluation</w:t>
            </w:r>
          </w:p>
        </w:tc>
        <w:tc>
          <w:tcPr>
            <w:tcW w:w="418" w:type="pct"/>
            <w:textDirection w:val="btLr"/>
          </w:tcPr>
          <w:p w:rsidR="00416B02" w:rsidRPr="00FE4491" w:rsidRDefault="00416B02" w:rsidP="00E15678">
            <w:pPr>
              <w:pStyle w:val="TableTextColumnHeading"/>
            </w:pPr>
            <w:r w:rsidRPr="00FE4491">
              <w:t>Sustainability</w:t>
            </w:r>
          </w:p>
        </w:tc>
        <w:tc>
          <w:tcPr>
            <w:tcW w:w="415" w:type="pct"/>
            <w:textDirection w:val="btLr"/>
          </w:tcPr>
          <w:p w:rsidR="00416B02" w:rsidRPr="00FE4491" w:rsidRDefault="00416B02" w:rsidP="00E15678">
            <w:pPr>
              <w:pStyle w:val="TableTextColumnHeading"/>
            </w:pPr>
            <w:r w:rsidRPr="00FE4491">
              <w:t>Gender equality</w:t>
            </w:r>
          </w:p>
        </w:tc>
        <w:tc>
          <w:tcPr>
            <w:tcW w:w="412" w:type="pct"/>
            <w:textDirection w:val="btLr"/>
          </w:tcPr>
          <w:p w:rsidR="00416B02" w:rsidRPr="00FE4491" w:rsidRDefault="00416B02" w:rsidP="00E15678">
            <w:pPr>
              <w:pStyle w:val="TableTextColumnHeading"/>
            </w:pPr>
            <w:r>
              <w:t>Risks  and Safeguards</w:t>
            </w:r>
          </w:p>
        </w:tc>
      </w:tr>
      <w:tr w:rsidR="00416B02" w:rsidRPr="009D53C4" w:rsidTr="00BB59A4">
        <w:trPr>
          <w:cnfStyle w:val="000000010000" w:firstRow="0" w:lastRow="0" w:firstColumn="0" w:lastColumn="0" w:oddVBand="0" w:evenVBand="0" w:oddHBand="0" w:evenHBand="1" w:firstRowFirstColumn="0" w:firstRowLastColumn="0" w:lastRowFirstColumn="0" w:lastRowLastColumn="0"/>
          <w:trHeight w:val="284"/>
        </w:trPr>
        <w:tc>
          <w:tcPr>
            <w:tcW w:w="906" w:type="pct"/>
            <w:vMerge w:val="restart"/>
          </w:tcPr>
          <w:p w:rsidR="00416B02" w:rsidRPr="00FE4491" w:rsidRDefault="001E1765" w:rsidP="00E15678">
            <w:pPr>
              <w:pStyle w:val="TableTextEntries"/>
            </w:pPr>
            <w:r>
              <w:t>Australia Awards</w:t>
            </w:r>
          </w:p>
        </w:tc>
        <w:tc>
          <w:tcPr>
            <w:tcW w:w="658" w:type="pct"/>
            <w:vMerge w:val="restart"/>
          </w:tcPr>
          <w:p w:rsidR="00416B02" w:rsidRPr="00FE4491" w:rsidRDefault="001E1765" w:rsidP="00E15678">
            <w:pPr>
              <w:pStyle w:val="TableTextEntries"/>
            </w:pPr>
            <w:r>
              <w:t>$10,056,300</w:t>
            </w:r>
            <w:r>
              <w:br/>
              <w:t>2007-2017</w:t>
            </w:r>
          </w:p>
        </w:tc>
        <w:tc>
          <w:tcPr>
            <w:tcW w:w="416" w:type="pct"/>
          </w:tcPr>
          <w:p w:rsidR="00416B02" w:rsidRPr="00FE4491" w:rsidRDefault="00416B02" w:rsidP="00E15678">
            <w:pPr>
              <w:pStyle w:val="TableTextEntries"/>
            </w:pPr>
            <w:r w:rsidRPr="00FE4491">
              <w:t>201</w:t>
            </w:r>
            <w:r>
              <w:t>4 AQC</w:t>
            </w:r>
          </w:p>
        </w:tc>
        <w:tc>
          <w:tcPr>
            <w:tcW w:w="418" w:type="pct"/>
            <w:shd w:val="clear" w:color="auto" w:fill="92D050"/>
            <w:noWrap/>
          </w:tcPr>
          <w:p w:rsidR="00416B02" w:rsidRPr="00FE4491" w:rsidRDefault="001E1765" w:rsidP="00E15678">
            <w:pPr>
              <w:pStyle w:val="TableTextEntries"/>
              <w:jc w:val="center"/>
            </w:pPr>
            <w:r>
              <w:t>5</w:t>
            </w:r>
          </w:p>
        </w:tc>
        <w:tc>
          <w:tcPr>
            <w:tcW w:w="415" w:type="pct"/>
            <w:shd w:val="clear" w:color="auto" w:fill="FFFF00"/>
            <w:noWrap/>
          </w:tcPr>
          <w:p w:rsidR="00416B02" w:rsidRPr="00FE4491" w:rsidRDefault="001E1765" w:rsidP="00E15678">
            <w:pPr>
              <w:pStyle w:val="TableTextEntries"/>
              <w:jc w:val="center"/>
            </w:pPr>
            <w:r>
              <w:t>4</w:t>
            </w:r>
          </w:p>
        </w:tc>
        <w:tc>
          <w:tcPr>
            <w:tcW w:w="418" w:type="pct"/>
            <w:shd w:val="clear" w:color="auto" w:fill="FFC000"/>
            <w:noWrap/>
          </w:tcPr>
          <w:p w:rsidR="00416B02" w:rsidRPr="00FE4491" w:rsidRDefault="001E1765" w:rsidP="00E15678">
            <w:pPr>
              <w:pStyle w:val="TableTextEntries"/>
              <w:jc w:val="center"/>
            </w:pPr>
            <w:r>
              <w:t>3</w:t>
            </w:r>
          </w:p>
        </w:tc>
        <w:tc>
          <w:tcPr>
            <w:tcW w:w="415" w:type="pct"/>
            <w:shd w:val="clear" w:color="auto" w:fill="FFC000"/>
            <w:noWrap/>
          </w:tcPr>
          <w:p w:rsidR="00416B02" w:rsidRPr="00FE4491" w:rsidRDefault="001E1765" w:rsidP="00E15678">
            <w:pPr>
              <w:pStyle w:val="TableTextEntries"/>
              <w:jc w:val="center"/>
            </w:pPr>
            <w:r>
              <w:t>3</w:t>
            </w:r>
          </w:p>
        </w:tc>
        <w:tc>
          <w:tcPr>
            <w:tcW w:w="418" w:type="pct"/>
            <w:shd w:val="clear" w:color="auto" w:fill="FFFF00"/>
            <w:noWrap/>
          </w:tcPr>
          <w:p w:rsidR="00416B02" w:rsidRPr="00FE4491" w:rsidRDefault="001E1765" w:rsidP="00E15678">
            <w:pPr>
              <w:pStyle w:val="TableTextEntries"/>
              <w:jc w:val="center"/>
            </w:pPr>
            <w:r>
              <w:t>4</w:t>
            </w:r>
          </w:p>
        </w:tc>
        <w:tc>
          <w:tcPr>
            <w:tcW w:w="415" w:type="pct"/>
            <w:shd w:val="clear" w:color="auto" w:fill="92D050"/>
            <w:noWrap/>
          </w:tcPr>
          <w:p w:rsidR="00416B02" w:rsidRPr="00FE4491" w:rsidRDefault="001E1765" w:rsidP="00E15678">
            <w:pPr>
              <w:pStyle w:val="TableTextEntries"/>
              <w:jc w:val="center"/>
            </w:pPr>
            <w:r>
              <w:t>5</w:t>
            </w:r>
          </w:p>
        </w:tc>
        <w:tc>
          <w:tcPr>
            <w:tcW w:w="412" w:type="pct"/>
            <w:shd w:val="clear" w:color="auto" w:fill="FFC000"/>
          </w:tcPr>
          <w:p w:rsidR="00416B02" w:rsidRDefault="001E1765" w:rsidP="00E15678">
            <w:pPr>
              <w:pStyle w:val="TableTextEntries"/>
              <w:jc w:val="center"/>
            </w:pPr>
            <w:r>
              <w:t>3</w:t>
            </w:r>
          </w:p>
        </w:tc>
      </w:tr>
      <w:tr w:rsidR="00416B02" w:rsidRPr="009D53C4" w:rsidTr="00BB59A4">
        <w:trPr>
          <w:cnfStyle w:val="000000010000" w:firstRow="0" w:lastRow="0" w:firstColumn="0" w:lastColumn="0" w:oddVBand="0" w:evenVBand="0" w:oddHBand="0" w:evenHBand="1" w:firstRowFirstColumn="0" w:firstRowLastColumn="0" w:lastRowFirstColumn="0" w:lastRowLastColumn="0"/>
          <w:trHeight w:val="284"/>
        </w:trPr>
        <w:tc>
          <w:tcPr>
            <w:tcW w:w="906" w:type="pct"/>
            <w:vMerge/>
          </w:tcPr>
          <w:p w:rsidR="00416B02" w:rsidRPr="00FE4491" w:rsidRDefault="00416B02" w:rsidP="00E15678">
            <w:pPr>
              <w:pStyle w:val="TableTextEntries"/>
            </w:pPr>
          </w:p>
        </w:tc>
        <w:tc>
          <w:tcPr>
            <w:tcW w:w="658" w:type="pct"/>
            <w:vMerge/>
          </w:tcPr>
          <w:p w:rsidR="00416B02" w:rsidRPr="00FE4491" w:rsidRDefault="00416B02" w:rsidP="00E15678">
            <w:pPr>
              <w:pStyle w:val="TableTextEntries"/>
            </w:pPr>
          </w:p>
        </w:tc>
        <w:tc>
          <w:tcPr>
            <w:tcW w:w="416" w:type="pct"/>
          </w:tcPr>
          <w:p w:rsidR="00416B02" w:rsidRPr="00FE4491" w:rsidRDefault="00416B02" w:rsidP="00E15678">
            <w:pPr>
              <w:pStyle w:val="TableTextEntries"/>
            </w:pPr>
            <w:r w:rsidRPr="00FE4491">
              <w:t>201</w:t>
            </w:r>
            <w:r>
              <w:t>3 QAI</w:t>
            </w:r>
          </w:p>
        </w:tc>
        <w:tc>
          <w:tcPr>
            <w:tcW w:w="418" w:type="pct"/>
            <w:shd w:val="clear" w:color="auto" w:fill="92D050"/>
            <w:noWrap/>
          </w:tcPr>
          <w:p w:rsidR="00416B02" w:rsidRPr="00FE4491" w:rsidRDefault="007E48BC" w:rsidP="00E15678">
            <w:pPr>
              <w:pStyle w:val="TableTextEntries"/>
              <w:jc w:val="center"/>
            </w:pPr>
            <w:r>
              <w:t>5</w:t>
            </w:r>
          </w:p>
        </w:tc>
        <w:tc>
          <w:tcPr>
            <w:tcW w:w="415" w:type="pct"/>
            <w:shd w:val="clear" w:color="auto" w:fill="FFFF00"/>
            <w:noWrap/>
          </w:tcPr>
          <w:p w:rsidR="00416B02" w:rsidRPr="00FE4491" w:rsidRDefault="007E48BC" w:rsidP="00E15678">
            <w:pPr>
              <w:pStyle w:val="TableTextEntries"/>
              <w:jc w:val="center"/>
            </w:pPr>
            <w:r>
              <w:t>4</w:t>
            </w:r>
          </w:p>
        </w:tc>
        <w:tc>
          <w:tcPr>
            <w:tcW w:w="418" w:type="pct"/>
            <w:shd w:val="clear" w:color="auto" w:fill="FFFF00"/>
            <w:noWrap/>
          </w:tcPr>
          <w:p w:rsidR="00416B02" w:rsidRPr="00FE4491" w:rsidRDefault="007E48BC" w:rsidP="00E15678">
            <w:pPr>
              <w:pStyle w:val="TableTextEntries"/>
              <w:jc w:val="center"/>
            </w:pPr>
            <w:r>
              <w:t>4</w:t>
            </w:r>
          </w:p>
        </w:tc>
        <w:tc>
          <w:tcPr>
            <w:tcW w:w="415" w:type="pct"/>
            <w:shd w:val="clear" w:color="auto" w:fill="FFC000"/>
            <w:noWrap/>
          </w:tcPr>
          <w:p w:rsidR="00416B02" w:rsidRPr="00FE4491" w:rsidRDefault="007E48BC" w:rsidP="00E15678">
            <w:pPr>
              <w:pStyle w:val="TableTextEntries"/>
              <w:jc w:val="center"/>
            </w:pPr>
            <w:r>
              <w:t>3</w:t>
            </w:r>
          </w:p>
        </w:tc>
        <w:tc>
          <w:tcPr>
            <w:tcW w:w="418" w:type="pct"/>
            <w:shd w:val="clear" w:color="auto" w:fill="FFC000"/>
            <w:noWrap/>
          </w:tcPr>
          <w:p w:rsidR="00416B02" w:rsidRPr="00FE4491" w:rsidRDefault="007E48BC" w:rsidP="00E15678">
            <w:pPr>
              <w:pStyle w:val="TableTextEntries"/>
              <w:jc w:val="center"/>
            </w:pPr>
            <w:r>
              <w:t>3</w:t>
            </w:r>
          </w:p>
        </w:tc>
        <w:tc>
          <w:tcPr>
            <w:tcW w:w="415" w:type="pct"/>
            <w:shd w:val="clear" w:color="auto" w:fill="FFFF00"/>
            <w:noWrap/>
          </w:tcPr>
          <w:p w:rsidR="00416B02" w:rsidRPr="00FE4491" w:rsidRDefault="007E48BC" w:rsidP="00E15678">
            <w:pPr>
              <w:pStyle w:val="TableTextEntries"/>
              <w:jc w:val="center"/>
            </w:pPr>
            <w:r>
              <w:t>4</w:t>
            </w:r>
          </w:p>
        </w:tc>
        <w:tc>
          <w:tcPr>
            <w:tcW w:w="412" w:type="pct"/>
          </w:tcPr>
          <w:p w:rsidR="00416B02" w:rsidRPr="00FE4491" w:rsidRDefault="004A7988" w:rsidP="00E15678">
            <w:pPr>
              <w:pStyle w:val="TableTextEntries"/>
              <w:jc w:val="center"/>
            </w:pPr>
            <w:r>
              <w:t>n/a</w:t>
            </w:r>
          </w:p>
        </w:tc>
      </w:tr>
      <w:tr w:rsidR="00416B02" w:rsidRPr="009D53C4" w:rsidTr="00BB59A4">
        <w:trPr>
          <w:cnfStyle w:val="000000010000" w:firstRow="0" w:lastRow="0" w:firstColumn="0" w:lastColumn="0" w:oddVBand="0" w:evenVBand="0" w:oddHBand="0" w:evenHBand="1" w:firstRowFirstColumn="0" w:firstRowLastColumn="0" w:lastRowFirstColumn="0" w:lastRowLastColumn="0"/>
          <w:trHeight w:val="284"/>
        </w:trPr>
        <w:tc>
          <w:tcPr>
            <w:tcW w:w="906" w:type="pct"/>
            <w:vMerge w:val="restart"/>
          </w:tcPr>
          <w:p w:rsidR="00416B02" w:rsidRPr="00FE4491" w:rsidRDefault="007E48BC" w:rsidP="00E15678">
            <w:pPr>
              <w:pStyle w:val="TableTextEntries"/>
            </w:pPr>
            <w:r>
              <w:t>Vanuatu Land Program</w:t>
            </w:r>
          </w:p>
        </w:tc>
        <w:tc>
          <w:tcPr>
            <w:tcW w:w="658" w:type="pct"/>
            <w:vMerge w:val="restart"/>
          </w:tcPr>
          <w:p w:rsidR="00416B02" w:rsidRPr="00FE4491" w:rsidRDefault="00C80B00" w:rsidP="00E15678">
            <w:pPr>
              <w:pStyle w:val="TableTextEntries"/>
            </w:pPr>
            <w:r>
              <w:t>$11,787,436.16</w:t>
            </w:r>
            <w:r>
              <w:br/>
              <w:t>2099-2015</w:t>
            </w:r>
          </w:p>
        </w:tc>
        <w:tc>
          <w:tcPr>
            <w:tcW w:w="416" w:type="pct"/>
          </w:tcPr>
          <w:p w:rsidR="00416B02" w:rsidRPr="00FE4491" w:rsidRDefault="00416B02" w:rsidP="00E15678">
            <w:pPr>
              <w:pStyle w:val="TableTextEntries"/>
            </w:pPr>
            <w:r w:rsidRPr="00FE4491">
              <w:t>201</w:t>
            </w:r>
            <w:r>
              <w:t>4 AQC</w:t>
            </w:r>
          </w:p>
        </w:tc>
        <w:tc>
          <w:tcPr>
            <w:tcW w:w="418" w:type="pct"/>
            <w:shd w:val="clear" w:color="auto" w:fill="FFC000"/>
            <w:noWrap/>
          </w:tcPr>
          <w:p w:rsidR="00416B02" w:rsidRPr="00FE4491" w:rsidRDefault="00BB59A4" w:rsidP="00E15678">
            <w:pPr>
              <w:pStyle w:val="TableTextEntries"/>
              <w:jc w:val="center"/>
            </w:pPr>
            <w:r>
              <w:t>3</w:t>
            </w:r>
          </w:p>
        </w:tc>
        <w:tc>
          <w:tcPr>
            <w:tcW w:w="415" w:type="pct"/>
            <w:shd w:val="clear" w:color="auto" w:fill="FFC000"/>
            <w:noWrap/>
          </w:tcPr>
          <w:p w:rsidR="00416B02" w:rsidRPr="00FE4491" w:rsidRDefault="00BB59A4" w:rsidP="00E15678">
            <w:pPr>
              <w:pStyle w:val="TableTextEntries"/>
              <w:jc w:val="center"/>
            </w:pPr>
            <w:r>
              <w:t>3</w:t>
            </w:r>
          </w:p>
        </w:tc>
        <w:tc>
          <w:tcPr>
            <w:tcW w:w="418" w:type="pct"/>
            <w:shd w:val="clear" w:color="auto" w:fill="FFFF00"/>
            <w:noWrap/>
          </w:tcPr>
          <w:p w:rsidR="00416B02" w:rsidRPr="00FE4491" w:rsidRDefault="00BB59A4" w:rsidP="00E15678">
            <w:pPr>
              <w:pStyle w:val="TableTextEntries"/>
              <w:jc w:val="center"/>
            </w:pPr>
            <w:r>
              <w:t>4</w:t>
            </w:r>
          </w:p>
        </w:tc>
        <w:tc>
          <w:tcPr>
            <w:tcW w:w="415" w:type="pct"/>
            <w:shd w:val="clear" w:color="auto" w:fill="FFC000"/>
            <w:noWrap/>
          </w:tcPr>
          <w:p w:rsidR="00416B02" w:rsidRPr="00FE4491" w:rsidRDefault="00BB59A4" w:rsidP="00E15678">
            <w:pPr>
              <w:pStyle w:val="TableTextEntries"/>
              <w:jc w:val="center"/>
            </w:pPr>
            <w:r>
              <w:t>3</w:t>
            </w:r>
          </w:p>
        </w:tc>
        <w:tc>
          <w:tcPr>
            <w:tcW w:w="418" w:type="pct"/>
            <w:shd w:val="clear" w:color="auto" w:fill="FF0000"/>
            <w:noWrap/>
          </w:tcPr>
          <w:p w:rsidR="00416B02" w:rsidRPr="00FE4491" w:rsidRDefault="00BB59A4" w:rsidP="00E15678">
            <w:pPr>
              <w:pStyle w:val="TableTextEntries"/>
              <w:jc w:val="center"/>
            </w:pPr>
            <w:r>
              <w:t>2</w:t>
            </w:r>
          </w:p>
        </w:tc>
        <w:tc>
          <w:tcPr>
            <w:tcW w:w="415" w:type="pct"/>
            <w:shd w:val="clear" w:color="auto" w:fill="FFC000"/>
            <w:noWrap/>
          </w:tcPr>
          <w:p w:rsidR="00416B02" w:rsidRPr="00FE4491" w:rsidRDefault="00BB59A4" w:rsidP="00E15678">
            <w:pPr>
              <w:pStyle w:val="TableTextEntries"/>
              <w:jc w:val="center"/>
            </w:pPr>
            <w:r>
              <w:t>3</w:t>
            </w:r>
          </w:p>
        </w:tc>
        <w:tc>
          <w:tcPr>
            <w:tcW w:w="412" w:type="pct"/>
            <w:shd w:val="clear" w:color="auto" w:fill="FFFF00"/>
          </w:tcPr>
          <w:p w:rsidR="00416B02" w:rsidRPr="00FE4491" w:rsidRDefault="00BB59A4" w:rsidP="00E15678">
            <w:pPr>
              <w:pStyle w:val="TableTextEntries"/>
              <w:jc w:val="center"/>
            </w:pPr>
            <w:r>
              <w:t>4</w:t>
            </w:r>
          </w:p>
        </w:tc>
      </w:tr>
      <w:tr w:rsidR="00416B02" w:rsidRPr="009D53C4" w:rsidTr="00BB59A4">
        <w:trPr>
          <w:cnfStyle w:val="000000010000" w:firstRow="0" w:lastRow="0" w:firstColumn="0" w:lastColumn="0" w:oddVBand="0" w:evenVBand="0" w:oddHBand="0" w:evenHBand="1" w:firstRowFirstColumn="0" w:firstRowLastColumn="0" w:lastRowFirstColumn="0" w:lastRowLastColumn="0"/>
          <w:trHeight w:val="284"/>
        </w:trPr>
        <w:tc>
          <w:tcPr>
            <w:tcW w:w="906" w:type="pct"/>
            <w:vMerge/>
          </w:tcPr>
          <w:p w:rsidR="00416B02" w:rsidRPr="00FE4491" w:rsidRDefault="00416B02" w:rsidP="00E15678">
            <w:pPr>
              <w:pStyle w:val="TableTextEntries"/>
            </w:pPr>
          </w:p>
        </w:tc>
        <w:tc>
          <w:tcPr>
            <w:tcW w:w="658" w:type="pct"/>
            <w:vMerge/>
          </w:tcPr>
          <w:p w:rsidR="00416B02" w:rsidRPr="00FE4491" w:rsidRDefault="00416B02" w:rsidP="00E15678">
            <w:pPr>
              <w:pStyle w:val="TableTextEntries"/>
            </w:pPr>
          </w:p>
        </w:tc>
        <w:tc>
          <w:tcPr>
            <w:tcW w:w="416" w:type="pct"/>
          </w:tcPr>
          <w:p w:rsidR="00416B02" w:rsidRPr="00FE4491" w:rsidRDefault="00416B02" w:rsidP="00E15678">
            <w:pPr>
              <w:pStyle w:val="TableTextEntries"/>
            </w:pPr>
            <w:r w:rsidRPr="00FE4491">
              <w:t>201</w:t>
            </w:r>
            <w:r>
              <w:t>3 QAI</w:t>
            </w:r>
          </w:p>
        </w:tc>
        <w:tc>
          <w:tcPr>
            <w:tcW w:w="418" w:type="pct"/>
            <w:shd w:val="clear" w:color="auto" w:fill="FFFF00"/>
            <w:noWrap/>
          </w:tcPr>
          <w:p w:rsidR="00416B02" w:rsidRPr="00FE4491" w:rsidRDefault="00BB59A4" w:rsidP="00E15678">
            <w:pPr>
              <w:pStyle w:val="TableTextEntries"/>
              <w:jc w:val="center"/>
            </w:pPr>
            <w:r>
              <w:t>4</w:t>
            </w:r>
          </w:p>
        </w:tc>
        <w:tc>
          <w:tcPr>
            <w:tcW w:w="415" w:type="pct"/>
            <w:shd w:val="clear" w:color="auto" w:fill="FFFF00"/>
            <w:noWrap/>
          </w:tcPr>
          <w:p w:rsidR="00416B02" w:rsidRPr="00FE4491" w:rsidRDefault="00BB59A4" w:rsidP="00E15678">
            <w:pPr>
              <w:pStyle w:val="TableTextEntries"/>
              <w:jc w:val="center"/>
            </w:pPr>
            <w:r>
              <w:t>4</w:t>
            </w:r>
          </w:p>
        </w:tc>
        <w:tc>
          <w:tcPr>
            <w:tcW w:w="418" w:type="pct"/>
            <w:shd w:val="clear" w:color="auto" w:fill="FFFF00"/>
            <w:noWrap/>
          </w:tcPr>
          <w:p w:rsidR="00416B02" w:rsidRPr="00FE4491" w:rsidRDefault="00BB59A4" w:rsidP="00E15678">
            <w:pPr>
              <w:pStyle w:val="TableTextEntries"/>
              <w:jc w:val="center"/>
            </w:pPr>
            <w:r>
              <w:t>4</w:t>
            </w:r>
          </w:p>
        </w:tc>
        <w:tc>
          <w:tcPr>
            <w:tcW w:w="415" w:type="pct"/>
            <w:shd w:val="clear" w:color="auto" w:fill="FFFF00"/>
            <w:noWrap/>
          </w:tcPr>
          <w:p w:rsidR="00416B02" w:rsidRPr="00FE4491" w:rsidRDefault="00BB59A4" w:rsidP="00E15678">
            <w:pPr>
              <w:pStyle w:val="TableTextEntries"/>
              <w:jc w:val="center"/>
            </w:pPr>
            <w:r>
              <w:t>4</w:t>
            </w:r>
          </w:p>
        </w:tc>
        <w:tc>
          <w:tcPr>
            <w:tcW w:w="418" w:type="pct"/>
            <w:shd w:val="clear" w:color="auto" w:fill="FFFF00"/>
            <w:noWrap/>
          </w:tcPr>
          <w:p w:rsidR="00416B02" w:rsidRPr="00FE4491" w:rsidRDefault="00BB59A4" w:rsidP="00E15678">
            <w:pPr>
              <w:pStyle w:val="TableTextEntries"/>
              <w:jc w:val="center"/>
            </w:pPr>
            <w:r>
              <w:t>4</w:t>
            </w:r>
          </w:p>
        </w:tc>
        <w:tc>
          <w:tcPr>
            <w:tcW w:w="415" w:type="pct"/>
            <w:shd w:val="clear" w:color="auto" w:fill="FFC000"/>
            <w:noWrap/>
          </w:tcPr>
          <w:p w:rsidR="00416B02" w:rsidRPr="00FE4491" w:rsidRDefault="00BB59A4" w:rsidP="00E15678">
            <w:pPr>
              <w:pStyle w:val="TableTextEntries"/>
              <w:jc w:val="center"/>
            </w:pPr>
            <w:r>
              <w:t>3</w:t>
            </w:r>
          </w:p>
        </w:tc>
        <w:tc>
          <w:tcPr>
            <w:tcW w:w="412" w:type="pct"/>
          </w:tcPr>
          <w:p w:rsidR="00416B02" w:rsidRPr="00FE4491" w:rsidRDefault="004A7988" w:rsidP="00E15678">
            <w:pPr>
              <w:pStyle w:val="TableTextEntries"/>
              <w:jc w:val="center"/>
            </w:pPr>
            <w:r>
              <w:t>n/a</w:t>
            </w:r>
          </w:p>
        </w:tc>
      </w:tr>
      <w:tr w:rsidR="00BB59A4" w:rsidRPr="009D53C4" w:rsidTr="002E7042">
        <w:trPr>
          <w:cnfStyle w:val="000000010000" w:firstRow="0" w:lastRow="0" w:firstColumn="0" w:lastColumn="0" w:oddVBand="0" w:evenVBand="0" w:oddHBand="0" w:evenHBand="1" w:firstRowFirstColumn="0" w:firstRowLastColumn="0" w:lastRowFirstColumn="0" w:lastRowLastColumn="0"/>
          <w:trHeight w:val="284"/>
        </w:trPr>
        <w:tc>
          <w:tcPr>
            <w:tcW w:w="906" w:type="pct"/>
            <w:vMerge w:val="restart"/>
          </w:tcPr>
          <w:p w:rsidR="00BB59A4" w:rsidRPr="00FE4491" w:rsidRDefault="00BB59A4" w:rsidP="00E15678">
            <w:pPr>
              <w:pStyle w:val="TableTextEntries"/>
            </w:pPr>
            <w:r>
              <w:t xml:space="preserve">Wan </w:t>
            </w:r>
            <w:proofErr w:type="spellStart"/>
            <w:r>
              <w:t>Smolbag</w:t>
            </w:r>
            <w:proofErr w:type="spellEnd"/>
            <w:r>
              <w:t xml:space="preserve"> Theatre Community Partnership</w:t>
            </w:r>
          </w:p>
        </w:tc>
        <w:tc>
          <w:tcPr>
            <w:tcW w:w="658" w:type="pct"/>
            <w:vMerge w:val="restart"/>
          </w:tcPr>
          <w:p w:rsidR="00BB59A4" w:rsidRPr="00FE4491" w:rsidRDefault="00BB59A4" w:rsidP="00E15678">
            <w:pPr>
              <w:pStyle w:val="TableTextEntries"/>
            </w:pPr>
            <w:r>
              <w:t>$11,816,555.21</w:t>
            </w:r>
            <w:r>
              <w:br/>
              <w:t>2010-2017</w:t>
            </w:r>
          </w:p>
        </w:tc>
        <w:tc>
          <w:tcPr>
            <w:tcW w:w="416" w:type="pct"/>
          </w:tcPr>
          <w:p w:rsidR="00BB59A4" w:rsidRPr="00FE4491" w:rsidRDefault="00BB59A4" w:rsidP="009750EA">
            <w:pPr>
              <w:pStyle w:val="TableTextEntries"/>
            </w:pPr>
            <w:r w:rsidRPr="00FE4491">
              <w:t>201</w:t>
            </w:r>
            <w:r>
              <w:t>4 AQC</w:t>
            </w:r>
          </w:p>
        </w:tc>
        <w:tc>
          <w:tcPr>
            <w:tcW w:w="418" w:type="pct"/>
            <w:shd w:val="clear" w:color="auto" w:fill="92D050"/>
            <w:noWrap/>
          </w:tcPr>
          <w:p w:rsidR="00BB59A4" w:rsidRPr="00FE4491" w:rsidRDefault="002E7042" w:rsidP="00E15678">
            <w:pPr>
              <w:pStyle w:val="TableTextEntries"/>
              <w:jc w:val="center"/>
            </w:pPr>
            <w:r>
              <w:t>5</w:t>
            </w:r>
          </w:p>
        </w:tc>
        <w:tc>
          <w:tcPr>
            <w:tcW w:w="415" w:type="pct"/>
            <w:shd w:val="clear" w:color="auto" w:fill="92D050"/>
            <w:noWrap/>
          </w:tcPr>
          <w:p w:rsidR="00BB59A4" w:rsidRPr="00FE4491" w:rsidRDefault="002E7042" w:rsidP="00E15678">
            <w:pPr>
              <w:pStyle w:val="TableTextEntries"/>
              <w:jc w:val="center"/>
            </w:pPr>
            <w:r>
              <w:t>5</w:t>
            </w:r>
          </w:p>
        </w:tc>
        <w:tc>
          <w:tcPr>
            <w:tcW w:w="418" w:type="pct"/>
            <w:shd w:val="clear" w:color="auto" w:fill="92D050"/>
            <w:noWrap/>
          </w:tcPr>
          <w:p w:rsidR="00BB59A4" w:rsidRPr="00FE4491" w:rsidRDefault="002E7042" w:rsidP="00E15678">
            <w:pPr>
              <w:pStyle w:val="TableTextEntries"/>
              <w:jc w:val="center"/>
            </w:pPr>
            <w:r>
              <w:t>5</w:t>
            </w:r>
          </w:p>
        </w:tc>
        <w:tc>
          <w:tcPr>
            <w:tcW w:w="415" w:type="pct"/>
            <w:shd w:val="clear" w:color="auto" w:fill="92D050"/>
            <w:noWrap/>
          </w:tcPr>
          <w:p w:rsidR="00BB59A4" w:rsidRPr="00FE4491" w:rsidRDefault="002E7042" w:rsidP="00E15678">
            <w:pPr>
              <w:pStyle w:val="TableTextEntries"/>
              <w:jc w:val="center"/>
            </w:pPr>
            <w:r>
              <w:t>5</w:t>
            </w:r>
          </w:p>
        </w:tc>
        <w:tc>
          <w:tcPr>
            <w:tcW w:w="418" w:type="pct"/>
            <w:shd w:val="clear" w:color="auto" w:fill="FFFF00"/>
            <w:noWrap/>
          </w:tcPr>
          <w:p w:rsidR="00BB59A4" w:rsidRPr="00FE4491" w:rsidRDefault="002E7042" w:rsidP="00E15678">
            <w:pPr>
              <w:pStyle w:val="TableTextEntries"/>
              <w:jc w:val="center"/>
            </w:pPr>
            <w:r>
              <w:t>4</w:t>
            </w:r>
          </w:p>
        </w:tc>
        <w:tc>
          <w:tcPr>
            <w:tcW w:w="415" w:type="pct"/>
            <w:shd w:val="clear" w:color="auto" w:fill="92D050"/>
            <w:noWrap/>
          </w:tcPr>
          <w:p w:rsidR="00BB59A4" w:rsidRPr="00FE4491" w:rsidRDefault="002E7042" w:rsidP="00E15678">
            <w:pPr>
              <w:pStyle w:val="TableTextEntries"/>
              <w:jc w:val="center"/>
            </w:pPr>
            <w:r>
              <w:t>5</w:t>
            </w:r>
          </w:p>
        </w:tc>
        <w:tc>
          <w:tcPr>
            <w:tcW w:w="412" w:type="pct"/>
            <w:shd w:val="clear" w:color="auto" w:fill="92D050"/>
          </w:tcPr>
          <w:p w:rsidR="00BB59A4" w:rsidRDefault="002E7042" w:rsidP="00E15678">
            <w:pPr>
              <w:pStyle w:val="TableTextEntries"/>
              <w:jc w:val="center"/>
            </w:pPr>
            <w:r>
              <w:t>5</w:t>
            </w:r>
          </w:p>
        </w:tc>
      </w:tr>
      <w:tr w:rsidR="00BB59A4" w:rsidRPr="009D53C4" w:rsidTr="002E7042">
        <w:trPr>
          <w:cnfStyle w:val="000000010000" w:firstRow="0" w:lastRow="0" w:firstColumn="0" w:lastColumn="0" w:oddVBand="0" w:evenVBand="0" w:oddHBand="0" w:evenHBand="1" w:firstRowFirstColumn="0" w:firstRowLastColumn="0" w:lastRowFirstColumn="0" w:lastRowLastColumn="0"/>
          <w:trHeight w:val="284"/>
        </w:trPr>
        <w:tc>
          <w:tcPr>
            <w:tcW w:w="906" w:type="pct"/>
            <w:vMerge/>
          </w:tcPr>
          <w:p w:rsidR="00BB59A4" w:rsidRPr="00FE4491" w:rsidRDefault="00BB59A4" w:rsidP="00E15678">
            <w:pPr>
              <w:pStyle w:val="TableTextEntries"/>
            </w:pPr>
          </w:p>
        </w:tc>
        <w:tc>
          <w:tcPr>
            <w:tcW w:w="658" w:type="pct"/>
            <w:vMerge/>
          </w:tcPr>
          <w:p w:rsidR="00BB59A4" w:rsidRPr="00FE4491" w:rsidRDefault="00BB59A4" w:rsidP="00E15678">
            <w:pPr>
              <w:pStyle w:val="TableTextEntries"/>
            </w:pPr>
          </w:p>
        </w:tc>
        <w:tc>
          <w:tcPr>
            <w:tcW w:w="416" w:type="pct"/>
          </w:tcPr>
          <w:p w:rsidR="00BB59A4" w:rsidRPr="00FE4491" w:rsidRDefault="00BB59A4" w:rsidP="009750EA">
            <w:pPr>
              <w:pStyle w:val="TableTextEntries"/>
            </w:pPr>
            <w:r w:rsidRPr="00FE4491">
              <w:t>201</w:t>
            </w:r>
            <w:r>
              <w:t>3 QAI</w:t>
            </w:r>
          </w:p>
        </w:tc>
        <w:tc>
          <w:tcPr>
            <w:tcW w:w="418" w:type="pct"/>
            <w:shd w:val="clear" w:color="auto" w:fill="92D050"/>
            <w:noWrap/>
          </w:tcPr>
          <w:p w:rsidR="00BB59A4" w:rsidRPr="00FE4491" w:rsidRDefault="002E7042" w:rsidP="00E15678">
            <w:pPr>
              <w:pStyle w:val="TableTextEntries"/>
              <w:jc w:val="center"/>
            </w:pPr>
            <w:r>
              <w:t>5</w:t>
            </w:r>
          </w:p>
        </w:tc>
        <w:tc>
          <w:tcPr>
            <w:tcW w:w="415" w:type="pct"/>
            <w:shd w:val="clear" w:color="auto" w:fill="92D050"/>
            <w:noWrap/>
          </w:tcPr>
          <w:p w:rsidR="00BB59A4" w:rsidRPr="00FE4491" w:rsidRDefault="002E7042" w:rsidP="00E15678">
            <w:pPr>
              <w:pStyle w:val="TableTextEntries"/>
              <w:jc w:val="center"/>
            </w:pPr>
            <w:r>
              <w:t>5</w:t>
            </w:r>
          </w:p>
        </w:tc>
        <w:tc>
          <w:tcPr>
            <w:tcW w:w="418" w:type="pct"/>
            <w:shd w:val="clear" w:color="auto" w:fill="FFFF00"/>
            <w:noWrap/>
          </w:tcPr>
          <w:p w:rsidR="00BB59A4" w:rsidRPr="00FE4491" w:rsidRDefault="002E7042" w:rsidP="00E15678">
            <w:pPr>
              <w:pStyle w:val="TableTextEntries"/>
              <w:jc w:val="center"/>
            </w:pPr>
            <w:r>
              <w:t>4</w:t>
            </w:r>
          </w:p>
        </w:tc>
        <w:tc>
          <w:tcPr>
            <w:tcW w:w="415" w:type="pct"/>
            <w:shd w:val="clear" w:color="auto" w:fill="FFFF00"/>
            <w:noWrap/>
          </w:tcPr>
          <w:p w:rsidR="00BB59A4" w:rsidRPr="00FE4491" w:rsidRDefault="002E7042" w:rsidP="00E15678">
            <w:pPr>
              <w:pStyle w:val="TableTextEntries"/>
              <w:jc w:val="center"/>
            </w:pPr>
            <w:r>
              <w:t>4</w:t>
            </w:r>
          </w:p>
        </w:tc>
        <w:tc>
          <w:tcPr>
            <w:tcW w:w="418" w:type="pct"/>
            <w:shd w:val="clear" w:color="auto" w:fill="FFFF00"/>
            <w:noWrap/>
          </w:tcPr>
          <w:p w:rsidR="00BB59A4" w:rsidRPr="00FE4491" w:rsidRDefault="002E7042" w:rsidP="00E15678">
            <w:pPr>
              <w:pStyle w:val="TableTextEntries"/>
              <w:jc w:val="center"/>
            </w:pPr>
            <w:r>
              <w:t>4</w:t>
            </w:r>
          </w:p>
        </w:tc>
        <w:tc>
          <w:tcPr>
            <w:tcW w:w="415" w:type="pct"/>
            <w:shd w:val="clear" w:color="auto" w:fill="92D050"/>
            <w:noWrap/>
          </w:tcPr>
          <w:p w:rsidR="00BB59A4" w:rsidRPr="00FE4491" w:rsidRDefault="002E7042" w:rsidP="00E15678">
            <w:pPr>
              <w:pStyle w:val="TableTextEntries"/>
              <w:jc w:val="center"/>
            </w:pPr>
            <w:r>
              <w:t>5</w:t>
            </w:r>
          </w:p>
        </w:tc>
        <w:tc>
          <w:tcPr>
            <w:tcW w:w="412" w:type="pct"/>
          </w:tcPr>
          <w:p w:rsidR="00BB59A4" w:rsidRDefault="00BB59A4" w:rsidP="00E15678">
            <w:pPr>
              <w:pStyle w:val="TableTextEntries"/>
              <w:jc w:val="center"/>
            </w:pPr>
            <w:r>
              <w:t>n/a</w:t>
            </w:r>
          </w:p>
        </w:tc>
      </w:tr>
      <w:tr w:rsidR="00BB59A4" w:rsidRPr="009D53C4" w:rsidTr="002E7042">
        <w:trPr>
          <w:cnfStyle w:val="000000010000" w:firstRow="0" w:lastRow="0" w:firstColumn="0" w:lastColumn="0" w:oddVBand="0" w:evenVBand="0" w:oddHBand="0" w:evenHBand="1" w:firstRowFirstColumn="0" w:firstRowLastColumn="0" w:lastRowFirstColumn="0" w:lastRowLastColumn="0"/>
          <w:trHeight w:val="284"/>
        </w:trPr>
        <w:tc>
          <w:tcPr>
            <w:tcW w:w="906" w:type="pct"/>
            <w:vMerge w:val="restart"/>
          </w:tcPr>
          <w:p w:rsidR="00BB59A4" w:rsidRPr="00FE4491" w:rsidRDefault="002E7042" w:rsidP="00E15678">
            <w:pPr>
              <w:pStyle w:val="TableTextEntries"/>
            </w:pPr>
            <w:r>
              <w:t>Vanuatu Health Sector Support</w:t>
            </w:r>
          </w:p>
        </w:tc>
        <w:tc>
          <w:tcPr>
            <w:tcW w:w="658" w:type="pct"/>
            <w:vMerge w:val="restart"/>
          </w:tcPr>
          <w:p w:rsidR="00BB59A4" w:rsidRPr="00FE4491" w:rsidRDefault="002E7042" w:rsidP="00E15678">
            <w:pPr>
              <w:pStyle w:val="TableTextEntries"/>
            </w:pPr>
            <w:r>
              <w:t>$41,539,191.11</w:t>
            </w:r>
            <w:r>
              <w:br/>
              <w:t>2010-2018</w:t>
            </w:r>
          </w:p>
        </w:tc>
        <w:tc>
          <w:tcPr>
            <w:tcW w:w="416" w:type="pct"/>
          </w:tcPr>
          <w:p w:rsidR="00BB59A4" w:rsidRPr="00FE4491" w:rsidRDefault="00BB59A4" w:rsidP="009750EA">
            <w:pPr>
              <w:pStyle w:val="TableTextEntries"/>
            </w:pPr>
            <w:r w:rsidRPr="00FE4491">
              <w:t>201</w:t>
            </w:r>
            <w:r>
              <w:t>4 AQC</w:t>
            </w:r>
          </w:p>
        </w:tc>
        <w:tc>
          <w:tcPr>
            <w:tcW w:w="418" w:type="pct"/>
            <w:shd w:val="clear" w:color="auto" w:fill="FFFF00"/>
            <w:noWrap/>
          </w:tcPr>
          <w:p w:rsidR="00BB59A4" w:rsidRPr="00FE4491" w:rsidRDefault="002E7042" w:rsidP="00E15678">
            <w:pPr>
              <w:pStyle w:val="TableTextEntries"/>
              <w:jc w:val="center"/>
            </w:pPr>
            <w:r>
              <w:t>4</w:t>
            </w:r>
          </w:p>
        </w:tc>
        <w:tc>
          <w:tcPr>
            <w:tcW w:w="415" w:type="pct"/>
            <w:shd w:val="clear" w:color="auto" w:fill="FFFF00"/>
            <w:noWrap/>
          </w:tcPr>
          <w:p w:rsidR="00BB59A4" w:rsidRPr="00FE4491" w:rsidRDefault="002E7042" w:rsidP="00E15678">
            <w:pPr>
              <w:pStyle w:val="TableTextEntries"/>
              <w:jc w:val="center"/>
            </w:pPr>
            <w:r>
              <w:t>4</w:t>
            </w:r>
          </w:p>
        </w:tc>
        <w:tc>
          <w:tcPr>
            <w:tcW w:w="418" w:type="pct"/>
            <w:shd w:val="clear" w:color="auto" w:fill="92D050"/>
            <w:noWrap/>
          </w:tcPr>
          <w:p w:rsidR="00BB59A4" w:rsidRPr="00FE4491" w:rsidRDefault="002E7042" w:rsidP="00E15678">
            <w:pPr>
              <w:pStyle w:val="TableTextEntries"/>
              <w:jc w:val="center"/>
            </w:pPr>
            <w:r>
              <w:t>5</w:t>
            </w:r>
          </w:p>
        </w:tc>
        <w:tc>
          <w:tcPr>
            <w:tcW w:w="415" w:type="pct"/>
            <w:shd w:val="clear" w:color="auto" w:fill="FFC000"/>
            <w:noWrap/>
          </w:tcPr>
          <w:p w:rsidR="00BB59A4" w:rsidRPr="00FE4491" w:rsidRDefault="002E7042" w:rsidP="00E15678">
            <w:pPr>
              <w:pStyle w:val="TableTextEntries"/>
              <w:jc w:val="center"/>
            </w:pPr>
            <w:r>
              <w:t>3</w:t>
            </w:r>
          </w:p>
        </w:tc>
        <w:tc>
          <w:tcPr>
            <w:tcW w:w="418" w:type="pct"/>
            <w:shd w:val="clear" w:color="auto" w:fill="FFFF00"/>
            <w:noWrap/>
          </w:tcPr>
          <w:p w:rsidR="00BB59A4" w:rsidRPr="00FE4491" w:rsidRDefault="002E7042" w:rsidP="00E15678">
            <w:pPr>
              <w:pStyle w:val="TableTextEntries"/>
              <w:jc w:val="center"/>
            </w:pPr>
            <w:r>
              <w:t>4</w:t>
            </w:r>
          </w:p>
        </w:tc>
        <w:tc>
          <w:tcPr>
            <w:tcW w:w="415" w:type="pct"/>
            <w:shd w:val="clear" w:color="auto" w:fill="FFFF00"/>
            <w:noWrap/>
          </w:tcPr>
          <w:p w:rsidR="00BB59A4" w:rsidRPr="00FE4491" w:rsidRDefault="002E7042" w:rsidP="00E15678">
            <w:pPr>
              <w:pStyle w:val="TableTextEntries"/>
              <w:jc w:val="center"/>
            </w:pPr>
            <w:r>
              <w:t>4</w:t>
            </w:r>
          </w:p>
        </w:tc>
        <w:tc>
          <w:tcPr>
            <w:tcW w:w="412" w:type="pct"/>
            <w:shd w:val="clear" w:color="auto" w:fill="FFFF00"/>
          </w:tcPr>
          <w:p w:rsidR="00BB59A4" w:rsidRDefault="002E7042" w:rsidP="00E15678">
            <w:pPr>
              <w:pStyle w:val="TableTextEntries"/>
              <w:jc w:val="center"/>
            </w:pPr>
            <w:r>
              <w:t>4</w:t>
            </w:r>
          </w:p>
        </w:tc>
      </w:tr>
      <w:tr w:rsidR="00BB59A4" w:rsidRPr="009D53C4" w:rsidTr="002E7042">
        <w:trPr>
          <w:cnfStyle w:val="000000010000" w:firstRow="0" w:lastRow="0" w:firstColumn="0" w:lastColumn="0" w:oddVBand="0" w:evenVBand="0" w:oddHBand="0" w:evenHBand="1" w:firstRowFirstColumn="0" w:firstRowLastColumn="0" w:lastRowFirstColumn="0" w:lastRowLastColumn="0"/>
          <w:trHeight w:val="284"/>
        </w:trPr>
        <w:tc>
          <w:tcPr>
            <w:tcW w:w="906" w:type="pct"/>
            <w:vMerge/>
          </w:tcPr>
          <w:p w:rsidR="00BB59A4" w:rsidRPr="00FE4491" w:rsidRDefault="00BB59A4" w:rsidP="00E15678">
            <w:pPr>
              <w:pStyle w:val="TableTextEntries"/>
            </w:pPr>
          </w:p>
        </w:tc>
        <w:tc>
          <w:tcPr>
            <w:tcW w:w="658" w:type="pct"/>
            <w:vMerge/>
          </w:tcPr>
          <w:p w:rsidR="00BB59A4" w:rsidRPr="00FE4491" w:rsidRDefault="00BB59A4" w:rsidP="00E15678">
            <w:pPr>
              <w:pStyle w:val="TableTextEntries"/>
            </w:pPr>
          </w:p>
        </w:tc>
        <w:tc>
          <w:tcPr>
            <w:tcW w:w="416" w:type="pct"/>
          </w:tcPr>
          <w:p w:rsidR="00BB59A4" w:rsidRPr="00FE4491" w:rsidRDefault="00BB59A4" w:rsidP="009750EA">
            <w:pPr>
              <w:pStyle w:val="TableTextEntries"/>
            </w:pPr>
            <w:r w:rsidRPr="00FE4491">
              <w:t>201</w:t>
            </w:r>
            <w:r>
              <w:t>3 QAI</w:t>
            </w:r>
          </w:p>
        </w:tc>
        <w:tc>
          <w:tcPr>
            <w:tcW w:w="418" w:type="pct"/>
            <w:shd w:val="clear" w:color="auto" w:fill="92D050"/>
            <w:noWrap/>
          </w:tcPr>
          <w:p w:rsidR="00BB59A4" w:rsidRPr="00FE4491" w:rsidRDefault="002E7042" w:rsidP="00E15678">
            <w:pPr>
              <w:pStyle w:val="TableTextEntries"/>
              <w:jc w:val="center"/>
            </w:pPr>
            <w:r>
              <w:t>5</w:t>
            </w:r>
          </w:p>
        </w:tc>
        <w:tc>
          <w:tcPr>
            <w:tcW w:w="415" w:type="pct"/>
            <w:shd w:val="clear" w:color="auto" w:fill="FFFF00"/>
            <w:noWrap/>
          </w:tcPr>
          <w:p w:rsidR="00BB59A4" w:rsidRPr="00FE4491" w:rsidRDefault="002E7042" w:rsidP="00E15678">
            <w:pPr>
              <w:pStyle w:val="TableTextEntries"/>
              <w:jc w:val="center"/>
            </w:pPr>
            <w:r>
              <w:t>4</w:t>
            </w:r>
          </w:p>
        </w:tc>
        <w:tc>
          <w:tcPr>
            <w:tcW w:w="418" w:type="pct"/>
            <w:shd w:val="clear" w:color="auto" w:fill="FFFF00"/>
            <w:noWrap/>
          </w:tcPr>
          <w:p w:rsidR="00BB59A4" w:rsidRPr="00FE4491" w:rsidRDefault="002E7042" w:rsidP="00E15678">
            <w:pPr>
              <w:pStyle w:val="TableTextEntries"/>
              <w:jc w:val="center"/>
            </w:pPr>
            <w:r>
              <w:t>4</w:t>
            </w:r>
          </w:p>
        </w:tc>
        <w:tc>
          <w:tcPr>
            <w:tcW w:w="415" w:type="pct"/>
            <w:shd w:val="clear" w:color="auto" w:fill="FFFF00"/>
            <w:noWrap/>
          </w:tcPr>
          <w:p w:rsidR="00BB59A4" w:rsidRPr="00FE4491" w:rsidRDefault="002E7042" w:rsidP="00E15678">
            <w:pPr>
              <w:pStyle w:val="TableTextEntries"/>
              <w:jc w:val="center"/>
            </w:pPr>
            <w:r>
              <w:t>4</w:t>
            </w:r>
          </w:p>
        </w:tc>
        <w:tc>
          <w:tcPr>
            <w:tcW w:w="418" w:type="pct"/>
            <w:shd w:val="clear" w:color="auto" w:fill="FFFF00"/>
            <w:noWrap/>
          </w:tcPr>
          <w:p w:rsidR="00BB59A4" w:rsidRPr="00FE4491" w:rsidRDefault="002E7042" w:rsidP="00E15678">
            <w:pPr>
              <w:pStyle w:val="TableTextEntries"/>
              <w:jc w:val="center"/>
            </w:pPr>
            <w:r>
              <w:t>4</w:t>
            </w:r>
          </w:p>
        </w:tc>
        <w:tc>
          <w:tcPr>
            <w:tcW w:w="415" w:type="pct"/>
            <w:shd w:val="clear" w:color="auto" w:fill="FFFF00"/>
            <w:noWrap/>
          </w:tcPr>
          <w:p w:rsidR="00BB59A4" w:rsidRPr="00FE4491" w:rsidRDefault="002E7042" w:rsidP="00E15678">
            <w:pPr>
              <w:pStyle w:val="TableTextEntries"/>
              <w:jc w:val="center"/>
            </w:pPr>
            <w:r>
              <w:t>4</w:t>
            </w:r>
          </w:p>
        </w:tc>
        <w:tc>
          <w:tcPr>
            <w:tcW w:w="412" w:type="pct"/>
          </w:tcPr>
          <w:p w:rsidR="00BB59A4" w:rsidRDefault="00BB59A4" w:rsidP="00E15678">
            <w:pPr>
              <w:pStyle w:val="TableTextEntries"/>
              <w:jc w:val="center"/>
            </w:pPr>
            <w:r>
              <w:t>n/a</w:t>
            </w:r>
          </w:p>
        </w:tc>
      </w:tr>
      <w:tr w:rsidR="00BB59A4" w:rsidRPr="009D53C4" w:rsidTr="00982ECA">
        <w:trPr>
          <w:cnfStyle w:val="000000010000" w:firstRow="0" w:lastRow="0" w:firstColumn="0" w:lastColumn="0" w:oddVBand="0" w:evenVBand="0" w:oddHBand="0" w:evenHBand="1" w:firstRowFirstColumn="0" w:firstRowLastColumn="0" w:lastRowFirstColumn="0" w:lastRowLastColumn="0"/>
          <w:trHeight w:val="284"/>
        </w:trPr>
        <w:tc>
          <w:tcPr>
            <w:tcW w:w="906" w:type="pct"/>
            <w:vMerge w:val="restart"/>
          </w:tcPr>
          <w:p w:rsidR="00BB59A4" w:rsidRPr="00FE4491" w:rsidRDefault="002E7042" w:rsidP="00E15678">
            <w:pPr>
              <w:pStyle w:val="TableTextEntries"/>
            </w:pPr>
            <w:r>
              <w:t>Vanuatu Policing and Justice Support Program</w:t>
            </w:r>
          </w:p>
        </w:tc>
        <w:tc>
          <w:tcPr>
            <w:tcW w:w="658" w:type="pct"/>
            <w:vMerge w:val="restart"/>
          </w:tcPr>
          <w:p w:rsidR="00BB59A4" w:rsidRPr="00FE4491" w:rsidRDefault="002E7042" w:rsidP="008E2540">
            <w:pPr>
              <w:pStyle w:val="TableTextEntries"/>
            </w:pPr>
            <w:r>
              <w:t>$</w:t>
            </w:r>
            <w:r w:rsidR="008E2540">
              <w:t>16,558,818.36</w:t>
            </w:r>
            <w:r w:rsidR="008E2540">
              <w:br/>
              <w:t>2014-2016</w:t>
            </w:r>
          </w:p>
        </w:tc>
        <w:tc>
          <w:tcPr>
            <w:tcW w:w="416" w:type="pct"/>
          </w:tcPr>
          <w:p w:rsidR="00BB59A4" w:rsidRPr="00FE4491" w:rsidRDefault="00BB59A4" w:rsidP="009750EA">
            <w:pPr>
              <w:pStyle w:val="TableTextEntries"/>
            </w:pPr>
            <w:r w:rsidRPr="00FE4491">
              <w:t>201</w:t>
            </w:r>
            <w:r>
              <w:t>4 AQC</w:t>
            </w:r>
          </w:p>
        </w:tc>
        <w:tc>
          <w:tcPr>
            <w:tcW w:w="418" w:type="pct"/>
            <w:shd w:val="clear" w:color="auto" w:fill="92D050"/>
            <w:noWrap/>
          </w:tcPr>
          <w:p w:rsidR="00BB59A4" w:rsidRPr="00FE4491" w:rsidRDefault="008E2540" w:rsidP="00E15678">
            <w:pPr>
              <w:pStyle w:val="TableTextEntries"/>
              <w:jc w:val="center"/>
            </w:pPr>
            <w:r>
              <w:t>5</w:t>
            </w:r>
          </w:p>
        </w:tc>
        <w:tc>
          <w:tcPr>
            <w:tcW w:w="415" w:type="pct"/>
            <w:shd w:val="clear" w:color="auto" w:fill="92D050"/>
            <w:noWrap/>
          </w:tcPr>
          <w:p w:rsidR="00BB59A4" w:rsidRPr="00FE4491" w:rsidRDefault="008E2540" w:rsidP="00E15678">
            <w:pPr>
              <w:pStyle w:val="TableTextEntries"/>
              <w:jc w:val="center"/>
            </w:pPr>
            <w:r>
              <w:t>5</w:t>
            </w:r>
          </w:p>
        </w:tc>
        <w:tc>
          <w:tcPr>
            <w:tcW w:w="418" w:type="pct"/>
            <w:shd w:val="clear" w:color="auto" w:fill="92D050"/>
            <w:noWrap/>
          </w:tcPr>
          <w:p w:rsidR="00BB59A4" w:rsidRPr="00FE4491" w:rsidRDefault="008E2540" w:rsidP="00E15678">
            <w:pPr>
              <w:pStyle w:val="TableTextEntries"/>
              <w:jc w:val="center"/>
            </w:pPr>
            <w:r>
              <w:t>5</w:t>
            </w:r>
          </w:p>
        </w:tc>
        <w:tc>
          <w:tcPr>
            <w:tcW w:w="415" w:type="pct"/>
            <w:shd w:val="clear" w:color="auto" w:fill="FFFF00"/>
            <w:noWrap/>
          </w:tcPr>
          <w:p w:rsidR="00BB59A4" w:rsidRPr="00FE4491" w:rsidRDefault="008E2540" w:rsidP="00E15678">
            <w:pPr>
              <w:pStyle w:val="TableTextEntries"/>
              <w:jc w:val="center"/>
            </w:pPr>
            <w:r>
              <w:t>4</w:t>
            </w:r>
          </w:p>
        </w:tc>
        <w:tc>
          <w:tcPr>
            <w:tcW w:w="418" w:type="pct"/>
            <w:shd w:val="clear" w:color="auto" w:fill="FFFF00"/>
            <w:noWrap/>
          </w:tcPr>
          <w:p w:rsidR="00BB59A4" w:rsidRPr="00FE4491" w:rsidRDefault="008E2540" w:rsidP="00E15678">
            <w:pPr>
              <w:pStyle w:val="TableTextEntries"/>
              <w:jc w:val="center"/>
            </w:pPr>
            <w:r>
              <w:t>4</w:t>
            </w:r>
          </w:p>
        </w:tc>
        <w:tc>
          <w:tcPr>
            <w:tcW w:w="415" w:type="pct"/>
            <w:shd w:val="clear" w:color="auto" w:fill="FFFF00"/>
            <w:noWrap/>
          </w:tcPr>
          <w:p w:rsidR="00BB59A4" w:rsidRPr="00FE4491" w:rsidRDefault="008E2540" w:rsidP="00E15678">
            <w:pPr>
              <w:pStyle w:val="TableTextEntries"/>
              <w:jc w:val="center"/>
            </w:pPr>
            <w:r>
              <w:t>4</w:t>
            </w:r>
          </w:p>
        </w:tc>
        <w:tc>
          <w:tcPr>
            <w:tcW w:w="412" w:type="pct"/>
            <w:shd w:val="clear" w:color="auto" w:fill="FFFF00"/>
          </w:tcPr>
          <w:p w:rsidR="00BB59A4" w:rsidRDefault="008E2540" w:rsidP="00E15678">
            <w:pPr>
              <w:pStyle w:val="TableTextEntries"/>
              <w:jc w:val="center"/>
            </w:pPr>
            <w:r>
              <w:t>4</w:t>
            </w:r>
          </w:p>
        </w:tc>
      </w:tr>
      <w:tr w:rsidR="008E2540" w:rsidRPr="009D53C4" w:rsidTr="00BB59A4">
        <w:trPr>
          <w:cnfStyle w:val="000000010000" w:firstRow="0" w:lastRow="0" w:firstColumn="0" w:lastColumn="0" w:oddVBand="0" w:evenVBand="0" w:oddHBand="0" w:evenHBand="1" w:firstRowFirstColumn="0" w:firstRowLastColumn="0" w:lastRowFirstColumn="0" w:lastRowLastColumn="0"/>
          <w:trHeight w:val="284"/>
        </w:trPr>
        <w:tc>
          <w:tcPr>
            <w:tcW w:w="906" w:type="pct"/>
            <w:vMerge/>
          </w:tcPr>
          <w:p w:rsidR="008E2540" w:rsidRPr="00FE4491" w:rsidRDefault="008E2540" w:rsidP="00E15678">
            <w:pPr>
              <w:pStyle w:val="TableTextEntries"/>
            </w:pPr>
          </w:p>
        </w:tc>
        <w:tc>
          <w:tcPr>
            <w:tcW w:w="658" w:type="pct"/>
            <w:vMerge/>
          </w:tcPr>
          <w:p w:rsidR="008E2540" w:rsidRPr="00FE4491" w:rsidRDefault="008E2540" w:rsidP="00E15678">
            <w:pPr>
              <w:pStyle w:val="TableTextEntries"/>
            </w:pPr>
          </w:p>
        </w:tc>
        <w:tc>
          <w:tcPr>
            <w:tcW w:w="416" w:type="pct"/>
          </w:tcPr>
          <w:p w:rsidR="008E2540" w:rsidRPr="00FE4491" w:rsidRDefault="008E2540" w:rsidP="009750EA">
            <w:pPr>
              <w:pStyle w:val="TableTextEntries"/>
            </w:pPr>
            <w:r w:rsidRPr="00FE4491">
              <w:t>201</w:t>
            </w:r>
            <w:r>
              <w:t>3 QAI</w:t>
            </w:r>
          </w:p>
        </w:tc>
        <w:tc>
          <w:tcPr>
            <w:tcW w:w="418" w:type="pct"/>
            <w:noWrap/>
          </w:tcPr>
          <w:p w:rsidR="008E2540" w:rsidRPr="00FE4491" w:rsidRDefault="008E2540" w:rsidP="00E15678">
            <w:pPr>
              <w:pStyle w:val="TableTextEntries"/>
              <w:jc w:val="center"/>
            </w:pPr>
            <w:r>
              <w:t>n/a</w:t>
            </w:r>
          </w:p>
        </w:tc>
        <w:tc>
          <w:tcPr>
            <w:tcW w:w="415" w:type="pct"/>
            <w:noWrap/>
          </w:tcPr>
          <w:p w:rsidR="008E2540" w:rsidRPr="008E2540" w:rsidRDefault="008E2540">
            <w:pPr>
              <w:rPr>
                <w:rFonts w:ascii="Franklin Gothic Book" w:eastAsia="Times New Roman" w:hAnsi="Franklin Gothic Book"/>
                <w:iCs/>
                <w:sz w:val="17"/>
                <w:szCs w:val="17"/>
                <w:lang w:eastAsia="en-US"/>
              </w:rPr>
            </w:pPr>
            <w:r w:rsidRPr="008E2540">
              <w:rPr>
                <w:rFonts w:ascii="Franklin Gothic Book" w:eastAsia="Times New Roman" w:hAnsi="Franklin Gothic Book"/>
                <w:iCs/>
                <w:sz w:val="17"/>
                <w:szCs w:val="17"/>
                <w:lang w:eastAsia="en-US"/>
              </w:rPr>
              <w:t>n/a</w:t>
            </w:r>
          </w:p>
        </w:tc>
        <w:tc>
          <w:tcPr>
            <w:tcW w:w="418" w:type="pct"/>
            <w:noWrap/>
          </w:tcPr>
          <w:p w:rsidR="008E2540" w:rsidRPr="008E2540" w:rsidRDefault="008E2540">
            <w:pPr>
              <w:rPr>
                <w:rFonts w:ascii="Franklin Gothic Book" w:eastAsia="Times New Roman" w:hAnsi="Franklin Gothic Book"/>
                <w:iCs/>
                <w:sz w:val="17"/>
                <w:szCs w:val="17"/>
                <w:lang w:eastAsia="en-US"/>
              </w:rPr>
            </w:pPr>
            <w:r w:rsidRPr="008E2540">
              <w:rPr>
                <w:rFonts w:ascii="Franklin Gothic Book" w:eastAsia="Times New Roman" w:hAnsi="Franklin Gothic Book"/>
                <w:iCs/>
                <w:sz w:val="17"/>
                <w:szCs w:val="17"/>
                <w:lang w:eastAsia="en-US"/>
              </w:rPr>
              <w:t>n/a</w:t>
            </w:r>
          </w:p>
        </w:tc>
        <w:tc>
          <w:tcPr>
            <w:tcW w:w="415" w:type="pct"/>
            <w:noWrap/>
          </w:tcPr>
          <w:p w:rsidR="008E2540" w:rsidRPr="008E2540" w:rsidRDefault="008E2540">
            <w:pPr>
              <w:rPr>
                <w:rFonts w:ascii="Franklin Gothic Book" w:eastAsia="Times New Roman" w:hAnsi="Franklin Gothic Book"/>
                <w:iCs/>
                <w:sz w:val="17"/>
                <w:szCs w:val="17"/>
                <w:lang w:eastAsia="en-US"/>
              </w:rPr>
            </w:pPr>
            <w:r w:rsidRPr="008E2540">
              <w:rPr>
                <w:rFonts w:ascii="Franklin Gothic Book" w:eastAsia="Times New Roman" w:hAnsi="Franklin Gothic Book"/>
                <w:iCs/>
                <w:sz w:val="17"/>
                <w:szCs w:val="17"/>
                <w:lang w:eastAsia="en-US"/>
              </w:rPr>
              <w:t>n/a</w:t>
            </w:r>
          </w:p>
        </w:tc>
        <w:tc>
          <w:tcPr>
            <w:tcW w:w="418" w:type="pct"/>
            <w:noWrap/>
          </w:tcPr>
          <w:p w:rsidR="008E2540" w:rsidRPr="008E2540" w:rsidRDefault="008E2540">
            <w:pPr>
              <w:rPr>
                <w:rFonts w:ascii="Franklin Gothic Book" w:eastAsia="Times New Roman" w:hAnsi="Franklin Gothic Book"/>
                <w:iCs/>
                <w:sz w:val="17"/>
                <w:szCs w:val="17"/>
                <w:lang w:eastAsia="en-US"/>
              </w:rPr>
            </w:pPr>
            <w:r w:rsidRPr="008E2540">
              <w:rPr>
                <w:rFonts w:ascii="Franklin Gothic Book" w:eastAsia="Times New Roman" w:hAnsi="Franklin Gothic Book"/>
                <w:iCs/>
                <w:sz w:val="17"/>
                <w:szCs w:val="17"/>
                <w:lang w:eastAsia="en-US"/>
              </w:rPr>
              <w:t>n/a</w:t>
            </w:r>
          </w:p>
        </w:tc>
        <w:tc>
          <w:tcPr>
            <w:tcW w:w="415" w:type="pct"/>
            <w:noWrap/>
          </w:tcPr>
          <w:p w:rsidR="008E2540" w:rsidRPr="008E2540" w:rsidRDefault="008E2540">
            <w:pPr>
              <w:rPr>
                <w:rFonts w:ascii="Franklin Gothic Book" w:eastAsia="Times New Roman" w:hAnsi="Franklin Gothic Book"/>
                <w:iCs/>
                <w:sz w:val="17"/>
                <w:szCs w:val="17"/>
                <w:lang w:eastAsia="en-US"/>
              </w:rPr>
            </w:pPr>
            <w:r w:rsidRPr="008E2540">
              <w:rPr>
                <w:rFonts w:ascii="Franklin Gothic Book" w:eastAsia="Times New Roman" w:hAnsi="Franklin Gothic Book"/>
                <w:iCs/>
                <w:sz w:val="17"/>
                <w:szCs w:val="17"/>
                <w:lang w:eastAsia="en-US"/>
              </w:rPr>
              <w:t>n/a</w:t>
            </w:r>
          </w:p>
        </w:tc>
        <w:tc>
          <w:tcPr>
            <w:tcW w:w="412" w:type="pct"/>
          </w:tcPr>
          <w:p w:rsidR="008E2540" w:rsidRDefault="008E2540" w:rsidP="00E15678">
            <w:pPr>
              <w:pStyle w:val="TableTextEntries"/>
              <w:jc w:val="center"/>
            </w:pPr>
            <w:r>
              <w:t>n/a</w:t>
            </w:r>
          </w:p>
        </w:tc>
      </w:tr>
      <w:tr w:rsidR="00BB59A4" w:rsidRPr="009D53C4" w:rsidTr="00B50A58">
        <w:trPr>
          <w:cnfStyle w:val="000000010000" w:firstRow="0" w:lastRow="0" w:firstColumn="0" w:lastColumn="0" w:oddVBand="0" w:evenVBand="0" w:oddHBand="0" w:evenHBand="1" w:firstRowFirstColumn="0" w:firstRowLastColumn="0" w:lastRowFirstColumn="0" w:lastRowLastColumn="0"/>
          <w:trHeight w:val="284"/>
        </w:trPr>
        <w:tc>
          <w:tcPr>
            <w:tcW w:w="906" w:type="pct"/>
            <w:vMerge w:val="restart"/>
          </w:tcPr>
          <w:p w:rsidR="00BB59A4" w:rsidRPr="00FE4491" w:rsidRDefault="00B50A58" w:rsidP="00E15678">
            <w:pPr>
              <w:pStyle w:val="TableTextEntries"/>
            </w:pPr>
            <w:r>
              <w:t>Vanuatu TVET Program Phase 3</w:t>
            </w:r>
          </w:p>
        </w:tc>
        <w:tc>
          <w:tcPr>
            <w:tcW w:w="658" w:type="pct"/>
            <w:vMerge w:val="restart"/>
          </w:tcPr>
          <w:p w:rsidR="00BB59A4" w:rsidRPr="00FE4491" w:rsidRDefault="00B50A58" w:rsidP="00E15678">
            <w:pPr>
              <w:pStyle w:val="TableTextEntries"/>
            </w:pPr>
            <w:r>
              <w:t>$11,054,691.24</w:t>
            </w:r>
            <w:r>
              <w:br/>
              <w:t>2011-2016</w:t>
            </w:r>
          </w:p>
        </w:tc>
        <w:tc>
          <w:tcPr>
            <w:tcW w:w="416" w:type="pct"/>
          </w:tcPr>
          <w:p w:rsidR="00BB59A4" w:rsidRPr="00FE4491" w:rsidRDefault="00BB59A4" w:rsidP="009750EA">
            <w:pPr>
              <w:pStyle w:val="TableTextEntries"/>
            </w:pPr>
            <w:r w:rsidRPr="00FE4491">
              <w:t>201</w:t>
            </w:r>
            <w:r>
              <w:t>4 AQC</w:t>
            </w:r>
          </w:p>
        </w:tc>
        <w:tc>
          <w:tcPr>
            <w:tcW w:w="418" w:type="pct"/>
            <w:shd w:val="clear" w:color="auto" w:fill="92D050"/>
            <w:noWrap/>
          </w:tcPr>
          <w:p w:rsidR="00BB59A4" w:rsidRPr="00FE4491" w:rsidRDefault="00B50A58" w:rsidP="00E15678">
            <w:pPr>
              <w:pStyle w:val="TableTextEntries"/>
              <w:jc w:val="center"/>
            </w:pPr>
            <w:r>
              <w:t>6</w:t>
            </w:r>
          </w:p>
        </w:tc>
        <w:tc>
          <w:tcPr>
            <w:tcW w:w="415" w:type="pct"/>
            <w:shd w:val="clear" w:color="auto" w:fill="92D050"/>
            <w:noWrap/>
          </w:tcPr>
          <w:p w:rsidR="00BB59A4" w:rsidRPr="00FE4491" w:rsidRDefault="00B50A58" w:rsidP="00E15678">
            <w:pPr>
              <w:pStyle w:val="TableTextEntries"/>
              <w:jc w:val="center"/>
            </w:pPr>
            <w:r>
              <w:t>5</w:t>
            </w:r>
          </w:p>
        </w:tc>
        <w:tc>
          <w:tcPr>
            <w:tcW w:w="418" w:type="pct"/>
            <w:shd w:val="clear" w:color="auto" w:fill="92D050"/>
            <w:noWrap/>
          </w:tcPr>
          <w:p w:rsidR="00BB59A4" w:rsidRPr="00FE4491" w:rsidRDefault="00B50A58" w:rsidP="00E15678">
            <w:pPr>
              <w:pStyle w:val="TableTextEntries"/>
              <w:jc w:val="center"/>
            </w:pPr>
            <w:r>
              <w:t>5</w:t>
            </w:r>
          </w:p>
        </w:tc>
        <w:tc>
          <w:tcPr>
            <w:tcW w:w="415" w:type="pct"/>
            <w:shd w:val="clear" w:color="auto" w:fill="92D050"/>
            <w:noWrap/>
          </w:tcPr>
          <w:p w:rsidR="00BB59A4" w:rsidRPr="00FE4491" w:rsidRDefault="00B50A58" w:rsidP="00E15678">
            <w:pPr>
              <w:pStyle w:val="TableTextEntries"/>
              <w:jc w:val="center"/>
            </w:pPr>
            <w:r>
              <w:t>5</w:t>
            </w:r>
          </w:p>
        </w:tc>
        <w:tc>
          <w:tcPr>
            <w:tcW w:w="418" w:type="pct"/>
            <w:shd w:val="clear" w:color="auto" w:fill="92D050"/>
            <w:noWrap/>
          </w:tcPr>
          <w:p w:rsidR="00BB59A4" w:rsidRPr="00FE4491" w:rsidRDefault="00B50A58" w:rsidP="00E15678">
            <w:pPr>
              <w:pStyle w:val="TableTextEntries"/>
              <w:jc w:val="center"/>
            </w:pPr>
            <w:r>
              <w:t>5</w:t>
            </w:r>
          </w:p>
        </w:tc>
        <w:tc>
          <w:tcPr>
            <w:tcW w:w="415" w:type="pct"/>
            <w:shd w:val="clear" w:color="auto" w:fill="92D050"/>
            <w:noWrap/>
          </w:tcPr>
          <w:p w:rsidR="00BB59A4" w:rsidRPr="00FE4491" w:rsidRDefault="00B50A58" w:rsidP="00E15678">
            <w:pPr>
              <w:pStyle w:val="TableTextEntries"/>
              <w:jc w:val="center"/>
            </w:pPr>
            <w:r>
              <w:t>6</w:t>
            </w:r>
          </w:p>
        </w:tc>
        <w:tc>
          <w:tcPr>
            <w:tcW w:w="412" w:type="pct"/>
            <w:shd w:val="clear" w:color="auto" w:fill="FFFF00"/>
          </w:tcPr>
          <w:p w:rsidR="00BB59A4" w:rsidRDefault="00B50A58" w:rsidP="00E15678">
            <w:pPr>
              <w:pStyle w:val="TableTextEntries"/>
              <w:jc w:val="center"/>
            </w:pPr>
            <w:r>
              <w:t>4</w:t>
            </w:r>
          </w:p>
        </w:tc>
      </w:tr>
      <w:tr w:rsidR="00BB59A4" w:rsidRPr="009D53C4" w:rsidTr="00B50A58">
        <w:trPr>
          <w:cnfStyle w:val="000000010000" w:firstRow="0" w:lastRow="0" w:firstColumn="0" w:lastColumn="0" w:oddVBand="0" w:evenVBand="0" w:oddHBand="0" w:evenHBand="1" w:firstRowFirstColumn="0" w:firstRowLastColumn="0" w:lastRowFirstColumn="0" w:lastRowLastColumn="0"/>
          <w:trHeight w:val="284"/>
        </w:trPr>
        <w:tc>
          <w:tcPr>
            <w:tcW w:w="906" w:type="pct"/>
            <w:vMerge/>
          </w:tcPr>
          <w:p w:rsidR="00BB59A4" w:rsidRPr="00FE4491" w:rsidRDefault="00BB59A4" w:rsidP="00E15678">
            <w:pPr>
              <w:pStyle w:val="TableTextEntries"/>
            </w:pPr>
          </w:p>
        </w:tc>
        <w:tc>
          <w:tcPr>
            <w:tcW w:w="658" w:type="pct"/>
            <w:vMerge/>
          </w:tcPr>
          <w:p w:rsidR="00BB59A4" w:rsidRPr="00FE4491" w:rsidRDefault="00BB59A4" w:rsidP="00E15678">
            <w:pPr>
              <w:pStyle w:val="TableTextEntries"/>
            </w:pPr>
          </w:p>
        </w:tc>
        <w:tc>
          <w:tcPr>
            <w:tcW w:w="416" w:type="pct"/>
          </w:tcPr>
          <w:p w:rsidR="00BB59A4" w:rsidRPr="00FE4491" w:rsidRDefault="00BB59A4" w:rsidP="009750EA">
            <w:pPr>
              <w:pStyle w:val="TableTextEntries"/>
            </w:pPr>
            <w:r w:rsidRPr="00FE4491">
              <w:t>201</w:t>
            </w:r>
            <w:r>
              <w:t>3 QAI</w:t>
            </w:r>
          </w:p>
        </w:tc>
        <w:tc>
          <w:tcPr>
            <w:tcW w:w="418" w:type="pct"/>
            <w:shd w:val="clear" w:color="auto" w:fill="92D050"/>
            <w:noWrap/>
          </w:tcPr>
          <w:p w:rsidR="00BB59A4" w:rsidRPr="00FE4491" w:rsidRDefault="00B50A58" w:rsidP="00E15678">
            <w:pPr>
              <w:pStyle w:val="TableTextEntries"/>
              <w:jc w:val="center"/>
            </w:pPr>
            <w:r>
              <w:t>6</w:t>
            </w:r>
          </w:p>
        </w:tc>
        <w:tc>
          <w:tcPr>
            <w:tcW w:w="415" w:type="pct"/>
            <w:shd w:val="clear" w:color="auto" w:fill="92D050"/>
            <w:noWrap/>
          </w:tcPr>
          <w:p w:rsidR="00BB59A4" w:rsidRPr="00FE4491" w:rsidRDefault="00B50A58" w:rsidP="00E15678">
            <w:pPr>
              <w:pStyle w:val="TableTextEntries"/>
              <w:jc w:val="center"/>
            </w:pPr>
            <w:r>
              <w:t>5</w:t>
            </w:r>
          </w:p>
        </w:tc>
        <w:tc>
          <w:tcPr>
            <w:tcW w:w="418" w:type="pct"/>
            <w:shd w:val="clear" w:color="auto" w:fill="92D050"/>
            <w:noWrap/>
          </w:tcPr>
          <w:p w:rsidR="00BB59A4" w:rsidRPr="00FE4491" w:rsidRDefault="00B50A58" w:rsidP="00E15678">
            <w:pPr>
              <w:pStyle w:val="TableTextEntries"/>
              <w:jc w:val="center"/>
            </w:pPr>
            <w:r>
              <w:t>5</w:t>
            </w:r>
          </w:p>
        </w:tc>
        <w:tc>
          <w:tcPr>
            <w:tcW w:w="415" w:type="pct"/>
            <w:shd w:val="clear" w:color="auto" w:fill="92D050"/>
            <w:noWrap/>
          </w:tcPr>
          <w:p w:rsidR="00BB59A4" w:rsidRPr="00FE4491" w:rsidRDefault="00B50A58" w:rsidP="00E15678">
            <w:pPr>
              <w:pStyle w:val="TableTextEntries"/>
              <w:jc w:val="center"/>
            </w:pPr>
            <w:r>
              <w:t>5</w:t>
            </w:r>
          </w:p>
        </w:tc>
        <w:tc>
          <w:tcPr>
            <w:tcW w:w="418" w:type="pct"/>
            <w:shd w:val="clear" w:color="auto" w:fill="92D050"/>
            <w:noWrap/>
          </w:tcPr>
          <w:p w:rsidR="00BB59A4" w:rsidRPr="00FE4491" w:rsidRDefault="00B50A58" w:rsidP="00E15678">
            <w:pPr>
              <w:pStyle w:val="TableTextEntries"/>
              <w:jc w:val="center"/>
            </w:pPr>
            <w:r>
              <w:t>5</w:t>
            </w:r>
          </w:p>
        </w:tc>
        <w:tc>
          <w:tcPr>
            <w:tcW w:w="415" w:type="pct"/>
            <w:shd w:val="clear" w:color="auto" w:fill="FFFF00"/>
            <w:noWrap/>
          </w:tcPr>
          <w:p w:rsidR="00BB59A4" w:rsidRPr="00FE4491" w:rsidRDefault="00B50A58" w:rsidP="00E15678">
            <w:pPr>
              <w:pStyle w:val="TableTextEntries"/>
              <w:jc w:val="center"/>
            </w:pPr>
            <w:r>
              <w:t>4</w:t>
            </w:r>
          </w:p>
        </w:tc>
        <w:tc>
          <w:tcPr>
            <w:tcW w:w="412" w:type="pct"/>
          </w:tcPr>
          <w:p w:rsidR="00BB59A4" w:rsidRDefault="00BB59A4" w:rsidP="00E15678">
            <w:pPr>
              <w:pStyle w:val="TableTextEntries"/>
              <w:jc w:val="center"/>
            </w:pPr>
            <w:r>
              <w:t>n/a</w:t>
            </w:r>
          </w:p>
        </w:tc>
      </w:tr>
      <w:tr w:rsidR="00BB59A4" w:rsidRPr="009D53C4" w:rsidTr="00B50A58">
        <w:trPr>
          <w:cnfStyle w:val="000000010000" w:firstRow="0" w:lastRow="0" w:firstColumn="0" w:lastColumn="0" w:oddVBand="0" w:evenVBand="0" w:oddHBand="0" w:evenHBand="1" w:firstRowFirstColumn="0" w:firstRowLastColumn="0" w:lastRowFirstColumn="0" w:lastRowLastColumn="0"/>
          <w:trHeight w:val="284"/>
        </w:trPr>
        <w:tc>
          <w:tcPr>
            <w:tcW w:w="906" w:type="pct"/>
            <w:vMerge w:val="restart"/>
          </w:tcPr>
          <w:p w:rsidR="00BB59A4" w:rsidRPr="00FE4491" w:rsidRDefault="00B50A58" w:rsidP="00E15678">
            <w:pPr>
              <w:pStyle w:val="TableTextEntries"/>
            </w:pPr>
            <w:r>
              <w:t>Vanuatu Education Support Program</w:t>
            </w:r>
          </w:p>
        </w:tc>
        <w:tc>
          <w:tcPr>
            <w:tcW w:w="658" w:type="pct"/>
            <w:vMerge w:val="restart"/>
          </w:tcPr>
          <w:p w:rsidR="00BB59A4" w:rsidRPr="00FE4491" w:rsidRDefault="00B50A58" w:rsidP="00E15678">
            <w:pPr>
              <w:pStyle w:val="TableTextEntries"/>
            </w:pPr>
            <w:r>
              <w:t>$37,556,869.14</w:t>
            </w:r>
            <w:r>
              <w:br/>
              <w:t>2012-2017</w:t>
            </w:r>
          </w:p>
        </w:tc>
        <w:tc>
          <w:tcPr>
            <w:tcW w:w="416" w:type="pct"/>
          </w:tcPr>
          <w:p w:rsidR="00BB59A4" w:rsidRPr="00FE4491" w:rsidRDefault="00BB59A4" w:rsidP="009750EA">
            <w:pPr>
              <w:pStyle w:val="TableTextEntries"/>
            </w:pPr>
            <w:r w:rsidRPr="00FE4491">
              <w:t>201</w:t>
            </w:r>
            <w:r>
              <w:t>4 AQC</w:t>
            </w:r>
          </w:p>
        </w:tc>
        <w:tc>
          <w:tcPr>
            <w:tcW w:w="418" w:type="pct"/>
            <w:shd w:val="clear" w:color="auto" w:fill="92D050"/>
            <w:noWrap/>
          </w:tcPr>
          <w:p w:rsidR="00BB59A4" w:rsidRPr="00FE4491" w:rsidRDefault="00B50A58" w:rsidP="00E15678">
            <w:pPr>
              <w:pStyle w:val="TableTextEntries"/>
              <w:jc w:val="center"/>
            </w:pPr>
            <w:r>
              <w:t>5</w:t>
            </w:r>
          </w:p>
        </w:tc>
        <w:tc>
          <w:tcPr>
            <w:tcW w:w="415" w:type="pct"/>
            <w:shd w:val="clear" w:color="auto" w:fill="92D050"/>
            <w:noWrap/>
          </w:tcPr>
          <w:p w:rsidR="00BB59A4" w:rsidRPr="00FE4491" w:rsidRDefault="00B50A58" w:rsidP="00E15678">
            <w:pPr>
              <w:pStyle w:val="TableTextEntries"/>
              <w:jc w:val="center"/>
            </w:pPr>
            <w:r>
              <w:t>5</w:t>
            </w:r>
          </w:p>
        </w:tc>
        <w:tc>
          <w:tcPr>
            <w:tcW w:w="418" w:type="pct"/>
            <w:shd w:val="clear" w:color="auto" w:fill="FFFF00"/>
            <w:noWrap/>
          </w:tcPr>
          <w:p w:rsidR="00BB59A4" w:rsidRPr="00FE4491" w:rsidRDefault="00B50A58" w:rsidP="00E15678">
            <w:pPr>
              <w:pStyle w:val="TableTextEntries"/>
              <w:jc w:val="center"/>
            </w:pPr>
            <w:r>
              <w:t>4</w:t>
            </w:r>
          </w:p>
        </w:tc>
        <w:tc>
          <w:tcPr>
            <w:tcW w:w="415" w:type="pct"/>
            <w:shd w:val="clear" w:color="auto" w:fill="FFFF00"/>
            <w:noWrap/>
          </w:tcPr>
          <w:p w:rsidR="00BB59A4" w:rsidRPr="00FE4491" w:rsidRDefault="00B50A58" w:rsidP="00E15678">
            <w:pPr>
              <w:pStyle w:val="TableTextEntries"/>
              <w:jc w:val="center"/>
            </w:pPr>
            <w:r>
              <w:t>4</w:t>
            </w:r>
          </w:p>
        </w:tc>
        <w:tc>
          <w:tcPr>
            <w:tcW w:w="418" w:type="pct"/>
            <w:shd w:val="clear" w:color="auto" w:fill="FFFF00"/>
            <w:noWrap/>
          </w:tcPr>
          <w:p w:rsidR="00BB59A4" w:rsidRPr="00FE4491" w:rsidRDefault="00B50A58" w:rsidP="00E15678">
            <w:pPr>
              <w:pStyle w:val="TableTextEntries"/>
              <w:jc w:val="center"/>
            </w:pPr>
            <w:r>
              <w:t>4</w:t>
            </w:r>
          </w:p>
        </w:tc>
        <w:tc>
          <w:tcPr>
            <w:tcW w:w="415" w:type="pct"/>
            <w:shd w:val="clear" w:color="auto" w:fill="FFFF00"/>
            <w:noWrap/>
          </w:tcPr>
          <w:p w:rsidR="00BB59A4" w:rsidRPr="00FE4491" w:rsidRDefault="00B50A58" w:rsidP="00E15678">
            <w:pPr>
              <w:pStyle w:val="TableTextEntries"/>
              <w:jc w:val="center"/>
            </w:pPr>
            <w:r>
              <w:t>4</w:t>
            </w:r>
          </w:p>
        </w:tc>
        <w:tc>
          <w:tcPr>
            <w:tcW w:w="412" w:type="pct"/>
            <w:shd w:val="clear" w:color="auto" w:fill="FFFF00"/>
          </w:tcPr>
          <w:p w:rsidR="00BB59A4" w:rsidRDefault="00B50A58" w:rsidP="00E15678">
            <w:pPr>
              <w:pStyle w:val="TableTextEntries"/>
              <w:jc w:val="center"/>
            </w:pPr>
            <w:r>
              <w:t>4</w:t>
            </w:r>
          </w:p>
        </w:tc>
      </w:tr>
      <w:tr w:rsidR="00BB59A4" w:rsidRPr="009D53C4" w:rsidTr="00BB59A4">
        <w:trPr>
          <w:cnfStyle w:val="000000010000" w:firstRow="0" w:lastRow="0" w:firstColumn="0" w:lastColumn="0" w:oddVBand="0" w:evenVBand="0" w:oddHBand="0" w:evenHBand="1" w:firstRowFirstColumn="0" w:firstRowLastColumn="0" w:lastRowFirstColumn="0" w:lastRowLastColumn="0"/>
          <w:trHeight w:val="284"/>
        </w:trPr>
        <w:tc>
          <w:tcPr>
            <w:tcW w:w="906" w:type="pct"/>
            <w:vMerge/>
          </w:tcPr>
          <w:p w:rsidR="00BB59A4" w:rsidRPr="00FE4491" w:rsidRDefault="00BB59A4" w:rsidP="00E15678">
            <w:pPr>
              <w:pStyle w:val="TableTextEntries"/>
            </w:pPr>
          </w:p>
        </w:tc>
        <w:tc>
          <w:tcPr>
            <w:tcW w:w="658" w:type="pct"/>
            <w:vMerge/>
          </w:tcPr>
          <w:p w:rsidR="00BB59A4" w:rsidRPr="00FE4491" w:rsidRDefault="00BB59A4" w:rsidP="00E15678">
            <w:pPr>
              <w:pStyle w:val="TableTextEntries"/>
            </w:pPr>
          </w:p>
        </w:tc>
        <w:tc>
          <w:tcPr>
            <w:tcW w:w="416" w:type="pct"/>
          </w:tcPr>
          <w:p w:rsidR="00BB59A4" w:rsidRPr="00FE4491" w:rsidRDefault="00BB59A4" w:rsidP="00E15678">
            <w:pPr>
              <w:pStyle w:val="TableTextEntries"/>
            </w:pPr>
            <w:r>
              <w:t>2013 QAI</w:t>
            </w:r>
          </w:p>
        </w:tc>
        <w:tc>
          <w:tcPr>
            <w:tcW w:w="418" w:type="pct"/>
            <w:noWrap/>
          </w:tcPr>
          <w:p w:rsidR="00BB59A4" w:rsidRPr="00FE4491" w:rsidRDefault="00B50A58" w:rsidP="00E15678">
            <w:pPr>
              <w:pStyle w:val="TableTextEntries"/>
              <w:jc w:val="center"/>
            </w:pPr>
            <w:r>
              <w:t>n/a</w:t>
            </w:r>
          </w:p>
        </w:tc>
        <w:tc>
          <w:tcPr>
            <w:tcW w:w="415" w:type="pct"/>
            <w:noWrap/>
          </w:tcPr>
          <w:p w:rsidR="00BB59A4" w:rsidRPr="00FE4491" w:rsidRDefault="00B50A58" w:rsidP="00E15678">
            <w:pPr>
              <w:pStyle w:val="TableTextEntries"/>
              <w:jc w:val="center"/>
            </w:pPr>
            <w:r>
              <w:t>n/a</w:t>
            </w:r>
          </w:p>
        </w:tc>
        <w:tc>
          <w:tcPr>
            <w:tcW w:w="418" w:type="pct"/>
            <w:noWrap/>
          </w:tcPr>
          <w:p w:rsidR="00BB59A4" w:rsidRPr="00FE4491" w:rsidRDefault="00B50A58" w:rsidP="00E15678">
            <w:pPr>
              <w:pStyle w:val="TableTextEntries"/>
              <w:jc w:val="center"/>
            </w:pPr>
            <w:r>
              <w:t>n/a</w:t>
            </w:r>
          </w:p>
        </w:tc>
        <w:tc>
          <w:tcPr>
            <w:tcW w:w="415" w:type="pct"/>
            <w:noWrap/>
          </w:tcPr>
          <w:p w:rsidR="00BB59A4" w:rsidRPr="00FE4491" w:rsidRDefault="00B50A58" w:rsidP="00E15678">
            <w:pPr>
              <w:pStyle w:val="TableTextEntries"/>
              <w:jc w:val="center"/>
            </w:pPr>
            <w:r>
              <w:t>n/a</w:t>
            </w:r>
          </w:p>
        </w:tc>
        <w:tc>
          <w:tcPr>
            <w:tcW w:w="418" w:type="pct"/>
            <w:noWrap/>
          </w:tcPr>
          <w:p w:rsidR="00BB59A4" w:rsidRPr="00FE4491" w:rsidRDefault="00B50A58" w:rsidP="00E15678">
            <w:pPr>
              <w:pStyle w:val="TableTextEntries"/>
              <w:jc w:val="center"/>
            </w:pPr>
            <w:r>
              <w:t>n/a</w:t>
            </w:r>
          </w:p>
        </w:tc>
        <w:tc>
          <w:tcPr>
            <w:tcW w:w="415" w:type="pct"/>
            <w:noWrap/>
          </w:tcPr>
          <w:p w:rsidR="00BB59A4" w:rsidRPr="00FE4491" w:rsidRDefault="00B50A58" w:rsidP="00E15678">
            <w:pPr>
              <w:pStyle w:val="TableTextEntries"/>
              <w:jc w:val="center"/>
            </w:pPr>
            <w:r>
              <w:t>n/a</w:t>
            </w:r>
          </w:p>
        </w:tc>
        <w:tc>
          <w:tcPr>
            <w:tcW w:w="412" w:type="pct"/>
          </w:tcPr>
          <w:p w:rsidR="00BB59A4" w:rsidRDefault="00BB59A4" w:rsidP="00E15678">
            <w:pPr>
              <w:pStyle w:val="TableTextEntries"/>
              <w:jc w:val="center"/>
            </w:pPr>
            <w:r>
              <w:t>n/a</w:t>
            </w:r>
          </w:p>
        </w:tc>
      </w:tr>
      <w:tr w:rsidR="00B50A58" w:rsidRPr="009D53C4" w:rsidTr="009D1B85">
        <w:trPr>
          <w:cnfStyle w:val="000000010000" w:firstRow="0" w:lastRow="0" w:firstColumn="0" w:lastColumn="0" w:oddVBand="0" w:evenVBand="0" w:oddHBand="0" w:evenHBand="1" w:firstRowFirstColumn="0" w:firstRowLastColumn="0" w:lastRowFirstColumn="0" w:lastRowLastColumn="0"/>
          <w:trHeight w:val="284"/>
        </w:trPr>
        <w:tc>
          <w:tcPr>
            <w:tcW w:w="906" w:type="pct"/>
            <w:vMerge w:val="restart"/>
          </w:tcPr>
          <w:p w:rsidR="00B50A58" w:rsidRPr="00FE4491" w:rsidRDefault="009D1B85" w:rsidP="00E15678">
            <w:pPr>
              <w:pStyle w:val="TableTextEntries"/>
            </w:pPr>
            <w:r>
              <w:lastRenderedPageBreak/>
              <w:t>Governance for Growth Phase 2</w:t>
            </w:r>
          </w:p>
        </w:tc>
        <w:tc>
          <w:tcPr>
            <w:tcW w:w="658" w:type="pct"/>
            <w:vMerge w:val="restart"/>
          </w:tcPr>
          <w:p w:rsidR="00B50A58" w:rsidRPr="00FE4491" w:rsidRDefault="009D1B85" w:rsidP="00E15678">
            <w:pPr>
              <w:pStyle w:val="TableTextEntries"/>
            </w:pPr>
            <w:r>
              <w:t>$20,473,026.98</w:t>
            </w:r>
            <w:r>
              <w:br/>
              <w:t>2012-2018</w:t>
            </w:r>
          </w:p>
        </w:tc>
        <w:tc>
          <w:tcPr>
            <w:tcW w:w="416" w:type="pct"/>
          </w:tcPr>
          <w:p w:rsidR="00B50A58" w:rsidRPr="00FE4491" w:rsidRDefault="00B50A58" w:rsidP="009750EA">
            <w:pPr>
              <w:pStyle w:val="TableTextEntries"/>
            </w:pPr>
            <w:r w:rsidRPr="00FE4491">
              <w:t>201</w:t>
            </w:r>
            <w:r>
              <w:t>4 AQC</w:t>
            </w:r>
          </w:p>
        </w:tc>
        <w:tc>
          <w:tcPr>
            <w:tcW w:w="418" w:type="pct"/>
            <w:shd w:val="clear" w:color="auto" w:fill="92D050"/>
            <w:noWrap/>
          </w:tcPr>
          <w:p w:rsidR="00B50A58" w:rsidRPr="00FE4491" w:rsidRDefault="009D1B85" w:rsidP="00E15678">
            <w:pPr>
              <w:pStyle w:val="TableTextEntries"/>
              <w:jc w:val="center"/>
            </w:pPr>
            <w:r>
              <w:t>6</w:t>
            </w:r>
          </w:p>
        </w:tc>
        <w:tc>
          <w:tcPr>
            <w:tcW w:w="415" w:type="pct"/>
            <w:shd w:val="clear" w:color="auto" w:fill="92D050"/>
            <w:noWrap/>
          </w:tcPr>
          <w:p w:rsidR="00B50A58" w:rsidRPr="00FE4491" w:rsidRDefault="009D1B85" w:rsidP="00E15678">
            <w:pPr>
              <w:pStyle w:val="TableTextEntries"/>
              <w:jc w:val="center"/>
            </w:pPr>
            <w:r>
              <w:t>5</w:t>
            </w:r>
          </w:p>
        </w:tc>
        <w:tc>
          <w:tcPr>
            <w:tcW w:w="418" w:type="pct"/>
            <w:shd w:val="clear" w:color="auto" w:fill="FFFF00"/>
            <w:noWrap/>
          </w:tcPr>
          <w:p w:rsidR="00B50A58" w:rsidRPr="00FE4491" w:rsidRDefault="009D1B85" w:rsidP="00E15678">
            <w:pPr>
              <w:pStyle w:val="TableTextEntries"/>
              <w:jc w:val="center"/>
            </w:pPr>
            <w:r>
              <w:t>4</w:t>
            </w:r>
          </w:p>
        </w:tc>
        <w:tc>
          <w:tcPr>
            <w:tcW w:w="415" w:type="pct"/>
            <w:shd w:val="clear" w:color="auto" w:fill="FFFF00"/>
            <w:noWrap/>
          </w:tcPr>
          <w:p w:rsidR="00B50A58" w:rsidRPr="00FE4491" w:rsidRDefault="009D1B85" w:rsidP="00E15678">
            <w:pPr>
              <w:pStyle w:val="TableTextEntries"/>
              <w:jc w:val="center"/>
            </w:pPr>
            <w:r>
              <w:t>4</w:t>
            </w:r>
          </w:p>
        </w:tc>
        <w:tc>
          <w:tcPr>
            <w:tcW w:w="418" w:type="pct"/>
            <w:shd w:val="clear" w:color="auto" w:fill="FFFF00"/>
            <w:noWrap/>
          </w:tcPr>
          <w:p w:rsidR="00B50A58" w:rsidRPr="00FE4491" w:rsidRDefault="009D1B85" w:rsidP="00E15678">
            <w:pPr>
              <w:pStyle w:val="TableTextEntries"/>
              <w:jc w:val="center"/>
            </w:pPr>
            <w:r>
              <w:t>4</w:t>
            </w:r>
          </w:p>
        </w:tc>
        <w:tc>
          <w:tcPr>
            <w:tcW w:w="415" w:type="pct"/>
            <w:shd w:val="clear" w:color="auto" w:fill="FFC000"/>
            <w:noWrap/>
          </w:tcPr>
          <w:p w:rsidR="00B50A58" w:rsidRPr="00FE4491" w:rsidRDefault="009D1B85" w:rsidP="00E15678">
            <w:pPr>
              <w:pStyle w:val="TableTextEntries"/>
              <w:jc w:val="center"/>
            </w:pPr>
            <w:r>
              <w:t>3</w:t>
            </w:r>
          </w:p>
        </w:tc>
        <w:tc>
          <w:tcPr>
            <w:tcW w:w="412" w:type="pct"/>
            <w:shd w:val="clear" w:color="auto" w:fill="92D050"/>
          </w:tcPr>
          <w:p w:rsidR="00B50A58" w:rsidRDefault="009D1B85" w:rsidP="00E15678">
            <w:pPr>
              <w:pStyle w:val="TableTextEntries"/>
              <w:jc w:val="center"/>
            </w:pPr>
            <w:r>
              <w:t>5</w:t>
            </w:r>
          </w:p>
        </w:tc>
      </w:tr>
      <w:tr w:rsidR="00B50A58" w:rsidRPr="009D53C4" w:rsidTr="009D1B85">
        <w:trPr>
          <w:cnfStyle w:val="000000010000" w:firstRow="0" w:lastRow="0" w:firstColumn="0" w:lastColumn="0" w:oddVBand="0" w:evenVBand="0" w:oddHBand="0" w:evenHBand="1" w:firstRowFirstColumn="0" w:firstRowLastColumn="0" w:lastRowFirstColumn="0" w:lastRowLastColumn="0"/>
          <w:trHeight w:val="284"/>
        </w:trPr>
        <w:tc>
          <w:tcPr>
            <w:tcW w:w="906" w:type="pct"/>
            <w:vMerge/>
          </w:tcPr>
          <w:p w:rsidR="00B50A58" w:rsidRPr="00FE4491" w:rsidRDefault="00B50A58" w:rsidP="00E15678">
            <w:pPr>
              <w:pStyle w:val="TableTextEntries"/>
            </w:pPr>
          </w:p>
        </w:tc>
        <w:tc>
          <w:tcPr>
            <w:tcW w:w="658" w:type="pct"/>
            <w:vMerge/>
          </w:tcPr>
          <w:p w:rsidR="00B50A58" w:rsidRPr="00FE4491" w:rsidRDefault="00B50A58" w:rsidP="00E15678">
            <w:pPr>
              <w:pStyle w:val="TableTextEntries"/>
            </w:pPr>
          </w:p>
        </w:tc>
        <w:tc>
          <w:tcPr>
            <w:tcW w:w="416" w:type="pct"/>
          </w:tcPr>
          <w:p w:rsidR="00B50A58" w:rsidRPr="00FE4491" w:rsidRDefault="00B50A58" w:rsidP="009750EA">
            <w:pPr>
              <w:pStyle w:val="TableTextEntries"/>
            </w:pPr>
            <w:r>
              <w:t>2013 QAI</w:t>
            </w:r>
          </w:p>
        </w:tc>
        <w:tc>
          <w:tcPr>
            <w:tcW w:w="418" w:type="pct"/>
            <w:shd w:val="clear" w:color="auto" w:fill="92D050"/>
            <w:noWrap/>
          </w:tcPr>
          <w:p w:rsidR="00B50A58" w:rsidRPr="00FE4491" w:rsidRDefault="009D1B85" w:rsidP="00E15678">
            <w:pPr>
              <w:pStyle w:val="TableTextEntries"/>
              <w:jc w:val="center"/>
            </w:pPr>
            <w:r>
              <w:t>5</w:t>
            </w:r>
          </w:p>
        </w:tc>
        <w:tc>
          <w:tcPr>
            <w:tcW w:w="415" w:type="pct"/>
            <w:shd w:val="clear" w:color="auto" w:fill="FFFF00"/>
            <w:noWrap/>
          </w:tcPr>
          <w:p w:rsidR="00B50A58" w:rsidRPr="00FE4491" w:rsidRDefault="009D1B85" w:rsidP="00E15678">
            <w:pPr>
              <w:pStyle w:val="TableTextEntries"/>
              <w:jc w:val="center"/>
            </w:pPr>
            <w:r>
              <w:t>4</w:t>
            </w:r>
          </w:p>
        </w:tc>
        <w:tc>
          <w:tcPr>
            <w:tcW w:w="418" w:type="pct"/>
            <w:shd w:val="clear" w:color="auto" w:fill="FFFF00"/>
            <w:noWrap/>
          </w:tcPr>
          <w:p w:rsidR="00B50A58" w:rsidRPr="00FE4491" w:rsidRDefault="009D1B85" w:rsidP="00E15678">
            <w:pPr>
              <w:pStyle w:val="TableTextEntries"/>
              <w:jc w:val="center"/>
            </w:pPr>
            <w:r>
              <w:t>4</w:t>
            </w:r>
          </w:p>
        </w:tc>
        <w:tc>
          <w:tcPr>
            <w:tcW w:w="415" w:type="pct"/>
            <w:shd w:val="clear" w:color="auto" w:fill="FFC000"/>
            <w:noWrap/>
          </w:tcPr>
          <w:p w:rsidR="00B50A58" w:rsidRPr="00FE4491" w:rsidRDefault="009D1B85" w:rsidP="00E15678">
            <w:pPr>
              <w:pStyle w:val="TableTextEntries"/>
              <w:jc w:val="center"/>
            </w:pPr>
            <w:r>
              <w:t>3</w:t>
            </w:r>
          </w:p>
        </w:tc>
        <w:tc>
          <w:tcPr>
            <w:tcW w:w="418" w:type="pct"/>
            <w:shd w:val="clear" w:color="auto" w:fill="FFFF00"/>
            <w:noWrap/>
          </w:tcPr>
          <w:p w:rsidR="00B50A58" w:rsidRPr="00FE4491" w:rsidRDefault="009D1B85" w:rsidP="00E15678">
            <w:pPr>
              <w:pStyle w:val="TableTextEntries"/>
              <w:jc w:val="center"/>
            </w:pPr>
            <w:r>
              <w:t>4</w:t>
            </w:r>
          </w:p>
        </w:tc>
        <w:tc>
          <w:tcPr>
            <w:tcW w:w="415" w:type="pct"/>
            <w:shd w:val="clear" w:color="auto" w:fill="FFC000"/>
            <w:noWrap/>
          </w:tcPr>
          <w:p w:rsidR="00B50A58" w:rsidRPr="00FE4491" w:rsidRDefault="009D1B85" w:rsidP="00E15678">
            <w:pPr>
              <w:pStyle w:val="TableTextEntries"/>
              <w:jc w:val="center"/>
            </w:pPr>
            <w:r>
              <w:t>3</w:t>
            </w:r>
          </w:p>
        </w:tc>
        <w:tc>
          <w:tcPr>
            <w:tcW w:w="412" w:type="pct"/>
          </w:tcPr>
          <w:p w:rsidR="00B50A58" w:rsidRDefault="009D1B85" w:rsidP="00E15678">
            <w:pPr>
              <w:pStyle w:val="TableTextEntries"/>
              <w:jc w:val="center"/>
            </w:pPr>
            <w:r>
              <w:t>n/a</w:t>
            </w:r>
          </w:p>
        </w:tc>
      </w:tr>
      <w:tr w:rsidR="00B50A58" w:rsidRPr="009D53C4" w:rsidTr="009D1B85">
        <w:trPr>
          <w:cnfStyle w:val="000000010000" w:firstRow="0" w:lastRow="0" w:firstColumn="0" w:lastColumn="0" w:oddVBand="0" w:evenVBand="0" w:oddHBand="0" w:evenHBand="1" w:firstRowFirstColumn="0" w:firstRowLastColumn="0" w:lastRowFirstColumn="0" w:lastRowLastColumn="0"/>
          <w:trHeight w:val="284"/>
        </w:trPr>
        <w:tc>
          <w:tcPr>
            <w:tcW w:w="906" w:type="pct"/>
            <w:vMerge w:val="restart"/>
          </w:tcPr>
          <w:p w:rsidR="00B50A58" w:rsidRPr="00FE4491" w:rsidRDefault="009D1B85" w:rsidP="00E15678">
            <w:pPr>
              <w:pStyle w:val="TableTextEntries"/>
            </w:pPr>
            <w:r>
              <w:t>Pacific Women Initiative (Vanuatu)</w:t>
            </w:r>
          </w:p>
        </w:tc>
        <w:tc>
          <w:tcPr>
            <w:tcW w:w="658" w:type="pct"/>
            <w:vMerge w:val="restart"/>
          </w:tcPr>
          <w:p w:rsidR="00B50A58" w:rsidRPr="00FE4491" w:rsidRDefault="009D1B85" w:rsidP="00E15678">
            <w:pPr>
              <w:pStyle w:val="TableTextEntries"/>
            </w:pPr>
            <w:r>
              <w:t>$6,720,206.43</w:t>
            </w:r>
            <w:r>
              <w:br/>
              <w:t>2012-2018</w:t>
            </w:r>
          </w:p>
        </w:tc>
        <w:tc>
          <w:tcPr>
            <w:tcW w:w="416" w:type="pct"/>
          </w:tcPr>
          <w:p w:rsidR="00B50A58" w:rsidRPr="00FE4491" w:rsidRDefault="00B50A58" w:rsidP="009750EA">
            <w:pPr>
              <w:pStyle w:val="TableTextEntries"/>
            </w:pPr>
            <w:r w:rsidRPr="00FE4491">
              <w:t>201</w:t>
            </w:r>
            <w:r>
              <w:t>4 AQC</w:t>
            </w:r>
          </w:p>
        </w:tc>
        <w:tc>
          <w:tcPr>
            <w:tcW w:w="418" w:type="pct"/>
            <w:shd w:val="clear" w:color="auto" w:fill="92D050"/>
            <w:noWrap/>
          </w:tcPr>
          <w:p w:rsidR="00B50A58" w:rsidRPr="00FE4491" w:rsidRDefault="009D1B85" w:rsidP="00E15678">
            <w:pPr>
              <w:pStyle w:val="TableTextEntries"/>
              <w:jc w:val="center"/>
            </w:pPr>
            <w:r>
              <w:t>5</w:t>
            </w:r>
          </w:p>
        </w:tc>
        <w:tc>
          <w:tcPr>
            <w:tcW w:w="415" w:type="pct"/>
            <w:shd w:val="clear" w:color="auto" w:fill="92D050"/>
            <w:noWrap/>
          </w:tcPr>
          <w:p w:rsidR="00B50A58" w:rsidRPr="00FE4491" w:rsidRDefault="009D1B85" w:rsidP="00E15678">
            <w:pPr>
              <w:pStyle w:val="TableTextEntries"/>
              <w:jc w:val="center"/>
            </w:pPr>
            <w:r>
              <w:t>5</w:t>
            </w:r>
          </w:p>
        </w:tc>
        <w:tc>
          <w:tcPr>
            <w:tcW w:w="418" w:type="pct"/>
            <w:shd w:val="clear" w:color="auto" w:fill="92D050"/>
            <w:noWrap/>
          </w:tcPr>
          <w:p w:rsidR="00B50A58" w:rsidRPr="00FE4491" w:rsidRDefault="009D1B85" w:rsidP="00E15678">
            <w:pPr>
              <w:pStyle w:val="TableTextEntries"/>
              <w:jc w:val="center"/>
            </w:pPr>
            <w:r>
              <w:t>5</w:t>
            </w:r>
          </w:p>
        </w:tc>
        <w:tc>
          <w:tcPr>
            <w:tcW w:w="415" w:type="pct"/>
            <w:shd w:val="clear" w:color="auto" w:fill="92D050"/>
            <w:noWrap/>
          </w:tcPr>
          <w:p w:rsidR="00B50A58" w:rsidRPr="00FE4491" w:rsidRDefault="009D1B85" w:rsidP="00E15678">
            <w:pPr>
              <w:pStyle w:val="TableTextEntries"/>
              <w:jc w:val="center"/>
            </w:pPr>
            <w:r>
              <w:t>5</w:t>
            </w:r>
          </w:p>
        </w:tc>
        <w:tc>
          <w:tcPr>
            <w:tcW w:w="418" w:type="pct"/>
            <w:shd w:val="clear" w:color="auto" w:fill="FFC000"/>
            <w:noWrap/>
          </w:tcPr>
          <w:p w:rsidR="00B50A58" w:rsidRPr="00FE4491" w:rsidRDefault="009D1B85" w:rsidP="00E15678">
            <w:pPr>
              <w:pStyle w:val="TableTextEntries"/>
              <w:jc w:val="center"/>
            </w:pPr>
            <w:r>
              <w:t>3</w:t>
            </w:r>
          </w:p>
        </w:tc>
        <w:tc>
          <w:tcPr>
            <w:tcW w:w="415" w:type="pct"/>
            <w:shd w:val="clear" w:color="auto" w:fill="92D050"/>
            <w:noWrap/>
          </w:tcPr>
          <w:p w:rsidR="00B50A58" w:rsidRPr="00FE4491" w:rsidRDefault="009D1B85" w:rsidP="00E15678">
            <w:pPr>
              <w:pStyle w:val="TableTextEntries"/>
              <w:jc w:val="center"/>
            </w:pPr>
            <w:r>
              <w:t>6</w:t>
            </w:r>
          </w:p>
        </w:tc>
        <w:tc>
          <w:tcPr>
            <w:tcW w:w="412" w:type="pct"/>
          </w:tcPr>
          <w:p w:rsidR="00B50A58" w:rsidRDefault="009D1B85" w:rsidP="00E15678">
            <w:pPr>
              <w:pStyle w:val="TableTextEntries"/>
              <w:jc w:val="center"/>
            </w:pPr>
            <w:r>
              <w:t>4</w:t>
            </w:r>
          </w:p>
        </w:tc>
      </w:tr>
      <w:tr w:rsidR="00B50A58" w:rsidRPr="009D53C4" w:rsidTr="009D1B85">
        <w:trPr>
          <w:cnfStyle w:val="000000010000" w:firstRow="0" w:lastRow="0" w:firstColumn="0" w:lastColumn="0" w:oddVBand="0" w:evenVBand="0" w:oddHBand="0" w:evenHBand="1" w:firstRowFirstColumn="0" w:firstRowLastColumn="0" w:lastRowFirstColumn="0" w:lastRowLastColumn="0"/>
          <w:trHeight w:val="284"/>
        </w:trPr>
        <w:tc>
          <w:tcPr>
            <w:tcW w:w="906" w:type="pct"/>
            <w:vMerge/>
          </w:tcPr>
          <w:p w:rsidR="00B50A58" w:rsidRPr="00FE4491" w:rsidRDefault="00B50A58" w:rsidP="00E15678">
            <w:pPr>
              <w:pStyle w:val="TableTextEntries"/>
            </w:pPr>
          </w:p>
        </w:tc>
        <w:tc>
          <w:tcPr>
            <w:tcW w:w="658" w:type="pct"/>
            <w:vMerge/>
          </w:tcPr>
          <w:p w:rsidR="00B50A58" w:rsidRPr="00FE4491" w:rsidRDefault="00B50A58" w:rsidP="00E15678">
            <w:pPr>
              <w:pStyle w:val="TableTextEntries"/>
            </w:pPr>
          </w:p>
        </w:tc>
        <w:tc>
          <w:tcPr>
            <w:tcW w:w="416" w:type="pct"/>
          </w:tcPr>
          <w:p w:rsidR="00B50A58" w:rsidRPr="00FE4491" w:rsidRDefault="00B50A58" w:rsidP="009750EA">
            <w:pPr>
              <w:pStyle w:val="TableTextEntries"/>
            </w:pPr>
            <w:r>
              <w:t>2013 QAI</w:t>
            </w:r>
          </w:p>
        </w:tc>
        <w:tc>
          <w:tcPr>
            <w:tcW w:w="418" w:type="pct"/>
            <w:shd w:val="clear" w:color="auto" w:fill="92D050"/>
            <w:noWrap/>
          </w:tcPr>
          <w:p w:rsidR="00B50A58" w:rsidRPr="00FE4491" w:rsidRDefault="009D1B85" w:rsidP="00E15678">
            <w:pPr>
              <w:pStyle w:val="TableTextEntries"/>
              <w:jc w:val="center"/>
            </w:pPr>
            <w:r>
              <w:t>6</w:t>
            </w:r>
          </w:p>
        </w:tc>
        <w:tc>
          <w:tcPr>
            <w:tcW w:w="415" w:type="pct"/>
            <w:shd w:val="clear" w:color="auto" w:fill="92D050"/>
            <w:noWrap/>
          </w:tcPr>
          <w:p w:rsidR="00B50A58" w:rsidRPr="00FE4491" w:rsidRDefault="009D1B85" w:rsidP="00E15678">
            <w:pPr>
              <w:pStyle w:val="TableTextEntries"/>
              <w:jc w:val="center"/>
            </w:pPr>
            <w:r>
              <w:t>5</w:t>
            </w:r>
          </w:p>
        </w:tc>
        <w:tc>
          <w:tcPr>
            <w:tcW w:w="418" w:type="pct"/>
            <w:shd w:val="clear" w:color="auto" w:fill="FFFF00"/>
            <w:noWrap/>
          </w:tcPr>
          <w:p w:rsidR="00B50A58" w:rsidRPr="00FE4491" w:rsidRDefault="009D1B85" w:rsidP="00E15678">
            <w:pPr>
              <w:pStyle w:val="TableTextEntries"/>
              <w:jc w:val="center"/>
            </w:pPr>
            <w:r>
              <w:t>4</w:t>
            </w:r>
          </w:p>
        </w:tc>
        <w:tc>
          <w:tcPr>
            <w:tcW w:w="415" w:type="pct"/>
            <w:shd w:val="clear" w:color="auto" w:fill="92D050"/>
            <w:noWrap/>
          </w:tcPr>
          <w:p w:rsidR="00B50A58" w:rsidRPr="00FE4491" w:rsidRDefault="009D1B85" w:rsidP="00E15678">
            <w:pPr>
              <w:pStyle w:val="TableTextEntries"/>
              <w:jc w:val="center"/>
            </w:pPr>
            <w:r>
              <w:t>5</w:t>
            </w:r>
          </w:p>
        </w:tc>
        <w:tc>
          <w:tcPr>
            <w:tcW w:w="418" w:type="pct"/>
            <w:shd w:val="clear" w:color="auto" w:fill="FFFF00"/>
            <w:noWrap/>
          </w:tcPr>
          <w:p w:rsidR="00B50A58" w:rsidRPr="00FE4491" w:rsidRDefault="009D1B85" w:rsidP="00E15678">
            <w:pPr>
              <w:pStyle w:val="TableTextEntries"/>
              <w:jc w:val="center"/>
            </w:pPr>
            <w:r>
              <w:t>4</w:t>
            </w:r>
          </w:p>
        </w:tc>
        <w:tc>
          <w:tcPr>
            <w:tcW w:w="415" w:type="pct"/>
            <w:shd w:val="clear" w:color="auto" w:fill="92D050"/>
            <w:noWrap/>
          </w:tcPr>
          <w:p w:rsidR="00B50A58" w:rsidRPr="00FE4491" w:rsidRDefault="009D1B85" w:rsidP="00E15678">
            <w:pPr>
              <w:pStyle w:val="TableTextEntries"/>
              <w:jc w:val="center"/>
            </w:pPr>
            <w:r>
              <w:t>6</w:t>
            </w:r>
          </w:p>
        </w:tc>
        <w:tc>
          <w:tcPr>
            <w:tcW w:w="412" w:type="pct"/>
          </w:tcPr>
          <w:p w:rsidR="00B50A58" w:rsidRDefault="009D1B85" w:rsidP="00E15678">
            <w:pPr>
              <w:pStyle w:val="TableTextEntries"/>
              <w:jc w:val="center"/>
            </w:pPr>
            <w:r>
              <w:t>n/a</w:t>
            </w:r>
          </w:p>
        </w:tc>
      </w:tr>
      <w:tr w:rsidR="00B50A58" w:rsidRPr="009D53C4" w:rsidTr="009D1B85">
        <w:trPr>
          <w:cnfStyle w:val="000000010000" w:firstRow="0" w:lastRow="0" w:firstColumn="0" w:lastColumn="0" w:oddVBand="0" w:evenVBand="0" w:oddHBand="0" w:evenHBand="1" w:firstRowFirstColumn="0" w:firstRowLastColumn="0" w:lastRowFirstColumn="0" w:lastRowLastColumn="0"/>
          <w:trHeight w:val="284"/>
        </w:trPr>
        <w:tc>
          <w:tcPr>
            <w:tcW w:w="906" w:type="pct"/>
            <w:vMerge w:val="restart"/>
          </w:tcPr>
          <w:p w:rsidR="00B50A58" w:rsidRPr="00FE4491" w:rsidRDefault="009D1B85" w:rsidP="00E15678">
            <w:pPr>
              <w:pStyle w:val="TableTextEntries"/>
            </w:pPr>
            <w:r>
              <w:t>Port Vila Urban Development Project</w:t>
            </w:r>
          </w:p>
        </w:tc>
        <w:tc>
          <w:tcPr>
            <w:tcW w:w="658" w:type="pct"/>
            <w:vMerge w:val="restart"/>
          </w:tcPr>
          <w:p w:rsidR="00B50A58" w:rsidRPr="00FE4491" w:rsidRDefault="009D1B85" w:rsidP="00E15678">
            <w:pPr>
              <w:pStyle w:val="TableTextEntries"/>
            </w:pPr>
            <w:r>
              <w:t>$26,500,000</w:t>
            </w:r>
            <w:r>
              <w:br/>
              <w:t>2012-2017</w:t>
            </w:r>
          </w:p>
        </w:tc>
        <w:tc>
          <w:tcPr>
            <w:tcW w:w="416" w:type="pct"/>
          </w:tcPr>
          <w:p w:rsidR="00B50A58" w:rsidRPr="00FE4491" w:rsidRDefault="00B50A58" w:rsidP="009750EA">
            <w:pPr>
              <w:pStyle w:val="TableTextEntries"/>
            </w:pPr>
            <w:r w:rsidRPr="00FE4491">
              <w:t>201</w:t>
            </w:r>
            <w:r>
              <w:t>4 AQC</w:t>
            </w:r>
          </w:p>
        </w:tc>
        <w:tc>
          <w:tcPr>
            <w:tcW w:w="418" w:type="pct"/>
            <w:shd w:val="clear" w:color="auto" w:fill="FFFF00"/>
            <w:noWrap/>
          </w:tcPr>
          <w:p w:rsidR="00B50A58" w:rsidRPr="00FE4491" w:rsidRDefault="009D1B85" w:rsidP="00E15678">
            <w:pPr>
              <w:pStyle w:val="TableTextEntries"/>
              <w:jc w:val="center"/>
            </w:pPr>
            <w:r>
              <w:t>4</w:t>
            </w:r>
          </w:p>
        </w:tc>
        <w:tc>
          <w:tcPr>
            <w:tcW w:w="415" w:type="pct"/>
            <w:shd w:val="clear" w:color="auto" w:fill="FFC000"/>
            <w:noWrap/>
          </w:tcPr>
          <w:p w:rsidR="00B50A58" w:rsidRPr="00FE4491" w:rsidRDefault="009D1B85" w:rsidP="00E15678">
            <w:pPr>
              <w:pStyle w:val="TableTextEntries"/>
              <w:jc w:val="center"/>
            </w:pPr>
            <w:r>
              <w:t>3</w:t>
            </w:r>
          </w:p>
        </w:tc>
        <w:tc>
          <w:tcPr>
            <w:tcW w:w="418" w:type="pct"/>
            <w:shd w:val="clear" w:color="auto" w:fill="FFC000"/>
            <w:noWrap/>
          </w:tcPr>
          <w:p w:rsidR="00B50A58" w:rsidRPr="00FE4491" w:rsidRDefault="009D1B85" w:rsidP="00E15678">
            <w:pPr>
              <w:pStyle w:val="TableTextEntries"/>
              <w:jc w:val="center"/>
            </w:pPr>
            <w:r>
              <w:t>3</w:t>
            </w:r>
          </w:p>
        </w:tc>
        <w:tc>
          <w:tcPr>
            <w:tcW w:w="415" w:type="pct"/>
            <w:shd w:val="clear" w:color="auto" w:fill="FFFF00"/>
            <w:noWrap/>
          </w:tcPr>
          <w:p w:rsidR="00B50A58" w:rsidRPr="00FE4491" w:rsidRDefault="009D1B85" w:rsidP="00E15678">
            <w:pPr>
              <w:pStyle w:val="TableTextEntries"/>
              <w:jc w:val="center"/>
            </w:pPr>
            <w:r>
              <w:t>4</w:t>
            </w:r>
          </w:p>
        </w:tc>
        <w:tc>
          <w:tcPr>
            <w:tcW w:w="418" w:type="pct"/>
            <w:shd w:val="clear" w:color="auto" w:fill="FFFF00"/>
            <w:noWrap/>
          </w:tcPr>
          <w:p w:rsidR="00B50A58" w:rsidRPr="00FE4491" w:rsidRDefault="009D1B85" w:rsidP="00E15678">
            <w:pPr>
              <w:pStyle w:val="TableTextEntries"/>
              <w:jc w:val="center"/>
            </w:pPr>
            <w:r>
              <w:t>4</w:t>
            </w:r>
          </w:p>
        </w:tc>
        <w:tc>
          <w:tcPr>
            <w:tcW w:w="415" w:type="pct"/>
            <w:shd w:val="clear" w:color="auto" w:fill="FFFF00"/>
            <w:noWrap/>
          </w:tcPr>
          <w:p w:rsidR="00B50A58" w:rsidRPr="00FE4491" w:rsidRDefault="009D1B85" w:rsidP="00E15678">
            <w:pPr>
              <w:pStyle w:val="TableTextEntries"/>
              <w:jc w:val="center"/>
            </w:pPr>
            <w:r>
              <w:t>4</w:t>
            </w:r>
          </w:p>
        </w:tc>
        <w:tc>
          <w:tcPr>
            <w:tcW w:w="412" w:type="pct"/>
            <w:shd w:val="clear" w:color="auto" w:fill="FFFF00"/>
          </w:tcPr>
          <w:p w:rsidR="00B50A58" w:rsidRDefault="009D1B85" w:rsidP="00E15678">
            <w:pPr>
              <w:pStyle w:val="TableTextEntries"/>
              <w:jc w:val="center"/>
            </w:pPr>
            <w:r>
              <w:t>4</w:t>
            </w:r>
          </w:p>
        </w:tc>
      </w:tr>
      <w:tr w:rsidR="00B50A58" w:rsidRPr="009D53C4" w:rsidTr="009D1B85">
        <w:trPr>
          <w:cnfStyle w:val="000000010000" w:firstRow="0" w:lastRow="0" w:firstColumn="0" w:lastColumn="0" w:oddVBand="0" w:evenVBand="0" w:oddHBand="0" w:evenHBand="1" w:firstRowFirstColumn="0" w:firstRowLastColumn="0" w:lastRowFirstColumn="0" w:lastRowLastColumn="0"/>
          <w:trHeight w:val="284"/>
        </w:trPr>
        <w:tc>
          <w:tcPr>
            <w:tcW w:w="906" w:type="pct"/>
            <w:vMerge/>
          </w:tcPr>
          <w:p w:rsidR="00B50A58" w:rsidRPr="00FE4491" w:rsidRDefault="00B50A58" w:rsidP="00E15678">
            <w:pPr>
              <w:pStyle w:val="TableTextEntries"/>
            </w:pPr>
          </w:p>
        </w:tc>
        <w:tc>
          <w:tcPr>
            <w:tcW w:w="658" w:type="pct"/>
            <w:vMerge/>
          </w:tcPr>
          <w:p w:rsidR="00B50A58" w:rsidRPr="00FE4491" w:rsidRDefault="00B50A58" w:rsidP="00E15678">
            <w:pPr>
              <w:pStyle w:val="TableTextEntries"/>
            </w:pPr>
          </w:p>
        </w:tc>
        <w:tc>
          <w:tcPr>
            <w:tcW w:w="416" w:type="pct"/>
          </w:tcPr>
          <w:p w:rsidR="00B50A58" w:rsidRPr="00FE4491" w:rsidRDefault="00B50A58" w:rsidP="009750EA">
            <w:pPr>
              <w:pStyle w:val="TableTextEntries"/>
            </w:pPr>
            <w:r>
              <w:t>2013 QAI</w:t>
            </w:r>
          </w:p>
        </w:tc>
        <w:tc>
          <w:tcPr>
            <w:tcW w:w="418" w:type="pct"/>
            <w:shd w:val="clear" w:color="auto" w:fill="92D050"/>
            <w:noWrap/>
          </w:tcPr>
          <w:p w:rsidR="00B50A58" w:rsidRPr="00FE4491" w:rsidRDefault="009D1B85" w:rsidP="00E15678">
            <w:pPr>
              <w:pStyle w:val="TableTextEntries"/>
              <w:jc w:val="center"/>
            </w:pPr>
            <w:r>
              <w:t>5</w:t>
            </w:r>
          </w:p>
        </w:tc>
        <w:tc>
          <w:tcPr>
            <w:tcW w:w="415" w:type="pct"/>
            <w:shd w:val="clear" w:color="auto" w:fill="FFFF00"/>
            <w:noWrap/>
          </w:tcPr>
          <w:p w:rsidR="00B50A58" w:rsidRPr="00FE4491" w:rsidRDefault="009D1B85" w:rsidP="00E15678">
            <w:pPr>
              <w:pStyle w:val="TableTextEntries"/>
              <w:jc w:val="center"/>
            </w:pPr>
            <w:r>
              <w:t>4</w:t>
            </w:r>
          </w:p>
        </w:tc>
        <w:tc>
          <w:tcPr>
            <w:tcW w:w="418" w:type="pct"/>
            <w:shd w:val="clear" w:color="auto" w:fill="FFC000"/>
            <w:noWrap/>
          </w:tcPr>
          <w:p w:rsidR="00B50A58" w:rsidRPr="00FE4491" w:rsidRDefault="009D1B85" w:rsidP="00E15678">
            <w:pPr>
              <w:pStyle w:val="TableTextEntries"/>
              <w:jc w:val="center"/>
            </w:pPr>
            <w:r>
              <w:t>3</w:t>
            </w:r>
          </w:p>
        </w:tc>
        <w:tc>
          <w:tcPr>
            <w:tcW w:w="415" w:type="pct"/>
            <w:shd w:val="clear" w:color="auto" w:fill="FFFF00"/>
            <w:noWrap/>
          </w:tcPr>
          <w:p w:rsidR="00B50A58" w:rsidRPr="00FE4491" w:rsidRDefault="009D1B85" w:rsidP="00E15678">
            <w:pPr>
              <w:pStyle w:val="TableTextEntries"/>
              <w:jc w:val="center"/>
            </w:pPr>
            <w:r>
              <w:t>4</w:t>
            </w:r>
          </w:p>
        </w:tc>
        <w:tc>
          <w:tcPr>
            <w:tcW w:w="418" w:type="pct"/>
            <w:shd w:val="clear" w:color="auto" w:fill="FFC000"/>
            <w:noWrap/>
          </w:tcPr>
          <w:p w:rsidR="00B50A58" w:rsidRPr="00FE4491" w:rsidRDefault="009D1B85" w:rsidP="00E15678">
            <w:pPr>
              <w:pStyle w:val="TableTextEntries"/>
              <w:jc w:val="center"/>
            </w:pPr>
            <w:r>
              <w:t>3</w:t>
            </w:r>
          </w:p>
        </w:tc>
        <w:tc>
          <w:tcPr>
            <w:tcW w:w="415" w:type="pct"/>
            <w:shd w:val="clear" w:color="auto" w:fill="FFC000"/>
            <w:noWrap/>
          </w:tcPr>
          <w:p w:rsidR="00B50A58" w:rsidRPr="00FE4491" w:rsidRDefault="009D1B85" w:rsidP="00E15678">
            <w:pPr>
              <w:pStyle w:val="TableTextEntries"/>
              <w:jc w:val="center"/>
            </w:pPr>
            <w:r>
              <w:t>3</w:t>
            </w:r>
          </w:p>
        </w:tc>
        <w:tc>
          <w:tcPr>
            <w:tcW w:w="412" w:type="pct"/>
          </w:tcPr>
          <w:p w:rsidR="00B50A58" w:rsidRDefault="009D1B85" w:rsidP="00E15678">
            <w:pPr>
              <w:pStyle w:val="TableTextEntries"/>
              <w:jc w:val="center"/>
            </w:pPr>
            <w:r>
              <w:t>n/a</w:t>
            </w:r>
          </w:p>
        </w:tc>
      </w:tr>
      <w:tr w:rsidR="00B50A58" w:rsidRPr="009D53C4" w:rsidTr="009D1B85">
        <w:trPr>
          <w:cnfStyle w:val="000000010000" w:firstRow="0" w:lastRow="0" w:firstColumn="0" w:lastColumn="0" w:oddVBand="0" w:evenVBand="0" w:oddHBand="0" w:evenHBand="1" w:firstRowFirstColumn="0" w:firstRowLastColumn="0" w:lastRowFirstColumn="0" w:lastRowLastColumn="0"/>
          <w:trHeight w:val="284"/>
        </w:trPr>
        <w:tc>
          <w:tcPr>
            <w:tcW w:w="906" w:type="pct"/>
            <w:vMerge w:val="restart"/>
          </w:tcPr>
          <w:p w:rsidR="00B50A58" w:rsidRPr="00FE4491" w:rsidRDefault="009D1B85" w:rsidP="00E15678">
            <w:pPr>
              <w:pStyle w:val="TableTextEntries"/>
            </w:pPr>
            <w:r>
              <w:t>Roads for Development</w:t>
            </w:r>
          </w:p>
        </w:tc>
        <w:tc>
          <w:tcPr>
            <w:tcW w:w="658" w:type="pct"/>
            <w:vMerge w:val="restart"/>
          </w:tcPr>
          <w:p w:rsidR="00B50A58" w:rsidRPr="00FE4491" w:rsidRDefault="009D1B85" w:rsidP="00E15678">
            <w:pPr>
              <w:pStyle w:val="TableTextEntries"/>
            </w:pPr>
            <w:r>
              <w:t>$24,218,365,.24</w:t>
            </w:r>
            <w:r>
              <w:br/>
              <w:t>2012-2016</w:t>
            </w:r>
          </w:p>
        </w:tc>
        <w:tc>
          <w:tcPr>
            <w:tcW w:w="416" w:type="pct"/>
          </w:tcPr>
          <w:p w:rsidR="00B50A58" w:rsidRPr="00FE4491" w:rsidRDefault="00B50A58" w:rsidP="009750EA">
            <w:pPr>
              <w:pStyle w:val="TableTextEntries"/>
            </w:pPr>
            <w:r w:rsidRPr="00FE4491">
              <w:t>201</w:t>
            </w:r>
            <w:r>
              <w:t>4 AQC</w:t>
            </w:r>
          </w:p>
        </w:tc>
        <w:tc>
          <w:tcPr>
            <w:tcW w:w="418" w:type="pct"/>
            <w:shd w:val="clear" w:color="auto" w:fill="FFFF00"/>
            <w:noWrap/>
          </w:tcPr>
          <w:p w:rsidR="00B50A58" w:rsidRPr="00FE4491" w:rsidRDefault="009D1B85" w:rsidP="00E15678">
            <w:pPr>
              <w:pStyle w:val="TableTextEntries"/>
              <w:jc w:val="center"/>
            </w:pPr>
            <w:r>
              <w:t>4</w:t>
            </w:r>
          </w:p>
        </w:tc>
        <w:tc>
          <w:tcPr>
            <w:tcW w:w="415" w:type="pct"/>
            <w:shd w:val="clear" w:color="auto" w:fill="FFC000"/>
            <w:noWrap/>
          </w:tcPr>
          <w:p w:rsidR="00B50A58" w:rsidRPr="00FE4491" w:rsidRDefault="009D1B85" w:rsidP="00E15678">
            <w:pPr>
              <w:pStyle w:val="TableTextEntries"/>
              <w:jc w:val="center"/>
            </w:pPr>
            <w:r>
              <w:t>3</w:t>
            </w:r>
          </w:p>
        </w:tc>
        <w:tc>
          <w:tcPr>
            <w:tcW w:w="418" w:type="pct"/>
            <w:shd w:val="clear" w:color="auto" w:fill="FFFF00"/>
            <w:noWrap/>
          </w:tcPr>
          <w:p w:rsidR="00B50A58" w:rsidRPr="00FE4491" w:rsidRDefault="009D1B85" w:rsidP="00E15678">
            <w:pPr>
              <w:pStyle w:val="TableTextEntries"/>
              <w:jc w:val="center"/>
            </w:pPr>
            <w:r>
              <w:t>4</w:t>
            </w:r>
          </w:p>
        </w:tc>
        <w:tc>
          <w:tcPr>
            <w:tcW w:w="415" w:type="pct"/>
            <w:shd w:val="clear" w:color="auto" w:fill="92D050"/>
            <w:noWrap/>
          </w:tcPr>
          <w:p w:rsidR="00B50A58" w:rsidRPr="00FE4491" w:rsidRDefault="009D1B85" w:rsidP="00E15678">
            <w:pPr>
              <w:pStyle w:val="TableTextEntries"/>
              <w:jc w:val="center"/>
            </w:pPr>
            <w:r>
              <w:t>5</w:t>
            </w:r>
          </w:p>
        </w:tc>
        <w:tc>
          <w:tcPr>
            <w:tcW w:w="418" w:type="pct"/>
            <w:shd w:val="clear" w:color="auto" w:fill="FFC000"/>
            <w:noWrap/>
          </w:tcPr>
          <w:p w:rsidR="00B50A58" w:rsidRPr="00FE4491" w:rsidRDefault="009D1B85" w:rsidP="00E15678">
            <w:pPr>
              <w:pStyle w:val="TableTextEntries"/>
              <w:jc w:val="center"/>
            </w:pPr>
            <w:r>
              <w:t>3</w:t>
            </w:r>
          </w:p>
        </w:tc>
        <w:tc>
          <w:tcPr>
            <w:tcW w:w="415" w:type="pct"/>
            <w:shd w:val="clear" w:color="auto" w:fill="FFC000"/>
            <w:noWrap/>
          </w:tcPr>
          <w:p w:rsidR="00B50A58" w:rsidRPr="00FE4491" w:rsidRDefault="009D1B85" w:rsidP="00E15678">
            <w:pPr>
              <w:pStyle w:val="TableTextEntries"/>
              <w:jc w:val="center"/>
            </w:pPr>
            <w:r>
              <w:t>3</w:t>
            </w:r>
          </w:p>
        </w:tc>
        <w:tc>
          <w:tcPr>
            <w:tcW w:w="412" w:type="pct"/>
            <w:shd w:val="clear" w:color="auto" w:fill="92D050"/>
          </w:tcPr>
          <w:p w:rsidR="00B50A58" w:rsidRDefault="009D1B85" w:rsidP="00E15678">
            <w:pPr>
              <w:pStyle w:val="TableTextEntries"/>
              <w:jc w:val="center"/>
            </w:pPr>
            <w:r>
              <w:t>5</w:t>
            </w:r>
          </w:p>
        </w:tc>
      </w:tr>
      <w:tr w:rsidR="00B50A58" w:rsidRPr="009D53C4" w:rsidTr="009D1B85">
        <w:trPr>
          <w:cnfStyle w:val="000000010000" w:firstRow="0" w:lastRow="0" w:firstColumn="0" w:lastColumn="0" w:oddVBand="0" w:evenVBand="0" w:oddHBand="0" w:evenHBand="1" w:firstRowFirstColumn="0" w:firstRowLastColumn="0" w:lastRowFirstColumn="0" w:lastRowLastColumn="0"/>
          <w:trHeight w:val="284"/>
        </w:trPr>
        <w:tc>
          <w:tcPr>
            <w:tcW w:w="906" w:type="pct"/>
            <w:vMerge/>
          </w:tcPr>
          <w:p w:rsidR="00B50A58" w:rsidRPr="00FE4491" w:rsidRDefault="00B50A58" w:rsidP="00E15678">
            <w:pPr>
              <w:pStyle w:val="TableTextEntries"/>
            </w:pPr>
          </w:p>
        </w:tc>
        <w:tc>
          <w:tcPr>
            <w:tcW w:w="658" w:type="pct"/>
            <w:vMerge/>
          </w:tcPr>
          <w:p w:rsidR="00B50A58" w:rsidRPr="00FE4491" w:rsidRDefault="00B50A58" w:rsidP="00E15678">
            <w:pPr>
              <w:pStyle w:val="TableTextEntries"/>
            </w:pPr>
          </w:p>
        </w:tc>
        <w:tc>
          <w:tcPr>
            <w:tcW w:w="416" w:type="pct"/>
          </w:tcPr>
          <w:p w:rsidR="00B50A58" w:rsidRPr="00FE4491" w:rsidRDefault="00B50A58" w:rsidP="009750EA">
            <w:pPr>
              <w:pStyle w:val="TableTextEntries"/>
            </w:pPr>
            <w:r>
              <w:t>2013 QAI</w:t>
            </w:r>
          </w:p>
        </w:tc>
        <w:tc>
          <w:tcPr>
            <w:tcW w:w="418" w:type="pct"/>
            <w:shd w:val="clear" w:color="auto" w:fill="92D050"/>
            <w:noWrap/>
          </w:tcPr>
          <w:p w:rsidR="00B50A58" w:rsidRPr="00FE4491" w:rsidRDefault="009D1B85" w:rsidP="00E15678">
            <w:pPr>
              <w:pStyle w:val="TableTextEntries"/>
              <w:jc w:val="center"/>
            </w:pPr>
            <w:r>
              <w:t>5</w:t>
            </w:r>
          </w:p>
        </w:tc>
        <w:tc>
          <w:tcPr>
            <w:tcW w:w="415" w:type="pct"/>
            <w:shd w:val="clear" w:color="auto" w:fill="FFFF00"/>
            <w:noWrap/>
          </w:tcPr>
          <w:p w:rsidR="00B50A58" w:rsidRPr="00FE4491" w:rsidRDefault="009D1B85" w:rsidP="00E15678">
            <w:pPr>
              <w:pStyle w:val="TableTextEntries"/>
              <w:jc w:val="center"/>
            </w:pPr>
            <w:r>
              <w:t>4</w:t>
            </w:r>
          </w:p>
        </w:tc>
        <w:tc>
          <w:tcPr>
            <w:tcW w:w="418" w:type="pct"/>
            <w:shd w:val="clear" w:color="auto" w:fill="FFFF00"/>
            <w:noWrap/>
          </w:tcPr>
          <w:p w:rsidR="00B50A58" w:rsidRPr="00FE4491" w:rsidRDefault="009D1B85" w:rsidP="00E15678">
            <w:pPr>
              <w:pStyle w:val="TableTextEntries"/>
              <w:jc w:val="center"/>
            </w:pPr>
            <w:r>
              <w:t>4</w:t>
            </w:r>
          </w:p>
        </w:tc>
        <w:tc>
          <w:tcPr>
            <w:tcW w:w="415" w:type="pct"/>
            <w:shd w:val="clear" w:color="auto" w:fill="FFFF00"/>
            <w:noWrap/>
          </w:tcPr>
          <w:p w:rsidR="00B50A58" w:rsidRPr="00FE4491" w:rsidRDefault="009D1B85" w:rsidP="00E15678">
            <w:pPr>
              <w:pStyle w:val="TableTextEntries"/>
              <w:jc w:val="center"/>
            </w:pPr>
            <w:r>
              <w:t>4</w:t>
            </w:r>
          </w:p>
        </w:tc>
        <w:tc>
          <w:tcPr>
            <w:tcW w:w="418" w:type="pct"/>
            <w:shd w:val="clear" w:color="auto" w:fill="FFFF00"/>
            <w:noWrap/>
          </w:tcPr>
          <w:p w:rsidR="00B50A58" w:rsidRPr="00FE4491" w:rsidRDefault="009D1B85" w:rsidP="00E15678">
            <w:pPr>
              <w:pStyle w:val="TableTextEntries"/>
              <w:jc w:val="center"/>
            </w:pPr>
            <w:r>
              <w:t>4</w:t>
            </w:r>
          </w:p>
        </w:tc>
        <w:tc>
          <w:tcPr>
            <w:tcW w:w="415" w:type="pct"/>
            <w:shd w:val="clear" w:color="auto" w:fill="FFFF00"/>
            <w:noWrap/>
          </w:tcPr>
          <w:p w:rsidR="00B50A58" w:rsidRPr="00FE4491" w:rsidRDefault="009D1B85" w:rsidP="00E15678">
            <w:pPr>
              <w:pStyle w:val="TableTextEntries"/>
              <w:jc w:val="center"/>
            </w:pPr>
            <w:r>
              <w:t>4</w:t>
            </w:r>
          </w:p>
        </w:tc>
        <w:tc>
          <w:tcPr>
            <w:tcW w:w="412" w:type="pct"/>
          </w:tcPr>
          <w:p w:rsidR="00B50A58" w:rsidRDefault="009D1B85" w:rsidP="00E15678">
            <w:pPr>
              <w:pStyle w:val="TableTextEntries"/>
              <w:jc w:val="center"/>
            </w:pPr>
            <w:r>
              <w:t>n/a</w:t>
            </w:r>
          </w:p>
        </w:tc>
      </w:tr>
    </w:tbl>
    <w:p w:rsidR="00416B02" w:rsidRDefault="00416B02" w:rsidP="00416B02">
      <w:pPr>
        <w:pStyle w:val="Heading3"/>
      </w:pPr>
      <w:r>
        <w:t>FAQC ratings</w:t>
      </w:r>
      <w:r w:rsidRPr="00B300DD">
        <w:t xml:space="preserve"> </w:t>
      </w:r>
    </w:p>
    <w:p w:rsidR="00416B02" w:rsidRDefault="00416B02" w:rsidP="00416B02">
      <w:pPr>
        <w:pStyle w:val="BodyText"/>
      </w:pPr>
      <w:r>
        <w:t>FAQC scores assess performance over the lifetime of the investment and should not be compared to the previous year’s QAI ratings.</w:t>
      </w:r>
    </w:p>
    <w:tbl>
      <w:tblPr>
        <w:tblStyle w:val="APPR"/>
        <w:tblW w:w="5000" w:type="pct"/>
        <w:tblLook w:val="0000" w:firstRow="0" w:lastRow="0" w:firstColumn="0" w:lastColumn="0" w:noHBand="0" w:noVBand="0"/>
      </w:tblPr>
      <w:tblGrid>
        <w:gridCol w:w="2564"/>
        <w:gridCol w:w="1863"/>
        <w:gridCol w:w="1190"/>
        <w:gridCol w:w="1187"/>
        <w:gridCol w:w="1190"/>
        <w:gridCol w:w="1187"/>
        <w:gridCol w:w="1190"/>
        <w:gridCol w:w="1187"/>
        <w:gridCol w:w="1189"/>
        <w:gridCol w:w="1190"/>
      </w:tblGrid>
      <w:tr w:rsidR="004A7988" w:rsidRPr="009D53C4" w:rsidTr="007E157C">
        <w:trPr>
          <w:cnfStyle w:val="000000010000" w:firstRow="0" w:lastRow="0" w:firstColumn="0" w:lastColumn="0" w:oddVBand="0" w:evenVBand="0" w:oddHBand="0" w:evenHBand="1" w:firstRowFirstColumn="0" w:firstRowLastColumn="0" w:lastRowFirstColumn="0" w:lastRowLastColumn="0"/>
          <w:trHeight w:val="1505"/>
        </w:trPr>
        <w:tc>
          <w:tcPr>
            <w:tcW w:w="905" w:type="pct"/>
          </w:tcPr>
          <w:p w:rsidR="004A7988" w:rsidRPr="00FE4491" w:rsidRDefault="004A7988" w:rsidP="00E15678">
            <w:pPr>
              <w:pStyle w:val="TableTextColumnHeading"/>
            </w:pPr>
            <w:r w:rsidRPr="00FE4491">
              <w:rPr>
                <w:noProof/>
                <w:lang w:eastAsia="en-AU"/>
              </w:rPr>
              <w:drawing>
                <wp:anchor distT="0" distB="0" distL="114300" distR="114300" simplePos="0" relativeHeight="251673600" behindDoc="0" locked="0" layoutInCell="1" allowOverlap="1" wp14:anchorId="39A41BB2" wp14:editId="67C748C3">
                  <wp:simplePos x="0" y="0"/>
                  <wp:positionH relativeFrom="column">
                    <wp:posOffset>0</wp:posOffset>
                  </wp:positionH>
                  <wp:positionV relativeFrom="paragraph">
                    <wp:posOffset>0</wp:posOffset>
                  </wp:positionV>
                  <wp:extent cx="1857375" cy="228600"/>
                  <wp:effectExtent l="0" t="0" r="9525" b="0"/>
                  <wp:wrapNone/>
                  <wp:docPr id="2" name="Picture 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Investment</w:t>
            </w:r>
            <w:r w:rsidRPr="00FE4491">
              <w:t xml:space="preserve"> name</w:t>
            </w:r>
          </w:p>
        </w:tc>
        <w:tc>
          <w:tcPr>
            <w:tcW w:w="658" w:type="pct"/>
            <w:textDirection w:val="btLr"/>
          </w:tcPr>
          <w:p w:rsidR="004A7988" w:rsidRPr="00FE4491" w:rsidRDefault="004A7988" w:rsidP="00E15678">
            <w:pPr>
              <w:pStyle w:val="TableTextColumnHeading"/>
            </w:pPr>
            <w:r w:rsidRPr="00FE4491">
              <w:t>Approved budget and duration</w:t>
            </w:r>
          </w:p>
        </w:tc>
        <w:tc>
          <w:tcPr>
            <w:tcW w:w="417" w:type="pct"/>
            <w:noWrap/>
            <w:textDirection w:val="btLr"/>
          </w:tcPr>
          <w:p w:rsidR="004A7988" w:rsidRPr="00FE4491" w:rsidRDefault="004A7988" w:rsidP="00E15678">
            <w:pPr>
              <w:pStyle w:val="TableTextColumnHeading"/>
            </w:pPr>
            <w:r>
              <w:t>Overall rating</w:t>
            </w:r>
          </w:p>
        </w:tc>
        <w:tc>
          <w:tcPr>
            <w:tcW w:w="416" w:type="pct"/>
            <w:noWrap/>
            <w:textDirection w:val="btLr"/>
          </w:tcPr>
          <w:p w:rsidR="004A7988" w:rsidRPr="00FE4491" w:rsidRDefault="004A7988" w:rsidP="00E15678">
            <w:pPr>
              <w:pStyle w:val="TableTextColumnHeading"/>
            </w:pPr>
            <w:r w:rsidRPr="00FE4491">
              <w:t>Relevance</w:t>
            </w:r>
          </w:p>
        </w:tc>
        <w:tc>
          <w:tcPr>
            <w:tcW w:w="417" w:type="pct"/>
            <w:noWrap/>
            <w:textDirection w:val="btLr"/>
          </w:tcPr>
          <w:p w:rsidR="004A7988" w:rsidRPr="00FE4491" w:rsidRDefault="004A7988" w:rsidP="00E15678">
            <w:pPr>
              <w:pStyle w:val="TableTextColumnHeading"/>
            </w:pPr>
            <w:r w:rsidRPr="00FE4491">
              <w:t>Effectiveness</w:t>
            </w:r>
          </w:p>
        </w:tc>
        <w:tc>
          <w:tcPr>
            <w:tcW w:w="416" w:type="pct"/>
            <w:noWrap/>
            <w:textDirection w:val="btLr"/>
          </w:tcPr>
          <w:p w:rsidR="004A7988" w:rsidRPr="00FE4491" w:rsidRDefault="004A7988" w:rsidP="00E15678">
            <w:pPr>
              <w:pStyle w:val="TableTextColumnHeading"/>
            </w:pPr>
            <w:r w:rsidRPr="00FE4491">
              <w:t>Efficiency</w:t>
            </w:r>
          </w:p>
        </w:tc>
        <w:tc>
          <w:tcPr>
            <w:tcW w:w="417" w:type="pct"/>
            <w:noWrap/>
            <w:textDirection w:val="btLr"/>
          </w:tcPr>
          <w:p w:rsidR="004A7988" w:rsidRPr="00FE4491" w:rsidRDefault="004A7988" w:rsidP="00E15678">
            <w:pPr>
              <w:pStyle w:val="TableTextColumnHeading"/>
            </w:pPr>
            <w:r w:rsidRPr="00FE4491">
              <w:t>Monitoring and Evaluation</w:t>
            </w:r>
          </w:p>
        </w:tc>
        <w:tc>
          <w:tcPr>
            <w:tcW w:w="416" w:type="pct"/>
            <w:noWrap/>
            <w:textDirection w:val="btLr"/>
          </w:tcPr>
          <w:p w:rsidR="004A7988" w:rsidRPr="00FE4491" w:rsidRDefault="004A7988" w:rsidP="00E15678">
            <w:pPr>
              <w:pStyle w:val="TableTextColumnHeading"/>
            </w:pPr>
            <w:r w:rsidRPr="00FE4491">
              <w:t>Sustainability</w:t>
            </w:r>
          </w:p>
        </w:tc>
        <w:tc>
          <w:tcPr>
            <w:tcW w:w="417" w:type="pct"/>
            <w:textDirection w:val="btLr"/>
          </w:tcPr>
          <w:p w:rsidR="004A7988" w:rsidRPr="00FE4491" w:rsidRDefault="004A7988" w:rsidP="00E15678">
            <w:pPr>
              <w:pStyle w:val="TableTextColumnHeading"/>
            </w:pPr>
            <w:r w:rsidRPr="00FE4491">
              <w:t>Gender equality</w:t>
            </w:r>
          </w:p>
        </w:tc>
        <w:tc>
          <w:tcPr>
            <w:tcW w:w="412" w:type="pct"/>
            <w:textDirection w:val="btLr"/>
          </w:tcPr>
          <w:p w:rsidR="004A7988" w:rsidRPr="00FE4491" w:rsidRDefault="004A7988" w:rsidP="00E15678">
            <w:pPr>
              <w:pStyle w:val="TableTextColumnHeading"/>
            </w:pPr>
            <w:r>
              <w:t>Risks  and Safeguards</w:t>
            </w:r>
          </w:p>
        </w:tc>
      </w:tr>
      <w:tr w:rsidR="004A7988" w:rsidRPr="009D53C4" w:rsidTr="00472042">
        <w:trPr>
          <w:cnfStyle w:val="000000010000" w:firstRow="0" w:lastRow="0" w:firstColumn="0" w:lastColumn="0" w:oddVBand="0" w:evenVBand="0" w:oddHBand="0" w:evenHBand="1" w:firstRowFirstColumn="0" w:firstRowLastColumn="0" w:lastRowFirstColumn="0" w:lastRowLastColumn="0"/>
          <w:trHeight w:val="284"/>
        </w:trPr>
        <w:tc>
          <w:tcPr>
            <w:tcW w:w="905" w:type="pct"/>
          </w:tcPr>
          <w:p w:rsidR="004A7988" w:rsidRPr="00FE4491" w:rsidRDefault="007E157C" w:rsidP="00E15678">
            <w:pPr>
              <w:pStyle w:val="TableTextEntries"/>
            </w:pPr>
            <w:r>
              <w:t>Vanuatu Australia Police Project</w:t>
            </w:r>
          </w:p>
        </w:tc>
        <w:tc>
          <w:tcPr>
            <w:tcW w:w="658" w:type="pct"/>
          </w:tcPr>
          <w:p w:rsidR="004A7988" w:rsidRPr="00FE4491" w:rsidRDefault="007E157C" w:rsidP="009750EA">
            <w:pPr>
              <w:pStyle w:val="TableTextEntries"/>
            </w:pPr>
            <w:r>
              <w:t>$14,118,752.13</w:t>
            </w:r>
          </w:p>
        </w:tc>
        <w:tc>
          <w:tcPr>
            <w:tcW w:w="417" w:type="pct"/>
            <w:shd w:val="clear" w:color="auto" w:fill="FFFF00"/>
            <w:noWrap/>
          </w:tcPr>
          <w:p w:rsidR="004A7988" w:rsidRPr="00FE4491" w:rsidRDefault="007E157C" w:rsidP="00E15678">
            <w:pPr>
              <w:pStyle w:val="TableTextEntries"/>
              <w:jc w:val="center"/>
            </w:pPr>
            <w:r>
              <w:t>4</w:t>
            </w:r>
          </w:p>
        </w:tc>
        <w:tc>
          <w:tcPr>
            <w:tcW w:w="416" w:type="pct"/>
            <w:shd w:val="clear" w:color="auto" w:fill="92D050"/>
            <w:noWrap/>
          </w:tcPr>
          <w:p w:rsidR="004A7988" w:rsidRPr="00FE4491" w:rsidRDefault="00097729" w:rsidP="00E15678">
            <w:pPr>
              <w:pStyle w:val="TableTextEntries"/>
              <w:jc w:val="center"/>
            </w:pPr>
            <w:r>
              <w:t>5</w:t>
            </w:r>
          </w:p>
        </w:tc>
        <w:tc>
          <w:tcPr>
            <w:tcW w:w="417" w:type="pct"/>
            <w:shd w:val="clear" w:color="auto" w:fill="FFFF00"/>
            <w:noWrap/>
          </w:tcPr>
          <w:p w:rsidR="004A7988" w:rsidRPr="00FE4491" w:rsidRDefault="00097729" w:rsidP="00E15678">
            <w:pPr>
              <w:pStyle w:val="TableTextEntries"/>
              <w:jc w:val="center"/>
            </w:pPr>
            <w:r>
              <w:t>4</w:t>
            </w:r>
          </w:p>
        </w:tc>
        <w:tc>
          <w:tcPr>
            <w:tcW w:w="416" w:type="pct"/>
            <w:shd w:val="clear" w:color="auto" w:fill="FFFF00"/>
            <w:noWrap/>
          </w:tcPr>
          <w:p w:rsidR="004A7988" w:rsidRPr="00FE4491" w:rsidRDefault="00097729" w:rsidP="00E15678">
            <w:pPr>
              <w:pStyle w:val="TableTextEntries"/>
              <w:jc w:val="center"/>
            </w:pPr>
            <w:r>
              <w:t>4</w:t>
            </w:r>
          </w:p>
        </w:tc>
        <w:tc>
          <w:tcPr>
            <w:tcW w:w="417" w:type="pct"/>
            <w:shd w:val="clear" w:color="auto" w:fill="FFC000"/>
            <w:noWrap/>
          </w:tcPr>
          <w:p w:rsidR="004A7988" w:rsidRPr="00FE4491" w:rsidRDefault="00097729" w:rsidP="00E15678">
            <w:pPr>
              <w:pStyle w:val="TableTextEntries"/>
              <w:jc w:val="center"/>
            </w:pPr>
            <w:r>
              <w:t>3</w:t>
            </w:r>
          </w:p>
        </w:tc>
        <w:tc>
          <w:tcPr>
            <w:tcW w:w="416" w:type="pct"/>
            <w:shd w:val="clear" w:color="auto" w:fill="FFC000"/>
            <w:noWrap/>
          </w:tcPr>
          <w:p w:rsidR="004A7988" w:rsidRPr="00FE4491" w:rsidRDefault="00472042" w:rsidP="00E15678">
            <w:pPr>
              <w:pStyle w:val="TableTextEntries"/>
              <w:jc w:val="center"/>
            </w:pPr>
            <w:r>
              <w:t>3</w:t>
            </w:r>
          </w:p>
        </w:tc>
        <w:tc>
          <w:tcPr>
            <w:tcW w:w="417" w:type="pct"/>
            <w:shd w:val="clear" w:color="auto" w:fill="FFFF00"/>
          </w:tcPr>
          <w:p w:rsidR="004A7988" w:rsidRPr="00FE4491" w:rsidRDefault="00472042" w:rsidP="00E15678">
            <w:pPr>
              <w:pStyle w:val="TableTextEntries"/>
              <w:jc w:val="center"/>
            </w:pPr>
            <w:r>
              <w:t>4</w:t>
            </w:r>
          </w:p>
        </w:tc>
        <w:tc>
          <w:tcPr>
            <w:tcW w:w="412" w:type="pct"/>
            <w:shd w:val="clear" w:color="auto" w:fill="FFFF00"/>
          </w:tcPr>
          <w:p w:rsidR="004A7988" w:rsidRPr="00FE4491" w:rsidRDefault="00472042" w:rsidP="00E15678">
            <w:pPr>
              <w:pStyle w:val="TableTextEntries"/>
              <w:jc w:val="center"/>
            </w:pPr>
            <w:r>
              <w:t>4</w:t>
            </w:r>
          </w:p>
        </w:tc>
      </w:tr>
      <w:tr w:rsidR="009750EA" w:rsidRPr="009D53C4" w:rsidTr="009750EA">
        <w:trPr>
          <w:cnfStyle w:val="000000010000" w:firstRow="0" w:lastRow="0" w:firstColumn="0" w:lastColumn="0" w:oddVBand="0" w:evenVBand="0" w:oddHBand="0" w:evenHBand="1" w:firstRowFirstColumn="0" w:firstRowLastColumn="0" w:lastRowFirstColumn="0" w:lastRowLastColumn="0"/>
          <w:trHeight w:val="284"/>
        </w:trPr>
        <w:tc>
          <w:tcPr>
            <w:tcW w:w="905" w:type="pct"/>
          </w:tcPr>
          <w:p w:rsidR="009750EA" w:rsidRDefault="009750EA" w:rsidP="00E15678">
            <w:pPr>
              <w:pStyle w:val="TableTextEntries"/>
            </w:pPr>
          </w:p>
        </w:tc>
        <w:tc>
          <w:tcPr>
            <w:tcW w:w="658" w:type="pct"/>
          </w:tcPr>
          <w:p w:rsidR="009750EA" w:rsidRDefault="009750EA" w:rsidP="00E15678">
            <w:pPr>
              <w:pStyle w:val="TableTextEntries"/>
            </w:pPr>
            <w:r>
              <w:t>2011-2014</w:t>
            </w:r>
          </w:p>
        </w:tc>
        <w:tc>
          <w:tcPr>
            <w:tcW w:w="417" w:type="pct"/>
            <w:shd w:val="clear" w:color="auto" w:fill="auto"/>
            <w:noWrap/>
          </w:tcPr>
          <w:p w:rsidR="009750EA" w:rsidRDefault="009750EA" w:rsidP="00E15678">
            <w:pPr>
              <w:pStyle w:val="TableTextEntries"/>
              <w:jc w:val="center"/>
            </w:pPr>
          </w:p>
        </w:tc>
        <w:tc>
          <w:tcPr>
            <w:tcW w:w="416" w:type="pct"/>
            <w:shd w:val="clear" w:color="auto" w:fill="auto"/>
            <w:noWrap/>
          </w:tcPr>
          <w:p w:rsidR="009750EA" w:rsidRDefault="009750EA" w:rsidP="00E15678">
            <w:pPr>
              <w:pStyle w:val="TableTextEntries"/>
              <w:jc w:val="center"/>
            </w:pPr>
          </w:p>
        </w:tc>
        <w:tc>
          <w:tcPr>
            <w:tcW w:w="417" w:type="pct"/>
            <w:shd w:val="clear" w:color="auto" w:fill="auto"/>
            <w:noWrap/>
          </w:tcPr>
          <w:p w:rsidR="009750EA" w:rsidRDefault="009750EA" w:rsidP="00E15678">
            <w:pPr>
              <w:pStyle w:val="TableTextEntries"/>
              <w:jc w:val="center"/>
            </w:pPr>
          </w:p>
        </w:tc>
        <w:tc>
          <w:tcPr>
            <w:tcW w:w="416" w:type="pct"/>
            <w:shd w:val="clear" w:color="auto" w:fill="auto"/>
            <w:noWrap/>
          </w:tcPr>
          <w:p w:rsidR="009750EA" w:rsidRDefault="009750EA" w:rsidP="00E15678">
            <w:pPr>
              <w:pStyle w:val="TableTextEntries"/>
              <w:jc w:val="center"/>
            </w:pPr>
          </w:p>
        </w:tc>
        <w:tc>
          <w:tcPr>
            <w:tcW w:w="417" w:type="pct"/>
            <w:shd w:val="clear" w:color="auto" w:fill="auto"/>
            <w:noWrap/>
          </w:tcPr>
          <w:p w:rsidR="009750EA" w:rsidRDefault="009750EA" w:rsidP="00E15678">
            <w:pPr>
              <w:pStyle w:val="TableTextEntries"/>
              <w:jc w:val="center"/>
            </w:pPr>
          </w:p>
        </w:tc>
        <w:tc>
          <w:tcPr>
            <w:tcW w:w="416" w:type="pct"/>
            <w:shd w:val="clear" w:color="auto" w:fill="auto"/>
            <w:noWrap/>
          </w:tcPr>
          <w:p w:rsidR="009750EA" w:rsidRDefault="009750EA" w:rsidP="00E15678">
            <w:pPr>
              <w:pStyle w:val="TableTextEntries"/>
              <w:jc w:val="center"/>
            </w:pPr>
          </w:p>
        </w:tc>
        <w:tc>
          <w:tcPr>
            <w:tcW w:w="417" w:type="pct"/>
            <w:shd w:val="clear" w:color="auto" w:fill="auto"/>
          </w:tcPr>
          <w:p w:rsidR="009750EA" w:rsidRDefault="009750EA" w:rsidP="00E15678">
            <w:pPr>
              <w:pStyle w:val="TableTextEntries"/>
              <w:jc w:val="center"/>
            </w:pPr>
          </w:p>
        </w:tc>
        <w:tc>
          <w:tcPr>
            <w:tcW w:w="412" w:type="pct"/>
            <w:shd w:val="clear" w:color="auto" w:fill="auto"/>
          </w:tcPr>
          <w:p w:rsidR="009750EA" w:rsidRDefault="009750EA" w:rsidP="00E15678">
            <w:pPr>
              <w:pStyle w:val="TableTextEntries"/>
              <w:jc w:val="center"/>
            </w:pPr>
          </w:p>
        </w:tc>
      </w:tr>
    </w:tbl>
    <w:p w:rsidR="00416B02" w:rsidRDefault="00416B02" w:rsidP="00582C22">
      <w:pPr>
        <w:pStyle w:val="Note"/>
      </w:pPr>
      <w:r>
        <w:t>Definitions of rating scale:</w:t>
      </w:r>
      <w:r>
        <w:tab/>
      </w:r>
    </w:p>
    <w:p w:rsidR="00416B02" w:rsidRDefault="00416B02" w:rsidP="00582C22">
      <w:pPr>
        <w:pStyle w:val="Note"/>
      </w:pPr>
      <w:r>
        <w:t>Satisfactory (4, 5 and 6)</w:t>
      </w:r>
    </w:p>
    <w:p w:rsidR="00416B02" w:rsidRDefault="00416B02" w:rsidP="00582C22">
      <w:pPr>
        <w:pStyle w:val="Note"/>
      </w:pPr>
      <w:r w:rsidRPr="00593946">
        <w:rPr>
          <w:color w:val="72AF2F"/>
        </w:rPr>
        <w:sym w:font="Webdings" w:char="F067"/>
      </w:r>
      <w:r>
        <w:t xml:space="preserve"> = 6 = Very good; satisfies criteria in all or almost all areas</w:t>
      </w:r>
    </w:p>
    <w:p w:rsidR="00416B02" w:rsidRDefault="00416B02" w:rsidP="00582C22">
      <w:pPr>
        <w:pStyle w:val="Note"/>
      </w:pPr>
      <w:r w:rsidRPr="00593946">
        <w:rPr>
          <w:color w:val="72AF2F"/>
        </w:rPr>
        <w:sym w:font="Webdings" w:char="F067"/>
      </w:r>
      <w:r>
        <w:t xml:space="preserve"> = 5 = Good; satisfies criteria in most areas</w:t>
      </w:r>
    </w:p>
    <w:p w:rsidR="00416B02" w:rsidRDefault="00416B02" w:rsidP="00582C22">
      <w:pPr>
        <w:pStyle w:val="Note"/>
      </w:pPr>
      <w:r w:rsidRPr="000774FD">
        <w:rPr>
          <w:color w:val="FFFF00"/>
        </w:rPr>
        <w:sym w:font="Webdings" w:char="F067"/>
      </w:r>
      <w:r>
        <w:t xml:space="preserve"> = 4 = Adequate; on balance, satisfies criteria; does not fail in any major area</w:t>
      </w:r>
    </w:p>
    <w:p w:rsidR="00416B02" w:rsidRDefault="00416B02" w:rsidP="00582C22">
      <w:pPr>
        <w:pStyle w:val="Note"/>
      </w:pPr>
      <w:r>
        <w:t>Less than satisfactory (1, 2 and 3)</w:t>
      </w:r>
    </w:p>
    <w:p w:rsidR="00416B02" w:rsidRDefault="00416B02" w:rsidP="00582C22">
      <w:pPr>
        <w:pStyle w:val="Note"/>
      </w:pPr>
      <w:r w:rsidRPr="00593946">
        <w:rPr>
          <w:color w:val="E36C0A"/>
        </w:rPr>
        <w:sym w:font="Webdings" w:char="F067"/>
      </w:r>
      <w:r w:rsidRPr="00593946">
        <w:rPr>
          <w:color w:val="E36C0A"/>
        </w:rPr>
        <w:t xml:space="preserve"> </w:t>
      </w:r>
      <w:r>
        <w:t>= 3 = Less than adequate; on balance does not satisfy criteria but does not fail in any major area</w:t>
      </w:r>
    </w:p>
    <w:p w:rsidR="00416B02" w:rsidRDefault="00416B02" w:rsidP="00582C22">
      <w:pPr>
        <w:pStyle w:val="Note"/>
      </w:pPr>
      <w:r w:rsidRPr="000774FD">
        <w:rPr>
          <w:color w:val="FF0000"/>
        </w:rPr>
        <w:sym w:font="Webdings" w:char="F067"/>
      </w:r>
      <w:r>
        <w:t xml:space="preserve"> = 2 = Poor; does not satisfy criteria in major areas</w:t>
      </w:r>
    </w:p>
    <w:p w:rsidR="00516D93" w:rsidRDefault="00416B02" w:rsidP="0048264B">
      <w:pPr>
        <w:pStyle w:val="Note"/>
      </w:pPr>
      <w:r w:rsidRPr="000774FD">
        <w:rPr>
          <w:color w:val="FF0000"/>
        </w:rPr>
        <w:sym w:font="Webdings" w:char="F067"/>
      </w:r>
      <w:r>
        <w:t xml:space="preserve"> = 1 = Very poor; does not satisfy criteria in many major areas</w:t>
      </w:r>
    </w:p>
    <w:p w:rsidR="005C7111" w:rsidRDefault="005C7111" w:rsidP="00AE3CEF">
      <w:pPr>
        <w:pStyle w:val="BodyText"/>
      </w:pPr>
    </w:p>
    <w:p w:rsidR="00DB1F4C" w:rsidRDefault="00DB1F4C" w:rsidP="00AE3CEF">
      <w:pPr>
        <w:pStyle w:val="BodyText"/>
        <w:sectPr w:rsidR="00DB1F4C" w:rsidSect="001C745A">
          <w:headerReference w:type="even" r:id="rId22"/>
          <w:footerReference w:type="first" r:id="rId23"/>
          <w:pgSz w:w="16840" w:h="11907" w:orient="landscape" w:code="9"/>
          <w:pgMar w:top="1871" w:right="2268" w:bottom="1871" w:left="907" w:header="851" w:footer="454" w:gutter="0"/>
          <w:cols w:space="720"/>
          <w:docGrid w:linePitch="272"/>
        </w:sectPr>
      </w:pPr>
    </w:p>
    <w:p w:rsidR="005C7111" w:rsidRPr="00650E15" w:rsidRDefault="005C7111" w:rsidP="00650E15">
      <w:pPr>
        <w:pStyle w:val="BodyText"/>
      </w:pPr>
    </w:p>
    <w:sectPr w:rsidR="005C7111" w:rsidRPr="00650E15" w:rsidSect="00650E15">
      <w:pgSz w:w="11907" w:h="16840" w:code="9"/>
      <w:pgMar w:top="2268" w:right="1871" w:bottom="907" w:left="1871"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111" w:rsidRDefault="005C7111" w:rsidP="0050529F">
      <w:r>
        <w:separator/>
      </w:r>
    </w:p>
    <w:p w:rsidR="005C7111" w:rsidRDefault="005C7111"/>
    <w:p w:rsidR="005C7111" w:rsidRDefault="005C7111"/>
    <w:p w:rsidR="005C7111" w:rsidRDefault="005C7111"/>
    <w:p w:rsidR="005C7111" w:rsidRDefault="005C7111"/>
    <w:p w:rsidR="005C7111" w:rsidRDefault="005C7111"/>
    <w:p w:rsidR="005C7111" w:rsidRDefault="005C7111"/>
  </w:endnote>
  <w:endnote w:type="continuationSeparator" w:id="0">
    <w:p w:rsidR="005C7111" w:rsidRDefault="005C7111" w:rsidP="0050529F">
      <w:r>
        <w:continuationSeparator/>
      </w:r>
    </w:p>
    <w:p w:rsidR="005C7111" w:rsidRDefault="005C7111"/>
    <w:p w:rsidR="005C7111" w:rsidRDefault="005C7111"/>
    <w:p w:rsidR="005C7111" w:rsidRDefault="005C7111"/>
    <w:p w:rsidR="005C7111" w:rsidRDefault="005C7111"/>
    <w:p w:rsidR="005C7111" w:rsidRDefault="005C7111"/>
    <w:p w:rsidR="005C7111" w:rsidRDefault="005C7111"/>
  </w:endnote>
  <w:endnote w:id="1">
    <w:p w:rsidR="005C7111" w:rsidRDefault="005C7111" w:rsidP="0007118D">
      <w:pPr>
        <w:pStyle w:val="EndnoteText"/>
      </w:pPr>
      <w:r>
        <w:rPr>
          <w:rStyle w:val="EndnoteReference"/>
        </w:rPr>
        <w:endnoteRef/>
      </w:r>
      <w:r>
        <w:t xml:space="preserve"> </w:t>
      </w:r>
      <w:r w:rsidR="0007118D">
        <w:t xml:space="preserve">Vanuatu has made mixed progress against MDGs 1 (eradicating poverty), 2 (universal primary education), 3 (gender equality) and 5 (maternal health). It is off track against MDG 7 (environmental sustainability). See Pacific Islands Forum Secretariat, </w:t>
      </w:r>
      <w:r w:rsidR="0007118D" w:rsidRPr="00650E15">
        <w:rPr>
          <w:i/>
        </w:rPr>
        <w:t>2013 Pacific regional MDGs tracking report</w:t>
      </w:r>
      <w:r w:rsidR="0007118D">
        <w:t xml:space="preserve">. </w:t>
      </w:r>
      <w:r w:rsidR="00463F4C">
        <w:t>T</w:t>
      </w:r>
      <w:r w:rsidR="0007118D">
        <w:t>he tracking report suggests Vanuatu is on track a</w:t>
      </w:r>
      <w:r w:rsidR="00463F4C">
        <w:t>gainst MDG 4 (infant mortality). However,</w:t>
      </w:r>
      <w:r w:rsidR="0007118D">
        <w:t xml:space="preserve"> the most recent data available</w:t>
      </w:r>
      <w:r w:rsidR="00463F4C">
        <w:t xml:space="preserve"> which puts under-five mortality at 31/1,000,</w:t>
      </w:r>
      <w:r w:rsidR="0007118D">
        <w:t xml:space="preserve"> </w:t>
      </w:r>
      <w:r w:rsidR="00463F4C">
        <w:t>suggests</w:t>
      </w:r>
      <w:r w:rsidR="0007118D">
        <w:t xml:space="preserve"> </w:t>
      </w:r>
      <w:r w:rsidR="00463F4C">
        <w:t>MDG 4 is unlikely to be met</w:t>
      </w:r>
      <w:r w:rsidR="0007118D">
        <w:t>. See Government of Vanuatu</w:t>
      </w:r>
      <w:r w:rsidR="006F0170">
        <w:t>,</w:t>
      </w:r>
      <w:r w:rsidR="0007118D">
        <w:t xml:space="preserve"> </w:t>
      </w:r>
      <w:r w:rsidR="006F0170" w:rsidRPr="006F0170">
        <w:t>Vanuatu Demographic and Health Survey – MICS 2013</w:t>
      </w:r>
      <w:r w:rsidR="008E2501">
        <w:t>.</w:t>
      </w:r>
    </w:p>
  </w:endnote>
  <w:endnote w:id="2">
    <w:p w:rsidR="00F020C5" w:rsidRDefault="00F020C5">
      <w:pPr>
        <w:pStyle w:val="EndnoteText"/>
      </w:pPr>
      <w:r>
        <w:rPr>
          <w:rStyle w:val="EndnoteReference"/>
        </w:rPr>
        <w:endnoteRef/>
      </w:r>
      <w:r w:rsidR="00D35038">
        <w:t xml:space="preserve"> </w:t>
      </w:r>
      <w:proofErr w:type="gramStart"/>
      <w:r w:rsidR="00D35038">
        <w:t>see</w:t>
      </w:r>
      <w:proofErr w:type="gramEnd"/>
      <w:r>
        <w:t xml:space="preserve"> </w:t>
      </w:r>
      <w:r w:rsidR="00D35038">
        <w:t xml:space="preserve">International Monetary Fund, </w:t>
      </w:r>
      <w:r w:rsidR="00D35038" w:rsidRPr="00D35038">
        <w:t>IMF Country Report No. 15/149</w:t>
      </w:r>
      <w:r w:rsidR="00D35038">
        <w:t>: Article IV Consultation for Vanuatu, June 2015</w:t>
      </w:r>
      <w:r w:rsidR="008E2501">
        <w:t>.</w:t>
      </w:r>
    </w:p>
  </w:endnote>
  <w:endnote w:id="3">
    <w:p w:rsidR="00632094" w:rsidRDefault="00632094">
      <w:pPr>
        <w:pStyle w:val="EndnoteText"/>
      </w:pPr>
      <w:r>
        <w:rPr>
          <w:rStyle w:val="EndnoteReference"/>
        </w:rPr>
        <w:endnoteRef/>
      </w:r>
      <w:r>
        <w:t xml:space="preserve"> Government of Vanuatu, Vanuatu: Post Disaster Needs Assessment: Tropical Cyclone Pam March 2015, released August 2015</w:t>
      </w:r>
      <w:r w:rsidR="008E2501">
        <w:t>.</w:t>
      </w:r>
    </w:p>
  </w:endnote>
  <w:endnote w:id="4">
    <w:p w:rsidR="006F10A4" w:rsidRDefault="006F10A4">
      <w:pPr>
        <w:pStyle w:val="EndnoteText"/>
      </w:pPr>
      <w:r>
        <w:rPr>
          <w:rStyle w:val="EndnoteReference"/>
        </w:rPr>
        <w:endnoteRef/>
      </w:r>
      <w:r>
        <w:t xml:space="preserve"> </w:t>
      </w:r>
      <w:proofErr w:type="gramStart"/>
      <w:r>
        <w:t>see</w:t>
      </w:r>
      <w:proofErr w:type="gramEnd"/>
      <w:r>
        <w:t xml:space="preserve"> Government of Australia, Aid Investment Plan to Vanuatu, September 2015, </w:t>
      </w:r>
      <w:hyperlink r:id="rId1" w:history="1">
        <w:r w:rsidRPr="009F19B5">
          <w:rPr>
            <w:rStyle w:val="Hyperlink"/>
            <w:sz w:val="21"/>
          </w:rPr>
          <w:t>http://dfat.gov.au/about-us/publications/Pages/aid-investment-plan-aip-vanuatu-2015-16-to-2018-19.aspx</w:t>
        </w:r>
      </w:hyperlink>
      <w:r>
        <w:t xml:space="preserve"> </w:t>
      </w:r>
      <w:r w:rsidR="008E2501">
        <w:t>.</w:t>
      </w:r>
    </w:p>
  </w:endnote>
  <w:endnote w:id="5">
    <w:p w:rsidR="000074D8" w:rsidRDefault="000074D8">
      <w:pPr>
        <w:pStyle w:val="EndnoteText"/>
      </w:pPr>
      <w:r>
        <w:rPr>
          <w:rStyle w:val="EndnoteReference"/>
        </w:rPr>
        <w:endnoteRef/>
      </w:r>
      <w:r>
        <w:t xml:space="preserve"> For detail see </w:t>
      </w:r>
      <w:r w:rsidR="006F0170">
        <w:t xml:space="preserve">Government of Vanuatu, </w:t>
      </w:r>
      <w:r w:rsidR="006F0170" w:rsidRPr="006F0170">
        <w:t>Vanuatu Demographic and Health Survey – MICS 2013</w:t>
      </w:r>
      <w:r w:rsidR="008E2501">
        <w:t>.</w:t>
      </w:r>
    </w:p>
  </w:endnote>
  <w:endnote w:id="6">
    <w:p w:rsidR="008C1A98" w:rsidRDefault="008C1A98">
      <w:pPr>
        <w:pStyle w:val="EndnoteText"/>
      </w:pPr>
      <w:r>
        <w:rPr>
          <w:rStyle w:val="EndnoteReference"/>
        </w:rPr>
        <w:endnoteRef/>
      </w:r>
      <w:r>
        <w:t xml:space="preserve"> See Won </w:t>
      </w:r>
      <w:proofErr w:type="spellStart"/>
      <w:r>
        <w:t>Smolbag</w:t>
      </w:r>
      <w:proofErr w:type="spellEnd"/>
      <w:r>
        <w:t>, Annual Report 2014</w:t>
      </w:r>
      <w:r w:rsidR="008E2501">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55C" w:rsidRDefault="001115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869600"/>
      <w:docPartObj>
        <w:docPartGallery w:val="Page Numbers (Bottom of Page)"/>
        <w:docPartUnique/>
      </w:docPartObj>
    </w:sdtPr>
    <w:sdtEndPr>
      <w:rPr>
        <w:noProof/>
      </w:rPr>
    </w:sdtEndPr>
    <w:sdtContent>
      <w:p w:rsidR="00AE3CEF" w:rsidRDefault="00AE3CEF">
        <w:pPr>
          <w:pStyle w:val="Footer"/>
          <w:jc w:val="right"/>
        </w:pPr>
        <w:r>
          <w:fldChar w:fldCharType="begin"/>
        </w:r>
        <w:r>
          <w:instrText xml:space="preserve"> PAGE   \* MERGEFORMAT </w:instrText>
        </w:r>
        <w:r>
          <w:fldChar w:fldCharType="separate"/>
        </w:r>
        <w:r w:rsidR="00202D73">
          <w:rPr>
            <w:noProof/>
          </w:rPr>
          <w:t>23</w:t>
        </w:r>
        <w:r>
          <w:rPr>
            <w:noProof/>
          </w:rPr>
          <w:fldChar w:fldCharType="end"/>
        </w:r>
      </w:p>
    </w:sdtContent>
  </w:sdt>
  <w:p w:rsidR="005C7111" w:rsidRDefault="005C71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375287"/>
      <w:docPartObj>
        <w:docPartGallery w:val="Page Numbers (Bottom of Page)"/>
        <w:docPartUnique/>
      </w:docPartObj>
    </w:sdtPr>
    <w:sdtEndPr>
      <w:rPr>
        <w:noProof/>
      </w:rPr>
    </w:sdtEndPr>
    <w:sdtContent>
      <w:p w:rsidR="00AE3CEF" w:rsidRDefault="00AE3CEF">
        <w:pPr>
          <w:pStyle w:val="Footer"/>
          <w:jc w:val="right"/>
        </w:pPr>
        <w:r>
          <w:fldChar w:fldCharType="begin"/>
        </w:r>
        <w:r>
          <w:instrText xml:space="preserve"> PAGE   \* MERGEFORMAT </w:instrText>
        </w:r>
        <w:r>
          <w:fldChar w:fldCharType="separate"/>
        </w:r>
        <w:r w:rsidR="00202D73">
          <w:rPr>
            <w:noProof/>
          </w:rPr>
          <w:t>1</w:t>
        </w:r>
        <w:r>
          <w:rPr>
            <w:noProof/>
          </w:rPr>
          <w:fldChar w:fldCharType="end"/>
        </w:r>
      </w:p>
    </w:sdtContent>
  </w:sdt>
  <w:p w:rsidR="00AE3CEF" w:rsidRDefault="00AE3CE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231165"/>
      <w:docPartObj>
        <w:docPartGallery w:val="Page Numbers (Bottom of Page)"/>
        <w:docPartUnique/>
      </w:docPartObj>
    </w:sdtPr>
    <w:sdtEndPr>
      <w:rPr>
        <w:noProof/>
      </w:rPr>
    </w:sdtEndPr>
    <w:sdtContent>
      <w:p w:rsidR="00AE3CEF" w:rsidRDefault="00AE3C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E3CEF" w:rsidRDefault="00AE3CE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11" w:rsidRPr="004C4A3E" w:rsidRDefault="005C7111"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0704" behindDoc="1" locked="1" layoutInCell="1" allowOverlap="1" wp14:anchorId="0CF5F4DA" wp14:editId="52BF0BE3">
              <wp:simplePos x="0" y="0"/>
              <wp:positionH relativeFrom="page">
                <wp:posOffset>0</wp:posOffset>
              </wp:positionH>
              <wp:positionV relativeFrom="page">
                <wp:posOffset>8533130</wp:posOffset>
              </wp:positionV>
              <wp:extent cx="7380000" cy="2181600"/>
              <wp:effectExtent l="0" t="0" r="0" b="9525"/>
              <wp:wrapNone/>
              <wp:docPr id="20" name="Rectangle 2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alt="AusAID web address graphic" style="position:absolute;margin-left:0;margin-top:671.9pt;width:581.1pt;height:171.8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u3jq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g67eOq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sidR="00202D73">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sidR="00202D73">
      <w:rPr>
        <w:rFonts w:ascii="Franklin Gothic Medium" w:hAnsi="Franklin Gothic Medium"/>
        <w:noProof/>
        <w:color w:val="54534A"/>
        <w:sz w:val="14"/>
        <w:szCs w:val="14"/>
      </w:rPr>
      <w:t>16</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19680" behindDoc="1" locked="0" layoutInCell="1" allowOverlap="1" wp14:anchorId="2AA8BEA9" wp14:editId="26A7200E">
              <wp:simplePos x="0" y="0"/>
              <wp:positionH relativeFrom="column">
                <wp:posOffset>0</wp:posOffset>
              </wp:positionH>
              <wp:positionV relativeFrom="paragraph">
                <wp:posOffset>8498840</wp:posOffset>
              </wp:positionV>
              <wp:extent cx="7379970" cy="2181860"/>
              <wp:effectExtent l="0" t="2540" r="1905" b="0"/>
              <wp:wrapNone/>
              <wp:docPr id="21"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alt="AusAID web address graphic" style="position:absolute;margin-left:0;margin-top:669.2pt;width:581.1pt;height:171.8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3AQ+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n3cBD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18656" behindDoc="1" locked="0" layoutInCell="1" allowOverlap="1" wp14:anchorId="74857793" wp14:editId="3F492EF9">
              <wp:simplePos x="0" y="0"/>
              <wp:positionH relativeFrom="column">
                <wp:posOffset>0</wp:posOffset>
              </wp:positionH>
              <wp:positionV relativeFrom="paragraph">
                <wp:posOffset>8498840</wp:posOffset>
              </wp:positionV>
              <wp:extent cx="7379970" cy="2181860"/>
              <wp:effectExtent l="0" t="2540" r="1905" b="0"/>
              <wp:wrapNone/>
              <wp:docPr id="22" name="Rectangle 2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alt="AusAID web address graphic" style="position:absolute;margin-left:0;margin-top:669.2pt;width:581.1pt;height:171.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dos3o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11" w:rsidRPr="004C4A3E" w:rsidRDefault="005C7111"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8896" behindDoc="1" locked="1" layoutInCell="1" allowOverlap="1" wp14:anchorId="791DC816" wp14:editId="0691F566">
              <wp:simplePos x="0" y="0"/>
              <wp:positionH relativeFrom="page">
                <wp:posOffset>0</wp:posOffset>
              </wp:positionH>
              <wp:positionV relativeFrom="page">
                <wp:posOffset>8533130</wp:posOffset>
              </wp:positionV>
              <wp:extent cx="7380000" cy="2181600"/>
              <wp:effectExtent l="0" t="0" r="0" b="9525"/>
              <wp:wrapNone/>
              <wp:docPr id="6" name="Rectangle 6"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alt="AusAID web address graphic" style="position:absolute;margin-left:0;margin-top:671.9pt;width:581.1pt;height:171.8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kU1elAwAA2w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JxQAUUmR6ijI9RRcBaK&#10;TI9RRkeoouAtFJkeooyKLgL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c340/wCQVF/11H8jXSVzfjT/AJBUX/XUfyNcuN/3efodWC/3iHqcLRRRXyR9YFb+&#10;itoot/8ASwv2rJwZc7PbpWBW/ov9i/Zv9L2/asn/AFudntXThP4nT5nLjP4XX5GjPJrHkt/ZwszA&#10;B/y64J/WuQYkuxb72efrXYTrrJhb+zmshBjpa4HH41x7Z3Hd1zzW2O3W/wA9vkY4DZ7fLf5iVs+F&#10;nK6/AB/EGB/I1jVr+GP+Rhtv+Bf+gmufC/x4eqOn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tjTfD9xqFt9p81I4Mkbjknj2rHre0bTNRltvtUF59n&#10;gyeck9PYV0YWCnUs43OfFTcKd1Kw9F0XTWObq6nlHURgoM1gOQzsRnBPGa6241fT4oWhvWOoS4xu&#10;MATFcixBYkDAzwK1xnKrRi16L+mZYNyd5STv3f6aIStfwx/yMNt/wL/0E1kVr+GP+Rhtv+Bf+gms&#10;cL/Hh6o2xX8Cfoz0eiiivsD5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ub8af8gqL/rqP5Gukrm/Gn/IKi/66j+Rrlxv+7z9DqwX+8Q9ThaKKK+SP&#10;rAq3ZXN9C4FnJMD/AHY8n9KqVv6NrjWdt9kFmZASfni4fmt8Ok56ysYYhtQ0jc0bVtZuY8XtjbvH&#10;jlp1Cn/P4VyMgxIwwBgngV10+jHUoWn+13sHGdl2cj+dcgwwxGc4PWujGqSUU/vfU5sC4tyat6Lo&#10;JWv4Y/5GG2/4F/6CayK1/DH/ACMNt/wL/wBBNc+F/jw9UdOK/gT9Gej0UUV9gfI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zfjT/kFRf9dR/I10lc&#10;340/5BUX/XUfyNcuN/3efodWC/3iHqcLRRRXyR9YFb+ka4dOsTC9ozREnM0Zw3PvisCtyzk1S90N&#10;7C2tBJADy+OeucV04WUozbi9bdrnNi4xlBKS0v3sTTDStTy39qXEUh/hnBYfnXPMMMQDnB61L9ln&#10;MrxeS/mICWXHIx1zUNRWqOerjZlUaahdRldBWv4Y/wCRhtv+Bf8AoJrIrX8Mf8jDbf8AAv8A0E08&#10;L/Hh6oMV/An6M9Hooor7A+Q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m/Gn/IKi/66j+RrpK5vxp/yCov+uo/ka5cb/u8/Q6sF/vEPU4Wiiivkj6w&#10;K6ezh1K68P2o05njMUj78Hbvycgg98VzFbmn6bfXWnrIb8W1sGIQPIQCe+K6sI3zNJN3XTT8Tkxi&#10;XKm2lZ9dfwNsafeLrVvfSKqxmAC5YsACcc/0ri5tvnybPu7jj6ZroG0OZlIOtW7AjkGQ81zrLtdl&#10;yDg4yK0xjdkuW3Xe5ng0ru0r7Lawla/hj/kYbb/gX/oJrIrX8Mf8jDbf8C/9BNYYX+PD1R0Y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gV0draw6j4ft&#10;4p7yG3aGRvL3N1BPORXOVozWkMOiWtwQTPO7Y54CjiujDy5eZ2uranNiY83Kr2d9C4fD9sAf+Jxa&#10;H/P1rDZdrFc5wcZFdKuhaaiwWk9xIL+dNy4Hyg+lc3JGYpXjbqrFT+FXiafIl7tvncnC1edtc1/l&#10;YbWv4Y/5GG2/4F/6CayK1/DH/Iw23/Av/QTWeF/jw9UaYr+BP0Z6PRRRX2B8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XN+NP+QVF/wBdR/I10lc3&#10;40/5BUX/AF1H8jXLjf8Ad5+h1YL/AHiHqcLRRRXyR9YFb2kXgezFvcaZJeRQsWQxqSVJ6isGunsp&#10;tQXw/bf2Up3LI/n7VySc8fhXXg787fl2vc5MZ8CXn3tYzpdXll137ebfLR/dj5+UAVlyOZJGdurE&#10;sfxrsUsro69Dcm2KxzQD7RxgAkc1x8yqs8ir90MQPpmnioTirye7ZOFqQk7RWyX/AAwytfwx/wAj&#10;Dbf8C/8AQTWRWv4Y/wCRhtv+Bf8AoJrLC/x4eqNsV/An6M9Hooor7A+Q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m/Gn/ACCov+uo/ka6Sub8af8A&#10;IKi/66j+Rrlxv+7z9DqwX+8Q9ThaKKK+SPrAroNMttcuNNj+xThLcMdo3hTnPNc/Wzpmlme0N1c3&#10;v2W1DbQSeWPtXThbudlf5O34nNirKF3b5q/4F+TS/EkkTI91uQjkeb1rF/sq5/s1775PKR9hGec1&#10;qPo8NxE507VvPlUZ8onBI9qwDJIEMZdtuclc8ZrXEKMbcyf33McM5ST5WvusMrX8Mf8AIw23/Av/&#10;AEE1kVr+GP8AkYbb/gX/AKCawwv8eHqjoxX8Cfoz0eiiivsD5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ub8af8gqL/rqP5Gukrm/Gn/IKi/66j+R&#10;rlxv+7z9DqwX+8Q9ThaKKK+SPrAro7S3tr/w9Dbz30Nu8cjMgZux9RXOVpLbacdEM5uT9tDcRfj/&#10;AIV0YZ2ctE1broc+JV1HVp36K5sabptjYXi3B1e2YoDtAbHOO/NZ19pVrDBLcLqlvK/XYnU/rWNR&#10;VSxEHDl5PxZMcPNT5+f8EFa/hj/kYbb/AIF/6CayK1/DH/Iw23/Av/QTUYX+ND1ReK/gT9Gej0UU&#10;V9gfI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ub8af8gqL/rqP5Gukrm/Gn/IKi/66j+Rrlxv+7z9DqwX+8Q9ThaKK&#10;K+SPrArodD1mysrUwSxGKYk/6QqhjXPVrRXaSaG9lHp5km3ZMyrnHOf/AK1dGGm4Tck9bepzYqCn&#10;BRa0v3sX7zTrrU1Mttqi3q9dhbaR+Fc2QVJB6jinIzxvlCysPTgimE55qa1SNR3tZ+pVGnKmuVu6&#10;6aBWv4Y/5GG2/wCBf+gmsitfwx/yMNt/wL/0E08L/Hh6oMV/An6M9Hooor7A+Q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m/Gn/IKi/66j+RrpK5v&#10;xp/yCov+uo/ka5cb/u8/Q6sF/vEPU4Wiiivkj6wK6ayur230C2bS4wz+Ywnwm45zx+lczW/pX9vT&#10;WIj0/wCWBGPzfKMn6nrXXhJNTaV9um5yYyKcE3bR9djRjtJW8QQz/ZCsVzBmcbeFJHNclMoSeRV+&#10;6rED6Zrp5LXxTJEyPKSpHOHWuWZSrFW6g4NXjHovda1b1M8GtW+ZPRLQStfwx/yMNt/wL/0E1kVr&#10;+GP+Rhtv+Bf+gmsML/Hh6o6MV/An6M9Hooor7A+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n/ACCov+uo/ka6Sub8af8AIKi/66j+Rrlxv+7z&#10;9DqwX+8Q9ThaKKK+SPrArprWzvNS8N2yWrmMwyNkFtokBPX8K5mniaQIEEjhQcgBjit6FVU2+ZaN&#10;GFelKolyuzTubh8P6yBnzV/7/wBYLAqzBuoODTvNk/56P/31TKVWcJW5U16u46UJxvztP0VgrY8L&#10;jPiC29t3/oJrHrqPBtkz3ct4wOyNdqn1JrTBQc68Uu5GNmoUJN9jtqKKK+tPk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5vxn/wAgqL/rqP5Gukpk&#10;kUcqgSIrgdmGaxr0/a03C+5rQqeyqKdtjySjFer/AGK1/wCfeL/vgUfYrX/n3i/74FeR/Y8v5/wP&#10;X/thfyfieUYoxXq/2K1/594v++BR9itf+feL/vgUf2PL+f8AAP7YX8n4nlGKVVZjhVJJ7AV6t9it&#10;f+feL/vgU5LeGI/JEi/RQKFk76z/AAB5wv5PxOB0zwze3zq0qGCHuzDk/QV3lpaQ2VslvAm2NRxU&#10;9FelhsHTw693fuebicXUxD97bsFFFFdZy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sidR="00202D73">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11</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27872" behindDoc="1" locked="0" layoutInCell="1" allowOverlap="1" wp14:anchorId="4F6DB041" wp14:editId="3E0F7DB6">
              <wp:simplePos x="0" y="0"/>
              <wp:positionH relativeFrom="column">
                <wp:posOffset>0</wp:posOffset>
              </wp:positionH>
              <wp:positionV relativeFrom="paragraph">
                <wp:posOffset>8498840</wp:posOffset>
              </wp:positionV>
              <wp:extent cx="7379970" cy="2181860"/>
              <wp:effectExtent l="0" t="2540" r="1905" b="0"/>
              <wp:wrapNone/>
              <wp:docPr id="7" name="Rectangle 7"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alt="AusAID web address graphic" style="position:absolute;margin-left:0;margin-top:669.2pt;width:581.1pt;height:171.8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1RJC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BSNUSQ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26848" behindDoc="1" locked="0" layoutInCell="1" allowOverlap="1" wp14:anchorId="73568F9F" wp14:editId="5AD0C52A">
              <wp:simplePos x="0" y="0"/>
              <wp:positionH relativeFrom="column">
                <wp:posOffset>0</wp:posOffset>
              </wp:positionH>
              <wp:positionV relativeFrom="paragraph">
                <wp:posOffset>8498840</wp:posOffset>
              </wp:positionV>
              <wp:extent cx="7379970" cy="2181860"/>
              <wp:effectExtent l="0" t="2540" r="1905" b="0"/>
              <wp:wrapNone/>
              <wp:docPr id="8" name="Rectangle 8"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alt="AusAID web address graphic" style="position:absolute;margin-left:0;margin-top:669.2pt;width:581.1pt;height:171.8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aVq6q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3+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gnFABRSZHqKMj&#10;1FFwFopMj1FGR6ii4C0UmR6ijIouAt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VzfjT/AJBUX/XUfyNdJXN+NP8AkFRf9dR/I1y43/d5+h1YL/eIepwtFFFf&#10;JH1gVv6K2ii3/wBLC/asnBlzs9ulYFb+i/2L9m/0vb9qyf8AW52e1dOE/idPmcuM/hdfkaM8mseS&#10;39nCzMAH/Lrgn9a5BiS7FvvZ5+tdhOusmFv7OayEGOlrgcfjXHtncd3XPNbY7db/AD2+RjgNnt8t&#10;/mJWz4Wcrr8AH8QYH8jWNWv4Y/5GG2/4F/6Ca58L/Hh6o6cV/An6M9Hooor7A+Q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m/Gn/IKi/66j+RrpK5&#10;vxp/yCov+uo/ka5cb/u8/Q6sF/vEPU4Wiiivkj6wK2NN8P3GoW32nzUjgyRuOSePaset7RtM1GW2&#10;+1QXn2eDJ5yT09hXRhYKdSzjc58VNwp3UrD0XRdNY5urqeUdRGCgzWA5DOxGcE8ZrrbjV9PihaG9&#10;Y6hLjG4wBMVyLEFiQMDPArXGcqtGLXov6Zlg3J3lJO/d/pohK1/DH/Iw23/Av/QTWRWv4Y/5GG2/&#10;4F/6Caxwv8eHqjbFfwJ+jPR6KKK+wPk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5vxp/yCov+uo/ka6Sub8af8gqL/rqP5GuXG/7vP0OrBf7xD1OF&#10;ooor5I+sCrdlc30LgWckwP8Adjyf0qpW/o2uNZ232QWZkBJ+eLh+a3w6TnrKxhiG1DSNzRtW1m5j&#10;xe2Nu8eOWnUKf8/hXIyDEjDAGCeBXXT6MdShaf7XewcZ2XZyP51yDDDEZzg9a6MapJRT+99TmwLi&#10;3Jq3ougla/hj/kYbb/gX/oJrIrX8Mf8AIw23/Av/AEE1z4X+PD1R04r+BP0Z6PRRRX2B8g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XN+NP+QVF/11&#10;H8jXSVzfjT/kFRf9dR/I1y43/d5+h1YL/eIepwtFFFfJH1gVv6Rrh06xML2jNESczRnDc++KwK3L&#10;OTVL3Q3sLa0EkAPL4565xXThZSjNuL1t2uc2LjGUEpLS/exNMNK1PLf2pcRSH+GcFh+dc8wwxAOc&#10;HrUv2WcyvF5L+YgJZccjHXNQ1Fao56uNmVRpqF1GV0Fa/hj/AJGG2/4F/wCgmsitfwx/yMNt/wAC&#10;/wDQTTwv8eHqgxX8Cfoz0eiiivsD5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c340/5BUX/XUfyNdJXN+NP+QVF/11H8jXLjf93n6HVgv94h6nC0UUV8kfWBXR2t&#10;rDqPh+3invIbdoZG8vc3UE85Fc5WjNaQw6Ja3BBM87tjngKOK6MPLl5na6tqc2JjzcqvZ30Lh8P2&#10;wB/4nFof8/WsNl2sVznBxkV0q6FpqLBaT3Egv503LgfKD6VzckZileNuqsVP4VeJp8iXu2+dycLV&#10;521zX+Vhta/hj/kYbb/gX/oJrIrX8Mf8jDbf8C/9BNZ4X+PD1Rpiv4E/Rno9FFFfYHy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c340/5BUX/AF1H&#10;8jXSVzfjT/kFRf8AXUfyNcuN/wB3n6HVgv8AeIepwtFFFfJH1gVvaReB7MW9xpkl5FCxZDGpJUnq&#10;Kwa6eym1BfD9t/ZSncsj+ftXJJzx+FdeDvzt+Xa9zkxnwJefe1jOl1eWXXft5t8tH92Pn5QBWXI5&#10;kkZ26sSx/GuxSyujr0NybYrHNAPtHGACRzXHzKqzyKv3QxA+maeKhOKvJ7tk4WpCTtFbJf8ADDK1&#10;/DH/ACMNt/wL/wBBNZFa/hj/AJGG2/4F/wCgmssL/Hh6o2xX8Cfoz0eiiivsD5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af8AIKi/66j+RrpK&#10;5vxp/wAgqL/rqP5GuXG/7vP0OrBf7xD1OFooor5I+sCug0y21y402P7FOEtwx2jeFOc81z9bOmaW&#10;Z7Q3Vze/ZbUNtBJ5Y+1dOFu52V/k7fic2KsoXdvmr/gX5NL8SSRMj3W5COR5vWsX+yrn+zXvvk8p&#10;H2EZ5zWo+jw3ETnTtW8+VRnyicEj2rAMkgQxl225yVzxmtcQoxtzJ/fcxwzlJPla+6wytfwx/wAj&#10;Dbf8C/8AQTWRWv4Y/wCRhtv+Bf8AoJrDC/x4eqOj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ujtLe2v/D0NvPfQ27xyMyBm7H1Fc5Wkttpx0Qzm5P2&#10;0NxF+P8AhXRhnZy0TVuuhz4lXUdWnformxpum2NheLcHV7ZigO0Bsc4781nX2lWsMEtwuqW8r9di&#10;dT+tY1FVLEQcOXk/Fkxw81Pn5/wQVr+GP+Rhtv8AgX/oJrIrX8Mf8jDbf8C/9BNRhf40PVF4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ho6LaQ3eoAXA&#10;JhjRpHA7gdq0bW10vUlubl4mtY9yRRqpyFY55NZWlXw0++WZk3oQVdfUGr99qNj9hFnpcEqhpBI5&#10;frkdMV3UJU1TvK2l9Or7HBiI1XUtG+ttei7l0WOitdnSRDL9pA2/aNx+9j0zXMSIY5HQ9VJFdTa6&#10;9bNcxyXVikNyww1wRjt1rlpDukY5zkk59aWL9m4pxt12VtPMeE9opNTv03d9fIbWv4Y/5GG2/wCB&#10;f+gmsitfwx/yMNt/wL/0E1jhf48PVG+K/gT9Gej0UUV9gfI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zfjT/kFRf9dR/I10lc340/5BUX/XUfyNcu&#10;N/3efodWC/3iHqcLRRRXyR9YFdDa3H9j6HBeQW8ck9w7BpHXOwA8CuerT0zWLmwUwLGk8LnPlOMj&#10;PtXRhpqEnd28+xz4mDnBWV/LualhrE+s3S2V7bwyxSAgsqYKcda5uVQkzoDkKxANdej6teW7i3sI&#10;LCJh80h4OK4912uyk5IOM1ti78seZt+bVjDB25pcqSXZO42tfwx/yMNt/wAC/wDQTWRWv4Y/5GG2&#10;/wCBf+gmsML/AB4eqOjFfwJ+jPR6KKK+wPk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5vxp/yCov+uo/ka6Sub8af8gqL/rqP5GuXG/7vP0OrBf7x&#10;D1OFooor5I+sCuh0PWbKytTBLEYpiT/pCqGNc9WtFdpJob2UenmSbdkzKucc5/8ArV0YabhNyT1t&#10;6nNioKcFFrS/exfvNOutTUy22qLer12FtpH4VzZBUkHqOKcjPG+ULKw9OCKYTnmprVI1He1n6lUa&#10;cqa5W7rpoFa/hj/kYbb/AIF/6CayK1/DH/Iw23/Av/QTTwv8eHqgxX8Cfoz0eiiivsD5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ub8af8gqL/rqP&#10;5Gukrm/Gn/IKi/66j+Rrlxv+7z9DqwX+8Q9ThaKKK+SPrArprK6vbfQLZtLjDP5jCfCbjnPH6VzN&#10;b+lf29NYiPT/AJYEY/N8oyfqetdeEk1NpX26bnJjIpwTdtH12NGO0lbxBDP9kKxXMGZxt4Ukc1yU&#10;yhJ5FX7qsQPpmunktfFMkTI8pKkc4da5ZlKsVbqDg1eMei91rVvUzwa1b5k9EtBK1/DH/Iw23/Av&#10;/QTWRWv4Y/5GG2/4F/6Cawwv8eHqjoxX8Cfoz0eiiivsD5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ub8af8AIKi/66j+RrpK5vxp/wAgqL/rqP5G&#10;uXG/7vP0OrBf7xD1OFooor5I+sCumtbO81Lw3bJauYzDI2QW2iQE9fwrmaeJpAgQSOFByAGOK3oV&#10;VTb5lo0YV6UqiXK7NO5uHw/rIGfNX/v/AFgsCrMG6g4NO82T/no//fVMpVZwlblTXq7jpQnG/O0/&#10;RWCtjwuM+ILb23f+gmseuo8G2TPdy3jA7I12qfUmtMFBzrxS7kY2ahQk32O2ooor60+S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rm/Gf/ACCov+uo&#10;/ka6SmSRRyqBIiuB2YZrGvT9rTcL7mtCp7Kop22PJKMV6v8AYrX/AJ94v++BR9itf+feL/vgV5H9&#10;jy/n/A9f+2F/J+J5RijFer/YrX/n3i/74FH2K1/594v++BR/Y8v5/wAA/thfyfieUYpVVmOFUkns&#10;BXq32K1/594v++BTkt4Yj8kSL9FAoWTvrP8AAHnC/k/E4HTPDN7fOrSoYIe7MOT9BXeWlpDZWyW8&#10;CbY1HFT0V6WGwdPDr3d+55uJxdTEP3tuwUUUV1nK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" stroked="f" strokecolor="#4a7ebb" strokeweight="1.5pt">
              <v:fill r:id="rId2" o:title="AusAID web address graphic" recolor="t" type="frame"/>
              <v:shadow opacity="22938f" offset="0"/>
              <v:textbox inset=",7.2pt,,7.2pt"/>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11" w:rsidRPr="004C4A3E" w:rsidRDefault="005C7111"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4800" behindDoc="1" locked="1" layoutInCell="1" allowOverlap="1" wp14:anchorId="3557124E" wp14:editId="6865FB72">
              <wp:simplePos x="0" y="0"/>
              <wp:positionH relativeFrom="page">
                <wp:posOffset>0</wp:posOffset>
              </wp:positionH>
              <wp:positionV relativeFrom="page">
                <wp:posOffset>8533130</wp:posOffset>
              </wp:positionV>
              <wp:extent cx="7380000" cy="2181600"/>
              <wp:effectExtent l="0" t="0" r="0" b="9525"/>
              <wp:wrapNone/>
              <wp:docPr id="3" name="Rectangle 3"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alt="AusAID web address graphic" style="position:absolute;margin-left:0;margin-top:671.9pt;width:581.1pt;height:171.8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7DcvSlAwAA2w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JxQAUUmR6ijI9RRcBaK&#10;TI9RRkeoouAtFJkeooyKLgL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c340/wCQVF/11H8jXSVzfjT/AJBUX/XUfyNcuN/3efodWC/3iHqcLRRRXyR9YFb+&#10;itoot/8ASwv2rJwZc7PbpWBW/ov9i/Zv9L2/asn/AFudntXThP4nT5nLjP4XX5GjPJrHkt/ZwszA&#10;B/y64J/WuQYkuxb72efrXYTrrJhb+zmshBjpa4HH41x7Z3Hd1zzW2O3W/wA9vkY4DZ7fLf5iVs+F&#10;nK6/AB/EGB/I1jVr+GP+Rhtv+Bf+gmufC/x4eqOn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tjTfD9xqFt9p81I4Mkbjknj2rHre0bTNRltvtUF59n&#10;gyeck9PYV0YWCnUs43OfFTcKd1Kw9F0XTWObq6nlHURgoM1gOQzsRnBPGa6241fT4oWhvWOoS4xu&#10;MATFcixBYkDAzwK1xnKrRi16L+mZYNyd5STv3f6aIStfwx/yMNt/wL/0E1kVr+GP+Rhtv+Bf+gms&#10;cL/Hh6o2xX8Cfoz0eiiivsD5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ub8af8gqL/rqP5Gukrm/Gn/IKi/66j+Rrlxv+7z9DqwX+8Q9ThaKKK+SP&#10;rAq3ZXN9C4FnJMD/AHY8n9KqVv6NrjWdt9kFmZASfni4fmt8Ok56ysYYhtQ0jc0bVtZuY8XtjbvH&#10;jlp1Cn/P4VyMgxIwwBgngV10+jHUoWn+13sHGdl2cj+dcgwwxGc4PWujGqSUU/vfU5sC4tyat6Lo&#10;JWv4Y/5GG2/4F/6CayK1/DH/ACMNt/wL/wBBNc+F/jw9UdOK/gT9Gej0UUV9gfI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zfjT/kFRf9dR/I10lc&#10;340/5BUX/XUfyNcuN/3efodWC/3iHqcLRRRXyR9YFb+ka4dOsTC9ozREnM0Zw3PvisCtyzk1S90N&#10;7C2tBJADy+OeucV04WUozbi9bdrnNi4xlBKS0v3sTTDStTy39qXEUh/hnBYfnXPMMMQDnB61L9ln&#10;MrxeS/mICWXHIx1zUNRWqOerjZlUaahdRldBWv4Y/wCRhtv+Bf8AoJrIrX8Mf8jDbf8AAv8A0E08&#10;L/Hh6oMV/An6M9Hooor7A+Q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m/Gn/IKi/66j+RrpK5vxp/yCov+uo/ka5cb/u8/Q6sF/vEPU4Wiiivkj6w&#10;K6ezh1K68P2o05njMUj78Hbvycgg98VzFbmn6bfXWnrIb8W1sGIQPIQCe+K6sI3zNJN3XTT8Tkxi&#10;XKm2lZ9dfwNsafeLrVvfSKqxmAC5YsACcc/0ri5tvnybPu7jj6ZroG0OZlIOtW7AjkGQ81zrLtdl&#10;yDg4yK0xjdkuW3Xe5ng0ru0r7Lawla/hj/kYbb/gX/oJrIrX8Mf8jDbf8C/9BNYYX+PD1R0Y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gV0draw6j4ft&#10;4p7yG3aGRvL3N1BPORXOVozWkMOiWtwQTPO7Y54CjiujDy5eZ2uranNiY83Kr2d9C4fD9sAf+Jxa&#10;H/P1rDZdrFc5wcZFdKuhaaiwWk9xIL+dNy4Hyg+lc3JGYpXjbqrFT+FXiafIl7tvncnC1edtc1/l&#10;YbWv4Y/5GG2/4F/6CayK1/DH/Iw23/Av/QTWeF/jw9UaYr+BP0Z6PRRRX2B8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XN+NP+QVF/wBdR/I10lc3&#10;40/5BUX/AF1H8jXLjf8Ad5+h1YL/AHiHqcLRRRXyR9YFb2kXgezFvcaZJeRQsWQxqSVJ6isGunsp&#10;tQXw/bf2Up3LI/n7VySc8fhXXg787fl2vc5MZ8CXn3tYzpdXll137ebfLR/dj5+UAVlyOZJGdurE&#10;sfxrsUsro69Dcm2KxzQD7RxgAkc1x8yqs8ir90MQPpmnioTirye7ZOFqQk7RWyX/AAwytfwx/wAj&#10;Dbf8C/8AQTWRWv4Y/wCRhtv+Bf8AoJrLC/x4eqNsV/An6M9Hooor7A+Q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m/Gn/ACCov+uo/ka6Sub8af8A&#10;IKi/66j+Rrlxv+7z9DqwX+8Q9ThaKKK+SPrAroNMttcuNNj+xThLcMdo3hTnPNc/Wzpmlme0N1c3&#10;v2W1DbQSeWPtXThbudlf5O34nNirKF3b5q/4F+TS/EkkTI91uQjkeb1rF/sq5/s1775PKR9hGec1&#10;qPo8NxE507VvPlUZ8onBI9qwDJIEMZdtuclc8ZrXEKMbcyf33McM5ST5WvusMrX8Mf8AIw23/Av/&#10;AEE1kVr+GP8AkYbb/gX/AKCawwv8eHqjoxX8Cfoz0eiiivsD5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ub8af8gqL/rqP5Gukrm/Gn/IKi/66j+R&#10;rlxv+7z9DqwX+8Q9ThaKKK+SPrAro7S3tr/w9Dbz30Nu8cjMgZux9RXOVpLbacdEM5uT9tDcRfj/&#10;AIV0YZ2ctE1broc+JV1HVp36K5sabptjYXi3B1e2YoDtAbHOO/NZ19pVrDBLcLqlvK/XYnU/rWNR&#10;VSxEHDl5PxZMcPNT5+f8EFa/hj/kYbb/AIF/6CayK1/DH/Iw23/Av/QTUYX+ND1ReK/gT9Gej0UU&#10;V9gfI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ub8af8gqL/rqP5Gukrm/Gn/IKi/66j+Rrlxv+7z9DqwX+8Q9ThaKK&#10;K+SPrArodD1mysrUwSxGKYk/6QqhjXPVrRXaSaG9lHp5km3ZMyrnHOf/AK1dGGm4Tck9bepzYqCn&#10;BRa0v3sX7zTrrU1Mttqi3q9dhbaR+Fc2QVJB6jinIzxvlCysPTgimE55qa1SNR3tZ+pVGnKmuVu6&#10;6aBWv4Y/5GG2/wCBf+gmsitfwx/yMNt/wL/0E08L/Hh6oMV/An6M9Hooor7A+Q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m/Gn/IKi/66j+RrpK5v&#10;xp/yCov+uo/ka5cb/u8/Q6sF/vEPU4Wiiivkj6wK6ayur230C2bS4wz+Ywnwm45zx+lczW/pX9vT&#10;WIj0/wCWBGPzfKMn6nrXXhJNTaV9um5yYyKcE3bR9djRjtJW8QQz/ZCsVzBmcbeFJHNclMoSeRV+&#10;6rED6Zrp5LXxTJEyPKSpHOHWuWZSrFW6g4NXjHovda1b1M8GtW+ZPRLQStfwx/yMNt/wL/0E1kVr&#10;+GP+Rhtv+Bf+gmsML/Hh6o6MV/An6M9Hooor7A+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n/ACCov+uo/ka6Sub8af8AIKi/66j+Rrlxv+7z&#10;9DqwX+8Q9ThaKKK+SPrArprWzvNS8N2yWrmMwyNkFtokBPX8K5mniaQIEEjhQcgBjit6FVU2+ZaN&#10;GFelKolyuzTubh8P6yBnzV/7/wBYLAqzBuoODTvNk/56P/31TKVWcJW5U16u46UJxvztP0VgrY8L&#10;jPiC29t3/oJrHrqPBtkz3ct4wOyNdqn1JrTBQc68Uu5GNmoUJN9jtqKKK+tPk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5vxn/wAgqL/rqP5Gukpk&#10;kUcqgSIrgdmGaxr0/a03C+5rQqeyqKdtjySjFer/AGK1/wCfeL/vgUfYrX/n3i/74FeR/Y8v5/wP&#10;X/thfyfieUYoxXq/2K1/594v++BR9itf+feL/vgUf2PL+f8AAP7YX8n4nlGKVVZjhVJJ7AV6t9it&#10;f+feL/vgU5LeGI/JEi/RQKFk76z/AAB5wv5PxOB0zwze3zq0qGCHuzDk/QV3lpaQ2VslvAm2NRxU&#10;9FelhsHTw693fuebicXUxD97bsFFFFdZy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sidR="00202D73">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4</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23776" behindDoc="1" locked="0" layoutInCell="1" allowOverlap="1" wp14:anchorId="72AE1D49" wp14:editId="1CA66592">
              <wp:simplePos x="0" y="0"/>
              <wp:positionH relativeFrom="column">
                <wp:posOffset>0</wp:posOffset>
              </wp:positionH>
              <wp:positionV relativeFrom="paragraph">
                <wp:posOffset>8498840</wp:posOffset>
              </wp:positionV>
              <wp:extent cx="7379970" cy="2181860"/>
              <wp:effectExtent l="0" t="2540" r="1905" b="0"/>
              <wp:wrapNone/>
              <wp:docPr id="4" name="Rectangle 4"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alt="AusAID web address graphic" style="position:absolute;margin-left:0;margin-top:669.2pt;width:581.1pt;height:171.8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XW/G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CEF1vx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22752" behindDoc="1" locked="0" layoutInCell="1" allowOverlap="1" wp14:anchorId="369342AB" wp14:editId="4A716F8A">
              <wp:simplePos x="0" y="0"/>
              <wp:positionH relativeFrom="column">
                <wp:posOffset>0</wp:posOffset>
              </wp:positionH>
              <wp:positionV relativeFrom="paragraph">
                <wp:posOffset>8498840</wp:posOffset>
              </wp:positionV>
              <wp:extent cx="7379970" cy="2181860"/>
              <wp:effectExtent l="0" t="2540" r="1905" b="0"/>
              <wp:wrapNone/>
              <wp:docPr id="5" name="Rectangle 5"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alt="AusAID web address graphic" style="position:absolute;margin-left:0;margin-top:669.2pt;width:581.1pt;height:171.8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0fme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AJ9H5n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111" w:rsidRDefault="005C7111" w:rsidP="0050529F">
      <w:r>
        <w:separator/>
      </w:r>
    </w:p>
    <w:p w:rsidR="005C7111" w:rsidRDefault="005C7111"/>
    <w:p w:rsidR="005C7111" w:rsidRDefault="005C7111"/>
    <w:p w:rsidR="005C7111" w:rsidRDefault="005C7111"/>
    <w:p w:rsidR="005C7111" w:rsidRDefault="005C7111"/>
    <w:p w:rsidR="005C7111" w:rsidRDefault="005C7111"/>
    <w:p w:rsidR="005C7111" w:rsidRDefault="005C7111"/>
  </w:footnote>
  <w:footnote w:type="continuationSeparator" w:id="0">
    <w:p w:rsidR="005C7111" w:rsidRDefault="005C7111" w:rsidP="0050529F">
      <w:r>
        <w:continuationSeparator/>
      </w:r>
    </w:p>
    <w:p w:rsidR="005C7111" w:rsidRDefault="005C7111"/>
    <w:p w:rsidR="005C7111" w:rsidRDefault="005C7111"/>
    <w:p w:rsidR="005C7111" w:rsidRDefault="005C7111"/>
    <w:p w:rsidR="005C7111" w:rsidRDefault="005C7111"/>
    <w:p w:rsidR="005C7111" w:rsidRDefault="005C7111"/>
    <w:p w:rsidR="005C7111" w:rsidRDefault="005C71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55C" w:rsidRDefault="001115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55C" w:rsidRDefault="001115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55C" w:rsidRDefault="0011155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11" w:rsidRDefault="005C711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11" w:rsidRDefault="005C711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11" w:rsidRDefault="005C71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nsid w:val="01A24246"/>
    <w:multiLevelType w:val="hybridMultilevel"/>
    <w:tmpl w:val="94D2E0AA"/>
    <w:lvl w:ilvl="0" w:tplc="65A006A4">
      <w:start w:val="1"/>
      <w:numFmt w:val="bullet"/>
      <w:lvlText w:val="­"/>
      <w:lvlJc w:val="left"/>
      <w:pPr>
        <w:ind w:left="786" w:hanging="360"/>
      </w:pPr>
      <w:rPr>
        <w:rFonts w:ascii="Courier New" w:hAnsi="Courier New"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7B67778"/>
    <w:multiLevelType w:val="hybridMultilevel"/>
    <w:tmpl w:val="2E445AB6"/>
    <w:lvl w:ilvl="0" w:tplc="EEB2B4C2">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166CE8"/>
    <w:multiLevelType w:val="multilevel"/>
    <w:tmpl w:val="ACACE19E"/>
    <w:lvl w:ilvl="0">
      <w:start w:val="1"/>
      <w:numFmt w:val="bullet"/>
      <w:lvlText w:val="o"/>
      <w:lvlJc w:val="left"/>
      <w:pPr>
        <w:ind w:left="926" w:hanging="360"/>
      </w:pPr>
      <w:rPr>
        <w:rFonts w:ascii="Courier New" w:hAnsi="Courier New" w:cs="Courier New"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142925"/>
    <w:multiLevelType w:val="multilevel"/>
    <w:tmpl w:val="9934F6BC"/>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8">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D741AEA"/>
    <w:multiLevelType w:val="hybridMultilevel"/>
    <w:tmpl w:val="92D0AF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0">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11">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12">
    <w:nsid w:val="22B838A1"/>
    <w:multiLevelType w:val="hybridMultilevel"/>
    <w:tmpl w:val="27CC43C6"/>
    <w:lvl w:ilvl="0" w:tplc="0C090015">
      <w:start w:val="5"/>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5264A5A"/>
    <w:multiLevelType w:val="hybridMultilevel"/>
    <w:tmpl w:val="DA822F1A"/>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447A71D4">
      <w:start w:val="1"/>
      <w:numFmt w:val="bullet"/>
      <w:lvlText w:val=""/>
      <w:lvlJc w:val="left"/>
      <w:pPr>
        <w:tabs>
          <w:tab w:val="num" w:pos="2480"/>
        </w:tabs>
        <w:ind w:left="2480" w:hanging="396"/>
      </w:pPr>
      <w:rPr>
        <w:rFonts w:ascii="Symbol" w:hAnsi="Symbol" w:hint="default"/>
        <w:color w:val="auto"/>
        <w:sz w:val="20"/>
      </w:rPr>
    </w:lvl>
    <w:lvl w:ilvl="3" w:tplc="0409000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6">
    <w:nsid w:val="2D375CF9"/>
    <w:multiLevelType w:val="multilevel"/>
    <w:tmpl w:val="E806D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10D4166"/>
    <w:multiLevelType w:val="hybridMultilevel"/>
    <w:tmpl w:val="7234D4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5CA534F"/>
    <w:multiLevelType w:val="hybridMultilevel"/>
    <w:tmpl w:val="ADDEAA7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698F672F"/>
    <w:multiLevelType w:val="hybridMultilevel"/>
    <w:tmpl w:val="11FEB8CA"/>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790D3E83"/>
    <w:multiLevelType w:val="hybridMultilevel"/>
    <w:tmpl w:val="F47832F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F4556ED"/>
    <w:multiLevelType w:val="hybridMultilevel"/>
    <w:tmpl w:val="FBD2660E"/>
    <w:lvl w:ilvl="0" w:tplc="6E7E5024">
      <w:numFmt w:val="bullet"/>
      <w:lvlText w:val="-"/>
      <w:lvlJc w:val="left"/>
      <w:pPr>
        <w:ind w:left="720" w:hanging="360"/>
      </w:pPr>
      <w:rPr>
        <w:rFonts w:ascii="Franklin Gothic Book" w:eastAsia="SimSun" w:hAnsi="Franklin Gothic Book" w:hint="default"/>
        <w:color w:val="000000"/>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30">
    <w:nsid w:val="7F7A528B"/>
    <w:multiLevelType w:val="hybridMultilevel"/>
    <w:tmpl w:val="A39658C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1"/>
  </w:num>
  <w:num w:numId="3">
    <w:abstractNumId w:val="8"/>
  </w:num>
  <w:num w:numId="4">
    <w:abstractNumId w:val="20"/>
  </w:num>
  <w:num w:numId="5">
    <w:abstractNumId w:val="19"/>
  </w:num>
  <w:num w:numId="6">
    <w:abstractNumId w:val="17"/>
  </w:num>
  <w:num w:numId="7">
    <w:abstractNumId w:val="25"/>
  </w:num>
  <w:num w:numId="8">
    <w:abstractNumId w:val="6"/>
  </w:num>
  <w:num w:numId="9">
    <w:abstractNumId w:val="11"/>
  </w:num>
  <w:num w:numId="10">
    <w:abstractNumId w:val="28"/>
  </w:num>
  <w:num w:numId="11">
    <w:abstractNumId w:val="30"/>
  </w:num>
  <w:num w:numId="12">
    <w:abstractNumId w:val="0"/>
  </w:num>
  <w:num w:numId="13">
    <w:abstractNumId w:val="3"/>
  </w:num>
  <w:num w:numId="14">
    <w:abstractNumId w:val="23"/>
  </w:num>
  <w:num w:numId="15">
    <w:abstractNumId w:val="1"/>
  </w:num>
  <w:num w:numId="16">
    <w:abstractNumId w:val="15"/>
  </w:num>
  <w:num w:numId="17">
    <w:abstractNumId w:val="13"/>
  </w:num>
  <w:num w:numId="18">
    <w:abstractNumId w:val="10"/>
  </w:num>
  <w:num w:numId="19">
    <w:abstractNumId w:val="30"/>
  </w:num>
  <w:num w:numId="20">
    <w:abstractNumId w:val="18"/>
  </w:num>
  <w:num w:numId="21">
    <w:abstractNumId w:val="24"/>
  </w:num>
  <w:num w:numId="22">
    <w:abstractNumId w:val="30"/>
  </w:num>
  <w:num w:numId="23">
    <w:abstractNumId w:val="30"/>
  </w:num>
  <w:num w:numId="24">
    <w:abstractNumId w:val="30"/>
  </w:num>
  <w:num w:numId="25">
    <w:abstractNumId w:val="4"/>
  </w:num>
  <w:num w:numId="26">
    <w:abstractNumId w:val="26"/>
  </w:num>
  <w:num w:numId="27">
    <w:abstractNumId w:val="2"/>
  </w:num>
  <w:num w:numId="28">
    <w:abstractNumId w:val="12"/>
  </w:num>
  <w:num w:numId="29">
    <w:abstractNumId w:val="27"/>
  </w:num>
  <w:num w:numId="30">
    <w:abstractNumId w:val="30"/>
  </w:num>
  <w:num w:numId="31">
    <w:abstractNumId w:val="30"/>
  </w:num>
  <w:num w:numId="32">
    <w:abstractNumId w:val="9"/>
  </w:num>
  <w:num w:numId="33">
    <w:abstractNumId w:val="16"/>
  </w:num>
  <w:num w:numId="34">
    <w:abstractNumId w:val="7"/>
  </w:num>
  <w:num w:numId="35">
    <w:abstractNumId w:val="5"/>
  </w:num>
  <w:num w:numId="36">
    <w:abstractNumId w:val="30"/>
  </w:num>
  <w:num w:numId="37">
    <w:abstractNumId w:val="30"/>
  </w:num>
  <w:num w:numId="38">
    <w:abstractNumId w:val="30"/>
  </w:num>
  <w:num w:numId="39">
    <w:abstractNumId w:val="30"/>
  </w:num>
  <w:num w:numId="40">
    <w:abstractNumId w:val="30"/>
  </w:num>
  <w:num w:numId="41">
    <w:abstractNumId w:val="30"/>
  </w:num>
  <w:num w:numId="42">
    <w:abstractNumId w:val="30"/>
  </w:num>
  <w:num w:numId="43">
    <w:abstractNumId w:val="30"/>
  </w:num>
  <w:num w:numId="44">
    <w:abstractNumId w:val="29"/>
  </w:num>
  <w:num w:numId="45">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NotTrackMoves/>
  <w:defaultTabStop w:val="720"/>
  <w:characterSpacingControl w:val="doNotCompress"/>
  <w:hdrShapeDefaults>
    <o:shapedefaults v:ext="edit" spidmax="158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DE"/>
    <w:rsid w:val="000004FF"/>
    <w:rsid w:val="00002161"/>
    <w:rsid w:val="000023D9"/>
    <w:rsid w:val="0000242A"/>
    <w:rsid w:val="00002A92"/>
    <w:rsid w:val="00002E28"/>
    <w:rsid w:val="000039CF"/>
    <w:rsid w:val="00004E18"/>
    <w:rsid w:val="000074D8"/>
    <w:rsid w:val="00007E94"/>
    <w:rsid w:val="000142A2"/>
    <w:rsid w:val="000143D9"/>
    <w:rsid w:val="0001570F"/>
    <w:rsid w:val="00020121"/>
    <w:rsid w:val="00020470"/>
    <w:rsid w:val="00021A9E"/>
    <w:rsid w:val="000237D8"/>
    <w:rsid w:val="00027629"/>
    <w:rsid w:val="00030111"/>
    <w:rsid w:val="00031100"/>
    <w:rsid w:val="00031EB5"/>
    <w:rsid w:val="0003231A"/>
    <w:rsid w:val="00036850"/>
    <w:rsid w:val="00040AF6"/>
    <w:rsid w:val="000426DF"/>
    <w:rsid w:val="000529AD"/>
    <w:rsid w:val="0005506B"/>
    <w:rsid w:val="000550B0"/>
    <w:rsid w:val="00055E78"/>
    <w:rsid w:val="0005637C"/>
    <w:rsid w:val="00057589"/>
    <w:rsid w:val="00057D09"/>
    <w:rsid w:val="0006046F"/>
    <w:rsid w:val="00061DC6"/>
    <w:rsid w:val="00063AC2"/>
    <w:rsid w:val="0007118D"/>
    <w:rsid w:val="0007149C"/>
    <w:rsid w:val="00071815"/>
    <w:rsid w:val="00071B95"/>
    <w:rsid w:val="0007395B"/>
    <w:rsid w:val="000745E2"/>
    <w:rsid w:val="0007703B"/>
    <w:rsid w:val="000774FD"/>
    <w:rsid w:val="000818C0"/>
    <w:rsid w:val="00081AAC"/>
    <w:rsid w:val="00081F4E"/>
    <w:rsid w:val="000905A8"/>
    <w:rsid w:val="00091878"/>
    <w:rsid w:val="000957FC"/>
    <w:rsid w:val="00095CF5"/>
    <w:rsid w:val="0009701B"/>
    <w:rsid w:val="00097729"/>
    <w:rsid w:val="000979A0"/>
    <w:rsid w:val="00097B02"/>
    <w:rsid w:val="000A1618"/>
    <w:rsid w:val="000A2C94"/>
    <w:rsid w:val="000A2D14"/>
    <w:rsid w:val="000A4247"/>
    <w:rsid w:val="000A5009"/>
    <w:rsid w:val="000A714B"/>
    <w:rsid w:val="000B0391"/>
    <w:rsid w:val="000B3121"/>
    <w:rsid w:val="000B68F6"/>
    <w:rsid w:val="000B6BE5"/>
    <w:rsid w:val="000B6FEA"/>
    <w:rsid w:val="000B7173"/>
    <w:rsid w:val="000B75E8"/>
    <w:rsid w:val="000C258A"/>
    <w:rsid w:val="000C29BF"/>
    <w:rsid w:val="000C4A7A"/>
    <w:rsid w:val="000C6080"/>
    <w:rsid w:val="000C60A8"/>
    <w:rsid w:val="000D151B"/>
    <w:rsid w:val="000D1993"/>
    <w:rsid w:val="000D2078"/>
    <w:rsid w:val="000D2CDD"/>
    <w:rsid w:val="000D3BBE"/>
    <w:rsid w:val="000D733F"/>
    <w:rsid w:val="000D7952"/>
    <w:rsid w:val="000E331F"/>
    <w:rsid w:val="000E4573"/>
    <w:rsid w:val="000E7297"/>
    <w:rsid w:val="000E7A8D"/>
    <w:rsid w:val="000F25CD"/>
    <w:rsid w:val="000F2D94"/>
    <w:rsid w:val="000F3907"/>
    <w:rsid w:val="000F5912"/>
    <w:rsid w:val="00100485"/>
    <w:rsid w:val="00100AA2"/>
    <w:rsid w:val="00102CBA"/>
    <w:rsid w:val="00106185"/>
    <w:rsid w:val="00106BDC"/>
    <w:rsid w:val="0010729C"/>
    <w:rsid w:val="0011155C"/>
    <w:rsid w:val="00112E97"/>
    <w:rsid w:val="001139DE"/>
    <w:rsid w:val="00114751"/>
    <w:rsid w:val="001154CA"/>
    <w:rsid w:val="001156A8"/>
    <w:rsid w:val="001171DE"/>
    <w:rsid w:val="00117F05"/>
    <w:rsid w:val="00120FC7"/>
    <w:rsid w:val="00122038"/>
    <w:rsid w:val="00122299"/>
    <w:rsid w:val="0012266F"/>
    <w:rsid w:val="001227C3"/>
    <w:rsid w:val="0012429A"/>
    <w:rsid w:val="00125002"/>
    <w:rsid w:val="001258C6"/>
    <w:rsid w:val="0012793C"/>
    <w:rsid w:val="00131FF0"/>
    <w:rsid w:val="00132003"/>
    <w:rsid w:val="00132643"/>
    <w:rsid w:val="00133AAD"/>
    <w:rsid w:val="00135806"/>
    <w:rsid w:val="001366B4"/>
    <w:rsid w:val="00136CC1"/>
    <w:rsid w:val="001375E3"/>
    <w:rsid w:val="001406FA"/>
    <w:rsid w:val="00141A30"/>
    <w:rsid w:val="00143053"/>
    <w:rsid w:val="0014411B"/>
    <w:rsid w:val="001448E7"/>
    <w:rsid w:val="0014661C"/>
    <w:rsid w:val="001466E4"/>
    <w:rsid w:val="00147846"/>
    <w:rsid w:val="0015043E"/>
    <w:rsid w:val="00152DFD"/>
    <w:rsid w:val="00154EF9"/>
    <w:rsid w:val="00157858"/>
    <w:rsid w:val="001606DF"/>
    <w:rsid w:val="001612CE"/>
    <w:rsid w:val="001624FB"/>
    <w:rsid w:val="0016283A"/>
    <w:rsid w:val="0016544D"/>
    <w:rsid w:val="001657F1"/>
    <w:rsid w:val="00167184"/>
    <w:rsid w:val="00167331"/>
    <w:rsid w:val="0016740F"/>
    <w:rsid w:val="00171BB2"/>
    <w:rsid w:val="00171D98"/>
    <w:rsid w:val="00173030"/>
    <w:rsid w:val="00173784"/>
    <w:rsid w:val="00173C25"/>
    <w:rsid w:val="00173C6E"/>
    <w:rsid w:val="00175E4C"/>
    <w:rsid w:val="001772FD"/>
    <w:rsid w:val="00177FF9"/>
    <w:rsid w:val="00180B19"/>
    <w:rsid w:val="00180F3A"/>
    <w:rsid w:val="0018157E"/>
    <w:rsid w:val="0018196F"/>
    <w:rsid w:val="001829BB"/>
    <w:rsid w:val="0018305E"/>
    <w:rsid w:val="0018353A"/>
    <w:rsid w:val="00183DA0"/>
    <w:rsid w:val="00192498"/>
    <w:rsid w:val="00193C1E"/>
    <w:rsid w:val="001943B6"/>
    <w:rsid w:val="00194806"/>
    <w:rsid w:val="00197941"/>
    <w:rsid w:val="001A374B"/>
    <w:rsid w:val="001B0F01"/>
    <w:rsid w:val="001B1A0C"/>
    <w:rsid w:val="001B2948"/>
    <w:rsid w:val="001B2A0A"/>
    <w:rsid w:val="001B41CD"/>
    <w:rsid w:val="001B714C"/>
    <w:rsid w:val="001C1EA0"/>
    <w:rsid w:val="001C31B9"/>
    <w:rsid w:val="001C507E"/>
    <w:rsid w:val="001C700E"/>
    <w:rsid w:val="001C7117"/>
    <w:rsid w:val="001C745A"/>
    <w:rsid w:val="001C7DDD"/>
    <w:rsid w:val="001D104D"/>
    <w:rsid w:val="001D20FC"/>
    <w:rsid w:val="001D210A"/>
    <w:rsid w:val="001D4E95"/>
    <w:rsid w:val="001D6059"/>
    <w:rsid w:val="001D6292"/>
    <w:rsid w:val="001D6515"/>
    <w:rsid w:val="001D7E98"/>
    <w:rsid w:val="001E0C30"/>
    <w:rsid w:val="001E1765"/>
    <w:rsid w:val="001E186F"/>
    <w:rsid w:val="001E4BDE"/>
    <w:rsid w:val="001E6635"/>
    <w:rsid w:val="001E6C02"/>
    <w:rsid w:val="001E7800"/>
    <w:rsid w:val="001F12A2"/>
    <w:rsid w:val="001F1C01"/>
    <w:rsid w:val="001F5784"/>
    <w:rsid w:val="001F5CB1"/>
    <w:rsid w:val="001F61A8"/>
    <w:rsid w:val="001F7480"/>
    <w:rsid w:val="0020007A"/>
    <w:rsid w:val="00201174"/>
    <w:rsid w:val="00202880"/>
    <w:rsid w:val="00202D73"/>
    <w:rsid w:val="00202E4E"/>
    <w:rsid w:val="00203BCC"/>
    <w:rsid w:val="00205E0B"/>
    <w:rsid w:val="00205F2B"/>
    <w:rsid w:val="00210926"/>
    <w:rsid w:val="002115BD"/>
    <w:rsid w:val="00211CB8"/>
    <w:rsid w:val="002126BA"/>
    <w:rsid w:val="00212B27"/>
    <w:rsid w:val="0021515C"/>
    <w:rsid w:val="002227A9"/>
    <w:rsid w:val="00223901"/>
    <w:rsid w:val="00226DEE"/>
    <w:rsid w:val="00231D45"/>
    <w:rsid w:val="002335A9"/>
    <w:rsid w:val="002343CF"/>
    <w:rsid w:val="00235D29"/>
    <w:rsid w:val="002363D9"/>
    <w:rsid w:val="00236B8C"/>
    <w:rsid w:val="002373C6"/>
    <w:rsid w:val="00237C4B"/>
    <w:rsid w:val="0024009A"/>
    <w:rsid w:val="00240D59"/>
    <w:rsid w:val="00242C0A"/>
    <w:rsid w:val="002441D5"/>
    <w:rsid w:val="00244E01"/>
    <w:rsid w:val="00246E5F"/>
    <w:rsid w:val="0025215C"/>
    <w:rsid w:val="00254374"/>
    <w:rsid w:val="00255C91"/>
    <w:rsid w:val="00261E78"/>
    <w:rsid w:val="00263F5F"/>
    <w:rsid w:val="002660AA"/>
    <w:rsid w:val="00270898"/>
    <w:rsid w:val="00272AF0"/>
    <w:rsid w:val="00273C6F"/>
    <w:rsid w:val="00275C42"/>
    <w:rsid w:val="00281982"/>
    <w:rsid w:val="00282FEF"/>
    <w:rsid w:val="0028441D"/>
    <w:rsid w:val="002849B4"/>
    <w:rsid w:val="00285D4F"/>
    <w:rsid w:val="00287DAE"/>
    <w:rsid w:val="002911A4"/>
    <w:rsid w:val="00291F1C"/>
    <w:rsid w:val="00293CF5"/>
    <w:rsid w:val="002956CC"/>
    <w:rsid w:val="00297FA7"/>
    <w:rsid w:val="002A15F4"/>
    <w:rsid w:val="002A1935"/>
    <w:rsid w:val="002A1A79"/>
    <w:rsid w:val="002A21D1"/>
    <w:rsid w:val="002A22F7"/>
    <w:rsid w:val="002A2EE3"/>
    <w:rsid w:val="002A449A"/>
    <w:rsid w:val="002A4D70"/>
    <w:rsid w:val="002A5E7C"/>
    <w:rsid w:val="002B0BC0"/>
    <w:rsid w:val="002B1CB1"/>
    <w:rsid w:val="002B1F66"/>
    <w:rsid w:val="002B31B3"/>
    <w:rsid w:val="002B433A"/>
    <w:rsid w:val="002B61A8"/>
    <w:rsid w:val="002B6EBE"/>
    <w:rsid w:val="002B79D4"/>
    <w:rsid w:val="002B79F7"/>
    <w:rsid w:val="002C0886"/>
    <w:rsid w:val="002C1E00"/>
    <w:rsid w:val="002C5722"/>
    <w:rsid w:val="002C639B"/>
    <w:rsid w:val="002D1328"/>
    <w:rsid w:val="002D4E2E"/>
    <w:rsid w:val="002D5B2F"/>
    <w:rsid w:val="002D5D7B"/>
    <w:rsid w:val="002D61BD"/>
    <w:rsid w:val="002D6914"/>
    <w:rsid w:val="002D6DF0"/>
    <w:rsid w:val="002D7FFA"/>
    <w:rsid w:val="002E0A96"/>
    <w:rsid w:val="002E0C49"/>
    <w:rsid w:val="002E3B38"/>
    <w:rsid w:val="002E55EA"/>
    <w:rsid w:val="002E5604"/>
    <w:rsid w:val="002E7042"/>
    <w:rsid w:val="002E7A25"/>
    <w:rsid w:val="002F2E20"/>
    <w:rsid w:val="002F479A"/>
    <w:rsid w:val="002F54F3"/>
    <w:rsid w:val="002F5A14"/>
    <w:rsid w:val="002F7D36"/>
    <w:rsid w:val="00302913"/>
    <w:rsid w:val="00303038"/>
    <w:rsid w:val="0030318A"/>
    <w:rsid w:val="00305017"/>
    <w:rsid w:val="00306734"/>
    <w:rsid w:val="00306FAE"/>
    <w:rsid w:val="00310426"/>
    <w:rsid w:val="00310974"/>
    <w:rsid w:val="0031152F"/>
    <w:rsid w:val="00313E45"/>
    <w:rsid w:val="00315135"/>
    <w:rsid w:val="00315D13"/>
    <w:rsid w:val="003162A1"/>
    <w:rsid w:val="003167E5"/>
    <w:rsid w:val="00320FCE"/>
    <w:rsid w:val="003213B1"/>
    <w:rsid w:val="003223F8"/>
    <w:rsid w:val="0032292A"/>
    <w:rsid w:val="00322D92"/>
    <w:rsid w:val="0032486D"/>
    <w:rsid w:val="003260C0"/>
    <w:rsid w:val="003266E1"/>
    <w:rsid w:val="00326B5A"/>
    <w:rsid w:val="003275D0"/>
    <w:rsid w:val="003279FD"/>
    <w:rsid w:val="003305E3"/>
    <w:rsid w:val="003326BE"/>
    <w:rsid w:val="003327F8"/>
    <w:rsid w:val="00334064"/>
    <w:rsid w:val="003347A6"/>
    <w:rsid w:val="00335F19"/>
    <w:rsid w:val="003363C7"/>
    <w:rsid w:val="00341177"/>
    <w:rsid w:val="00341311"/>
    <w:rsid w:val="00342008"/>
    <w:rsid w:val="00342BF7"/>
    <w:rsid w:val="00343B25"/>
    <w:rsid w:val="003446D3"/>
    <w:rsid w:val="00345B8E"/>
    <w:rsid w:val="0035129C"/>
    <w:rsid w:val="00351ACA"/>
    <w:rsid w:val="00352AE5"/>
    <w:rsid w:val="00357648"/>
    <w:rsid w:val="00357AF7"/>
    <w:rsid w:val="00357BC5"/>
    <w:rsid w:val="00360662"/>
    <w:rsid w:val="00367787"/>
    <w:rsid w:val="00371F53"/>
    <w:rsid w:val="00372D2E"/>
    <w:rsid w:val="00372E1B"/>
    <w:rsid w:val="003743C8"/>
    <w:rsid w:val="00375A6B"/>
    <w:rsid w:val="00383294"/>
    <w:rsid w:val="00383F3F"/>
    <w:rsid w:val="00384342"/>
    <w:rsid w:val="003849ED"/>
    <w:rsid w:val="00385A4C"/>
    <w:rsid w:val="00386876"/>
    <w:rsid w:val="00392981"/>
    <w:rsid w:val="00393274"/>
    <w:rsid w:val="00395CFA"/>
    <w:rsid w:val="003A15AE"/>
    <w:rsid w:val="003A2059"/>
    <w:rsid w:val="003A27D2"/>
    <w:rsid w:val="003A2D7B"/>
    <w:rsid w:val="003A344F"/>
    <w:rsid w:val="003A477B"/>
    <w:rsid w:val="003A74BF"/>
    <w:rsid w:val="003B0D0C"/>
    <w:rsid w:val="003B122C"/>
    <w:rsid w:val="003B2756"/>
    <w:rsid w:val="003B5F7E"/>
    <w:rsid w:val="003C1FF5"/>
    <w:rsid w:val="003C288C"/>
    <w:rsid w:val="003C31EE"/>
    <w:rsid w:val="003C60C1"/>
    <w:rsid w:val="003C7721"/>
    <w:rsid w:val="003D081D"/>
    <w:rsid w:val="003D26F1"/>
    <w:rsid w:val="003D2E2F"/>
    <w:rsid w:val="003D44F4"/>
    <w:rsid w:val="003D6C8B"/>
    <w:rsid w:val="003E0E66"/>
    <w:rsid w:val="003E148B"/>
    <w:rsid w:val="003E4982"/>
    <w:rsid w:val="003E63B3"/>
    <w:rsid w:val="003E6E05"/>
    <w:rsid w:val="003E7AA9"/>
    <w:rsid w:val="003F1FF6"/>
    <w:rsid w:val="00403152"/>
    <w:rsid w:val="00403AAA"/>
    <w:rsid w:val="00405831"/>
    <w:rsid w:val="00406000"/>
    <w:rsid w:val="00411334"/>
    <w:rsid w:val="00412707"/>
    <w:rsid w:val="00413345"/>
    <w:rsid w:val="00413539"/>
    <w:rsid w:val="0041396D"/>
    <w:rsid w:val="00415A92"/>
    <w:rsid w:val="00416B02"/>
    <w:rsid w:val="0041730D"/>
    <w:rsid w:val="00420E02"/>
    <w:rsid w:val="004228CD"/>
    <w:rsid w:val="0042333A"/>
    <w:rsid w:val="0042527A"/>
    <w:rsid w:val="004260B5"/>
    <w:rsid w:val="00426354"/>
    <w:rsid w:val="00427751"/>
    <w:rsid w:val="004309E9"/>
    <w:rsid w:val="0043218D"/>
    <w:rsid w:val="0043535E"/>
    <w:rsid w:val="00436BA1"/>
    <w:rsid w:val="00437C95"/>
    <w:rsid w:val="00440C5D"/>
    <w:rsid w:val="00441E77"/>
    <w:rsid w:val="00443639"/>
    <w:rsid w:val="004450BD"/>
    <w:rsid w:val="004453CE"/>
    <w:rsid w:val="00445A3B"/>
    <w:rsid w:val="00445C4E"/>
    <w:rsid w:val="00445FE0"/>
    <w:rsid w:val="00446742"/>
    <w:rsid w:val="00451A9F"/>
    <w:rsid w:val="004536FF"/>
    <w:rsid w:val="0045475F"/>
    <w:rsid w:val="0045669C"/>
    <w:rsid w:val="00462000"/>
    <w:rsid w:val="00463F4C"/>
    <w:rsid w:val="00466C98"/>
    <w:rsid w:val="00467C3F"/>
    <w:rsid w:val="00467CE4"/>
    <w:rsid w:val="00472042"/>
    <w:rsid w:val="00474172"/>
    <w:rsid w:val="0047522D"/>
    <w:rsid w:val="0047710F"/>
    <w:rsid w:val="00477BB6"/>
    <w:rsid w:val="00481777"/>
    <w:rsid w:val="0048264B"/>
    <w:rsid w:val="00482F5B"/>
    <w:rsid w:val="0048440D"/>
    <w:rsid w:val="00490BDE"/>
    <w:rsid w:val="00494504"/>
    <w:rsid w:val="004957EC"/>
    <w:rsid w:val="00496F8D"/>
    <w:rsid w:val="004A2EC3"/>
    <w:rsid w:val="004A568F"/>
    <w:rsid w:val="004A7400"/>
    <w:rsid w:val="004A7988"/>
    <w:rsid w:val="004B201A"/>
    <w:rsid w:val="004B32D9"/>
    <w:rsid w:val="004B41B9"/>
    <w:rsid w:val="004B4A44"/>
    <w:rsid w:val="004B64F3"/>
    <w:rsid w:val="004C0104"/>
    <w:rsid w:val="004C1783"/>
    <w:rsid w:val="004C33EA"/>
    <w:rsid w:val="004C36CF"/>
    <w:rsid w:val="004C4A3E"/>
    <w:rsid w:val="004C59EA"/>
    <w:rsid w:val="004C65C6"/>
    <w:rsid w:val="004C660D"/>
    <w:rsid w:val="004C77CD"/>
    <w:rsid w:val="004C7E92"/>
    <w:rsid w:val="004D024C"/>
    <w:rsid w:val="004D0699"/>
    <w:rsid w:val="004D1529"/>
    <w:rsid w:val="004D19CE"/>
    <w:rsid w:val="004D23F6"/>
    <w:rsid w:val="004D2ED0"/>
    <w:rsid w:val="004D4522"/>
    <w:rsid w:val="004D740B"/>
    <w:rsid w:val="004E01E9"/>
    <w:rsid w:val="004E201E"/>
    <w:rsid w:val="004E3E40"/>
    <w:rsid w:val="004E570D"/>
    <w:rsid w:val="004E6400"/>
    <w:rsid w:val="004E642E"/>
    <w:rsid w:val="004E6924"/>
    <w:rsid w:val="004E6A61"/>
    <w:rsid w:val="004E6E33"/>
    <w:rsid w:val="004E702A"/>
    <w:rsid w:val="004E7144"/>
    <w:rsid w:val="004F0C2D"/>
    <w:rsid w:val="004F3D7E"/>
    <w:rsid w:val="004F4630"/>
    <w:rsid w:val="004F521E"/>
    <w:rsid w:val="004F6806"/>
    <w:rsid w:val="004F6FEE"/>
    <w:rsid w:val="004F74A1"/>
    <w:rsid w:val="00500EB4"/>
    <w:rsid w:val="005011E2"/>
    <w:rsid w:val="00501CD2"/>
    <w:rsid w:val="005024D4"/>
    <w:rsid w:val="00503974"/>
    <w:rsid w:val="0050439B"/>
    <w:rsid w:val="0050529F"/>
    <w:rsid w:val="00506563"/>
    <w:rsid w:val="00506A51"/>
    <w:rsid w:val="005110C3"/>
    <w:rsid w:val="00511A0F"/>
    <w:rsid w:val="00514B5E"/>
    <w:rsid w:val="005157C1"/>
    <w:rsid w:val="00515954"/>
    <w:rsid w:val="00515B83"/>
    <w:rsid w:val="00515E3D"/>
    <w:rsid w:val="00516D93"/>
    <w:rsid w:val="005208AC"/>
    <w:rsid w:val="0052286C"/>
    <w:rsid w:val="00522AB9"/>
    <w:rsid w:val="00524DF0"/>
    <w:rsid w:val="005265B9"/>
    <w:rsid w:val="005307E8"/>
    <w:rsid w:val="0053175E"/>
    <w:rsid w:val="00533533"/>
    <w:rsid w:val="00534972"/>
    <w:rsid w:val="00534CCB"/>
    <w:rsid w:val="00535C99"/>
    <w:rsid w:val="00535E24"/>
    <w:rsid w:val="005376B8"/>
    <w:rsid w:val="00537AF9"/>
    <w:rsid w:val="00537E02"/>
    <w:rsid w:val="00542718"/>
    <w:rsid w:val="00543224"/>
    <w:rsid w:val="005440F6"/>
    <w:rsid w:val="00544CCD"/>
    <w:rsid w:val="0054557A"/>
    <w:rsid w:val="00546DD6"/>
    <w:rsid w:val="00547869"/>
    <w:rsid w:val="00550550"/>
    <w:rsid w:val="00550D67"/>
    <w:rsid w:val="0055172C"/>
    <w:rsid w:val="0055569F"/>
    <w:rsid w:val="0055771D"/>
    <w:rsid w:val="005609B0"/>
    <w:rsid w:val="00560D15"/>
    <w:rsid w:val="00565055"/>
    <w:rsid w:val="00565635"/>
    <w:rsid w:val="00566187"/>
    <w:rsid w:val="00567FCF"/>
    <w:rsid w:val="00570765"/>
    <w:rsid w:val="00570A53"/>
    <w:rsid w:val="00571521"/>
    <w:rsid w:val="005732BD"/>
    <w:rsid w:val="005733F9"/>
    <w:rsid w:val="00573E59"/>
    <w:rsid w:val="0057490F"/>
    <w:rsid w:val="00575295"/>
    <w:rsid w:val="0058127D"/>
    <w:rsid w:val="00581979"/>
    <w:rsid w:val="00581C01"/>
    <w:rsid w:val="0058242D"/>
    <w:rsid w:val="00582C22"/>
    <w:rsid w:val="005845CB"/>
    <w:rsid w:val="0058498A"/>
    <w:rsid w:val="00586350"/>
    <w:rsid w:val="00586CDB"/>
    <w:rsid w:val="00587031"/>
    <w:rsid w:val="005901D2"/>
    <w:rsid w:val="00593438"/>
    <w:rsid w:val="0059461A"/>
    <w:rsid w:val="00597520"/>
    <w:rsid w:val="005A18C5"/>
    <w:rsid w:val="005A3ED5"/>
    <w:rsid w:val="005A511C"/>
    <w:rsid w:val="005A7CF6"/>
    <w:rsid w:val="005B08BD"/>
    <w:rsid w:val="005B42EE"/>
    <w:rsid w:val="005B4F7A"/>
    <w:rsid w:val="005B52C8"/>
    <w:rsid w:val="005B537E"/>
    <w:rsid w:val="005B7C71"/>
    <w:rsid w:val="005C310A"/>
    <w:rsid w:val="005C4A6B"/>
    <w:rsid w:val="005C661F"/>
    <w:rsid w:val="005C7111"/>
    <w:rsid w:val="005D2A59"/>
    <w:rsid w:val="005E0D18"/>
    <w:rsid w:val="005E543D"/>
    <w:rsid w:val="005F0C00"/>
    <w:rsid w:val="005F15ED"/>
    <w:rsid w:val="005F1BB2"/>
    <w:rsid w:val="005F33F2"/>
    <w:rsid w:val="005F3C57"/>
    <w:rsid w:val="005F3E51"/>
    <w:rsid w:val="005F460C"/>
    <w:rsid w:val="005F51F6"/>
    <w:rsid w:val="005F74D0"/>
    <w:rsid w:val="00600404"/>
    <w:rsid w:val="00600B01"/>
    <w:rsid w:val="0060117A"/>
    <w:rsid w:val="00612E14"/>
    <w:rsid w:val="00617F30"/>
    <w:rsid w:val="006231CF"/>
    <w:rsid w:val="0062598A"/>
    <w:rsid w:val="00625A52"/>
    <w:rsid w:val="00625BDA"/>
    <w:rsid w:val="0062686B"/>
    <w:rsid w:val="006319E5"/>
    <w:rsid w:val="00632094"/>
    <w:rsid w:val="00633A74"/>
    <w:rsid w:val="00637549"/>
    <w:rsid w:val="00642A6F"/>
    <w:rsid w:val="00642E50"/>
    <w:rsid w:val="00642F43"/>
    <w:rsid w:val="00646049"/>
    <w:rsid w:val="00647FBA"/>
    <w:rsid w:val="00650E15"/>
    <w:rsid w:val="0065268F"/>
    <w:rsid w:val="0065391A"/>
    <w:rsid w:val="0065679C"/>
    <w:rsid w:val="00657108"/>
    <w:rsid w:val="00663306"/>
    <w:rsid w:val="00663909"/>
    <w:rsid w:val="00663E95"/>
    <w:rsid w:val="006659FF"/>
    <w:rsid w:val="006671BC"/>
    <w:rsid w:val="0067299B"/>
    <w:rsid w:val="00673287"/>
    <w:rsid w:val="0067448F"/>
    <w:rsid w:val="00674A45"/>
    <w:rsid w:val="00680679"/>
    <w:rsid w:val="0068146D"/>
    <w:rsid w:val="00682DB1"/>
    <w:rsid w:val="00683FFB"/>
    <w:rsid w:val="0068768A"/>
    <w:rsid w:val="00687768"/>
    <w:rsid w:val="00687B2F"/>
    <w:rsid w:val="00690BEA"/>
    <w:rsid w:val="00695279"/>
    <w:rsid w:val="00697C69"/>
    <w:rsid w:val="006A0A59"/>
    <w:rsid w:val="006A4103"/>
    <w:rsid w:val="006A5742"/>
    <w:rsid w:val="006B0757"/>
    <w:rsid w:val="006B0B63"/>
    <w:rsid w:val="006B0F12"/>
    <w:rsid w:val="006B33A7"/>
    <w:rsid w:val="006C0B0D"/>
    <w:rsid w:val="006C1260"/>
    <w:rsid w:val="006C2232"/>
    <w:rsid w:val="006C567C"/>
    <w:rsid w:val="006C6800"/>
    <w:rsid w:val="006D0BC5"/>
    <w:rsid w:val="006D2239"/>
    <w:rsid w:val="006D2CF2"/>
    <w:rsid w:val="006D2E37"/>
    <w:rsid w:val="006D34C3"/>
    <w:rsid w:val="006E0699"/>
    <w:rsid w:val="006E0943"/>
    <w:rsid w:val="006E327C"/>
    <w:rsid w:val="006E5183"/>
    <w:rsid w:val="006E7795"/>
    <w:rsid w:val="006E7E9F"/>
    <w:rsid w:val="006E7FA8"/>
    <w:rsid w:val="006F00DB"/>
    <w:rsid w:val="006F0170"/>
    <w:rsid w:val="006F10A4"/>
    <w:rsid w:val="006F17CB"/>
    <w:rsid w:val="006F2A33"/>
    <w:rsid w:val="006F4623"/>
    <w:rsid w:val="006F49EE"/>
    <w:rsid w:val="006F4B40"/>
    <w:rsid w:val="006F73E7"/>
    <w:rsid w:val="00701FEA"/>
    <w:rsid w:val="007040D1"/>
    <w:rsid w:val="007053A9"/>
    <w:rsid w:val="00705A00"/>
    <w:rsid w:val="007069F7"/>
    <w:rsid w:val="00706DE1"/>
    <w:rsid w:val="00710059"/>
    <w:rsid w:val="00710337"/>
    <w:rsid w:val="007110C9"/>
    <w:rsid w:val="00712349"/>
    <w:rsid w:val="00712FCE"/>
    <w:rsid w:val="007131CA"/>
    <w:rsid w:val="0071347B"/>
    <w:rsid w:val="00714226"/>
    <w:rsid w:val="00714BA3"/>
    <w:rsid w:val="00715180"/>
    <w:rsid w:val="0071537B"/>
    <w:rsid w:val="007167AE"/>
    <w:rsid w:val="00720485"/>
    <w:rsid w:val="00721098"/>
    <w:rsid w:val="0072495B"/>
    <w:rsid w:val="007311E0"/>
    <w:rsid w:val="007360D3"/>
    <w:rsid w:val="0073644C"/>
    <w:rsid w:val="00736D2D"/>
    <w:rsid w:val="00737641"/>
    <w:rsid w:val="00737C72"/>
    <w:rsid w:val="007452F9"/>
    <w:rsid w:val="0074660C"/>
    <w:rsid w:val="00747B69"/>
    <w:rsid w:val="00750E77"/>
    <w:rsid w:val="00751449"/>
    <w:rsid w:val="0075547E"/>
    <w:rsid w:val="00755D95"/>
    <w:rsid w:val="00756B0E"/>
    <w:rsid w:val="00757BAA"/>
    <w:rsid w:val="007612D0"/>
    <w:rsid w:val="00762B9C"/>
    <w:rsid w:val="00763999"/>
    <w:rsid w:val="00766491"/>
    <w:rsid w:val="00766BCF"/>
    <w:rsid w:val="00767F39"/>
    <w:rsid w:val="007705BC"/>
    <w:rsid w:val="007726E1"/>
    <w:rsid w:val="00772C2F"/>
    <w:rsid w:val="00774F4B"/>
    <w:rsid w:val="007807A2"/>
    <w:rsid w:val="00785DA9"/>
    <w:rsid w:val="00787A16"/>
    <w:rsid w:val="007909F9"/>
    <w:rsid w:val="0079256F"/>
    <w:rsid w:val="00792809"/>
    <w:rsid w:val="00792FC9"/>
    <w:rsid w:val="0079307B"/>
    <w:rsid w:val="00793BFD"/>
    <w:rsid w:val="007941CF"/>
    <w:rsid w:val="00796F48"/>
    <w:rsid w:val="007A2A5E"/>
    <w:rsid w:val="007A3C6A"/>
    <w:rsid w:val="007A5821"/>
    <w:rsid w:val="007A6B87"/>
    <w:rsid w:val="007A6CDA"/>
    <w:rsid w:val="007A70BB"/>
    <w:rsid w:val="007B0EBF"/>
    <w:rsid w:val="007B12EF"/>
    <w:rsid w:val="007B263B"/>
    <w:rsid w:val="007B51E2"/>
    <w:rsid w:val="007B6F81"/>
    <w:rsid w:val="007C08B4"/>
    <w:rsid w:val="007D0A64"/>
    <w:rsid w:val="007D2323"/>
    <w:rsid w:val="007D5D8D"/>
    <w:rsid w:val="007D608D"/>
    <w:rsid w:val="007D7EE0"/>
    <w:rsid w:val="007E10A5"/>
    <w:rsid w:val="007E157C"/>
    <w:rsid w:val="007E2A95"/>
    <w:rsid w:val="007E3D71"/>
    <w:rsid w:val="007E48BC"/>
    <w:rsid w:val="007E6F88"/>
    <w:rsid w:val="007F0036"/>
    <w:rsid w:val="007F10B6"/>
    <w:rsid w:val="007F1226"/>
    <w:rsid w:val="007F175C"/>
    <w:rsid w:val="007F2841"/>
    <w:rsid w:val="007F3E30"/>
    <w:rsid w:val="0080096B"/>
    <w:rsid w:val="00800B90"/>
    <w:rsid w:val="00802A66"/>
    <w:rsid w:val="00803848"/>
    <w:rsid w:val="00805ADD"/>
    <w:rsid w:val="008103A0"/>
    <w:rsid w:val="00810DE3"/>
    <w:rsid w:val="00821541"/>
    <w:rsid w:val="00821A06"/>
    <w:rsid w:val="008220F3"/>
    <w:rsid w:val="00822273"/>
    <w:rsid w:val="0082275A"/>
    <w:rsid w:val="008235DB"/>
    <w:rsid w:val="00823FCA"/>
    <w:rsid w:val="00826FE4"/>
    <w:rsid w:val="00827103"/>
    <w:rsid w:val="00830647"/>
    <w:rsid w:val="00830E80"/>
    <w:rsid w:val="00830ED8"/>
    <w:rsid w:val="00832911"/>
    <w:rsid w:val="00833071"/>
    <w:rsid w:val="00833BA6"/>
    <w:rsid w:val="00833EB7"/>
    <w:rsid w:val="0084092F"/>
    <w:rsid w:val="00843333"/>
    <w:rsid w:val="00844C87"/>
    <w:rsid w:val="0084596D"/>
    <w:rsid w:val="00845E3F"/>
    <w:rsid w:val="00846170"/>
    <w:rsid w:val="00850A87"/>
    <w:rsid w:val="008532FB"/>
    <w:rsid w:val="008540F0"/>
    <w:rsid w:val="0085430D"/>
    <w:rsid w:val="008568C0"/>
    <w:rsid w:val="00861205"/>
    <w:rsid w:val="00861EFB"/>
    <w:rsid w:val="00864874"/>
    <w:rsid w:val="00866F52"/>
    <w:rsid w:val="00871CA1"/>
    <w:rsid w:val="00873F5B"/>
    <w:rsid w:val="00874F47"/>
    <w:rsid w:val="00876EC4"/>
    <w:rsid w:val="00877D87"/>
    <w:rsid w:val="00880255"/>
    <w:rsid w:val="00880C66"/>
    <w:rsid w:val="008810FA"/>
    <w:rsid w:val="00883248"/>
    <w:rsid w:val="0088443D"/>
    <w:rsid w:val="00884878"/>
    <w:rsid w:val="00885B9C"/>
    <w:rsid w:val="00886D18"/>
    <w:rsid w:val="00887B22"/>
    <w:rsid w:val="00892303"/>
    <w:rsid w:val="00896927"/>
    <w:rsid w:val="00897E16"/>
    <w:rsid w:val="008A144E"/>
    <w:rsid w:val="008A310A"/>
    <w:rsid w:val="008A39BA"/>
    <w:rsid w:val="008A6603"/>
    <w:rsid w:val="008B0AF1"/>
    <w:rsid w:val="008B5F65"/>
    <w:rsid w:val="008B71B0"/>
    <w:rsid w:val="008C0FBD"/>
    <w:rsid w:val="008C1A98"/>
    <w:rsid w:val="008C1DC2"/>
    <w:rsid w:val="008C4903"/>
    <w:rsid w:val="008C5617"/>
    <w:rsid w:val="008C6687"/>
    <w:rsid w:val="008C70BD"/>
    <w:rsid w:val="008C79C7"/>
    <w:rsid w:val="008C7AC8"/>
    <w:rsid w:val="008D0242"/>
    <w:rsid w:val="008D23EE"/>
    <w:rsid w:val="008D27EF"/>
    <w:rsid w:val="008D280D"/>
    <w:rsid w:val="008D28DF"/>
    <w:rsid w:val="008D2DC8"/>
    <w:rsid w:val="008D34F9"/>
    <w:rsid w:val="008D3D46"/>
    <w:rsid w:val="008D745E"/>
    <w:rsid w:val="008E0702"/>
    <w:rsid w:val="008E1433"/>
    <w:rsid w:val="008E1750"/>
    <w:rsid w:val="008E2501"/>
    <w:rsid w:val="008E2540"/>
    <w:rsid w:val="008E29AB"/>
    <w:rsid w:val="008E44A5"/>
    <w:rsid w:val="008E4EF2"/>
    <w:rsid w:val="008F06F2"/>
    <w:rsid w:val="008F1E28"/>
    <w:rsid w:val="008F4C4B"/>
    <w:rsid w:val="008F4D11"/>
    <w:rsid w:val="008F5D80"/>
    <w:rsid w:val="008F7B8C"/>
    <w:rsid w:val="009006D2"/>
    <w:rsid w:val="00906A81"/>
    <w:rsid w:val="009103F3"/>
    <w:rsid w:val="009111FA"/>
    <w:rsid w:val="00911EA2"/>
    <w:rsid w:val="009122BD"/>
    <w:rsid w:val="009126A4"/>
    <w:rsid w:val="009163AF"/>
    <w:rsid w:val="00916D52"/>
    <w:rsid w:val="00916E13"/>
    <w:rsid w:val="009205AB"/>
    <w:rsid w:val="00922C36"/>
    <w:rsid w:val="00923D3D"/>
    <w:rsid w:val="00924CCB"/>
    <w:rsid w:val="00925097"/>
    <w:rsid w:val="0092520A"/>
    <w:rsid w:val="00927978"/>
    <w:rsid w:val="00932FAD"/>
    <w:rsid w:val="00934729"/>
    <w:rsid w:val="00934F7F"/>
    <w:rsid w:val="00936ECF"/>
    <w:rsid w:val="00937307"/>
    <w:rsid w:val="009445BA"/>
    <w:rsid w:val="00945130"/>
    <w:rsid w:val="00945B0A"/>
    <w:rsid w:val="00946F68"/>
    <w:rsid w:val="009475F3"/>
    <w:rsid w:val="00951562"/>
    <w:rsid w:val="00951651"/>
    <w:rsid w:val="00953CAB"/>
    <w:rsid w:val="00954EF3"/>
    <w:rsid w:val="0095603B"/>
    <w:rsid w:val="00957948"/>
    <w:rsid w:val="009668EF"/>
    <w:rsid w:val="009713CF"/>
    <w:rsid w:val="009718AA"/>
    <w:rsid w:val="009729A9"/>
    <w:rsid w:val="009746EC"/>
    <w:rsid w:val="009750EA"/>
    <w:rsid w:val="009761F8"/>
    <w:rsid w:val="00976AF1"/>
    <w:rsid w:val="00976FB3"/>
    <w:rsid w:val="0097768F"/>
    <w:rsid w:val="0098030D"/>
    <w:rsid w:val="00981B13"/>
    <w:rsid w:val="00981E62"/>
    <w:rsid w:val="00982ECA"/>
    <w:rsid w:val="009928E1"/>
    <w:rsid w:val="0099488A"/>
    <w:rsid w:val="00994D57"/>
    <w:rsid w:val="00996460"/>
    <w:rsid w:val="0099677B"/>
    <w:rsid w:val="009974F5"/>
    <w:rsid w:val="009A0559"/>
    <w:rsid w:val="009A1E07"/>
    <w:rsid w:val="009A25EB"/>
    <w:rsid w:val="009A290D"/>
    <w:rsid w:val="009A7BFC"/>
    <w:rsid w:val="009B18A3"/>
    <w:rsid w:val="009B5190"/>
    <w:rsid w:val="009B5381"/>
    <w:rsid w:val="009B60AB"/>
    <w:rsid w:val="009B654F"/>
    <w:rsid w:val="009C16DF"/>
    <w:rsid w:val="009C1FDC"/>
    <w:rsid w:val="009C2407"/>
    <w:rsid w:val="009C45A0"/>
    <w:rsid w:val="009C4804"/>
    <w:rsid w:val="009D0A45"/>
    <w:rsid w:val="009D104E"/>
    <w:rsid w:val="009D1B85"/>
    <w:rsid w:val="009D1FDF"/>
    <w:rsid w:val="009D3524"/>
    <w:rsid w:val="009D504E"/>
    <w:rsid w:val="009D5236"/>
    <w:rsid w:val="009E1667"/>
    <w:rsid w:val="009E1CA8"/>
    <w:rsid w:val="009E28E1"/>
    <w:rsid w:val="009E38C1"/>
    <w:rsid w:val="009E6780"/>
    <w:rsid w:val="009E79EC"/>
    <w:rsid w:val="009F3569"/>
    <w:rsid w:val="009F4D99"/>
    <w:rsid w:val="009F50F0"/>
    <w:rsid w:val="00A01327"/>
    <w:rsid w:val="00A018E7"/>
    <w:rsid w:val="00A03911"/>
    <w:rsid w:val="00A05140"/>
    <w:rsid w:val="00A06FC9"/>
    <w:rsid w:val="00A10DE1"/>
    <w:rsid w:val="00A11D59"/>
    <w:rsid w:val="00A123C7"/>
    <w:rsid w:val="00A13029"/>
    <w:rsid w:val="00A13AC2"/>
    <w:rsid w:val="00A14E44"/>
    <w:rsid w:val="00A14E66"/>
    <w:rsid w:val="00A1727D"/>
    <w:rsid w:val="00A20730"/>
    <w:rsid w:val="00A20CE8"/>
    <w:rsid w:val="00A22538"/>
    <w:rsid w:val="00A232AC"/>
    <w:rsid w:val="00A26556"/>
    <w:rsid w:val="00A27E2B"/>
    <w:rsid w:val="00A30455"/>
    <w:rsid w:val="00A31959"/>
    <w:rsid w:val="00A327D9"/>
    <w:rsid w:val="00A3355A"/>
    <w:rsid w:val="00A33B7B"/>
    <w:rsid w:val="00A34039"/>
    <w:rsid w:val="00A3552E"/>
    <w:rsid w:val="00A35E94"/>
    <w:rsid w:val="00A36449"/>
    <w:rsid w:val="00A414EE"/>
    <w:rsid w:val="00A417FA"/>
    <w:rsid w:val="00A42760"/>
    <w:rsid w:val="00A435CB"/>
    <w:rsid w:val="00A4383B"/>
    <w:rsid w:val="00A443C7"/>
    <w:rsid w:val="00A458B3"/>
    <w:rsid w:val="00A45B60"/>
    <w:rsid w:val="00A45E73"/>
    <w:rsid w:val="00A550D7"/>
    <w:rsid w:val="00A5551F"/>
    <w:rsid w:val="00A56C68"/>
    <w:rsid w:val="00A61B0C"/>
    <w:rsid w:val="00A62E17"/>
    <w:rsid w:val="00A65CAA"/>
    <w:rsid w:val="00A662CF"/>
    <w:rsid w:val="00A766FD"/>
    <w:rsid w:val="00A80353"/>
    <w:rsid w:val="00A820E7"/>
    <w:rsid w:val="00A82DF8"/>
    <w:rsid w:val="00A858F6"/>
    <w:rsid w:val="00A9333E"/>
    <w:rsid w:val="00A94EC5"/>
    <w:rsid w:val="00A9554E"/>
    <w:rsid w:val="00AA31F2"/>
    <w:rsid w:val="00AA406C"/>
    <w:rsid w:val="00AA4F9F"/>
    <w:rsid w:val="00AA5975"/>
    <w:rsid w:val="00AA5E1B"/>
    <w:rsid w:val="00AA6DFB"/>
    <w:rsid w:val="00AA7256"/>
    <w:rsid w:val="00AB0987"/>
    <w:rsid w:val="00AB0FD3"/>
    <w:rsid w:val="00AB2848"/>
    <w:rsid w:val="00AB3900"/>
    <w:rsid w:val="00AB7215"/>
    <w:rsid w:val="00AC005D"/>
    <w:rsid w:val="00AC14DE"/>
    <w:rsid w:val="00AC56C2"/>
    <w:rsid w:val="00AC5E19"/>
    <w:rsid w:val="00AC6F49"/>
    <w:rsid w:val="00AD2723"/>
    <w:rsid w:val="00AD445D"/>
    <w:rsid w:val="00AD6EF1"/>
    <w:rsid w:val="00AD6F47"/>
    <w:rsid w:val="00AE2781"/>
    <w:rsid w:val="00AE3CEF"/>
    <w:rsid w:val="00AE5C52"/>
    <w:rsid w:val="00AE6D76"/>
    <w:rsid w:val="00AE6E0A"/>
    <w:rsid w:val="00AE75DB"/>
    <w:rsid w:val="00AE7A7F"/>
    <w:rsid w:val="00AF045F"/>
    <w:rsid w:val="00AF0FA2"/>
    <w:rsid w:val="00AF0FDD"/>
    <w:rsid w:val="00AF5A70"/>
    <w:rsid w:val="00AF5C5C"/>
    <w:rsid w:val="00B01937"/>
    <w:rsid w:val="00B029D8"/>
    <w:rsid w:val="00B02F78"/>
    <w:rsid w:val="00B03FB1"/>
    <w:rsid w:val="00B10BE7"/>
    <w:rsid w:val="00B15829"/>
    <w:rsid w:val="00B16BCA"/>
    <w:rsid w:val="00B175DC"/>
    <w:rsid w:val="00B17A9D"/>
    <w:rsid w:val="00B206FA"/>
    <w:rsid w:val="00B21C2F"/>
    <w:rsid w:val="00B249B7"/>
    <w:rsid w:val="00B2764E"/>
    <w:rsid w:val="00B27702"/>
    <w:rsid w:val="00B300DD"/>
    <w:rsid w:val="00B30E77"/>
    <w:rsid w:val="00B33F27"/>
    <w:rsid w:val="00B33F82"/>
    <w:rsid w:val="00B34B88"/>
    <w:rsid w:val="00B356A2"/>
    <w:rsid w:val="00B357C6"/>
    <w:rsid w:val="00B37251"/>
    <w:rsid w:val="00B37A25"/>
    <w:rsid w:val="00B44032"/>
    <w:rsid w:val="00B456CC"/>
    <w:rsid w:val="00B478EF"/>
    <w:rsid w:val="00B47CB9"/>
    <w:rsid w:val="00B50A58"/>
    <w:rsid w:val="00B51BAD"/>
    <w:rsid w:val="00B53E4E"/>
    <w:rsid w:val="00B55BE4"/>
    <w:rsid w:val="00B564A3"/>
    <w:rsid w:val="00B56514"/>
    <w:rsid w:val="00B56551"/>
    <w:rsid w:val="00B565C0"/>
    <w:rsid w:val="00B57AE9"/>
    <w:rsid w:val="00B57CA2"/>
    <w:rsid w:val="00B62576"/>
    <w:rsid w:val="00B638BD"/>
    <w:rsid w:val="00B64A16"/>
    <w:rsid w:val="00B65EB5"/>
    <w:rsid w:val="00B66555"/>
    <w:rsid w:val="00B71672"/>
    <w:rsid w:val="00B72CEC"/>
    <w:rsid w:val="00B73156"/>
    <w:rsid w:val="00B73650"/>
    <w:rsid w:val="00B7424C"/>
    <w:rsid w:val="00B74929"/>
    <w:rsid w:val="00B763AE"/>
    <w:rsid w:val="00B7716B"/>
    <w:rsid w:val="00B777E6"/>
    <w:rsid w:val="00B80134"/>
    <w:rsid w:val="00B80707"/>
    <w:rsid w:val="00B82AB0"/>
    <w:rsid w:val="00B83F09"/>
    <w:rsid w:val="00B861D4"/>
    <w:rsid w:val="00B8737A"/>
    <w:rsid w:val="00B87675"/>
    <w:rsid w:val="00B87DBC"/>
    <w:rsid w:val="00B910DF"/>
    <w:rsid w:val="00B922B9"/>
    <w:rsid w:val="00B92B2F"/>
    <w:rsid w:val="00B94FF6"/>
    <w:rsid w:val="00B95043"/>
    <w:rsid w:val="00B95733"/>
    <w:rsid w:val="00B9749F"/>
    <w:rsid w:val="00BA0E90"/>
    <w:rsid w:val="00BA26FF"/>
    <w:rsid w:val="00BA3026"/>
    <w:rsid w:val="00BA3EFF"/>
    <w:rsid w:val="00BA42A5"/>
    <w:rsid w:val="00BA4972"/>
    <w:rsid w:val="00BA5FE7"/>
    <w:rsid w:val="00BB1C24"/>
    <w:rsid w:val="00BB2580"/>
    <w:rsid w:val="00BB27EC"/>
    <w:rsid w:val="00BB36D7"/>
    <w:rsid w:val="00BB37EE"/>
    <w:rsid w:val="00BB530B"/>
    <w:rsid w:val="00BB58D3"/>
    <w:rsid w:val="00BB59A4"/>
    <w:rsid w:val="00BB5E87"/>
    <w:rsid w:val="00BC179B"/>
    <w:rsid w:val="00BC432E"/>
    <w:rsid w:val="00BC54E7"/>
    <w:rsid w:val="00BC6774"/>
    <w:rsid w:val="00BC6C8B"/>
    <w:rsid w:val="00BC6EEF"/>
    <w:rsid w:val="00BC7980"/>
    <w:rsid w:val="00BD14EA"/>
    <w:rsid w:val="00BD28C5"/>
    <w:rsid w:val="00BD2FEE"/>
    <w:rsid w:val="00BD4D43"/>
    <w:rsid w:val="00BD6092"/>
    <w:rsid w:val="00BD63CA"/>
    <w:rsid w:val="00BD7695"/>
    <w:rsid w:val="00BE0D5C"/>
    <w:rsid w:val="00BE0EE1"/>
    <w:rsid w:val="00BE4BDF"/>
    <w:rsid w:val="00BE5FED"/>
    <w:rsid w:val="00BE65E4"/>
    <w:rsid w:val="00BE6F13"/>
    <w:rsid w:val="00BE7966"/>
    <w:rsid w:val="00BE7D81"/>
    <w:rsid w:val="00BF0AA7"/>
    <w:rsid w:val="00BF2F97"/>
    <w:rsid w:val="00BF4687"/>
    <w:rsid w:val="00C00765"/>
    <w:rsid w:val="00C00E26"/>
    <w:rsid w:val="00C03A2E"/>
    <w:rsid w:val="00C06287"/>
    <w:rsid w:val="00C12309"/>
    <w:rsid w:val="00C12CE2"/>
    <w:rsid w:val="00C20D5E"/>
    <w:rsid w:val="00C22E16"/>
    <w:rsid w:val="00C23583"/>
    <w:rsid w:val="00C27F25"/>
    <w:rsid w:val="00C312CC"/>
    <w:rsid w:val="00C35614"/>
    <w:rsid w:val="00C36C67"/>
    <w:rsid w:val="00C4066A"/>
    <w:rsid w:val="00C40D0E"/>
    <w:rsid w:val="00C469FC"/>
    <w:rsid w:val="00C46B7B"/>
    <w:rsid w:val="00C51DF7"/>
    <w:rsid w:val="00C5255D"/>
    <w:rsid w:val="00C53CBF"/>
    <w:rsid w:val="00C56BAB"/>
    <w:rsid w:val="00C57E14"/>
    <w:rsid w:val="00C57EEA"/>
    <w:rsid w:val="00C602B7"/>
    <w:rsid w:val="00C60D92"/>
    <w:rsid w:val="00C65930"/>
    <w:rsid w:val="00C65C4E"/>
    <w:rsid w:val="00C66B1C"/>
    <w:rsid w:val="00C71FD5"/>
    <w:rsid w:val="00C72050"/>
    <w:rsid w:val="00C75AB0"/>
    <w:rsid w:val="00C80B00"/>
    <w:rsid w:val="00C81AD3"/>
    <w:rsid w:val="00C82AA4"/>
    <w:rsid w:val="00C8305C"/>
    <w:rsid w:val="00C844D6"/>
    <w:rsid w:val="00C85FF6"/>
    <w:rsid w:val="00C9326B"/>
    <w:rsid w:val="00C94419"/>
    <w:rsid w:val="00C95691"/>
    <w:rsid w:val="00C96A47"/>
    <w:rsid w:val="00C970CE"/>
    <w:rsid w:val="00CA113C"/>
    <w:rsid w:val="00CA15DE"/>
    <w:rsid w:val="00CA1ECD"/>
    <w:rsid w:val="00CA293D"/>
    <w:rsid w:val="00CA2BBA"/>
    <w:rsid w:val="00CA37D1"/>
    <w:rsid w:val="00CA4C7F"/>
    <w:rsid w:val="00CA5D06"/>
    <w:rsid w:val="00CA73B3"/>
    <w:rsid w:val="00CA7D87"/>
    <w:rsid w:val="00CA7E70"/>
    <w:rsid w:val="00CB1255"/>
    <w:rsid w:val="00CB13B7"/>
    <w:rsid w:val="00CB5861"/>
    <w:rsid w:val="00CB7087"/>
    <w:rsid w:val="00CB723D"/>
    <w:rsid w:val="00CC34E0"/>
    <w:rsid w:val="00CC41EE"/>
    <w:rsid w:val="00CD01CD"/>
    <w:rsid w:val="00CD061B"/>
    <w:rsid w:val="00CD0BF5"/>
    <w:rsid w:val="00CD0FA4"/>
    <w:rsid w:val="00CD1089"/>
    <w:rsid w:val="00CD1BCD"/>
    <w:rsid w:val="00CD41F8"/>
    <w:rsid w:val="00CD542B"/>
    <w:rsid w:val="00CD6D61"/>
    <w:rsid w:val="00CD7D66"/>
    <w:rsid w:val="00CD7FFC"/>
    <w:rsid w:val="00CE1CA4"/>
    <w:rsid w:val="00CE1DFB"/>
    <w:rsid w:val="00CE2C6E"/>
    <w:rsid w:val="00CE2D75"/>
    <w:rsid w:val="00CE6C66"/>
    <w:rsid w:val="00CE799B"/>
    <w:rsid w:val="00CF046A"/>
    <w:rsid w:val="00CF321C"/>
    <w:rsid w:val="00CF4FE6"/>
    <w:rsid w:val="00CF50A8"/>
    <w:rsid w:val="00CF556F"/>
    <w:rsid w:val="00CF5974"/>
    <w:rsid w:val="00D0030F"/>
    <w:rsid w:val="00D0445F"/>
    <w:rsid w:val="00D0608D"/>
    <w:rsid w:val="00D061D5"/>
    <w:rsid w:val="00D06E87"/>
    <w:rsid w:val="00D06EFC"/>
    <w:rsid w:val="00D074BF"/>
    <w:rsid w:val="00D1197E"/>
    <w:rsid w:val="00D11C08"/>
    <w:rsid w:val="00D12197"/>
    <w:rsid w:val="00D122E5"/>
    <w:rsid w:val="00D1595C"/>
    <w:rsid w:val="00D1619E"/>
    <w:rsid w:val="00D206B3"/>
    <w:rsid w:val="00D219C1"/>
    <w:rsid w:val="00D22C33"/>
    <w:rsid w:val="00D27373"/>
    <w:rsid w:val="00D32833"/>
    <w:rsid w:val="00D32DC0"/>
    <w:rsid w:val="00D33DA7"/>
    <w:rsid w:val="00D34453"/>
    <w:rsid w:val="00D35038"/>
    <w:rsid w:val="00D3507E"/>
    <w:rsid w:val="00D354D0"/>
    <w:rsid w:val="00D41D9A"/>
    <w:rsid w:val="00D461E5"/>
    <w:rsid w:val="00D4660F"/>
    <w:rsid w:val="00D472D8"/>
    <w:rsid w:val="00D5255B"/>
    <w:rsid w:val="00D538F6"/>
    <w:rsid w:val="00D5457D"/>
    <w:rsid w:val="00D54EF5"/>
    <w:rsid w:val="00D551E2"/>
    <w:rsid w:val="00D564B3"/>
    <w:rsid w:val="00D56FF4"/>
    <w:rsid w:val="00D61E55"/>
    <w:rsid w:val="00D6213A"/>
    <w:rsid w:val="00D63D97"/>
    <w:rsid w:val="00D70223"/>
    <w:rsid w:val="00D7028D"/>
    <w:rsid w:val="00D73760"/>
    <w:rsid w:val="00D74036"/>
    <w:rsid w:val="00D753D8"/>
    <w:rsid w:val="00D763C0"/>
    <w:rsid w:val="00D802BD"/>
    <w:rsid w:val="00D808EE"/>
    <w:rsid w:val="00D835F8"/>
    <w:rsid w:val="00D83E9E"/>
    <w:rsid w:val="00D872D9"/>
    <w:rsid w:val="00D87A84"/>
    <w:rsid w:val="00D87FE7"/>
    <w:rsid w:val="00D91885"/>
    <w:rsid w:val="00D927D0"/>
    <w:rsid w:val="00D93663"/>
    <w:rsid w:val="00D94097"/>
    <w:rsid w:val="00D95DDC"/>
    <w:rsid w:val="00D96B60"/>
    <w:rsid w:val="00DA0539"/>
    <w:rsid w:val="00DA0634"/>
    <w:rsid w:val="00DA157D"/>
    <w:rsid w:val="00DA3E6F"/>
    <w:rsid w:val="00DA62C5"/>
    <w:rsid w:val="00DA7CB8"/>
    <w:rsid w:val="00DA7DA7"/>
    <w:rsid w:val="00DB0410"/>
    <w:rsid w:val="00DB0871"/>
    <w:rsid w:val="00DB0CB2"/>
    <w:rsid w:val="00DB1F4C"/>
    <w:rsid w:val="00DB2F1B"/>
    <w:rsid w:val="00DB4242"/>
    <w:rsid w:val="00DB7B06"/>
    <w:rsid w:val="00DC08BC"/>
    <w:rsid w:val="00DC1F63"/>
    <w:rsid w:val="00DC1FC2"/>
    <w:rsid w:val="00DC231E"/>
    <w:rsid w:val="00DC4A0C"/>
    <w:rsid w:val="00DC51C6"/>
    <w:rsid w:val="00DD06DB"/>
    <w:rsid w:val="00DD1011"/>
    <w:rsid w:val="00DD2C49"/>
    <w:rsid w:val="00DD34C8"/>
    <w:rsid w:val="00DD4FF6"/>
    <w:rsid w:val="00DD5297"/>
    <w:rsid w:val="00DE221F"/>
    <w:rsid w:val="00DE3A2A"/>
    <w:rsid w:val="00DE423F"/>
    <w:rsid w:val="00DE55E6"/>
    <w:rsid w:val="00DE5DBB"/>
    <w:rsid w:val="00DF169D"/>
    <w:rsid w:val="00DF7AE1"/>
    <w:rsid w:val="00E0241F"/>
    <w:rsid w:val="00E04482"/>
    <w:rsid w:val="00E04D37"/>
    <w:rsid w:val="00E05840"/>
    <w:rsid w:val="00E07968"/>
    <w:rsid w:val="00E10BA8"/>
    <w:rsid w:val="00E12448"/>
    <w:rsid w:val="00E14683"/>
    <w:rsid w:val="00E15678"/>
    <w:rsid w:val="00E207DB"/>
    <w:rsid w:val="00E21EFB"/>
    <w:rsid w:val="00E2267F"/>
    <w:rsid w:val="00E235D4"/>
    <w:rsid w:val="00E245BA"/>
    <w:rsid w:val="00E25FBA"/>
    <w:rsid w:val="00E270B7"/>
    <w:rsid w:val="00E27C9F"/>
    <w:rsid w:val="00E344E0"/>
    <w:rsid w:val="00E350C9"/>
    <w:rsid w:val="00E366E4"/>
    <w:rsid w:val="00E36A50"/>
    <w:rsid w:val="00E41B22"/>
    <w:rsid w:val="00E42278"/>
    <w:rsid w:val="00E42F39"/>
    <w:rsid w:val="00E43C87"/>
    <w:rsid w:val="00E44BDB"/>
    <w:rsid w:val="00E4532E"/>
    <w:rsid w:val="00E457BF"/>
    <w:rsid w:val="00E468A9"/>
    <w:rsid w:val="00E51CA4"/>
    <w:rsid w:val="00E528EB"/>
    <w:rsid w:val="00E5370B"/>
    <w:rsid w:val="00E55B54"/>
    <w:rsid w:val="00E56811"/>
    <w:rsid w:val="00E56A3E"/>
    <w:rsid w:val="00E571A0"/>
    <w:rsid w:val="00E6139F"/>
    <w:rsid w:val="00E61E1E"/>
    <w:rsid w:val="00E62387"/>
    <w:rsid w:val="00E638CB"/>
    <w:rsid w:val="00E64B3B"/>
    <w:rsid w:val="00E6724A"/>
    <w:rsid w:val="00E67D97"/>
    <w:rsid w:val="00E71A05"/>
    <w:rsid w:val="00E742A7"/>
    <w:rsid w:val="00E742BC"/>
    <w:rsid w:val="00E74FF8"/>
    <w:rsid w:val="00E80AB0"/>
    <w:rsid w:val="00E83CCC"/>
    <w:rsid w:val="00E8435E"/>
    <w:rsid w:val="00E90B9D"/>
    <w:rsid w:val="00E923F1"/>
    <w:rsid w:val="00E93762"/>
    <w:rsid w:val="00E96A6F"/>
    <w:rsid w:val="00E974B4"/>
    <w:rsid w:val="00E97868"/>
    <w:rsid w:val="00EA1B79"/>
    <w:rsid w:val="00EA42B1"/>
    <w:rsid w:val="00EA4BDE"/>
    <w:rsid w:val="00EA6D03"/>
    <w:rsid w:val="00EB09B6"/>
    <w:rsid w:val="00EB0D89"/>
    <w:rsid w:val="00EB1D3D"/>
    <w:rsid w:val="00EB3D8A"/>
    <w:rsid w:val="00EB4AF9"/>
    <w:rsid w:val="00EB4C81"/>
    <w:rsid w:val="00EB6139"/>
    <w:rsid w:val="00EB6141"/>
    <w:rsid w:val="00EB711D"/>
    <w:rsid w:val="00EC0476"/>
    <w:rsid w:val="00EC14F2"/>
    <w:rsid w:val="00EC71ED"/>
    <w:rsid w:val="00EC7486"/>
    <w:rsid w:val="00ED04F4"/>
    <w:rsid w:val="00ED2536"/>
    <w:rsid w:val="00ED27A5"/>
    <w:rsid w:val="00ED6370"/>
    <w:rsid w:val="00ED6790"/>
    <w:rsid w:val="00ED7B38"/>
    <w:rsid w:val="00EE0057"/>
    <w:rsid w:val="00EE0E84"/>
    <w:rsid w:val="00EE120A"/>
    <w:rsid w:val="00EE208F"/>
    <w:rsid w:val="00EE308D"/>
    <w:rsid w:val="00EE3D42"/>
    <w:rsid w:val="00EE44C9"/>
    <w:rsid w:val="00EF087C"/>
    <w:rsid w:val="00EF2769"/>
    <w:rsid w:val="00EF366A"/>
    <w:rsid w:val="00EF4DF3"/>
    <w:rsid w:val="00EF67DD"/>
    <w:rsid w:val="00F020C5"/>
    <w:rsid w:val="00F02637"/>
    <w:rsid w:val="00F02F28"/>
    <w:rsid w:val="00F0799D"/>
    <w:rsid w:val="00F12744"/>
    <w:rsid w:val="00F13F24"/>
    <w:rsid w:val="00F1419E"/>
    <w:rsid w:val="00F1472A"/>
    <w:rsid w:val="00F16EEB"/>
    <w:rsid w:val="00F1767F"/>
    <w:rsid w:val="00F17C2E"/>
    <w:rsid w:val="00F17E99"/>
    <w:rsid w:val="00F209D8"/>
    <w:rsid w:val="00F21EAD"/>
    <w:rsid w:val="00F24B4C"/>
    <w:rsid w:val="00F27406"/>
    <w:rsid w:val="00F27ED1"/>
    <w:rsid w:val="00F30CF8"/>
    <w:rsid w:val="00F31315"/>
    <w:rsid w:val="00F36BFC"/>
    <w:rsid w:val="00F40408"/>
    <w:rsid w:val="00F42301"/>
    <w:rsid w:val="00F426BE"/>
    <w:rsid w:val="00F42F5E"/>
    <w:rsid w:val="00F43B6E"/>
    <w:rsid w:val="00F43BA3"/>
    <w:rsid w:val="00F43BB3"/>
    <w:rsid w:val="00F44A7E"/>
    <w:rsid w:val="00F458DD"/>
    <w:rsid w:val="00F46297"/>
    <w:rsid w:val="00F46ABC"/>
    <w:rsid w:val="00F5172B"/>
    <w:rsid w:val="00F53655"/>
    <w:rsid w:val="00F53A8D"/>
    <w:rsid w:val="00F53C1E"/>
    <w:rsid w:val="00F55290"/>
    <w:rsid w:val="00F55956"/>
    <w:rsid w:val="00F56CA9"/>
    <w:rsid w:val="00F6071E"/>
    <w:rsid w:val="00F614AD"/>
    <w:rsid w:val="00F616C5"/>
    <w:rsid w:val="00F62CFC"/>
    <w:rsid w:val="00F639E2"/>
    <w:rsid w:val="00F65284"/>
    <w:rsid w:val="00F711FF"/>
    <w:rsid w:val="00F713A7"/>
    <w:rsid w:val="00F71512"/>
    <w:rsid w:val="00F74363"/>
    <w:rsid w:val="00F74FA5"/>
    <w:rsid w:val="00F7658C"/>
    <w:rsid w:val="00F769FF"/>
    <w:rsid w:val="00F77E6A"/>
    <w:rsid w:val="00F81C7F"/>
    <w:rsid w:val="00F81D93"/>
    <w:rsid w:val="00F831FB"/>
    <w:rsid w:val="00F86C62"/>
    <w:rsid w:val="00F87B17"/>
    <w:rsid w:val="00F907B5"/>
    <w:rsid w:val="00F91456"/>
    <w:rsid w:val="00F92BDB"/>
    <w:rsid w:val="00F93164"/>
    <w:rsid w:val="00F93332"/>
    <w:rsid w:val="00F940A3"/>
    <w:rsid w:val="00F9413F"/>
    <w:rsid w:val="00F94A2D"/>
    <w:rsid w:val="00F94D21"/>
    <w:rsid w:val="00F94F18"/>
    <w:rsid w:val="00FA11D0"/>
    <w:rsid w:val="00FA14EB"/>
    <w:rsid w:val="00FA344A"/>
    <w:rsid w:val="00FA39DE"/>
    <w:rsid w:val="00FA406D"/>
    <w:rsid w:val="00FA44DE"/>
    <w:rsid w:val="00FA4570"/>
    <w:rsid w:val="00FA690F"/>
    <w:rsid w:val="00FB0AE9"/>
    <w:rsid w:val="00FB1826"/>
    <w:rsid w:val="00FB3748"/>
    <w:rsid w:val="00FB5056"/>
    <w:rsid w:val="00FB59D7"/>
    <w:rsid w:val="00FB70A9"/>
    <w:rsid w:val="00FC015B"/>
    <w:rsid w:val="00FC019D"/>
    <w:rsid w:val="00FC19A6"/>
    <w:rsid w:val="00FC3C87"/>
    <w:rsid w:val="00FC532E"/>
    <w:rsid w:val="00FC7689"/>
    <w:rsid w:val="00FD0CB0"/>
    <w:rsid w:val="00FD1315"/>
    <w:rsid w:val="00FD19F3"/>
    <w:rsid w:val="00FD1D54"/>
    <w:rsid w:val="00FD7BD8"/>
    <w:rsid w:val="00FE0695"/>
    <w:rsid w:val="00FE1536"/>
    <w:rsid w:val="00FE25EE"/>
    <w:rsid w:val="00FE2850"/>
    <w:rsid w:val="00FE4491"/>
    <w:rsid w:val="00FE5718"/>
    <w:rsid w:val="00FE68CD"/>
    <w:rsid w:val="00FF061A"/>
    <w:rsid w:val="00FF2137"/>
    <w:rsid w:val="00FF2D07"/>
    <w:rsid w:val="00FF3DA4"/>
    <w:rsid w:val="00FF6A90"/>
    <w:rsid w:val="00FF6B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8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caption"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Bullet 3" w:uiPriority="0"/>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511A0F"/>
    <w:pPr>
      <w:numPr>
        <w:ilvl w:val="2"/>
      </w:numPr>
      <w:spacing w:before="24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511A0F"/>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5901D2"/>
    <w:pPr>
      <w:keepNext/>
      <w:spacing w:before="80" w:after="80" w:line="280" w:lineRule="atLeast"/>
    </w:pPr>
    <w:rPr>
      <w:rFonts w:ascii="Franklin Gothic Book" w:eastAsia="Times New Roman" w:hAnsi="Franklin Gothic Book" w:cs="Arial"/>
      <w:b/>
      <w:szCs w:val="19"/>
    </w:rPr>
  </w:style>
  <w:style w:type="paragraph" w:customStyle="1" w:styleId="Note">
    <w:name w:val="Note"/>
    <w:basedOn w:val="TableTextEntries"/>
    <w:next w:val="BodyText"/>
    <w:link w:val="NoteCharChar"/>
    <w:autoRedefine/>
    <w:rsid w:val="00582C22"/>
    <w:pPr>
      <w:keepLines w:val="0"/>
      <w:spacing w:before="20" w:after="20" w:line="180" w:lineRule="atLeast"/>
      <w:jc w:val="both"/>
    </w:pPr>
    <w:rPr>
      <w:b/>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582C22"/>
    <w:rPr>
      <w:rFonts w:ascii="Franklin Gothic Book" w:eastAsia="Times New Roman" w:hAnsi="Franklin Gothic Book" w:cs="Times New Roman"/>
      <w:b/>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Borders>
        <w:top w:val="single" w:sz="12" w:space="0" w:color="auto"/>
        <w:bottom w:val="single" w:sz="12" w:space="0" w:color="auto"/>
      </w:tblBorders>
    </w:tblPr>
  </w:style>
  <w:style w:type="table" w:customStyle="1" w:styleId="DFATBox">
    <w:name w:val="DFAT Box"/>
    <w:basedOn w:val="TableNormal"/>
    <w:uiPriority w:val="99"/>
    <w:rsid w:val="00AA406C"/>
    <w:pPr>
      <w:spacing w:after="0" w:line="240" w:lineRule="auto"/>
    </w:pPr>
    <w:rPr>
      <w:rFonts w:ascii="Helvetica" w:hAnsi="Helvetica"/>
    </w:rPr>
    <w:tblPr>
      <w:tblBorders>
        <w:top w:val="single" w:sz="4" w:space="0" w:color="auto"/>
        <w:left w:val="single" w:sz="4" w:space="0" w:color="auto"/>
        <w:bottom w:val="single" w:sz="4" w:space="0" w:color="auto"/>
        <w:right w:val="single" w:sz="4" w:space="0" w:color="auto"/>
      </w:tblBorders>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rsid w:val="005052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5901D2"/>
    <w:rPr>
      <w:rFonts w:ascii="Franklin Gothic Book" w:eastAsia="Times New Roman" w:hAnsi="Franklin Gothic Book" w:cs="Arial"/>
      <w:b/>
      <w:sz w:val="20"/>
      <w:szCs w:val="19"/>
    </w:rPr>
  </w:style>
  <w:style w:type="paragraph" w:styleId="FootnoteText">
    <w:name w:val="footnote text"/>
    <w:basedOn w:val="BodyText"/>
    <w:link w:val="FootnoteTextChar"/>
    <w:unhideWhenUsed/>
    <w:qFormat/>
    <w:rsid w:val="00DA7CB8"/>
    <w:pPr>
      <w:spacing w:after="0"/>
      <w:contextualSpacing/>
    </w:pPr>
    <w:rPr>
      <w:sz w:val="16"/>
      <w:szCs w:val="20"/>
    </w:rPr>
  </w:style>
  <w:style w:type="character" w:customStyle="1" w:styleId="FootnoteTextChar">
    <w:name w:val="Footnote Text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aliases w:val="List Paragraph1,Recommendation,List Paragraph11,Dot pt,F5 List Paragraph,No Spacing1,List Paragraph Char Char Char,Indicator Text,Colorful List - Accent 11,Numbered Para 1,Bullet 1,Bullet Points,Párrafo de lista,List Paragraph2,Bullets"/>
    <w:basedOn w:val="BodyText"/>
    <w:link w:val="ListParagraphChar"/>
    <w:uiPriority w:val="34"/>
    <w:qFormat/>
    <w:rsid w:val="00FD7BD8"/>
    <w:pPr>
      <w:numPr>
        <w:numId w:val="18"/>
      </w:numPr>
      <w:spacing w:after="120" w:line="240" w:lineRule="auto"/>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Arial Narrow" w:hAnsi="Arial Narrow"/>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TableGrid1">
    <w:name w:val="Table Grid1"/>
    <w:basedOn w:val="TableNormal"/>
    <w:next w:val="TableGrid"/>
    <w:uiPriority w:val="59"/>
    <w:rsid w:val="002D4E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D4E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9122BD"/>
    <w:pPr>
      <w:autoSpaceDE w:val="0"/>
      <w:autoSpaceDN w:val="0"/>
    </w:pPr>
    <w:rPr>
      <w:rFonts w:ascii="Calibri" w:eastAsiaTheme="minorHAnsi" w:hAnsi="Calibri" w:cs="Calibri"/>
      <w:color w:val="000000"/>
      <w:sz w:val="24"/>
      <w:lang w:eastAsia="en-US"/>
    </w:rPr>
  </w:style>
  <w:style w:type="paragraph" w:customStyle="1" w:styleId="TextBody">
    <w:name w:val="Text Body"/>
    <w:basedOn w:val="Normal"/>
    <w:rsid w:val="00BA26FF"/>
    <w:pPr>
      <w:suppressAutoHyphens/>
      <w:spacing w:after="160" w:line="280" w:lineRule="exact"/>
    </w:pPr>
    <w:rPr>
      <w:rFonts w:ascii="Franklin Gothic Book" w:eastAsia="Times New Roman" w:hAnsi="Franklin Gothic Book"/>
      <w:sz w:val="21"/>
    </w:rPr>
  </w:style>
  <w:style w:type="table" w:customStyle="1" w:styleId="TableGrid5">
    <w:name w:val="Table Grid5"/>
    <w:basedOn w:val="TableNormal"/>
    <w:next w:val="TableGrid"/>
    <w:uiPriority w:val="59"/>
    <w:rsid w:val="00BC54E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746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029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11 Char,Dot pt Char,F5 List Paragraph Char,No Spacing1 Char,List Paragraph Char Char Char Char,Indicator Text Char,Colorful List - Accent 11 Char,Numbered Para 1 Char"/>
    <w:basedOn w:val="DefaultParagraphFont"/>
    <w:link w:val="ListParagraph"/>
    <w:uiPriority w:val="34"/>
    <w:qFormat/>
    <w:locked/>
    <w:rsid w:val="000F3907"/>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caption"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Bullet 3" w:uiPriority="0"/>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511A0F"/>
    <w:pPr>
      <w:numPr>
        <w:ilvl w:val="2"/>
      </w:numPr>
      <w:spacing w:before="24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511A0F"/>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5901D2"/>
    <w:pPr>
      <w:keepNext/>
      <w:spacing w:before="80" w:after="80" w:line="280" w:lineRule="atLeast"/>
    </w:pPr>
    <w:rPr>
      <w:rFonts w:ascii="Franklin Gothic Book" w:eastAsia="Times New Roman" w:hAnsi="Franklin Gothic Book" w:cs="Arial"/>
      <w:b/>
      <w:szCs w:val="19"/>
    </w:rPr>
  </w:style>
  <w:style w:type="paragraph" w:customStyle="1" w:styleId="Note">
    <w:name w:val="Note"/>
    <w:basedOn w:val="TableTextEntries"/>
    <w:next w:val="BodyText"/>
    <w:link w:val="NoteCharChar"/>
    <w:autoRedefine/>
    <w:rsid w:val="00582C22"/>
    <w:pPr>
      <w:keepLines w:val="0"/>
      <w:spacing w:before="20" w:after="20" w:line="180" w:lineRule="atLeast"/>
      <w:jc w:val="both"/>
    </w:pPr>
    <w:rPr>
      <w:b/>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582C22"/>
    <w:rPr>
      <w:rFonts w:ascii="Franklin Gothic Book" w:eastAsia="Times New Roman" w:hAnsi="Franklin Gothic Book" w:cs="Times New Roman"/>
      <w:b/>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Borders>
        <w:top w:val="single" w:sz="12" w:space="0" w:color="auto"/>
        <w:bottom w:val="single" w:sz="12" w:space="0" w:color="auto"/>
      </w:tblBorders>
    </w:tblPr>
  </w:style>
  <w:style w:type="table" w:customStyle="1" w:styleId="DFATBox">
    <w:name w:val="DFAT Box"/>
    <w:basedOn w:val="TableNormal"/>
    <w:uiPriority w:val="99"/>
    <w:rsid w:val="00AA406C"/>
    <w:pPr>
      <w:spacing w:after="0" w:line="240" w:lineRule="auto"/>
    </w:pPr>
    <w:rPr>
      <w:rFonts w:ascii="Helvetica" w:hAnsi="Helvetica"/>
    </w:rPr>
    <w:tblPr>
      <w:tblBorders>
        <w:top w:val="single" w:sz="4" w:space="0" w:color="auto"/>
        <w:left w:val="single" w:sz="4" w:space="0" w:color="auto"/>
        <w:bottom w:val="single" w:sz="4" w:space="0" w:color="auto"/>
        <w:right w:val="single" w:sz="4" w:space="0" w:color="auto"/>
      </w:tblBorders>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rsid w:val="005052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5901D2"/>
    <w:rPr>
      <w:rFonts w:ascii="Franklin Gothic Book" w:eastAsia="Times New Roman" w:hAnsi="Franklin Gothic Book" w:cs="Arial"/>
      <w:b/>
      <w:sz w:val="20"/>
      <w:szCs w:val="19"/>
    </w:rPr>
  </w:style>
  <w:style w:type="paragraph" w:styleId="FootnoteText">
    <w:name w:val="footnote text"/>
    <w:basedOn w:val="BodyText"/>
    <w:link w:val="FootnoteTextChar"/>
    <w:unhideWhenUsed/>
    <w:qFormat/>
    <w:rsid w:val="00DA7CB8"/>
    <w:pPr>
      <w:spacing w:after="0"/>
      <w:contextualSpacing/>
    </w:pPr>
    <w:rPr>
      <w:sz w:val="16"/>
      <w:szCs w:val="20"/>
    </w:rPr>
  </w:style>
  <w:style w:type="character" w:customStyle="1" w:styleId="FootnoteTextChar">
    <w:name w:val="Footnote Text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aliases w:val="List Paragraph1,Recommendation,List Paragraph11,Dot pt,F5 List Paragraph,No Spacing1,List Paragraph Char Char Char,Indicator Text,Colorful List - Accent 11,Numbered Para 1,Bullet 1,Bullet Points,Párrafo de lista,List Paragraph2,Bullets"/>
    <w:basedOn w:val="BodyText"/>
    <w:link w:val="ListParagraphChar"/>
    <w:uiPriority w:val="34"/>
    <w:qFormat/>
    <w:rsid w:val="00FD7BD8"/>
    <w:pPr>
      <w:numPr>
        <w:numId w:val="18"/>
      </w:numPr>
      <w:spacing w:after="120" w:line="240" w:lineRule="auto"/>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Arial Narrow" w:hAnsi="Arial Narrow"/>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TableGrid1">
    <w:name w:val="Table Grid1"/>
    <w:basedOn w:val="TableNormal"/>
    <w:next w:val="TableGrid"/>
    <w:uiPriority w:val="59"/>
    <w:rsid w:val="002D4E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D4E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9122BD"/>
    <w:pPr>
      <w:autoSpaceDE w:val="0"/>
      <w:autoSpaceDN w:val="0"/>
    </w:pPr>
    <w:rPr>
      <w:rFonts w:ascii="Calibri" w:eastAsiaTheme="minorHAnsi" w:hAnsi="Calibri" w:cs="Calibri"/>
      <w:color w:val="000000"/>
      <w:sz w:val="24"/>
      <w:lang w:eastAsia="en-US"/>
    </w:rPr>
  </w:style>
  <w:style w:type="paragraph" w:customStyle="1" w:styleId="TextBody">
    <w:name w:val="Text Body"/>
    <w:basedOn w:val="Normal"/>
    <w:rsid w:val="00BA26FF"/>
    <w:pPr>
      <w:suppressAutoHyphens/>
      <w:spacing w:after="160" w:line="280" w:lineRule="exact"/>
    </w:pPr>
    <w:rPr>
      <w:rFonts w:ascii="Franklin Gothic Book" w:eastAsia="Times New Roman" w:hAnsi="Franklin Gothic Book"/>
      <w:sz w:val="21"/>
    </w:rPr>
  </w:style>
  <w:style w:type="table" w:customStyle="1" w:styleId="TableGrid5">
    <w:name w:val="Table Grid5"/>
    <w:basedOn w:val="TableNormal"/>
    <w:next w:val="TableGrid"/>
    <w:uiPriority w:val="59"/>
    <w:rsid w:val="00BC54E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746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029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11 Char,Dot pt Char,F5 List Paragraph Char,No Spacing1 Char,List Paragraph Char Char Char Char,Indicator Text Char,Colorful List - Accent 11 Char,Numbered Para 1 Char"/>
    <w:basedOn w:val="DefaultParagraphFont"/>
    <w:link w:val="ListParagraph"/>
    <w:uiPriority w:val="34"/>
    <w:qFormat/>
    <w:locked/>
    <w:rsid w:val="000F3907"/>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244455603">
      <w:bodyDiv w:val="1"/>
      <w:marLeft w:val="0"/>
      <w:marRight w:val="0"/>
      <w:marTop w:val="0"/>
      <w:marBottom w:val="0"/>
      <w:divBdr>
        <w:top w:val="none" w:sz="0" w:space="0" w:color="auto"/>
        <w:left w:val="none" w:sz="0" w:space="0" w:color="auto"/>
        <w:bottom w:val="none" w:sz="0" w:space="0" w:color="auto"/>
        <w:right w:val="none" w:sz="0" w:space="0" w:color="auto"/>
      </w:divBdr>
    </w:div>
    <w:div w:id="266278662">
      <w:bodyDiv w:val="1"/>
      <w:marLeft w:val="0"/>
      <w:marRight w:val="0"/>
      <w:marTop w:val="0"/>
      <w:marBottom w:val="0"/>
      <w:divBdr>
        <w:top w:val="none" w:sz="0" w:space="0" w:color="auto"/>
        <w:left w:val="none" w:sz="0" w:space="0" w:color="auto"/>
        <w:bottom w:val="none" w:sz="0" w:space="0" w:color="auto"/>
        <w:right w:val="none" w:sz="0" w:space="0" w:color="auto"/>
      </w:divBdr>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477306755">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161196149">
      <w:bodyDiv w:val="1"/>
      <w:marLeft w:val="0"/>
      <w:marRight w:val="0"/>
      <w:marTop w:val="0"/>
      <w:marBottom w:val="0"/>
      <w:divBdr>
        <w:top w:val="none" w:sz="0" w:space="0" w:color="auto"/>
        <w:left w:val="none" w:sz="0" w:space="0" w:color="auto"/>
        <w:bottom w:val="none" w:sz="0" w:space="0" w:color="auto"/>
        <w:right w:val="none" w:sz="0" w:space="0" w:color="auto"/>
      </w:divBdr>
    </w:div>
    <w:div w:id="1188712667">
      <w:bodyDiv w:val="1"/>
      <w:marLeft w:val="0"/>
      <w:marRight w:val="0"/>
      <w:marTop w:val="0"/>
      <w:marBottom w:val="0"/>
      <w:divBdr>
        <w:top w:val="none" w:sz="0" w:space="0" w:color="auto"/>
        <w:left w:val="none" w:sz="0" w:space="0" w:color="auto"/>
        <w:bottom w:val="none" w:sz="0" w:space="0" w:color="auto"/>
        <w:right w:val="none" w:sz="0" w:space="0" w:color="auto"/>
      </w:divBdr>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239436293">
      <w:bodyDiv w:val="1"/>
      <w:marLeft w:val="0"/>
      <w:marRight w:val="0"/>
      <w:marTop w:val="0"/>
      <w:marBottom w:val="0"/>
      <w:divBdr>
        <w:top w:val="none" w:sz="0" w:space="0" w:color="auto"/>
        <w:left w:val="none" w:sz="0" w:space="0" w:color="auto"/>
        <w:bottom w:val="none" w:sz="0" w:space="0" w:color="auto"/>
        <w:right w:val="none" w:sz="0" w:space="0" w:color="auto"/>
      </w:divBdr>
    </w:div>
    <w:div w:id="1283151696">
      <w:bodyDiv w:val="1"/>
      <w:marLeft w:val="0"/>
      <w:marRight w:val="0"/>
      <w:marTop w:val="0"/>
      <w:marBottom w:val="0"/>
      <w:divBdr>
        <w:top w:val="none" w:sz="0" w:space="0" w:color="auto"/>
        <w:left w:val="none" w:sz="0" w:space="0" w:color="auto"/>
        <w:bottom w:val="none" w:sz="0" w:space="0" w:color="auto"/>
        <w:right w:val="none" w:sz="0" w:space="0" w:color="auto"/>
      </w:divBdr>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19962956">
      <w:bodyDiv w:val="1"/>
      <w:marLeft w:val="0"/>
      <w:marRight w:val="0"/>
      <w:marTop w:val="0"/>
      <w:marBottom w:val="0"/>
      <w:divBdr>
        <w:top w:val="none" w:sz="0" w:space="0" w:color="auto"/>
        <w:left w:val="none" w:sz="0" w:space="0" w:color="auto"/>
        <w:bottom w:val="none" w:sz="0" w:space="0" w:color="auto"/>
        <w:right w:val="none" w:sz="0" w:space="0" w:color="auto"/>
      </w:divBdr>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366101398">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597591890">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6079915">
      <w:bodyDiv w:val="1"/>
      <w:marLeft w:val="0"/>
      <w:marRight w:val="0"/>
      <w:marTop w:val="0"/>
      <w:marBottom w:val="0"/>
      <w:divBdr>
        <w:top w:val="none" w:sz="0" w:space="0" w:color="auto"/>
        <w:left w:val="none" w:sz="0" w:space="0" w:color="auto"/>
        <w:bottom w:val="none" w:sz="0" w:space="0" w:color="auto"/>
        <w:right w:val="none" w:sz="0" w:space="0" w:color="auto"/>
      </w:divBdr>
    </w:div>
    <w:div w:id="1807893048">
      <w:bodyDiv w:val="1"/>
      <w:marLeft w:val="0"/>
      <w:marRight w:val="0"/>
      <w:marTop w:val="0"/>
      <w:marBottom w:val="0"/>
      <w:divBdr>
        <w:top w:val="none" w:sz="0" w:space="0" w:color="auto"/>
        <w:left w:val="none" w:sz="0" w:space="0" w:color="auto"/>
        <w:bottom w:val="none" w:sz="0" w:space="0" w:color="auto"/>
        <w:right w:val="none" w:sz="0" w:space="0" w:color="auto"/>
      </w:divBdr>
    </w:div>
    <w:div w:id="1847478821">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customXml" Target="../customXml/item3.xml"/></Relationships>
</file>

<file path=word/_rels/endnotes.xml.rels><?xml version="1.0" encoding="UTF-8" standalone="yes"?>
<Relationships xmlns="http://schemas.openxmlformats.org/package/2006/relationships"><Relationship Id="rId1" Type="http://schemas.openxmlformats.org/officeDocument/2006/relationships/hyperlink" Target="http://dfat.gov.au/about-us/publications/Pages/aid-investment-plan-aip-vanuatu-2015-16-to-2018-19.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68FB03-25CB-491A-8DFD-CAE2F24185E3}"/>
</file>

<file path=customXml/itemProps2.xml><?xml version="1.0" encoding="utf-8"?>
<ds:datastoreItem xmlns:ds="http://schemas.openxmlformats.org/officeDocument/2006/customXml" ds:itemID="{B01FDDA0-BC05-49BC-8C89-089197563A3C}"/>
</file>

<file path=customXml/itemProps3.xml><?xml version="1.0" encoding="utf-8"?>
<ds:datastoreItem xmlns:ds="http://schemas.openxmlformats.org/officeDocument/2006/customXml" ds:itemID="{40B316DB-50E5-4E51-9637-E75E8508E16F}"/>
</file>

<file path=customXml/itemProps4.xml><?xml version="1.0" encoding="utf-8"?>
<ds:datastoreItem xmlns:ds="http://schemas.openxmlformats.org/officeDocument/2006/customXml" ds:itemID="{8106D034-5286-4EE1-AD8C-E139557360C1}"/>
</file>

<file path=docProps/app.xml><?xml version="1.0" encoding="utf-8"?>
<Properties xmlns="http://schemas.openxmlformats.org/officeDocument/2006/extended-properties" xmlns:vt="http://schemas.openxmlformats.org/officeDocument/2006/docPropsVTypes">
  <Template>B73B15F4.dotm</Template>
  <TotalTime>0</TotalTime>
  <Pages>24</Pages>
  <Words>8250</Words>
  <Characters>46943</Characters>
  <Application>Microsoft Office Word</Application>
  <DocSecurity>0</DocSecurity>
  <Lines>1303</Lines>
  <Paragraphs>707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2015-11-11T23:28:00Z</dcterms:created>
  <dcterms:modified xsi:type="dcterms:W3CDTF">2015-11-11T23:30:00Z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982000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